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line="360" w:lineRule="auto"/>
        <w:ind w:left="0" w:leftChars="0" w:firstLine="559" w:firstLineChars="116"/>
        <w:jc w:val="center"/>
        <w:rPr>
          <w:rFonts w:hint="eastAsia" w:ascii="仿宋" w:hAnsi="仿宋" w:eastAsia="仿宋" w:cs="仿宋"/>
          <w:b/>
          <w:color w:val="000000"/>
          <w:spacing w:val="-20"/>
          <w:sz w:val="52"/>
          <w:szCs w:val="52"/>
          <w:lang w:val="en-US" w:eastAsia="zh-CN"/>
        </w:rPr>
      </w:pPr>
      <w:bookmarkStart w:id="0" w:name="_Toc144974479"/>
      <w:bookmarkStart w:id="1" w:name="_Toc152045511"/>
      <w:bookmarkStart w:id="2" w:name="_Toc152042287"/>
      <w:bookmarkStart w:id="3" w:name="_Toc490667779"/>
      <w:r>
        <w:rPr>
          <w:rFonts w:hint="eastAsia" w:ascii="仿宋" w:hAnsi="仿宋" w:eastAsia="仿宋" w:cs="仿宋"/>
          <w:b/>
          <w:color w:val="000000"/>
          <w:spacing w:val="-20"/>
          <w:sz w:val="52"/>
          <w:szCs w:val="52"/>
          <w:u w:val="none"/>
          <w:lang w:val="en-US" w:eastAsia="zh-CN"/>
        </w:rPr>
        <w:t>罗山县公安局2023年度政法转移支付资金公安业务装备采购项目</w:t>
      </w:r>
    </w:p>
    <w:p>
      <w:pPr>
        <w:bidi w:val="0"/>
        <w:ind w:left="0" w:leftChars="0" w:firstLine="0" w:firstLineChars="0"/>
        <w:jc w:val="center"/>
        <w:rPr>
          <w:rFonts w:hint="default" w:ascii="仿宋" w:hAnsi="仿宋" w:eastAsia="仿宋" w:cs="仿宋"/>
          <w:b/>
          <w:color w:val="000000"/>
          <w:sz w:val="52"/>
          <w:szCs w:val="52"/>
          <w:lang w:val="en-US" w:eastAsia="zh-CN"/>
        </w:rPr>
      </w:pPr>
      <w:r>
        <w:rPr>
          <w:rFonts w:hint="eastAsia" w:ascii="仿宋" w:hAnsi="仿宋" w:eastAsia="仿宋" w:cs="仿宋"/>
          <w:b/>
          <w:color w:val="000000"/>
          <w:sz w:val="52"/>
          <w:szCs w:val="52"/>
          <w:lang w:val="en-US" w:eastAsia="zh-CN"/>
        </w:rPr>
        <w:t>四包段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sz w:val="56"/>
          <w:szCs w:val="56"/>
        </w:rPr>
      </w:pPr>
      <w:r>
        <w:rPr>
          <w:rFonts w:hint="eastAsia" w:ascii="仿宋" w:hAnsi="仿宋" w:eastAsia="仿宋" w:cs="仿宋"/>
          <w:b/>
          <w:color w:val="000000"/>
          <w:sz w:val="96"/>
          <w:szCs w:val="96"/>
          <w:lang w:eastAsia="zh-CN"/>
        </w:rPr>
        <w:t>招</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件</w:t>
      </w:r>
    </w:p>
    <w:p>
      <w:pPr>
        <w:bidi w:val="0"/>
        <w:ind w:left="0" w:leftChars="0" w:firstLine="0" w:firstLineChars="0"/>
        <w:jc w:val="center"/>
        <w:rPr>
          <w:rFonts w:hint="default" w:ascii="仿宋" w:hAnsi="仿宋" w:eastAsia="仿宋" w:cs="仿宋"/>
          <w:color w:val="000000"/>
          <w:sz w:val="28"/>
          <w:lang w:val="en-US" w:eastAsia="zh-CN"/>
        </w:rPr>
      </w:pPr>
      <w:r>
        <w:rPr>
          <w:rFonts w:hint="eastAsia" w:ascii="仿宋" w:hAnsi="仿宋" w:eastAsia="仿宋" w:cs="仿宋"/>
          <w:b/>
          <w:bCs/>
          <w:color w:val="000000"/>
          <w:sz w:val="36"/>
          <w:szCs w:val="28"/>
          <w:lang w:eastAsia="zh-CN"/>
        </w:rPr>
        <w:t>采购编号：罗财公开招标-2023</w:t>
      </w:r>
      <w:r>
        <w:rPr>
          <w:rFonts w:hint="eastAsia" w:ascii="仿宋" w:hAnsi="仿宋" w:eastAsia="仿宋" w:cs="仿宋"/>
          <w:b/>
          <w:bCs/>
          <w:color w:val="000000"/>
          <w:sz w:val="36"/>
          <w:szCs w:val="28"/>
          <w:lang w:val="en-US" w:eastAsia="zh-CN"/>
        </w:rPr>
        <w:t>-25</w:t>
      </w:r>
    </w:p>
    <w:p>
      <w:pPr>
        <w:pStyle w:val="40"/>
        <w:ind w:left="0" w:leftChars="0" w:firstLine="324" w:firstLineChars="116"/>
        <w:rPr>
          <w:rFonts w:hint="eastAsia" w:ascii="仿宋" w:hAnsi="仿宋" w:eastAsia="仿宋" w:cs="仿宋"/>
          <w:color w:val="000000"/>
          <w:sz w:val="28"/>
        </w:rPr>
      </w:pPr>
    </w:p>
    <w:p>
      <w:pPr>
        <w:pStyle w:val="40"/>
        <w:ind w:left="0" w:leftChars="0" w:firstLine="326" w:firstLineChars="116"/>
        <w:rPr>
          <w:rFonts w:hint="eastAsia" w:ascii="仿宋" w:hAnsi="仿宋" w:eastAsia="仿宋" w:cs="仿宋"/>
          <w:color w:val="000000"/>
          <w:sz w:val="28"/>
        </w:rPr>
      </w:pPr>
      <w:r>
        <w:rPr>
          <w:rFonts w:hint="eastAsia" w:ascii="宋体" w:hAnsi="宋体" w:eastAsia="宋体" w:cs="宋体"/>
          <w:b/>
          <w:bCs/>
          <w:sz w:val="28"/>
          <w:szCs w:val="28"/>
          <w:lang w:val="en-US" w:eastAsia="zh-CN"/>
        </w:rPr>
        <w:drawing>
          <wp:anchor distT="0" distB="0" distL="114300" distR="114300" simplePos="0" relativeHeight="251659264" behindDoc="1" locked="0" layoutInCell="1" allowOverlap="1">
            <wp:simplePos x="0" y="0"/>
            <wp:positionH relativeFrom="column">
              <wp:posOffset>1991360</wp:posOffset>
            </wp:positionH>
            <wp:positionV relativeFrom="paragraph">
              <wp:posOffset>55880</wp:posOffset>
            </wp:positionV>
            <wp:extent cx="1934845" cy="1814830"/>
            <wp:effectExtent l="0" t="0" r="8255" b="1270"/>
            <wp:wrapTight wrapText="bothSides">
              <wp:wrapPolygon>
                <wp:start x="0" y="0"/>
                <wp:lineTo x="0" y="21464"/>
                <wp:lineTo x="21409" y="21464"/>
                <wp:lineTo x="21409" y="0"/>
                <wp:lineTo x="0" y="0"/>
              </wp:wrapPolygon>
            </wp:wrapTight>
            <wp:docPr id="4" name="图片 2" descr="中睿管理华康 竖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睿管理华康 竖式"/>
                    <pic:cNvPicPr>
                      <a:picLocks noChangeAspect="1"/>
                    </pic:cNvPicPr>
                  </pic:nvPicPr>
                  <pic:blipFill>
                    <a:blip r:embed="rId16"/>
                    <a:srcRect l="20816" t="15868" r="15747"/>
                    <a:stretch>
                      <a:fillRect/>
                    </a:stretch>
                  </pic:blipFill>
                  <pic:spPr>
                    <a:xfrm>
                      <a:off x="0" y="0"/>
                      <a:ext cx="1934845" cy="1814830"/>
                    </a:xfrm>
                    <a:prstGeom prst="rect">
                      <a:avLst/>
                    </a:prstGeom>
                    <a:noFill/>
                    <a:ln>
                      <a:noFill/>
                    </a:ln>
                  </pic:spPr>
                </pic:pic>
              </a:graphicData>
            </a:graphic>
          </wp:anchor>
        </w:drawing>
      </w: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p>
    <w:p>
      <w:pPr>
        <w:pStyle w:val="36"/>
        <w:rPr>
          <w:rFonts w:hint="eastAsia" w:ascii="仿宋" w:hAnsi="仿宋" w:eastAsia="仿宋" w:cs="仿宋"/>
          <w:b/>
          <w:bCs/>
          <w:color w:val="000000"/>
          <w:kern w:val="0"/>
          <w:sz w:val="32"/>
          <w:szCs w:val="32"/>
        </w:rPr>
      </w:pPr>
    </w:p>
    <w:p>
      <w:pPr>
        <w:pStyle w:val="37"/>
        <w:rPr>
          <w:rFonts w:hint="eastAsia"/>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采</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 xml:space="preserve"> 购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人：</w:t>
      </w:r>
      <w:r>
        <w:rPr>
          <w:rFonts w:hint="eastAsia" w:ascii="仿宋" w:hAnsi="仿宋" w:eastAsia="仿宋" w:cs="仿宋"/>
          <w:b/>
          <w:bCs/>
          <w:color w:val="000000"/>
          <w:kern w:val="0"/>
          <w:sz w:val="32"/>
          <w:szCs w:val="32"/>
          <w:lang w:eastAsia="zh-CN"/>
        </w:rPr>
        <w:t>罗山县公安局</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采购代理机构：</w:t>
      </w:r>
      <w:r>
        <w:rPr>
          <w:rFonts w:hint="eastAsia" w:ascii="仿宋" w:hAnsi="仿宋" w:eastAsia="仿宋" w:cs="仿宋"/>
          <w:b/>
          <w:bCs/>
          <w:color w:val="000000"/>
          <w:kern w:val="0"/>
          <w:sz w:val="32"/>
          <w:szCs w:val="32"/>
          <w:lang w:eastAsia="zh-CN"/>
        </w:rPr>
        <w:t>中睿项目管理有限公司</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sectPr>
          <w:headerReference r:id="rId6" w:type="first"/>
          <w:headerReference r:id="rId5" w:type="default"/>
          <w:footerReference r:id="rId7" w:type="default"/>
          <w:footerReference r:id="rId8" w:type="even"/>
          <w:pgSz w:w="11905" w:h="16838"/>
          <w:pgMar w:top="1440" w:right="1080" w:bottom="1440" w:left="1080" w:header="1020" w:footer="1020" w:gutter="0"/>
          <w:pgBorders>
            <w:top w:val="none" w:sz="0" w:space="0"/>
            <w:left w:val="none" w:sz="0" w:space="0"/>
            <w:bottom w:val="none" w:sz="0" w:space="0"/>
            <w:right w:val="none" w:sz="0" w:space="0"/>
          </w:pgBorders>
          <w:pgNumType w:fmt="decimal" w:start="0"/>
          <w:cols w:space="720" w:num="1"/>
          <w:rtlGutter w:val="0"/>
          <w:docGrid w:type="lines" w:linePitch="411" w:charSpace="0"/>
        </w:sectPr>
      </w:pPr>
      <w:r>
        <w:rPr>
          <w:rFonts w:hint="eastAsia" w:ascii="仿宋" w:hAnsi="仿宋" w:eastAsia="仿宋" w:cs="仿宋"/>
          <w:b/>
          <w:bCs/>
          <w:color w:val="000000"/>
          <w:kern w:val="0"/>
          <w:sz w:val="32"/>
          <w:szCs w:val="32"/>
          <w:lang w:eastAsia="zh-CN"/>
        </w:rPr>
        <w:t>日</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期：</w:t>
      </w:r>
      <w:r>
        <w:rPr>
          <w:rFonts w:hint="eastAsia" w:ascii="仿宋" w:hAnsi="仿宋" w:eastAsia="仿宋" w:cs="仿宋"/>
          <w:b/>
          <w:bCs/>
          <w:color w:val="000000"/>
          <w:kern w:val="0"/>
          <w:sz w:val="32"/>
          <w:szCs w:val="32"/>
          <w:lang w:val="en-US" w:eastAsia="zh-CN"/>
        </w:rPr>
        <w:t>二〇二三</w:t>
      </w:r>
      <w:r>
        <w:rPr>
          <w:rFonts w:hint="eastAsia" w:ascii="仿宋" w:hAnsi="仿宋" w:eastAsia="仿宋" w:cs="仿宋"/>
          <w:b/>
          <w:bCs/>
          <w:color w:val="000000"/>
          <w:kern w:val="0"/>
          <w:sz w:val="32"/>
          <w:szCs w:val="32"/>
          <w:lang w:eastAsia="zh-CN"/>
        </w:rPr>
        <w:t>年</w:t>
      </w:r>
      <w:r>
        <w:rPr>
          <w:rFonts w:hint="eastAsia" w:ascii="仿宋" w:hAnsi="仿宋" w:eastAsia="仿宋" w:cs="仿宋"/>
          <w:b/>
          <w:bCs/>
          <w:color w:val="000000"/>
          <w:kern w:val="0"/>
          <w:sz w:val="32"/>
          <w:szCs w:val="32"/>
          <w:lang w:val="en-US" w:eastAsia="zh-CN"/>
        </w:rPr>
        <w:t>九</w:t>
      </w:r>
      <w:r>
        <w:rPr>
          <w:rFonts w:hint="eastAsia" w:ascii="仿宋" w:hAnsi="仿宋" w:eastAsia="仿宋" w:cs="仿宋"/>
          <w:b/>
          <w:bCs/>
          <w:color w:val="000000"/>
          <w:kern w:val="0"/>
          <w:sz w:val="32"/>
          <w:szCs w:val="32"/>
          <w:lang w:eastAsia="zh-CN"/>
        </w:rPr>
        <w:t>月</w:t>
      </w:r>
    </w:p>
    <w:sdt>
      <w:sdtPr>
        <w:rPr>
          <w:rFonts w:ascii="宋体" w:hAnsi="宋体" w:eastAsia="宋体" w:cstheme="minorBidi"/>
          <w:b/>
          <w:bCs/>
          <w:color w:val="auto"/>
          <w:kern w:val="2"/>
          <w:sz w:val="30"/>
          <w:szCs w:val="30"/>
          <w:lang w:val="en-US" w:eastAsia="zh-CN" w:bidi="ar-SA"/>
        </w:rPr>
        <w:id w:val="147454157"/>
        <w15:color w:val="DBDBDB"/>
        <w:docPartObj>
          <w:docPartGallery w:val="Table of Contents"/>
          <w:docPartUnique/>
        </w:docPartObj>
      </w:sdtPr>
      <w:sdtEndPr>
        <w:rPr>
          <w:rFonts w:hint="eastAsia" w:ascii="宋体" w:hAnsi="宋体" w:eastAsia="宋体" w:cs="宋体"/>
          <w:b/>
          <w:bCs/>
          <w:color w:val="auto"/>
          <w:spacing w:val="14"/>
          <w:kern w:val="0"/>
          <w:sz w:val="20"/>
          <w:szCs w:val="44"/>
          <w:lang w:val="en-US" w:eastAsia="zh-CN" w:bidi="ar-SA"/>
        </w:rPr>
      </w:sdtEndPr>
      <w:sdtContent>
        <w:p>
          <w:pPr>
            <w:spacing w:before="0" w:beforeLines="0" w:after="0" w:afterLines="0" w:line="480" w:lineRule="auto"/>
            <w:ind w:left="0" w:leftChars="0" w:right="0" w:rightChars="0" w:firstLine="0" w:firstLineChars="0"/>
            <w:jc w:val="center"/>
            <w:rPr>
              <w:rFonts w:ascii="宋体" w:hAnsi="宋体" w:eastAsia="宋体" w:cstheme="minorBidi"/>
              <w:b/>
              <w:bCs/>
              <w:color w:val="auto"/>
              <w:kern w:val="2"/>
              <w:sz w:val="30"/>
              <w:szCs w:val="30"/>
              <w:lang w:val="en-US" w:eastAsia="zh-CN" w:bidi="ar-SA"/>
            </w:rPr>
          </w:pPr>
        </w:p>
        <w:p>
          <w:pPr>
            <w:spacing w:before="0" w:beforeLines="0" w:after="0" w:afterLines="0" w:line="48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pStyle w:val="42"/>
            <w:tabs>
              <w:tab w:val="right" w:leader="dot" w:pos="9020"/>
            </w:tabs>
            <w:rPr>
              <w:color w:val="auto"/>
            </w:rPr>
          </w:pPr>
          <w:r>
            <w:rPr>
              <w:rFonts w:hint="eastAsia" w:ascii="宋体" w:hAnsi="宋体" w:eastAsia="宋体" w:cs="宋体"/>
              <w:b/>
              <w:color w:val="auto"/>
              <w:spacing w:val="14"/>
              <w:sz w:val="44"/>
              <w:szCs w:val="44"/>
            </w:rPr>
            <w:fldChar w:fldCharType="begin"/>
          </w:r>
          <w:r>
            <w:rPr>
              <w:rFonts w:hint="eastAsia" w:ascii="宋体" w:hAnsi="宋体" w:eastAsia="宋体" w:cs="宋体"/>
              <w:b/>
              <w:color w:val="auto"/>
              <w:spacing w:val="14"/>
              <w:sz w:val="44"/>
              <w:szCs w:val="44"/>
            </w:rPr>
            <w:instrText xml:space="preserve">TOC \o "1-1" \h \u </w:instrText>
          </w:r>
          <w:r>
            <w:rPr>
              <w:rFonts w:hint="eastAsia" w:ascii="宋体" w:hAnsi="宋体" w:eastAsia="宋体" w:cs="宋体"/>
              <w:b/>
              <w:color w:val="auto"/>
              <w:spacing w:val="14"/>
              <w:sz w:val="44"/>
              <w:szCs w:val="44"/>
            </w:rPr>
            <w:fldChar w:fldCharType="separate"/>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_Toc2829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第一章 </w:t>
          </w:r>
          <w:r>
            <w:rPr>
              <w:rFonts w:hint="eastAsia" w:ascii="宋体" w:hAnsi="宋体" w:cs="宋体"/>
              <w:bCs/>
              <w:color w:val="auto"/>
              <w:sz w:val="30"/>
              <w:szCs w:val="30"/>
              <w:lang w:eastAsia="zh-CN"/>
            </w:rPr>
            <w:t>招标公告</w:t>
          </w:r>
          <w:r>
            <w:rPr>
              <w:color w:val="auto"/>
              <w:sz w:val="30"/>
              <w:szCs w:val="30"/>
            </w:rPr>
            <w:tab/>
          </w:r>
          <w:r>
            <w:rPr>
              <w:color w:val="auto"/>
              <w:sz w:val="30"/>
              <w:szCs w:val="30"/>
            </w:rPr>
            <w:fldChar w:fldCharType="begin"/>
          </w:r>
          <w:r>
            <w:rPr>
              <w:color w:val="auto"/>
              <w:sz w:val="30"/>
              <w:szCs w:val="30"/>
            </w:rPr>
            <w:instrText xml:space="preserve"> PAGEREF _Toc2829 \h </w:instrText>
          </w:r>
          <w:r>
            <w:rPr>
              <w:color w:val="auto"/>
              <w:sz w:val="30"/>
              <w:szCs w:val="30"/>
            </w:rPr>
            <w:fldChar w:fldCharType="separate"/>
          </w:r>
          <w:r>
            <w:rPr>
              <w:color w:val="auto"/>
              <w:sz w:val="30"/>
              <w:szCs w:val="30"/>
            </w:rPr>
            <w:t>4</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_Toc30742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第二章 供应商须知</w:t>
          </w:r>
          <w:r>
            <w:rPr>
              <w:color w:val="auto"/>
              <w:sz w:val="30"/>
              <w:szCs w:val="30"/>
            </w:rPr>
            <w:tab/>
          </w:r>
          <w:r>
            <w:rPr>
              <w:color w:val="auto"/>
              <w:sz w:val="30"/>
              <w:szCs w:val="30"/>
            </w:rPr>
            <w:fldChar w:fldCharType="begin"/>
          </w:r>
          <w:r>
            <w:rPr>
              <w:color w:val="auto"/>
              <w:sz w:val="30"/>
              <w:szCs w:val="30"/>
            </w:rPr>
            <w:instrText xml:space="preserve"> PAGEREF _Toc30742 \h </w:instrText>
          </w:r>
          <w:r>
            <w:rPr>
              <w:color w:val="auto"/>
              <w:sz w:val="30"/>
              <w:szCs w:val="30"/>
            </w:rPr>
            <w:fldChar w:fldCharType="separate"/>
          </w:r>
          <w:r>
            <w:rPr>
              <w:color w:val="auto"/>
              <w:sz w:val="30"/>
              <w:szCs w:val="30"/>
            </w:rPr>
            <w:t>7</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_Toc28182 </w:instrText>
          </w:r>
          <w:r>
            <w:rPr>
              <w:rFonts w:hint="eastAsia" w:ascii="宋体" w:hAnsi="宋体" w:eastAsia="宋体" w:cs="宋体"/>
              <w:color w:val="auto"/>
              <w:spacing w:val="14"/>
              <w:sz w:val="30"/>
              <w:szCs w:val="30"/>
            </w:rPr>
            <w:fldChar w:fldCharType="separate"/>
          </w:r>
          <w:r>
            <w:rPr>
              <w:rFonts w:hint="eastAsia" w:ascii="宋体" w:hAnsi="宋体" w:cs="宋体"/>
              <w:color w:val="auto"/>
              <w:kern w:val="44"/>
              <w:sz w:val="30"/>
              <w:szCs w:val="30"/>
            </w:rPr>
            <w:t>第三章  评审办法（综合评分法）</w:t>
          </w:r>
          <w:r>
            <w:rPr>
              <w:color w:val="auto"/>
              <w:sz w:val="30"/>
              <w:szCs w:val="30"/>
            </w:rPr>
            <w:tab/>
          </w:r>
          <w:r>
            <w:rPr>
              <w:color w:val="auto"/>
              <w:sz w:val="30"/>
              <w:szCs w:val="30"/>
            </w:rPr>
            <w:fldChar w:fldCharType="begin"/>
          </w:r>
          <w:r>
            <w:rPr>
              <w:color w:val="auto"/>
              <w:sz w:val="30"/>
              <w:szCs w:val="30"/>
            </w:rPr>
            <w:instrText xml:space="preserve"> PAGEREF _Toc28182 \h </w:instrText>
          </w:r>
          <w:r>
            <w:rPr>
              <w:color w:val="auto"/>
              <w:sz w:val="30"/>
              <w:szCs w:val="30"/>
            </w:rPr>
            <w:fldChar w:fldCharType="separate"/>
          </w:r>
          <w:r>
            <w:rPr>
              <w:color w:val="auto"/>
              <w:sz w:val="30"/>
              <w:szCs w:val="30"/>
            </w:rPr>
            <w:t>20</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_Toc17356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第四章  </w:t>
          </w:r>
          <w:r>
            <w:rPr>
              <w:rFonts w:hint="eastAsia" w:ascii="宋体" w:hAnsi="宋体" w:cs="宋体"/>
              <w:color w:val="auto"/>
              <w:sz w:val="30"/>
              <w:szCs w:val="30"/>
            </w:rPr>
            <w:t>河南省政府采购合同（</w:t>
          </w:r>
          <w:r>
            <w:rPr>
              <w:rFonts w:hint="eastAsia" w:ascii="宋体" w:hAnsi="宋体" w:cs="宋体"/>
              <w:color w:val="auto"/>
              <w:sz w:val="30"/>
              <w:szCs w:val="30"/>
              <w:lang w:eastAsia="zh-CN"/>
            </w:rPr>
            <w:t>参考文本</w:t>
          </w:r>
          <w:r>
            <w:rPr>
              <w:rFonts w:hint="eastAsia" w:ascii="宋体" w:hAnsi="宋体" w:cs="宋体"/>
              <w:color w:val="auto"/>
              <w:sz w:val="30"/>
              <w:szCs w:val="30"/>
            </w:rPr>
            <w:t>）</w:t>
          </w:r>
          <w:r>
            <w:rPr>
              <w:color w:val="auto"/>
              <w:sz w:val="30"/>
              <w:szCs w:val="30"/>
            </w:rPr>
            <w:tab/>
          </w:r>
          <w:r>
            <w:rPr>
              <w:color w:val="auto"/>
              <w:sz w:val="30"/>
              <w:szCs w:val="30"/>
            </w:rPr>
            <w:fldChar w:fldCharType="begin"/>
          </w:r>
          <w:r>
            <w:rPr>
              <w:color w:val="auto"/>
              <w:sz w:val="30"/>
              <w:szCs w:val="30"/>
            </w:rPr>
            <w:instrText xml:space="preserve"> PAGEREF _Toc17356 \h </w:instrText>
          </w:r>
          <w:r>
            <w:rPr>
              <w:color w:val="auto"/>
              <w:sz w:val="30"/>
              <w:szCs w:val="30"/>
            </w:rPr>
            <w:fldChar w:fldCharType="separate"/>
          </w:r>
          <w:r>
            <w:rPr>
              <w:color w:val="auto"/>
              <w:sz w:val="30"/>
              <w:szCs w:val="30"/>
            </w:rPr>
            <w:t>26</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_Toc17041 </w:instrText>
          </w:r>
          <w:r>
            <w:rPr>
              <w:rFonts w:hint="eastAsia" w:ascii="宋体" w:hAnsi="宋体" w:eastAsia="宋体" w:cs="宋体"/>
              <w:color w:val="auto"/>
              <w:spacing w:val="14"/>
              <w:sz w:val="30"/>
              <w:szCs w:val="30"/>
            </w:rPr>
            <w:fldChar w:fldCharType="separate"/>
          </w:r>
          <w:r>
            <w:rPr>
              <w:rFonts w:hint="eastAsia" w:ascii="宋体" w:hAnsi="宋体" w:cs="宋体"/>
              <w:color w:val="auto"/>
              <w:sz w:val="30"/>
              <w:szCs w:val="30"/>
              <w:lang w:eastAsia="zh-CN"/>
            </w:rPr>
            <w:t>第五章</w:t>
          </w:r>
          <w:r>
            <w:rPr>
              <w:rFonts w:hint="eastAsia" w:ascii="宋体" w:hAnsi="宋体" w:cs="宋体"/>
              <w:color w:val="auto"/>
              <w:sz w:val="30"/>
              <w:szCs w:val="30"/>
              <w:lang w:val="en-US" w:eastAsia="zh-CN"/>
            </w:rPr>
            <w:t xml:space="preserve"> </w:t>
          </w:r>
          <w:r>
            <w:rPr>
              <w:rFonts w:hint="eastAsia" w:ascii="宋体" w:hAnsi="宋体" w:cs="宋体"/>
              <w:color w:val="auto"/>
              <w:sz w:val="30"/>
              <w:szCs w:val="30"/>
              <w:lang w:eastAsia="zh-CN"/>
            </w:rPr>
            <w:t>采购内容和</w:t>
          </w:r>
          <w:r>
            <w:rPr>
              <w:rFonts w:hint="eastAsia" w:ascii="宋体" w:hAnsi="宋体" w:cs="宋体"/>
              <w:color w:val="auto"/>
              <w:sz w:val="30"/>
              <w:szCs w:val="30"/>
              <w:lang w:val="en-US" w:eastAsia="zh-CN"/>
            </w:rPr>
            <w:t>清单</w:t>
          </w:r>
          <w:r>
            <w:rPr>
              <w:color w:val="auto"/>
              <w:sz w:val="30"/>
              <w:szCs w:val="30"/>
            </w:rPr>
            <w:tab/>
          </w:r>
          <w:r>
            <w:rPr>
              <w:color w:val="auto"/>
              <w:sz w:val="30"/>
              <w:szCs w:val="30"/>
            </w:rPr>
            <w:fldChar w:fldCharType="begin"/>
          </w:r>
          <w:r>
            <w:rPr>
              <w:color w:val="auto"/>
              <w:sz w:val="30"/>
              <w:szCs w:val="30"/>
            </w:rPr>
            <w:instrText xml:space="preserve"> PAGEREF _Toc17041 \h </w:instrText>
          </w:r>
          <w:r>
            <w:rPr>
              <w:color w:val="auto"/>
              <w:sz w:val="30"/>
              <w:szCs w:val="30"/>
            </w:rPr>
            <w:fldChar w:fldCharType="separate"/>
          </w:r>
          <w:r>
            <w:rPr>
              <w:color w:val="auto"/>
              <w:sz w:val="30"/>
              <w:szCs w:val="30"/>
            </w:rPr>
            <w:t>28</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rFonts w:hint="eastAsia" w:eastAsia="宋体"/>
              <w:color w:val="auto"/>
              <w:sz w:val="30"/>
              <w:szCs w:val="30"/>
              <w:lang w:val="en-US" w:eastAsia="zh-CN"/>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_Toc21679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 xml:space="preserve">第六章  </w:t>
          </w:r>
          <w:r>
            <w:rPr>
              <w:rFonts w:hint="eastAsia" w:ascii="宋体" w:hAnsi="宋体" w:cs="宋体"/>
              <w:bCs w:val="0"/>
              <w:color w:val="auto"/>
              <w:sz w:val="30"/>
              <w:szCs w:val="30"/>
              <w:lang w:eastAsia="zh-CN"/>
            </w:rPr>
            <w:t>投标文件格式</w:t>
          </w:r>
          <w:r>
            <w:rPr>
              <w:color w:val="auto"/>
              <w:sz w:val="30"/>
              <w:szCs w:val="30"/>
            </w:rPr>
            <w:tab/>
          </w:r>
          <w:r>
            <w:rPr>
              <w:rFonts w:hint="eastAsia"/>
              <w:color w:val="auto"/>
              <w:sz w:val="30"/>
              <w:szCs w:val="30"/>
              <w:lang w:val="en-US" w:eastAsia="zh-CN"/>
            </w:rPr>
            <w:t>4</w:t>
          </w:r>
          <w:r>
            <w:rPr>
              <w:rFonts w:hint="eastAsia" w:ascii="宋体" w:hAnsi="宋体" w:eastAsia="宋体" w:cs="宋体"/>
              <w:color w:val="auto"/>
              <w:spacing w:val="14"/>
              <w:sz w:val="30"/>
              <w:szCs w:val="30"/>
            </w:rPr>
            <w:fldChar w:fldCharType="end"/>
          </w:r>
          <w:r>
            <w:rPr>
              <w:rFonts w:hint="eastAsia" w:ascii="宋体" w:hAnsi="宋体" w:cs="宋体"/>
              <w:color w:val="auto"/>
              <w:spacing w:val="14"/>
              <w:sz w:val="30"/>
              <w:szCs w:val="30"/>
              <w:lang w:val="en-US" w:eastAsia="zh-CN"/>
            </w:rPr>
            <w:t>6</w:t>
          </w:r>
        </w:p>
        <w:p>
          <w:pPr>
            <w:pStyle w:val="41"/>
            <w:ind w:left="0" w:leftChars="0" w:firstLine="0" w:firstLineChars="0"/>
            <w:jc w:val="center"/>
            <w:rPr>
              <w:rFonts w:hint="eastAsia" w:ascii="宋体" w:hAnsi="宋体" w:eastAsia="宋体" w:cs="宋体"/>
              <w:b/>
              <w:color w:val="auto"/>
              <w:spacing w:val="14"/>
              <w:sz w:val="44"/>
              <w:szCs w:val="44"/>
            </w:rPr>
            <w:sectPr>
              <w:headerReference r:id="rId9" w:type="default"/>
              <w:footerReference r:id="rId10" w:type="default"/>
              <w:pgSz w:w="11900" w:h="16838"/>
              <w:pgMar w:top="1440" w:right="1440" w:bottom="286" w:left="1440" w:header="680" w:footer="454"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color w:val="auto"/>
              <w:spacing w:val="14"/>
              <w:szCs w:val="44"/>
            </w:rPr>
            <w:fldChar w:fldCharType="end"/>
          </w:r>
        </w:p>
      </w:sdtContent>
    </w:sdt>
    <w:p>
      <w:pPr>
        <w:pStyle w:val="41"/>
        <w:ind w:left="0" w:leftChars="0" w:firstLine="0" w:firstLineChars="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登陆“全国公共资源交易平台（河南省·信阳市）（www.xyggzyjy.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登陆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领取页面下载）。</w:t>
      </w:r>
    </w:p>
    <w:p>
      <w:pPr>
        <w:tabs>
          <w:tab w:val="left" w:pos="0"/>
        </w:tabs>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pPr>
        <w:tabs>
          <w:tab w:val="left" w:pos="0"/>
        </w:tabs>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招标文件费用网上支付，支付成功后，方可上传电子投标（响应）文件。</w:t>
      </w:r>
      <w:r>
        <w:rPr>
          <w:rFonts w:hint="eastAsia" w:ascii="宋体" w:hAnsi="宋体" w:eastAsia="宋体" w:cs="宋体"/>
          <w:color w:val="auto"/>
          <w:sz w:val="21"/>
          <w:szCs w:val="21"/>
          <w:u w:val="none"/>
        </w:rPr>
        <w:t>（政府采购类项目不收取招标文件费用）</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pPr>
        <w:pStyle w:val="15"/>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15"/>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15"/>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九、其他注意事项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1、供应商编制投标文件时，涉及的营业执照、资质、获奖、社保、纳税等固定内容可在交易中心主体信用信息中录入</w:t>
      </w:r>
      <w:r>
        <w:rPr>
          <w:rFonts w:hint="eastAsia" w:ascii="宋体" w:hAnsi="宋体" w:eastAsia="宋体" w:cs="宋体"/>
          <w:b/>
          <w:bCs/>
          <w:color w:val="auto"/>
          <w:sz w:val="21"/>
          <w:szCs w:val="21"/>
          <w:highlight w:val="none"/>
          <w:u w:val="none"/>
          <w:lang w:val="en-US" w:eastAsia="zh-CN"/>
        </w:rPr>
        <w:t xml:space="preserve">。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4、投标文件中的扫描件，在确保清晰的前提下，每张最好控制在 500kb 内,生成的加密电子投标文件最好不要超过50MB</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pPr>
        <w:pStyle w:val="42"/>
        <w:tabs>
          <w:tab w:val="right" w:leader="dot" w:pos="9240"/>
        </w:tabs>
        <w:spacing w:line="480" w:lineRule="auto"/>
        <w:ind w:firstLine="420" w:firstLineChars="200"/>
        <w:jc w:val="both"/>
        <w:rPr>
          <w:rFonts w:hint="eastAsia" w:ascii="宋体" w:hAnsi="宋体" w:eastAsia="宋体" w:cs="宋体"/>
          <w:b/>
          <w:bCs/>
          <w:color w:val="auto"/>
          <w:sz w:val="21"/>
          <w:szCs w:val="21"/>
        </w:rPr>
      </w:pPr>
      <w:r>
        <w:rPr>
          <w:rFonts w:hint="eastAsia" w:ascii="宋体" w:hAnsi="宋体" w:eastAsia="宋体" w:cs="宋体"/>
          <w:color w:val="auto"/>
          <w:sz w:val="21"/>
          <w:szCs w:val="21"/>
        </w:rPr>
        <w:t>招标（响应）文件与此内容不符的，以此内容为准。</w:t>
      </w:r>
    </w:p>
    <w:p>
      <w:pPr>
        <w:pStyle w:val="15"/>
        <w:rPr>
          <w:rFonts w:ascii="宋体" w:hAnsi="宋体"/>
          <w:color w:val="auto"/>
          <w:sz w:val="21"/>
          <w:szCs w:val="21"/>
        </w:rPr>
      </w:pPr>
    </w:p>
    <w:p>
      <w:pPr>
        <w:pStyle w:val="15"/>
        <w:rPr>
          <w:rFonts w:ascii="宋体" w:hAnsi="宋体"/>
          <w:color w:val="auto"/>
          <w:sz w:val="24"/>
        </w:rPr>
      </w:pPr>
    </w:p>
    <w:p>
      <w:pPr>
        <w:pStyle w:val="15"/>
        <w:rPr>
          <w:rFonts w:ascii="宋体" w:hAnsi="宋体"/>
          <w:color w:val="auto"/>
          <w:sz w:val="24"/>
        </w:rPr>
      </w:pPr>
    </w:p>
    <w:p>
      <w:pPr>
        <w:pStyle w:val="23"/>
        <w:rPr>
          <w:rFonts w:ascii="宋体" w:hAnsi="宋体"/>
          <w:color w:val="auto"/>
          <w:sz w:val="24"/>
        </w:rPr>
      </w:pPr>
    </w:p>
    <w:p>
      <w:pPr>
        <w:rPr>
          <w:color w:val="auto"/>
        </w:rPr>
      </w:pPr>
    </w:p>
    <w:p>
      <w:pPr>
        <w:pStyle w:val="26"/>
        <w:rPr>
          <w:color w:val="auto"/>
        </w:rPr>
      </w:pPr>
    </w:p>
    <w:p>
      <w:pPr>
        <w:pStyle w:val="12"/>
        <w:rPr>
          <w:color w:val="auto"/>
        </w:rPr>
      </w:pPr>
    </w:p>
    <w:p>
      <w:pPr>
        <w:rPr>
          <w:color w:val="auto"/>
        </w:rPr>
      </w:pPr>
    </w:p>
    <w:p>
      <w:pPr>
        <w:rPr>
          <w:rFonts w:hint="eastAsia" w:ascii="宋体" w:hAnsi="宋体" w:cs="宋体"/>
          <w:b/>
          <w:bCs/>
          <w:color w:val="auto"/>
          <w:sz w:val="32"/>
          <w:szCs w:val="32"/>
        </w:rPr>
      </w:pPr>
      <w:bookmarkStart w:id="4" w:name="_Toc30363"/>
      <w:bookmarkStart w:id="5" w:name="_Toc23274"/>
      <w:bookmarkStart w:id="6" w:name="_Toc2829"/>
      <w:r>
        <w:rPr>
          <w:rFonts w:hint="eastAsia" w:ascii="宋体" w:hAnsi="宋体" w:cs="宋体"/>
          <w:b/>
          <w:bCs/>
          <w:color w:val="auto"/>
          <w:sz w:val="32"/>
          <w:szCs w:val="32"/>
        </w:rPr>
        <w:br w:type="page"/>
      </w:r>
    </w:p>
    <w:p>
      <w:pPr>
        <w:pStyle w:val="22"/>
        <w:tabs>
          <w:tab w:val="right" w:leader="underscore" w:pos="8296"/>
        </w:tabs>
        <w:spacing w:after="0" w:afterLines="0" w:line="360" w:lineRule="auto"/>
        <w:ind w:left="0" w:leftChars="0" w:firstLine="0" w:firstLineChars="0"/>
        <w:jc w:val="center"/>
        <w:outlineLvl w:val="0"/>
        <w:rPr>
          <w:rFonts w:hint="eastAsia" w:ascii="宋体" w:hAnsi="宋体" w:eastAsia="宋体" w:cs="宋体"/>
          <w:b/>
          <w:bCs/>
          <w:color w:val="auto"/>
          <w:sz w:val="32"/>
          <w:szCs w:val="32"/>
          <w:lang w:eastAsia="zh-CN"/>
        </w:rPr>
      </w:pPr>
      <w:r>
        <w:rPr>
          <w:rFonts w:hint="eastAsia" w:ascii="宋体" w:hAnsi="宋体" w:cs="宋体"/>
          <w:b/>
          <w:bCs/>
          <w:color w:val="auto"/>
          <w:sz w:val="32"/>
          <w:szCs w:val="32"/>
        </w:rPr>
        <w:t xml:space="preserve">第一章 </w:t>
      </w:r>
      <w:bookmarkEnd w:id="0"/>
      <w:bookmarkEnd w:id="1"/>
      <w:bookmarkEnd w:id="2"/>
      <w:bookmarkEnd w:id="3"/>
      <w:bookmarkEnd w:id="4"/>
      <w:r>
        <w:rPr>
          <w:rFonts w:hint="eastAsia" w:ascii="宋体" w:hAnsi="宋体" w:cs="宋体"/>
          <w:b/>
          <w:bCs/>
          <w:color w:val="auto"/>
          <w:sz w:val="32"/>
          <w:szCs w:val="32"/>
          <w:lang w:eastAsia="zh-CN"/>
        </w:rPr>
        <w:t>招标公告</w:t>
      </w:r>
      <w:bookmarkEnd w:id="5"/>
      <w:bookmarkEnd w:id="6"/>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textAlignment w:val="auto"/>
        <w:rPr>
          <w:rFonts w:hint="eastAsia" w:ascii="宋体" w:hAnsi="宋体" w:eastAsia="宋体" w:cs="宋体"/>
          <w:b/>
          <w:color w:val="auto"/>
          <w:sz w:val="21"/>
          <w:szCs w:val="21"/>
        </w:rPr>
      </w:pPr>
      <w:bookmarkStart w:id="7" w:name="OLE_LINK1"/>
      <w:bookmarkStart w:id="8" w:name="_Toc152042303"/>
      <w:bookmarkStart w:id="9" w:name="_Toc152045527"/>
      <w:bookmarkStart w:id="10" w:name="_Toc144974495"/>
      <w:r>
        <w:rPr>
          <w:rFonts w:hint="eastAsia" w:ascii="宋体" w:hAnsi="宋体" w:eastAsia="宋体" w:cs="宋体"/>
          <w:b/>
          <w:color w:val="auto"/>
          <w:sz w:val="21"/>
          <w:szCs w:val="21"/>
        </w:rPr>
        <w:t>项目概况</w:t>
      </w:r>
    </w:p>
    <w:p>
      <w:pPr>
        <w:pStyle w:val="24"/>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eastAsia="宋体" w:cs="宋体"/>
          <w:bCs/>
          <w:color w:val="auto"/>
          <w:sz w:val="21"/>
          <w:szCs w:val="21"/>
          <w:highlight w:val="none"/>
          <w:u w:val="none"/>
          <w:lang w:val="en-US" w:eastAsia="zh-CN"/>
        </w:rPr>
        <w:t>罗山县公安局2023年度政法转移支付资金公安业务装备采购项目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在“全国公共资源交易平台（河南省·信阳市）（https://ggzyjy.xinyang.gov.cn）”或“全国公共资源交易平台（河南省·罗山县））（https://ls.xyggzyjy.cn）””网站，凭办理的企业身份认证锁（CA数字证书）登陆会员系统。获取招标文件，并于</w:t>
      </w:r>
      <w:r>
        <w:rPr>
          <w:rFonts w:hint="eastAsia" w:ascii="宋体" w:hAnsi="宋体" w:eastAsia="宋体" w:cs="宋体"/>
          <w:bCs/>
          <w:color w:val="0000FF"/>
          <w:sz w:val="21"/>
          <w:szCs w:val="21"/>
          <w:highlight w:val="none"/>
          <w:lang w:eastAsia="zh-CN"/>
        </w:rPr>
        <w:t>2023年</w:t>
      </w:r>
      <w:r>
        <w:rPr>
          <w:rFonts w:hint="eastAsia" w:eastAsia="宋体" w:cs="宋体"/>
          <w:bCs/>
          <w:color w:val="0000FF"/>
          <w:sz w:val="21"/>
          <w:szCs w:val="21"/>
          <w:highlight w:val="none"/>
          <w:lang w:val="en-US" w:eastAsia="zh-CN"/>
        </w:rPr>
        <w:t xml:space="preserve">10 </w:t>
      </w:r>
      <w:r>
        <w:rPr>
          <w:rFonts w:hint="eastAsia" w:eastAsia="宋体" w:cs="宋体"/>
          <w:bCs/>
          <w:color w:val="0000FF"/>
          <w:sz w:val="21"/>
          <w:szCs w:val="21"/>
          <w:highlight w:val="none"/>
          <w:lang w:eastAsia="zh-CN"/>
        </w:rPr>
        <w:t>月</w:t>
      </w:r>
      <w:r>
        <w:rPr>
          <w:rFonts w:hint="eastAsia" w:eastAsia="宋体" w:cs="宋体"/>
          <w:bCs/>
          <w:color w:val="0000FF"/>
          <w:sz w:val="21"/>
          <w:szCs w:val="21"/>
          <w:highlight w:val="none"/>
          <w:lang w:val="en-US" w:eastAsia="zh-CN"/>
        </w:rPr>
        <w:t>18</w:t>
      </w:r>
      <w:r>
        <w:rPr>
          <w:rFonts w:hint="eastAsia" w:eastAsia="宋体" w:cs="宋体"/>
          <w:bCs/>
          <w:color w:val="0000FF"/>
          <w:sz w:val="21"/>
          <w:szCs w:val="21"/>
          <w:highlight w:val="none"/>
          <w:lang w:eastAsia="zh-CN"/>
        </w:rPr>
        <w:t>日</w:t>
      </w:r>
      <w:r>
        <w:rPr>
          <w:rFonts w:hint="eastAsia" w:ascii="宋体" w:hAnsi="宋体" w:eastAsia="宋体" w:cs="宋体"/>
          <w:bCs/>
          <w:color w:val="0000FF"/>
          <w:sz w:val="21"/>
          <w:szCs w:val="21"/>
          <w:highlight w:val="none"/>
          <w:lang w:eastAsia="zh-CN"/>
        </w:rPr>
        <w:t>09时30分</w:t>
      </w:r>
      <w:r>
        <w:rPr>
          <w:rFonts w:hint="eastAsia" w:ascii="宋体" w:hAnsi="宋体" w:eastAsia="宋体" w:cs="宋体"/>
          <w:bCs/>
          <w:color w:val="auto"/>
          <w:sz w:val="21"/>
          <w:szCs w:val="21"/>
          <w:highlight w:val="none"/>
          <w:lang w:eastAsia="zh-CN"/>
        </w:rPr>
        <w:t>（北京时间）前递交</w:t>
      </w:r>
      <w:r>
        <w:rPr>
          <w:rFonts w:hint="eastAsia"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0000FF"/>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0000FF"/>
          <w:sz w:val="21"/>
          <w:szCs w:val="21"/>
          <w:highlight w:val="none"/>
          <w:lang w:eastAsia="zh-CN"/>
        </w:rPr>
        <w:t>罗财公开招标-2023-</w:t>
      </w:r>
      <w:r>
        <w:rPr>
          <w:rFonts w:hint="eastAsia" w:eastAsia="宋体" w:cs="宋体"/>
          <w:bCs/>
          <w:color w:val="0000FF"/>
          <w:sz w:val="21"/>
          <w:szCs w:val="21"/>
          <w:highlight w:val="none"/>
          <w:lang w:val="en-US" w:eastAsia="zh-CN"/>
        </w:rPr>
        <w:t>25</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w:t>
      </w:r>
      <w:r>
        <w:rPr>
          <w:rFonts w:hint="eastAsia" w:eastAsia="宋体" w:cs="宋体"/>
          <w:bCs/>
          <w:color w:val="auto"/>
          <w:sz w:val="21"/>
          <w:szCs w:val="21"/>
          <w:highlight w:val="none"/>
          <w:lang w:val="en-US" w:eastAsia="zh-CN"/>
        </w:rPr>
        <w:t>罗山县公安局2023年度政法转移支付资金公安业务装备采购项目</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3、采购方式：</w:t>
      </w:r>
      <w:r>
        <w:rPr>
          <w:rFonts w:hint="eastAsia" w:eastAsia="宋体" w:cs="宋体"/>
          <w:bCs/>
          <w:color w:val="auto"/>
          <w:sz w:val="21"/>
          <w:szCs w:val="21"/>
          <w:highlight w:val="none"/>
          <w:lang w:eastAsia="zh-CN"/>
        </w:rPr>
        <w:t>公开招标</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约</w:t>
      </w:r>
      <w:r>
        <w:rPr>
          <w:rFonts w:hint="eastAsia" w:eastAsia="宋体" w:cs="宋体"/>
          <w:bCs/>
          <w:color w:val="0000FF"/>
          <w:sz w:val="21"/>
          <w:szCs w:val="21"/>
          <w:highlight w:val="none"/>
          <w:lang w:val="en-US" w:eastAsia="zh-CN"/>
        </w:rPr>
        <w:t>360.516154万元，</w:t>
      </w:r>
      <w:r>
        <w:rPr>
          <w:rFonts w:hint="eastAsia" w:ascii="宋体" w:hAnsi="宋体" w:eastAsia="宋体" w:cs="宋体"/>
          <w:color w:val="0000FF"/>
          <w:sz w:val="21"/>
          <w:szCs w:val="21"/>
          <w:highlight w:val="none"/>
        </w:rPr>
        <w:t>最高限价</w:t>
      </w:r>
      <w:r>
        <w:rPr>
          <w:rFonts w:hint="eastAsia" w:ascii="宋体" w:hAnsi="宋体" w:eastAsia="宋体" w:cs="宋体"/>
          <w:color w:val="0000FF"/>
          <w:sz w:val="21"/>
          <w:szCs w:val="21"/>
          <w:highlight w:val="none"/>
          <w:lang w:eastAsia="zh-CN"/>
        </w:rPr>
        <w:t>：</w:t>
      </w:r>
      <w:r>
        <w:rPr>
          <w:rFonts w:hint="eastAsia" w:eastAsia="宋体" w:cs="宋体"/>
          <w:bCs/>
          <w:color w:val="0000FF"/>
          <w:sz w:val="21"/>
          <w:szCs w:val="21"/>
          <w:highlight w:val="none"/>
          <w:lang w:val="en-US" w:eastAsia="zh-CN"/>
        </w:rPr>
        <w:t>3605161.54元</w:t>
      </w:r>
    </w:p>
    <w:tbl>
      <w:tblPr>
        <w:tblStyle w:val="2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225"/>
        <w:gridCol w:w="3085"/>
        <w:gridCol w:w="135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序号</w:t>
            </w:r>
          </w:p>
        </w:tc>
        <w:tc>
          <w:tcPr>
            <w:tcW w:w="222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包号</w:t>
            </w:r>
          </w:p>
        </w:tc>
        <w:tc>
          <w:tcPr>
            <w:tcW w:w="308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包名称</w:t>
            </w:r>
          </w:p>
        </w:tc>
        <w:tc>
          <w:tcPr>
            <w:tcW w:w="1353"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包预算（元）</w:t>
            </w:r>
          </w:p>
        </w:tc>
        <w:tc>
          <w:tcPr>
            <w:tcW w:w="201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1</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w:t>
            </w:r>
          </w:p>
          <w:p>
            <w:pPr>
              <w:widowControl/>
              <w:spacing w:line="276" w:lineRule="auto"/>
              <w:ind w:left="0" w:leftChars="0" w:firstLine="0" w:firstLineChars="0"/>
              <w:jc w:val="center"/>
              <w:rPr>
                <w:rFonts w:hint="default" w:ascii="宋体" w:hAnsi="宋体" w:eastAsia="宋体" w:cs="宋体"/>
                <w:bCs/>
                <w:color w:val="0000FF"/>
                <w:szCs w:val="21"/>
                <w:lang w:val="en-US" w:eastAsia="zh-CN"/>
              </w:rPr>
            </w:pPr>
            <w:r>
              <w:rPr>
                <w:rFonts w:hint="eastAsia" w:ascii="宋体" w:hAnsi="宋体" w:eastAsia="宋体" w:cs="宋体"/>
                <w:bCs/>
                <w:color w:val="0000FF"/>
                <w:szCs w:val="21"/>
                <w:lang w:eastAsia="zh-CN"/>
              </w:rPr>
              <w:t>-2023-</w:t>
            </w:r>
            <w:r>
              <w:rPr>
                <w:rFonts w:hint="eastAsia" w:ascii="宋体" w:hAnsi="宋体" w:eastAsia="宋体" w:cs="宋体"/>
                <w:bCs/>
                <w:color w:val="0000FF"/>
                <w:szCs w:val="21"/>
                <w:lang w:val="en-US" w:eastAsia="zh-CN"/>
              </w:rPr>
              <w:t>25-1</w:t>
            </w:r>
          </w:p>
        </w:tc>
        <w:tc>
          <w:tcPr>
            <w:tcW w:w="3085" w:type="dxa"/>
            <w:noWrap w:val="0"/>
            <w:vAlign w:val="center"/>
          </w:tcPr>
          <w:p>
            <w:pPr>
              <w:widowControl/>
              <w:spacing w:line="276" w:lineRule="auto"/>
              <w:ind w:left="0" w:leftChars="0" w:firstLine="0" w:firstLineChars="0"/>
              <w:jc w:val="center"/>
              <w:rPr>
                <w:rFonts w:hint="default" w:ascii="宋体" w:hAnsi="宋体" w:cs="宋体"/>
                <w:bCs/>
                <w:color w:val="auto"/>
                <w:szCs w:val="21"/>
                <w:lang w:val="en-US"/>
              </w:rPr>
            </w:pPr>
            <w:r>
              <w:rPr>
                <w:rFonts w:hint="eastAsia" w:eastAsia="宋体" w:cs="宋体"/>
                <w:bCs/>
                <w:color w:val="auto"/>
                <w:sz w:val="21"/>
                <w:szCs w:val="21"/>
                <w:highlight w:val="none"/>
                <w:lang w:val="en-US" w:eastAsia="zh-CN"/>
              </w:rPr>
              <w:t>罗山县公安局2023年度政法转移支付资金公安业务装备采购项目一包段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1201758.31</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1201758.31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2</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25-2</w:t>
            </w:r>
          </w:p>
        </w:tc>
        <w:tc>
          <w:tcPr>
            <w:tcW w:w="3085" w:type="dxa"/>
            <w:noWrap w:val="0"/>
            <w:vAlign w:val="center"/>
          </w:tcPr>
          <w:p>
            <w:pPr>
              <w:widowControl/>
              <w:spacing w:line="276" w:lineRule="auto"/>
              <w:ind w:left="0" w:leftChars="0" w:firstLine="0" w:firstLineChars="0"/>
              <w:jc w:val="center"/>
              <w:rPr>
                <w:rFonts w:hint="default"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罗山县公安局2023年度政法转移支付资金公安业务装备采购项目二包段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990899.38</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990899.38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3</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25-3</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罗山县公安局2023年度政法转移支付资金公安业务装备采购项目三包段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452503.85</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452503.85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4</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25-4</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罗山县公安局2023年度政法转移支付资金公安业务装备采购项目四包段</w:t>
            </w:r>
          </w:p>
        </w:tc>
        <w:tc>
          <w:tcPr>
            <w:tcW w:w="1353"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c>
          <w:tcPr>
            <w:tcW w:w="2015"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r>
    </w:tbl>
    <w:p>
      <w:pPr>
        <w:pStyle w:val="24"/>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rPr>
        <w:t>采购需求（包括但不限于标的的名称、数量、简要技术需求或服务要求等）</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5.1采购内容：</w:t>
      </w:r>
      <w:r>
        <w:rPr>
          <w:rFonts w:hint="eastAsia" w:eastAsia="宋体" w:cs="宋体"/>
          <w:bCs/>
          <w:color w:val="auto"/>
          <w:sz w:val="21"/>
          <w:szCs w:val="21"/>
          <w:highlight w:val="none"/>
          <w:lang w:val="en-US" w:eastAsia="zh-CN"/>
        </w:rPr>
        <w:t>罗山县公安局2023年度政法转移支付资金公安业务装备采购项目</w:t>
      </w:r>
      <w:r>
        <w:rPr>
          <w:rFonts w:hint="eastAsia" w:ascii="宋体" w:hAnsi="宋体" w:eastAsia="宋体" w:cs="宋体"/>
          <w:color w:val="auto"/>
          <w:sz w:val="21"/>
          <w:szCs w:val="21"/>
          <w:highlight w:val="none"/>
          <w:lang w:val="en-US" w:eastAsia="zh-CN"/>
        </w:rPr>
        <w:t>（具体详见招标文件）。</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5.2资金来源：财政资金；</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5.3交货期：签订合同后30日历天内供货、安装、调试完毕；</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5.4质保期：自验收合格之日起1年；</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5.5质量要求：符合国家现行规范及行业要求，并满足采购人要求；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5.6交货地点：采购人指定地点。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6.合同履行期限：签订合同后30日历天内；</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7、本项目是否接受联合体投标：不接受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9.是否为只面向中小企业采购：否</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本项目非专门面向中小企业采购【该项目符合《政府采购促进中小企业发展管理办法》（财库【2020】46号）第六条第3款之规定：按照本办法规定预留采购份额无法确保充分供应、充分竞争，或者存在可能影响政府采购目标实现的情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2.2本项目落实节约能源、保护环境、扶持不发达地区和少数民族地区、促进中小微企业、监狱企业及残疾人福利性单位发展等政府采购政策。</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3、其他说明：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 本项目 适用 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①具有独立承担民事责任的能力（提供有效的企业营业执照或事业单位法人证书）；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②有良好的商业信誉和健全的财务会计制度（提供2021年度或2022年度的财务审计报告，或提供开户行出具的资信证明）；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③具有履行合同所必须的设备和专业技术能力（提供承诺书）；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具有依法缴纳税收和社会保障资金的良好记录【提供2023年内任意1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⑥未被列入失信被执行人、重大税收违法失信主体、政府采购严重违法失信行为记录名单的证明材料。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3"/>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highlight w:val="none"/>
          <w:lang w:val="en-US" w:eastAsia="zh-CN"/>
        </w:rPr>
        <w:t>1.时间：</w:t>
      </w:r>
      <w:r>
        <w:rPr>
          <w:rFonts w:hint="eastAsia" w:ascii="宋体" w:hAnsi="宋体" w:eastAsia="宋体" w:cs="宋体"/>
          <w:b w:val="0"/>
          <w:bCs w:val="0"/>
          <w:color w:val="0000FF"/>
          <w:spacing w:val="8"/>
          <w:sz w:val="21"/>
          <w:szCs w:val="21"/>
          <w:highlight w:val="none"/>
          <w:lang w:val="en-US" w:eastAsia="zh-CN"/>
        </w:rPr>
        <w:t>2023年9月25日 至 2023年10月7日，</w:t>
      </w:r>
      <w:r>
        <w:rPr>
          <w:rFonts w:hint="eastAsia" w:ascii="宋体" w:hAnsi="宋体" w:eastAsia="宋体" w:cs="宋体"/>
          <w:b w:val="0"/>
          <w:bCs w:val="0"/>
          <w:color w:val="auto"/>
          <w:spacing w:val="8"/>
          <w:sz w:val="21"/>
          <w:szCs w:val="21"/>
          <w:highlight w:val="none"/>
          <w:lang w:val="en-US" w:eastAsia="zh-CN"/>
        </w:rPr>
        <w:t>每天上午0</w:t>
      </w:r>
      <w:r>
        <w:rPr>
          <w:rFonts w:hint="eastAsia" w:ascii="宋体" w:hAnsi="宋体" w:eastAsia="宋体" w:cs="宋体"/>
          <w:b w:val="0"/>
          <w:bCs w:val="0"/>
          <w:color w:val="auto"/>
          <w:spacing w:val="8"/>
          <w:sz w:val="21"/>
          <w:szCs w:val="21"/>
          <w:lang w:val="en-US" w:eastAsia="zh-CN"/>
        </w:rPr>
        <w:t>0:00至12:00，下午12:00至23:59（北京时间，法定节假日除外。）</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2.地点：“全国公共资源交易平台（河南省·信阳市）（https://ggzyjy.xinyang.gov.cn）”或“全国公共资源交易平台（河南省·罗山县））（https://ls.xyggzyjy.cn）”网站，凭办理的企业身份认证锁（CA数字证书）登陆会员系统。</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3.方式：供应商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文件领取页面下载）。</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4.售价：0元</w:t>
      </w:r>
    </w:p>
    <w:p>
      <w:pPr>
        <w:pStyle w:val="25"/>
        <w:keepNext w:val="0"/>
        <w:keepLines w:val="0"/>
        <w:pageBreakBefore w:val="0"/>
        <w:kinsoku/>
        <w:overflowPunct/>
        <w:topLinePunct w:val="0"/>
        <w:autoSpaceDE/>
        <w:autoSpaceDN/>
        <w:bidi w:val="0"/>
        <w:snapToGrid w:val="0"/>
        <w:spacing w:after="0" w:afterLines="0" w:line="360" w:lineRule="auto"/>
        <w:ind w:firstLine="454" w:firstLineChars="200"/>
        <w:textAlignment w:val="auto"/>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四、投标文件提交：</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1.截止时间：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 xml:space="preserve">10 </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 xml:space="preserve"> 18 </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2.地点：本项目为不见面开标项目，供应商必须在</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文件提交截止时间前通过信阳市公共资源交易中心电子招投标系统上传加密的电子</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文件(*.XYTF格式)。注：加密电子响应文件逾期上传采购人不予受理。</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五、</w:t>
      </w:r>
      <w:r>
        <w:rPr>
          <w:rFonts w:hint="eastAsia" w:ascii="宋体" w:hAnsi="宋体" w:cs="宋体"/>
          <w:b/>
          <w:bCs/>
          <w:color w:val="auto"/>
          <w:kern w:val="0"/>
          <w:szCs w:val="21"/>
          <w:lang w:eastAsia="zh-CN"/>
        </w:rPr>
        <w:t>投标文件</w:t>
      </w:r>
      <w:r>
        <w:rPr>
          <w:rFonts w:hint="eastAsia" w:ascii="宋体" w:hAnsi="宋体" w:cs="宋体"/>
          <w:b/>
          <w:bCs/>
          <w:color w:val="auto"/>
          <w:kern w:val="0"/>
          <w:szCs w:val="21"/>
        </w:rPr>
        <w:t>开启：</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 xml:space="preserve"> 10 </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 xml:space="preserve">  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2.地点：罗山县公共资源交易中心不见面开标一室</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六、发布公告的媒介及招标公告期限：</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本次招标公告在《河南省政府采购网》、《全国公共资源交易平台（河南省·罗山县）》网上发布</w:t>
      </w:r>
      <w:r>
        <w:rPr>
          <w:rFonts w:hint="eastAsia" w:ascii="宋体" w:hAnsi="宋体" w:cs="宋体"/>
          <w:color w:val="auto"/>
          <w:kern w:val="0"/>
          <w:szCs w:val="21"/>
          <w:lang w:eastAsia="zh-CN"/>
        </w:rPr>
        <w:t>，招标公告期限为五个工作日</w:t>
      </w:r>
      <w:r>
        <w:rPr>
          <w:rFonts w:hint="eastAsia" w:ascii="宋体" w:hAnsi="宋体" w:cs="宋体"/>
          <w:color w:val="auto"/>
          <w:kern w:val="0"/>
          <w:szCs w:val="21"/>
        </w:rPr>
        <w:t>。</w:t>
      </w:r>
    </w:p>
    <w:p>
      <w:pPr>
        <w:pStyle w:val="15"/>
        <w:keepNext w:val="0"/>
        <w:keepLines w:val="0"/>
        <w:pageBreakBefore w:val="0"/>
        <w:kinsoku/>
        <w:overflowPunct/>
        <w:topLinePunct w:val="0"/>
        <w:autoSpaceDE/>
        <w:autoSpaceDN/>
        <w:bidi w:val="0"/>
        <w:snapToGrid w:val="0"/>
        <w:spacing w:after="0" w:afterLines="0"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七、其他补充事宜：</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本项目采用“不见面开标”交易方式，不见面开标大厅网址为https://ggzyjy.xinyang.gov.cn/BidOpening/bidhall/xinyang/login.html，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特别提示：供应商在线签到时，应如实准确的填写授权委托人的联系电话，开标当天请务必保证电话保持畅通。</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rPr>
      </w:pPr>
      <w:r>
        <w:rPr>
          <w:rFonts w:hint="eastAsia" w:ascii="宋体" w:hAnsi="宋体" w:cs="宋体"/>
          <w:color w:val="auto"/>
          <w:kern w:val="0"/>
          <w:szCs w:val="21"/>
        </w:rPr>
        <w:t>由于交易中心系统升级，请各投标单位在新系统中重新入库，再下载招标文件。</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1.采购人信息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名称：罗山县公安局</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联系方式：13598567569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2.采购代理机构信息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    称：中睿项目管理有限公司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  址：郑州市管城回族区航海东路869号美林河畔1号楼26层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3.项目联系方式 </w:t>
      </w:r>
    </w:p>
    <w:bookmarkEnd w:id="7"/>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bookmarkStart w:id="11" w:name="_Toc30742"/>
      <w:bookmarkStart w:id="12" w:name="_Toc8890"/>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4.监督部门信息：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监督单位：罗山县财政局政府采购股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监督电话：0376-2175979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采购人监督单位：</w:t>
      </w:r>
      <w:r>
        <w:rPr>
          <w:rFonts w:hint="eastAsia" w:ascii="宋体" w:hAnsi="宋体" w:eastAsia="宋体" w:cs="宋体"/>
          <w:color w:val="000000"/>
          <w:szCs w:val="21"/>
        </w:rPr>
        <w:t>驻县公安局纪检监察组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监督电话：</w:t>
      </w:r>
      <w:r>
        <w:rPr>
          <w:rFonts w:hint="eastAsia" w:ascii="宋体" w:hAnsi="宋体" w:eastAsia="宋体" w:cs="宋体"/>
          <w:color w:val="000000"/>
          <w:szCs w:val="21"/>
        </w:rPr>
        <w:t>0376-2175068</w:t>
      </w:r>
    </w:p>
    <w:p>
      <w:pPr>
        <w:rPr>
          <w:rFonts w:hint="eastAsia" w:ascii="宋体" w:hAnsi="宋体" w:cs="宋体"/>
          <w:b/>
          <w:bCs w:val="0"/>
          <w:color w:val="auto"/>
          <w:sz w:val="32"/>
        </w:rPr>
      </w:pPr>
      <w:r>
        <w:rPr>
          <w:rFonts w:hint="eastAsia" w:ascii="宋体" w:hAnsi="宋体" w:cs="宋体"/>
          <w:b/>
          <w:bCs w:val="0"/>
          <w:color w:val="auto"/>
          <w:sz w:val="32"/>
        </w:rPr>
        <w:br w:type="page"/>
      </w:r>
    </w:p>
    <w:p>
      <w:pPr>
        <w:keepNext w:val="0"/>
        <w:keepLines w:val="0"/>
        <w:pageBreakBefore w:val="0"/>
        <w:widowControl/>
        <w:kinsoku/>
        <w:wordWrap/>
        <w:overflowPunct/>
        <w:topLinePunct w:val="0"/>
        <w:autoSpaceDE/>
        <w:autoSpaceDN/>
        <w:bidi w:val="0"/>
        <w:adjustRightInd/>
        <w:snapToGrid w:val="0"/>
        <w:spacing w:before="220" w:line="360" w:lineRule="auto"/>
        <w:ind w:left="0" w:leftChars="0" w:firstLine="0" w:firstLineChars="0"/>
        <w:jc w:val="center"/>
        <w:textAlignment w:val="auto"/>
        <w:outlineLvl w:val="0"/>
        <w:rPr>
          <w:rFonts w:hint="eastAsia" w:ascii="宋体" w:hAnsi="宋体" w:cs="宋体"/>
          <w:b/>
          <w:bCs w:val="0"/>
          <w:color w:val="auto"/>
          <w:sz w:val="32"/>
        </w:rPr>
      </w:pPr>
      <w:r>
        <w:rPr>
          <w:rFonts w:hint="eastAsia" w:ascii="宋体" w:hAnsi="宋体" w:cs="宋体"/>
          <w:b/>
          <w:bCs w:val="0"/>
          <w:color w:val="auto"/>
          <w:sz w:val="32"/>
        </w:rPr>
        <w:t>第二章 供应商须知</w:t>
      </w:r>
      <w:bookmarkEnd w:id="8"/>
      <w:bookmarkEnd w:id="9"/>
      <w:bookmarkEnd w:id="10"/>
      <w:bookmarkEnd w:id="11"/>
      <w:bookmarkEnd w:id="12"/>
    </w:p>
    <w:p>
      <w:pPr>
        <w:pStyle w:val="46"/>
        <w:ind w:left="0" w:leftChars="0" w:firstLine="0" w:firstLineChars="0"/>
        <w:jc w:val="center"/>
        <w:rPr>
          <w:rFonts w:hint="eastAsia" w:ascii="宋体" w:hAnsi="宋体" w:eastAsia="宋体"/>
          <w:b/>
          <w:bCs/>
          <w:color w:val="auto"/>
        </w:rPr>
      </w:pPr>
      <w:bookmarkStart w:id="13" w:name="_Toc471"/>
      <w:bookmarkStart w:id="14" w:name="_Toc466298090"/>
      <w:bookmarkStart w:id="15" w:name="_Toc455080107"/>
      <w:bookmarkStart w:id="16" w:name="_Toc152042304"/>
      <w:bookmarkStart w:id="17" w:name="_Toc144974496"/>
      <w:bookmarkStart w:id="18" w:name="_Toc27072"/>
      <w:bookmarkStart w:id="19" w:name="_Toc21641"/>
      <w:bookmarkStart w:id="20" w:name="_Toc152045528"/>
      <w:r>
        <w:rPr>
          <w:rFonts w:hint="eastAsia" w:ascii="宋体" w:hAnsi="宋体" w:eastAsia="宋体"/>
          <w:b/>
          <w:bCs/>
          <w:color w:val="auto"/>
        </w:rPr>
        <w:t>供应商须知前附表</w:t>
      </w:r>
      <w:bookmarkEnd w:id="13"/>
      <w:bookmarkEnd w:id="14"/>
      <w:bookmarkEnd w:id="15"/>
      <w:bookmarkEnd w:id="16"/>
      <w:bookmarkEnd w:id="17"/>
      <w:bookmarkEnd w:id="18"/>
      <w:bookmarkEnd w:id="19"/>
      <w:bookmarkEnd w:id="20"/>
    </w:p>
    <w:tbl>
      <w:tblPr>
        <w:tblStyle w:val="27"/>
        <w:tblW w:w="9256" w:type="dxa"/>
        <w:jc w:val="center"/>
        <w:tblLayout w:type="autofit"/>
        <w:tblCellMar>
          <w:top w:w="0" w:type="dxa"/>
          <w:left w:w="108" w:type="dxa"/>
          <w:bottom w:w="0" w:type="dxa"/>
          <w:right w:w="108" w:type="dxa"/>
        </w:tblCellMar>
      </w:tblPr>
      <w:tblGrid>
        <w:gridCol w:w="901"/>
        <w:gridCol w:w="2242"/>
        <w:gridCol w:w="6113"/>
      </w:tblGrid>
      <w:tr>
        <w:tblPrEx>
          <w:tblCellMar>
            <w:top w:w="0" w:type="dxa"/>
            <w:left w:w="108" w:type="dxa"/>
            <w:bottom w:w="0" w:type="dxa"/>
            <w:right w:w="108" w:type="dxa"/>
          </w:tblCellMar>
        </w:tblPrEx>
        <w:trPr>
          <w:trHeight w:val="49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left="0" w:leftChars="0" w:firstLine="0" w:firstLineChars="0"/>
              <w:jc w:val="center"/>
              <w:textAlignment w:val="baseline"/>
              <w:rPr>
                <w:rFonts w:hint="eastAsia"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条</w:t>
            </w:r>
            <w:r>
              <w:rPr>
                <w:rFonts w:hint="eastAsia" w:asciiTheme="minorEastAsia" w:hAnsiTheme="minorEastAsia" w:eastAsiaTheme="minorEastAsia" w:cstheme="minorEastAsia"/>
                <w:color w:val="auto"/>
                <w:sz w:val="21"/>
                <w:szCs w:val="21"/>
              </w:rPr>
              <w:t>款号</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  列  内  容</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名称：</w:t>
            </w:r>
            <w:r>
              <w:rPr>
                <w:rFonts w:hint="eastAsia" w:asciiTheme="minorEastAsia" w:hAnsiTheme="minorEastAsia" w:cstheme="minorEastAsia"/>
                <w:color w:val="auto"/>
                <w:sz w:val="21"/>
                <w:szCs w:val="21"/>
                <w:lang w:val="en-US" w:eastAsia="zh-CN"/>
              </w:rPr>
              <w:t>罗山县公安局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联系方式：13598567569</w:t>
            </w:r>
          </w:p>
        </w:tc>
      </w:tr>
      <w:tr>
        <w:tblPrEx>
          <w:tblCellMar>
            <w:top w:w="0" w:type="dxa"/>
            <w:left w:w="108" w:type="dxa"/>
            <w:bottom w:w="0" w:type="dxa"/>
            <w:right w:w="108" w:type="dxa"/>
          </w:tblCellMar>
        </w:tblPrEx>
        <w:trPr>
          <w:trHeight w:val="9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采购代理机构</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称：中睿项目管理有限公司</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址：郑州市管城回族区航海东路869号美林河畔1号楼26层</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联系人：李先生             </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联系方式 ：18638782001</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Cs/>
                <w:color w:val="auto"/>
                <w:sz w:val="21"/>
                <w:szCs w:val="21"/>
                <w:lang w:val="en-US" w:eastAsia="zh-CN"/>
              </w:rPr>
              <w:t>罗山县公安局2023年度政法转移支付资金公安业务装备采购项目一包段</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35" w:rightChars="0" w:firstLine="0" w:firstLineChars="0"/>
              <w:jc w:val="center"/>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eastAsia="zh-CN"/>
              </w:rPr>
              <w:t>采购</w:t>
            </w:r>
            <w:r>
              <w:rPr>
                <w:rFonts w:hint="eastAsia" w:asciiTheme="minorEastAsia" w:hAnsiTheme="minorEastAsia" w:eastAsiaTheme="minorEastAsia" w:cstheme="minorEastAsia"/>
                <w:color w:val="auto"/>
                <w:spacing w:val="1"/>
                <w:kern w:val="0"/>
                <w:sz w:val="21"/>
                <w:szCs w:val="21"/>
              </w:rPr>
              <w:t>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val="en-US" w:eastAsia="zh-CN" w:bidi="ar-SA"/>
              </w:rPr>
              <w:t>公开招标</w:t>
            </w:r>
          </w:p>
        </w:tc>
      </w:tr>
      <w:tr>
        <w:tblPrEx>
          <w:tblCellMar>
            <w:top w:w="0" w:type="dxa"/>
            <w:left w:w="108" w:type="dxa"/>
            <w:bottom w:w="0" w:type="dxa"/>
            <w:right w:w="108" w:type="dxa"/>
          </w:tblCellMar>
        </w:tblPrEx>
        <w:trPr>
          <w:trHeight w:val="72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eastAsia="zh-CN"/>
              </w:rPr>
              <w:t>预算价（</w:t>
            </w:r>
            <w:r>
              <w:rPr>
                <w:rFonts w:hint="eastAsia" w:asciiTheme="minorEastAsia" w:hAnsiTheme="minorEastAsia" w:eastAsiaTheme="minorEastAsia" w:cstheme="minorEastAsia"/>
                <w:b w:val="0"/>
                <w:bCs w:val="0"/>
                <w:color w:val="auto"/>
                <w:sz w:val="21"/>
                <w:szCs w:val="21"/>
                <w:lang w:val="en-US" w:eastAsia="zh-CN"/>
              </w:rPr>
              <w:t>最高限价</w:t>
            </w:r>
            <w:r>
              <w:rPr>
                <w:rFonts w:hint="eastAsia" w:asciiTheme="minorEastAsia" w:hAnsiTheme="minorEastAsia" w:eastAsiaTheme="minorEastAsia" w:cstheme="minorEastAsia"/>
                <w:b w:val="0"/>
                <w:bCs w:val="0"/>
                <w:color w:val="auto"/>
                <w:kern w:val="0"/>
                <w:sz w:val="21"/>
                <w:szCs w:val="21"/>
                <w:lang w:eastAsia="zh-CN"/>
              </w:rPr>
              <w:t>）</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w:t>
            </w:r>
            <w:r>
              <w:rPr>
                <w:rFonts w:hint="eastAsia" w:ascii="宋体" w:hAnsi="宋体" w:cs="宋体"/>
                <w:bCs/>
                <w:color w:val="auto"/>
                <w:szCs w:val="21"/>
                <w:lang w:val="en-US" w:eastAsia="zh-CN"/>
              </w:rPr>
              <w:t>960000.00</w:t>
            </w:r>
            <w:r>
              <w:rPr>
                <w:rFonts w:hint="eastAsia" w:asciiTheme="minorEastAsia" w:hAnsiTheme="minorEastAsia" w:eastAsiaTheme="minorEastAsia" w:cstheme="minorEastAsia"/>
                <w:b w:val="0"/>
                <w:bCs w:val="0"/>
                <w:color w:val="auto"/>
                <w:kern w:val="0"/>
                <w:sz w:val="21"/>
                <w:szCs w:val="21"/>
                <w:lang w:val="en-US" w:eastAsia="zh-CN"/>
              </w:rPr>
              <w:t xml:space="preserve">元   </w:t>
            </w:r>
            <w:r>
              <w:rPr>
                <w:rFonts w:hint="eastAsia" w:asciiTheme="minorEastAsia" w:hAnsiTheme="minorEastAsia" w:cstheme="minorEastAsia"/>
                <w:b w:val="0"/>
                <w:bCs w:val="0"/>
                <w:color w:val="auto"/>
                <w:kern w:val="0"/>
                <w:sz w:val="21"/>
                <w:szCs w:val="21"/>
                <w:lang w:val="en-US" w:eastAsia="zh-CN"/>
              </w:rPr>
              <w:t xml:space="preserve"> </w:t>
            </w:r>
          </w:p>
          <w:p>
            <w:pPr>
              <w:pStyle w:val="47"/>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报价超过</w:t>
            </w: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按无效</w:t>
            </w:r>
            <w:r>
              <w:rPr>
                <w:rFonts w:hint="eastAsia" w:asciiTheme="minorEastAsia" w:hAnsiTheme="minorEastAsia" w:eastAsiaTheme="minorEastAsia" w:cstheme="minorEastAsia"/>
                <w:b w:val="0"/>
                <w:bCs w:val="0"/>
                <w:color w:val="auto"/>
                <w:kern w:val="0"/>
                <w:sz w:val="21"/>
                <w:szCs w:val="21"/>
                <w:lang w:eastAsia="zh-CN"/>
              </w:rPr>
              <w:t>投标</w:t>
            </w:r>
            <w:r>
              <w:rPr>
                <w:rFonts w:hint="eastAsia" w:asciiTheme="minorEastAsia" w:hAnsiTheme="minorEastAsia" w:eastAsiaTheme="minorEastAsia" w:cstheme="minorEastAsia"/>
                <w:b w:val="0"/>
                <w:bCs w:val="0"/>
                <w:color w:val="auto"/>
                <w:kern w:val="0"/>
                <w:sz w:val="21"/>
                <w:szCs w:val="21"/>
              </w:rPr>
              <w:t>处理</w:t>
            </w:r>
          </w:p>
        </w:tc>
      </w:tr>
      <w:tr>
        <w:tblPrEx>
          <w:tblCellMar>
            <w:top w:w="0" w:type="dxa"/>
            <w:left w:w="108" w:type="dxa"/>
            <w:bottom w:w="0" w:type="dxa"/>
            <w:right w:w="108" w:type="dxa"/>
          </w:tblCellMar>
        </w:tblPrEx>
        <w:trPr>
          <w:trHeight w:val="50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lang w:eastAsia="zh-CN"/>
              </w:rPr>
              <w:t>内容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w:t>
            </w:r>
            <w:r>
              <w:rPr>
                <w:rFonts w:hint="eastAsia" w:asciiTheme="minorEastAsia" w:hAnsiTheme="minorEastAsia" w:cstheme="minorEastAsia"/>
                <w:color w:val="auto"/>
                <w:sz w:val="21"/>
                <w:szCs w:val="21"/>
                <w:highlight w:val="none"/>
                <w:lang w:val="en-US" w:eastAsia="zh-CN"/>
              </w:rPr>
              <w:t>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供货期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签订合同后30日历天内供货、安装、调试完毕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质保期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自验收合格之日起</w:t>
            </w:r>
            <w:r>
              <w:rPr>
                <w:rFonts w:hint="eastAsia" w:ascii="宋体" w:hAnsi="宋体" w:eastAsia="宋体" w:cs="宋体"/>
                <w:color w:val="FF0000"/>
                <w:sz w:val="21"/>
                <w:szCs w:val="21"/>
                <w:highlight w:val="none"/>
                <w:lang w:val="en-US" w:eastAsia="zh-CN"/>
              </w:rPr>
              <w:t>1</w:t>
            </w:r>
            <w:r>
              <w:rPr>
                <w:rFonts w:hint="eastAsia" w:ascii="宋体" w:hAnsi="宋体" w:eastAsia="宋体" w:cs="宋体"/>
                <w:color w:val="auto"/>
                <w:sz w:val="21"/>
                <w:szCs w:val="21"/>
                <w:highlight w:val="none"/>
                <w:lang w:val="en-US" w:eastAsia="zh-CN"/>
              </w:rPr>
              <w:t>年</w:t>
            </w:r>
          </w:p>
        </w:tc>
      </w:tr>
      <w:tr>
        <w:tblPrEx>
          <w:tblCellMar>
            <w:top w:w="0" w:type="dxa"/>
            <w:left w:w="108" w:type="dxa"/>
            <w:bottom w:w="0" w:type="dxa"/>
            <w:right w:w="108" w:type="dxa"/>
          </w:tblCellMar>
        </w:tblPrEx>
        <w:trPr>
          <w:trHeight w:val="501"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eastAsia="宋体" w:cs="宋体"/>
                <w:color w:val="auto"/>
                <w:szCs w:val="21"/>
                <w:lang w:eastAsia="zh-CN"/>
              </w:rPr>
            </w:pPr>
            <w:r>
              <w:rPr>
                <w:rFonts w:hint="eastAsia" w:ascii="宋体" w:hAnsi="宋体" w:cs="宋体"/>
                <w:color w:val="auto"/>
                <w:szCs w:val="21"/>
              </w:rPr>
              <w:t>1.4.</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highlight w:val="none"/>
                <w:lang w:val="en-US" w:eastAsia="zh-CN"/>
              </w:rPr>
              <w:t>符合国家现行规范及行业要求，满足采购人要求</w:t>
            </w:r>
          </w:p>
        </w:tc>
      </w:tr>
      <w:tr>
        <w:tblPrEx>
          <w:tblCellMar>
            <w:top w:w="0" w:type="dxa"/>
            <w:left w:w="108" w:type="dxa"/>
            <w:bottom w:w="0" w:type="dxa"/>
            <w:right w:w="108" w:type="dxa"/>
          </w:tblCellMar>
        </w:tblPrEx>
        <w:trPr>
          <w:trHeight w:val="64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资质条件及能力要求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与招标公告一致</w:t>
            </w:r>
          </w:p>
        </w:tc>
      </w:tr>
      <w:tr>
        <w:tblPrEx>
          <w:tblCellMar>
            <w:top w:w="0" w:type="dxa"/>
            <w:left w:w="108" w:type="dxa"/>
            <w:bottom w:w="0" w:type="dxa"/>
            <w:right w:w="108" w:type="dxa"/>
          </w:tblCellMar>
        </w:tblPrEx>
        <w:trPr>
          <w:trHeight w:val="3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不接受</w:t>
            </w:r>
          </w:p>
        </w:tc>
      </w:tr>
      <w:tr>
        <w:tblPrEx>
          <w:tblCellMar>
            <w:top w:w="0" w:type="dxa"/>
            <w:left w:w="108" w:type="dxa"/>
            <w:bottom w:w="0" w:type="dxa"/>
            <w:right w:w="108" w:type="dxa"/>
          </w:tblCellMar>
        </w:tblPrEx>
        <w:trPr>
          <w:trHeight w:val="58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1.10</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现场踏勘</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自行踏勘</w:t>
            </w:r>
          </w:p>
        </w:tc>
      </w:tr>
      <w:tr>
        <w:tblPrEx>
          <w:tblCellMar>
            <w:top w:w="0" w:type="dxa"/>
            <w:left w:w="108" w:type="dxa"/>
            <w:bottom w:w="0" w:type="dxa"/>
            <w:right w:w="108" w:type="dxa"/>
          </w:tblCellMar>
        </w:tblPrEx>
        <w:trPr>
          <w:trHeight w:val="56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分包</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64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招标文件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外，采购人在</w:t>
            </w:r>
            <w:r>
              <w:rPr>
                <w:rFonts w:hint="eastAsia" w:asciiTheme="minorEastAsia" w:hAnsiTheme="minorEastAsia" w:eastAsiaTheme="minorEastAsia" w:cstheme="minorEastAsia"/>
                <w:color w:val="auto"/>
                <w:sz w:val="21"/>
                <w:szCs w:val="21"/>
                <w:lang w:eastAsia="zh-CN"/>
              </w:rPr>
              <w:t>招标</w:t>
            </w:r>
            <w:r>
              <w:rPr>
                <w:rFonts w:hint="eastAsia" w:asciiTheme="minorEastAsia" w:hAnsiTheme="minorEastAsia" w:eastAsiaTheme="minorEastAsia" w:cstheme="minorEastAsia"/>
                <w:color w:val="auto"/>
                <w:sz w:val="21"/>
                <w:szCs w:val="21"/>
              </w:rPr>
              <w:t>期间发出的澄清、修改、补充、补遗和其它有效正式函件等内容均是</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的组成部分</w:t>
            </w:r>
          </w:p>
        </w:tc>
      </w:tr>
      <w:tr>
        <w:tblPrEx>
          <w:tblCellMar>
            <w:top w:w="0" w:type="dxa"/>
            <w:left w:w="108" w:type="dxa"/>
            <w:bottom w:w="0" w:type="dxa"/>
            <w:right w:w="108" w:type="dxa"/>
          </w:tblCellMar>
        </w:tblPrEx>
        <w:trPr>
          <w:trHeight w:val="7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采购人澄清</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递交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截止之日</w:t>
            </w:r>
            <w:r>
              <w:rPr>
                <w:rFonts w:hint="eastAsia" w:asciiTheme="minorEastAsia" w:hAnsiTheme="minorEastAsia" w:eastAsiaTheme="minorEastAsia" w:cstheme="minorEastAsia"/>
                <w:i w:val="0"/>
                <w:iCs w:val="0"/>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rPr>
              <w:t>5</w:t>
            </w:r>
            <w:r>
              <w:rPr>
                <w:rFonts w:hint="eastAsia" w:asciiTheme="minorEastAsia" w:hAnsiTheme="minorEastAsia" w:eastAsiaTheme="minorEastAsia" w:cstheme="minorEastAsia"/>
                <w:color w:val="auto"/>
                <w:sz w:val="21"/>
                <w:szCs w:val="21"/>
              </w:rPr>
              <w:t>天前</w:t>
            </w:r>
          </w:p>
        </w:tc>
      </w:tr>
      <w:tr>
        <w:tblPrEx>
          <w:tblCellMar>
            <w:top w:w="0" w:type="dxa"/>
            <w:left w:w="108" w:type="dxa"/>
            <w:bottom w:w="0" w:type="dxa"/>
            <w:right w:w="108" w:type="dxa"/>
          </w:tblCellMar>
        </w:tblPrEx>
        <w:trPr>
          <w:trHeight w:val="9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2.3</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澄清的时间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在收到相应澄清文件后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修改的时间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在收到相应修改文件后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供应商认为需要提交的其他证明材料</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cs="宋体" w:eastAsiaTheme="minorEastAsia"/>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投标有效期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60日历天</w:t>
            </w:r>
          </w:p>
        </w:tc>
      </w:tr>
      <w:tr>
        <w:tblPrEx>
          <w:tblCellMar>
            <w:top w:w="0" w:type="dxa"/>
            <w:left w:w="108" w:type="dxa"/>
            <w:bottom w:w="0" w:type="dxa"/>
            <w:right w:w="108" w:type="dxa"/>
          </w:tblCellMar>
        </w:tblPrEx>
        <w:trPr>
          <w:trHeight w:val="55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textAlignment w:val="center"/>
              <w:rPr>
                <w:rFonts w:hint="eastAsia" w:ascii="宋体" w:hAnsi="宋体"/>
                <w:color w:val="auto"/>
                <w:kern w:val="2"/>
                <w:sz w:val="21"/>
                <w:szCs w:val="21"/>
                <w:lang w:val="en-US" w:eastAsia="zh-CN" w:bidi="ar-SA"/>
              </w:rPr>
            </w:pPr>
            <w:r>
              <w:rPr>
                <w:rFonts w:hint="eastAsia" w:ascii="宋体" w:hAnsi="宋体"/>
                <w:color w:val="auto"/>
                <w:szCs w:val="21"/>
              </w:rPr>
              <w:t>3.3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报价方式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自主报价</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是否允许递交备选</w:t>
            </w:r>
            <w:r>
              <w:rPr>
                <w:rFonts w:hint="eastAsia" w:asciiTheme="minorEastAsia" w:hAnsiTheme="minorEastAsia" w:eastAsiaTheme="minorEastAsia" w:cstheme="minorEastAsia"/>
                <w:color w:val="auto"/>
                <w:sz w:val="21"/>
                <w:szCs w:val="21"/>
                <w:lang w:eastAsia="zh-CN"/>
              </w:rPr>
              <w:t>投标方案</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16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签字盖章要求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（1）所有要求供应商加盖公章的地方都须加盖供应商的 CA 印章。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8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cs="宋体" w:eastAsiaTheme="minorEastAsia"/>
                <w:bCs/>
                <w:color w:val="auto"/>
                <w:szCs w:val="21"/>
                <w:lang w:eastAsia="zh-CN"/>
              </w:rPr>
            </w:pPr>
            <w:r>
              <w:rPr>
                <w:rFonts w:hint="eastAsia" w:ascii="宋体" w:hAnsi="宋体" w:cs="宋体"/>
                <w:bCs/>
                <w:color w:val="auto"/>
                <w:szCs w:val="21"/>
              </w:rPr>
              <w:t>3.</w:t>
            </w:r>
            <w:r>
              <w:rPr>
                <w:rFonts w:hint="eastAsia" w:ascii="宋体" w:hAnsi="宋体" w:cs="宋体"/>
                <w:bCs/>
                <w:color w:val="auto"/>
                <w:szCs w:val="21"/>
                <w:lang w:val="en-US" w:eastAsia="zh-CN"/>
              </w:rPr>
              <w:t>6</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份数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加密的电子</w:t>
            </w: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壹份（*.XYTF 格式，在会员系统指定位置上传）</w:t>
            </w:r>
          </w:p>
        </w:tc>
      </w:tr>
      <w:tr>
        <w:tblPrEx>
          <w:tblCellMar>
            <w:top w:w="0" w:type="dxa"/>
            <w:left w:w="108" w:type="dxa"/>
            <w:bottom w:w="0" w:type="dxa"/>
            <w:right w:w="108" w:type="dxa"/>
          </w:tblCellMar>
        </w:tblPrEx>
        <w:trPr>
          <w:trHeight w:val="6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的递交</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1、电子投标文件的递交</w:t>
            </w:r>
          </w:p>
          <w:p>
            <w:pPr>
              <w:keepNext w:val="0"/>
              <w:keepLines w:val="0"/>
              <w:pageBreakBefore w:val="0"/>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各供应商应在投标文件提交截止时间前上传加密的电子投标文件（*.XYTF）到会员系统的指定位置。上传时必须得到交易系统“上传成功”的确认回复后方为上传成功。请供应商在上传前务必认真检查上传投标文件是否完整、正确。</w:t>
            </w:r>
          </w:p>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2、本项目采用“不见面开标”交易方式，不见面开标大厅网址为 </w:t>
            </w: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lang w:val="en-US" w:eastAsia="zh-CN"/>
              </w:rPr>
              <w:t>http://www.xyggzyjy.cn:8088/BidOpening，供应商无需寄送和递交非加密的电子投标文件，无需到现场参加开标会议，无需到达现场提交原件资料。</w:t>
            </w:r>
            <w:r>
              <w:rPr>
                <w:rFonts w:hint="eastAsia" w:asciiTheme="minorEastAsia" w:hAnsiTheme="minorEastAsia" w:eastAsiaTheme="minorEastAsia" w:cstheme="minorEastAsia"/>
                <w:color w:val="auto"/>
                <w:sz w:val="21"/>
                <w:szCs w:val="21"/>
                <w:lang w:val="en-US" w:eastAsia="zh-CN"/>
              </w:rPr>
              <w:fldChar w:fldCharType="end"/>
            </w:r>
          </w:p>
        </w:tc>
      </w:tr>
      <w:tr>
        <w:tblPrEx>
          <w:tblCellMar>
            <w:top w:w="0" w:type="dxa"/>
            <w:left w:w="108" w:type="dxa"/>
            <w:bottom w:w="0" w:type="dxa"/>
            <w:right w:w="108" w:type="dxa"/>
          </w:tblCellMar>
        </w:tblPrEx>
        <w:trPr>
          <w:trHeight w:val="766"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highlight w:val="green"/>
              </w:rPr>
            </w:pP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 xml:space="preserve"> 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lang w:val="en-US" w:eastAsia="zh-CN"/>
              </w:rPr>
              <w:t>09</w:t>
            </w:r>
            <w:r>
              <w:rPr>
                <w:rFonts w:hint="eastAsia" w:asciiTheme="minorEastAsia" w:hAnsiTheme="minorEastAsia" w:eastAsiaTheme="minorEastAsia" w:cstheme="minorEastAsia"/>
                <w:b w:val="0"/>
                <w:bCs/>
                <w:color w:val="0000FF"/>
                <w:sz w:val="21"/>
                <w:szCs w:val="21"/>
              </w:rPr>
              <w:t>时</w:t>
            </w:r>
            <w:r>
              <w:rPr>
                <w:rFonts w:hint="eastAsia" w:asciiTheme="minorEastAsia" w:hAnsiTheme="minorEastAsia" w:cstheme="minorEastAsia"/>
                <w:b w:val="0"/>
                <w:bCs/>
                <w:color w:val="0000FF"/>
                <w:sz w:val="21"/>
                <w:szCs w:val="21"/>
                <w:lang w:val="en-US" w:eastAsia="zh-CN"/>
              </w:rPr>
              <w:t>30</w:t>
            </w:r>
            <w:r>
              <w:rPr>
                <w:rFonts w:hint="eastAsia" w:asciiTheme="minorEastAsia" w:hAnsiTheme="minorEastAsia" w:eastAsiaTheme="minorEastAsia" w:cstheme="minorEastAsia"/>
                <w:b w:val="0"/>
                <w:bCs/>
                <w:color w:val="0000FF"/>
                <w:sz w:val="21"/>
                <w:szCs w:val="21"/>
              </w:rPr>
              <w:t>分</w:t>
            </w:r>
          </w:p>
        </w:tc>
      </w:tr>
      <w:tr>
        <w:tblPrEx>
          <w:tblCellMar>
            <w:top w:w="0" w:type="dxa"/>
            <w:left w:w="108" w:type="dxa"/>
            <w:bottom w:w="0" w:type="dxa"/>
            <w:right w:w="108" w:type="dxa"/>
          </w:tblCellMar>
        </w:tblPrEx>
        <w:trPr>
          <w:trHeight w:val="6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5.</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开标</w:t>
            </w:r>
            <w:r>
              <w:rPr>
                <w:rFonts w:hint="eastAsia" w:asciiTheme="minorEastAsia" w:hAnsiTheme="minorEastAsia" w:eastAsiaTheme="minorEastAsia" w:cstheme="minorEastAsia"/>
                <w:color w:val="auto"/>
                <w:sz w:val="21"/>
                <w:szCs w:val="21"/>
              </w:rPr>
              <w:t>时间和地点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开标</w:t>
            </w:r>
            <w:r>
              <w:rPr>
                <w:rFonts w:hint="eastAsia" w:asciiTheme="minorEastAsia" w:hAnsiTheme="minorEastAsia" w:eastAsiaTheme="minorEastAsia" w:cstheme="minorEastAsia"/>
                <w:color w:val="auto"/>
                <w:kern w:val="0"/>
                <w:sz w:val="21"/>
                <w:szCs w:val="21"/>
              </w:rPr>
              <w:t>时间：同</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kern w:val="0"/>
                <w:sz w:val="21"/>
                <w:szCs w:val="21"/>
              </w:rPr>
              <w:t>截止时间</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highlight w:val="none"/>
                <w:lang w:eastAsia="zh-CN"/>
              </w:rPr>
              <w:t>开标</w:t>
            </w:r>
            <w:r>
              <w:rPr>
                <w:rFonts w:hint="eastAsia" w:asciiTheme="minorEastAsia" w:hAnsiTheme="minorEastAsia" w:eastAsiaTheme="minorEastAsia" w:cstheme="minorEastAsia"/>
                <w:color w:val="auto"/>
                <w:kern w:val="0"/>
                <w:sz w:val="21"/>
                <w:szCs w:val="21"/>
                <w:highlight w:val="none"/>
              </w:rPr>
              <w:t>地点：罗山县公共资源交易中心不见面开标一室</w:t>
            </w:r>
          </w:p>
        </w:tc>
      </w:tr>
      <w:tr>
        <w:tblPrEx>
          <w:tblCellMar>
            <w:top w:w="0" w:type="dxa"/>
            <w:left w:w="108" w:type="dxa"/>
            <w:bottom w:w="0" w:type="dxa"/>
            <w:right w:w="108" w:type="dxa"/>
          </w:tblCellMar>
        </w:tblPrEx>
        <w:trPr>
          <w:trHeight w:val="54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6.1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的组建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u w:val="single"/>
                <w:lang w:val="en-US" w:eastAsia="zh-CN"/>
              </w:rPr>
              <w:t>5</w:t>
            </w:r>
            <w:r>
              <w:rPr>
                <w:rFonts w:hint="eastAsia" w:asciiTheme="minorEastAsia" w:hAnsiTheme="minorEastAsia" w:eastAsiaTheme="minorEastAsia" w:cstheme="minorEastAsia"/>
                <w:color w:val="auto"/>
                <w:sz w:val="21"/>
                <w:szCs w:val="21"/>
              </w:rPr>
              <w:t>人，其中业主评委</w:t>
            </w:r>
            <w:r>
              <w:rPr>
                <w:rFonts w:hint="eastAsia"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rPr>
              <w:t>人，技术、经济类专家</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rPr>
              <w:t>人；</w:t>
            </w: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专家确定方式：从政府采购专家库中随机抽取。</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7.1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是否授权</w:t>
            </w: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确定成交人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否；推荐的</w:t>
            </w:r>
            <w:r>
              <w:rPr>
                <w:rFonts w:hint="eastAsia" w:asciiTheme="minorEastAsia" w:hAnsiTheme="minorEastAsia" w:cstheme="minorEastAsia"/>
                <w:color w:val="auto"/>
                <w:sz w:val="21"/>
                <w:szCs w:val="21"/>
                <w:lang w:val="en-US" w:eastAsia="zh-CN"/>
              </w:rPr>
              <w:t>中标</w:t>
            </w:r>
            <w:r>
              <w:rPr>
                <w:rFonts w:hint="eastAsia" w:asciiTheme="minorEastAsia" w:hAnsiTheme="minorEastAsia" w:eastAsiaTheme="minorEastAsia" w:cstheme="minorEastAsia"/>
                <w:color w:val="auto"/>
                <w:sz w:val="21"/>
                <w:szCs w:val="21"/>
              </w:rPr>
              <w:t>候选人数：3名</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履约</w:t>
            </w:r>
            <w:r>
              <w:rPr>
                <w:rFonts w:hint="eastAsia" w:asciiTheme="minorEastAsia" w:hAnsiTheme="minorEastAsia" w:eastAsiaTheme="minorEastAsia" w:cstheme="minorEastAsia"/>
                <w:color w:val="auto"/>
                <w:kern w:val="0"/>
                <w:sz w:val="21"/>
                <w:szCs w:val="21"/>
                <w:lang w:eastAsia="zh-CN"/>
              </w:rPr>
              <w:t>保证金</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无</w:t>
            </w:r>
          </w:p>
        </w:tc>
      </w:tr>
      <w:tr>
        <w:tblPrEx>
          <w:tblCellMar>
            <w:top w:w="0" w:type="dxa"/>
            <w:left w:w="108" w:type="dxa"/>
            <w:bottom w:w="0" w:type="dxa"/>
            <w:right w:w="108" w:type="dxa"/>
          </w:tblCellMar>
        </w:tblPrEx>
        <w:trPr>
          <w:trHeight w:val="538"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需要补充的其他内容</w:t>
            </w:r>
          </w:p>
        </w:tc>
      </w:tr>
      <w:tr>
        <w:tblPrEx>
          <w:tblCellMar>
            <w:top w:w="0" w:type="dxa"/>
            <w:left w:w="108" w:type="dxa"/>
            <w:bottom w:w="0" w:type="dxa"/>
            <w:right w:w="108" w:type="dxa"/>
          </w:tblCellMar>
        </w:tblPrEx>
        <w:trPr>
          <w:trHeight w:val="5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both"/>
              <w:textAlignment w:val="baseline"/>
              <w:rPr>
                <w:rFonts w:hint="eastAsia" w:ascii="宋体" w:hAnsi="宋体" w:cs="宋体"/>
                <w:color w:val="auto"/>
                <w:szCs w:val="21"/>
              </w:rPr>
            </w:pPr>
            <w:r>
              <w:rPr>
                <w:rFonts w:hint="eastAsia" w:ascii="宋体" w:hAnsi="宋体" w:cs="宋体"/>
                <w:color w:val="auto"/>
                <w:szCs w:val="21"/>
              </w:rPr>
              <w:t>解释权</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构成本</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的各个组成文件应互为解释，互为说明；如有不明确或不一致，按</w:t>
            </w:r>
            <w:r>
              <w:rPr>
                <w:rFonts w:hint="eastAsia" w:asciiTheme="minorEastAsia" w:hAnsiTheme="minorEastAsia" w:eastAsiaTheme="minorEastAsia" w:cstheme="minorEastAsia"/>
                <w:color w:val="auto"/>
                <w:sz w:val="21"/>
                <w:szCs w:val="21"/>
                <w:lang w:eastAsia="zh-CN"/>
              </w:rPr>
              <w:t>招标公告</w:t>
            </w:r>
            <w:r>
              <w:rPr>
                <w:rFonts w:hint="eastAsia" w:asciiTheme="minorEastAsia" w:hAnsiTheme="minorEastAsia" w:eastAsiaTheme="minorEastAsia" w:cstheme="minorEastAsia"/>
                <w:color w:val="auto"/>
                <w:sz w:val="21"/>
                <w:szCs w:val="21"/>
              </w:rPr>
              <w:t>、供应商须知、评审办法、</w:t>
            </w:r>
            <w:r>
              <w:rPr>
                <w:rFonts w:hint="eastAsia" w:asciiTheme="minorEastAsia" w:hAnsiTheme="minorEastAsia" w:eastAsiaTheme="minorEastAsia" w:cstheme="minorEastAsia"/>
                <w:color w:val="auto"/>
                <w:sz w:val="21"/>
                <w:szCs w:val="21"/>
                <w:lang w:eastAsia="zh-CN"/>
              </w:rPr>
              <w:t>投标文件格式</w:t>
            </w:r>
            <w:r>
              <w:rPr>
                <w:rFonts w:hint="eastAsia" w:asciiTheme="minorEastAsia" w:hAnsiTheme="minorEastAsia" w:eastAsiaTheme="minorEastAsia" w:cstheme="minorEastAsia"/>
                <w:color w:val="auto"/>
                <w:sz w:val="21"/>
                <w:szCs w:val="21"/>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leftChars="0" w:firstLine="0" w:firstLineChars="0"/>
              <w:jc w:val="center"/>
              <w:rPr>
                <w:rFonts w:hint="eastAsia" w:ascii="宋体" w:hAnsi="宋体"/>
                <w:color w:val="auto"/>
                <w:szCs w:val="21"/>
              </w:rPr>
            </w:pPr>
            <w:r>
              <w:rPr>
                <w:rFonts w:hint="eastAsia" w:ascii="宋体" w:hAnsi="宋体" w:eastAsia="宋体" w:cs="宋体"/>
                <w:color w:val="auto"/>
                <w:kern w:val="0"/>
                <w:sz w:val="21"/>
                <w:szCs w:val="21"/>
                <w:lang w:val="en-US" w:eastAsia="zh-CN"/>
              </w:rPr>
              <w:t>其他补充内容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标书雷同性分析</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宋体" w:hAnsi="宋体" w:eastAsia="宋体"/>
                <w:color w:val="auto"/>
                <w:szCs w:val="21"/>
                <w:lang w:val="en-US" w:eastAsia="zh-CN"/>
              </w:rPr>
            </w:pPr>
            <w:r>
              <w:rPr>
                <w:rFonts w:hint="default" w:ascii="宋体" w:hAnsi="宋体" w:eastAsia="宋体"/>
                <w:color w:val="auto"/>
                <w:szCs w:val="21"/>
                <w:lang w:val="en-US" w:eastAsia="zh-CN"/>
              </w:rPr>
              <w:t>采购代理服务费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代理服务费的收取：参照国家相关收费标准商定后向中标人收取中标服务费。</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default" w:ascii="宋体" w:hAnsi="宋体"/>
                <w:color w:val="auto"/>
                <w:szCs w:val="21"/>
                <w:lang w:val="en-US" w:eastAsia="zh-CN"/>
              </w:rPr>
            </w:pPr>
            <w:bookmarkStart w:id="21" w:name="_Toc144974497"/>
            <w:bookmarkStart w:id="22" w:name="_Toc152042305"/>
            <w:bookmarkStart w:id="23" w:name="_Toc10694"/>
            <w:bookmarkStart w:id="24" w:name="_Toc455080108"/>
            <w:bookmarkStart w:id="25" w:name="_Toc466298091"/>
            <w:bookmarkStart w:id="26" w:name="_Toc152045529"/>
            <w:r>
              <w:rPr>
                <w:rFonts w:hint="eastAsia" w:ascii="宋体" w:hAnsi="宋体"/>
                <w:color w:val="auto"/>
                <w:szCs w:val="21"/>
                <w:lang w:val="en-US" w:eastAsia="zh-CN"/>
              </w:rPr>
              <w:t>落实政府采购相关政策</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政府采购政策</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2.依据《财政部 工业和信息化部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4.如若所投产品已列入国家强制性产品认证的产品，必须提供通过国家 3C 认证的有关证明材料（可提供合法查询网址）。</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w:t>
            </w:r>
            <w:r>
              <w:rPr>
                <w:rFonts w:hint="eastAsia" w:asciiTheme="minorEastAsia" w:hAnsiTheme="minorEastAsia" w:cstheme="minorEastAsia"/>
                <w:b w:val="0"/>
                <w:bCs w:val="0"/>
                <w:color w:val="auto"/>
                <w:sz w:val="21"/>
                <w:szCs w:val="21"/>
                <w:highlight w:val="none"/>
                <w:lang w:val="en-US" w:eastAsia="zh-CN"/>
              </w:rPr>
              <w:t>招标</w:t>
            </w:r>
            <w:r>
              <w:rPr>
                <w:rFonts w:hint="eastAsia" w:asciiTheme="minorEastAsia" w:hAnsiTheme="minorEastAsia" w:eastAsiaTheme="minorEastAsia" w:cstheme="minorEastAsia"/>
                <w:b w:val="0"/>
                <w:bCs w:val="0"/>
                <w:color w:val="auto"/>
                <w:sz w:val="21"/>
                <w:szCs w:val="21"/>
                <w:highlight w:val="none"/>
                <w:lang w:val="en-US" w:eastAsia="zh-CN"/>
              </w:rPr>
              <w:t>文件要求而予以拒绝。</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6.采购信息安全产品的，应当采购经国家认证的信息安全产品，供应商应提供由中国信息安全认证中心按国家标准颁发的有效认证证书。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7.鼓励创新，首购和订购的产品具有首创和自主研发性质，属于自主创新产品的，必须执行《自主创新产品政府收购和订购管理办法》。</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8.本次招标涉及中小型企业的，按照“财库[2020]46 号”</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“工信部联企业〔2011〕300 号</w:t>
            </w:r>
            <w:r>
              <w:rPr>
                <w:rFonts w:hint="eastAsia" w:asciiTheme="minorEastAsia" w:hAnsiTheme="minorEastAsia" w:cstheme="minorEastAsia"/>
                <w:b w:val="0"/>
                <w:bCs w:val="0"/>
                <w:color w:val="auto"/>
                <w:sz w:val="21"/>
                <w:szCs w:val="21"/>
                <w:highlight w:val="none"/>
                <w:lang w:val="en-US" w:eastAsia="zh-CN"/>
              </w:rPr>
              <w:t>”和河南省财政厅关于进一步做好政府采购支持中小企业发展有关事项的通知（豫财购〔2022〕5号）</w:t>
            </w:r>
            <w:r>
              <w:rPr>
                <w:rFonts w:hint="eastAsia" w:asciiTheme="minorEastAsia" w:hAnsiTheme="minorEastAsia" w:eastAsiaTheme="minorEastAsia" w:cstheme="minorEastAsia"/>
                <w:b w:val="0"/>
                <w:bCs w:val="0"/>
                <w:color w:val="auto"/>
                <w:sz w:val="21"/>
                <w:szCs w:val="21"/>
                <w:highlight w:val="none"/>
                <w:lang w:val="en-US" w:eastAsia="zh-CN"/>
              </w:rPr>
              <w:t>有关政策执行，对小型和微型企业产品的价格给予</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%的扣除，用扣除后的价格参与评审。联合体投标（若接受）的，联合协议中须约定，小型、微型企业的协议合同金额占到联合体协议合同总金额 30%以上的，或联合体各方均为小型、微型企业的，给予联合体5%的价格扣除。</w:t>
            </w:r>
          </w:p>
          <w:p>
            <w:pPr>
              <w:keepNext w:val="0"/>
              <w:keepLines w:val="0"/>
              <w:pageBreakBefore w:val="0"/>
              <w:kinsoku/>
              <w:wordWrap/>
              <w:overflowPunct/>
              <w:topLinePunct w:val="0"/>
              <w:bidi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 </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%，用扣除后的价格参与评审。符合条件的残疾人福利性单位应当提供本通知规定的《残疾人福利性单位声明函》，并对声明的真实性负责。</w:t>
            </w:r>
          </w:p>
        </w:tc>
      </w:tr>
      <w:tr>
        <w:tblPrEx>
          <w:tblCellMar>
            <w:top w:w="0" w:type="dxa"/>
            <w:left w:w="108" w:type="dxa"/>
            <w:bottom w:w="0" w:type="dxa"/>
            <w:right w:w="108" w:type="dxa"/>
          </w:tblCellMar>
        </w:tblPrEx>
        <w:trPr>
          <w:trHeight w:val="800"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本项目监督：</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监督单位：罗山县财政局政府采购股</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监督电话：0376-2175979</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采购人监督单位：驻县公安局纪检监察组</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监督电话：0376-2175068</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olor w:val="auto"/>
                <w:szCs w:val="21"/>
                <w:lang w:val="en-US" w:eastAsia="zh-CN"/>
              </w:rPr>
            </w:pPr>
            <w:bookmarkStart w:id="27" w:name="_Toc25810"/>
            <w:r>
              <w:rPr>
                <w:rFonts w:hint="eastAsia" w:ascii="宋体" w:hAnsi="宋体" w:cs="宋体"/>
                <w:b/>
                <w:bCs/>
                <w:kern w:val="0"/>
                <w:szCs w:val="21"/>
                <w:highlight w:val="none"/>
              </w:rPr>
              <w:t>本次采购标的对应中小企业划分标准 所属行业</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szCs w:val="21"/>
                <w:lang w:val="en-US" w:eastAsia="zh-CN"/>
              </w:rPr>
              <w:t>工业中的制造业，企业规模划分详见中小企业划型标准规定（工信部联企业[2011]300号）</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s="宋体" w:eastAsiaTheme="minorEastAsia"/>
                <w:b/>
                <w:bCs/>
                <w:kern w:val="0"/>
                <w:szCs w:val="21"/>
                <w:highlight w:val="none"/>
                <w:lang w:val="en-US" w:eastAsia="zh-CN"/>
              </w:rPr>
            </w:pPr>
            <w:r>
              <w:rPr>
                <w:rFonts w:hint="eastAsia" w:ascii="宋体" w:hAnsi="宋体" w:cs="宋体"/>
                <w:b/>
                <w:bCs/>
                <w:kern w:val="0"/>
                <w:szCs w:val="21"/>
                <w:highlight w:val="none"/>
                <w:lang w:val="en-US" w:eastAsia="zh-CN"/>
              </w:rPr>
              <w:t>政策要求</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宋体" w:hAnsi="宋体" w:cs="宋体"/>
                <w:b/>
                <w:szCs w:val="21"/>
                <w:lang w:val="en-US" w:eastAsia="zh-CN"/>
              </w:rPr>
            </w:pPr>
            <w:r>
              <w:rPr>
                <w:rFonts w:hint="eastAsia" w:ascii="宋体" w:hAnsi="宋体" w:eastAsia="宋体" w:cs="宋体"/>
                <w:b/>
                <w:szCs w:val="21"/>
                <w:lang w:val="en-US" w:eastAsia="zh-CN"/>
              </w:rPr>
              <w:t>根据“信财购[2020]5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tbl>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1"/>
      <w:bookmarkEnd w:id="22"/>
      <w:bookmarkEnd w:id="23"/>
      <w:bookmarkEnd w:id="24"/>
      <w:bookmarkEnd w:id="25"/>
      <w:bookmarkEnd w:id="26"/>
      <w:bookmarkEnd w:id="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8" w:name="_Toc22968"/>
      <w:bookmarkStart w:id="29" w:name="_Toc29023"/>
      <w:bookmarkStart w:id="30" w:name="_Toc6747"/>
      <w:bookmarkStart w:id="31" w:name="_Toc1172"/>
      <w:bookmarkStart w:id="32" w:name="_Toc318450675"/>
      <w:bookmarkStart w:id="33" w:name="_Toc20827"/>
      <w:bookmarkStart w:id="34" w:name="_Toc490667828"/>
      <w:bookmarkStart w:id="35" w:name="_Toc10273"/>
      <w:bookmarkStart w:id="36" w:name="_Toc21266"/>
      <w:bookmarkStart w:id="37" w:name="_Toc455080109"/>
      <w:bookmarkStart w:id="38" w:name="_Toc274409866"/>
      <w:bookmarkStart w:id="39" w:name="_Toc15709"/>
      <w:bookmarkStart w:id="40" w:name="_Toc31404"/>
      <w:bookmarkStart w:id="41" w:name="_Toc281380952"/>
      <w:bookmarkStart w:id="42" w:name="_Toc455867769"/>
      <w:bookmarkStart w:id="43" w:name="_Toc466298092"/>
      <w:bookmarkStart w:id="44" w:name="_Toc658"/>
      <w:bookmarkStart w:id="45" w:name="_Toc21458"/>
      <w:bookmarkStart w:id="46" w:name="_Toc32605"/>
      <w:bookmarkStart w:id="47" w:name="_Toc152045531"/>
      <w:bookmarkStart w:id="48" w:name="_Toc144974499"/>
      <w:bookmarkStart w:id="49" w:name="_Toc152042307"/>
      <w:r>
        <w:rPr>
          <w:rFonts w:hint="eastAsia" w:ascii="宋体" w:hAnsi="宋体" w:eastAsia="宋体"/>
          <w:b/>
          <w:bCs/>
          <w:color w:val="auto"/>
          <w:sz w:val="21"/>
          <w:szCs w:val="21"/>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1.1.1根据《中华人民共和国政府采购法》等有关法律、法规和规章的规定，编制本项目</w:t>
      </w:r>
      <w:r>
        <w:rPr>
          <w:rFonts w:hint="eastAsia" w:ascii="宋体" w:hAnsi="宋体" w:cs="宋体"/>
          <w:color w:val="auto"/>
          <w:szCs w:val="21"/>
          <w:lang w:eastAsia="zh-CN"/>
        </w:rPr>
        <w:t>投标文件</w:t>
      </w:r>
      <w:r>
        <w:rPr>
          <w:rFonts w:hint="eastAsia" w:ascii="宋体" w:hAnsi="宋体" w:cs="宋体"/>
          <w:color w:val="auto"/>
          <w:szCs w:val="21"/>
        </w:rPr>
        <w:t>。</w:t>
      </w:r>
    </w:p>
    <w:p>
      <w:pPr>
        <w:pStyle w:val="48"/>
        <w:pageBreakBefore w:val="0"/>
        <w:tabs>
          <w:tab w:val="left" w:pos="741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0" w:name="_Toc318450676"/>
      <w:bookmarkStart w:id="51" w:name="_Toc25773"/>
      <w:bookmarkStart w:id="52" w:name="_Toc490667829"/>
      <w:bookmarkStart w:id="53" w:name="_Toc7237"/>
      <w:bookmarkStart w:id="54" w:name="_Toc24852"/>
      <w:bookmarkStart w:id="55" w:name="_Toc2929"/>
      <w:bookmarkStart w:id="56" w:name="_Toc274409867"/>
      <w:bookmarkStart w:id="57" w:name="_Toc29239"/>
      <w:bookmarkStart w:id="58" w:name="_Toc710"/>
      <w:bookmarkStart w:id="59" w:name="_Toc3336"/>
      <w:bookmarkStart w:id="60" w:name="_Toc10269"/>
      <w:bookmarkStart w:id="61" w:name="_Toc32619"/>
      <w:bookmarkStart w:id="62" w:name="_Toc455867770"/>
      <w:bookmarkStart w:id="63" w:name="_Toc30891"/>
      <w:bookmarkStart w:id="64" w:name="_Toc455080110"/>
      <w:bookmarkStart w:id="65" w:name="_Toc466298093"/>
      <w:bookmarkStart w:id="66" w:name="_Toc10556"/>
      <w:bookmarkStart w:id="67" w:name="_Toc22355"/>
      <w:bookmarkStart w:id="68" w:name="_Toc281405468"/>
      <w:r>
        <w:rPr>
          <w:rFonts w:hint="eastAsia" w:ascii="宋体" w:hAnsi="宋体" w:eastAsia="宋体"/>
          <w:b/>
          <w:bCs/>
          <w:color w:val="auto"/>
          <w:sz w:val="21"/>
          <w:szCs w:val="21"/>
        </w:rPr>
        <w:t>1.2 招标项目说明</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1.2.2 本项目采购代理机构：见供应商须知前附表。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1.2.4本项目采购方式</w:t>
      </w:r>
      <w:r>
        <w:rPr>
          <w:rFonts w:hint="eastAsia" w:ascii="宋体" w:hAnsi="宋体" w:eastAsia="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1.2.5本项目预算价（最高限价）</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9" w:name="_Toc18960"/>
      <w:bookmarkStart w:id="70" w:name="_Toc490667830"/>
      <w:bookmarkStart w:id="71" w:name="_Toc4122"/>
      <w:bookmarkStart w:id="72" w:name="_Toc18901"/>
      <w:bookmarkStart w:id="73" w:name="_Toc4952"/>
      <w:bookmarkStart w:id="74" w:name="_Toc17146"/>
      <w:bookmarkStart w:id="75" w:name="_Toc1373"/>
      <w:bookmarkStart w:id="76" w:name="_Toc466298094"/>
      <w:bookmarkStart w:id="77" w:name="_Toc17016"/>
      <w:bookmarkStart w:id="78" w:name="_Toc281405469"/>
      <w:bookmarkStart w:id="79" w:name="_Toc15165"/>
      <w:bookmarkStart w:id="80" w:name="_Toc16931"/>
      <w:bookmarkStart w:id="81" w:name="_Toc274409868"/>
      <w:bookmarkStart w:id="82" w:name="_Toc3477"/>
      <w:bookmarkStart w:id="83" w:name="_Toc4563"/>
      <w:bookmarkStart w:id="84" w:name="_Toc318450677"/>
      <w:bookmarkStart w:id="85" w:name="_Toc455867771"/>
      <w:bookmarkStart w:id="86" w:name="_Toc22979"/>
      <w:bookmarkStart w:id="87" w:name="_Toc455080111"/>
      <w:r>
        <w:rPr>
          <w:rFonts w:hint="eastAsia" w:ascii="宋体" w:hAnsi="宋体" w:eastAsia="宋体"/>
          <w:b/>
          <w:bCs/>
          <w:color w:val="auto"/>
          <w:sz w:val="21"/>
          <w:szCs w:val="21"/>
        </w:rPr>
        <w:t>1.3 定义及解释</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1.3.3服务：系指根据本</w:t>
      </w:r>
      <w:r>
        <w:rPr>
          <w:rFonts w:hint="eastAsia" w:ascii="宋体" w:hAnsi="宋体" w:cs="宋体"/>
          <w:color w:val="auto"/>
          <w:szCs w:val="21"/>
          <w:lang w:eastAsia="zh-CN"/>
        </w:rPr>
        <w:t>投标文件</w:t>
      </w:r>
      <w:r>
        <w:rPr>
          <w:rFonts w:hint="eastAsia" w:ascii="宋体" w:hAnsi="宋体" w:cs="宋体"/>
          <w:color w:val="auto"/>
          <w:szCs w:val="21"/>
        </w:rPr>
        <w:t>规定供应商须承担的服务以及其他类似的义务等。</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1.3.4供应商：供应商是响应</w:t>
      </w:r>
      <w:r>
        <w:rPr>
          <w:rFonts w:hint="eastAsia" w:ascii="宋体" w:hAnsi="宋体" w:cs="宋体"/>
          <w:color w:val="auto"/>
          <w:szCs w:val="21"/>
          <w:lang w:eastAsia="zh-CN"/>
        </w:rPr>
        <w:t>投标文件</w:t>
      </w:r>
      <w:r>
        <w:rPr>
          <w:rFonts w:hint="eastAsia" w:ascii="宋体" w:hAnsi="宋体" w:cs="宋体"/>
          <w:color w:val="auto"/>
          <w:szCs w:val="21"/>
        </w:rPr>
        <w:t>、参加</w:t>
      </w:r>
      <w:r>
        <w:rPr>
          <w:rFonts w:hint="eastAsia" w:ascii="宋体" w:hAnsi="宋体" w:cs="宋体"/>
          <w:color w:val="auto"/>
          <w:szCs w:val="21"/>
          <w:lang w:eastAsia="zh-CN"/>
        </w:rPr>
        <w:t>投标</w:t>
      </w:r>
      <w:r>
        <w:rPr>
          <w:rFonts w:hint="eastAsia" w:ascii="宋体" w:hAnsi="宋体" w:cs="宋体"/>
          <w:color w:val="auto"/>
          <w:szCs w:val="21"/>
        </w:rPr>
        <w:t>的中华人民共和国境内的法人、其它组织。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1.3.5</w:t>
      </w:r>
      <w:r>
        <w:rPr>
          <w:rFonts w:hint="eastAsia" w:ascii="宋体" w:hAnsi="宋体" w:cs="宋体"/>
          <w:color w:val="auto"/>
          <w:szCs w:val="21"/>
          <w:lang w:eastAsia="zh-CN"/>
        </w:rPr>
        <w:t>投标文件</w:t>
      </w:r>
      <w:r>
        <w:rPr>
          <w:rFonts w:hint="eastAsia" w:ascii="宋体" w:hAnsi="宋体" w:cs="宋体"/>
          <w:color w:val="auto"/>
          <w:szCs w:val="21"/>
        </w:rPr>
        <w:t>：指供应商根据</w:t>
      </w:r>
      <w:r>
        <w:rPr>
          <w:rFonts w:hint="eastAsia" w:ascii="宋体" w:hAnsi="宋体" w:cs="宋体"/>
          <w:color w:val="auto"/>
          <w:szCs w:val="21"/>
          <w:lang w:eastAsia="zh-CN"/>
        </w:rPr>
        <w:t>招标文件</w:t>
      </w:r>
      <w:r>
        <w:rPr>
          <w:rFonts w:hint="eastAsia" w:ascii="宋体" w:hAnsi="宋体" w:cs="宋体"/>
          <w:color w:val="auto"/>
          <w:szCs w:val="21"/>
        </w:rPr>
        <w:t>提交的所有文件。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1.3.6</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1.3.7偏离：</w:t>
      </w:r>
      <w:r>
        <w:rPr>
          <w:rFonts w:hint="eastAsia" w:ascii="宋体" w:hAnsi="宋体" w:cs="宋体"/>
          <w:color w:val="auto"/>
          <w:szCs w:val="21"/>
          <w:lang w:eastAsia="zh-CN"/>
        </w:rPr>
        <w:t>投标文件</w:t>
      </w:r>
      <w:r>
        <w:rPr>
          <w:rFonts w:hint="eastAsia" w:ascii="宋体" w:hAnsi="宋体" w:cs="宋体"/>
          <w:color w:val="auto"/>
          <w:szCs w:val="21"/>
        </w:rPr>
        <w:t>的响应相对于</w:t>
      </w:r>
      <w:r>
        <w:rPr>
          <w:rFonts w:hint="eastAsia" w:ascii="宋体" w:hAnsi="宋体" w:cs="宋体"/>
          <w:color w:val="auto"/>
          <w:szCs w:val="21"/>
          <w:lang w:eastAsia="zh-CN"/>
        </w:rPr>
        <w:t>招标文件</w:t>
      </w:r>
      <w:r>
        <w:rPr>
          <w:rFonts w:hint="eastAsia" w:ascii="宋体" w:hAnsi="宋体" w:cs="宋体"/>
          <w:color w:val="auto"/>
          <w:szCs w:val="21"/>
        </w:rPr>
        <w:t>要求的偏差，该偏差优于</w:t>
      </w:r>
      <w:r>
        <w:rPr>
          <w:rFonts w:hint="eastAsia" w:ascii="宋体" w:hAnsi="宋体" w:cs="宋体"/>
          <w:color w:val="auto"/>
          <w:szCs w:val="21"/>
          <w:lang w:eastAsia="zh-CN"/>
        </w:rPr>
        <w:t>招标文件</w:t>
      </w:r>
      <w:r>
        <w:rPr>
          <w:rFonts w:hint="eastAsia" w:ascii="宋体" w:hAnsi="宋体" w:cs="宋体"/>
          <w:color w:val="auto"/>
          <w:szCs w:val="21"/>
        </w:rPr>
        <w:t>要求的为正偏离；劣于的，为负偏离。</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1.3.8“日期”或“天”：指日历天。</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1.3.9合同：指依据本次服务采购招标结果签订的协议或合约文件。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1.3.10</w:t>
      </w:r>
      <w:r>
        <w:rPr>
          <w:rFonts w:hint="eastAsia" w:ascii="宋体" w:hAnsi="宋体" w:cs="宋体"/>
          <w:color w:val="auto"/>
          <w:szCs w:val="21"/>
          <w:lang w:eastAsia="zh-CN"/>
        </w:rPr>
        <w:t>招标文件</w:t>
      </w:r>
      <w:r>
        <w:rPr>
          <w:rFonts w:hint="eastAsia" w:ascii="宋体" w:hAnsi="宋体" w:cs="宋体"/>
          <w:color w:val="auto"/>
          <w:szCs w:val="21"/>
        </w:rPr>
        <w:t>中的标题或题名仅起引导作用，而不应视为对</w:t>
      </w:r>
      <w:r>
        <w:rPr>
          <w:rFonts w:hint="eastAsia" w:ascii="宋体" w:hAnsi="宋体" w:cs="宋体"/>
          <w:color w:val="auto"/>
          <w:szCs w:val="21"/>
          <w:lang w:eastAsia="zh-CN"/>
        </w:rPr>
        <w:t>招标文件</w:t>
      </w:r>
      <w:r>
        <w:rPr>
          <w:rFonts w:hint="eastAsia" w:ascii="宋体" w:hAnsi="宋体" w:cs="宋体"/>
          <w:color w:val="auto"/>
          <w:szCs w:val="21"/>
        </w:rPr>
        <w:t>内容的理解和解释。</w:t>
      </w:r>
    </w:p>
    <w:bookmarkEnd w:id="47"/>
    <w:bookmarkEnd w:id="48"/>
    <w:bookmarkEnd w:id="49"/>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88" w:name="_Toc14043"/>
      <w:bookmarkStart w:id="89" w:name="_Toc466298095"/>
      <w:bookmarkStart w:id="90" w:name="_Toc17908"/>
      <w:bookmarkStart w:id="91" w:name="_Toc17808"/>
      <w:bookmarkStart w:id="92" w:name="_Toc8257"/>
      <w:bookmarkStart w:id="93" w:name="_Toc12752"/>
      <w:bookmarkStart w:id="94" w:name="_Toc32236"/>
      <w:bookmarkStart w:id="95" w:name="_Toc2972"/>
      <w:bookmarkStart w:id="96" w:name="_Toc455867772"/>
      <w:bookmarkStart w:id="97" w:name="_Toc318450678"/>
      <w:bookmarkStart w:id="98" w:name="_Toc144974500"/>
      <w:bookmarkStart w:id="99" w:name="_Toc152045532"/>
      <w:bookmarkStart w:id="100" w:name="_Toc19363"/>
      <w:bookmarkStart w:id="101" w:name="_Toc490667831"/>
      <w:bookmarkStart w:id="102" w:name="_Toc16470"/>
      <w:bookmarkStart w:id="103" w:name="_Toc21766"/>
      <w:bookmarkStart w:id="104" w:name="_Toc455080112"/>
      <w:bookmarkStart w:id="105" w:name="_Toc27407"/>
      <w:bookmarkStart w:id="106" w:name="_Toc10894"/>
      <w:bookmarkStart w:id="107" w:name="_Toc152042308"/>
      <w:r>
        <w:rPr>
          <w:rFonts w:hint="eastAsia" w:ascii="宋体" w:hAnsi="宋体" w:eastAsia="宋体"/>
          <w:b/>
          <w:bCs/>
          <w:color w:val="auto"/>
          <w:sz w:val="21"/>
          <w:szCs w:val="21"/>
        </w:rPr>
        <w:t xml:space="preserve">1.4 </w:t>
      </w:r>
      <w:r>
        <w:rPr>
          <w:rFonts w:hint="eastAsia" w:ascii="宋体" w:hAnsi="宋体" w:eastAsia="宋体"/>
          <w:b/>
          <w:bCs/>
          <w:color w:val="auto"/>
          <w:sz w:val="21"/>
          <w:szCs w:val="21"/>
          <w:lang w:eastAsia="zh-CN"/>
        </w:rPr>
        <w:t>招标内容、供货期、质保期</w:t>
      </w:r>
      <w:r>
        <w:rPr>
          <w:rFonts w:hint="eastAsia" w:ascii="宋体" w:hAnsi="宋体" w:eastAsia="宋体"/>
          <w:b/>
          <w:bCs/>
          <w:color w:val="auto"/>
          <w:sz w:val="21"/>
          <w:szCs w:val="21"/>
        </w:rPr>
        <w:t>和质量要求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1.4.1 本次</w:t>
      </w:r>
      <w:r>
        <w:rPr>
          <w:rFonts w:hint="eastAsia" w:ascii="宋体" w:hAnsi="宋体" w:cs="宋体"/>
          <w:color w:val="auto"/>
          <w:szCs w:val="21"/>
          <w:lang w:eastAsia="zh-CN"/>
        </w:rPr>
        <w:t>招标内容</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1.4.2 本项目的</w:t>
      </w:r>
      <w:r>
        <w:rPr>
          <w:rFonts w:hint="eastAsia" w:ascii="宋体" w:hAnsi="宋体" w:cs="宋体"/>
          <w:color w:val="auto"/>
          <w:szCs w:val="21"/>
          <w:lang w:eastAsia="zh-CN"/>
        </w:rPr>
        <w:t>供货期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1.4.3本项目的</w:t>
      </w:r>
      <w:r>
        <w:rPr>
          <w:rFonts w:hint="eastAsia" w:ascii="宋体" w:hAnsi="宋体" w:cs="宋体"/>
          <w:color w:val="auto"/>
          <w:szCs w:val="21"/>
          <w:lang w:eastAsia="zh-CN"/>
        </w:rPr>
        <w:t>质保期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4</w:t>
      </w:r>
      <w:r>
        <w:rPr>
          <w:rFonts w:hint="eastAsia" w:ascii="宋体" w:hAnsi="宋体" w:cs="宋体"/>
          <w:color w:val="auto"/>
          <w:szCs w:val="21"/>
        </w:rPr>
        <w:t>本项目的质量要求：见供应商须知前附表。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eastAsia="宋体" w:cs="宋体"/>
          <w:color w:val="auto"/>
          <w:szCs w:val="21"/>
          <w:lang w:val="en-US" w:eastAsia="zh-CN"/>
        </w:rPr>
        <w:t>1.4.5付款方式：</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08" w:name="_Toc152045534"/>
      <w:bookmarkStart w:id="109" w:name="_Toc152042310"/>
      <w:bookmarkStart w:id="110" w:name="_Toc318450679"/>
      <w:bookmarkStart w:id="111" w:name="_Toc144974502"/>
      <w:bookmarkStart w:id="112" w:name="_Toc7209"/>
      <w:bookmarkStart w:id="113" w:name="_Toc455867773"/>
      <w:bookmarkStart w:id="114" w:name="_Toc455080113"/>
      <w:bookmarkStart w:id="115" w:name="_Toc10388"/>
      <w:bookmarkStart w:id="116" w:name="_Toc22643"/>
      <w:bookmarkStart w:id="117" w:name="_Toc11063"/>
      <w:bookmarkStart w:id="118" w:name="_Toc32156"/>
      <w:bookmarkStart w:id="119" w:name="_Toc466298096"/>
      <w:bookmarkStart w:id="120" w:name="_Toc5019"/>
      <w:bookmarkStart w:id="121" w:name="_Toc1602"/>
      <w:bookmarkStart w:id="122" w:name="_Toc18004"/>
      <w:bookmarkStart w:id="123" w:name="_Toc490667832"/>
      <w:bookmarkStart w:id="124" w:name="_Toc4711"/>
      <w:bookmarkStart w:id="125" w:name="_Toc4301"/>
      <w:bookmarkStart w:id="126" w:name="_Toc21052"/>
      <w:bookmarkStart w:id="127" w:name="_Toc18689"/>
      <w:r>
        <w:rPr>
          <w:rFonts w:hint="eastAsia" w:ascii="宋体" w:hAnsi="宋体" w:eastAsia="宋体"/>
          <w:b/>
          <w:bCs/>
          <w:color w:val="auto"/>
          <w:sz w:val="21"/>
          <w:szCs w:val="21"/>
        </w:rPr>
        <w:t xml:space="preserve">1.5 </w:t>
      </w:r>
      <w:bookmarkEnd w:id="108"/>
      <w:bookmarkEnd w:id="109"/>
      <w:bookmarkEnd w:id="110"/>
      <w:bookmarkEnd w:id="111"/>
      <w:r>
        <w:rPr>
          <w:rFonts w:hint="eastAsia" w:ascii="宋体" w:hAnsi="宋体" w:eastAsia="宋体"/>
          <w:b/>
          <w:bCs/>
          <w:color w:val="auto"/>
          <w:sz w:val="21"/>
          <w:szCs w:val="21"/>
        </w:rPr>
        <w:t>供应商资质条件和能力</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28" w:name="_Toc16889"/>
      <w:bookmarkStart w:id="129" w:name="_Toc13878"/>
      <w:bookmarkStart w:id="130" w:name="_Toc28135"/>
      <w:bookmarkStart w:id="131" w:name="_Toc31854"/>
      <w:bookmarkStart w:id="132" w:name="_Toc455867774"/>
      <w:bookmarkStart w:id="133" w:name="_Toc144974503"/>
      <w:bookmarkStart w:id="134" w:name="_Toc651"/>
      <w:bookmarkStart w:id="135" w:name="_Toc5162"/>
      <w:bookmarkStart w:id="136" w:name="_Toc10503"/>
      <w:bookmarkStart w:id="137" w:name="_Toc318450680"/>
      <w:bookmarkStart w:id="138" w:name="_Toc11905"/>
      <w:bookmarkStart w:id="139" w:name="_Toc981"/>
      <w:bookmarkStart w:id="140" w:name="_Toc466298097"/>
      <w:bookmarkStart w:id="141" w:name="_Toc32446"/>
      <w:bookmarkStart w:id="142" w:name="_Toc490667833"/>
      <w:bookmarkStart w:id="143" w:name="_Toc12403"/>
      <w:bookmarkStart w:id="144" w:name="_Toc455080114"/>
      <w:bookmarkStart w:id="145" w:name="_Toc9505"/>
      <w:bookmarkStart w:id="146" w:name="_Toc152045535"/>
      <w:bookmarkStart w:id="147" w:name="_Toc152042311"/>
      <w:r>
        <w:rPr>
          <w:rFonts w:hint="eastAsia" w:ascii="宋体" w:hAnsi="宋体" w:eastAsia="宋体"/>
          <w:b/>
          <w:bCs/>
          <w:color w:val="auto"/>
          <w:sz w:val="21"/>
          <w:szCs w:val="21"/>
        </w:rPr>
        <w:t>1.6 费用承担</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供应商准备和参加</w:t>
      </w:r>
      <w:r>
        <w:rPr>
          <w:rFonts w:hint="eastAsia" w:ascii="宋体" w:hAnsi="宋体" w:cs="宋体"/>
          <w:color w:val="auto"/>
          <w:szCs w:val="21"/>
          <w:lang w:eastAsia="zh-CN"/>
        </w:rPr>
        <w:t>招标</w:t>
      </w:r>
      <w:r>
        <w:rPr>
          <w:rFonts w:hint="eastAsia" w:ascii="宋体" w:hAnsi="宋体" w:cs="宋体"/>
          <w:color w:val="auto"/>
          <w:szCs w:val="21"/>
        </w:rPr>
        <w:t>活动发生的费用自理，不论</w:t>
      </w:r>
      <w:r>
        <w:rPr>
          <w:rFonts w:hint="eastAsia" w:ascii="宋体" w:hAnsi="宋体" w:cs="宋体"/>
          <w:color w:val="auto"/>
          <w:szCs w:val="21"/>
          <w:lang w:eastAsia="zh-CN"/>
        </w:rPr>
        <w:t>评标</w:t>
      </w:r>
      <w:r>
        <w:rPr>
          <w:rFonts w:hint="eastAsia" w:ascii="宋体" w:hAnsi="宋体" w:cs="宋体"/>
          <w:color w:val="auto"/>
          <w:szCs w:val="21"/>
        </w:rPr>
        <w:t>的结果如何，采购人和采购代理机构在任何情况下均无义务和责任承担这些费用。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48" w:name="_Toc1879"/>
      <w:bookmarkStart w:id="149" w:name="_Toc22800"/>
      <w:bookmarkStart w:id="150" w:name="_Toc152042312"/>
      <w:bookmarkStart w:id="151" w:name="_Toc24601"/>
      <w:bookmarkStart w:id="152" w:name="_Toc8679"/>
      <w:bookmarkStart w:id="153" w:name="_Toc455867775"/>
      <w:bookmarkStart w:id="154" w:name="_Toc22136"/>
      <w:bookmarkStart w:id="155" w:name="_Toc20145"/>
      <w:bookmarkStart w:id="156" w:name="_Toc152045536"/>
      <w:bookmarkStart w:id="157" w:name="_Toc32053"/>
      <w:bookmarkStart w:id="158" w:name="_Toc2622"/>
      <w:bookmarkStart w:id="159" w:name="_Toc8055"/>
      <w:bookmarkStart w:id="160" w:name="_Toc32093"/>
      <w:bookmarkStart w:id="161" w:name="_Toc466298098"/>
      <w:bookmarkStart w:id="162" w:name="_Toc5402"/>
      <w:bookmarkStart w:id="163" w:name="_Toc6014"/>
      <w:bookmarkStart w:id="164" w:name="_Toc455080115"/>
      <w:bookmarkStart w:id="165" w:name="_Toc318450681"/>
      <w:bookmarkStart w:id="166" w:name="_Toc490667834"/>
      <w:bookmarkStart w:id="167" w:name="_Toc144974504"/>
      <w:r>
        <w:rPr>
          <w:rFonts w:hint="eastAsia" w:ascii="宋体" w:hAnsi="宋体" w:eastAsia="宋体"/>
          <w:b/>
          <w:bCs/>
          <w:color w:val="auto"/>
          <w:sz w:val="21"/>
          <w:szCs w:val="21"/>
        </w:rPr>
        <w:t>1.7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招标</w:t>
      </w:r>
      <w:r>
        <w:rPr>
          <w:rFonts w:hint="eastAsia" w:ascii="宋体" w:hAnsi="宋体" w:cs="宋体"/>
          <w:color w:val="auto"/>
          <w:szCs w:val="21"/>
        </w:rPr>
        <w:t>活动的各方应对</w:t>
      </w:r>
      <w:r>
        <w:rPr>
          <w:rFonts w:hint="eastAsia" w:ascii="宋体" w:hAnsi="宋体" w:cs="宋体"/>
          <w:color w:val="auto"/>
          <w:szCs w:val="21"/>
          <w:lang w:eastAsia="zh-CN"/>
        </w:rPr>
        <w:t>招标文件</w:t>
      </w:r>
      <w:r>
        <w:rPr>
          <w:rFonts w:hint="eastAsia" w:ascii="宋体" w:hAnsi="宋体" w:cs="宋体"/>
          <w:color w:val="auto"/>
          <w:szCs w:val="21"/>
        </w:rPr>
        <w:t>和</w:t>
      </w:r>
      <w:r>
        <w:rPr>
          <w:rFonts w:hint="eastAsia" w:ascii="宋体" w:hAnsi="宋体" w:cs="宋体"/>
          <w:color w:val="auto"/>
          <w:szCs w:val="21"/>
          <w:lang w:eastAsia="zh-CN"/>
        </w:rPr>
        <w:t>投标文件</w:t>
      </w:r>
      <w:r>
        <w:rPr>
          <w:rFonts w:hint="eastAsia" w:ascii="宋体" w:hAnsi="宋体" w:cs="宋体"/>
          <w:color w:val="auto"/>
          <w:szCs w:val="21"/>
        </w:rPr>
        <w:t xml:space="preserve">中的商业和技术等秘密保密，违者应对由此造成的后果承担法律责任。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68" w:name="_Toc144974505"/>
      <w:bookmarkStart w:id="169" w:name="_Toc13976"/>
      <w:bookmarkStart w:id="170" w:name="_Toc152045537"/>
      <w:bookmarkStart w:id="171" w:name="_Toc3628"/>
      <w:bookmarkStart w:id="172" w:name="_Toc25517"/>
      <w:bookmarkStart w:id="173" w:name="_Toc490667835"/>
      <w:bookmarkStart w:id="174" w:name="_Toc30747"/>
      <w:bookmarkStart w:id="175" w:name="_Toc16051"/>
      <w:bookmarkStart w:id="176" w:name="_Toc21089"/>
      <w:bookmarkStart w:id="177" w:name="_Toc152042313"/>
      <w:bookmarkStart w:id="178" w:name="_Toc455867776"/>
      <w:bookmarkStart w:id="179" w:name="_Toc7031"/>
      <w:bookmarkStart w:id="180" w:name="_Toc13617"/>
      <w:bookmarkStart w:id="181" w:name="_Toc14775"/>
      <w:bookmarkStart w:id="182" w:name="_Toc455080116"/>
      <w:bookmarkStart w:id="183" w:name="_Toc318450682"/>
      <w:bookmarkStart w:id="184" w:name="_Toc466298099"/>
      <w:bookmarkStart w:id="185" w:name="_Toc6615"/>
      <w:bookmarkStart w:id="186" w:name="_Toc15673"/>
      <w:bookmarkStart w:id="187" w:name="_Toc30583"/>
      <w:r>
        <w:rPr>
          <w:rFonts w:hint="eastAsia" w:ascii="宋体" w:hAnsi="宋体" w:eastAsia="宋体"/>
          <w:b/>
          <w:bCs/>
          <w:color w:val="auto"/>
          <w:sz w:val="21"/>
          <w:szCs w:val="21"/>
        </w:rPr>
        <w:t>1.8 语言</w:t>
      </w:r>
      <w:bookmarkEnd w:id="168"/>
      <w:r>
        <w:rPr>
          <w:rFonts w:hint="eastAsia" w:ascii="宋体" w:hAnsi="宋体" w:eastAsia="宋体"/>
          <w:b/>
          <w:bCs/>
          <w:color w:val="auto"/>
          <w:sz w:val="21"/>
          <w:szCs w:val="21"/>
        </w:rPr>
        <w:t>文字</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除专用术语外，与</w:t>
      </w:r>
      <w:r>
        <w:rPr>
          <w:rFonts w:hint="eastAsia" w:ascii="宋体" w:hAnsi="宋体" w:cs="宋体"/>
          <w:color w:val="auto"/>
          <w:szCs w:val="21"/>
          <w:lang w:eastAsia="zh-CN"/>
        </w:rPr>
        <w:t>招标</w:t>
      </w:r>
      <w:r>
        <w:rPr>
          <w:rFonts w:hint="eastAsia" w:ascii="宋体" w:hAnsi="宋体" w:cs="宋体"/>
          <w:color w:val="auto"/>
          <w:szCs w:val="21"/>
        </w:rPr>
        <w:t>有关的语言均使用中文。必要时专用术语应附有中文注释，</w:t>
      </w:r>
      <w:r>
        <w:rPr>
          <w:rFonts w:hint="eastAsia" w:ascii="宋体" w:hAnsi="宋体" w:cs="宋体"/>
          <w:color w:val="auto"/>
          <w:szCs w:val="21"/>
          <w:lang w:bidi="en-US"/>
        </w:rPr>
        <w:t>对不同文字文本</w:t>
      </w:r>
      <w:r>
        <w:rPr>
          <w:rFonts w:hint="eastAsia" w:ascii="宋体" w:hAnsi="宋体" w:cs="宋体"/>
          <w:color w:val="auto"/>
          <w:szCs w:val="21"/>
          <w:lang w:eastAsia="zh-CN" w:bidi="en-US"/>
        </w:rPr>
        <w:t>投标文件</w:t>
      </w:r>
      <w:r>
        <w:rPr>
          <w:rFonts w:hint="eastAsia" w:ascii="宋体" w:hAnsi="宋体" w:cs="宋体"/>
          <w:color w:val="auto"/>
          <w:szCs w:val="21"/>
          <w:lang w:bidi="en-US"/>
        </w:rPr>
        <w:t>的解释发生异议的，以中文文本为准。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88" w:name="_Toc16772"/>
      <w:bookmarkStart w:id="189" w:name="_Toc455867777"/>
      <w:bookmarkStart w:id="190" w:name="_Toc152042314"/>
      <w:bookmarkStart w:id="191" w:name="_Toc4501"/>
      <w:bookmarkStart w:id="192" w:name="_Toc22415"/>
      <w:bookmarkStart w:id="193" w:name="_Toc24337"/>
      <w:bookmarkStart w:id="194" w:name="_Toc14934"/>
      <w:bookmarkStart w:id="195" w:name="_Toc18357"/>
      <w:bookmarkStart w:id="196" w:name="_Toc144974506"/>
      <w:bookmarkStart w:id="197" w:name="_Toc152045538"/>
      <w:bookmarkStart w:id="198" w:name="_Toc490667836"/>
      <w:bookmarkStart w:id="199" w:name="_Toc4237"/>
      <w:bookmarkStart w:id="200" w:name="_Toc32507"/>
      <w:bookmarkStart w:id="201" w:name="_Toc9446"/>
      <w:bookmarkStart w:id="202" w:name="_Toc22378"/>
      <w:bookmarkStart w:id="203" w:name="_Toc466298100"/>
      <w:bookmarkStart w:id="204" w:name="_Toc2702"/>
      <w:bookmarkStart w:id="205" w:name="_Toc24705"/>
      <w:bookmarkStart w:id="206" w:name="_Toc455080117"/>
      <w:bookmarkStart w:id="207" w:name="_Toc318450683"/>
      <w:r>
        <w:rPr>
          <w:rFonts w:hint="eastAsia" w:ascii="宋体" w:hAnsi="宋体" w:eastAsia="宋体"/>
          <w:b/>
          <w:bCs/>
          <w:color w:val="auto"/>
          <w:sz w:val="21"/>
          <w:szCs w:val="21"/>
        </w:rPr>
        <w:t>1.9 计量单位</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所有计量均采用中华人民共和国法定计量单位。</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val="0"/>
          <w:bCs w:val="0"/>
          <w:color w:val="auto"/>
          <w:sz w:val="21"/>
          <w:szCs w:val="21"/>
          <w:lang w:eastAsia="zh-CN"/>
        </w:rPr>
      </w:pPr>
      <w:bookmarkStart w:id="208" w:name="_Toc318450684"/>
      <w:bookmarkStart w:id="209" w:name="_Toc13675"/>
      <w:bookmarkStart w:id="210" w:name="_Toc455080118"/>
      <w:bookmarkStart w:id="211" w:name="_Toc2508"/>
      <w:bookmarkStart w:id="212" w:name="_Toc144974508"/>
      <w:bookmarkStart w:id="213" w:name="_Toc29845"/>
      <w:bookmarkStart w:id="214" w:name="_Toc31195"/>
      <w:bookmarkStart w:id="215" w:name="_Toc466298101"/>
      <w:bookmarkStart w:id="216" w:name="_Toc152045540"/>
      <w:bookmarkStart w:id="217" w:name="_Toc284"/>
      <w:bookmarkStart w:id="218" w:name="_Toc12027"/>
      <w:bookmarkStart w:id="219" w:name="_Toc19685"/>
      <w:bookmarkStart w:id="220" w:name="_Toc152042316"/>
      <w:bookmarkStart w:id="221" w:name="_Toc18589"/>
      <w:bookmarkStart w:id="222" w:name="_Toc455867778"/>
      <w:bookmarkStart w:id="223" w:name="_Toc338"/>
      <w:bookmarkStart w:id="224" w:name="_Toc490667837"/>
      <w:bookmarkStart w:id="225" w:name="_Toc27570"/>
      <w:bookmarkStart w:id="226" w:name="_Toc770"/>
      <w:bookmarkStart w:id="227" w:name="_Toc21045"/>
      <w:r>
        <w:rPr>
          <w:rFonts w:hint="eastAsia" w:ascii="宋体" w:hAnsi="宋体" w:eastAsia="宋体"/>
          <w:b/>
          <w:bCs/>
          <w:color w:val="auto"/>
          <w:sz w:val="21"/>
          <w:szCs w:val="21"/>
        </w:rPr>
        <w:t xml:space="preserve">1.10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b/>
          <w:bCs/>
          <w:color w:val="auto"/>
          <w:sz w:val="21"/>
          <w:szCs w:val="21"/>
          <w:lang w:eastAsia="zh-CN"/>
        </w:rPr>
        <w:t>现场踏勘：</w:t>
      </w:r>
      <w:r>
        <w:rPr>
          <w:rFonts w:hint="eastAsia" w:ascii="宋体" w:hAnsi="宋体" w:eastAsia="宋体"/>
          <w:b w:val="0"/>
          <w:bCs w:val="0"/>
          <w:color w:val="auto"/>
          <w:sz w:val="21"/>
          <w:szCs w:val="21"/>
          <w:lang w:eastAsia="zh-CN"/>
        </w:rPr>
        <w:t>自行踏勘，与之相关的费用，供应商自行承担。</w:t>
      </w:r>
      <w:bookmarkEnd w:id="226"/>
      <w:bookmarkEnd w:id="2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28" w:name="_Toc25208"/>
      <w:bookmarkStart w:id="229" w:name="_Toc17764"/>
      <w:bookmarkStart w:id="230" w:name="_Toc152045541"/>
      <w:bookmarkStart w:id="231" w:name="_Toc23678"/>
      <w:bookmarkStart w:id="232" w:name="_Toc318450685"/>
      <w:bookmarkStart w:id="233" w:name="_Toc11744"/>
      <w:bookmarkStart w:id="234" w:name="_Toc24262"/>
      <w:bookmarkStart w:id="235" w:name="_Toc23635"/>
      <w:bookmarkStart w:id="236" w:name="_Toc466298102"/>
      <w:bookmarkStart w:id="237" w:name="_Toc12562"/>
      <w:bookmarkStart w:id="238" w:name="_Toc144974509"/>
      <w:bookmarkStart w:id="239" w:name="_Toc152042317"/>
      <w:bookmarkStart w:id="240" w:name="_Toc31725"/>
      <w:bookmarkStart w:id="241" w:name="_Toc32757"/>
      <w:bookmarkStart w:id="242" w:name="_Toc3853"/>
      <w:bookmarkStart w:id="243" w:name="_Toc455080119"/>
      <w:bookmarkStart w:id="244" w:name="_Toc9182"/>
      <w:bookmarkStart w:id="245" w:name="_Toc490667838"/>
      <w:bookmarkStart w:id="246" w:name="_Toc30879"/>
      <w:bookmarkStart w:id="247" w:name="_Toc455867779"/>
      <w:r>
        <w:rPr>
          <w:rFonts w:hint="eastAsia" w:ascii="宋体" w:hAnsi="宋体" w:eastAsia="宋体"/>
          <w:b/>
          <w:bCs/>
          <w:color w:val="auto"/>
          <w:sz w:val="21"/>
          <w:szCs w:val="21"/>
        </w:rPr>
        <w:t>1.11分包</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ageBreakBefore w:val="0"/>
        <w:kinsoku/>
        <w:wordWrap/>
        <w:overflowPunct/>
        <w:topLinePunct w:val="0"/>
        <w:bidi w:val="0"/>
        <w:snapToGrid w:val="0"/>
        <w:spacing w:line="360" w:lineRule="auto"/>
        <w:ind w:firstLine="567" w:firstLineChars="270"/>
        <w:textAlignment w:val="auto"/>
        <w:rPr>
          <w:rFonts w:hint="eastAsia" w:ascii="宋体" w:hAnsi="宋体" w:cs="宋体"/>
          <w:color w:val="auto"/>
          <w:szCs w:val="21"/>
        </w:rPr>
      </w:pPr>
      <w:r>
        <w:rPr>
          <w:rFonts w:hint="eastAsia" w:ascii="宋体" w:hAnsi="宋体" w:cs="宋体"/>
          <w:color w:val="auto"/>
          <w:szCs w:val="21"/>
        </w:rPr>
        <w:t>是否允许分包：见供应商须知前附表。</w:t>
      </w:r>
      <w:bookmarkStart w:id="248" w:name="_Toc152042318"/>
      <w:bookmarkStart w:id="249" w:name="_Toc152045542"/>
      <w:bookmarkStart w:id="250" w:name="_Toc144974510"/>
      <w:bookmarkStart w:id="251" w:name="_Toc455080120"/>
    </w:p>
    <w:bookmarkEnd w:id="248"/>
    <w:bookmarkEnd w:id="249"/>
    <w:bookmarkEnd w:id="250"/>
    <w:p>
      <w:pPr>
        <w:pageBreakBefore w:val="0"/>
        <w:kinsoku/>
        <w:wordWrap/>
        <w:overflowPunct/>
        <w:topLinePunct w:val="0"/>
        <w:bidi w:val="0"/>
        <w:snapToGrid w:val="0"/>
        <w:spacing w:line="360" w:lineRule="auto"/>
        <w:textAlignment w:val="auto"/>
        <w:outlineLvl w:val="1"/>
        <w:rPr>
          <w:rFonts w:hint="eastAsia" w:ascii="宋体" w:hAnsi="宋体" w:eastAsia="宋体"/>
          <w:b/>
          <w:bCs/>
          <w:color w:val="auto"/>
          <w:szCs w:val="21"/>
          <w:lang w:eastAsia="zh-CN"/>
        </w:rPr>
      </w:pPr>
      <w:bookmarkStart w:id="252" w:name="_Toc12453"/>
      <w:bookmarkStart w:id="253" w:name="_Toc31645"/>
      <w:r>
        <w:rPr>
          <w:rFonts w:hint="eastAsia" w:ascii="宋体" w:hAnsi="宋体"/>
          <w:b/>
          <w:bCs/>
          <w:color w:val="auto"/>
          <w:szCs w:val="21"/>
        </w:rPr>
        <w:t>2.</w:t>
      </w:r>
      <w:bookmarkEnd w:id="251"/>
      <w:bookmarkEnd w:id="252"/>
      <w:r>
        <w:rPr>
          <w:rFonts w:hint="eastAsia" w:ascii="宋体" w:hAnsi="宋体"/>
          <w:b/>
          <w:bCs/>
          <w:color w:val="auto"/>
          <w:szCs w:val="21"/>
          <w:lang w:eastAsia="zh-CN"/>
        </w:rPr>
        <w:t>招标文件</w:t>
      </w:r>
      <w:bookmarkEnd w:id="253"/>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54" w:name="_Toc12640"/>
      <w:bookmarkStart w:id="255" w:name="_Toc20347"/>
      <w:bookmarkStart w:id="256" w:name="_Toc32711"/>
      <w:bookmarkStart w:id="257" w:name="_Toc466298104"/>
      <w:bookmarkStart w:id="258" w:name="_Toc23649"/>
      <w:bookmarkStart w:id="259" w:name="_Toc11599"/>
      <w:bookmarkStart w:id="260" w:name="_Toc7999"/>
      <w:bookmarkStart w:id="261" w:name="_Toc27403"/>
      <w:bookmarkStart w:id="262" w:name="_Toc12004"/>
      <w:bookmarkStart w:id="263" w:name="_Toc152045543"/>
      <w:bookmarkStart w:id="264" w:name="_Toc3982"/>
      <w:bookmarkStart w:id="265" w:name="_Toc455080121"/>
      <w:bookmarkStart w:id="266" w:name="_Toc144974511"/>
      <w:bookmarkStart w:id="267" w:name="_Toc490667840"/>
      <w:bookmarkStart w:id="268" w:name="_Toc152042319"/>
      <w:bookmarkStart w:id="269" w:name="_Toc455867781"/>
      <w:bookmarkStart w:id="270" w:name="_Toc318450687"/>
      <w:bookmarkStart w:id="271" w:name="_Toc1008"/>
      <w:bookmarkStart w:id="272" w:name="_Toc9780"/>
      <w:bookmarkStart w:id="273" w:name="_Toc11567"/>
      <w:r>
        <w:rPr>
          <w:rFonts w:hint="eastAsia" w:ascii="宋体" w:hAnsi="宋体" w:eastAsia="宋体"/>
          <w:b/>
          <w:bCs/>
          <w:color w:val="auto"/>
          <w:sz w:val="21"/>
          <w:szCs w:val="21"/>
        </w:rPr>
        <w:t>2.</w:t>
      </w:r>
      <w:r>
        <w:rPr>
          <w:rFonts w:hint="eastAsia" w:ascii="宋体" w:hAnsi="宋体" w:eastAsia="宋体"/>
          <w:b/>
          <w:bCs/>
          <w:color w:val="auto"/>
          <w:sz w:val="21"/>
          <w:szCs w:val="21"/>
          <w:lang w:val="en-US" w:eastAsia="zh-CN"/>
        </w:rPr>
        <w:t>1</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ageBreakBefore w:val="0"/>
        <w:kinsoku/>
        <w:wordWrap/>
        <w:overflowPunct/>
        <w:topLinePunct w:val="0"/>
        <w:bidi w:val="0"/>
        <w:snapToGrid w:val="0"/>
        <w:spacing w:line="360" w:lineRule="auto"/>
        <w:textAlignment w:val="auto"/>
        <w:rPr>
          <w:rFonts w:hint="eastAsia" w:ascii="宋体" w:hAnsi="宋体" w:cs="宋体"/>
          <w:color w:val="auto"/>
          <w:szCs w:val="21"/>
        </w:rPr>
      </w:pPr>
      <w:r>
        <w:rPr>
          <w:rFonts w:hint="eastAsia" w:ascii="宋体" w:hAnsi="宋体" w:cs="宋体"/>
          <w:color w:val="auto"/>
          <w:szCs w:val="21"/>
        </w:rPr>
        <w:t>　　本</w:t>
      </w:r>
      <w:r>
        <w:rPr>
          <w:rFonts w:hint="eastAsia" w:ascii="宋体" w:hAnsi="宋体" w:cs="宋体"/>
          <w:color w:val="auto"/>
          <w:szCs w:val="21"/>
          <w:lang w:eastAsia="zh-CN"/>
        </w:rPr>
        <w:t>招标文件</w:t>
      </w:r>
      <w:r>
        <w:rPr>
          <w:rFonts w:hint="eastAsia" w:ascii="宋体" w:hAnsi="宋体" w:cs="宋体"/>
          <w:color w:val="auto"/>
          <w:szCs w:val="21"/>
        </w:rPr>
        <w:t>包括：</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招标公告</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（2）供应商须知；</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（3）评审办法；</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河南省政府采购合同（参考文本）</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采购项目技术参数、规格与要求</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eastAsia="zh-CN"/>
        </w:rPr>
        <w:t>投标文件格式</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（7）供应商须知前附表规定的其他材料。</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根据本章第2.2款和第2.3款对</w:t>
      </w:r>
      <w:r>
        <w:rPr>
          <w:rFonts w:hint="eastAsia" w:ascii="宋体" w:hAnsi="宋体" w:cs="宋体"/>
          <w:color w:val="auto"/>
          <w:szCs w:val="21"/>
          <w:lang w:eastAsia="zh-CN"/>
        </w:rPr>
        <w:t>招标文件</w:t>
      </w:r>
      <w:r>
        <w:rPr>
          <w:rFonts w:hint="eastAsia" w:ascii="宋体" w:hAnsi="宋体" w:cs="宋体"/>
          <w:color w:val="auto"/>
          <w:szCs w:val="21"/>
        </w:rPr>
        <w:t>所作的澄清、修改，构成</w:t>
      </w:r>
      <w:r>
        <w:rPr>
          <w:rFonts w:hint="eastAsia" w:ascii="宋体" w:hAnsi="宋体" w:cs="宋体"/>
          <w:color w:val="auto"/>
          <w:szCs w:val="21"/>
          <w:lang w:eastAsia="zh-CN"/>
        </w:rPr>
        <w:t>招标文件</w:t>
      </w:r>
      <w:r>
        <w:rPr>
          <w:rFonts w:hint="eastAsia" w:ascii="宋体" w:hAnsi="宋体" w:cs="宋体"/>
          <w:color w:val="auto"/>
          <w:szCs w:val="21"/>
        </w:rPr>
        <w:t>的组成部分。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74" w:name="_Toc30346"/>
      <w:bookmarkStart w:id="275" w:name="_Toc2019"/>
      <w:bookmarkStart w:id="276" w:name="_Toc15658"/>
      <w:bookmarkStart w:id="277" w:name="_Toc144974514"/>
      <w:bookmarkStart w:id="278" w:name="_Toc455080124"/>
      <w:bookmarkStart w:id="279" w:name="_Toc152042322"/>
      <w:bookmarkStart w:id="280" w:name="_Toc152045546"/>
      <w:r>
        <w:rPr>
          <w:rFonts w:hint="eastAsia" w:ascii="宋体" w:hAnsi="宋体" w:eastAsia="宋体"/>
          <w:b/>
          <w:bCs/>
          <w:color w:val="auto"/>
          <w:sz w:val="21"/>
          <w:szCs w:val="21"/>
        </w:rPr>
        <w:t xml:space="preserve">2.2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的澄清</w:t>
      </w:r>
      <w:bookmarkEnd w:id="274"/>
      <w:bookmarkEnd w:id="275"/>
      <w:bookmarkEnd w:id="27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2.2.1供应商应仔细阅读和检查</w:t>
      </w:r>
      <w:r>
        <w:rPr>
          <w:rFonts w:hint="eastAsia" w:ascii="宋体" w:hAnsi="宋体" w:cs="宋体"/>
          <w:color w:val="auto"/>
          <w:lang w:eastAsia="zh-CN"/>
        </w:rPr>
        <w:t>招标文件</w:t>
      </w:r>
      <w:r>
        <w:rPr>
          <w:rFonts w:hint="eastAsia" w:ascii="宋体" w:hAnsi="宋体" w:cs="宋体"/>
          <w:color w:val="auto"/>
        </w:rPr>
        <w:t>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w:t>
      </w:r>
      <w:r>
        <w:rPr>
          <w:rFonts w:hint="eastAsia" w:ascii="宋体" w:hAnsi="宋体" w:cs="宋体"/>
          <w:color w:val="auto"/>
          <w:lang w:eastAsia="zh-CN"/>
        </w:rPr>
        <w:t>招标文件</w:t>
      </w:r>
      <w:r>
        <w:rPr>
          <w:rFonts w:hint="eastAsia" w:ascii="宋体" w:hAnsi="宋体" w:cs="宋体"/>
          <w:color w:val="auto"/>
        </w:rPr>
        <w:t>予以澄清。</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 xml:space="preserve">2.2.2 </w:t>
      </w:r>
      <w:r>
        <w:rPr>
          <w:rFonts w:hint="eastAsia" w:ascii="宋体" w:hAnsi="宋体" w:cs="宋体"/>
          <w:color w:val="auto"/>
          <w:lang w:eastAsia="zh-CN"/>
        </w:rPr>
        <w:t>招标文件</w:t>
      </w:r>
      <w:r>
        <w:rPr>
          <w:rFonts w:hint="eastAsia" w:ascii="宋体" w:hAnsi="宋体" w:cs="宋体"/>
          <w:color w:val="auto"/>
        </w:rPr>
        <w:t>的澄清将在供应商须知前附表规定的</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5天，相应延长投标截止时间。</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2.2.3供应商应在</w:t>
      </w:r>
      <w:r>
        <w:rPr>
          <w:rFonts w:hint="eastAsia" w:ascii="宋体" w:hAnsi="宋体"/>
          <w:color w:val="auto"/>
          <w:szCs w:val="21"/>
          <w:lang w:eastAsia="zh-CN"/>
        </w:rPr>
        <w:t>投标文件</w:t>
      </w:r>
      <w:r>
        <w:rPr>
          <w:rFonts w:hint="eastAsia" w:ascii="宋体" w:hAnsi="宋体"/>
          <w:color w:val="auto"/>
          <w:szCs w:val="21"/>
        </w:rPr>
        <w:t>递交截止时间前及时查看澄清内容，因供应商未及时查看而造成的后果自负。</w:t>
      </w:r>
      <w:bookmarkStart w:id="281" w:name="_Toc8358"/>
      <w:bookmarkStart w:id="282" w:name="_Toc8263"/>
      <w:bookmarkStart w:id="283" w:name="_Toc19360"/>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2.3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的修改</w:t>
      </w:r>
      <w:bookmarkEnd w:id="281"/>
      <w:bookmarkEnd w:id="282"/>
      <w:bookmarkEnd w:id="283"/>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2.3.1 在</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5天前，采购人可以修改</w:t>
      </w:r>
      <w:r>
        <w:rPr>
          <w:rFonts w:hint="eastAsia" w:ascii="宋体" w:hAnsi="宋体" w:cs="宋体"/>
          <w:color w:val="auto"/>
          <w:lang w:eastAsia="zh-CN"/>
        </w:rPr>
        <w:t>招标文件</w:t>
      </w:r>
      <w:r>
        <w:rPr>
          <w:rFonts w:hint="eastAsia" w:ascii="宋体" w:hAnsi="宋体" w:cs="宋体"/>
          <w:color w:val="auto"/>
        </w:rPr>
        <w:t>。如有修改，应在信阳市公共资源交易系统“变更公告”或“答疑文件”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w:t>
      </w:r>
      <w:r>
        <w:rPr>
          <w:rFonts w:hint="eastAsia" w:ascii="宋体" w:hAnsi="宋体" w:cs="宋体"/>
          <w:color w:val="auto"/>
          <w:lang w:eastAsia="zh-CN"/>
        </w:rPr>
        <w:t>投标文件</w:t>
      </w:r>
      <w:r>
        <w:rPr>
          <w:rFonts w:hint="eastAsia" w:ascii="宋体" w:hAnsi="宋体" w:cs="宋体"/>
          <w:color w:val="auto"/>
        </w:rPr>
        <w:t>递交截止时间。</w:t>
      </w:r>
    </w:p>
    <w:p>
      <w:pPr>
        <w:pageBreakBefore w:val="0"/>
        <w:kinsoku/>
        <w:wordWrap/>
        <w:overflowPunct/>
        <w:topLinePunct w:val="0"/>
        <w:bidi w:val="0"/>
        <w:snapToGrid w:val="0"/>
        <w:spacing w:line="360" w:lineRule="auto"/>
        <w:ind w:firstLine="420"/>
        <w:textAlignment w:val="auto"/>
        <w:rPr>
          <w:rFonts w:hint="eastAsia" w:ascii="宋体" w:hAnsi="宋体"/>
          <w:color w:val="auto"/>
          <w:szCs w:val="21"/>
        </w:rPr>
      </w:pPr>
      <w:r>
        <w:rPr>
          <w:rFonts w:hint="eastAsia" w:ascii="宋体" w:hAnsi="宋体" w:cs="宋体"/>
          <w:color w:val="auto"/>
        </w:rPr>
        <w:t>2.3.2当</w:t>
      </w:r>
      <w:r>
        <w:rPr>
          <w:rFonts w:hint="eastAsia" w:ascii="宋体" w:hAnsi="宋体" w:cs="宋体"/>
          <w:color w:val="auto"/>
          <w:lang w:eastAsia="zh-CN"/>
        </w:rPr>
        <w:t>招标文件</w:t>
      </w:r>
      <w:r>
        <w:rPr>
          <w:rFonts w:hint="eastAsia" w:ascii="宋体" w:hAnsi="宋体" w:cs="宋体"/>
          <w:color w:val="auto"/>
        </w:rPr>
        <w:t>的澄清、修改、补充等在同一内容的表述上不一致时，</w:t>
      </w:r>
      <w:r>
        <w:rPr>
          <w:rFonts w:hint="eastAsia" w:ascii="宋体" w:hAnsi="宋体"/>
          <w:color w:val="auto"/>
          <w:szCs w:val="21"/>
        </w:rPr>
        <w:t>以最后在</w:t>
      </w:r>
      <w:r>
        <w:rPr>
          <w:rFonts w:hint="eastAsia" w:ascii="宋体" w:hAnsi="宋体"/>
          <w:color w:val="auto"/>
          <w:szCs w:val="21"/>
          <w:lang w:eastAsia="zh-CN"/>
        </w:rPr>
        <w:t>信阳市</w:t>
      </w:r>
      <w:r>
        <w:rPr>
          <w:rFonts w:hint="eastAsia" w:ascii="宋体" w:hAnsi="宋体"/>
          <w:color w:val="auto"/>
          <w:szCs w:val="21"/>
        </w:rPr>
        <w:t>公共资源交易系统发出的文件为准。</w:t>
      </w:r>
    </w:p>
    <w:p>
      <w:pPr>
        <w:pageBreakBefore w:val="0"/>
        <w:kinsoku/>
        <w:wordWrap/>
        <w:overflowPunct/>
        <w:topLinePunct w:val="0"/>
        <w:bidi w:val="0"/>
        <w:snapToGrid w:val="0"/>
        <w:spacing w:line="360" w:lineRule="auto"/>
        <w:ind w:firstLine="420" w:firstLineChars="200"/>
        <w:textAlignment w:val="auto"/>
        <w:rPr>
          <w:color w:val="auto"/>
        </w:rPr>
      </w:pPr>
      <w:r>
        <w:rPr>
          <w:rFonts w:hint="eastAsia" w:ascii="宋体" w:hAnsi="宋体" w:cs="宋体"/>
          <w:color w:val="auto"/>
        </w:rPr>
        <w:t>2.3.3</w:t>
      </w:r>
      <w:r>
        <w:rPr>
          <w:rFonts w:hint="eastAsia" w:ascii="宋体" w:hAnsi="宋体"/>
          <w:color w:val="auto"/>
          <w:szCs w:val="21"/>
        </w:rPr>
        <w:t>供应商应在</w:t>
      </w:r>
      <w:r>
        <w:rPr>
          <w:rFonts w:hint="eastAsia" w:ascii="宋体" w:hAnsi="宋体"/>
          <w:color w:val="auto"/>
          <w:szCs w:val="21"/>
          <w:lang w:eastAsia="zh-CN"/>
        </w:rPr>
        <w:t>投标文件</w:t>
      </w:r>
      <w:r>
        <w:rPr>
          <w:rFonts w:hint="eastAsia" w:ascii="宋体" w:hAnsi="宋体"/>
          <w:color w:val="auto"/>
          <w:szCs w:val="21"/>
        </w:rPr>
        <w:t>递交截止时间前及时查看修改内容，因供应商未及时查看而造成的后果自负。</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284" w:name="_Toc4666"/>
      <w:bookmarkStart w:id="285" w:name="_Toc24198"/>
      <w:r>
        <w:rPr>
          <w:rFonts w:hint="eastAsia" w:ascii="宋体" w:hAnsi="宋体" w:eastAsia="宋体"/>
          <w:b/>
          <w:bCs/>
          <w:color w:val="auto"/>
          <w:sz w:val="21"/>
          <w:szCs w:val="21"/>
        </w:rPr>
        <w:t xml:space="preserve">3. </w:t>
      </w:r>
      <w:bookmarkEnd w:id="277"/>
      <w:bookmarkEnd w:id="278"/>
      <w:bookmarkEnd w:id="279"/>
      <w:bookmarkEnd w:id="280"/>
      <w:bookmarkEnd w:id="284"/>
      <w:r>
        <w:rPr>
          <w:rFonts w:hint="eastAsia" w:ascii="宋体" w:hAnsi="宋体" w:eastAsia="宋体"/>
          <w:b/>
          <w:bCs/>
          <w:color w:val="auto"/>
          <w:sz w:val="21"/>
          <w:szCs w:val="21"/>
          <w:lang w:eastAsia="zh-CN"/>
        </w:rPr>
        <w:t>投标文件</w:t>
      </w:r>
      <w:bookmarkEnd w:id="285"/>
    </w:p>
    <w:p>
      <w:pPr>
        <w:pStyle w:val="48"/>
        <w:pageBreakBefore w:val="0"/>
        <w:kinsoku/>
        <w:wordWrap/>
        <w:overflowPunct/>
        <w:topLinePunct w:val="0"/>
        <w:bidi w:val="0"/>
        <w:snapToGrid w:val="0"/>
        <w:spacing w:before="0" w:beforeLines="0" w:after="0" w:afterLines="0" w:line="360" w:lineRule="auto"/>
        <w:textAlignment w:val="auto"/>
        <w:outlineLvl w:val="9"/>
        <w:rPr>
          <w:rFonts w:hint="eastAsia" w:ascii="宋体" w:hAnsi="宋体" w:eastAsia="宋体"/>
          <w:b/>
          <w:bCs/>
          <w:color w:val="auto"/>
          <w:sz w:val="21"/>
          <w:szCs w:val="21"/>
        </w:rPr>
      </w:pPr>
      <w:bookmarkStart w:id="286" w:name="_Toc15810"/>
      <w:bookmarkStart w:id="287" w:name="_Toc16198"/>
      <w:bookmarkStart w:id="288" w:name="_Toc318450691"/>
      <w:bookmarkStart w:id="289" w:name="_Toc17583"/>
      <w:bookmarkStart w:id="290" w:name="_Toc27373"/>
      <w:bookmarkStart w:id="291" w:name="_Toc490667844"/>
      <w:bookmarkStart w:id="292" w:name="_Toc10096"/>
      <w:bookmarkStart w:id="293" w:name="_Toc152042323"/>
      <w:bookmarkStart w:id="294" w:name="_Toc152045547"/>
      <w:bookmarkStart w:id="295" w:name="_Toc144974515"/>
      <w:bookmarkStart w:id="296" w:name="_Toc24440"/>
      <w:bookmarkStart w:id="297" w:name="_Toc9273"/>
      <w:r>
        <w:rPr>
          <w:rFonts w:hint="eastAsia" w:ascii="宋体" w:hAnsi="宋体" w:eastAsia="宋体"/>
          <w:b/>
          <w:bCs/>
          <w:color w:val="auto"/>
          <w:sz w:val="21"/>
          <w:szCs w:val="21"/>
        </w:rPr>
        <w:t xml:space="preserve">3.1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的组成</w:t>
      </w:r>
      <w:bookmarkEnd w:id="286"/>
      <w:bookmarkEnd w:id="287"/>
      <w:bookmarkEnd w:id="288"/>
      <w:bookmarkEnd w:id="289"/>
      <w:bookmarkEnd w:id="290"/>
      <w:bookmarkEnd w:id="291"/>
      <w:bookmarkEnd w:id="292"/>
      <w:bookmarkEnd w:id="293"/>
      <w:bookmarkEnd w:id="294"/>
      <w:bookmarkEnd w:id="295"/>
      <w:bookmarkEnd w:id="296"/>
      <w:bookmarkEnd w:id="297"/>
    </w:p>
    <w:p>
      <w:pPr>
        <w:pageBreakBefore w:val="0"/>
        <w:widowControl/>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bookmarkStart w:id="298" w:name="_Toc144974516"/>
      <w:bookmarkStart w:id="299" w:name="_Toc899"/>
      <w:bookmarkStart w:id="300" w:name="_Toc279156232"/>
      <w:bookmarkStart w:id="301" w:name="_Toc26291"/>
      <w:bookmarkStart w:id="302" w:name="_Toc318450692"/>
      <w:bookmarkStart w:id="303" w:name="_Toc152042324"/>
      <w:bookmarkStart w:id="304" w:name="_Toc152045548"/>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应包括下列内容</w:t>
      </w:r>
      <w:r>
        <w:rPr>
          <w:rFonts w:hint="eastAsia" w:ascii="宋体" w:hAnsi="宋体" w:eastAsia="宋体" w:cs="宋体"/>
          <w:b/>
          <w:bCs/>
          <w:color w:val="auto"/>
          <w:sz w:val="21"/>
          <w:szCs w:val="21"/>
        </w:rPr>
        <w:t>：</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1）投标函</w:t>
      </w:r>
      <w:r>
        <w:rPr>
          <w:rFonts w:hint="eastAsia" w:ascii="宋体" w:hAnsi="宋体" w:eastAsia="宋体" w:cs="宋体"/>
          <w:bCs/>
          <w:color w:val="auto"/>
          <w:sz w:val="21"/>
          <w:szCs w:val="21"/>
        </w:rPr>
        <w:t>及投标函</w:t>
      </w:r>
      <w:r>
        <w:rPr>
          <w:rFonts w:hint="eastAsia" w:ascii="宋体" w:hAnsi="宋体" w:eastAsia="宋体" w:cs="宋体"/>
          <w:bCs/>
          <w:color w:val="auto"/>
          <w:sz w:val="21"/>
          <w:szCs w:val="21"/>
          <w:lang w:eastAsia="zh-CN"/>
        </w:rPr>
        <w:t>附录</w:t>
      </w:r>
      <w:r>
        <w:rPr>
          <w:rFonts w:hint="eastAsia" w:ascii="宋体" w:hAnsi="宋体" w:eastAsia="宋体" w:cs="宋体"/>
          <w:bCs/>
          <w:color w:val="auto"/>
          <w:sz w:val="21"/>
          <w:szCs w:val="21"/>
        </w:rPr>
        <w:t xml:space="preserve"> </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法定代表人（单位负责人）身份证明（适用于无委托代理人的情况）</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授权委托书（适用于有委托代理人的情况） </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联合体协议书 （如有）</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4）清单</w:t>
      </w:r>
      <w:r>
        <w:rPr>
          <w:rFonts w:hint="eastAsia" w:ascii="宋体" w:hAnsi="宋体" w:eastAsia="宋体" w:cs="宋体"/>
          <w:bCs/>
          <w:color w:val="auto"/>
          <w:sz w:val="21"/>
          <w:szCs w:val="21"/>
        </w:rPr>
        <w:t>报价表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商务及技术偏差表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6）投标货物</w:t>
      </w:r>
      <w:r>
        <w:rPr>
          <w:rFonts w:hint="eastAsia" w:ascii="宋体" w:hAnsi="宋体" w:eastAsia="宋体" w:cs="宋体"/>
          <w:bCs/>
          <w:color w:val="auto"/>
          <w:sz w:val="21"/>
          <w:szCs w:val="21"/>
          <w:lang w:eastAsia="zh-CN"/>
        </w:rPr>
        <w:t>技术性能指标的详细描述</w:t>
      </w:r>
      <w:r>
        <w:rPr>
          <w:rFonts w:hint="eastAsia" w:ascii="宋体" w:hAnsi="宋体" w:eastAsia="宋体" w:cs="宋体"/>
          <w:bCs/>
          <w:color w:val="auto"/>
          <w:sz w:val="21"/>
          <w:szCs w:val="21"/>
          <w:lang w:val="en-US" w:eastAsia="zh-CN"/>
        </w:rPr>
        <w:t>及技术支持资料</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售后服务承诺</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资格审查资料</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中小企业声明函(如有)</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残疾人福利性单位声明函(如有)</w:t>
      </w:r>
      <w:r>
        <w:rPr>
          <w:rFonts w:hint="eastAsia" w:ascii="宋体" w:hAnsi="宋体" w:eastAsia="宋体" w:cs="宋体"/>
          <w:bCs/>
          <w:color w:val="auto"/>
          <w:sz w:val="21"/>
          <w:szCs w:val="21"/>
          <w:lang w:eastAsia="zh-CN"/>
        </w:rPr>
        <w:t>（非专门面向中小企业适用）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监狱企业证明文件（如有）</w:t>
      </w:r>
      <w:r>
        <w:rPr>
          <w:rFonts w:hint="eastAsia" w:ascii="宋体" w:hAnsi="宋体" w:eastAsia="宋体" w:cs="宋体"/>
          <w:bCs/>
          <w:color w:val="auto"/>
          <w:sz w:val="21"/>
          <w:szCs w:val="21"/>
          <w:lang w:eastAsia="zh-CN"/>
        </w:rPr>
        <w:t>（非专门面向中小企业适用）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反商业贿赂承诺书</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其他材料</w:t>
      </w:r>
    </w:p>
    <w:p>
      <w:pPr>
        <w:pageBreakBefore w:val="0"/>
        <w:kinsoku/>
        <w:wordWrap/>
        <w:overflowPunct/>
        <w:topLinePunct w:val="0"/>
        <w:bidi w:val="0"/>
        <w:snapToGrid w:val="0"/>
        <w:spacing w:line="360" w:lineRule="auto"/>
        <w:textAlignment w:val="auto"/>
        <w:rPr>
          <w:rFonts w:hint="eastAsia" w:ascii="宋体" w:hAnsi="宋体" w:cs="宋体" w:eastAsiaTheme="minorEastAsia"/>
          <w:b/>
          <w:bCs/>
          <w:color w:val="auto"/>
          <w:szCs w:val="21"/>
          <w:lang w:eastAsia="zh-CN"/>
        </w:rPr>
      </w:pPr>
      <w:r>
        <w:rPr>
          <w:rFonts w:hint="eastAsia" w:ascii="宋体" w:hAnsi="宋体" w:cs="宋体"/>
          <w:b/>
          <w:bCs/>
          <w:color w:val="auto"/>
          <w:szCs w:val="21"/>
        </w:rPr>
        <w:t xml:space="preserve">3.2 </w:t>
      </w:r>
      <w:bookmarkEnd w:id="298"/>
      <w:bookmarkEnd w:id="299"/>
      <w:bookmarkEnd w:id="300"/>
      <w:bookmarkEnd w:id="301"/>
      <w:bookmarkEnd w:id="302"/>
      <w:bookmarkEnd w:id="303"/>
      <w:bookmarkEnd w:id="304"/>
      <w:r>
        <w:rPr>
          <w:rFonts w:hint="eastAsia" w:ascii="宋体" w:hAnsi="宋体" w:cs="宋体"/>
          <w:b/>
          <w:bCs/>
          <w:color w:val="auto"/>
          <w:szCs w:val="21"/>
          <w:lang w:eastAsia="zh-CN"/>
        </w:rPr>
        <w:t>投标报价</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bookmarkStart w:id="305" w:name="_Toc12402"/>
      <w:bookmarkStart w:id="306" w:name="_Toc455080126"/>
      <w:bookmarkStart w:id="307" w:name="_Toc144974517"/>
      <w:bookmarkStart w:id="308" w:name="_Toc3624"/>
      <w:bookmarkStart w:id="309" w:name="_Toc6105"/>
      <w:bookmarkStart w:id="310" w:name="_Toc29133"/>
      <w:bookmarkStart w:id="311" w:name="_Toc152045549"/>
      <w:bookmarkStart w:id="312" w:name="_Toc21680"/>
      <w:bookmarkStart w:id="313" w:name="_Toc152042325"/>
      <w:bookmarkStart w:id="314" w:name="_Toc466298109"/>
      <w:bookmarkStart w:id="315" w:name="_Toc2425"/>
      <w:bookmarkStart w:id="316" w:name="_Toc455867786"/>
      <w:bookmarkStart w:id="317" w:name="_Toc318450693"/>
      <w:bookmarkStart w:id="318" w:name="_Toc7910"/>
      <w:bookmarkStart w:id="319" w:name="_Toc25387"/>
      <w:bookmarkStart w:id="320" w:name="_Toc21600"/>
      <w:bookmarkStart w:id="321" w:name="_Toc7105"/>
      <w:bookmarkStart w:id="322" w:name="_Toc490667846"/>
      <w:bookmarkStart w:id="323" w:name="_Toc11968"/>
      <w:r>
        <w:rPr>
          <w:rFonts w:hint="eastAsia" w:ascii="宋体" w:hAnsi="宋体" w:cs="宋体"/>
          <w:color w:val="auto"/>
          <w:szCs w:val="21"/>
        </w:rPr>
        <w:t>3.2.1本项目的</w:t>
      </w:r>
      <w:r>
        <w:rPr>
          <w:rFonts w:hint="eastAsia" w:ascii="宋体" w:hAnsi="宋体" w:cs="宋体"/>
          <w:color w:val="auto"/>
          <w:szCs w:val="21"/>
          <w:lang w:eastAsia="zh-CN"/>
        </w:rPr>
        <w:t>投标报价</w:t>
      </w:r>
      <w:r>
        <w:rPr>
          <w:rFonts w:hint="eastAsia" w:ascii="宋体" w:hAnsi="宋体" w:cs="宋体"/>
          <w:color w:val="auto"/>
          <w:szCs w:val="21"/>
        </w:rPr>
        <w:t>应按照</w:t>
      </w:r>
      <w:r>
        <w:rPr>
          <w:rFonts w:hint="eastAsia" w:ascii="宋体" w:hAnsi="宋体" w:cs="宋体"/>
          <w:color w:val="auto"/>
          <w:szCs w:val="21"/>
          <w:lang w:eastAsia="zh-CN"/>
        </w:rPr>
        <w:t>招标文件</w:t>
      </w:r>
      <w:r>
        <w:rPr>
          <w:rFonts w:hint="eastAsia" w:ascii="宋体" w:hAnsi="宋体" w:cs="宋体"/>
          <w:color w:val="auto"/>
          <w:szCs w:val="21"/>
        </w:rPr>
        <w:t>、补充通知、答疑纪要、现场情况、承包范围，并充分考虑</w:t>
      </w:r>
      <w:r>
        <w:rPr>
          <w:rFonts w:hint="eastAsia" w:ascii="宋体" w:hAnsi="宋体" w:cs="宋体"/>
          <w:color w:val="auto"/>
          <w:szCs w:val="21"/>
          <w:lang w:eastAsia="zh-CN"/>
        </w:rPr>
        <w:t>供货</w:t>
      </w:r>
      <w:r>
        <w:rPr>
          <w:rFonts w:hint="eastAsia" w:ascii="宋体" w:hAnsi="宋体" w:cs="宋体"/>
          <w:color w:val="auto"/>
          <w:szCs w:val="21"/>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第报价必须按照</w:t>
      </w:r>
      <w:r>
        <w:rPr>
          <w:rFonts w:hint="eastAsia" w:ascii="宋体" w:hAnsi="宋体" w:cs="宋体"/>
          <w:color w:val="auto"/>
          <w:szCs w:val="21"/>
          <w:lang w:eastAsia="zh-CN"/>
        </w:rPr>
        <w:t>招标文件</w:t>
      </w:r>
      <w:r>
        <w:rPr>
          <w:rFonts w:hint="eastAsia" w:ascii="宋体" w:hAnsi="宋体" w:cs="宋体"/>
          <w:color w:val="auto"/>
          <w:szCs w:val="21"/>
        </w:rPr>
        <w:t>的报价格式填报</w:t>
      </w:r>
      <w:bookmarkEnd w:id="305"/>
      <w:r>
        <w:rPr>
          <w:rFonts w:hint="eastAsia" w:ascii="宋体" w:hAnsi="宋体" w:cs="宋体"/>
          <w:color w:val="auto"/>
          <w:szCs w:val="21"/>
        </w:rPr>
        <w:t>。</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3.2.2供应商应充分了解该项目的总体情况以及影响</w:t>
      </w:r>
      <w:r>
        <w:rPr>
          <w:rFonts w:hint="eastAsia" w:ascii="宋体" w:hAnsi="宋体" w:cs="宋体"/>
          <w:color w:val="auto"/>
          <w:szCs w:val="21"/>
          <w:lang w:eastAsia="zh-CN"/>
        </w:rPr>
        <w:t>投标报价</w:t>
      </w:r>
      <w:r>
        <w:rPr>
          <w:rFonts w:hint="eastAsia" w:ascii="宋体" w:hAnsi="宋体" w:cs="宋体"/>
          <w:color w:val="auto"/>
          <w:szCs w:val="21"/>
        </w:rPr>
        <w:t>的其它要素，考虑</w:t>
      </w:r>
      <w:r>
        <w:rPr>
          <w:rFonts w:hint="eastAsia" w:ascii="宋体" w:hAnsi="宋体" w:cs="宋体"/>
          <w:color w:val="auto"/>
          <w:szCs w:val="21"/>
          <w:lang w:eastAsia="zh-CN"/>
        </w:rPr>
        <w:t>供货期间</w:t>
      </w:r>
      <w:r>
        <w:rPr>
          <w:rFonts w:hint="eastAsia" w:ascii="宋体" w:hAnsi="宋体" w:cs="宋体"/>
          <w:color w:val="auto"/>
          <w:szCs w:val="21"/>
        </w:rPr>
        <w:t>的价格风险因素，成交价在合同实施期内不得调整，同时也不因市场价格变动而调整。</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3.2.3 响应报价表中的大写金额和小写金额不一致的，以大写金额为准。</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b/>
          <w:bCs/>
          <w:color w:val="auto"/>
          <w:szCs w:val="21"/>
        </w:rPr>
      </w:pPr>
      <w:r>
        <w:rPr>
          <w:rFonts w:hint="eastAsia" w:ascii="宋体" w:hAnsi="宋体" w:cs="宋体"/>
          <w:b w:val="0"/>
          <w:bCs w:val="0"/>
          <w:color w:val="auto"/>
          <w:szCs w:val="21"/>
        </w:rPr>
        <w:t>3.2.4供应商的报价明显低于其他通过符合性审查供应商的报价，有可能影响</w:t>
      </w:r>
      <w:r>
        <w:rPr>
          <w:rFonts w:hint="eastAsia" w:ascii="宋体" w:hAnsi="宋体" w:cs="宋体"/>
          <w:b w:val="0"/>
          <w:bCs w:val="0"/>
          <w:color w:val="auto"/>
          <w:szCs w:val="21"/>
          <w:lang w:eastAsia="zh-CN"/>
        </w:rPr>
        <w:t>产品</w:t>
      </w:r>
      <w:r>
        <w:rPr>
          <w:rFonts w:hint="eastAsia" w:ascii="宋体" w:hAnsi="宋体" w:cs="宋体"/>
          <w:b w:val="0"/>
          <w:bCs w:val="0"/>
          <w:color w:val="auto"/>
          <w:szCs w:val="21"/>
        </w:rPr>
        <w:t>质量或者不能诚信履约的，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应当要求其在</w:t>
      </w:r>
      <w:r>
        <w:rPr>
          <w:rFonts w:hint="eastAsia" w:ascii="宋体" w:hAnsi="宋体" w:cs="宋体"/>
          <w:b w:val="0"/>
          <w:bCs w:val="0"/>
          <w:color w:val="auto"/>
          <w:szCs w:val="21"/>
          <w:lang w:eastAsia="zh-CN"/>
        </w:rPr>
        <w:t>招标</w:t>
      </w:r>
      <w:r>
        <w:rPr>
          <w:rFonts w:hint="eastAsia" w:ascii="宋体" w:hAnsi="宋体" w:cs="宋体"/>
          <w:b w:val="0"/>
          <w:bCs w:val="0"/>
          <w:color w:val="auto"/>
          <w:szCs w:val="21"/>
        </w:rPr>
        <w:t>现场</w:t>
      </w:r>
      <w:r>
        <w:rPr>
          <w:rFonts w:hint="eastAsia" w:ascii="宋体" w:hAnsi="宋体" w:cs="宋体"/>
          <w:b w:val="0"/>
          <w:bCs w:val="0"/>
          <w:color w:val="auto"/>
          <w:kern w:val="0"/>
          <w:szCs w:val="21"/>
          <w:lang w:eastAsia="zh-CN"/>
        </w:rPr>
        <w:t>（或电子交易系统）</w:t>
      </w:r>
      <w:r>
        <w:rPr>
          <w:rFonts w:hint="eastAsia" w:ascii="宋体" w:hAnsi="宋体" w:cs="宋体"/>
          <w:b w:val="0"/>
          <w:bCs w:val="0"/>
          <w:color w:val="auto"/>
          <w:szCs w:val="21"/>
        </w:rPr>
        <w:t>合理的时间内提供书面说明</w:t>
      </w:r>
      <w:r>
        <w:rPr>
          <w:rFonts w:hint="eastAsia" w:ascii="宋体" w:hAnsi="宋体" w:cs="宋体"/>
          <w:b w:val="0"/>
          <w:bCs w:val="0"/>
          <w:color w:val="auto"/>
          <w:kern w:val="0"/>
          <w:szCs w:val="21"/>
          <w:lang w:eastAsia="zh-CN"/>
        </w:rPr>
        <w:t>（或电子澄清说明文件）</w:t>
      </w:r>
      <w:r>
        <w:rPr>
          <w:rFonts w:hint="eastAsia" w:ascii="宋体" w:hAnsi="宋体" w:cs="宋体"/>
          <w:b w:val="0"/>
          <w:bCs w:val="0"/>
          <w:color w:val="auto"/>
          <w:szCs w:val="21"/>
        </w:rPr>
        <w:t>，必要时提交相关证明材料；供应商不能证明其报价合理性的，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 xml:space="preserve">应当将其作为无效投标处理。 </w:t>
      </w:r>
      <w:r>
        <w:rPr>
          <w:rFonts w:hint="eastAsia" w:ascii="宋体" w:hAnsi="宋体" w:cs="宋体"/>
          <w:b/>
          <w:bCs/>
          <w:color w:val="auto"/>
          <w:szCs w:val="21"/>
        </w:rPr>
        <w:t xml:space="preserve"> </w:t>
      </w:r>
    </w:p>
    <w:p>
      <w:pPr>
        <w:pageBreakBefore w:val="0"/>
        <w:kinsoku/>
        <w:wordWrap/>
        <w:overflowPunct/>
        <w:topLinePunct w:val="0"/>
        <w:bidi w:val="0"/>
        <w:snapToGrid w:val="0"/>
        <w:spacing w:line="360" w:lineRule="auto"/>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pPr>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根据《政府采购促进中小企业发展管理办法》（财库[20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46</w:t>
      </w:r>
      <w:r>
        <w:rPr>
          <w:rFonts w:hint="eastAsia" w:ascii="宋体" w:hAnsi="宋体" w:eastAsia="宋体" w:cs="宋体"/>
          <w:color w:val="auto"/>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11]300号）、河南省财政厅、河南省工业和信息化厅《关于政府采购促进小型微型企业发展的实施意见》（豫财购[</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13]14号）文件规定、河南省财政厅关于进一步做好政府采购支持中小企业发展有关事项的通知（豫财购〔2022〕5号），对小型和微型企业</w:t>
      </w:r>
      <w:r>
        <w:rPr>
          <w:rFonts w:hint="eastAsia" w:ascii="宋体" w:hAnsi="宋体" w:eastAsia="宋体" w:cs="宋体"/>
          <w:color w:val="auto"/>
          <w:sz w:val="21"/>
          <w:szCs w:val="21"/>
          <w:highlight w:val="none"/>
          <w:lang w:val="zh-CN"/>
        </w:rPr>
        <w:t>产品的价格给予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%的扣除，用扣除后的价格参与评审。</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%的价格扣除，但必须提供由省级以上监狱管理局、戒毒管理局（含新疆生产建设兵团）出具的属</w:t>
      </w:r>
      <w:r>
        <w:rPr>
          <w:rFonts w:hint="eastAsia" w:ascii="宋体" w:hAnsi="宋体" w:eastAsia="宋体" w:cs="宋体"/>
          <w:color w:val="auto"/>
          <w:sz w:val="21"/>
          <w:szCs w:val="21"/>
        </w:rPr>
        <w:t>于监狱企业的证明文件，否则评审时不予价格扣除优惠。</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kinsoku/>
        <w:wordWrap/>
        <w:overflowPunct/>
        <w:topLinePunct w:val="0"/>
        <w:bidi w:val="0"/>
        <w:snapToGrid w:val="0"/>
        <w:spacing w:line="360" w:lineRule="auto"/>
        <w:ind w:left="0" w:leftChars="0" w:firstLine="422" w:firstLineChars="200"/>
        <w:textAlignment w:val="auto"/>
        <w:rPr>
          <w:rFonts w:hint="eastAsia"/>
          <w:color w:val="auto"/>
        </w:rPr>
      </w:pPr>
      <w:r>
        <w:rPr>
          <w:rFonts w:hint="eastAsia" w:ascii="宋体" w:hAnsi="宋体" w:eastAsia="宋体" w:cs="宋体"/>
          <w:b/>
          <w:bCs/>
          <w:color w:val="auto"/>
          <w:sz w:val="21"/>
          <w:szCs w:val="21"/>
        </w:rPr>
        <w:t>注：投标价格为含税价，应包含</w:t>
      </w:r>
      <w:r>
        <w:rPr>
          <w:rFonts w:hint="eastAsia" w:ascii="宋体" w:hAnsi="宋体" w:eastAsia="宋体" w:cs="宋体"/>
          <w:b/>
          <w:bCs/>
          <w:color w:val="auto"/>
          <w:sz w:val="21"/>
          <w:szCs w:val="21"/>
          <w:lang w:eastAsia="zh-CN"/>
        </w:rPr>
        <w:t>货物</w:t>
      </w:r>
      <w:r>
        <w:rPr>
          <w:rFonts w:hint="eastAsia" w:ascii="宋体" w:hAnsi="宋体" w:eastAsia="宋体" w:cs="宋体"/>
          <w:b/>
          <w:bCs/>
          <w:color w:val="auto"/>
          <w:sz w:val="21"/>
          <w:szCs w:val="21"/>
        </w:rPr>
        <w:t>配送到</w:t>
      </w:r>
      <w:r>
        <w:rPr>
          <w:rFonts w:hint="eastAsia" w:ascii="宋体" w:hAnsi="宋体" w:eastAsia="宋体" w:cs="宋体"/>
          <w:b/>
          <w:bCs/>
          <w:color w:val="auto"/>
          <w:sz w:val="21"/>
          <w:szCs w:val="21"/>
          <w:lang w:eastAsia="zh-CN"/>
        </w:rPr>
        <w:t>采购人</w:t>
      </w:r>
      <w:r>
        <w:rPr>
          <w:rFonts w:hint="eastAsia" w:ascii="宋体" w:hAnsi="宋体" w:eastAsia="宋体" w:cs="宋体"/>
          <w:b/>
          <w:bCs/>
          <w:color w:val="auto"/>
          <w:sz w:val="21"/>
          <w:szCs w:val="21"/>
        </w:rPr>
        <w:t>指定地点落地交货前的一切费用及后期培训费用等。</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24" w:name="_Toc18966"/>
      <w:bookmarkStart w:id="325" w:name="_Toc7659"/>
      <w:r>
        <w:rPr>
          <w:rFonts w:hint="eastAsia" w:ascii="宋体" w:hAnsi="宋体" w:eastAsia="宋体"/>
          <w:b/>
          <w:bCs/>
          <w:color w:val="auto"/>
          <w:sz w:val="21"/>
          <w:szCs w:val="21"/>
        </w:rPr>
        <w:t xml:space="preserve">3.3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有效期</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3.3.1 在供应商须知前附表规定的</w:t>
      </w:r>
      <w:r>
        <w:rPr>
          <w:rFonts w:hint="eastAsia" w:ascii="宋体" w:hAnsi="宋体" w:cs="宋体"/>
          <w:color w:val="auto"/>
          <w:szCs w:val="21"/>
          <w:lang w:eastAsia="zh-CN"/>
        </w:rPr>
        <w:t>投标有效期</w:t>
      </w:r>
      <w:r>
        <w:rPr>
          <w:rFonts w:hint="eastAsia" w:ascii="宋体" w:hAnsi="宋体" w:cs="宋体"/>
          <w:color w:val="auto"/>
          <w:szCs w:val="21"/>
        </w:rPr>
        <w:t>内，供应商不得要求撤销或修改其</w:t>
      </w:r>
      <w:r>
        <w:rPr>
          <w:rFonts w:hint="eastAsia" w:ascii="宋体" w:hAnsi="宋体" w:cs="宋体"/>
          <w:color w:val="auto"/>
          <w:szCs w:val="21"/>
          <w:lang w:eastAsia="zh-CN"/>
        </w:rPr>
        <w:t>投标文件</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3.3.2出现特殊情况需要延长</w:t>
      </w:r>
      <w:r>
        <w:rPr>
          <w:rFonts w:hint="eastAsia" w:ascii="宋体" w:hAnsi="宋体" w:cs="宋体"/>
          <w:color w:val="auto"/>
          <w:szCs w:val="21"/>
          <w:lang w:eastAsia="zh-CN"/>
        </w:rPr>
        <w:t>投标有效期</w:t>
      </w:r>
      <w:r>
        <w:rPr>
          <w:rFonts w:hint="eastAsia" w:ascii="宋体" w:hAnsi="宋体" w:cs="宋体"/>
          <w:color w:val="auto"/>
          <w:szCs w:val="21"/>
        </w:rPr>
        <w:t>的，采购人以书面形式通知所有供应商延长</w:t>
      </w:r>
      <w:r>
        <w:rPr>
          <w:rFonts w:hint="eastAsia" w:ascii="宋体" w:hAnsi="宋体" w:cs="宋体"/>
          <w:color w:val="auto"/>
          <w:szCs w:val="21"/>
          <w:lang w:eastAsia="zh-CN"/>
        </w:rPr>
        <w:t>投标有效期</w:t>
      </w:r>
      <w:r>
        <w:rPr>
          <w:rFonts w:hint="eastAsia" w:ascii="宋体" w:hAnsi="宋体" w:cs="宋体"/>
          <w:color w:val="auto"/>
          <w:szCs w:val="21"/>
        </w:rPr>
        <w:t>。供应商同意延长的，但不得要求或被允许修改或撤销其</w:t>
      </w:r>
      <w:r>
        <w:rPr>
          <w:rFonts w:hint="eastAsia" w:ascii="宋体" w:hAnsi="宋体" w:cs="宋体"/>
          <w:color w:val="auto"/>
          <w:szCs w:val="21"/>
          <w:lang w:eastAsia="zh-CN"/>
        </w:rPr>
        <w:t>投标文件</w:t>
      </w:r>
      <w:r>
        <w:rPr>
          <w:rFonts w:hint="eastAsia" w:ascii="宋体" w:hAnsi="宋体" w:cs="宋体"/>
          <w:color w:val="auto"/>
          <w:szCs w:val="21"/>
        </w:rPr>
        <w:t>；供应商拒绝延长的，其</w:t>
      </w:r>
      <w:r>
        <w:rPr>
          <w:rFonts w:hint="eastAsia" w:ascii="宋体" w:hAnsi="宋体" w:cs="宋体"/>
          <w:color w:val="auto"/>
          <w:szCs w:val="21"/>
          <w:lang w:eastAsia="zh-CN"/>
        </w:rPr>
        <w:t>投标文件</w:t>
      </w:r>
      <w:r>
        <w:rPr>
          <w:rFonts w:hint="eastAsia" w:ascii="宋体" w:hAnsi="宋体" w:cs="宋体"/>
          <w:color w:val="auto"/>
          <w:szCs w:val="21"/>
        </w:rPr>
        <w:t xml:space="preserve">失效。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326" w:name="_Toc7973"/>
      <w:bookmarkStart w:id="327" w:name="_Toc466298110"/>
      <w:bookmarkStart w:id="328" w:name="_Toc7618"/>
      <w:bookmarkStart w:id="329" w:name="_Toc318450694"/>
      <w:bookmarkStart w:id="330" w:name="_Toc455867787"/>
      <w:bookmarkStart w:id="331" w:name="_Toc10370"/>
      <w:bookmarkStart w:id="332" w:name="_Toc7057"/>
      <w:bookmarkStart w:id="333" w:name="_Toc30697"/>
      <w:bookmarkStart w:id="334" w:name="_Toc144974518"/>
      <w:bookmarkStart w:id="335" w:name="_Toc2505"/>
      <w:bookmarkStart w:id="336" w:name="_Toc8406"/>
      <w:bookmarkStart w:id="337" w:name="_Toc4165"/>
      <w:bookmarkStart w:id="338" w:name="_Toc455080127"/>
      <w:bookmarkStart w:id="339" w:name="_Toc22634"/>
      <w:bookmarkStart w:id="340" w:name="_Toc490667847"/>
      <w:bookmarkStart w:id="341" w:name="_Toc152045550"/>
      <w:bookmarkStart w:id="342" w:name="_Toc152042326"/>
      <w:bookmarkStart w:id="343" w:name="_Toc26367"/>
      <w:bookmarkStart w:id="344" w:name="_Toc13921"/>
      <w:bookmarkStart w:id="345" w:name="_Toc5359"/>
      <w:r>
        <w:rPr>
          <w:rFonts w:hint="eastAsia" w:ascii="宋体" w:hAnsi="宋体" w:eastAsia="宋体"/>
          <w:b/>
          <w:bCs/>
          <w:color w:val="auto"/>
          <w:sz w:val="21"/>
          <w:szCs w:val="21"/>
        </w:rPr>
        <w:t xml:space="preserve">3.4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6" w:name="_Toc152042328"/>
      <w:bookmarkStart w:id="347" w:name="_Toc144974520"/>
      <w:bookmarkStart w:id="348" w:name="_Toc152045552"/>
      <w:bookmarkStart w:id="349" w:name="_Toc318450695"/>
      <w:r>
        <w:rPr>
          <w:rFonts w:hint="eastAsia" w:ascii="宋体" w:hAnsi="宋体" w:eastAsia="宋体"/>
          <w:b/>
          <w:bCs/>
          <w:color w:val="auto"/>
          <w:sz w:val="21"/>
          <w:szCs w:val="21"/>
          <w:lang w:eastAsia="zh-CN"/>
        </w:rPr>
        <w:t>：无。</w:t>
      </w:r>
      <w:bookmarkEnd w:id="343"/>
      <w:bookmarkEnd w:id="344"/>
      <w:bookmarkEnd w:id="345"/>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50" w:name="_Toc2794"/>
      <w:bookmarkStart w:id="351" w:name="_Toc15547"/>
      <w:bookmarkStart w:id="352" w:name="_Toc455867788"/>
      <w:bookmarkStart w:id="353" w:name="_Toc22527"/>
      <w:bookmarkStart w:id="354" w:name="_Toc13680"/>
      <w:bookmarkStart w:id="355" w:name="_Toc20328"/>
      <w:bookmarkStart w:id="356" w:name="_Toc16747"/>
      <w:bookmarkStart w:id="357" w:name="_Toc23339"/>
      <w:bookmarkStart w:id="358" w:name="_Toc27579"/>
      <w:bookmarkStart w:id="359" w:name="_Toc17153"/>
      <w:bookmarkStart w:id="360" w:name="_Toc22384"/>
      <w:bookmarkStart w:id="361" w:name="_Toc466298111"/>
      <w:bookmarkStart w:id="362" w:name="_Toc455080128"/>
      <w:bookmarkStart w:id="363" w:name="_Toc490667848"/>
      <w:bookmarkStart w:id="364" w:name="_Toc28166"/>
      <w:bookmarkStart w:id="365" w:name="_Toc11077"/>
      <w:r>
        <w:rPr>
          <w:rFonts w:hint="eastAsia" w:ascii="宋体" w:hAnsi="宋体" w:eastAsia="宋体"/>
          <w:b/>
          <w:bCs/>
          <w:color w:val="auto"/>
          <w:sz w:val="21"/>
          <w:szCs w:val="21"/>
        </w:rPr>
        <w:t>3.5资格审查资料</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48"/>
        <w:pageBreakBefore w:val="0"/>
        <w:kinsoku/>
        <w:wordWrap/>
        <w:overflowPunct/>
        <w:topLinePunct w:val="0"/>
        <w:bidi w:val="0"/>
        <w:snapToGrid w:val="0"/>
        <w:spacing w:before="0" w:beforeLines="0" w:after="0" w:afterLines="0" w:line="360" w:lineRule="auto"/>
        <w:ind w:firstLine="315" w:firstLineChars="150"/>
        <w:textAlignment w:val="auto"/>
        <w:outlineLvl w:val="0"/>
        <w:rPr>
          <w:rFonts w:hint="eastAsia" w:ascii="宋体" w:hAnsi="宋体" w:eastAsia="宋体"/>
          <w:color w:val="auto"/>
          <w:kern w:val="2"/>
          <w:sz w:val="21"/>
          <w:szCs w:val="21"/>
          <w:lang w:val="en-US" w:eastAsia="zh-CN"/>
        </w:rPr>
      </w:pPr>
      <w:bookmarkStart w:id="366" w:name="_Toc4586"/>
      <w:bookmarkStart w:id="367" w:name="_Toc11343"/>
      <w:bookmarkStart w:id="368" w:name="_Toc857"/>
      <w:bookmarkStart w:id="369" w:name="_Toc18915"/>
      <w:bookmarkStart w:id="370" w:name="_Toc11694"/>
      <w:bookmarkStart w:id="371" w:name="_Toc490667849"/>
      <w:bookmarkStart w:id="372" w:name="_Toc5132"/>
      <w:bookmarkStart w:id="373" w:name="_Toc30442"/>
      <w:bookmarkStart w:id="374" w:name="_Toc466298112"/>
      <w:bookmarkStart w:id="375" w:name="_Toc19724"/>
      <w:bookmarkStart w:id="376" w:name="_Toc3286"/>
      <w:bookmarkStart w:id="377" w:name="_Toc318450696"/>
      <w:bookmarkStart w:id="378" w:name="_Toc455867789"/>
      <w:bookmarkStart w:id="379" w:name="_Toc26258"/>
      <w:bookmarkStart w:id="380" w:name="_Toc9015"/>
      <w:bookmarkStart w:id="381" w:name="_Toc152045553"/>
      <w:bookmarkStart w:id="382" w:name="_Toc1228"/>
      <w:bookmarkStart w:id="383" w:name="_Toc152042329"/>
      <w:bookmarkStart w:id="384" w:name="_Toc455080129"/>
      <w:bookmarkStart w:id="385" w:name="_Toc144974521"/>
      <w:r>
        <w:rPr>
          <w:rFonts w:hint="eastAsia" w:ascii="宋体" w:hAnsi="宋体" w:eastAsia="宋体"/>
          <w:color w:val="auto"/>
          <w:kern w:val="2"/>
          <w:sz w:val="21"/>
          <w:szCs w:val="21"/>
          <w:lang w:val="en-US" w:eastAsia="zh-CN"/>
        </w:rPr>
        <w:t>按照第二章供应商须知表“供应商须知前附表”1.5.1要求，提供其他相关材料。</w:t>
      </w:r>
      <w:bookmarkEnd w:id="366"/>
      <w:bookmarkEnd w:id="367"/>
      <w:bookmarkEnd w:id="36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6" w:name="_Toc4249"/>
      <w:bookmarkStart w:id="387" w:name="_Toc24859"/>
      <w:bookmarkStart w:id="388" w:name="_Toc17612"/>
      <w:r>
        <w:rPr>
          <w:rFonts w:hint="eastAsia" w:ascii="宋体" w:hAnsi="宋体" w:eastAsia="宋体"/>
          <w:b/>
          <w:bCs/>
          <w:color w:val="auto"/>
          <w:sz w:val="21"/>
          <w:szCs w:val="21"/>
        </w:rPr>
        <w:t>3.6 备选方案</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除供应商须知前附表另有规定外，供应商不得递交备选</w:t>
      </w:r>
      <w:r>
        <w:rPr>
          <w:rFonts w:hint="eastAsia" w:ascii="宋体" w:hAnsi="宋体" w:cs="宋体"/>
          <w:color w:val="auto"/>
          <w:szCs w:val="21"/>
          <w:lang w:eastAsia="zh-CN"/>
        </w:rPr>
        <w:t>投标方案</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9" w:name="_Toc12615"/>
      <w:bookmarkStart w:id="390" w:name="_Toc318450697"/>
      <w:bookmarkStart w:id="391" w:name="_Toc5516"/>
      <w:bookmarkStart w:id="392" w:name="_Toc12275"/>
      <w:bookmarkStart w:id="393" w:name="_Toc455080130"/>
      <w:bookmarkStart w:id="394" w:name="_Toc7966"/>
      <w:bookmarkStart w:id="395" w:name="_Toc23523"/>
      <w:bookmarkStart w:id="396" w:name="_Toc490667850"/>
      <w:bookmarkStart w:id="397" w:name="_Toc17697"/>
      <w:bookmarkStart w:id="398" w:name="_Toc12541"/>
      <w:bookmarkStart w:id="399" w:name="_Toc28656"/>
      <w:bookmarkStart w:id="400" w:name="_Toc25620"/>
      <w:bookmarkStart w:id="401" w:name="_Toc455867790"/>
      <w:bookmarkStart w:id="402" w:name="_Toc152045554"/>
      <w:bookmarkStart w:id="403" w:name="_Toc6323"/>
      <w:bookmarkStart w:id="404" w:name="_Toc144974522"/>
      <w:bookmarkStart w:id="405" w:name="_Toc152042330"/>
      <w:bookmarkStart w:id="406" w:name="_Toc18912"/>
      <w:bookmarkStart w:id="407" w:name="_Toc7626"/>
      <w:bookmarkStart w:id="408" w:name="_Toc466298113"/>
      <w:r>
        <w:rPr>
          <w:rFonts w:hint="eastAsia" w:ascii="宋体" w:hAnsi="宋体" w:eastAsia="宋体"/>
          <w:b/>
          <w:bCs/>
          <w:color w:val="auto"/>
          <w:sz w:val="21"/>
          <w:szCs w:val="21"/>
        </w:rPr>
        <w:t xml:space="preserve">3.7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的编制</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09" w:name="_Toc144974523"/>
      <w:bookmarkStart w:id="410" w:name="_Toc152042331"/>
      <w:bookmarkStart w:id="411" w:name="_Toc455080131"/>
      <w:bookmarkStart w:id="412" w:name="_Toc152045555"/>
      <w:r>
        <w:rPr>
          <w:rFonts w:hint="eastAsia" w:ascii="宋体" w:hAnsi="宋体" w:cs="宋体"/>
          <w:color w:val="auto"/>
          <w:szCs w:val="21"/>
        </w:rPr>
        <w:t>3.7.1</w:t>
      </w:r>
      <w:r>
        <w:rPr>
          <w:rFonts w:hint="eastAsia" w:ascii="宋体" w:hAnsi="宋体" w:cs="宋体"/>
          <w:color w:val="auto"/>
          <w:szCs w:val="21"/>
          <w:lang w:eastAsia="zh-CN"/>
        </w:rPr>
        <w:t>投标文件</w:t>
      </w:r>
      <w:r>
        <w:rPr>
          <w:rFonts w:hint="eastAsia" w:ascii="宋体" w:hAnsi="宋体" w:cs="宋体"/>
          <w:color w:val="auto"/>
          <w:szCs w:val="21"/>
        </w:rPr>
        <w:t>应按</w:t>
      </w:r>
      <w:r>
        <w:rPr>
          <w:rFonts w:hint="eastAsia" w:ascii="宋体" w:hAnsi="宋体" w:cs="宋体"/>
          <w:color w:val="auto"/>
          <w:szCs w:val="21"/>
          <w:lang w:eastAsia="zh-CN"/>
        </w:rPr>
        <w:t>第六章</w:t>
      </w:r>
      <w:r>
        <w:rPr>
          <w:rFonts w:hint="eastAsia" w:ascii="宋体" w:hAnsi="宋体" w:cs="宋体"/>
          <w:color w:val="auto"/>
          <w:szCs w:val="21"/>
        </w:rPr>
        <w:t>“</w:t>
      </w:r>
      <w:r>
        <w:rPr>
          <w:rFonts w:hint="eastAsia" w:ascii="宋体" w:hAnsi="宋体" w:cs="宋体"/>
          <w:color w:val="auto"/>
          <w:szCs w:val="21"/>
          <w:lang w:eastAsia="zh-CN"/>
        </w:rPr>
        <w:t>投标文件格式</w:t>
      </w:r>
      <w:r>
        <w:rPr>
          <w:rFonts w:hint="eastAsia" w:ascii="宋体" w:hAnsi="宋体" w:cs="宋体"/>
          <w:color w:val="auto"/>
          <w:szCs w:val="21"/>
        </w:rPr>
        <w:t>”进行编写，如有必要，可以增加附页，作为</w:t>
      </w:r>
      <w:r>
        <w:rPr>
          <w:rFonts w:hint="eastAsia" w:ascii="宋体" w:hAnsi="宋体" w:cs="宋体"/>
          <w:color w:val="auto"/>
          <w:szCs w:val="21"/>
          <w:lang w:eastAsia="zh-CN"/>
        </w:rPr>
        <w:t>投标文件</w:t>
      </w:r>
      <w:r>
        <w:rPr>
          <w:rFonts w:hint="eastAsia" w:ascii="宋体" w:hAnsi="宋体" w:cs="宋体"/>
          <w:color w:val="auto"/>
          <w:szCs w:val="21"/>
        </w:rPr>
        <w:t>的组成部分。其中，</w:t>
      </w:r>
      <w:r>
        <w:rPr>
          <w:rFonts w:hint="eastAsia" w:ascii="宋体" w:hAnsi="宋体" w:cs="宋体"/>
          <w:color w:val="auto"/>
          <w:szCs w:val="21"/>
          <w:lang w:eastAsia="zh-CN"/>
        </w:rPr>
        <w:t>响应函</w:t>
      </w:r>
      <w:r>
        <w:rPr>
          <w:rFonts w:hint="eastAsia" w:ascii="宋体" w:hAnsi="宋体" w:cs="宋体"/>
          <w:color w:val="auto"/>
          <w:szCs w:val="21"/>
        </w:rPr>
        <w:t>附录在满足</w:t>
      </w:r>
      <w:r>
        <w:rPr>
          <w:rFonts w:hint="eastAsia" w:ascii="宋体" w:hAnsi="宋体" w:cs="宋体"/>
          <w:color w:val="auto"/>
          <w:szCs w:val="21"/>
          <w:lang w:eastAsia="zh-CN"/>
        </w:rPr>
        <w:t>招标文件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招标文件</w:t>
      </w:r>
      <w:r>
        <w:rPr>
          <w:rFonts w:hint="eastAsia" w:ascii="宋体" w:hAnsi="宋体" w:cs="宋体"/>
          <w:color w:val="auto"/>
          <w:szCs w:val="21"/>
        </w:rPr>
        <w:t>要求更有利于采购人的承诺。</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3.7.2 </w:t>
      </w:r>
      <w:r>
        <w:rPr>
          <w:rFonts w:hint="eastAsia" w:ascii="宋体" w:hAnsi="宋体" w:cs="宋体"/>
          <w:color w:val="auto"/>
          <w:szCs w:val="21"/>
          <w:lang w:eastAsia="zh-CN"/>
        </w:rPr>
        <w:t>投标文件</w:t>
      </w:r>
      <w:r>
        <w:rPr>
          <w:rFonts w:hint="eastAsia" w:ascii="宋体" w:hAnsi="宋体" w:cs="宋体"/>
          <w:color w:val="auto"/>
          <w:szCs w:val="21"/>
        </w:rPr>
        <w:t>应当对</w:t>
      </w:r>
      <w:r>
        <w:rPr>
          <w:rFonts w:hint="eastAsia" w:ascii="宋体" w:hAnsi="宋体" w:cs="宋体"/>
          <w:color w:val="auto"/>
          <w:szCs w:val="21"/>
          <w:lang w:eastAsia="zh-CN"/>
        </w:rPr>
        <w:t>招标文件</w:t>
      </w:r>
      <w:r>
        <w:rPr>
          <w:rFonts w:hint="eastAsia" w:ascii="宋体" w:hAnsi="宋体" w:cs="宋体"/>
          <w:color w:val="auto"/>
          <w:szCs w:val="21"/>
        </w:rPr>
        <w:t>有关</w:t>
      </w:r>
      <w:r>
        <w:rPr>
          <w:rFonts w:hint="eastAsia" w:ascii="宋体" w:hAnsi="宋体" w:cs="宋体"/>
          <w:color w:val="auto"/>
          <w:szCs w:val="21"/>
          <w:lang w:eastAsia="zh-CN"/>
        </w:rPr>
        <w:t>供货期</w:t>
      </w:r>
      <w:r>
        <w:rPr>
          <w:rFonts w:hint="eastAsia" w:ascii="宋体" w:hAnsi="宋体" w:cs="宋体"/>
          <w:color w:val="auto"/>
          <w:szCs w:val="21"/>
        </w:rPr>
        <w:t>、</w:t>
      </w:r>
      <w:r>
        <w:rPr>
          <w:rFonts w:hint="eastAsia" w:ascii="宋体" w:hAnsi="宋体" w:cs="宋体"/>
          <w:color w:val="auto"/>
          <w:szCs w:val="21"/>
          <w:lang w:eastAsia="zh-CN"/>
        </w:rPr>
        <w:t>投标有效期</w:t>
      </w:r>
      <w:r>
        <w:rPr>
          <w:rFonts w:hint="eastAsia" w:ascii="宋体" w:hAnsi="宋体" w:cs="宋体"/>
          <w:color w:val="auto"/>
          <w:szCs w:val="21"/>
        </w:rPr>
        <w:t>、质量要求、</w:t>
      </w:r>
      <w:r>
        <w:rPr>
          <w:rFonts w:hint="eastAsia" w:ascii="宋体" w:hAnsi="宋体" w:cs="宋体"/>
          <w:color w:val="auto"/>
          <w:szCs w:val="21"/>
          <w:lang w:eastAsia="zh-CN"/>
        </w:rPr>
        <w:t>招标内容</w:t>
      </w:r>
      <w:r>
        <w:rPr>
          <w:rFonts w:hint="eastAsia" w:ascii="宋体" w:hAnsi="宋体" w:cs="宋体"/>
          <w:color w:val="auto"/>
          <w:szCs w:val="21"/>
        </w:rPr>
        <w:t>作出响应。</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应使用信阳市公共资源交易系统投标文件制作专用工具软件编制，</w:t>
      </w:r>
      <w:r>
        <w:rPr>
          <w:rFonts w:hint="eastAsia" w:ascii="宋体" w:hAnsi="宋体" w:cs="宋体"/>
          <w:color w:val="auto"/>
          <w:szCs w:val="21"/>
          <w:highlight w:val="none"/>
          <w:lang w:eastAsia="zh-CN"/>
        </w:rPr>
        <w:t>投标文件格式</w:t>
      </w:r>
      <w:r>
        <w:rPr>
          <w:rFonts w:hint="eastAsia" w:ascii="宋体" w:hAnsi="宋体" w:cs="宋体"/>
          <w:color w:val="auto"/>
          <w:szCs w:val="21"/>
          <w:highlight w:val="none"/>
        </w:rPr>
        <w:t>为“*.XYTF”。电子</w:t>
      </w:r>
      <w:r>
        <w:rPr>
          <w:rFonts w:hint="eastAsia" w:ascii="宋体" w:hAnsi="宋体" w:cs="宋体"/>
          <w:color w:val="auto"/>
          <w:szCs w:val="21"/>
          <w:highlight w:val="none"/>
          <w:lang w:eastAsia="zh-CN"/>
        </w:rPr>
        <w:t>投标文件</w:t>
      </w:r>
      <w:r>
        <w:rPr>
          <w:rFonts w:hint="eastAsia" w:ascii="宋体" w:hAnsi="宋体" w:cs="宋体"/>
          <w:color w:val="auto"/>
          <w:szCs w:val="21"/>
        </w:rPr>
        <w:t>签字或盖章的具体要求见供应商须知前附表。）供应商须在</w:t>
      </w:r>
      <w:r>
        <w:rPr>
          <w:rFonts w:hint="eastAsia" w:ascii="宋体" w:hAnsi="宋体" w:cs="宋体"/>
          <w:color w:val="auto"/>
          <w:szCs w:val="21"/>
          <w:lang w:eastAsia="zh-CN"/>
        </w:rPr>
        <w:t>投标文件</w:t>
      </w:r>
      <w:r>
        <w:rPr>
          <w:rFonts w:hint="eastAsia" w:ascii="宋体" w:hAnsi="宋体" w:cs="宋体"/>
          <w:color w:val="auto"/>
          <w:szCs w:val="21"/>
        </w:rPr>
        <w:t>递交截止时间前制作并提交。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white"/>
        </w:rPr>
      </w:pPr>
      <w:r>
        <w:rPr>
          <w:rFonts w:hint="eastAsia" w:ascii="宋体" w:hAnsi="宋体" w:cs="宋体"/>
          <w:color w:val="auto"/>
          <w:szCs w:val="21"/>
        </w:rPr>
        <w:t xml:space="preserve"> 3.7.4 </w:t>
      </w:r>
      <w:r>
        <w:rPr>
          <w:rFonts w:hint="eastAsia" w:ascii="宋体" w:hAnsi="宋体" w:cs="宋体"/>
          <w:color w:val="auto"/>
          <w:szCs w:val="21"/>
          <w:lang w:eastAsia="zh-CN"/>
        </w:rPr>
        <w:t>投标文件</w:t>
      </w:r>
      <w:r>
        <w:rPr>
          <w:rFonts w:hint="eastAsia" w:ascii="宋体" w:hAnsi="宋体" w:cs="宋体"/>
          <w:color w:val="auto"/>
          <w:szCs w:val="21"/>
        </w:rPr>
        <w:t>份数见供应商须知前附表。</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413" w:name="_Toc19433"/>
      <w:bookmarkStart w:id="414" w:name="_Toc31990"/>
      <w:r>
        <w:rPr>
          <w:rFonts w:hint="eastAsia" w:ascii="宋体" w:hAnsi="宋体" w:eastAsia="宋体"/>
          <w:b/>
          <w:bCs/>
          <w:color w:val="auto"/>
          <w:sz w:val="21"/>
          <w:szCs w:val="21"/>
        </w:rPr>
        <w:t xml:space="preserve">4. </w:t>
      </w:r>
      <w:bookmarkEnd w:id="409"/>
      <w:bookmarkEnd w:id="410"/>
      <w:bookmarkEnd w:id="411"/>
      <w:bookmarkEnd w:id="412"/>
      <w:bookmarkEnd w:id="413"/>
      <w:bookmarkEnd w:id="414"/>
      <w:r>
        <w:rPr>
          <w:rFonts w:hint="eastAsia" w:ascii="宋体" w:hAnsi="宋体" w:eastAsia="宋体"/>
          <w:b/>
          <w:bCs/>
          <w:color w:val="auto"/>
          <w:sz w:val="21"/>
          <w:szCs w:val="21"/>
          <w:lang w:eastAsia="zh-CN"/>
        </w:rPr>
        <w:t>招标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415" w:name="_Toc16344"/>
      <w:bookmarkStart w:id="416" w:name="_Toc26583"/>
      <w:bookmarkStart w:id="417" w:name="_Toc152045556"/>
      <w:bookmarkStart w:id="418" w:name="_Toc18820"/>
      <w:bookmarkStart w:id="419" w:name="_Toc144974524"/>
      <w:bookmarkStart w:id="420" w:name="_Toc16783"/>
      <w:bookmarkStart w:id="421" w:name="_Toc318450699"/>
      <w:bookmarkStart w:id="422" w:name="_Toc16962"/>
      <w:bookmarkStart w:id="423" w:name="_Toc455867792"/>
      <w:bookmarkStart w:id="424" w:name="_Toc11243"/>
      <w:bookmarkStart w:id="425" w:name="_Toc152042332"/>
      <w:bookmarkStart w:id="426" w:name="_Toc466298115"/>
      <w:bookmarkStart w:id="427" w:name="_Toc490667852"/>
      <w:bookmarkStart w:id="428" w:name="_Toc31492"/>
      <w:bookmarkStart w:id="429" w:name="_Toc22961"/>
      <w:bookmarkStart w:id="430" w:name="_Toc455080132"/>
      <w:bookmarkStart w:id="431" w:name="_Toc26550"/>
      <w:bookmarkStart w:id="432" w:name="_Toc3511"/>
      <w:bookmarkStart w:id="433" w:name="_Toc21145"/>
      <w:bookmarkStart w:id="434" w:name="_Toc20692"/>
      <w:r>
        <w:rPr>
          <w:rFonts w:hint="eastAsia" w:ascii="宋体" w:hAnsi="宋体" w:eastAsia="宋体"/>
          <w:b/>
          <w:bCs/>
          <w:color w:val="auto"/>
          <w:sz w:val="21"/>
          <w:szCs w:val="21"/>
        </w:rPr>
        <w:t xml:space="preserve">4.1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宋体" w:hAnsi="宋体" w:eastAsia="宋体"/>
          <w:b/>
          <w:bCs/>
          <w:color w:val="auto"/>
          <w:sz w:val="21"/>
          <w:szCs w:val="21"/>
          <w:lang w:eastAsia="zh-CN"/>
        </w:rPr>
        <w:t>上传</w:t>
      </w:r>
      <w:bookmarkEnd w:id="432"/>
      <w:bookmarkEnd w:id="433"/>
      <w:bookmarkEnd w:id="434"/>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s="宋体"/>
          <w:color w:val="auto"/>
          <w:szCs w:val="21"/>
        </w:rPr>
        <w:t>4.1.1网上上传的电子</w:t>
      </w:r>
      <w:r>
        <w:rPr>
          <w:rFonts w:hint="eastAsia" w:ascii="宋体" w:hAnsi="宋体" w:cs="宋体"/>
          <w:color w:val="auto"/>
          <w:szCs w:val="21"/>
          <w:lang w:eastAsia="zh-CN"/>
        </w:rPr>
        <w:t>投标文件</w:t>
      </w:r>
      <w:r>
        <w:rPr>
          <w:rFonts w:hint="eastAsia" w:ascii="宋体" w:hAnsi="宋体" w:cs="宋体"/>
          <w:color w:val="auto"/>
          <w:szCs w:val="21"/>
        </w:rPr>
        <w:t>应使用供应商数字证书认证并加密</w:t>
      </w:r>
      <w:r>
        <w:rPr>
          <w:rFonts w:hint="eastAsia" w:ascii="宋体" w:hAnsi="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35" w:name="_Toc7663"/>
      <w:bookmarkStart w:id="436" w:name="_Toc16832"/>
      <w:bookmarkStart w:id="437" w:name="_Toc8754"/>
      <w:bookmarkStart w:id="438" w:name="_Toc152042333"/>
      <w:bookmarkStart w:id="439" w:name="_Toc144974525"/>
      <w:bookmarkStart w:id="440" w:name="_Toc462"/>
      <w:bookmarkStart w:id="441" w:name="_Toc4767"/>
      <w:bookmarkStart w:id="442" w:name="_Toc455080133"/>
      <w:bookmarkStart w:id="443" w:name="_Toc7623"/>
      <w:bookmarkStart w:id="444" w:name="_Toc28272"/>
      <w:bookmarkStart w:id="445" w:name="_Toc19060"/>
      <w:bookmarkStart w:id="446" w:name="_Toc27132"/>
      <w:bookmarkStart w:id="447" w:name="_Toc318450700"/>
      <w:bookmarkStart w:id="448" w:name="_Toc466298116"/>
      <w:bookmarkStart w:id="449" w:name="_Toc490667853"/>
      <w:bookmarkStart w:id="450" w:name="_Toc21897"/>
      <w:bookmarkStart w:id="451" w:name="_Toc20259"/>
      <w:bookmarkStart w:id="452" w:name="_Toc21072"/>
      <w:bookmarkStart w:id="453" w:name="_Toc455867793"/>
      <w:bookmarkStart w:id="454" w:name="_Toc152045557"/>
      <w:r>
        <w:rPr>
          <w:rFonts w:hint="eastAsia" w:ascii="宋体" w:hAnsi="宋体" w:eastAsia="宋体"/>
          <w:b/>
          <w:bCs/>
          <w:color w:val="auto"/>
          <w:sz w:val="21"/>
          <w:szCs w:val="21"/>
        </w:rPr>
        <w:t xml:space="preserve">4.2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的递交</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bookmarkStart w:id="455" w:name="_Toc152042334"/>
      <w:bookmarkStart w:id="456" w:name="_Toc490667854"/>
      <w:bookmarkStart w:id="457" w:name="_Toc144974526"/>
      <w:bookmarkStart w:id="458" w:name="_Toc19951"/>
      <w:bookmarkStart w:id="459" w:name="_Toc26684"/>
      <w:bookmarkStart w:id="460" w:name="_Toc318450701"/>
      <w:bookmarkStart w:id="461" w:name="_Toc17161"/>
      <w:bookmarkStart w:id="462" w:name="_Toc152045558"/>
      <w:bookmarkStart w:id="463" w:name="_Toc5102"/>
      <w:bookmarkStart w:id="464" w:name="_Toc2952"/>
      <w:bookmarkStart w:id="465" w:name="_Toc466298117"/>
      <w:bookmarkStart w:id="466" w:name="_Toc455867794"/>
      <w:bookmarkStart w:id="467" w:name="_Toc30860"/>
      <w:bookmarkStart w:id="468" w:name="_Toc20281"/>
      <w:bookmarkStart w:id="469" w:name="_Toc455080134"/>
      <w:bookmarkStart w:id="470" w:name="_Toc21890"/>
      <w:bookmarkStart w:id="471" w:name="_Toc11817"/>
      <w:r>
        <w:rPr>
          <w:rFonts w:hint="eastAsia" w:ascii="宋体" w:hAnsi="宋体" w:cs="宋体"/>
          <w:color w:val="auto"/>
          <w:highlight w:val="none"/>
        </w:rPr>
        <w:t>4.2.1电子</w:t>
      </w:r>
      <w:r>
        <w:rPr>
          <w:rFonts w:hint="eastAsia" w:ascii="宋体" w:hAnsi="宋体" w:cs="宋体"/>
          <w:color w:val="auto"/>
          <w:highlight w:val="none"/>
          <w:lang w:eastAsia="zh-CN"/>
        </w:rPr>
        <w:t>投标文件</w:t>
      </w:r>
      <w:r>
        <w:rPr>
          <w:rFonts w:hint="eastAsia" w:ascii="宋体" w:hAnsi="宋体" w:cs="宋体"/>
          <w:color w:val="auto"/>
          <w:highlight w:val="none"/>
        </w:rPr>
        <w:t>的递交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投标文件提交截止时间前</w:t>
      </w:r>
      <w:r>
        <w:rPr>
          <w:rFonts w:hint="eastAsia" w:ascii="宋体" w:hAnsi="宋体" w:cs="宋体"/>
          <w:color w:val="auto"/>
          <w:highlight w:val="none"/>
        </w:rPr>
        <w:t>上传加密的电子</w:t>
      </w:r>
      <w:r>
        <w:rPr>
          <w:rFonts w:hint="eastAsia" w:ascii="宋体" w:hAnsi="宋体" w:cs="宋体"/>
          <w:color w:val="auto"/>
          <w:highlight w:val="none"/>
          <w:lang w:eastAsia="zh-CN"/>
        </w:rPr>
        <w:t>投标文件</w:t>
      </w:r>
      <w:r>
        <w:rPr>
          <w:rFonts w:hint="eastAsia" w:ascii="宋体" w:hAnsi="宋体" w:cs="宋体"/>
          <w:color w:val="auto"/>
          <w:highlight w:val="none"/>
        </w:rPr>
        <w:t>（*.XYTF）到会员系统的指定位置。上传的电子</w:t>
      </w:r>
      <w:r>
        <w:rPr>
          <w:rFonts w:hint="eastAsia" w:ascii="宋体" w:hAnsi="宋体" w:cs="宋体"/>
          <w:color w:val="auto"/>
          <w:highlight w:val="none"/>
          <w:lang w:eastAsia="zh-CN"/>
        </w:rPr>
        <w:t>投标文件</w:t>
      </w:r>
      <w:r>
        <w:rPr>
          <w:rFonts w:hint="eastAsia" w:ascii="宋体" w:hAnsi="宋体" w:cs="宋体"/>
          <w:color w:val="auto"/>
          <w:highlight w:val="none"/>
        </w:rPr>
        <w:t>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w:t>
      </w:r>
      <w:r>
        <w:rPr>
          <w:rFonts w:hint="eastAsia" w:ascii="宋体" w:hAnsi="宋体" w:cs="宋体"/>
          <w:color w:val="auto"/>
          <w:highlight w:val="none"/>
          <w:lang w:eastAsia="zh-CN"/>
        </w:rPr>
        <w:t>投标文件</w:t>
      </w:r>
      <w:r>
        <w:rPr>
          <w:rFonts w:hint="eastAsia" w:ascii="宋体" w:hAnsi="宋体" w:cs="宋体"/>
          <w:color w:val="auto"/>
          <w:highlight w:val="none"/>
        </w:rPr>
        <w:t>是否完整、正确。</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72" w:name="_Toc1790"/>
      <w:bookmarkStart w:id="473" w:name="_Toc25358"/>
      <w:bookmarkStart w:id="474" w:name="_Toc10219"/>
      <w:r>
        <w:rPr>
          <w:rFonts w:hint="eastAsia" w:ascii="宋体" w:hAnsi="宋体" w:eastAsia="宋体"/>
          <w:b/>
          <w:bCs/>
          <w:color w:val="auto"/>
          <w:sz w:val="21"/>
          <w:szCs w:val="21"/>
        </w:rPr>
        <w:t xml:space="preserve">4.3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75" w:name="_Toc152042335"/>
      <w:bookmarkStart w:id="476" w:name="_Toc144974527"/>
      <w:bookmarkStart w:id="477" w:name="_Toc152045559"/>
      <w:bookmarkStart w:id="478" w:name="_Toc455080135"/>
      <w:r>
        <w:rPr>
          <w:rFonts w:hint="eastAsia" w:ascii="宋体" w:hAnsi="宋体" w:cs="宋体"/>
          <w:color w:val="auto"/>
          <w:szCs w:val="21"/>
        </w:rPr>
        <w:t>4.3.1 在第一章“</w:t>
      </w:r>
      <w:r>
        <w:rPr>
          <w:rFonts w:hint="eastAsia" w:ascii="宋体" w:hAnsi="宋体" w:cs="宋体"/>
          <w:color w:val="auto"/>
          <w:szCs w:val="21"/>
          <w:lang w:eastAsia="zh-CN"/>
        </w:rPr>
        <w:t>招标公告</w:t>
      </w:r>
      <w:r>
        <w:rPr>
          <w:rFonts w:hint="eastAsia" w:ascii="宋体" w:hAnsi="宋体" w:cs="宋体"/>
          <w:color w:val="auto"/>
          <w:szCs w:val="21"/>
        </w:rPr>
        <w:t>”规定的</w:t>
      </w:r>
      <w:r>
        <w:rPr>
          <w:rFonts w:hint="eastAsia" w:ascii="宋体" w:hAnsi="宋体" w:cs="宋体"/>
          <w:color w:val="auto"/>
          <w:szCs w:val="21"/>
          <w:lang w:eastAsia="zh-CN"/>
        </w:rPr>
        <w:t>投标文件提交</w:t>
      </w:r>
      <w:r>
        <w:rPr>
          <w:rFonts w:hint="eastAsia" w:ascii="宋体" w:hAnsi="宋体" w:cs="宋体"/>
          <w:color w:val="auto"/>
          <w:szCs w:val="21"/>
        </w:rPr>
        <w:t>截止时间前，供应商可以多次修改或撤回已递交的</w:t>
      </w:r>
      <w:r>
        <w:rPr>
          <w:rFonts w:hint="eastAsia" w:ascii="宋体" w:hAnsi="宋体" w:cs="宋体"/>
          <w:color w:val="auto"/>
          <w:szCs w:val="21"/>
          <w:lang w:eastAsia="zh-CN"/>
        </w:rPr>
        <w:t>投标文件</w:t>
      </w:r>
      <w:r>
        <w:rPr>
          <w:rFonts w:hint="eastAsia" w:ascii="宋体" w:hAnsi="宋体" w:cs="宋体"/>
          <w:color w:val="auto"/>
          <w:szCs w:val="21"/>
        </w:rPr>
        <w:t>，最终</w:t>
      </w:r>
      <w:r>
        <w:rPr>
          <w:rFonts w:hint="eastAsia" w:ascii="宋体" w:hAnsi="宋体" w:cs="宋体"/>
          <w:color w:val="auto"/>
          <w:szCs w:val="21"/>
          <w:lang w:eastAsia="zh-CN"/>
        </w:rPr>
        <w:t>投标文件</w:t>
      </w:r>
      <w:r>
        <w:rPr>
          <w:rFonts w:hint="eastAsia" w:ascii="宋体" w:hAnsi="宋体" w:cs="宋体"/>
          <w:color w:val="auto"/>
          <w:szCs w:val="21"/>
        </w:rPr>
        <w:t>以</w:t>
      </w:r>
      <w:r>
        <w:rPr>
          <w:rFonts w:hint="eastAsia" w:ascii="宋体" w:hAnsi="宋体" w:cs="宋体"/>
          <w:color w:val="auto"/>
          <w:szCs w:val="21"/>
          <w:lang w:eastAsia="zh-CN"/>
        </w:rPr>
        <w:t>投标文件提交截止时间前</w:t>
      </w:r>
      <w:r>
        <w:rPr>
          <w:rFonts w:hint="eastAsia" w:ascii="宋体" w:hAnsi="宋体" w:cs="宋体"/>
          <w:color w:val="auto"/>
          <w:szCs w:val="21"/>
        </w:rPr>
        <w:t>完成上传至公共资源交易中心交易系统最后一份</w:t>
      </w:r>
      <w:r>
        <w:rPr>
          <w:rFonts w:hint="eastAsia" w:ascii="宋体" w:hAnsi="宋体" w:cs="宋体"/>
          <w:color w:val="auto"/>
          <w:szCs w:val="21"/>
          <w:lang w:eastAsia="zh-CN"/>
        </w:rPr>
        <w:t>投标文件</w:t>
      </w:r>
      <w:r>
        <w:rPr>
          <w:rFonts w:hint="eastAsia" w:ascii="宋体" w:hAnsi="宋体" w:cs="宋体"/>
          <w:color w:val="auto"/>
          <w:szCs w:val="21"/>
        </w:rPr>
        <w:t>为准。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4.3.2修改的</w:t>
      </w:r>
      <w:r>
        <w:rPr>
          <w:rFonts w:hint="eastAsia" w:ascii="宋体" w:hAnsi="宋体" w:cs="宋体"/>
          <w:color w:val="auto"/>
          <w:szCs w:val="21"/>
          <w:lang w:eastAsia="zh-CN"/>
        </w:rPr>
        <w:t>投标文件</w:t>
      </w:r>
      <w:r>
        <w:rPr>
          <w:rFonts w:hint="eastAsia" w:ascii="宋体" w:hAnsi="宋体" w:cs="宋体"/>
          <w:color w:val="auto"/>
          <w:szCs w:val="21"/>
        </w:rPr>
        <w:t>应按照本章第3.7条、第4.2条规定进行编制和递交。</w:t>
      </w:r>
    </w:p>
    <w:bookmarkEnd w:id="475"/>
    <w:bookmarkEnd w:id="476"/>
    <w:bookmarkEnd w:id="477"/>
    <w:p>
      <w:pPr>
        <w:pageBreakBefore w:val="0"/>
        <w:kinsoku/>
        <w:wordWrap/>
        <w:overflowPunct/>
        <w:topLinePunct w:val="0"/>
        <w:bidi w:val="0"/>
        <w:snapToGrid w:val="0"/>
        <w:spacing w:line="360" w:lineRule="auto"/>
        <w:textAlignment w:val="auto"/>
        <w:outlineLvl w:val="1"/>
        <w:rPr>
          <w:rFonts w:hint="eastAsia" w:ascii="宋体" w:hAnsi="宋体"/>
          <w:b/>
          <w:bCs/>
          <w:color w:val="auto"/>
          <w:szCs w:val="21"/>
        </w:rPr>
      </w:pPr>
      <w:bookmarkStart w:id="479" w:name="_Toc14969"/>
      <w:bookmarkStart w:id="480" w:name="_Toc29290"/>
      <w:r>
        <w:rPr>
          <w:rFonts w:hint="eastAsia" w:ascii="宋体" w:hAnsi="宋体"/>
          <w:b/>
          <w:bCs/>
          <w:color w:val="auto"/>
          <w:szCs w:val="21"/>
        </w:rPr>
        <w:t>5.</w:t>
      </w:r>
      <w:r>
        <w:rPr>
          <w:rFonts w:hint="eastAsia" w:ascii="宋体" w:hAnsi="宋体"/>
          <w:b/>
          <w:bCs/>
          <w:color w:val="auto"/>
          <w:szCs w:val="21"/>
          <w:lang w:eastAsia="zh-CN"/>
        </w:rPr>
        <w:t>招标</w:t>
      </w:r>
      <w:r>
        <w:rPr>
          <w:rFonts w:hint="eastAsia" w:ascii="宋体" w:hAnsi="宋体"/>
          <w:b/>
          <w:bCs/>
          <w:color w:val="auto"/>
          <w:szCs w:val="21"/>
        </w:rPr>
        <w:t>开始</w:t>
      </w:r>
      <w:bookmarkEnd w:id="478"/>
      <w:bookmarkEnd w:id="479"/>
      <w:bookmarkEnd w:id="480"/>
      <w:bookmarkStart w:id="481" w:name="_Toc152045560"/>
      <w:bookmarkStart w:id="482" w:name="_Toc20660"/>
      <w:bookmarkStart w:id="483" w:name="_Toc25533"/>
      <w:bookmarkStart w:id="484" w:name="_Toc14"/>
      <w:bookmarkStart w:id="485" w:name="_Toc16040"/>
      <w:bookmarkStart w:id="486" w:name="_Toc25809"/>
      <w:bookmarkStart w:id="487" w:name="_Toc6763"/>
      <w:bookmarkStart w:id="488" w:name="_Toc318450703"/>
      <w:bookmarkStart w:id="489" w:name="_Toc20333"/>
      <w:bookmarkStart w:id="490" w:name="_Toc466298119"/>
      <w:bookmarkStart w:id="491" w:name="_Toc455080136"/>
      <w:bookmarkStart w:id="492" w:name="_Toc9969"/>
      <w:bookmarkStart w:id="493" w:name="_Toc144974528"/>
      <w:bookmarkStart w:id="494" w:name="_Toc26426"/>
      <w:bookmarkStart w:id="495" w:name="_Toc455867796"/>
      <w:bookmarkStart w:id="496" w:name="_Toc490667856"/>
      <w:bookmarkStart w:id="497" w:name="_Toc152042336"/>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ageBreakBefore w:val="0"/>
        <w:kinsoku/>
        <w:wordWrap/>
        <w:overflowPunct/>
        <w:topLinePunct w:val="0"/>
        <w:bidi w:val="0"/>
        <w:snapToGrid w:val="0"/>
        <w:spacing w:line="360" w:lineRule="auto"/>
        <w:textAlignment w:val="auto"/>
        <w:rPr>
          <w:rFonts w:hint="eastAsia" w:ascii="宋体" w:hAnsi="宋体"/>
          <w:b/>
          <w:bCs/>
          <w:color w:val="auto"/>
          <w:sz w:val="21"/>
          <w:szCs w:val="21"/>
        </w:rPr>
      </w:pPr>
      <w:bookmarkStart w:id="498" w:name="_Toc25911"/>
      <w:bookmarkStart w:id="499" w:name="_Toc17491"/>
      <w:bookmarkStart w:id="500" w:name="_Toc747"/>
      <w:bookmarkStart w:id="501" w:name="_Toc18582"/>
      <w:bookmarkStart w:id="502" w:name="_Toc30074"/>
      <w:bookmarkStart w:id="503" w:name="_Toc466298120"/>
      <w:bookmarkStart w:id="504" w:name="_Toc144974529"/>
      <w:bookmarkStart w:id="505" w:name="_Toc9328"/>
      <w:bookmarkStart w:id="506" w:name="_Toc455867797"/>
      <w:bookmarkStart w:id="507" w:name="_Toc490667857"/>
      <w:bookmarkStart w:id="508" w:name="_Toc152042337"/>
      <w:bookmarkStart w:id="509" w:name="_Toc318450704"/>
      <w:bookmarkStart w:id="510" w:name="_Toc152045561"/>
      <w:bookmarkStart w:id="511" w:name="_Toc11148"/>
      <w:bookmarkStart w:id="512" w:name="_Toc3865"/>
      <w:bookmarkStart w:id="513" w:name="_Toc30965"/>
      <w:bookmarkStart w:id="514" w:name="_Toc455080137"/>
      <w:bookmarkStart w:id="515" w:name="_Toc30792"/>
      <w:r>
        <w:rPr>
          <w:rFonts w:hint="eastAsia" w:ascii="宋体" w:hAnsi="宋体"/>
          <w:b/>
          <w:bCs/>
          <w:color w:val="auto"/>
          <w:sz w:val="21"/>
          <w:szCs w:val="21"/>
        </w:rPr>
        <w:t xml:space="preserve">5.1 </w:t>
      </w:r>
      <w:r>
        <w:rPr>
          <w:rFonts w:hint="eastAsia" w:ascii="宋体" w:hAnsi="宋体"/>
          <w:b/>
          <w:bCs/>
          <w:color w:val="auto"/>
          <w:sz w:val="21"/>
          <w:szCs w:val="21"/>
          <w:lang w:eastAsia="zh-CN"/>
        </w:rPr>
        <w:t>开标</w:t>
      </w:r>
      <w:r>
        <w:rPr>
          <w:rFonts w:hint="eastAsia" w:ascii="宋体" w:hAnsi="宋体"/>
          <w:b/>
          <w:bCs/>
          <w:color w:val="auto"/>
          <w:sz w:val="21"/>
          <w:szCs w:val="21"/>
        </w:rPr>
        <w:t>时间和地点</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5.1.1 采购人在本章规定的投标截止时间（</w:t>
      </w:r>
      <w:r>
        <w:rPr>
          <w:rFonts w:hint="eastAsia" w:ascii="宋体" w:hAnsi="宋体"/>
          <w:color w:val="auto"/>
          <w:sz w:val="21"/>
          <w:szCs w:val="21"/>
          <w:lang w:eastAsia="zh-CN"/>
        </w:rPr>
        <w:t>开标</w:t>
      </w:r>
      <w:r>
        <w:rPr>
          <w:rFonts w:hint="eastAsia" w:ascii="宋体" w:hAnsi="宋体"/>
          <w:color w:val="auto"/>
          <w:sz w:val="21"/>
          <w:szCs w:val="21"/>
        </w:rPr>
        <w:t>时间）和</w:t>
      </w:r>
      <w:r>
        <w:rPr>
          <w:rFonts w:hint="eastAsia" w:ascii="宋体" w:hAnsi="宋体"/>
          <w:color w:val="auto"/>
          <w:sz w:val="21"/>
          <w:szCs w:val="21"/>
          <w:lang w:eastAsia="zh-CN"/>
        </w:rPr>
        <w:t>供应商</w:t>
      </w:r>
      <w:r>
        <w:rPr>
          <w:rFonts w:hint="eastAsia" w:ascii="宋体" w:hAnsi="宋体"/>
          <w:color w:val="auto"/>
          <w:sz w:val="21"/>
          <w:szCs w:val="21"/>
        </w:rPr>
        <w:t>须知前附表规定的地点开标。</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rPr>
        <w:t xml:space="preserve">5.1.2 </w:t>
      </w:r>
      <w:r>
        <w:rPr>
          <w:rFonts w:hint="eastAsia" w:ascii="宋体" w:hAnsi="宋体"/>
          <w:b/>
          <w:bCs/>
          <w:color w:val="auto"/>
          <w:sz w:val="21"/>
          <w:szCs w:val="21"/>
          <w:lang w:val="en-US" w:eastAsia="zh-CN"/>
        </w:rPr>
        <w:t>本项目采用“不见面开标”交易方式，不见面开标大厅网址为</w:t>
      </w:r>
      <w:r>
        <w:rPr>
          <w:rFonts w:hint="eastAsia" w:ascii="宋体" w:hAnsi="宋体"/>
          <w:b/>
          <w:bCs/>
          <w:color w:val="auto"/>
          <w:sz w:val="21"/>
          <w:szCs w:val="21"/>
          <w:lang w:val="en-US" w:eastAsia="zh-CN"/>
        </w:rPr>
        <w:fldChar w:fldCharType="begin"/>
      </w:r>
      <w:r>
        <w:rPr>
          <w:rFonts w:hint="eastAsia" w:ascii="宋体" w:hAnsi="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lang w:val="en-US" w:eastAsia="zh-CN"/>
        </w:rPr>
        <w:fldChar w:fldCharType="separate"/>
      </w:r>
      <w:r>
        <w:rPr>
          <w:rFonts w:hint="eastAsia" w:ascii="宋体" w:hAnsi="宋体"/>
          <w:b/>
          <w:bCs/>
          <w:color w:val="auto"/>
          <w:sz w:val="21"/>
          <w:szCs w:val="21"/>
          <w:lang w:val="en-US" w:eastAsia="zh-CN"/>
        </w:rPr>
        <w:t>，</w:t>
      </w:r>
      <w:r>
        <w:rPr>
          <w:rFonts w:hint="eastAsia" w:ascii="宋体" w:hAnsi="宋体" w:cs="宋体"/>
          <w:color w:val="auto"/>
          <w:kern w:val="0"/>
          <w:szCs w:val="21"/>
        </w:rPr>
        <w:t>https://ggzyjy.xinyang.gov.cn/BidOpening/bidhall/xinyang/login.html，</w:t>
      </w:r>
      <w:r>
        <w:rPr>
          <w:rFonts w:hint="eastAsia" w:ascii="宋体" w:hAnsi="宋体"/>
          <w:b/>
          <w:bCs/>
          <w:color w:val="auto"/>
          <w:sz w:val="21"/>
          <w:szCs w:val="21"/>
          <w:lang w:val="en-US" w:eastAsia="zh-CN"/>
        </w:rPr>
        <w:t>供应商无需寄送和递交</w:t>
      </w:r>
      <w:r>
        <w:rPr>
          <w:rFonts w:hint="eastAsia" w:ascii="宋体" w:hAnsi="宋体"/>
          <w:b/>
          <w:bCs/>
          <w:color w:val="auto"/>
          <w:sz w:val="21"/>
          <w:szCs w:val="21"/>
        </w:rPr>
        <w:t>非加密的电子</w:t>
      </w:r>
      <w:r>
        <w:rPr>
          <w:rFonts w:hint="eastAsia" w:ascii="宋体" w:hAnsi="宋体"/>
          <w:b/>
          <w:bCs/>
          <w:color w:val="auto"/>
          <w:sz w:val="21"/>
          <w:szCs w:val="21"/>
          <w:lang w:eastAsia="zh-CN"/>
        </w:rPr>
        <w:t>投标文件，</w:t>
      </w:r>
      <w:r>
        <w:rPr>
          <w:rFonts w:hint="eastAsia" w:ascii="宋体" w:hAnsi="宋体"/>
          <w:b/>
          <w:bCs/>
          <w:color w:val="auto"/>
          <w:sz w:val="21"/>
          <w:szCs w:val="21"/>
          <w:lang w:val="en-US" w:eastAsia="zh-CN"/>
        </w:rPr>
        <w:t>无需到现场参加开标会议，无需到达现场提交原件资料。</w:t>
      </w:r>
      <w:r>
        <w:rPr>
          <w:rFonts w:hint="eastAsia" w:ascii="宋体" w:hAnsi="宋体"/>
          <w:b/>
          <w:bCs/>
          <w:color w:val="auto"/>
          <w:sz w:val="21"/>
          <w:szCs w:val="21"/>
          <w:lang w:val="en-US" w:eastAsia="zh-CN"/>
        </w:rPr>
        <w:fldChar w:fldCharType="end"/>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供应商应当在投标文件提交截止时间前，使用供应商CA数字证书登录不见面开标大厅，在线签到并准时参加开标活动，并在规定时间内完成投标文件解密、答疑澄清等。</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需在解密开始后10分钟内完成解密（当供应商过多时，解密时间可以适当延长）。在投标文件解密过程中，因供应商原因（如供应商准备不到位、电脑网络问题等），造成无法及时解密的，将被退回投标文件。</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不见面开标服务的具体事宜，请查阅信阳市公共资源交易中心网站首页—下载中心—信阳市不见面开标大厅系统操作手册 。</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rPr>
      </w:pPr>
      <w:r>
        <w:rPr>
          <w:rFonts w:hint="eastAsia" w:ascii="宋体" w:hAnsi="宋体"/>
          <w:b/>
          <w:bCs/>
          <w:color w:val="auto"/>
          <w:sz w:val="21"/>
          <w:szCs w:val="21"/>
        </w:rPr>
        <w:t>开标</w:t>
      </w:r>
      <w:r>
        <w:rPr>
          <w:rFonts w:hint="eastAsia" w:ascii="宋体" w:hAnsi="宋体"/>
          <w:b/>
          <w:bCs/>
          <w:color w:val="auto"/>
          <w:sz w:val="21"/>
          <w:szCs w:val="21"/>
          <w:lang w:eastAsia="zh-CN"/>
        </w:rPr>
        <w:t>过程中</w:t>
      </w:r>
      <w:r>
        <w:rPr>
          <w:rFonts w:hint="eastAsia" w:ascii="宋体" w:hAnsi="宋体"/>
          <w:b/>
          <w:bCs/>
          <w:color w:val="auto"/>
          <w:sz w:val="21"/>
          <w:szCs w:val="21"/>
        </w:rPr>
        <w:t>，</w:t>
      </w:r>
      <w:r>
        <w:rPr>
          <w:rFonts w:hint="eastAsia" w:ascii="宋体" w:hAnsi="宋体"/>
          <w:b/>
          <w:bCs/>
          <w:color w:val="auto"/>
          <w:sz w:val="21"/>
          <w:szCs w:val="21"/>
          <w:lang w:eastAsia="zh-CN"/>
        </w:rPr>
        <w:t>供应商</w:t>
      </w:r>
      <w:r>
        <w:rPr>
          <w:rFonts w:hint="eastAsia" w:ascii="宋体" w:hAnsi="宋体"/>
          <w:b/>
          <w:bCs/>
          <w:color w:val="auto"/>
          <w:sz w:val="21"/>
          <w:szCs w:val="21"/>
        </w:rPr>
        <w:t>如有异议，须</w:t>
      </w:r>
      <w:r>
        <w:rPr>
          <w:rFonts w:hint="eastAsia" w:ascii="宋体" w:hAnsi="宋体"/>
          <w:b/>
          <w:bCs/>
          <w:color w:val="auto"/>
          <w:sz w:val="21"/>
          <w:szCs w:val="21"/>
          <w:lang w:eastAsia="zh-CN"/>
        </w:rPr>
        <w:t>在开标结束前</w:t>
      </w:r>
      <w:r>
        <w:rPr>
          <w:rFonts w:hint="eastAsia" w:ascii="宋体" w:hAnsi="宋体"/>
          <w:b/>
          <w:bCs/>
          <w:color w:val="auto"/>
          <w:sz w:val="21"/>
          <w:szCs w:val="21"/>
        </w:rPr>
        <w:t>通过系统提出，否则视同</w:t>
      </w:r>
      <w:r>
        <w:rPr>
          <w:rFonts w:hint="eastAsia" w:ascii="宋体" w:hAnsi="宋体"/>
          <w:b/>
          <w:bCs/>
          <w:color w:val="auto"/>
          <w:sz w:val="21"/>
          <w:szCs w:val="21"/>
          <w:lang w:eastAsia="zh-CN"/>
        </w:rPr>
        <w:t>认可</w:t>
      </w:r>
      <w:r>
        <w:rPr>
          <w:rFonts w:hint="eastAsia" w:ascii="宋体" w:hAnsi="宋体"/>
          <w:b/>
          <w:bCs/>
          <w:color w:val="auto"/>
          <w:sz w:val="21"/>
          <w:szCs w:val="21"/>
        </w:rPr>
        <w:t>开标记录</w:t>
      </w:r>
      <w:r>
        <w:rPr>
          <w:rFonts w:hint="eastAsia" w:ascii="宋体" w:hAnsi="宋体"/>
          <w:b/>
          <w:bCs/>
          <w:color w:val="auto"/>
          <w:sz w:val="21"/>
          <w:szCs w:val="21"/>
          <w:lang w:eastAsia="zh-CN"/>
        </w:rPr>
        <w:t>。开标结束后，</w:t>
      </w:r>
      <w:r>
        <w:rPr>
          <w:rFonts w:hint="eastAsia" w:ascii="宋体" w:hAnsi="宋体"/>
          <w:b/>
          <w:bCs/>
          <w:color w:val="auto"/>
          <w:sz w:val="21"/>
          <w:szCs w:val="21"/>
        </w:rPr>
        <w:t>对开标记录</w:t>
      </w:r>
      <w:r>
        <w:rPr>
          <w:rFonts w:hint="eastAsia" w:ascii="宋体" w:hAnsi="宋体"/>
          <w:b/>
          <w:bCs/>
          <w:color w:val="auto"/>
          <w:sz w:val="21"/>
          <w:szCs w:val="21"/>
          <w:lang w:eastAsia="zh-CN"/>
        </w:rPr>
        <w:t>的</w:t>
      </w:r>
      <w:r>
        <w:rPr>
          <w:rFonts w:hint="eastAsia" w:ascii="宋体" w:hAnsi="宋体"/>
          <w:b/>
          <w:bCs/>
          <w:color w:val="auto"/>
          <w:sz w:val="21"/>
          <w:szCs w:val="21"/>
        </w:rPr>
        <w:t>任何异议</w:t>
      </w:r>
      <w:r>
        <w:rPr>
          <w:rFonts w:hint="eastAsia" w:ascii="宋体" w:hAnsi="宋体"/>
          <w:b/>
          <w:bCs/>
          <w:color w:val="auto"/>
          <w:sz w:val="21"/>
          <w:szCs w:val="21"/>
          <w:lang w:eastAsia="zh-CN"/>
        </w:rPr>
        <w:t>不再接受</w:t>
      </w:r>
      <w:r>
        <w:rPr>
          <w:rFonts w:hint="eastAsia" w:ascii="宋体" w:hAnsi="宋体"/>
          <w:b/>
          <w:bCs/>
          <w:color w:val="auto"/>
          <w:sz w:val="21"/>
          <w:szCs w:val="21"/>
        </w:rPr>
        <w:t xml:space="preserve">。 </w:t>
      </w:r>
      <w:bookmarkStart w:id="516" w:name="_Toc20594"/>
      <w:bookmarkStart w:id="517" w:name="_Toc16520"/>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5.2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程序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48"/>
        <w:pageBreakBefore w:val="0"/>
        <w:kinsoku/>
        <w:wordWrap/>
        <w:overflowPunct/>
        <w:topLinePunct w:val="0"/>
        <w:bidi w:val="0"/>
        <w:snapToGrid w:val="0"/>
        <w:spacing w:before="0" w:beforeLines="0" w:after="0" w:afterLines="0" w:line="360" w:lineRule="auto"/>
        <w:textAlignment w:val="auto"/>
        <w:outlineLvl w:val="0"/>
        <w:rPr>
          <w:rFonts w:ascii="宋体" w:hAnsi="宋体" w:eastAsia="宋体"/>
          <w:b/>
          <w:bCs/>
          <w:color w:val="auto"/>
          <w:sz w:val="21"/>
          <w:szCs w:val="21"/>
          <w:lang w:val="en-US" w:eastAsia="zh-CN"/>
        </w:rPr>
      </w:pPr>
      <w:bookmarkStart w:id="518" w:name="_Toc30403"/>
      <w:bookmarkStart w:id="519" w:name="_Toc2877"/>
      <w:bookmarkStart w:id="520" w:name="_Toc19231"/>
      <w:r>
        <w:rPr>
          <w:rFonts w:hint="eastAsia" w:ascii="宋体" w:hAnsi="宋体" w:eastAsia="宋体"/>
          <w:color w:val="auto"/>
          <w:sz w:val="21"/>
          <w:szCs w:val="21"/>
          <w:lang w:val="en-US" w:eastAsia="zh-CN"/>
        </w:rPr>
        <w:t>5.2.1评标委员会对招标文件进行熟悉确认。</w:t>
      </w:r>
      <w:bookmarkEnd w:id="518"/>
      <w:bookmarkEnd w:id="519"/>
      <w:bookmarkEnd w:id="520"/>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bookmarkStart w:id="521" w:name="_Toc152042338"/>
      <w:bookmarkStart w:id="522" w:name="_Toc144974530"/>
      <w:bookmarkStart w:id="523" w:name="_Toc152045562"/>
      <w:r>
        <w:rPr>
          <w:rFonts w:hint="eastAsia" w:ascii="宋体" w:hAnsi="宋体" w:cs="宋体"/>
          <w:color w:val="auto"/>
          <w:szCs w:val="21"/>
        </w:rPr>
        <w:t>5.2.2</w:t>
      </w:r>
      <w:r>
        <w:rPr>
          <w:rFonts w:hint="eastAsia" w:ascii="宋体" w:hAnsi="宋体" w:cs="宋体"/>
          <w:color w:val="auto"/>
          <w:szCs w:val="21"/>
          <w:lang w:eastAsia="zh-CN"/>
        </w:rPr>
        <w:t>评标委员会</w:t>
      </w:r>
      <w:r>
        <w:rPr>
          <w:rFonts w:hint="eastAsia" w:ascii="宋体" w:hAnsi="宋体" w:cs="宋体"/>
          <w:color w:val="auto"/>
          <w:szCs w:val="21"/>
        </w:rPr>
        <w:t>推选组长，讨论、通过</w:t>
      </w:r>
      <w:r>
        <w:rPr>
          <w:rFonts w:hint="eastAsia" w:ascii="宋体" w:hAnsi="宋体" w:cs="宋体"/>
          <w:color w:val="auto"/>
          <w:szCs w:val="21"/>
          <w:lang w:eastAsia="zh-CN"/>
        </w:rPr>
        <w:t>评标</w:t>
      </w:r>
      <w:r>
        <w:rPr>
          <w:rFonts w:hint="eastAsia" w:ascii="宋体" w:hAnsi="宋体" w:cs="宋体"/>
          <w:color w:val="auto"/>
          <w:szCs w:val="21"/>
        </w:rPr>
        <w:t>工作流程和</w:t>
      </w:r>
      <w:r>
        <w:rPr>
          <w:rFonts w:hint="eastAsia" w:ascii="宋体" w:hAnsi="宋体" w:cs="宋体"/>
          <w:color w:val="auto"/>
          <w:szCs w:val="21"/>
          <w:lang w:eastAsia="zh-CN"/>
        </w:rPr>
        <w:t>评标</w:t>
      </w:r>
      <w:r>
        <w:rPr>
          <w:rFonts w:hint="eastAsia" w:ascii="宋体" w:hAnsi="宋体" w:cs="宋体"/>
          <w:color w:val="auto"/>
          <w:szCs w:val="21"/>
        </w:rPr>
        <w:t>要点。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资格评审审查：采购人依据</w:t>
      </w:r>
      <w:r>
        <w:rPr>
          <w:rFonts w:hint="eastAsia" w:ascii="宋体" w:hAnsi="宋体" w:cs="宋体"/>
          <w:color w:val="auto"/>
          <w:szCs w:val="21"/>
          <w:lang w:eastAsia="zh-CN"/>
        </w:rPr>
        <w:t>招标文件</w:t>
      </w:r>
      <w:r>
        <w:rPr>
          <w:rFonts w:hint="eastAsia" w:ascii="宋体" w:hAnsi="宋体" w:cs="宋体"/>
          <w:color w:val="auto"/>
          <w:szCs w:val="21"/>
        </w:rPr>
        <w:t>规定，</w:t>
      </w:r>
      <w:r>
        <w:rPr>
          <w:rFonts w:hint="eastAsia" w:ascii="宋体" w:hAnsi="宋体" w:cs="宋体"/>
          <w:color w:val="auto"/>
          <w:szCs w:val="21"/>
          <w:lang w:eastAsia="zh-CN"/>
        </w:rPr>
        <w:t>对</w:t>
      </w:r>
      <w:r>
        <w:rPr>
          <w:rFonts w:hint="eastAsia" w:ascii="宋体" w:hAnsi="宋体" w:cs="宋体"/>
          <w:color w:val="auto"/>
          <w:szCs w:val="21"/>
        </w:rPr>
        <w:t>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4</w:t>
      </w:r>
      <w:r>
        <w:rPr>
          <w:rFonts w:hint="eastAsia" w:ascii="宋体" w:hAnsi="宋体" w:cs="宋体"/>
          <w:color w:val="auto"/>
          <w:szCs w:val="21"/>
          <w:lang w:eastAsia="zh-CN"/>
        </w:rPr>
        <w:t>符合性</w:t>
      </w:r>
      <w:r>
        <w:rPr>
          <w:rFonts w:hint="eastAsia" w:ascii="宋体" w:hAnsi="宋体" w:cs="宋体"/>
          <w:color w:val="auto"/>
          <w:szCs w:val="21"/>
        </w:rPr>
        <w:t>评审审查：</w:t>
      </w:r>
      <w:r>
        <w:rPr>
          <w:rFonts w:hint="eastAsia" w:ascii="宋体" w:hAnsi="宋体" w:cs="宋体"/>
          <w:color w:val="auto"/>
          <w:szCs w:val="21"/>
          <w:lang w:eastAsia="zh-CN"/>
        </w:rPr>
        <w:t>评标</w:t>
      </w:r>
      <w:r>
        <w:rPr>
          <w:rFonts w:hint="eastAsia" w:ascii="宋体" w:hAnsi="宋体" w:cs="宋体"/>
          <w:color w:val="auto"/>
          <w:szCs w:val="21"/>
        </w:rPr>
        <w:t>开始后，</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eastAsia="zh-CN"/>
        </w:rPr>
        <w:t>招标文件</w:t>
      </w:r>
      <w:r>
        <w:rPr>
          <w:rFonts w:hint="eastAsia" w:ascii="宋体" w:hAnsi="宋体" w:cs="宋体"/>
          <w:color w:val="auto"/>
          <w:szCs w:val="21"/>
        </w:rPr>
        <w:t>规定，对通过资格评审的供应商进行审查，以确定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.5</w:t>
      </w:r>
      <w:r>
        <w:rPr>
          <w:rFonts w:hint="eastAsia" w:ascii="宋体" w:hAnsi="宋体" w:cs="宋体"/>
          <w:color w:val="auto"/>
          <w:szCs w:val="21"/>
          <w:lang w:eastAsia="zh-CN"/>
        </w:rPr>
        <w:t>评标委员会</w:t>
      </w:r>
      <w:r>
        <w:rPr>
          <w:rFonts w:hint="eastAsia" w:ascii="宋体" w:hAnsi="宋体" w:cs="宋体"/>
          <w:color w:val="auto"/>
          <w:szCs w:val="21"/>
        </w:rPr>
        <w:t>对通过资格性和符合性审查的</w:t>
      </w:r>
      <w:r>
        <w:rPr>
          <w:rFonts w:hint="eastAsia" w:ascii="宋体" w:hAnsi="宋体" w:cs="宋体"/>
          <w:color w:val="auto"/>
          <w:szCs w:val="21"/>
          <w:lang w:eastAsia="zh-CN"/>
        </w:rPr>
        <w:t>投标文件</w:t>
      </w:r>
      <w:r>
        <w:rPr>
          <w:rFonts w:hint="eastAsia" w:ascii="宋体" w:hAnsi="宋体" w:cs="宋体"/>
          <w:color w:val="auto"/>
          <w:szCs w:val="21"/>
        </w:rPr>
        <w:t>进行评估，确定与各竞标人的具体内容。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 5.2.</w:t>
      </w:r>
      <w:r>
        <w:rPr>
          <w:rFonts w:hint="eastAsia" w:ascii="宋体" w:hAnsi="宋体" w:cs="宋体"/>
          <w:color w:val="auto"/>
          <w:szCs w:val="21"/>
          <w:lang w:val="en-US" w:eastAsia="zh-CN"/>
        </w:rPr>
        <w:t>6</w:t>
      </w:r>
      <w:r>
        <w:rPr>
          <w:rFonts w:hint="eastAsia" w:ascii="宋体" w:hAnsi="宋体" w:cs="宋体"/>
          <w:color w:val="auto"/>
          <w:szCs w:val="21"/>
          <w:lang w:eastAsia="zh-CN"/>
        </w:rPr>
        <w:t>评标</w:t>
      </w:r>
      <w:r>
        <w:rPr>
          <w:rFonts w:hint="eastAsia" w:ascii="宋体" w:hAnsi="宋体" w:cs="宋体"/>
          <w:color w:val="auto"/>
          <w:szCs w:val="21"/>
        </w:rPr>
        <w:t>过程中，</w:t>
      </w:r>
      <w:r>
        <w:rPr>
          <w:rFonts w:hint="eastAsia" w:ascii="宋体" w:hAnsi="宋体" w:cs="宋体"/>
          <w:color w:val="auto"/>
          <w:szCs w:val="21"/>
          <w:lang w:eastAsia="zh-CN"/>
        </w:rPr>
        <w:t>评标委员会</w:t>
      </w:r>
      <w:r>
        <w:rPr>
          <w:rFonts w:hint="eastAsia" w:ascii="宋体" w:hAnsi="宋体" w:cs="宋体"/>
          <w:color w:val="auto"/>
          <w:szCs w:val="21"/>
        </w:rPr>
        <w:t>可以根据</w:t>
      </w:r>
      <w:r>
        <w:rPr>
          <w:rFonts w:hint="eastAsia" w:ascii="宋体" w:hAnsi="宋体" w:cs="宋体"/>
          <w:color w:val="auto"/>
          <w:szCs w:val="21"/>
          <w:lang w:eastAsia="zh-CN"/>
        </w:rPr>
        <w:t>评标</w:t>
      </w:r>
      <w:r>
        <w:rPr>
          <w:rFonts w:hint="eastAsia" w:ascii="宋体" w:hAnsi="宋体" w:cs="宋体"/>
          <w:color w:val="auto"/>
          <w:szCs w:val="21"/>
        </w:rPr>
        <w:t>情况实质性变动招标需求中的技术、服务要求以及合同草案条款，但不得变动</w:t>
      </w:r>
      <w:r>
        <w:rPr>
          <w:rFonts w:hint="eastAsia" w:ascii="宋体" w:hAnsi="宋体" w:cs="宋体"/>
          <w:color w:val="auto"/>
          <w:szCs w:val="21"/>
          <w:lang w:eastAsia="zh-CN"/>
        </w:rPr>
        <w:t>招标文件</w:t>
      </w:r>
      <w:r>
        <w:rPr>
          <w:rFonts w:hint="eastAsia" w:ascii="宋体" w:hAnsi="宋体" w:cs="宋体"/>
          <w:color w:val="auto"/>
          <w:szCs w:val="21"/>
        </w:rPr>
        <w:t>中的其他内容。实质性变动的内容需经采购人(业主)代表确认。并以书面形式通知所有参加</w:t>
      </w:r>
      <w:r>
        <w:rPr>
          <w:rFonts w:hint="eastAsia" w:ascii="宋体" w:hAnsi="宋体" w:cs="宋体"/>
          <w:color w:val="auto"/>
          <w:szCs w:val="21"/>
          <w:lang w:eastAsia="zh-CN"/>
        </w:rPr>
        <w:t>投标</w:t>
      </w:r>
      <w:r>
        <w:rPr>
          <w:rFonts w:hint="eastAsia" w:ascii="宋体" w:hAnsi="宋体" w:cs="宋体"/>
          <w:color w:val="auto"/>
          <w:szCs w:val="21"/>
        </w:rPr>
        <w:t>的供应商，该变动是</w:t>
      </w:r>
      <w:r>
        <w:rPr>
          <w:rFonts w:hint="eastAsia" w:ascii="宋体" w:hAnsi="宋体" w:cs="宋体"/>
          <w:color w:val="auto"/>
          <w:szCs w:val="21"/>
          <w:lang w:eastAsia="zh-CN"/>
        </w:rPr>
        <w:t>招标文件</w:t>
      </w:r>
      <w:r>
        <w:rPr>
          <w:rFonts w:hint="eastAsia" w:ascii="宋体" w:hAnsi="宋体" w:cs="宋体"/>
          <w:color w:val="auto"/>
          <w:szCs w:val="21"/>
        </w:rPr>
        <w:t>的有效组成部分。供应商应当按照</w:t>
      </w:r>
      <w:r>
        <w:rPr>
          <w:rFonts w:hint="eastAsia" w:ascii="宋体" w:hAnsi="宋体" w:cs="宋体"/>
          <w:color w:val="auto"/>
          <w:szCs w:val="21"/>
          <w:lang w:eastAsia="zh-CN"/>
        </w:rPr>
        <w:t>招标文件</w:t>
      </w:r>
      <w:r>
        <w:rPr>
          <w:rFonts w:hint="eastAsia" w:ascii="宋体" w:hAnsi="宋体" w:cs="宋体"/>
          <w:color w:val="auto"/>
          <w:szCs w:val="21"/>
        </w:rPr>
        <w:t>的变动情况和</w:t>
      </w:r>
      <w:r>
        <w:rPr>
          <w:rFonts w:hint="eastAsia" w:ascii="宋体" w:hAnsi="宋体" w:cs="宋体"/>
          <w:color w:val="auto"/>
          <w:szCs w:val="21"/>
          <w:lang w:eastAsia="zh-CN"/>
        </w:rPr>
        <w:t>评标委员会</w:t>
      </w:r>
      <w:r>
        <w:rPr>
          <w:rFonts w:hint="eastAsia" w:ascii="宋体" w:hAnsi="宋体" w:cs="宋体"/>
          <w:color w:val="auto"/>
          <w:szCs w:val="21"/>
        </w:rPr>
        <w:t>的要求重新提交</w:t>
      </w:r>
      <w:r>
        <w:rPr>
          <w:rFonts w:hint="eastAsia" w:ascii="宋体" w:hAnsi="宋体" w:cs="宋体"/>
          <w:color w:val="auto"/>
          <w:szCs w:val="21"/>
          <w:lang w:eastAsia="zh-CN"/>
        </w:rPr>
        <w:t>投标文件</w:t>
      </w:r>
      <w:r>
        <w:rPr>
          <w:rFonts w:hint="eastAsia" w:ascii="宋体" w:hAnsi="宋体" w:cs="宋体"/>
          <w:color w:val="auto"/>
          <w:szCs w:val="21"/>
        </w:rPr>
        <w:t>并由其法定代表人或其授权代表签字或者加盖公章。由授权代表签字的应当附法定代表人授权书。供应商为自然人的应当由本人签字并附身份证。供应商应根据</w:t>
      </w:r>
      <w:r>
        <w:rPr>
          <w:rFonts w:hint="eastAsia" w:ascii="宋体" w:hAnsi="宋体" w:cs="宋体"/>
          <w:color w:val="auto"/>
          <w:szCs w:val="21"/>
          <w:lang w:eastAsia="zh-CN"/>
        </w:rPr>
        <w:t>评标委员会</w:t>
      </w:r>
      <w:r>
        <w:rPr>
          <w:rFonts w:hint="eastAsia" w:ascii="宋体" w:hAnsi="宋体" w:cs="宋体"/>
          <w:color w:val="auto"/>
          <w:szCs w:val="21"/>
        </w:rPr>
        <w:t>的要求，以书面形式在规定时间内做出响应，未做出响应的</w:t>
      </w:r>
      <w:r>
        <w:rPr>
          <w:rFonts w:hint="eastAsia" w:ascii="宋体" w:hAnsi="宋体" w:cs="宋体"/>
          <w:color w:val="auto"/>
          <w:szCs w:val="21"/>
          <w:lang w:eastAsia="zh-CN"/>
        </w:rPr>
        <w:t>投标文件</w:t>
      </w:r>
      <w:r>
        <w:rPr>
          <w:rFonts w:hint="eastAsia" w:ascii="宋体" w:hAnsi="宋体" w:cs="宋体"/>
          <w:color w:val="auto"/>
          <w:szCs w:val="21"/>
        </w:rPr>
        <w:t>将被视为无效竞标。若</w:t>
      </w:r>
      <w:r>
        <w:rPr>
          <w:rFonts w:hint="eastAsia" w:ascii="宋体" w:hAnsi="宋体" w:cs="宋体"/>
          <w:color w:val="auto"/>
          <w:szCs w:val="21"/>
          <w:lang w:eastAsia="zh-CN"/>
        </w:rPr>
        <w:t>评标委员会</w:t>
      </w:r>
      <w:r>
        <w:rPr>
          <w:rFonts w:hint="eastAsia" w:ascii="宋体" w:hAnsi="宋体" w:cs="宋体"/>
          <w:color w:val="auto"/>
          <w:szCs w:val="21"/>
        </w:rPr>
        <w:t>没有实质性变动招标需求中的技术、服务要求以及合同草案条款，则供应商的最后报价不得高于首次报价，否则按废标处理。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7</w:t>
      </w:r>
      <w:r>
        <w:rPr>
          <w:rFonts w:hint="eastAsia" w:ascii="宋体" w:hAnsi="宋体" w:cs="宋体"/>
          <w:color w:val="auto"/>
          <w:szCs w:val="21"/>
        </w:rPr>
        <w:t>经确定最终</w:t>
      </w:r>
      <w:r>
        <w:rPr>
          <w:rFonts w:hint="eastAsia" w:ascii="宋体" w:hAnsi="宋体" w:cs="宋体"/>
          <w:color w:val="auto"/>
          <w:szCs w:val="21"/>
          <w:lang w:val="en-US" w:eastAsia="zh-CN"/>
        </w:rPr>
        <w:t>初步评审单位</w:t>
      </w:r>
      <w:r>
        <w:rPr>
          <w:rFonts w:hint="eastAsia" w:ascii="宋体" w:hAnsi="宋体" w:cs="宋体"/>
          <w:color w:val="auto"/>
          <w:szCs w:val="21"/>
        </w:rPr>
        <w:t>，由</w:t>
      </w:r>
      <w:r>
        <w:rPr>
          <w:rFonts w:hint="eastAsia" w:ascii="宋体" w:hAnsi="宋体" w:cs="宋体"/>
          <w:color w:val="auto"/>
          <w:szCs w:val="21"/>
          <w:lang w:eastAsia="zh-CN"/>
        </w:rPr>
        <w:t>评标委员会</w:t>
      </w:r>
      <w:r>
        <w:rPr>
          <w:rFonts w:hint="eastAsia" w:ascii="宋体" w:hAnsi="宋体" w:cs="宋体"/>
          <w:color w:val="auto"/>
          <w:szCs w:val="21"/>
        </w:rPr>
        <w:t>采用综合评分法对通过初步评审的供应商的</w:t>
      </w:r>
      <w:r>
        <w:rPr>
          <w:rFonts w:hint="eastAsia" w:ascii="宋体" w:hAnsi="宋体" w:cs="宋体"/>
          <w:color w:val="auto"/>
          <w:szCs w:val="21"/>
          <w:lang w:eastAsia="zh-CN"/>
        </w:rPr>
        <w:t>投标文件</w:t>
      </w:r>
      <w:r>
        <w:rPr>
          <w:rFonts w:hint="eastAsia" w:ascii="宋体" w:hAnsi="宋体" w:cs="宋体"/>
          <w:color w:val="auto"/>
          <w:szCs w:val="21"/>
        </w:rPr>
        <w:t>进行综合评分。</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524" w:name="_Toc14039"/>
      <w:bookmarkStart w:id="525" w:name="_Toc455080138"/>
      <w:bookmarkStart w:id="526" w:name="_Toc29669"/>
      <w:r>
        <w:rPr>
          <w:rFonts w:hint="eastAsia" w:ascii="宋体" w:hAnsi="宋体" w:eastAsia="宋体"/>
          <w:b/>
          <w:bCs/>
          <w:color w:val="auto"/>
          <w:sz w:val="21"/>
          <w:szCs w:val="21"/>
        </w:rPr>
        <w:t xml:space="preserve">6. </w:t>
      </w:r>
      <w:bookmarkEnd w:id="521"/>
      <w:bookmarkEnd w:id="522"/>
      <w:bookmarkEnd w:id="523"/>
      <w:bookmarkEnd w:id="524"/>
      <w:bookmarkEnd w:id="525"/>
      <w:r>
        <w:rPr>
          <w:rFonts w:hint="eastAsia" w:ascii="宋体" w:hAnsi="宋体" w:eastAsia="宋体"/>
          <w:b/>
          <w:bCs/>
          <w:color w:val="auto"/>
          <w:sz w:val="21"/>
          <w:szCs w:val="21"/>
          <w:lang w:eastAsia="zh-CN"/>
        </w:rPr>
        <w:t>评标委员会</w:t>
      </w:r>
      <w:bookmarkEnd w:id="526"/>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527" w:name="_Toc152042339"/>
      <w:bookmarkStart w:id="528" w:name="_Toc26098"/>
      <w:bookmarkStart w:id="529" w:name="_Toc23138"/>
      <w:bookmarkStart w:id="530" w:name="_Toc1574"/>
      <w:bookmarkStart w:id="531" w:name="_Toc8157"/>
      <w:bookmarkStart w:id="532" w:name="_Toc466298122"/>
      <w:bookmarkStart w:id="533" w:name="_Toc144974531"/>
      <w:bookmarkStart w:id="534" w:name="_Toc13978"/>
      <w:bookmarkStart w:id="535" w:name="_Toc490667859"/>
      <w:bookmarkStart w:id="536" w:name="_Toc455080139"/>
      <w:bookmarkStart w:id="537" w:name="_Toc8725"/>
      <w:bookmarkStart w:id="538" w:name="_Toc9808"/>
      <w:bookmarkStart w:id="539" w:name="_Toc318450706"/>
      <w:bookmarkStart w:id="540" w:name="_Toc22250"/>
      <w:bookmarkStart w:id="541" w:name="_Toc152045563"/>
      <w:bookmarkStart w:id="542" w:name="_Toc455867799"/>
      <w:bookmarkStart w:id="543" w:name="_Toc18985"/>
      <w:bookmarkStart w:id="544" w:name="_Toc1546"/>
      <w:bookmarkStart w:id="545" w:name="_Toc374"/>
      <w:bookmarkStart w:id="546" w:name="_Toc26562"/>
      <w:r>
        <w:rPr>
          <w:rFonts w:hint="eastAsia" w:ascii="宋体" w:hAnsi="宋体" w:eastAsia="宋体"/>
          <w:b/>
          <w:bCs/>
          <w:color w:val="auto"/>
          <w:sz w:val="21"/>
          <w:szCs w:val="21"/>
        </w:rPr>
        <w:t>6.1</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宋体" w:hAnsi="宋体" w:eastAsia="宋体"/>
          <w:b/>
          <w:bCs/>
          <w:color w:val="auto"/>
          <w:sz w:val="21"/>
          <w:szCs w:val="21"/>
          <w:lang w:eastAsia="zh-CN"/>
        </w:rPr>
        <w:t>评标委员会</w:t>
      </w:r>
      <w:bookmarkEnd w:id="545"/>
      <w:bookmarkEnd w:id="5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由采购人依法组建的</w:t>
      </w:r>
      <w:r>
        <w:rPr>
          <w:rFonts w:hint="eastAsia" w:ascii="宋体" w:hAnsi="宋体" w:cs="宋体"/>
          <w:color w:val="auto"/>
          <w:szCs w:val="21"/>
          <w:lang w:eastAsia="zh-CN"/>
        </w:rPr>
        <w:t>评标委员会</w:t>
      </w:r>
      <w:r>
        <w:rPr>
          <w:rFonts w:hint="eastAsia" w:ascii="宋体" w:hAnsi="宋体" w:cs="宋体"/>
          <w:color w:val="auto"/>
          <w:szCs w:val="21"/>
        </w:rPr>
        <w:t>负责。</w:t>
      </w:r>
      <w:r>
        <w:rPr>
          <w:rFonts w:hint="eastAsia" w:ascii="宋体" w:hAnsi="宋体" w:cs="宋体"/>
          <w:color w:val="auto"/>
          <w:szCs w:val="21"/>
          <w:lang w:eastAsia="zh-CN"/>
        </w:rPr>
        <w:t>评标委员会</w:t>
      </w:r>
      <w:r>
        <w:rPr>
          <w:rFonts w:hint="eastAsia" w:ascii="宋体" w:hAnsi="宋体" w:cs="宋体"/>
          <w:color w:val="auto"/>
          <w:szCs w:val="21"/>
        </w:rPr>
        <w:t>由采购人代表以及有关技术、经济等方面的专家组成。</w:t>
      </w:r>
      <w:r>
        <w:rPr>
          <w:rFonts w:hint="eastAsia" w:ascii="宋体" w:hAnsi="宋体" w:cs="宋体"/>
          <w:color w:val="auto"/>
          <w:szCs w:val="21"/>
          <w:lang w:eastAsia="zh-CN"/>
        </w:rPr>
        <w:t>评标委员会</w:t>
      </w:r>
      <w:r>
        <w:rPr>
          <w:rFonts w:hint="eastAsia" w:ascii="宋体" w:hAnsi="宋体" w:cs="宋体"/>
          <w:color w:val="auto"/>
          <w:szCs w:val="21"/>
        </w:rPr>
        <w:t>成员人数以及技术、经济等方面专家的确定方式见供应商须知前附表。</w:t>
      </w:r>
    </w:p>
    <w:p>
      <w:pPr>
        <w:pStyle w:val="48"/>
        <w:pageBreakBefore w:val="0"/>
        <w:tabs>
          <w:tab w:val="left" w:pos="262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47" w:name="_Toc455867800"/>
      <w:bookmarkStart w:id="548" w:name="_Toc21102"/>
      <w:bookmarkStart w:id="549" w:name="_Toc8240"/>
      <w:bookmarkStart w:id="550" w:name="_Toc7286"/>
      <w:bookmarkStart w:id="551" w:name="_Toc318450707"/>
      <w:bookmarkStart w:id="552" w:name="_Toc22495"/>
      <w:bookmarkStart w:id="553" w:name="_Toc24201"/>
      <w:bookmarkStart w:id="554" w:name="_Toc25721"/>
      <w:bookmarkStart w:id="555" w:name="_Toc22143"/>
      <w:bookmarkStart w:id="556" w:name="_Toc9532"/>
      <w:bookmarkStart w:id="557" w:name="_Toc4435"/>
      <w:bookmarkStart w:id="558" w:name="_Toc27035"/>
      <w:bookmarkStart w:id="559" w:name="_Toc152045564"/>
      <w:bookmarkStart w:id="560" w:name="_Toc144974532"/>
      <w:bookmarkStart w:id="561" w:name="_Toc8248"/>
      <w:bookmarkStart w:id="562" w:name="_Toc466298123"/>
      <w:bookmarkStart w:id="563" w:name="_Toc152042340"/>
      <w:bookmarkStart w:id="564" w:name="_Toc490667860"/>
      <w:bookmarkStart w:id="565" w:name="_Toc13368"/>
      <w:bookmarkStart w:id="566" w:name="_Toc455080140"/>
      <w:r>
        <w:rPr>
          <w:rFonts w:hint="eastAsia" w:ascii="宋体" w:hAnsi="宋体" w:eastAsia="宋体"/>
          <w:b/>
          <w:bCs/>
          <w:color w:val="auto"/>
          <w:sz w:val="21"/>
          <w:szCs w:val="21"/>
        </w:rPr>
        <w:t xml:space="preserve">6.2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原则</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活动遵循公平、公正、科学和择优的原则。</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lang w:eastAsia="zh-CN"/>
        </w:rPr>
      </w:pPr>
      <w:bookmarkStart w:id="567" w:name="_Toc490667861"/>
      <w:bookmarkStart w:id="568" w:name="_Toc455080141"/>
      <w:bookmarkStart w:id="569" w:name="_Toc18756"/>
      <w:bookmarkStart w:id="570" w:name="_Toc152042341"/>
      <w:bookmarkStart w:id="571" w:name="_Toc15595"/>
      <w:bookmarkStart w:id="572" w:name="_Toc144974533"/>
      <w:bookmarkStart w:id="573" w:name="_Toc24358"/>
      <w:bookmarkStart w:id="574" w:name="_Toc16725"/>
      <w:bookmarkStart w:id="575" w:name="_Toc8705"/>
      <w:bookmarkStart w:id="576" w:name="_Toc455867801"/>
      <w:bookmarkStart w:id="577" w:name="_Toc20062"/>
      <w:bookmarkStart w:id="578" w:name="_Toc466298124"/>
      <w:bookmarkStart w:id="579" w:name="_Toc27036"/>
      <w:bookmarkStart w:id="580" w:name="_Toc152045565"/>
      <w:bookmarkStart w:id="581" w:name="_Toc7890"/>
      <w:bookmarkStart w:id="582" w:name="_Toc318450708"/>
      <w:bookmarkStart w:id="583" w:name="_Toc28734"/>
      <w:bookmarkStart w:id="584" w:name="_Toc3606"/>
      <w:bookmarkStart w:id="585" w:name="_Toc32700"/>
      <w:bookmarkStart w:id="586" w:name="_Toc25815"/>
      <w:r>
        <w:rPr>
          <w:rFonts w:hint="eastAsia" w:ascii="宋体" w:hAnsi="宋体" w:eastAsia="宋体"/>
          <w:b/>
          <w:bCs/>
          <w:color w:val="auto"/>
          <w:sz w:val="21"/>
          <w:szCs w:val="21"/>
        </w:rPr>
        <w:t xml:space="preserve">6.3 </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hint="eastAsia" w:ascii="宋体" w:hAnsi="宋体" w:eastAsia="宋体"/>
          <w:b/>
          <w:bCs/>
          <w:color w:val="auto"/>
          <w:sz w:val="21"/>
          <w:szCs w:val="21"/>
          <w:lang w:eastAsia="zh-CN"/>
        </w:rPr>
        <w:t>评标</w:t>
      </w:r>
      <w:bookmarkEnd w:id="585"/>
      <w:bookmarkEnd w:id="58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按照第三章“评审办法”规定的方法、评审因素、标准和程序对</w:t>
      </w:r>
      <w:r>
        <w:rPr>
          <w:rFonts w:hint="eastAsia" w:ascii="宋体" w:hAnsi="宋体" w:cs="宋体"/>
          <w:color w:val="auto"/>
          <w:szCs w:val="21"/>
          <w:lang w:eastAsia="zh-CN"/>
        </w:rPr>
        <w:t>投标文件</w:t>
      </w:r>
      <w:r>
        <w:rPr>
          <w:rFonts w:hint="eastAsia" w:ascii="宋体" w:hAnsi="宋体" w:cs="宋体"/>
          <w:color w:val="auto"/>
          <w:szCs w:val="21"/>
        </w:rPr>
        <w:t>进行评审。第三章“评审办法”没有规定的方法、评审因素和标准，不作为评标依据。</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587" w:name="_Toc455080142"/>
      <w:bookmarkStart w:id="588" w:name="_Toc152045566"/>
      <w:bookmarkStart w:id="589" w:name="_Toc9392"/>
      <w:bookmarkStart w:id="590" w:name="_Toc144974534"/>
      <w:bookmarkStart w:id="591" w:name="_Toc152042342"/>
      <w:bookmarkStart w:id="592" w:name="_Toc9522"/>
      <w:r>
        <w:rPr>
          <w:rFonts w:hint="eastAsia" w:ascii="宋体" w:hAnsi="宋体" w:eastAsia="宋体"/>
          <w:b/>
          <w:bCs/>
          <w:color w:val="auto"/>
          <w:sz w:val="21"/>
          <w:szCs w:val="21"/>
        </w:rPr>
        <w:t>7. 合同授予</w:t>
      </w:r>
      <w:bookmarkEnd w:id="587"/>
      <w:bookmarkEnd w:id="588"/>
      <w:bookmarkEnd w:id="589"/>
      <w:bookmarkEnd w:id="590"/>
      <w:bookmarkEnd w:id="591"/>
      <w:bookmarkEnd w:id="592"/>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93" w:name="_Toc152045567"/>
      <w:bookmarkStart w:id="594" w:name="_Toc144974535"/>
      <w:bookmarkStart w:id="595" w:name="_Toc29664"/>
      <w:bookmarkStart w:id="596" w:name="_Toc152042343"/>
      <w:bookmarkStart w:id="597" w:name="_Toc17660"/>
      <w:bookmarkStart w:id="598" w:name="_Toc22461"/>
      <w:bookmarkStart w:id="599" w:name="_Toc318450710"/>
      <w:bookmarkStart w:id="600" w:name="_Toc466298126"/>
      <w:bookmarkStart w:id="601" w:name="_Toc29686"/>
      <w:bookmarkStart w:id="602" w:name="_Toc490667863"/>
      <w:bookmarkStart w:id="603" w:name="_Toc29909"/>
      <w:bookmarkStart w:id="604" w:name="_Toc25316"/>
      <w:bookmarkStart w:id="605" w:name="_Toc2254"/>
      <w:bookmarkStart w:id="606" w:name="_Toc28919"/>
      <w:bookmarkStart w:id="607" w:name="_Toc455867803"/>
      <w:bookmarkStart w:id="608" w:name="_Toc7358"/>
      <w:bookmarkStart w:id="609" w:name="_Toc14528"/>
      <w:bookmarkStart w:id="610" w:name="_Toc455080143"/>
      <w:bookmarkStart w:id="611" w:name="_Toc20777"/>
      <w:bookmarkStart w:id="612" w:name="_Toc11409"/>
      <w:r>
        <w:rPr>
          <w:rFonts w:hint="eastAsia" w:ascii="宋体" w:hAnsi="宋体" w:eastAsia="宋体"/>
          <w:b/>
          <w:bCs/>
          <w:color w:val="auto"/>
          <w:sz w:val="21"/>
          <w:szCs w:val="21"/>
        </w:rPr>
        <w:t>7.1 定标方式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613" w:name="_Toc152045568"/>
      <w:bookmarkStart w:id="614" w:name="_Toc7066"/>
      <w:bookmarkStart w:id="615" w:name="_Toc152042344"/>
      <w:bookmarkStart w:id="616" w:name="_Toc10868"/>
      <w:bookmarkStart w:id="617" w:name="_Toc144974536"/>
      <w:bookmarkStart w:id="618" w:name="_Toc318450711"/>
      <w:bookmarkStart w:id="619" w:name="_Toc28254"/>
      <w:r>
        <w:rPr>
          <w:rFonts w:hint="eastAsia" w:ascii="宋体" w:hAnsi="宋体" w:cs="宋体"/>
          <w:color w:val="auto"/>
          <w:szCs w:val="21"/>
        </w:rPr>
        <w:t>除供应商须知前附表规定</w:t>
      </w:r>
      <w:r>
        <w:rPr>
          <w:rFonts w:hint="eastAsia" w:ascii="宋体" w:hAnsi="宋体" w:cs="宋体"/>
          <w:color w:val="auto"/>
          <w:szCs w:val="21"/>
          <w:lang w:eastAsia="zh-CN"/>
        </w:rPr>
        <w:t>评标委员会</w:t>
      </w:r>
      <w:r>
        <w:rPr>
          <w:rFonts w:hint="eastAsia" w:ascii="宋体" w:hAnsi="宋体" w:cs="宋体"/>
          <w:color w:val="auto"/>
          <w:szCs w:val="21"/>
        </w:rPr>
        <w:t>直接确定成交人外，采购人依据</w:t>
      </w:r>
      <w:r>
        <w:rPr>
          <w:rFonts w:hint="eastAsia" w:ascii="宋体" w:hAnsi="宋体" w:cs="宋体"/>
          <w:color w:val="auto"/>
          <w:szCs w:val="21"/>
          <w:lang w:eastAsia="zh-CN"/>
        </w:rPr>
        <w:t>评标委员会</w:t>
      </w:r>
      <w:r>
        <w:rPr>
          <w:rFonts w:hint="eastAsia" w:ascii="宋体" w:hAnsi="宋体" w:cs="宋体"/>
          <w:color w:val="auto"/>
          <w:szCs w:val="21"/>
        </w:rPr>
        <w:t>推荐的成交候选人确定成交人，</w:t>
      </w:r>
      <w:r>
        <w:rPr>
          <w:rFonts w:hint="eastAsia" w:ascii="宋体" w:hAnsi="宋体" w:cs="宋体"/>
          <w:color w:val="auto"/>
          <w:szCs w:val="21"/>
          <w:lang w:eastAsia="zh-CN"/>
        </w:rPr>
        <w:t>评标委员会</w:t>
      </w:r>
      <w:r>
        <w:rPr>
          <w:rFonts w:hint="eastAsia" w:ascii="宋体" w:hAnsi="宋体" w:cs="宋体"/>
          <w:color w:val="auto"/>
          <w:szCs w:val="21"/>
        </w:rPr>
        <w:t>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lang w:eastAsia="zh-CN"/>
        </w:rPr>
        <w:t>招标文件</w:t>
      </w:r>
      <w:r>
        <w:rPr>
          <w:rFonts w:hint="eastAsia" w:ascii="宋体" w:hAnsi="宋体" w:cs="宋体"/>
          <w:color w:val="auto"/>
          <w:szCs w:val="21"/>
        </w:rPr>
        <w:t>要求提交履约保证金，或者被查实存在影响成交结果的违法行为等情形，不符合成交条件的，采购人可以按照</w:t>
      </w:r>
      <w:r>
        <w:rPr>
          <w:rFonts w:hint="eastAsia" w:ascii="宋体" w:hAnsi="宋体" w:cs="宋体"/>
          <w:color w:val="auto"/>
          <w:szCs w:val="21"/>
          <w:lang w:eastAsia="zh-CN"/>
        </w:rPr>
        <w:t>评标委员会</w:t>
      </w:r>
      <w:r>
        <w:rPr>
          <w:rFonts w:hint="eastAsia" w:ascii="宋体" w:hAnsi="宋体" w:cs="宋体"/>
          <w:color w:val="auto"/>
          <w:szCs w:val="21"/>
        </w:rPr>
        <w:t>提出的成交候选人名单排序依次确定其他成交候选人为成交人，也可以重新</w:t>
      </w:r>
      <w:r>
        <w:rPr>
          <w:rFonts w:hint="eastAsia" w:ascii="宋体" w:hAnsi="宋体" w:cs="宋体"/>
          <w:color w:val="auto"/>
          <w:szCs w:val="21"/>
          <w:lang w:eastAsia="zh-CN"/>
        </w:rPr>
        <w:t>评标</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20" w:name="_Toc9775"/>
      <w:bookmarkStart w:id="621" w:name="_Toc455080144"/>
      <w:bookmarkStart w:id="622" w:name="_Toc5428"/>
      <w:bookmarkStart w:id="623" w:name="_Toc5668"/>
      <w:bookmarkStart w:id="624" w:name="_Toc9675"/>
      <w:bookmarkStart w:id="625" w:name="_Toc15825"/>
      <w:bookmarkStart w:id="626" w:name="_Toc18824"/>
      <w:bookmarkStart w:id="627" w:name="_Toc466298127"/>
      <w:bookmarkStart w:id="628" w:name="_Toc16163"/>
      <w:bookmarkStart w:id="629" w:name="_Toc28177"/>
      <w:bookmarkStart w:id="630" w:name="_Toc490667864"/>
      <w:bookmarkStart w:id="631" w:name="_Toc455867804"/>
      <w:bookmarkStart w:id="632" w:name="_Toc9897"/>
      <w:r>
        <w:rPr>
          <w:rFonts w:hint="eastAsia" w:ascii="宋体" w:hAnsi="宋体" w:eastAsia="宋体"/>
          <w:b/>
          <w:bCs/>
          <w:color w:val="auto"/>
          <w:sz w:val="21"/>
          <w:szCs w:val="21"/>
        </w:rPr>
        <w:t>7.2 成交通知</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在本章第3.3.1款规定的</w:t>
      </w:r>
      <w:r>
        <w:rPr>
          <w:rFonts w:hint="eastAsia" w:ascii="宋体" w:hAnsi="宋体" w:cs="宋体"/>
          <w:color w:val="auto"/>
          <w:szCs w:val="21"/>
          <w:lang w:eastAsia="zh-CN"/>
        </w:rPr>
        <w:t>投标有效期</w:t>
      </w:r>
      <w:r>
        <w:rPr>
          <w:rFonts w:hint="eastAsia" w:ascii="宋体" w:hAnsi="宋体" w:cs="宋体"/>
          <w:color w:val="auto"/>
          <w:szCs w:val="21"/>
        </w:rPr>
        <w:t>内，采购人以书面形式向成交人发出成交通知书，同时将成交结果通知未成交的供应商。</w:t>
      </w:r>
    </w:p>
    <w:p>
      <w:pPr>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7.3 履约保证金</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s="宋体"/>
          <w:b/>
          <w:bCs/>
          <w:color w:val="auto"/>
          <w:sz w:val="21"/>
          <w:szCs w:val="21"/>
          <w:lang w:val="en-US" w:eastAsia="zh-CN"/>
        </w:rPr>
      </w:pPr>
      <w:bookmarkStart w:id="633" w:name="_Toc27564"/>
      <w:bookmarkStart w:id="634" w:name="_Toc24442"/>
      <w:bookmarkStart w:id="635" w:name="_Toc8886"/>
      <w:bookmarkStart w:id="636" w:name="_Toc144974538"/>
      <w:bookmarkStart w:id="637" w:name="_Toc318450712"/>
      <w:bookmarkStart w:id="638" w:name="_Toc10082"/>
      <w:bookmarkStart w:id="639" w:name="_Toc24026"/>
      <w:bookmarkStart w:id="640" w:name="_Toc466298128"/>
      <w:bookmarkStart w:id="641" w:name="_Toc12663"/>
      <w:bookmarkStart w:id="642" w:name="_Toc152045570"/>
      <w:bookmarkStart w:id="643" w:name="_Toc21271"/>
      <w:bookmarkStart w:id="644" w:name="_Toc13147"/>
      <w:bookmarkStart w:id="645" w:name="_Toc26760"/>
      <w:bookmarkStart w:id="646" w:name="_Toc455080145"/>
      <w:bookmarkStart w:id="647" w:name="_Toc152042346"/>
      <w:bookmarkStart w:id="648" w:name="_Toc15458"/>
      <w:bookmarkStart w:id="649" w:name="_Toc26655"/>
      <w:bookmarkStart w:id="650" w:name="_Toc26915"/>
      <w:bookmarkStart w:id="651" w:name="_Toc490667865"/>
      <w:bookmarkStart w:id="652" w:name="_Toc455867805"/>
      <w:r>
        <w:rPr>
          <w:rFonts w:hint="eastAsia" w:ascii="宋体" w:hAnsi="宋体" w:eastAsia="宋体" w:cs="宋体"/>
          <w:b/>
          <w:bCs/>
          <w:color w:val="auto"/>
          <w:sz w:val="21"/>
          <w:szCs w:val="21"/>
          <w:lang w:val="en-US" w:eastAsia="zh-CN"/>
        </w:rPr>
        <w:t>免收履约保证金</w:t>
      </w:r>
      <w:bookmarkEnd w:id="633"/>
      <w:bookmarkEnd w:id="634"/>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53" w:name="_Toc30517"/>
      <w:bookmarkStart w:id="654" w:name="_Toc13105"/>
      <w:r>
        <w:rPr>
          <w:rFonts w:hint="eastAsia" w:ascii="宋体" w:hAnsi="宋体" w:eastAsia="宋体"/>
          <w:b/>
          <w:bCs/>
          <w:color w:val="auto"/>
          <w:sz w:val="21"/>
          <w:szCs w:val="21"/>
        </w:rPr>
        <w:t>7.</w:t>
      </w:r>
      <w:r>
        <w:rPr>
          <w:rFonts w:hint="eastAsia" w:ascii="宋体" w:hAnsi="宋体" w:eastAsia="宋体"/>
          <w:b/>
          <w:bCs/>
          <w:color w:val="auto"/>
          <w:sz w:val="21"/>
          <w:szCs w:val="21"/>
          <w:lang w:val="en-US" w:eastAsia="zh-CN"/>
        </w:rPr>
        <w:t>4</w:t>
      </w:r>
      <w:r>
        <w:rPr>
          <w:rFonts w:hint="eastAsia" w:ascii="宋体" w:hAnsi="宋体" w:eastAsia="宋体"/>
          <w:b/>
          <w:bCs/>
          <w:color w:val="auto"/>
          <w:sz w:val="21"/>
          <w:szCs w:val="21"/>
        </w:rPr>
        <w:t xml:space="preserve"> 签订合同</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.1采购人和成交人应当自成交通知书发出之日起</w:t>
      </w:r>
      <w:r>
        <w:rPr>
          <w:rFonts w:hint="eastAsia" w:ascii="宋体" w:hAnsi="宋体" w:cs="宋体"/>
          <w:color w:val="auto"/>
          <w:szCs w:val="21"/>
          <w:lang w:val="en-US" w:eastAsia="zh-CN"/>
        </w:rPr>
        <w:t>2-7</w:t>
      </w:r>
      <w:r>
        <w:rPr>
          <w:rFonts w:hint="eastAsia" w:ascii="宋体" w:hAnsi="宋体" w:cs="宋体"/>
          <w:color w:val="auto"/>
          <w:szCs w:val="21"/>
        </w:rPr>
        <w:t>天内，根据</w:t>
      </w:r>
      <w:r>
        <w:rPr>
          <w:rFonts w:hint="eastAsia" w:ascii="宋体" w:hAnsi="宋体" w:cs="宋体"/>
          <w:color w:val="auto"/>
          <w:szCs w:val="21"/>
          <w:lang w:eastAsia="zh-CN"/>
        </w:rPr>
        <w:t>招标文件</w:t>
      </w:r>
      <w:r>
        <w:rPr>
          <w:rFonts w:hint="eastAsia" w:ascii="宋体" w:hAnsi="宋体" w:cs="宋体"/>
          <w:color w:val="auto"/>
          <w:szCs w:val="21"/>
        </w:rPr>
        <w:t>和成交人的</w:t>
      </w:r>
      <w:r>
        <w:rPr>
          <w:rFonts w:hint="eastAsia" w:ascii="宋体" w:hAnsi="宋体" w:cs="宋体"/>
          <w:color w:val="auto"/>
          <w:szCs w:val="21"/>
          <w:lang w:eastAsia="zh-CN"/>
        </w:rPr>
        <w:t>投标文件</w:t>
      </w:r>
      <w:r>
        <w:rPr>
          <w:rFonts w:hint="eastAsia" w:ascii="宋体" w:hAnsi="宋体" w:cs="宋体"/>
          <w:color w:val="auto"/>
          <w:szCs w:val="21"/>
        </w:rPr>
        <w:t xml:space="preserve">订立书面合同。成交人无正当理由拒签合同的，采购人取消其成交资格，其保证金不予退还；给采购人造成的损失超过保证金数额的，成交人还应当对超过部分予以赔偿。 </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 xml:space="preserve">.2 发出成交通知书后，采购人无正当理由拒签合同的，采购人向成交人退还保证金；给成交人造成损失的，还应当赔偿损失。 </w:t>
      </w:r>
      <w:bookmarkStart w:id="655" w:name="_Toc152042350"/>
      <w:bookmarkStart w:id="656" w:name="_Toc152045574"/>
      <w:bookmarkStart w:id="657" w:name="_Toc144974542"/>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58" w:name="_Toc455080146"/>
      <w:bookmarkStart w:id="659" w:name="_Toc16866"/>
      <w:bookmarkStart w:id="660" w:name="_Toc8765"/>
      <w:r>
        <w:rPr>
          <w:rFonts w:hint="eastAsia" w:ascii="宋体" w:hAnsi="宋体" w:eastAsia="宋体"/>
          <w:b/>
          <w:bCs/>
          <w:color w:val="auto"/>
          <w:sz w:val="21"/>
          <w:szCs w:val="21"/>
        </w:rPr>
        <w:t>8.重新招标</w:t>
      </w:r>
      <w:bookmarkEnd w:id="658"/>
      <w:bookmarkEnd w:id="659"/>
      <w:bookmarkEnd w:id="660"/>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1" w:name="_Toc16556"/>
      <w:r>
        <w:rPr>
          <w:rFonts w:hint="eastAsia" w:ascii="宋体" w:hAnsi="宋体"/>
          <w:b/>
          <w:bCs/>
          <w:color w:val="auto"/>
          <w:szCs w:val="21"/>
        </w:rPr>
        <w:t>8.1 重新招标</w:t>
      </w:r>
      <w:bookmarkEnd w:id="661"/>
    </w:p>
    <w:p>
      <w:pPr>
        <w:pageBreakBefore w:val="0"/>
        <w:kinsoku/>
        <w:wordWrap/>
        <w:overflowPunct/>
        <w:topLinePunct w:val="0"/>
        <w:bidi w:val="0"/>
        <w:snapToGrid w:val="0"/>
        <w:spacing w:line="360" w:lineRule="auto"/>
        <w:ind w:firstLine="480"/>
        <w:textAlignment w:val="auto"/>
        <w:rPr>
          <w:rFonts w:hint="eastAsia" w:ascii="宋体" w:hAnsi="宋体"/>
          <w:color w:val="auto"/>
          <w:szCs w:val="21"/>
        </w:rPr>
      </w:pPr>
      <w:bookmarkStart w:id="662" w:name="_Toc9985"/>
      <w:r>
        <w:rPr>
          <w:rFonts w:hint="eastAsia" w:ascii="宋体" w:hAnsi="宋体"/>
          <w:color w:val="auto"/>
          <w:szCs w:val="21"/>
        </w:rPr>
        <w:t>有下列情形之一的，采购人将重新招标：</w:t>
      </w:r>
      <w:bookmarkEnd w:id="662"/>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3" w:name="_Toc25063"/>
      <w:r>
        <w:rPr>
          <w:rFonts w:hint="eastAsia" w:ascii="宋体" w:hAnsi="宋体"/>
          <w:color w:val="auto"/>
          <w:szCs w:val="21"/>
        </w:rPr>
        <w:t xml:space="preserve">   （1）提交</w:t>
      </w:r>
      <w:r>
        <w:rPr>
          <w:rFonts w:hint="eastAsia" w:ascii="宋体" w:hAnsi="宋体"/>
          <w:color w:val="auto"/>
          <w:szCs w:val="21"/>
          <w:lang w:eastAsia="zh-CN"/>
        </w:rPr>
        <w:t>投标文件</w:t>
      </w:r>
      <w:r>
        <w:rPr>
          <w:rFonts w:hint="eastAsia" w:ascii="宋体" w:hAnsi="宋体"/>
          <w:color w:val="auto"/>
          <w:szCs w:val="21"/>
        </w:rPr>
        <w:t>截止时间止，供应商少于</w:t>
      </w:r>
      <w:r>
        <w:rPr>
          <w:rFonts w:hint="eastAsia" w:ascii="宋体" w:hAnsi="宋体"/>
          <w:color w:val="auto"/>
          <w:szCs w:val="21"/>
          <w:lang w:val="en-US" w:eastAsia="zh-CN"/>
        </w:rPr>
        <w:t>3</w:t>
      </w:r>
      <w:r>
        <w:rPr>
          <w:rFonts w:hint="eastAsia" w:ascii="宋体" w:hAnsi="宋体"/>
          <w:color w:val="auto"/>
          <w:szCs w:val="21"/>
        </w:rPr>
        <w:t>个的；</w:t>
      </w:r>
      <w:bookmarkEnd w:id="663"/>
      <w:r>
        <w:rPr>
          <w:rFonts w:hint="eastAsia" w:ascii="宋体" w:hAnsi="宋体"/>
          <w:color w:val="auto"/>
          <w:szCs w:val="21"/>
        </w:rPr>
        <w:t xml:space="preserve"> </w:t>
      </w:r>
    </w:p>
    <w:p>
      <w:pPr>
        <w:pageBreakBefore w:val="0"/>
        <w:kinsoku/>
        <w:wordWrap/>
        <w:overflowPunct/>
        <w:topLinePunct w:val="0"/>
        <w:bidi w:val="0"/>
        <w:snapToGrid w:val="0"/>
        <w:spacing w:line="360" w:lineRule="auto"/>
        <w:textAlignment w:val="auto"/>
        <w:rPr>
          <w:rFonts w:hint="eastAsia" w:ascii="宋体" w:hAnsi="宋体"/>
          <w:color w:val="auto"/>
          <w:szCs w:val="21"/>
        </w:rPr>
      </w:pPr>
      <w:r>
        <w:rPr>
          <w:rFonts w:hint="eastAsia" w:ascii="宋体" w:hAnsi="宋体"/>
          <w:color w:val="auto"/>
          <w:szCs w:val="21"/>
        </w:rPr>
        <w:t xml:space="preserve">   </w:t>
      </w:r>
      <w:bookmarkStart w:id="664" w:name="_Toc17911"/>
      <w:r>
        <w:rPr>
          <w:rFonts w:hint="eastAsia" w:ascii="宋体" w:hAnsi="宋体"/>
          <w:color w:val="auto"/>
          <w:szCs w:val="21"/>
        </w:rPr>
        <w:t>（2）经</w:t>
      </w:r>
      <w:r>
        <w:rPr>
          <w:rFonts w:hint="eastAsia" w:ascii="宋体" w:hAnsi="宋体"/>
          <w:color w:val="auto"/>
          <w:szCs w:val="21"/>
          <w:lang w:eastAsia="zh-CN"/>
        </w:rPr>
        <w:t>评标委员会</w:t>
      </w:r>
      <w:r>
        <w:rPr>
          <w:rFonts w:hint="eastAsia" w:ascii="宋体" w:hAnsi="宋体"/>
          <w:color w:val="auto"/>
          <w:szCs w:val="21"/>
        </w:rPr>
        <w:t>评审后否决所有</w:t>
      </w:r>
      <w:r>
        <w:rPr>
          <w:rFonts w:hint="eastAsia" w:ascii="宋体" w:hAnsi="宋体"/>
          <w:color w:val="auto"/>
          <w:szCs w:val="21"/>
          <w:lang w:eastAsia="zh-CN"/>
        </w:rPr>
        <w:t>投标文件</w:t>
      </w:r>
      <w:r>
        <w:rPr>
          <w:rFonts w:hint="eastAsia" w:ascii="宋体" w:hAnsi="宋体"/>
          <w:color w:val="auto"/>
          <w:szCs w:val="21"/>
        </w:rPr>
        <w:t>的。</w:t>
      </w:r>
      <w:bookmarkEnd w:id="664"/>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65" w:name="_Toc9996"/>
      <w:bookmarkStart w:id="666" w:name="_Toc455080147"/>
      <w:bookmarkStart w:id="667" w:name="_Toc3502"/>
      <w:r>
        <w:rPr>
          <w:rFonts w:hint="eastAsia" w:ascii="宋体" w:hAnsi="宋体" w:eastAsia="宋体"/>
          <w:b/>
          <w:bCs/>
          <w:color w:val="auto"/>
          <w:sz w:val="21"/>
          <w:szCs w:val="21"/>
        </w:rPr>
        <w:t>9.纪律和监督</w:t>
      </w:r>
      <w:bookmarkEnd w:id="655"/>
      <w:bookmarkEnd w:id="656"/>
      <w:bookmarkEnd w:id="657"/>
      <w:bookmarkEnd w:id="665"/>
      <w:bookmarkEnd w:id="666"/>
      <w:bookmarkEnd w:id="66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68" w:name="_Toc15769"/>
      <w:bookmarkStart w:id="669" w:name="_Toc15592"/>
      <w:bookmarkStart w:id="670" w:name="_Toc697"/>
      <w:bookmarkStart w:id="671" w:name="_Toc27836"/>
      <w:bookmarkStart w:id="672" w:name="_Toc19159"/>
      <w:bookmarkStart w:id="673" w:name="_Toc539"/>
      <w:bookmarkStart w:id="674" w:name="_Toc455080148"/>
      <w:bookmarkStart w:id="675" w:name="_Toc466298131"/>
      <w:bookmarkStart w:id="676" w:name="_Toc318450714"/>
      <w:bookmarkStart w:id="677" w:name="_Toc20009"/>
      <w:bookmarkStart w:id="678" w:name="_Toc455867808"/>
      <w:bookmarkStart w:id="679" w:name="_Toc144974543"/>
      <w:bookmarkStart w:id="680" w:name="_Toc490667868"/>
      <w:bookmarkStart w:id="681" w:name="_Toc12992"/>
      <w:bookmarkStart w:id="682" w:name="_Toc1282"/>
      <w:bookmarkStart w:id="683" w:name="_Toc152042351"/>
      <w:bookmarkStart w:id="684" w:name="_Toc31786"/>
      <w:bookmarkStart w:id="685" w:name="_Toc152045575"/>
      <w:bookmarkStart w:id="686" w:name="_Toc13970"/>
      <w:bookmarkStart w:id="687" w:name="_Toc269"/>
      <w:r>
        <w:rPr>
          <w:rFonts w:hint="eastAsia" w:ascii="宋体" w:hAnsi="宋体" w:eastAsia="宋体"/>
          <w:b/>
          <w:bCs/>
          <w:color w:val="auto"/>
          <w:sz w:val="21"/>
          <w:szCs w:val="21"/>
        </w:rPr>
        <w:t>9.1 对</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采购人不得泄漏</w:t>
      </w:r>
      <w:r>
        <w:rPr>
          <w:rFonts w:hint="eastAsia" w:ascii="宋体" w:hAnsi="宋体" w:cs="宋体"/>
          <w:color w:val="auto"/>
          <w:szCs w:val="21"/>
          <w:lang w:eastAsia="zh-CN"/>
        </w:rPr>
        <w:t>评标</w:t>
      </w:r>
      <w:r>
        <w:rPr>
          <w:rFonts w:hint="eastAsia" w:ascii="宋体" w:hAnsi="宋体" w:cs="宋体"/>
          <w:color w:val="auto"/>
          <w:szCs w:val="21"/>
        </w:rPr>
        <w:t>活动中应当保密的情况和资料，不得与供应商串通损害国家利益、社会公共利益或者他人合法权益。</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688" w:name="_Toc144974544"/>
      <w:bookmarkStart w:id="689" w:name="_Toc19167"/>
      <w:bookmarkStart w:id="690" w:name="_Toc31481"/>
      <w:bookmarkStart w:id="691" w:name="_Toc455080149"/>
      <w:bookmarkStart w:id="692" w:name="_Toc318450715"/>
      <w:bookmarkStart w:id="693" w:name="_Toc466298132"/>
      <w:bookmarkStart w:id="694" w:name="_Toc1743"/>
      <w:bookmarkStart w:id="695" w:name="_Toc152045576"/>
      <w:bookmarkStart w:id="696" w:name="_Toc18604"/>
      <w:bookmarkStart w:id="697" w:name="_Toc4640"/>
      <w:bookmarkStart w:id="698" w:name="_Toc20261"/>
      <w:bookmarkStart w:id="699" w:name="_Toc7572"/>
      <w:bookmarkStart w:id="700" w:name="_Toc3089"/>
      <w:bookmarkStart w:id="701" w:name="_Toc18204"/>
      <w:bookmarkStart w:id="702" w:name="_Toc152042352"/>
      <w:bookmarkStart w:id="703" w:name="_Toc27698"/>
      <w:bookmarkStart w:id="704" w:name="_Toc490667869"/>
      <w:bookmarkStart w:id="705" w:name="_Toc21646"/>
      <w:bookmarkStart w:id="706" w:name="_Toc455867809"/>
      <w:bookmarkStart w:id="707" w:name="_Toc17040"/>
      <w:r>
        <w:rPr>
          <w:rFonts w:hint="eastAsia" w:ascii="宋体" w:hAnsi="宋体" w:eastAsia="宋体"/>
          <w:b/>
          <w:bCs/>
          <w:color w:val="auto"/>
          <w:sz w:val="21"/>
          <w:szCs w:val="21"/>
        </w:rPr>
        <w:t>9.2 对供应商的纪律要求</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08" w:name="_Toc19965"/>
      <w:bookmarkStart w:id="709" w:name="_Toc152042353"/>
      <w:bookmarkStart w:id="710" w:name="_Toc25656"/>
      <w:bookmarkStart w:id="711" w:name="_Toc7107"/>
      <w:bookmarkStart w:id="712" w:name="_Toc466298133"/>
      <w:bookmarkStart w:id="713" w:name="_Toc25211"/>
      <w:bookmarkStart w:id="714" w:name="_Toc31001"/>
      <w:bookmarkStart w:id="715" w:name="_Toc490667870"/>
      <w:bookmarkStart w:id="716" w:name="_Toc318450716"/>
      <w:bookmarkStart w:id="717" w:name="_Toc18872"/>
      <w:bookmarkStart w:id="718" w:name="_Toc12177"/>
      <w:bookmarkStart w:id="719" w:name="_Toc152045577"/>
      <w:bookmarkStart w:id="720" w:name="_Toc7439"/>
      <w:bookmarkStart w:id="721" w:name="_Toc32320"/>
      <w:bookmarkStart w:id="722" w:name="_Toc25241"/>
      <w:bookmarkStart w:id="723" w:name="_Toc455867810"/>
      <w:bookmarkStart w:id="724" w:name="_Toc144974545"/>
      <w:bookmarkStart w:id="725" w:name="_Toc30153"/>
      <w:bookmarkStart w:id="726" w:name="_Toc455080150"/>
      <w:bookmarkStart w:id="727" w:name="_Toc28813"/>
      <w:r>
        <w:rPr>
          <w:rFonts w:hint="eastAsia" w:ascii="宋体" w:hAnsi="宋体" w:eastAsia="宋体"/>
          <w:b/>
          <w:bCs/>
          <w:color w:val="auto"/>
          <w:sz w:val="21"/>
          <w:szCs w:val="21"/>
        </w:rPr>
        <w:t>9.3 对</w:t>
      </w:r>
      <w:r>
        <w:rPr>
          <w:rFonts w:hint="eastAsia" w:ascii="宋体" w:hAnsi="宋体" w:eastAsia="宋体"/>
          <w:b/>
          <w:bCs/>
          <w:color w:val="auto"/>
          <w:sz w:val="21"/>
          <w:szCs w:val="21"/>
          <w:lang w:eastAsia="zh-CN"/>
        </w:rPr>
        <w:t>评标委员会</w:t>
      </w:r>
      <w:r>
        <w:rPr>
          <w:rFonts w:hint="eastAsia" w:ascii="宋体" w:hAnsi="宋体" w:eastAsia="宋体"/>
          <w:b/>
          <w:bCs/>
          <w:color w:val="auto"/>
          <w:sz w:val="21"/>
          <w:szCs w:val="21"/>
        </w:rPr>
        <w:t>成员的纪律要求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成员不得收受他人的财物或者其他好处，不得向他人透漏对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w:t>
      </w:r>
      <w:r>
        <w:rPr>
          <w:rFonts w:hint="eastAsia" w:ascii="宋体" w:hAnsi="宋体" w:cs="宋体"/>
          <w:color w:val="auto"/>
          <w:szCs w:val="21"/>
          <w:lang w:eastAsia="zh-CN"/>
        </w:rPr>
        <w:t>招标评审</w:t>
      </w:r>
      <w:r>
        <w:rPr>
          <w:rFonts w:hint="eastAsia" w:ascii="宋体" w:hAnsi="宋体" w:cs="宋体"/>
          <w:color w:val="auto"/>
          <w:szCs w:val="21"/>
        </w:rPr>
        <w:t>活动中，</w:t>
      </w:r>
      <w:r>
        <w:rPr>
          <w:rFonts w:hint="eastAsia" w:ascii="宋体" w:hAnsi="宋体" w:cs="宋体"/>
          <w:color w:val="auto"/>
          <w:szCs w:val="21"/>
          <w:lang w:eastAsia="zh-CN"/>
        </w:rPr>
        <w:t>评标委员会</w:t>
      </w:r>
      <w:r>
        <w:rPr>
          <w:rFonts w:hint="eastAsia" w:ascii="宋体" w:hAnsi="宋体" w:cs="宋体"/>
          <w:color w:val="auto"/>
          <w:szCs w:val="21"/>
        </w:rPr>
        <w:t>成员不得擅离职守，影响评标程序正常进行，不得使用第三章“评审办法”没有规定的评审因素和标准进行评标。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728" w:name="_Toc7368"/>
      <w:bookmarkStart w:id="729" w:name="_Toc26462"/>
      <w:bookmarkStart w:id="730" w:name="_Toc27559"/>
      <w:bookmarkStart w:id="731" w:name="_Toc490667871"/>
      <w:bookmarkStart w:id="732" w:name="_Toc15913"/>
      <w:bookmarkStart w:id="733" w:name="_Toc1295"/>
      <w:bookmarkStart w:id="734" w:name="_Toc23717"/>
      <w:bookmarkStart w:id="735" w:name="_Toc24"/>
      <w:bookmarkStart w:id="736" w:name="_Toc152045578"/>
      <w:bookmarkStart w:id="737" w:name="_Toc318450717"/>
      <w:bookmarkStart w:id="738" w:name="_Toc20546"/>
      <w:bookmarkStart w:id="739" w:name="_Toc235"/>
      <w:bookmarkStart w:id="740" w:name="_Toc15917"/>
      <w:bookmarkStart w:id="741" w:name="_Toc466298134"/>
      <w:bookmarkStart w:id="742" w:name="_Toc455867811"/>
      <w:bookmarkStart w:id="743" w:name="_Toc455080151"/>
      <w:bookmarkStart w:id="744" w:name="_Toc152042354"/>
      <w:bookmarkStart w:id="745" w:name="_Toc9063"/>
      <w:bookmarkStart w:id="746" w:name="_Toc19485"/>
      <w:bookmarkStart w:id="747" w:name="_Toc144974546"/>
      <w:r>
        <w:rPr>
          <w:rFonts w:hint="eastAsia" w:ascii="宋体" w:hAnsi="宋体" w:eastAsia="宋体"/>
          <w:b/>
          <w:bCs/>
          <w:color w:val="auto"/>
          <w:sz w:val="21"/>
          <w:szCs w:val="21"/>
        </w:rPr>
        <w:t>9.4 对与评标活动有关的工作人员的纪律要求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748" w:name="_Toc152042355"/>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的评审和比较、成交候选人的推荐情况以及评标有关的其他情况。在评标活动中，与评标活动有关的工作人员不得擅离职守，影响评标程序正常进行。</w:t>
      </w:r>
      <w:bookmarkEnd w:id="74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49" w:name="_Toc25751"/>
      <w:bookmarkStart w:id="750" w:name="_Toc490667872"/>
      <w:bookmarkStart w:id="751" w:name="_Toc455080152"/>
      <w:bookmarkStart w:id="752" w:name="_Toc5504"/>
      <w:bookmarkStart w:id="753" w:name="_Toc466298135"/>
      <w:bookmarkStart w:id="754" w:name="_Toc1820"/>
      <w:bookmarkStart w:id="755" w:name="_Toc31010"/>
      <w:bookmarkStart w:id="756" w:name="_Toc152045579"/>
      <w:bookmarkStart w:id="757" w:name="_Toc8074"/>
      <w:bookmarkStart w:id="758" w:name="_Toc3617"/>
      <w:bookmarkStart w:id="759" w:name="_Toc14393"/>
      <w:bookmarkStart w:id="760" w:name="_Toc32675"/>
      <w:bookmarkStart w:id="761" w:name="_Toc455867812"/>
      <w:bookmarkStart w:id="762" w:name="_Toc31617"/>
      <w:bookmarkStart w:id="763" w:name="_Toc152042356"/>
      <w:bookmarkStart w:id="764" w:name="_Toc318450718"/>
      <w:bookmarkStart w:id="765" w:name="_Toc3303"/>
      <w:bookmarkStart w:id="766" w:name="_Toc17735"/>
      <w:bookmarkStart w:id="767" w:name="_Toc6199"/>
      <w:r>
        <w:rPr>
          <w:rFonts w:hint="eastAsia" w:ascii="宋体" w:hAnsi="宋体" w:eastAsia="宋体"/>
          <w:b/>
          <w:bCs/>
          <w:color w:val="auto"/>
          <w:sz w:val="21"/>
          <w:szCs w:val="21"/>
        </w:rPr>
        <w:t>9.5 投诉</w:t>
      </w:r>
      <w:bookmarkEnd w:id="747"/>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rPr>
        <w:t>供应商和其他利害关系人认为本次</w:t>
      </w:r>
      <w:r>
        <w:rPr>
          <w:rFonts w:hint="eastAsia" w:ascii="宋体" w:hAnsi="宋体" w:cs="宋体"/>
          <w:color w:val="auto"/>
          <w:szCs w:val="21"/>
          <w:lang w:eastAsia="zh-CN"/>
        </w:rPr>
        <w:t>招标评审</w:t>
      </w:r>
      <w:r>
        <w:rPr>
          <w:rFonts w:hint="eastAsia" w:ascii="宋体" w:hAnsi="宋体" w:cs="宋体"/>
          <w:color w:val="auto"/>
          <w:szCs w:val="21"/>
        </w:rPr>
        <w:t>活动违反法律、法规和规章规定的，有权向有关行政监督部门投诉</w:t>
      </w:r>
      <w:bookmarkStart w:id="768" w:name="_Toc14221"/>
      <w:bookmarkStart w:id="769" w:name="_Toc455080153"/>
      <w:bookmarkStart w:id="770" w:name="_Toc152045580"/>
      <w:bookmarkStart w:id="771" w:name="_Toc6036"/>
      <w:bookmarkStart w:id="772" w:name="_Toc152042357"/>
      <w:bookmarkStart w:id="773" w:name="_Toc144974547"/>
      <w:r>
        <w:rPr>
          <w:rFonts w:hint="eastAsia" w:ascii="宋体" w:hAnsi="宋体" w:cs="宋体"/>
          <w:color w:val="auto"/>
          <w:szCs w:val="21"/>
          <w:lang w:eastAsia="zh-CN"/>
        </w:rPr>
        <w:t>。</w:t>
      </w:r>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10. 需要补充的其他内容</w:t>
      </w:r>
      <w:bookmarkEnd w:id="768"/>
      <w:bookmarkEnd w:id="769"/>
      <w:bookmarkEnd w:id="770"/>
      <w:bookmarkEnd w:id="771"/>
      <w:bookmarkEnd w:id="772"/>
      <w:bookmarkEnd w:id="773"/>
    </w:p>
    <w:p>
      <w:pPr>
        <w:ind w:left="0" w:leftChars="0" w:firstLine="0" w:firstLineChars="0"/>
        <w:jc w:val="center"/>
        <w:outlineLvl w:val="0"/>
        <w:rPr>
          <w:rFonts w:hint="eastAsia" w:ascii="宋体" w:hAnsi="宋体" w:cs="宋体"/>
          <w:b/>
          <w:color w:val="auto"/>
          <w:kern w:val="44"/>
          <w:sz w:val="32"/>
          <w:szCs w:val="32"/>
        </w:rPr>
      </w:pPr>
      <w:bookmarkStart w:id="774" w:name="_Toc28182"/>
      <w:bookmarkStart w:id="775" w:name="_Toc6192"/>
      <w:bookmarkStart w:id="776" w:name="_Toc21966"/>
      <w:bookmarkStart w:id="777" w:name="_Toc455080154"/>
      <w:bookmarkStart w:id="778" w:name="_Toc455867814"/>
      <w:bookmarkStart w:id="779" w:name="_Toc466298137"/>
      <w:bookmarkStart w:id="780" w:name="_Toc144974565"/>
      <w:bookmarkStart w:id="781" w:name="_Toc152045598"/>
      <w:bookmarkStart w:id="782" w:name="_Toc152042375"/>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rPr>
          <w:rFonts w:hint="eastAsia" w:ascii="宋体" w:hAnsi="宋体" w:cs="宋体"/>
          <w:b/>
          <w:color w:val="auto"/>
          <w:kern w:val="44"/>
          <w:sz w:val="32"/>
          <w:szCs w:val="32"/>
        </w:rPr>
      </w:pPr>
      <w:r>
        <w:rPr>
          <w:rFonts w:hint="eastAsia" w:ascii="宋体" w:hAnsi="宋体" w:cs="宋体"/>
          <w:b/>
          <w:color w:val="auto"/>
          <w:kern w:val="44"/>
          <w:sz w:val="32"/>
          <w:szCs w:val="32"/>
        </w:rPr>
        <w:br w:type="page"/>
      </w:r>
    </w:p>
    <w:p>
      <w:pPr>
        <w:ind w:left="0" w:leftChars="0" w:firstLine="0" w:firstLineChars="0"/>
        <w:jc w:val="center"/>
        <w:outlineLvl w:val="0"/>
        <w:rPr>
          <w:rFonts w:hint="eastAsia" w:ascii="宋体" w:hAnsi="宋体" w:cs="宋体"/>
          <w:bCs/>
          <w:color w:val="auto"/>
          <w:sz w:val="32"/>
          <w:szCs w:val="32"/>
        </w:rPr>
      </w:pPr>
      <w:r>
        <w:rPr>
          <w:rFonts w:hint="eastAsia" w:ascii="宋体" w:hAnsi="宋体" w:cs="宋体"/>
          <w:b/>
          <w:color w:val="auto"/>
          <w:kern w:val="44"/>
          <w:sz w:val="32"/>
          <w:szCs w:val="32"/>
        </w:rPr>
        <w:t>第三章  评审办法（综合评分法）</w:t>
      </w:r>
      <w:bookmarkEnd w:id="774"/>
      <w:bookmarkEnd w:id="775"/>
      <w:bookmarkEnd w:id="776"/>
      <w:bookmarkEnd w:id="777"/>
      <w:bookmarkEnd w:id="778"/>
      <w:bookmarkEnd w:id="779"/>
    </w:p>
    <w:bookmarkEnd w:id="780"/>
    <w:bookmarkEnd w:id="781"/>
    <w:bookmarkEnd w:id="782"/>
    <w:p>
      <w:pPr>
        <w:jc w:val="center"/>
        <w:outlineLvl w:val="1"/>
        <w:rPr>
          <w:rFonts w:hint="eastAsia" w:ascii="宋体" w:hAnsi="宋体"/>
          <w:color w:val="auto"/>
          <w:sz w:val="24"/>
        </w:rPr>
      </w:pPr>
      <w:bookmarkStart w:id="783" w:name="_Toc152042376"/>
      <w:bookmarkStart w:id="784" w:name="_Toc28069"/>
      <w:bookmarkStart w:id="785" w:name="_Toc466298139"/>
      <w:bookmarkStart w:id="786" w:name="_Toc152045599"/>
      <w:bookmarkStart w:id="787" w:name="_Toc30575"/>
      <w:bookmarkStart w:id="788" w:name="_Toc318450721"/>
      <w:bookmarkStart w:id="789" w:name="_Toc455867816"/>
      <w:bookmarkStart w:id="790" w:name="_Toc455080156"/>
      <w:bookmarkStart w:id="791" w:name="_Toc27806"/>
      <w:bookmarkStart w:id="792" w:name="_Toc281405527"/>
      <w:bookmarkStart w:id="793" w:name="_Toc144974566"/>
      <w:r>
        <w:rPr>
          <w:rFonts w:hint="eastAsia" w:ascii="宋体" w:hAnsi="宋体"/>
          <w:color w:val="auto"/>
          <w:sz w:val="24"/>
        </w:rPr>
        <w:t>评审办法前附表</w:t>
      </w:r>
      <w:bookmarkEnd w:id="783"/>
      <w:bookmarkEnd w:id="784"/>
      <w:bookmarkEnd w:id="785"/>
      <w:bookmarkEnd w:id="786"/>
      <w:bookmarkEnd w:id="787"/>
      <w:bookmarkEnd w:id="788"/>
      <w:bookmarkEnd w:id="789"/>
      <w:bookmarkEnd w:id="790"/>
      <w:bookmarkEnd w:id="791"/>
      <w:bookmarkEnd w:id="792"/>
      <w:bookmarkEnd w:id="793"/>
    </w:p>
    <w:tbl>
      <w:tblPr>
        <w:tblStyle w:val="2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80"/>
        <w:gridCol w:w="2550"/>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74" w:type="dxa"/>
            <w:gridSpan w:val="2"/>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55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498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资格评审标  准</w:t>
            </w:r>
          </w:p>
        </w:tc>
        <w:tc>
          <w:tcPr>
            <w:tcW w:w="2550" w:type="dxa"/>
            <w:noWrap w:val="0"/>
            <w:vAlign w:val="center"/>
          </w:tcPr>
          <w:p>
            <w:p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符合《中华人民共和国政府采购法》第22条规定</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落实政府采购政策</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财务和纳税要求</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信用要求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其他要求</w:t>
            </w:r>
          </w:p>
        </w:tc>
        <w:tc>
          <w:tcPr>
            <w:tcW w:w="4981" w:type="dxa"/>
            <w:noWrap w:val="0"/>
            <w:vAlign w:val="center"/>
          </w:tcPr>
          <w:p>
            <w:pPr>
              <w:widowControl/>
              <w:spacing w:line="400" w:lineRule="exact"/>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符合第二章“</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符合性</w:t>
            </w:r>
            <w:r>
              <w:rPr>
                <w:rFonts w:hint="eastAsia" w:ascii="宋体" w:hAnsi="宋体" w:eastAsia="宋体" w:cs="宋体"/>
                <w:color w:val="auto"/>
                <w:sz w:val="21"/>
                <w:szCs w:val="21"/>
              </w:rPr>
              <w:t>评审标准</w:t>
            </w: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供应商名称</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与营业执照</w:t>
            </w:r>
            <w:r>
              <w:rPr>
                <w:rFonts w:hint="eastAsia" w:ascii="宋体" w:hAnsi="宋体" w:eastAsia="宋体" w:cs="宋体"/>
                <w:color w:val="auto"/>
                <w:sz w:val="21"/>
                <w:szCs w:val="21"/>
                <w:lang w:val="en-US" w:eastAsia="zh-CN"/>
              </w:rPr>
              <w:t>或其他证书</w:t>
            </w:r>
            <w:r>
              <w:rPr>
                <w:rFonts w:hint="eastAsia" w:ascii="宋体" w:hAnsi="宋体" w:eastAsia="宋体" w:cs="宋体"/>
                <w:color w:val="auto"/>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响应函</w:t>
            </w:r>
            <w:r>
              <w:rPr>
                <w:rFonts w:hint="eastAsia" w:ascii="宋体" w:hAnsi="宋体" w:eastAsia="宋体" w:cs="宋体"/>
                <w:color w:val="auto"/>
                <w:sz w:val="21"/>
                <w:szCs w:val="21"/>
              </w:rPr>
              <w:t>签字盖章</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sz w:val="21"/>
                <w:szCs w:val="21"/>
              </w:rPr>
              <w:t>符合</w:t>
            </w:r>
            <w:r>
              <w:rPr>
                <w:rFonts w:hint="eastAsia" w:ascii="宋体" w:hAnsi="宋体" w:eastAsia="宋体" w:cs="宋体"/>
                <w:color w:val="auto"/>
                <w:spacing w:val="-6"/>
                <w:sz w:val="21"/>
                <w:szCs w:val="21"/>
                <w:lang w:eastAsia="zh-CN"/>
              </w:rPr>
              <w:t>第六章</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投标文件格式</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响应函签字盖章</w:t>
            </w:r>
            <w:r>
              <w:rPr>
                <w:rFonts w:hint="eastAsia" w:ascii="宋体" w:hAnsi="宋体" w:eastAsia="宋体" w:cs="宋体"/>
                <w:color w:val="auto"/>
                <w:spacing w:val="-6"/>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格式</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eastAsia="zh-CN"/>
              </w:rPr>
              <w:t>第六章</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响应内容</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供货期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lang w:val="en-US" w:eastAsia="zh-CN"/>
              </w:rPr>
              <w:t>唯一</w:t>
            </w:r>
          </w:p>
        </w:tc>
        <w:tc>
          <w:tcPr>
            <w:tcW w:w="4981" w:type="dxa"/>
            <w:noWrap w:val="0"/>
            <w:vAlign w:val="center"/>
          </w:tcPr>
          <w:p>
            <w:pPr>
              <w:spacing w:line="360" w:lineRule="auto"/>
              <w:ind w:left="0" w:leftChars="0"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质量要求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报价不超过</w:t>
            </w:r>
            <w:r>
              <w:rPr>
                <w:rFonts w:hint="eastAsia" w:ascii="宋体" w:hAnsi="宋体" w:eastAsia="宋体" w:cs="宋体"/>
                <w:color w:val="auto"/>
                <w:sz w:val="21"/>
                <w:szCs w:val="21"/>
                <w:lang w:eastAsia="zh-CN"/>
              </w:rPr>
              <w:t>预算价（最高限价）</w:t>
            </w:r>
          </w:p>
        </w:tc>
      </w:tr>
    </w:tbl>
    <w:p>
      <w:pPr>
        <w:spacing w:line="360" w:lineRule="auto"/>
        <w:ind w:left="0" w:leftChars="0" w:firstLine="0" w:firstLineChars="0"/>
        <w:jc w:val="center"/>
        <w:outlineLvl w:val="1"/>
        <w:rPr>
          <w:rFonts w:hint="eastAsia" w:ascii="宋体" w:hAnsi="宋体"/>
          <w:b/>
          <w:bCs/>
          <w:color w:val="auto"/>
          <w:sz w:val="24"/>
          <w:lang w:eastAsia="zh-CN"/>
        </w:rPr>
      </w:pPr>
      <w:bookmarkStart w:id="794" w:name="_Toc152045600"/>
      <w:bookmarkStart w:id="795" w:name="_Toc144974567"/>
      <w:bookmarkStart w:id="796" w:name="_Toc31578"/>
      <w:bookmarkStart w:id="797" w:name="_Toc152042377"/>
      <w:bookmarkStart w:id="798" w:name="_Toc318450722"/>
      <w:bookmarkStart w:id="799" w:name="_Toc281405528"/>
    </w:p>
    <w:p>
      <w:pPr>
        <w:spacing w:line="360" w:lineRule="auto"/>
        <w:ind w:left="0" w:leftChars="0" w:firstLine="0" w:firstLineChars="0"/>
        <w:jc w:val="center"/>
        <w:outlineLvl w:val="1"/>
        <w:rPr>
          <w:rFonts w:hint="eastAsia" w:ascii="宋体" w:hAnsi="宋体"/>
          <w:b/>
          <w:bCs/>
          <w:color w:val="auto"/>
          <w:sz w:val="24"/>
          <w:lang w:eastAsia="zh-CN"/>
        </w:rPr>
      </w:pPr>
    </w:p>
    <w:p>
      <w:pPr>
        <w:spacing w:after="240" w:afterLines="100" w:line="480" w:lineRule="exact"/>
        <w:ind w:left="0" w:leftChars="0" w:firstLine="0" w:firstLineChars="0"/>
        <w:jc w:val="center"/>
        <w:rPr>
          <w:rFonts w:hint="eastAsia" w:ascii="黑体" w:hAnsi="黑体" w:eastAsia="黑体" w:cs="黑体"/>
          <w:b/>
          <w:bCs/>
          <w:sz w:val="44"/>
          <w:szCs w:val="44"/>
        </w:rPr>
      </w:pPr>
      <w:bookmarkStart w:id="800" w:name="_Toc10484855"/>
      <w:bookmarkStart w:id="801" w:name="_Hlk40452878"/>
      <w:bookmarkStart w:id="802" w:name="_Toc520706970"/>
      <w:r>
        <w:rPr>
          <w:rFonts w:hint="eastAsia" w:ascii="黑体" w:hAnsi="黑体" w:eastAsia="黑体" w:cs="黑体"/>
          <w:b/>
          <w:bCs/>
          <w:sz w:val="44"/>
          <w:szCs w:val="44"/>
        </w:rPr>
        <w:t>评分办法</w:t>
      </w:r>
    </w:p>
    <w:p>
      <w:pPr>
        <w:spacing w:line="360" w:lineRule="auto"/>
        <w:ind w:left="0" w:leftChars="0" w:firstLine="0" w:firstLineChars="0"/>
        <w:jc w:val="center"/>
        <w:outlineLvl w:val="1"/>
        <w:rPr>
          <w:rFonts w:hint="eastAsia" w:ascii="宋体" w:hAnsi="宋体"/>
          <w:b/>
          <w:bCs/>
          <w:color w:val="auto"/>
          <w:sz w:val="24"/>
          <w:lang w:eastAsia="zh-CN"/>
        </w:rPr>
      </w:pPr>
      <w:r>
        <w:rPr>
          <w:rFonts w:hint="eastAsia" w:ascii="宋体" w:hAnsi="宋体"/>
          <w:b/>
          <w:bCs/>
          <w:color w:val="auto"/>
          <w:sz w:val="24"/>
          <w:lang w:eastAsia="zh-CN"/>
        </w:rPr>
        <w:t>详细评分表</w:t>
      </w:r>
    </w:p>
    <w:p>
      <w:pPr>
        <w:pStyle w:val="26"/>
        <w:ind w:left="0" w:leftChars="0" w:firstLine="0" w:firstLineChars="0"/>
        <w:rPr>
          <w:rFonts w:hint="eastAsia" w:ascii="宋体" w:hAnsi="宋体"/>
          <w:b/>
          <w:bCs/>
          <w:color w:val="auto"/>
          <w:sz w:val="24"/>
          <w:lang w:eastAsia="zh-CN"/>
        </w:rPr>
      </w:pPr>
      <w:r>
        <w:rPr>
          <w:rFonts w:hint="eastAsia" w:ascii="宋体" w:hAnsi="宋体"/>
          <w:b/>
          <w:bCs/>
          <w:color w:val="auto"/>
          <w:sz w:val="24"/>
          <w:lang w:eastAsia="zh-CN"/>
        </w:rPr>
        <w:t>评分办法：</w:t>
      </w:r>
    </w:p>
    <w:tbl>
      <w:tblPr>
        <w:tblStyle w:val="27"/>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6"/>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atLeast"/>
          <w:jc w:val="center"/>
        </w:trPr>
        <w:tc>
          <w:tcPr>
            <w:tcW w:w="911" w:type="pct"/>
            <w:vAlign w:val="center"/>
          </w:tcPr>
          <w:p>
            <w:pPr>
              <w:autoSpaceDE w:val="0"/>
              <w:autoSpaceDN w:val="0"/>
              <w:adjustRightInd w:val="0"/>
              <w:spacing w:line="360" w:lineRule="auto"/>
              <w:ind w:left="0" w:leftChars="0" w:right="97" w:firstLine="0" w:firstLineChars="0"/>
              <w:jc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sz w:val="21"/>
                <w:szCs w:val="21"/>
              </w:rPr>
              <w:t>分值构成</w:t>
            </w:r>
          </w:p>
        </w:tc>
        <w:tc>
          <w:tcPr>
            <w:tcW w:w="4088" w:type="pct"/>
            <w:vAlign w:val="center"/>
          </w:tcPr>
          <w:p>
            <w:pPr>
              <w:widowControl/>
              <w:spacing w:line="24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1、报价部分（30分）；</w:t>
            </w:r>
          </w:p>
          <w:p>
            <w:pPr>
              <w:widowControl/>
              <w:spacing w:line="240" w:lineRule="auto"/>
              <w:ind w:right="-281" w:rightChars="-134"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2、技术部分（</w:t>
            </w:r>
            <w:r>
              <w:rPr>
                <w:rFonts w:hint="eastAsia" w:asciiTheme="minorEastAsia" w:hAnsiTheme="minorEastAsia" w:cstheme="minorEastAsia"/>
                <w:color w:val="000000"/>
                <w:sz w:val="21"/>
                <w:szCs w:val="21"/>
                <w:lang w:val="en-US" w:eastAsia="zh-CN"/>
              </w:rPr>
              <w:t>53</w:t>
            </w:r>
            <w:r>
              <w:rPr>
                <w:rFonts w:hint="eastAsia" w:asciiTheme="minorEastAsia" w:hAnsiTheme="minorEastAsia" w:eastAsiaTheme="minorEastAsia" w:cstheme="minorEastAsia"/>
                <w:color w:val="000000"/>
                <w:sz w:val="21"/>
                <w:szCs w:val="21"/>
              </w:rPr>
              <w:t>分）；</w:t>
            </w:r>
          </w:p>
          <w:p>
            <w:pPr>
              <w:pStyle w:val="6"/>
              <w:spacing w:line="240" w:lineRule="auto"/>
              <w:ind w:firstLine="420" w:firstLineChars="200"/>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b w:val="0"/>
                <w:bCs w:val="0"/>
                <w:color w:val="000000"/>
                <w:sz w:val="21"/>
                <w:szCs w:val="21"/>
              </w:rPr>
              <w:t>3、商务部分（</w:t>
            </w:r>
            <w:r>
              <w:rPr>
                <w:rFonts w:hint="eastAsia" w:asciiTheme="minorEastAsia" w:hAnsiTheme="minorEastAsia" w:cstheme="minorEastAsia"/>
                <w:b w:val="0"/>
                <w:bCs w:val="0"/>
                <w:color w:val="000000"/>
                <w:sz w:val="21"/>
                <w:szCs w:val="21"/>
                <w:lang w:val="en-US" w:eastAsia="zh-CN"/>
              </w:rPr>
              <w:t>17</w:t>
            </w:r>
            <w:r>
              <w:rPr>
                <w:rFonts w:hint="eastAsia" w:asciiTheme="minorEastAsia" w:hAnsiTheme="minorEastAsia" w:eastAsiaTheme="minorEastAsia" w:cstheme="minorEastAsia"/>
                <w:b w:val="0"/>
                <w:bCs w:val="0"/>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911" w:type="pct"/>
            <w:vAlign w:val="center"/>
          </w:tcPr>
          <w:p>
            <w:pPr>
              <w:autoSpaceDE w:val="0"/>
              <w:autoSpaceDN w:val="0"/>
              <w:adjustRightInd w:val="0"/>
              <w:spacing w:line="360" w:lineRule="auto"/>
              <w:ind w:left="0" w:leftChars="0" w:right="97" w:firstLine="0" w:firstLineChars="0"/>
              <w:jc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sz w:val="21"/>
                <w:szCs w:val="21"/>
              </w:rPr>
              <w:t>报价部分评分标准（30分）</w:t>
            </w:r>
          </w:p>
        </w:tc>
        <w:tc>
          <w:tcPr>
            <w:tcW w:w="4088" w:type="pct"/>
            <w:vAlign w:val="center"/>
          </w:tcPr>
          <w:p>
            <w:pPr>
              <w:spacing w:line="24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评标基准值：满足招标文件要求，且投标价格最低的投标报价为评标基准值，投标报价等于最低有效投标报价得满分30分。其他有效投标人的投标报价得分=(评标基准值／有效投标人的投标报价)×30；</w:t>
            </w:r>
          </w:p>
          <w:p>
            <w:pPr>
              <w:spacing w:line="240" w:lineRule="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注：</w:t>
            </w:r>
          </w:p>
          <w:p>
            <w:pPr>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1.经评标委员会全体认定低于成本价的投标，将被废标，其报价不作为评分依据。</w:t>
            </w:r>
          </w:p>
          <w:p>
            <w:pPr>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2.本项目落实节能环保、中小微企业扶持、促进残疾人就业等相关政府采购政策。</w:t>
            </w:r>
          </w:p>
          <w:p>
            <w:pPr>
              <w:spacing w:line="240" w:lineRule="auto"/>
              <w:ind w:left="0" w:leftChars="0" w:firstLine="0" w:firstLineChars="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（1）根据《政府采购促进中小企业发展暂行办法》(财库[2011]181 号)的规定，对于非专门面向中小企业的项目，对小型和微型企业产品的价格给予</w:t>
            </w:r>
            <w:r>
              <w:rPr>
                <w:rFonts w:hint="eastAsia" w:asciiTheme="minorEastAsia" w:hAnsiTheme="minorEastAsia" w:eastAsiaTheme="minorEastAsia" w:cstheme="minorEastAsia"/>
                <w:color w:val="000000"/>
                <w:kern w:val="0"/>
                <w:sz w:val="21"/>
                <w:szCs w:val="21"/>
                <w:lang w:val="en-US" w:eastAsia="zh-CN"/>
              </w:rPr>
              <w:t>20</w:t>
            </w:r>
            <w:r>
              <w:rPr>
                <w:rFonts w:hint="eastAsia" w:asciiTheme="minorEastAsia" w:hAnsiTheme="minorEastAsia" w:eastAsiaTheme="minorEastAsia" w:cstheme="minorEastAsia"/>
                <w:color w:val="000000"/>
                <w:kern w:val="0"/>
                <w:sz w:val="21"/>
                <w:szCs w:val="21"/>
              </w:rPr>
              <w:t>%的扣除，用扣除后的价格参与评审，评标价不作为成交价和合同签约价，成交价和合同签约价仍以其投标文件中的报价为准。监狱企业视同小型、微型企业，中小微企业产品和监狱企业产品只给予一次价格扣除，不重复给予价格扣除。</w:t>
            </w:r>
          </w:p>
          <w:p>
            <w:pPr>
              <w:spacing w:line="240" w:lineRule="auto"/>
              <w:ind w:left="0" w:leftChars="0" w:firstLine="0" w:firstLineChars="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中小企业的认定标准按《中小企业划型标准规定》工信部联企业〔2011〕300号文件执行，供应商应提供由企业所在地县级以上中小企业主管部门出具的中小企业认定证明和《中小企业声明函》等有效证明材料（提供原件），否则不予认可；</w:t>
            </w:r>
          </w:p>
          <w:p>
            <w:pPr>
              <w:autoSpaceDE w:val="0"/>
              <w:autoSpaceDN w:val="0"/>
              <w:adjustRightInd w:val="0"/>
              <w:spacing w:line="240" w:lineRule="auto"/>
              <w:ind w:left="0" w:leftChars="0" w:right="97" w:firstLine="0" w:firstLineChars="0"/>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kern w:val="0"/>
                <w:sz w:val="21"/>
                <w:szCs w:val="21"/>
              </w:rPr>
              <w:t>（3）监狱企业视同小型、微型企业，需提供省级及以上监狱管理局、戒毒管理局（含新疆生产建设兵团）出具的属于监狱企业的证明文件，否则不予认可。</w:t>
            </w:r>
          </w:p>
        </w:tc>
      </w:tr>
    </w:tbl>
    <w:tbl>
      <w:tblPr>
        <w:tblStyle w:val="27"/>
        <w:tblpPr w:leftFromText="180" w:rightFromText="180" w:vertAnchor="text" w:horzAnchor="page" w:tblpXSpec="center" w:tblpY="522"/>
        <w:tblOverlap w:val="never"/>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96"/>
        <w:gridCol w:w="1842"/>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restart"/>
            <w:noWrap w:val="0"/>
            <w:vAlign w:val="center"/>
          </w:tcPr>
          <w:p>
            <w:pPr>
              <w:bidi w:val="0"/>
              <w:spacing w:line="240" w:lineRule="auto"/>
              <w:ind w:left="0" w:leftChars="0" w:firstLine="0" w:firstLineChars="0"/>
              <w:rPr>
                <w:rFonts w:hint="default" w:eastAsiaTheme="minorEastAsia"/>
                <w:color w:val="44546A" w:themeColor="text2"/>
                <w:highlight w:val="none"/>
                <w:lang w:val="en-US" w:eastAsia="zh-CN"/>
                <w14:textFill>
                  <w14:solidFill>
                    <w14:schemeClr w14:val="tx2"/>
                  </w14:solidFill>
                </w14:textFill>
              </w:rPr>
            </w:pPr>
            <w:r>
              <w:rPr>
                <w:rFonts w:hint="eastAsia"/>
                <w:color w:val="44546A" w:themeColor="text2"/>
                <w:highlight w:val="none"/>
                <w14:textFill>
                  <w14:solidFill>
                    <w14:schemeClr w14:val="tx2"/>
                  </w14:solidFill>
                </w14:textFill>
              </w:rPr>
              <w:t>2.2</w:t>
            </w:r>
            <w:r>
              <w:rPr>
                <w:rFonts w:hint="eastAsia"/>
                <w:color w:val="44546A" w:themeColor="text2"/>
                <w:highlight w:val="none"/>
                <w:lang w:val="en-US" w:eastAsia="zh-CN"/>
                <w14:textFill>
                  <w14:solidFill>
                    <w14:schemeClr w14:val="tx2"/>
                  </w14:solidFill>
                </w14:textFill>
              </w:rPr>
              <w:t>.1</w:t>
            </w:r>
          </w:p>
        </w:tc>
        <w:tc>
          <w:tcPr>
            <w:tcW w:w="1296" w:type="dxa"/>
            <w:vMerge w:val="restart"/>
            <w:noWrap w:val="0"/>
            <w:vAlign w:val="center"/>
          </w:tcPr>
          <w:p>
            <w:pPr>
              <w:bidi w:val="0"/>
              <w:spacing w:line="240" w:lineRule="auto"/>
              <w:ind w:left="0" w:leftChars="0" w:firstLine="0" w:firstLineChars="0"/>
              <w:jc w:val="center"/>
              <w:rPr>
                <w:rFonts w:hint="eastAsia"/>
                <w:color w:val="44546A" w:themeColor="text2"/>
                <w:highlight w:val="none"/>
                <w14:textFill>
                  <w14:solidFill>
                    <w14:schemeClr w14:val="tx2"/>
                  </w14:solidFill>
                </w14:textFill>
              </w:rPr>
            </w:pPr>
            <w:r>
              <w:rPr>
                <w:rFonts w:hint="eastAsia"/>
                <w:color w:val="44546A" w:themeColor="text2"/>
                <w:highlight w:val="none"/>
                <w14:textFill>
                  <w14:solidFill>
                    <w14:schemeClr w14:val="tx2"/>
                  </w14:solidFill>
                </w14:textFill>
              </w:rPr>
              <w:t>技术部分（</w:t>
            </w:r>
            <w:r>
              <w:rPr>
                <w:rFonts w:hint="eastAsia"/>
                <w:color w:val="44546A" w:themeColor="text2"/>
                <w:highlight w:val="none"/>
                <w:lang w:val="en-US" w:eastAsia="zh-CN"/>
                <w14:textFill>
                  <w14:solidFill>
                    <w14:schemeClr w14:val="tx2"/>
                  </w14:solidFill>
                </w14:textFill>
              </w:rPr>
              <w:t>53</w:t>
            </w:r>
            <w:r>
              <w:rPr>
                <w:rFonts w:hint="eastAsia"/>
                <w:color w:val="44546A" w:themeColor="text2"/>
                <w:highlight w:val="none"/>
                <w14:textFill>
                  <w14:solidFill>
                    <w14:schemeClr w14:val="tx2"/>
                  </w14:solidFill>
                </w14:textFill>
              </w:rPr>
              <w:t>分）</w:t>
            </w:r>
          </w:p>
        </w:tc>
        <w:tc>
          <w:tcPr>
            <w:tcW w:w="1842" w:type="dxa"/>
            <w:noWrap w:val="0"/>
            <w:vAlign w:val="center"/>
          </w:tcPr>
          <w:p>
            <w:pPr>
              <w:bidi w:val="0"/>
              <w:spacing w:line="240" w:lineRule="auto"/>
              <w:ind w:left="0" w:leftChars="0" w:firstLine="0" w:firstLineChars="0"/>
              <w:jc w:val="center"/>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14:textFill>
                  <w14:solidFill>
                    <w14:schemeClr w14:val="tx2"/>
                  </w14:solidFill>
                </w14:textFill>
              </w:rPr>
              <w:t>投标</w:t>
            </w:r>
            <w:r>
              <w:rPr>
                <w:rFonts w:hint="eastAsia"/>
                <w:color w:val="44546A" w:themeColor="text2"/>
                <w:highlight w:val="none"/>
                <w:lang w:eastAsia="zh-CN"/>
                <w14:textFill>
                  <w14:solidFill>
                    <w14:schemeClr w14:val="tx2"/>
                  </w14:solidFill>
                </w14:textFill>
              </w:rPr>
              <w:t>货物</w:t>
            </w:r>
            <w:r>
              <w:rPr>
                <w:rFonts w:hint="eastAsia"/>
                <w:color w:val="44546A" w:themeColor="text2"/>
                <w:highlight w:val="none"/>
                <w14:textFill>
                  <w14:solidFill>
                    <w14:schemeClr w14:val="tx2"/>
                  </w14:solidFill>
                </w14:textFill>
              </w:rPr>
              <w:t>技术性能指标的响应程度</w:t>
            </w:r>
            <w:r>
              <w:rPr>
                <w:rFonts w:hint="eastAsia"/>
                <w:color w:val="44546A" w:themeColor="text2"/>
                <w:highlight w:val="none"/>
                <w:lang w:eastAsia="zh-CN"/>
                <w14:textFill>
                  <w14:solidFill>
                    <w14:schemeClr w14:val="tx2"/>
                  </w14:solidFill>
                </w14:textFill>
              </w:rPr>
              <w:t>（</w:t>
            </w:r>
            <w:r>
              <w:rPr>
                <w:rFonts w:hint="eastAsia"/>
                <w:color w:val="44546A" w:themeColor="text2"/>
                <w:highlight w:val="none"/>
                <w:lang w:val="en-US" w:eastAsia="zh-CN"/>
                <w14:textFill>
                  <w14:solidFill>
                    <w14:schemeClr w14:val="tx2"/>
                  </w14:solidFill>
                </w14:textFill>
              </w:rPr>
              <w:t>43分</w:t>
            </w:r>
            <w:r>
              <w:rPr>
                <w:rFonts w:hint="eastAsia"/>
                <w:color w:val="44546A" w:themeColor="text2"/>
                <w:highlight w:val="none"/>
                <w:lang w:eastAsia="zh-CN"/>
                <w14:textFill>
                  <w14:solidFill>
                    <w14:schemeClr w14:val="tx2"/>
                  </w14:solidFill>
                </w14:textFill>
              </w:rPr>
              <w:t>）</w:t>
            </w:r>
          </w:p>
        </w:tc>
        <w:tc>
          <w:tcPr>
            <w:tcW w:w="5783" w:type="dxa"/>
            <w:noWrap w:val="0"/>
            <w:vAlign w:val="center"/>
          </w:tcPr>
          <w:p>
            <w:pPr>
              <w:bidi w:val="0"/>
              <w:spacing w:line="240" w:lineRule="auto"/>
              <w:ind w:left="0" w:leftChars="0" w:firstLine="420" w:firstLineChars="200"/>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1、所投产品的技术参数、规格与要求完全符合或优于采购文件要求的“采购项目技术参数、规格与要求”，没有负偏离得基本分43分，加★号项有一项不满足的在基本分基础上扣1分，非加★项有一项不满足的在基本分基础上扣0.5分，扣完为止。</w:t>
            </w:r>
          </w:p>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注：1、带★的低于技术要求的（负偏离）达5个（含）以上或者技术参数扣分达12分（含）以上，视为明显不符合技术规格、技术标准的要求；按废标条款作废标处理。</w:t>
            </w:r>
          </w:p>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2、供应商需提供参数技术证明材料并在技术偏差表备注栏中备注证明材料所在响应文件对应页码，否则视为负偏离。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296"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842" w:type="dxa"/>
            <w:vMerge w:val="restart"/>
            <w:noWrap w:val="0"/>
            <w:vAlign w:val="center"/>
          </w:tcPr>
          <w:p>
            <w:pPr>
              <w:bidi w:val="0"/>
              <w:spacing w:line="240" w:lineRule="auto"/>
              <w:ind w:left="0" w:leftChars="0" w:firstLine="0" w:firstLineChars="0"/>
              <w:jc w:val="center"/>
              <w:rPr>
                <w:rFonts w:hint="eastAsia"/>
                <w:color w:val="44546A" w:themeColor="text2"/>
                <w:highlight w:val="none"/>
                <w:lang w:eastAsia="zh-CN"/>
                <w14:textFill>
                  <w14:solidFill>
                    <w14:schemeClr w14:val="tx2"/>
                  </w14:solidFill>
                </w14:textFill>
              </w:rPr>
            </w:pPr>
            <w:r>
              <w:rPr>
                <w:rFonts w:hint="eastAsia"/>
                <w:color w:val="44546A" w:themeColor="text2"/>
                <w:highlight w:val="none"/>
                <w:lang w:eastAsia="zh-CN"/>
                <w14:textFill>
                  <w14:solidFill>
                    <w14:schemeClr w14:val="tx2"/>
                  </w14:solidFill>
                </w14:textFill>
              </w:rPr>
              <w:t>技术实力</w:t>
            </w:r>
          </w:p>
          <w:p>
            <w:pPr>
              <w:bidi w:val="0"/>
              <w:spacing w:line="240" w:lineRule="auto"/>
              <w:ind w:left="0" w:leftChars="0" w:firstLine="0" w:firstLineChars="0"/>
              <w:jc w:val="center"/>
              <w:rPr>
                <w:rFonts w:hint="eastAsia"/>
                <w:color w:val="44546A" w:themeColor="text2"/>
                <w:highlight w:val="none"/>
                <w14:textFill>
                  <w14:solidFill>
                    <w14:schemeClr w14:val="tx2"/>
                  </w14:solidFill>
                </w14:textFill>
              </w:rPr>
            </w:pPr>
            <w:r>
              <w:rPr>
                <w:rFonts w:hint="eastAsia"/>
                <w:color w:val="44546A" w:themeColor="text2"/>
                <w:highlight w:val="none"/>
                <w:lang w:eastAsia="zh-CN"/>
                <w14:textFill>
                  <w14:solidFill>
                    <w14:schemeClr w14:val="tx2"/>
                  </w14:solidFill>
                </w14:textFill>
              </w:rPr>
              <w:t>（</w:t>
            </w:r>
            <w:r>
              <w:rPr>
                <w:rFonts w:hint="eastAsia"/>
                <w:color w:val="44546A" w:themeColor="text2"/>
                <w:highlight w:val="none"/>
                <w:lang w:val="en-US" w:eastAsia="zh-CN"/>
                <w14:textFill>
                  <w14:solidFill>
                    <w14:schemeClr w14:val="tx2"/>
                  </w14:solidFill>
                </w14:textFill>
              </w:rPr>
              <w:t>10分</w:t>
            </w:r>
            <w:r>
              <w:rPr>
                <w:rFonts w:hint="eastAsia"/>
                <w:color w:val="44546A" w:themeColor="text2"/>
                <w:highlight w:val="none"/>
                <w:lang w:eastAsia="zh-CN"/>
                <w14:textFill>
                  <w14:solidFill>
                    <w14:schemeClr w14:val="tx2"/>
                  </w14:solidFill>
                </w14:textFill>
              </w:rPr>
              <w:t>）</w:t>
            </w:r>
          </w:p>
        </w:tc>
        <w:tc>
          <w:tcPr>
            <w:tcW w:w="5783" w:type="dxa"/>
            <w:noWrap w:val="0"/>
            <w:vAlign w:val="center"/>
          </w:tcPr>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1、所投产品厂家技术实力（5分）</w:t>
            </w:r>
          </w:p>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评标小组根据供应商提供的所投产品的生产厂家技术实力（包含：设计能力和技术力量及生产能力等方面）进行综合比较：</w:t>
            </w:r>
          </w:p>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优秀（所投产品的生产厂家具有非常强的设计能力和技术力量及生产能力，在同行业中居于领先地位）得5分；</w:t>
            </w:r>
          </w:p>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良好（所投产品的生产厂家具有较强的设计能力和技术力量及生产能力，在同行业中较居于领先地位）得3分；</w:t>
            </w:r>
          </w:p>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一般（所投产品的生产厂家的设计能力和技术力量及生产能力等方面一般）得1分；</w:t>
            </w:r>
          </w:p>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差（所投产品的生产厂家的设计能力和技术力量及生产能力等方面差或不完善）得0.5分，不提供不得分；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8"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296"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842" w:type="dxa"/>
            <w:vMerge w:val="continue"/>
            <w:noWrap w:val="0"/>
            <w:vAlign w:val="center"/>
          </w:tcPr>
          <w:p>
            <w:pPr>
              <w:bidi w:val="0"/>
              <w:spacing w:line="240" w:lineRule="auto"/>
              <w:rPr>
                <w:rFonts w:hint="eastAsia"/>
                <w:color w:val="44546A" w:themeColor="text2"/>
                <w:highlight w:val="none"/>
                <w:lang w:eastAsia="zh-CN"/>
                <w14:textFill>
                  <w14:solidFill>
                    <w14:schemeClr w14:val="tx2"/>
                  </w14:solidFill>
                </w14:textFill>
              </w:rPr>
            </w:pPr>
          </w:p>
        </w:tc>
        <w:tc>
          <w:tcPr>
            <w:tcW w:w="5783" w:type="dxa"/>
            <w:noWrap w:val="0"/>
            <w:vAlign w:val="center"/>
          </w:tcPr>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2、所投产品技术实力（5分）</w:t>
            </w:r>
          </w:p>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评标小组根据供应商提供的所投产品技术实力（包括：所投产品设计、技术、节能环保、操作、控制、性能、质量、用户使用口碑以及产品的使用、维护和保养成本等方面）进行综合比较：</w:t>
            </w:r>
          </w:p>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优秀（所投产品设计非常合理、技术非常先进、节能环保、在同行业中居于领先地位，操作非常方便、易于控制、性能优秀，质量非常可靠、性能非常稳定，产品使用、维护和保养非常合理科学，用户使用口碑非常好）得5分；</w:t>
            </w:r>
          </w:p>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良好（所投产品设计较合理、技术较先进、节能环保、在同行业中较居于领先地位，操作较方便、较易于控制、性能良好，质量较可靠、性能较稳定，产品使用、维护和保养较合理科学，用户使用口碑较好）得3分；</w:t>
            </w:r>
          </w:p>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一般（所投产品设计、技术、节能环保、操作、控制、性能、质量、用户使用口碑以及产品的使用、维护和保养成本等方面一般）得1分；</w:t>
            </w:r>
          </w:p>
          <w:p>
            <w:pPr>
              <w:bidi w:val="0"/>
              <w:spacing w:line="240" w:lineRule="auto"/>
              <w:rPr>
                <w:rFonts w:hint="default"/>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差（所投产品设计、技术、节能环保、操作、控制、性能、质量、用户使用口碑以及产品的使用、维护和保养成本等方面差或不完善）得0.5分，不提供不得分。</w:t>
            </w:r>
          </w:p>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注：供应商需提供各装置实物图片、相关数据、详细文字说明、相关图片图纸、对比资料等证明文件，分别证明产品先进性、合理性、经济性、稳定可靠性、安全性、环保性等优异之处，并与其他同类产品相比该产品的优势体现，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restart"/>
            <w:noWrap w:val="0"/>
            <w:vAlign w:val="center"/>
          </w:tcPr>
          <w:p>
            <w:pPr>
              <w:bidi w:val="0"/>
              <w:spacing w:line="240" w:lineRule="auto"/>
              <w:ind w:left="0" w:leftChars="0" w:firstLine="0" w:firstLineChars="0"/>
              <w:rPr>
                <w:rFonts w:hint="default" w:eastAsiaTheme="minorEastAsia"/>
                <w:color w:val="44546A" w:themeColor="text2"/>
                <w:highlight w:val="none"/>
                <w:lang w:val="en-US" w:eastAsia="zh-CN"/>
                <w14:textFill>
                  <w14:solidFill>
                    <w14:schemeClr w14:val="tx2"/>
                  </w14:solidFill>
                </w14:textFill>
              </w:rPr>
            </w:pPr>
            <w:r>
              <w:rPr>
                <w:rFonts w:hint="eastAsia"/>
                <w:color w:val="44546A" w:themeColor="text2"/>
                <w:highlight w:val="none"/>
                <w14:textFill>
                  <w14:solidFill>
                    <w14:schemeClr w14:val="tx2"/>
                  </w14:solidFill>
                </w14:textFill>
              </w:rPr>
              <w:t>2.</w:t>
            </w:r>
            <w:r>
              <w:rPr>
                <w:rFonts w:hint="eastAsia"/>
                <w:color w:val="44546A" w:themeColor="text2"/>
                <w:highlight w:val="none"/>
                <w:lang w:val="en-US" w:eastAsia="zh-CN"/>
                <w14:textFill>
                  <w14:solidFill>
                    <w14:schemeClr w14:val="tx2"/>
                  </w14:solidFill>
                </w14:textFill>
              </w:rPr>
              <w:t>2.2</w:t>
            </w:r>
          </w:p>
        </w:tc>
        <w:tc>
          <w:tcPr>
            <w:tcW w:w="1296" w:type="dxa"/>
            <w:vMerge w:val="restart"/>
            <w:noWrap w:val="0"/>
            <w:vAlign w:val="center"/>
          </w:tcPr>
          <w:p>
            <w:pPr>
              <w:bidi w:val="0"/>
              <w:spacing w:line="240" w:lineRule="auto"/>
              <w:ind w:left="0" w:leftChars="0" w:firstLine="0" w:firstLineChars="0"/>
              <w:jc w:val="center"/>
              <w:rPr>
                <w:rFonts w:hint="eastAsia"/>
                <w:color w:val="44546A" w:themeColor="text2"/>
                <w:highlight w:val="none"/>
                <w14:textFill>
                  <w14:solidFill>
                    <w14:schemeClr w14:val="tx2"/>
                  </w14:solidFill>
                </w14:textFill>
              </w:rPr>
            </w:pPr>
            <w:r>
              <w:rPr>
                <w:rFonts w:hint="eastAsia"/>
                <w:color w:val="44546A" w:themeColor="text2"/>
                <w:highlight w:val="none"/>
                <w14:textFill>
                  <w14:solidFill>
                    <w14:schemeClr w14:val="tx2"/>
                  </w14:solidFill>
                </w14:textFill>
              </w:rPr>
              <w:t>综合标</w:t>
            </w:r>
          </w:p>
          <w:p>
            <w:pPr>
              <w:bidi w:val="0"/>
              <w:spacing w:line="240" w:lineRule="auto"/>
              <w:ind w:left="0" w:leftChars="0" w:firstLine="0" w:firstLineChars="0"/>
              <w:jc w:val="center"/>
              <w:rPr>
                <w:rFonts w:hint="eastAsia"/>
                <w:color w:val="44546A" w:themeColor="text2"/>
                <w:highlight w:val="none"/>
                <w14:textFill>
                  <w14:solidFill>
                    <w14:schemeClr w14:val="tx2"/>
                  </w14:solidFill>
                </w14:textFill>
              </w:rPr>
            </w:pPr>
            <w:r>
              <w:rPr>
                <w:rFonts w:hint="eastAsia"/>
                <w:color w:val="44546A" w:themeColor="text2"/>
                <w:highlight w:val="none"/>
                <w14:textFill>
                  <w14:solidFill>
                    <w14:schemeClr w14:val="tx2"/>
                  </w14:solidFill>
                </w14:textFill>
              </w:rPr>
              <w:t>（</w:t>
            </w:r>
            <w:r>
              <w:rPr>
                <w:rFonts w:hint="eastAsia"/>
                <w:color w:val="44546A" w:themeColor="text2"/>
                <w:highlight w:val="none"/>
                <w:lang w:val="en-US" w:eastAsia="zh-CN"/>
                <w14:textFill>
                  <w14:solidFill>
                    <w14:schemeClr w14:val="tx2"/>
                  </w14:solidFill>
                </w14:textFill>
              </w:rPr>
              <w:t>17</w:t>
            </w:r>
            <w:r>
              <w:rPr>
                <w:rFonts w:hint="eastAsia"/>
                <w:color w:val="44546A" w:themeColor="text2"/>
                <w:highlight w:val="none"/>
                <w14:textFill>
                  <w14:solidFill>
                    <w14:schemeClr w14:val="tx2"/>
                  </w14:solidFill>
                </w14:textFill>
              </w:rPr>
              <w:t>分）</w:t>
            </w:r>
          </w:p>
        </w:tc>
        <w:tc>
          <w:tcPr>
            <w:tcW w:w="1842" w:type="dxa"/>
            <w:noWrap w:val="0"/>
            <w:vAlign w:val="center"/>
          </w:tcPr>
          <w:p>
            <w:pPr>
              <w:bidi w:val="0"/>
              <w:spacing w:line="240" w:lineRule="auto"/>
              <w:jc w:val="center"/>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企业业绩</w:t>
            </w:r>
          </w:p>
          <w:p>
            <w:pPr>
              <w:bidi w:val="0"/>
              <w:spacing w:line="240" w:lineRule="auto"/>
              <w:jc w:val="center"/>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（12分）</w:t>
            </w:r>
          </w:p>
        </w:tc>
        <w:tc>
          <w:tcPr>
            <w:tcW w:w="5783" w:type="dxa"/>
            <w:noWrap w:val="0"/>
            <w:vAlign w:val="center"/>
          </w:tcPr>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1、供应商具有2020年1月1日以来承担相关类似项目业绩的，每提供一份得4分，最多得12分，没有不得分；（业绩时间以合同签订或中标通知书发放时间为准，提供中标通知书或包含关键信息的合同页原件扫描件，为了保证业绩得真实性并提供中标公示截图原件扫描件，编制在响应文件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296"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842" w:type="dxa"/>
            <w:noWrap w:val="0"/>
            <w:vAlign w:val="center"/>
          </w:tcPr>
          <w:p>
            <w:pPr>
              <w:bidi w:val="0"/>
              <w:spacing w:line="240" w:lineRule="auto"/>
              <w:ind w:left="0" w:leftChars="0" w:firstLine="0" w:firstLineChars="0"/>
              <w:jc w:val="center"/>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售后服务承诺</w:t>
            </w:r>
          </w:p>
          <w:p>
            <w:pPr>
              <w:bidi w:val="0"/>
              <w:spacing w:line="240" w:lineRule="auto"/>
              <w:ind w:left="0" w:leftChars="0" w:firstLine="0" w:firstLineChars="0"/>
              <w:jc w:val="center"/>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（3分）</w:t>
            </w:r>
          </w:p>
        </w:tc>
        <w:tc>
          <w:tcPr>
            <w:tcW w:w="5783" w:type="dxa"/>
            <w:noWrap w:val="0"/>
            <w:vAlign w:val="center"/>
          </w:tcPr>
          <w:p>
            <w:pPr>
              <w:bidi w:val="0"/>
              <w:spacing w:line="240" w:lineRule="auto"/>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val="en-US" w:eastAsia="zh-CN"/>
                <w14:textFill>
                  <w14:solidFill>
                    <w14:schemeClr w14:val="tx2"/>
                  </w14:solidFill>
                </w14:textFill>
              </w:rPr>
              <w:t>1、评标小组</w:t>
            </w:r>
            <w:r>
              <w:rPr>
                <w:rFonts w:hint="eastAsia"/>
                <w:color w:val="44546A" w:themeColor="text2"/>
                <w:highlight w:val="none"/>
                <w:lang w:val="en-US"/>
                <w14:textFill>
                  <w14:solidFill>
                    <w14:schemeClr w14:val="tx2"/>
                  </w14:solidFill>
                </w14:textFill>
              </w:rPr>
              <w:t>根据</w:t>
            </w:r>
            <w:r>
              <w:rPr>
                <w:rFonts w:hint="eastAsia"/>
                <w:color w:val="44546A" w:themeColor="text2"/>
                <w:highlight w:val="none"/>
                <w:lang w:val="en-US" w:eastAsia="zh-CN"/>
                <w14:textFill>
                  <w14:solidFill>
                    <w14:schemeClr w14:val="tx2"/>
                  </w14:solidFill>
                </w14:textFill>
              </w:rPr>
              <w:t>供应商</w:t>
            </w:r>
            <w:r>
              <w:rPr>
                <w:rFonts w:hint="eastAsia"/>
                <w:color w:val="44546A" w:themeColor="text2"/>
                <w:highlight w:val="none"/>
                <w:lang w:val="en-US"/>
                <w14:textFill>
                  <w14:solidFill>
                    <w14:schemeClr w14:val="tx2"/>
                  </w14:solidFill>
                </w14:textFill>
              </w:rPr>
              <w:t>提供的售后服务承诺（包括具体的售后服务内容、故障响应时间及相关措施、售后服务机构、培训计划及质保期外维修费用等方面）的完整性、合理性、科学性等进行综合比较，优秀（承诺非常全面完整、科学合理）得</w:t>
            </w:r>
            <w:r>
              <w:rPr>
                <w:rFonts w:hint="eastAsia"/>
                <w:color w:val="44546A" w:themeColor="text2"/>
                <w:highlight w:val="none"/>
                <w:lang w:val="en-US" w:eastAsia="zh-CN"/>
                <w14:textFill>
                  <w14:solidFill>
                    <w14:schemeClr w14:val="tx2"/>
                  </w14:solidFill>
                </w14:textFill>
              </w:rPr>
              <w:t>3</w:t>
            </w:r>
            <w:r>
              <w:rPr>
                <w:rFonts w:hint="eastAsia"/>
                <w:color w:val="44546A" w:themeColor="text2"/>
                <w:highlight w:val="none"/>
                <w:lang w:val="en-US"/>
                <w14:textFill>
                  <w14:solidFill>
                    <w14:schemeClr w14:val="tx2"/>
                  </w14:solidFill>
                </w14:textFill>
              </w:rPr>
              <w:t>分，良好（承诺</w:t>
            </w:r>
            <w:r>
              <w:rPr>
                <w:rFonts w:hint="eastAsia"/>
                <w:color w:val="44546A" w:themeColor="text2"/>
                <w:highlight w:val="none"/>
                <w:lang w:val="en-US" w:eastAsia="zh-CN"/>
                <w14:textFill>
                  <w14:solidFill>
                    <w14:schemeClr w14:val="tx2"/>
                  </w14:solidFill>
                </w14:textFill>
              </w:rPr>
              <w:t>较</w:t>
            </w:r>
            <w:r>
              <w:rPr>
                <w:rFonts w:hint="eastAsia"/>
                <w:color w:val="44546A" w:themeColor="text2"/>
                <w:highlight w:val="none"/>
                <w:lang w:val="en-US"/>
                <w14:textFill>
                  <w14:solidFill>
                    <w14:schemeClr w14:val="tx2"/>
                  </w14:solidFill>
                </w14:textFill>
              </w:rPr>
              <w:t>全面完整、科学合理）得</w:t>
            </w:r>
            <w:r>
              <w:rPr>
                <w:rFonts w:hint="eastAsia"/>
                <w:color w:val="44546A" w:themeColor="text2"/>
                <w:highlight w:val="none"/>
                <w:lang w:val="en-US" w:eastAsia="zh-CN"/>
                <w14:textFill>
                  <w14:solidFill>
                    <w14:schemeClr w14:val="tx2"/>
                  </w14:solidFill>
                </w14:textFill>
              </w:rPr>
              <w:t>2</w:t>
            </w:r>
            <w:r>
              <w:rPr>
                <w:rFonts w:hint="eastAsia"/>
                <w:color w:val="44546A" w:themeColor="text2"/>
                <w:highlight w:val="none"/>
                <w:lang w:val="en-US"/>
                <w14:textFill>
                  <w14:solidFill>
                    <w14:schemeClr w14:val="tx2"/>
                  </w14:solidFill>
                </w14:textFill>
              </w:rPr>
              <w:t>分，一般（承诺一般）得 1 分，</w:t>
            </w:r>
            <w:r>
              <w:rPr>
                <w:rFonts w:hint="eastAsia"/>
                <w:color w:val="44546A" w:themeColor="text2"/>
                <w:highlight w:val="none"/>
                <w:lang w:val="en-US" w:eastAsia="zh-CN"/>
                <w14:textFill>
                  <w14:solidFill>
                    <w14:schemeClr w14:val="tx2"/>
                  </w14:solidFill>
                </w14:textFill>
              </w:rPr>
              <w:t>差（承诺描述差流于形式）得0.5分，不提供的</w:t>
            </w:r>
            <w:r>
              <w:rPr>
                <w:rFonts w:hint="eastAsia"/>
                <w:color w:val="44546A" w:themeColor="text2"/>
                <w:highlight w:val="none"/>
                <w:lang w:val="en-US"/>
                <w14:textFill>
                  <w14:solidFill>
                    <w14:schemeClr w14:val="tx2"/>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296" w:type="dxa"/>
            <w:vMerge w:val="continue"/>
            <w:noWrap w:val="0"/>
            <w:vAlign w:val="center"/>
          </w:tcPr>
          <w:p>
            <w:pPr>
              <w:bidi w:val="0"/>
              <w:spacing w:line="240" w:lineRule="auto"/>
              <w:rPr>
                <w:rFonts w:hint="eastAsia"/>
                <w:color w:val="44546A" w:themeColor="text2"/>
                <w:highlight w:val="none"/>
                <w14:textFill>
                  <w14:solidFill>
                    <w14:schemeClr w14:val="tx2"/>
                  </w14:solidFill>
                </w14:textFill>
              </w:rPr>
            </w:pPr>
          </w:p>
        </w:tc>
        <w:tc>
          <w:tcPr>
            <w:tcW w:w="1842" w:type="dxa"/>
            <w:noWrap w:val="0"/>
            <w:vAlign w:val="center"/>
          </w:tcPr>
          <w:p>
            <w:pPr>
              <w:bidi w:val="0"/>
              <w:spacing w:line="240" w:lineRule="auto"/>
              <w:ind w:left="0" w:leftChars="0" w:firstLine="0" w:firstLineChars="0"/>
              <w:jc w:val="center"/>
              <w:rPr>
                <w:rFonts w:hint="eastAsia"/>
                <w:color w:val="44546A" w:themeColor="text2"/>
                <w:highlight w:val="none"/>
                <w:lang w:eastAsia="zh-CN"/>
                <w14:textFill>
                  <w14:solidFill>
                    <w14:schemeClr w14:val="tx2"/>
                  </w14:solidFill>
                </w14:textFill>
              </w:rPr>
            </w:pPr>
            <w:r>
              <w:rPr>
                <w:rFonts w:hint="eastAsia"/>
                <w:color w:val="44546A" w:themeColor="text2"/>
                <w:highlight w:val="none"/>
                <w:lang w:eastAsia="zh-CN"/>
                <w14:textFill>
                  <w14:solidFill>
                    <w14:schemeClr w14:val="tx2"/>
                  </w14:solidFill>
                </w14:textFill>
              </w:rPr>
              <w:t>综合评价</w:t>
            </w:r>
          </w:p>
          <w:p>
            <w:pPr>
              <w:bidi w:val="0"/>
              <w:spacing w:line="240" w:lineRule="auto"/>
              <w:ind w:left="0" w:leftChars="0" w:firstLine="0" w:firstLineChars="0"/>
              <w:jc w:val="center"/>
              <w:rPr>
                <w:rFonts w:hint="eastAsia"/>
                <w:color w:val="44546A" w:themeColor="text2"/>
                <w:highlight w:val="none"/>
                <w:lang w:val="en-US" w:eastAsia="zh-CN"/>
                <w14:textFill>
                  <w14:solidFill>
                    <w14:schemeClr w14:val="tx2"/>
                  </w14:solidFill>
                </w14:textFill>
              </w:rPr>
            </w:pPr>
            <w:r>
              <w:rPr>
                <w:rFonts w:hint="eastAsia"/>
                <w:color w:val="44546A" w:themeColor="text2"/>
                <w:highlight w:val="none"/>
                <w:lang w:eastAsia="zh-CN"/>
                <w14:textFill>
                  <w14:solidFill>
                    <w14:schemeClr w14:val="tx2"/>
                  </w14:solidFill>
                </w14:textFill>
              </w:rPr>
              <w:t>（</w:t>
            </w:r>
            <w:r>
              <w:rPr>
                <w:rFonts w:hint="eastAsia"/>
                <w:color w:val="44546A" w:themeColor="text2"/>
                <w:highlight w:val="none"/>
                <w:lang w:val="en-US" w:eastAsia="zh-CN"/>
                <w14:textFill>
                  <w14:solidFill>
                    <w14:schemeClr w14:val="tx2"/>
                  </w14:solidFill>
                </w14:textFill>
              </w:rPr>
              <w:t>2分</w:t>
            </w:r>
            <w:r>
              <w:rPr>
                <w:rFonts w:hint="eastAsia"/>
                <w:color w:val="44546A" w:themeColor="text2"/>
                <w:highlight w:val="none"/>
                <w:lang w:eastAsia="zh-CN"/>
                <w14:textFill>
                  <w14:solidFill>
                    <w14:schemeClr w14:val="tx2"/>
                  </w14:solidFill>
                </w14:textFill>
              </w:rPr>
              <w:t>）</w:t>
            </w:r>
          </w:p>
        </w:tc>
        <w:tc>
          <w:tcPr>
            <w:tcW w:w="5783" w:type="dxa"/>
            <w:noWrap w:val="0"/>
            <w:vAlign w:val="center"/>
          </w:tcPr>
          <w:p>
            <w:pPr>
              <w:bidi w:val="0"/>
              <w:spacing w:line="240" w:lineRule="auto"/>
              <w:rPr>
                <w:rFonts w:hint="eastAsia"/>
                <w:color w:val="44546A" w:themeColor="text2"/>
                <w:highlight w:val="none"/>
                <w:lang w:val="en-US" w:eastAsia="en-US"/>
                <w14:textFill>
                  <w14:solidFill>
                    <w14:schemeClr w14:val="tx2"/>
                  </w14:solidFill>
                </w14:textFill>
              </w:rPr>
            </w:pPr>
            <w:r>
              <w:rPr>
                <w:rFonts w:hint="eastAsia"/>
                <w:color w:val="44546A" w:themeColor="text2"/>
                <w:highlight w:val="none"/>
                <w:lang w:val="en-US" w:eastAsia="zh-CN"/>
                <w14:textFill>
                  <w14:solidFill>
                    <w14:schemeClr w14:val="tx2"/>
                  </w14:solidFill>
                </w14:textFill>
              </w:rPr>
              <w:t>1、评标小组</w:t>
            </w:r>
            <w:r>
              <w:rPr>
                <w:rFonts w:hint="default"/>
                <w:color w:val="44546A" w:themeColor="text2"/>
                <w:highlight w:val="none"/>
                <w:lang w:val="en-US" w:eastAsia="zh-CN"/>
                <w14:textFill>
                  <w14:solidFill>
                    <w14:schemeClr w14:val="tx2"/>
                  </w14:solidFill>
                </w14:textFill>
              </w:rPr>
              <w:t>根据</w:t>
            </w:r>
            <w:r>
              <w:rPr>
                <w:rFonts w:hint="eastAsia"/>
                <w:color w:val="44546A" w:themeColor="text2"/>
                <w:highlight w:val="none"/>
                <w:lang w:val="en-US" w:eastAsia="zh-CN"/>
                <w14:textFill>
                  <w14:solidFill>
                    <w14:schemeClr w14:val="tx2"/>
                  </w14:solidFill>
                </w14:textFill>
              </w:rPr>
              <w:t>响应</w:t>
            </w:r>
            <w:r>
              <w:rPr>
                <w:rFonts w:hint="default"/>
                <w:color w:val="44546A" w:themeColor="text2"/>
                <w:highlight w:val="none"/>
                <w:lang w:val="en-US" w:eastAsia="zh-CN"/>
                <w14:textFill>
                  <w14:solidFill>
                    <w14:schemeClr w14:val="tx2"/>
                  </w14:solidFill>
                </w14:textFill>
              </w:rPr>
              <w:t>文件</w:t>
            </w:r>
            <w:r>
              <w:rPr>
                <w:rFonts w:hint="eastAsia"/>
                <w:color w:val="44546A" w:themeColor="text2"/>
                <w:highlight w:val="none"/>
                <w:lang w:val="en-US" w:eastAsia="zh-CN"/>
                <w14:textFill>
                  <w14:solidFill>
                    <w14:schemeClr w14:val="tx2"/>
                  </w14:solidFill>
                </w14:textFill>
              </w:rPr>
              <w:t>整体响应内容</w:t>
            </w:r>
            <w:r>
              <w:rPr>
                <w:rFonts w:hint="default"/>
                <w:color w:val="44546A" w:themeColor="text2"/>
                <w:highlight w:val="none"/>
                <w:lang w:val="en-US" w:eastAsia="zh-CN"/>
                <w14:textFill>
                  <w14:solidFill>
                    <w14:schemeClr w14:val="tx2"/>
                  </w14:solidFill>
                </w14:textFill>
              </w:rPr>
              <w:t>的详实、合理、符合性及响应程度等横向比较打分：</w:t>
            </w:r>
            <w:r>
              <w:rPr>
                <w:rFonts w:hint="eastAsia"/>
                <w:color w:val="44546A" w:themeColor="text2"/>
                <w:highlight w:val="none"/>
                <w:lang w:val="en-US" w:eastAsia="zh-CN"/>
                <w14:textFill>
                  <w14:solidFill>
                    <w14:schemeClr w14:val="tx2"/>
                  </w14:solidFill>
                </w14:textFill>
              </w:rPr>
              <w:t>优秀（整体响应内容非常</w:t>
            </w:r>
            <w:r>
              <w:rPr>
                <w:rFonts w:hint="default"/>
                <w:color w:val="44546A" w:themeColor="text2"/>
                <w:highlight w:val="none"/>
                <w:lang w:val="en-US" w:eastAsia="zh-CN"/>
                <w14:textFill>
                  <w14:solidFill>
                    <w14:schemeClr w14:val="tx2"/>
                  </w14:solidFill>
                </w14:textFill>
              </w:rPr>
              <w:t>详实、合理</w:t>
            </w:r>
            <w:r>
              <w:rPr>
                <w:rFonts w:hint="eastAsia"/>
                <w:color w:val="44546A" w:themeColor="text2"/>
                <w:highlight w:val="none"/>
                <w:lang w:val="en-US" w:eastAsia="zh-CN"/>
                <w14:textFill>
                  <w14:solidFill>
                    <w14:schemeClr w14:val="tx2"/>
                  </w14:solidFill>
                </w14:textFill>
              </w:rPr>
              <w:t>、符合项目实际情况，响应程度非常好）</w:t>
            </w:r>
            <w:r>
              <w:rPr>
                <w:rFonts w:hint="default"/>
                <w:color w:val="44546A" w:themeColor="text2"/>
                <w:highlight w:val="none"/>
                <w:lang w:val="en-US" w:eastAsia="zh-CN"/>
                <w14:textFill>
                  <w14:solidFill>
                    <w14:schemeClr w14:val="tx2"/>
                  </w14:solidFill>
                </w14:textFill>
              </w:rPr>
              <w:t>得</w:t>
            </w:r>
            <w:r>
              <w:rPr>
                <w:rFonts w:hint="eastAsia"/>
                <w:color w:val="44546A" w:themeColor="text2"/>
                <w:highlight w:val="none"/>
                <w:lang w:val="en-US" w:eastAsia="zh-CN"/>
                <w14:textFill>
                  <w14:solidFill>
                    <w14:schemeClr w14:val="tx2"/>
                  </w14:solidFill>
                </w14:textFill>
              </w:rPr>
              <w:t>2</w:t>
            </w:r>
            <w:r>
              <w:rPr>
                <w:rFonts w:hint="default"/>
                <w:color w:val="44546A" w:themeColor="text2"/>
                <w:highlight w:val="none"/>
                <w:lang w:val="en-US" w:eastAsia="zh-CN"/>
                <w14:textFill>
                  <w14:solidFill>
                    <w14:schemeClr w14:val="tx2"/>
                  </w14:solidFill>
                </w14:textFill>
              </w:rPr>
              <w:t>分，良</w:t>
            </w:r>
            <w:r>
              <w:rPr>
                <w:rFonts w:hint="eastAsia"/>
                <w:color w:val="44546A" w:themeColor="text2"/>
                <w:highlight w:val="none"/>
                <w:lang w:val="en-US" w:eastAsia="zh-CN"/>
                <w14:textFill>
                  <w14:solidFill>
                    <w14:schemeClr w14:val="tx2"/>
                  </w14:solidFill>
                </w14:textFill>
              </w:rPr>
              <w:t>好（整体响应内容较</w:t>
            </w:r>
            <w:r>
              <w:rPr>
                <w:rFonts w:hint="default"/>
                <w:color w:val="44546A" w:themeColor="text2"/>
                <w:highlight w:val="none"/>
                <w:lang w:val="en-US" w:eastAsia="zh-CN"/>
                <w14:textFill>
                  <w14:solidFill>
                    <w14:schemeClr w14:val="tx2"/>
                  </w14:solidFill>
                </w14:textFill>
              </w:rPr>
              <w:t>详实、合理</w:t>
            </w:r>
            <w:r>
              <w:rPr>
                <w:rFonts w:hint="eastAsia"/>
                <w:color w:val="44546A" w:themeColor="text2"/>
                <w:highlight w:val="none"/>
                <w:lang w:val="en-US" w:eastAsia="zh-CN"/>
                <w14:textFill>
                  <w14:solidFill>
                    <w14:schemeClr w14:val="tx2"/>
                  </w14:solidFill>
                </w14:textFill>
              </w:rPr>
              <w:t>、符合项目实际情况，响应程度较好）</w:t>
            </w:r>
            <w:r>
              <w:rPr>
                <w:rFonts w:hint="default"/>
                <w:color w:val="44546A" w:themeColor="text2"/>
                <w:highlight w:val="none"/>
                <w:lang w:val="en-US" w:eastAsia="zh-CN"/>
                <w14:textFill>
                  <w14:solidFill>
                    <w14:schemeClr w14:val="tx2"/>
                  </w14:solidFill>
                </w14:textFill>
              </w:rPr>
              <w:t>得</w:t>
            </w:r>
            <w:r>
              <w:rPr>
                <w:rFonts w:hint="eastAsia"/>
                <w:color w:val="44546A" w:themeColor="text2"/>
                <w:highlight w:val="none"/>
                <w:lang w:val="en-US" w:eastAsia="zh-CN"/>
                <w14:textFill>
                  <w14:solidFill>
                    <w14:schemeClr w14:val="tx2"/>
                  </w14:solidFill>
                </w14:textFill>
              </w:rPr>
              <w:t>1</w:t>
            </w:r>
            <w:r>
              <w:rPr>
                <w:rFonts w:hint="default"/>
                <w:color w:val="44546A" w:themeColor="text2"/>
                <w:highlight w:val="none"/>
                <w:lang w:val="en-US" w:eastAsia="zh-CN"/>
                <w14:textFill>
                  <w14:solidFill>
                    <w14:schemeClr w14:val="tx2"/>
                  </w14:solidFill>
                </w14:textFill>
              </w:rPr>
              <w:t>分，一般</w:t>
            </w:r>
            <w:r>
              <w:rPr>
                <w:rFonts w:hint="eastAsia"/>
                <w:color w:val="44546A" w:themeColor="text2"/>
                <w:highlight w:val="none"/>
                <w:lang w:val="en-US" w:eastAsia="zh-CN"/>
                <w14:textFill>
                  <w14:solidFill>
                    <w14:schemeClr w14:val="tx2"/>
                  </w14:solidFill>
                </w14:textFill>
              </w:rPr>
              <w:t>（整体响应内容及响应程度一般或不完善）</w:t>
            </w:r>
            <w:r>
              <w:rPr>
                <w:rFonts w:hint="default"/>
                <w:color w:val="44546A" w:themeColor="text2"/>
                <w:highlight w:val="none"/>
                <w:lang w:val="en-US" w:eastAsia="zh-CN"/>
                <w14:textFill>
                  <w14:solidFill>
                    <w14:schemeClr w14:val="tx2"/>
                  </w14:solidFill>
                </w14:textFill>
              </w:rPr>
              <w:t>得</w:t>
            </w:r>
            <w:r>
              <w:rPr>
                <w:rFonts w:hint="eastAsia"/>
                <w:color w:val="44546A" w:themeColor="text2"/>
                <w:highlight w:val="none"/>
                <w:lang w:val="en-US" w:eastAsia="zh-CN"/>
                <w14:textFill>
                  <w14:solidFill>
                    <w14:schemeClr w14:val="tx2"/>
                  </w14:solidFill>
                </w14:textFill>
              </w:rPr>
              <w:t>0.5</w:t>
            </w:r>
            <w:r>
              <w:rPr>
                <w:rFonts w:hint="default"/>
                <w:color w:val="44546A" w:themeColor="text2"/>
                <w:highlight w:val="none"/>
                <w:lang w:val="en-US" w:eastAsia="zh-CN"/>
                <w14:textFill>
                  <w14:solidFill>
                    <w14:schemeClr w14:val="tx2"/>
                  </w14:solidFill>
                </w14:textFill>
              </w:rPr>
              <w:t>分。</w:t>
            </w:r>
          </w:p>
        </w:tc>
      </w:tr>
    </w:tbl>
    <w:p>
      <w:pPr>
        <w:spacing w:line="240" w:lineRule="auto"/>
        <w:ind w:firstLine="371" w:firstLineChars="177"/>
        <w:rPr>
          <w:rFonts w:hint="eastAsia"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 xml:space="preserve"> 注：（1）此上要求提供的证明材料均可以扫描件或复印件形式在投标文件中提供。</w:t>
      </w:r>
    </w:p>
    <w:p>
      <w:pPr>
        <w:spacing w:line="240" w:lineRule="auto"/>
        <w:ind w:firstLine="371" w:firstLineChars="177"/>
        <w:rPr>
          <w:rFonts w:hint="eastAsia" w:ascii="宋体" w:hAnsi="宋体" w:eastAsia="宋体"/>
        </w:rPr>
      </w:pPr>
      <w:r>
        <w:rPr>
          <w:rFonts w:hint="eastAsia" w:ascii="宋体" w:hAnsi="宋体" w:eastAsia="宋体"/>
        </w:rPr>
        <w:t>（2）凡参加本办法评分的各种证书证件、证明、合同等，供应商必须在响应文件中提供完整的扫描件，否则不予认同。</w:t>
      </w:r>
    </w:p>
    <w:p>
      <w:pPr>
        <w:spacing w:line="240" w:lineRule="auto"/>
        <w:ind w:firstLine="371" w:firstLineChars="177"/>
        <w:rPr>
          <w:rFonts w:hint="eastAsia" w:ascii="宋体" w:hAnsi="宋体" w:eastAsia="宋体"/>
        </w:rPr>
      </w:pPr>
      <w:r>
        <w:rPr>
          <w:rFonts w:hint="eastAsia" w:ascii="宋体" w:hAnsi="宋体" w:eastAsia="宋体"/>
        </w:rPr>
        <w:t>（3）任何时候若发现响应文件涉及的证件弄虚作假者，将取消投标和中标资格。</w:t>
      </w:r>
    </w:p>
    <w:p>
      <w:pPr>
        <w:spacing w:line="240" w:lineRule="auto"/>
        <w:ind w:firstLine="371" w:firstLineChars="177"/>
        <w:rPr>
          <w:rFonts w:hint="eastAsia"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报价得分与技术部分、商务部分得分之和为投标人的评审总得分。评审总得分由高到低排序确定中标供应商。得分相同时，按报价由低到高排序。得分且报价相同的，按技术指标优劣顺序排列。</w:t>
      </w:r>
    </w:p>
    <w:p>
      <w:pPr>
        <w:spacing w:line="240" w:lineRule="auto"/>
        <w:ind w:firstLine="371" w:firstLineChars="177"/>
        <w:rPr>
          <w:rFonts w:hint="eastAsia" w:ascii="宋体" w:hAnsi="宋体" w:eastAsia="宋体"/>
        </w:rPr>
      </w:pPr>
      <w:r>
        <w:rPr>
          <w:rFonts w:hint="eastAsia" w:ascii="宋体" w:hAnsi="宋体" w:eastAsia="宋体"/>
        </w:rPr>
        <w:t>3.</w:t>
      </w:r>
      <w:r>
        <w:rPr>
          <w:rFonts w:hint="eastAsia" w:ascii="宋体" w:hAnsi="宋体" w:eastAsia="宋体"/>
        </w:rPr>
        <w:tab/>
      </w:r>
      <w:r>
        <w:rPr>
          <w:rFonts w:hint="eastAsia" w:ascii="宋体" w:hAnsi="宋体" w:eastAsia="宋体"/>
        </w:rPr>
        <w:t>有效投标人的最终得分为所有评委所打分值的算术平均值，计分过程中按四舍五入的法则,最终结果取至小数点后 2 位。</w:t>
      </w:r>
      <w:bookmarkEnd w:id="800"/>
      <w:bookmarkEnd w:id="801"/>
      <w:bookmarkEnd w:id="802"/>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rPr>
      </w:pPr>
      <w:bookmarkStart w:id="803" w:name="_Toc27149"/>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794"/>
      <w:bookmarkEnd w:id="795"/>
      <w:bookmarkEnd w:id="796"/>
      <w:bookmarkEnd w:id="797"/>
      <w:bookmarkEnd w:id="798"/>
      <w:bookmarkEnd w:id="799"/>
      <w:bookmarkEnd w:id="803"/>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提供相同品牌产品且通过资格审查、符合性审查的不同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参加同一合同项下投标的，按一家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计算，评审后得分最高的同品牌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获得</w:t>
      </w:r>
      <w:r>
        <w:rPr>
          <w:rFonts w:hint="eastAsia" w:ascii="宋体" w:hAnsi="宋体" w:eastAsia="宋体" w:cs="宋体"/>
          <w:color w:val="auto"/>
          <w:szCs w:val="21"/>
          <w:lang w:eastAsia="zh-CN" w:bidi="en-US"/>
        </w:rPr>
        <w:t>成交人</w:t>
      </w:r>
      <w:r>
        <w:rPr>
          <w:rFonts w:hint="eastAsia" w:ascii="宋体" w:hAnsi="宋体" w:eastAsia="宋体" w:cs="宋体"/>
          <w:color w:val="auto"/>
          <w:szCs w:val="21"/>
          <w:lang w:bidi="en-US"/>
        </w:rPr>
        <w:t>推荐资格；评审得分相同的采取随机抽取方式确定，其他同品牌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不作为</w:t>
      </w:r>
      <w:r>
        <w:rPr>
          <w:rFonts w:hint="eastAsia" w:ascii="宋体" w:hAnsi="宋体" w:eastAsia="宋体" w:cs="宋体"/>
          <w:color w:val="auto"/>
          <w:szCs w:val="21"/>
          <w:lang w:eastAsia="zh-CN" w:bidi="en-US"/>
        </w:rPr>
        <w:t>成交</w:t>
      </w:r>
      <w:r>
        <w:rPr>
          <w:rFonts w:hint="eastAsia" w:ascii="宋体" w:hAnsi="宋体" w:eastAsia="宋体" w:cs="宋体"/>
          <w:color w:val="auto"/>
          <w:szCs w:val="21"/>
          <w:lang w:bidi="en-US"/>
        </w:rPr>
        <w:t>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eastAsia="zh-CN" w:bidi="en-US"/>
        </w:rPr>
        <w:t>本项目为</w:t>
      </w:r>
      <w:r>
        <w:rPr>
          <w:rFonts w:hint="eastAsia" w:ascii="宋体" w:hAnsi="宋体" w:eastAsia="宋体" w:cs="宋体"/>
          <w:color w:val="auto"/>
          <w:szCs w:val="21"/>
          <w:lang w:bidi="en-US"/>
        </w:rPr>
        <w:t>非单一产品采购项目，多家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提供的核心产品品牌</w:t>
      </w:r>
      <w:r>
        <w:rPr>
          <w:rFonts w:hint="eastAsia" w:ascii="宋体" w:hAnsi="宋体" w:eastAsia="宋体" w:cs="宋体"/>
          <w:color w:val="auto"/>
          <w:szCs w:val="21"/>
          <w:lang w:eastAsia="zh-CN" w:bidi="en-US"/>
        </w:rPr>
        <w:t>全部</w:t>
      </w:r>
      <w:r>
        <w:rPr>
          <w:rFonts w:hint="eastAsia" w:ascii="宋体" w:hAnsi="宋体" w:eastAsia="宋体" w:cs="宋体"/>
          <w:color w:val="auto"/>
          <w:szCs w:val="21"/>
          <w:lang w:bidi="en-US"/>
        </w:rPr>
        <w:t>相同的，按前款规定处理</w:t>
      </w:r>
      <w:r>
        <w:rPr>
          <w:rFonts w:hint="eastAsia" w:ascii="宋体" w:hAnsi="宋体" w:eastAsia="宋体" w:cs="宋体"/>
          <w:color w:val="auto"/>
          <w:szCs w:val="21"/>
          <w:lang w:eastAsia="zh-CN" w:bidi="en-US"/>
        </w:rPr>
        <w:t>，否则，视为按多家供应商计算</w:t>
      </w:r>
      <w:r>
        <w:rPr>
          <w:rFonts w:hint="eastAsia" w:ascii="宋体" w:hAnsi="宋体" w:eastAsia="宋体" w:cs="宋体"/>
          <w:color w:val="auto"/>
          <w:sz w:val="21"/>
          <w:szCs w:val="21"/>
          <w:highlight w:val="none"/>
          <w:lang w:eastAsia="zh-CN"/>
        </w:rPr>
        <w:t>（非单一产品采购时适用）</w:t>
      </w:r>
      <w:r>
        <w:rPr>
          <w:rFonts w:hint="eastAsia" w:ascii="宋体" w:hAnsi="宋体" w:eastAsia="宋体" w:cs="宋体"/>
          <w:color w:val="auto"/>
          <w:szCs w:val="21"/>
          <w:lang w:eastAsia="zh-CN" w:bidi="en-US"/>
        </w:rPr>
        <w:t>。</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lang w:bidi="en-US"/>
        </w:rPr>
        <w:t>本次评审采用综合评分法。</w:t>
      </w:r>
      <w:r>
        <w:rPr>
          <w:rFonts w:hint="eastAsia" w:ascii="宋体" w:hAnsi="宋体" w:eastAsia="宋体" w:cs="宋体"/>
          <w:color w:val="auto"/>
          <w:szCs w:val="21"/>
          <w:lang w:eastAsia="zh-CN" w:bidi="en-US"/>
        </w:rPr>
        <w:t>评标委员会</w:t>
      </w:r>
      <w:r>
        <w:rPr>
          <w:rFonts w:hint="eastAsia" w:ascii="宋体" w:hAnsi="宋体" w:eastAsia="宋体" w:cs="宋体"/>
          <w:color w:val="auto"/>
          <w:szCs w:val="21"/>
          <w:lang w:bidi="en-US"/>
        </w:rPr>
        <w:t>对满足</w:t>
      </w:r>
      <w:r>
        <w:rPr>
          <w:rFonts w:hint="eastAsia" w:ascii="宋体" w:hAnsi="宋体" w:eastAsia="宋体" w:cs="宋体"/>
          <w:color w:val="auto"/>
          <w:szCs w:val="21"/>
          <w:lang w:eastAsia="zh-CN" w:bidi="en-US"/>
        </w:rPr>
        <w:t>招标文件</w:t>
      </w:r>
      <w:r>
        <w:rPr>
          <w:rFonts w:hint="eastAsia" w:ascii="宋体" w:hAnsi="宋体" w:eastAsia="宋体" w:cs="宋体"/>
          <w:color w:val="auto"/>
          <w:szCs w:val="21"/>
          <w:lang w:bidi="en-US"/>
        </w:rPr>
        <w:t>实质性要求的</w:t>
      </w:r>
      <w:r>
        <w:rPr>
          <w:rFonts w:hint="eastAsia" w:ascii="宋体" w:hAnsi="宋体" w:eastAsia="宋体" w:cs="宋体"/>
          <w:color w:val="auto"/>
          <w:szCs w:val="21"/>
          <w:lang w:eastAsia="zh-CN" w:bidi="en-US"/>
        </w:rPr>
        <w:t>投标文件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804" w:name="_Toc152045601"/>
      <w:bookmarkStart w:id="805" w:name="_Toc26131"/>
      <w:bookmarkStart w:id="806" w:name="_Toc152042378"/>
      <w:bookmarkStart w:id="807" w:name="_Toc466298140"/>
      <w:bookmarkStart w:id="808" w:name="_Toc490667876"/>
      <w:bookmarkStart w:id="809" w:name="_Toc455867817"/>
      <w:bookmarkStart w:id="810" w:name="_Toc144974568"/>
      <w:bookmarkStart w:id="811" w:name="_Toc24936"/>
      <w:bookmarkStart w:id="812" w:name="_Toc281405529"/>
      <w:bookmarkStart w:id="813" w:name="_Toc455080157"/>
      <w:bookmarkStart w:id="814" w:name="_Toc20837"/>
      <w:bookmarkStart w:id="815" w:name="_Toc29362"/>
      <w:bookmarkStart w:id="816" w:name="_Toc6612"/>
      <w:bookmarkStart w:id="817" w:name="_Toc318450723"/>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sz w:val="21"/>
          <w:szCs w:val="21"/>
        </w:rPr>
        <w:t>经评标委员会初步评审后有效投标不足3个的，评标委员会应予废标。</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评审标准</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Start w:id="818" w:name="_Toc15813"/>
      <w:bookmarkStart w:id="819" w:name="_Toc24558"/>
      <w:bookmarkStart w:id="820" w:name="_Toc152045602"/>
      <w:bookmarkStart w:id="821" w:name="_Toc466298141"/>
      <w:bookmarkStart w:id="822" w:name="_Toc152042379"/>
      <w:bookmarkStart w:id="823" w:name="_Toc19934"/>
      <w:bookmarkStart w:id="824" w:name="_Toc281405530"/>
      <w:bookmarkStart w:id="825" w:name="_Toc25637"/>
      <w:bookmarkStart w:id="826" w:name="_Toc455867818"/>
      <w:bookmarkStart w:id="827" w:name="_Toc21120"/>
      <w:bookmarkStart w:id="828" w:name="_Toc2867"/>
      <w:bookmarkStart w:id="829" w:name="_Toc318450724"/>
      <w:bookmarkStart w:id="830" w:name="_Toc31037"/>
      <w:bookmarkStart w:id="831" w:name="_Toc455080158"/>
      <w:bookmarkStart w:id="832" w:name="_Toc490667877"/>
      <w:bookmarkStart w:id="833" w:name="_Toc144974569"/>
      <w:bookmarkStart w:id="834" w:name="_Toc11223"/>
      <w:bookmarkStart w:id="835" w:name="_Toc6711"/>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 初步评审标准</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符合</w:t>
      </w:r>
      <w:r>
        <w:rPr>
          <w:rFonts w:hint="eastAsia" w:ascii="宋体" w:hAnsi="宋体" w:eastAsia="宋体" w:cs="宋体"/>
          <w:color w:val="auto"/>
          <w:szCs w:val="21"/>
        </w:rPr>
        <w:t>性检查评审标准：见评审办法前附表。</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36" w:name="_Toc281405531"/>
      <w:bookmarkStart w:id="837" w:name="_Toc30189"/>
      <w:bookmarkStart w:id="838" w:name="_Toc12824"/>
      <w:bookmarkStart w:id="839" w:name="_Toc12013"/>
      <w:bookmarkStart w:id="840" w:name="_Toc455867819"/>
      <w:bookmarkStart w:id="841" w:name="_Toc24825"/>
      <w:bookmarkStart w:id="842" w:name="_Toc25492"/>
      <w:bookmarkStart w:id="843" w:name="_Toc11061"/>
      <w:bookmarkStart w:id="844" w:name="_Toc26179"/>
      <w:bookmarkStart w:id="845" w:name="_Toc7284"/>
      <w:bookmarkStart w:id="846" w:name="_Toc490667878"/>
      <w:bookmarkStart w:id="847" w:name="_Toc144974570"/>
      <w:bookmarkStart w:id="848" w:name="_Toc22439"/>
      <w:bookmarkStart w:id="849" w:name="_Toc152045603"/>
      <w:bookmarkStart w:id="850" w:name="_Toc455080159"/>
      <w:bookmarkStart w:id="851" w:name="_Toc466298142"/>
      <w:bookmarkStart w:id="852" w:name="_Toc1637"/>
      <w:bookmarkStart w:id="853" w:name="_Toc21970"/>
      <w:bookmarkStart w:id="854" w:name="_Toc152042380"/>
      <w:bookmarkStart w:id="855" w:name="_Toc318450725"/>
      <w:r>
        <w:rPr>
          <w:rFonts w:hint="eastAsia" w:ascii="宋体" w:hAnsi="宋体" w:eastAsia="宋体" w:cs="宋体"/>
          <w:b/>
          <w:bCs/>
          <w:color w:val="auto"/>
          <w:sz w:val="21"/>
          <w:szCs w:val="21"/>
        </w:rPr>
        <w:t>2.2 分值构成与评分标准</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pPr>
        <w:pStyle w:val="46"/>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1"/>
          <w:szCs w:val="21"/>
        </w:rPr>
      </w:pPr>
      <w:bookmarkStart w:id="856" w:name="_Toc455080160"/>
      <w:bookmarkStart w:id="857" w:name="_Toc318450726"/>
      <w:bookmarkStart w:id="858" w:name="_Toc281405532"/>
      <w:bookmarkStart w:id="859" w:name="_Toc18127"/>
      <w:bookmarkStart w:id="860" w:name="_Toc29297"/>
      <w:bookmarkStart w:id="861" w:name="_Toc17308"/>
      <w:bookmarkStart w:id="862" w:name="_Toc9397"/>
      <w:bookmarkStart w:id="863" w:name="_Toc455867820"/>
      <w:bookmarkStart w:id="864" w:name="_Toc490667879"/>
      <w:bookmarkStart w:id="865" w:name="_Toc32314"/>
      <w:bookmarkStart w:id="866" w:name="_Toc16479"/>
      <w:bookmarkStart w:id="867" w:name="_Toc466298143"/>
      <w:r>
        <w:rPr>
          <w:rFonts w:hint="eastAsia" w:ascii="宋体" w:hAnsi="宋体" w:eastAsia="宋体" w:cs="宋体"/>
          <w:b/>
          <w:bCs/>
          <w:color w:val="auto"/>
          <w:sz w:val="21"/>
          <w:szCs w:val="21"/>
        </w:rPr>
        <w:t>3. 评审程序</w:t>
      </w:r>
      <w:bookmarkEnd w:id="856"/>
      <w:bookmarkEnd w:id="857"/>
      <w:bookmarkEnd w:id="858"/>
      <w:bookmarkEnd w:id="859"/>
      <w:bookmarkEnd w:id="860"/>
      <w:bookmarkEnd w:id="861"/>
      <w:bookmarkEnd w:id="862"/>
      <w:bookmarkEnd w:id="863"/>
      <w:bookmarkEnd w:id="864"/>
      <w:bookmarkEnd w:id="865"/>
      <w:bookmarkEnd w:id="866"/>
      <w:bookmarkEnd w:id="867"/>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68" w:name="_Toc466298144"/>
      <w:bookmarkStart w:id="869" w:name="_Toc281405533"/>
      <w:bookmarkStart w:id="870" w:name="_Toc29614"/>
      <w:bookmarkStart w:id="871" w:name="_Toc2410"/>
      <w:bookmarkStart w:id="872" w:name="_Toc14633"/>
      <w:bookmarkStart w:id="873" w:name="_Toc30986"/>
      <w:bookmarkStart w:id="874" w:name="_Toc455867821"/>
      <w:bookmarkStart w:id="875" w:name="_Toc318450727"/>
      <w:bookmarkStart w:id="876" w:name="_Toc490667880"/>
      <w:bookmarkStart w:id="877" w:name="_Toc29092"/>
      <w:bookmarkStart w:id="878" w:name="_Toc16892"/>
      <w:bookmarkStart w:id="879" w:name="_Toc7272"/>
      <w:bookmarkStart w:id="880" w:name="_Toc5427"/>
      <w:bookmarkStart w:id="881" w:name="_Toc132"/>
      <w:bookmarkStart w:id="882" w:name="_Toc16370"/>
      <w:bookmarkStart w:id="883" w:name="_Toc18886"/>
      <w:bookmarkStart w:id="884" w:name="_Toc455080161"/>
      <w:bookmarkStart w:id="885" w:name="_Toc9433"/>
      <w:r>
        <w:rPr>
          <w:rFonts w:hint="eastAsia" w:ascii="宋体" w:hAnsi="宋体" w:eastAsia="宋体" w:cs="宋体"/>
          <w:b/>
          <w:bCs/>
          <w:color w:val="auto"/>
          <w:sz w:val="21"/>
          <w:szCs w:val="21"/>
        </w:rPr>
        <w:t>3.1 初步评审</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rPr>
      </w:pPr>
      <w:bookmarkStart w:id="886" w:name="_Toc490667881"/>
      <w:bookmarkStart w:id="887" w:name="_Toc7121"/>
      <w:bookmarkStart w:id="888" w:name="_Toc22101"/>
      <w:bookmarkStart w:id="889" w:name="_Toc10692"/>
      <w:bookmarkStart w:id="890" w:name="_Toc318450728"/>
      <w:bookmarkStart w:id="891" w:name="_Toc12406"/>
      <w:bookmarkStart w:id="892" w:name="_Toc16964"/>
      <w:bookmarkStart w:id="893" w:name="_Toc26280"/>
      <w:bookmarkStart w:id="894" w:name="_Toc21570"/>
      <w:bookmarkStart w:id="895" w:name="_Toc466298145"/>
      <w:bookmarkStart w:id="896" w:name="_Toc21032"/>
      <w:bookmarkStart w:id="897" w:name="_Toc13386"/>
      <w:bookmarkStart w:id="898" w:name="_Toc281405534"/>
      <w:bookmarkStart w:id="899" w:name="_Toc26049"/>
      <w:bookmarkStart w:id="900" w:name="_Toc455080162"/>
      <w:bookmarkStart w:id="901" w:name="_Toc455867822"/>
      <w:r>
        <w:rPr>
          <w:rFonts w:hint="eastAsia" w:ascii="宋体" w:hAnsi="宋体" w:eastAsia="宋体" w:cs="宋体"/>
          <w:color w:val="auto"/>
          <w:sz w:val="21"/>
          <w:szCs w:val="21"/>
        </w:rPr>
        <w:t>3.1.1只有通过资格审查的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才能进入</w:t>
      </w:r>
      <w:r>
        <w:rPr>
          <w:rFonts w:hint="eastAsia" w:ascii="宋体" w:hAnsi="宋体" w:eastAsia="宋体" w:cs="宋体"/>
          <w:color w:val="auto"/>
          <w:sz w:val="21"/>
          <w:szCs w:val="21"/>
          <w:lang w:eastAsia="zh-CN"/>
        </w:rPr>
        <w:t>符合性评审</w:t>
      </w:r>
      <w:r>
        <w:rPr>
          <w:rFonts w:hint="eastAsia" w:ascii="宋体" w:hAnsi="宋体" w:eastAsia="宋体" w:cs="宋体"/>
          <w:color w:val="auto"/>
          <w:sz w:val="21"/>
          <w:szCs w:val="21"/>
        </w:rPr>
        <w:t>。评标委员会依据</w:t>
      </w:r>
      <w:r>
        <w:rPr>
          <w:rFonts w:hint="eastAsia" w:ascii="宋体" w:hAnsi="宋体" w:eastAsia="宋体" w:cs="宋体"/>
          <w:color w:val="auto"/>
          <w:sz w:val="21"/>
          <w:szCs w:val="21"/>
          <w:lang w:val="en-US" w:eastAsia="zh-CN"/>
        </w:rPr>
        <w:t>2.1.2</w:t>
      </w:r>
      <w:r>
        <w:rPr>
          <w:rFonts w:hint="eastAsia" w:ascii="宋体" w:hAnsi="宋体" w:eastAsia="宋体" w:cs="宋体"/>
          <w:color w:val="auto"/>
          <w:sz w:val="21"/>
          <w:szCs w:val="21"/>
        </w:rPr>
        <w:t>规定的内容和标准对</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进行</w:t>
      </w:r>
      <w:r>
        <w:rPr>
          <w:rFonts w:hint="eastAsia" w:ascii="宋体" w:hAnsi="宋体" w:eastAsia="宋体" w:cs="宋体"/>
          <w:color w:val="auto"/>
          <w:sz w:val="21"/>
          <w:szCs w:val="21"/>
          <w:lang w:eastAsia="zh-CN"/>
        </w:rPr>
        <w:t>符合性审查</w:t>
      </w:r>
      <w:r>
        <w:rPr>
          <w:rFonts w:hint="eastAsia" w:ascii="宋体" w:hAnsi="宋体" w:eastAsia="宋体" w:cs="宋体"/>
          <w:color w:val="auto"/>
          <w:sz w:val="21"/>
          <w:szCs w:val="21"/>
        </w:rPr>
        <w:t>。</w:t>
      </w:r>
      <w:r>
        <w:rPr>
          <w:rFonts w:hint="eastAsia" w:ascii="宋体" w:hAnsi="宋体" w:eastAsia="宋体" w:cs="宋体"/>
          <w:b/>
          <w:bCs/>
          <w:color w:val="auto"/>
          <w:sz w:val="21"/>
          <w:szCs w:val="21"/>
        </w:rPr>
        <w:t>有一项不符合评审标准的，其投标做无效</w:t>
      </w: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处理，不得进入详细评审。</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3.1.2 供应商有以下情形之一的，其</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作无效处理：</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）串通或弄虚作假或有其他违法行为的；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）不按</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要求澄清、说明或补正的；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）未按规定格式填写、内容不全或关键字迹模糊、无法辨认的；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附有采购人不能接受的条件；</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）不符合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规定的其他实质性要求。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02" w:name="_Toc15580"/>
      <w:bookmarkStart w:id="903" w:name="_Toc23332"/>
      <w:r>
        <w:rPr>
          <w:rFonts w:hint="eastAsia" w:ascii="宋体" w:hAnsi="宋体" w:eastAsia="宋体" w:cs="宋体"/>
          <w:b/>
          <w:bCs/>
          <w:color w:val="auto"/>
          <w:sz w:val="21"/>
          <w:szCs w:val="21"/>
        </w:rPr>
        <w:t>3.2 详细评审</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3.2.1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按本章第2.2款规定的量化因素和分值进行打分，并计算出综合评分得分。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3.2.4在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过程中，凡遇到</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中无界定或界定不清、前后不一致使</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意见有分歧且又难以协商一致的问题，均由</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予以表决，获半数以上同意的即为通过，未获半数同意的即为否决。</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04" w:name="_Toc331"/>
      <w:bookmarkStart w:id="905" w:name="_Toc11958"/>
      <w:bookmarkStart w:id="906" w:name="_Toc5252"/>
      <w:bookmarkStart w:id="907" w:name="_Toc10153"/>
      <w:bookmarkStart w:id="908" w:name="_Toc455080163"/>
      <w:bookmarkStart w:id="909" w:name="_Toc27692"/>
      <w:bookmarkStart w:id="910" w:name="_Toc281405535"/>
      <w:bookmarkStart w:id="911" w:name="_Toc2657"/>
      <w:bookmarkStart w:id="912" w:name="_Toc8342"/>
      <w:bookmarkStart w:id="913" w:name="_Toc24862"/>
      <w:bookmarkStart w:id="914" w:name="_Toc8813"/>
      <w:bookmarkStart w:id="915" w:name="_Toc490667882"/>
      <w:bookmarkStart w:id="916" w:name="_Toc12374"/>
      <w:bookmarkStart w:id="917" w:name="_Toc455867823"/>
      <w:bookmarkStart w:id="918" w:name="_Toc318450729"/>
      <w:bookmarkStart w:id="919" w:name="_Toc466298146"/>
      <w:bookmarkStart w:id="920" w:name="_Toc22084"/>
      <w:bookmarkStart w:id="921" w:name="_Toc28633"/>
      <w:r>
        <w:rPr>
          <w:rFonts w:hint="eastAsia" w:ascii="宋体" w:hAnsi="宋体" w:eastAsia="宋体" w:cs="宋体"/>
          <w:b/>
          <w:bCs/>
          <w:color w:val="auto"/>
          <w:sz w:val="21"/>
          <w:szCs w:val="21"/>
        </w:rPr>
        <w:t xml:space="preserve">3.3 </w:t>
      </w:r>
      <w:r>
        <w:rPr>
          <w:rFonts w:hint="eastAsia" w:ascii="宋体" w:hAnsi="宋体" w:eastAsia="宋体" w:cs="宋体"/>
          <w:b/>
          <w:bCs/>
          <w:color w:val="auto"/>
          <w:sz w:val="21"/>
          <w:szCs w:val="21"/>
          <w:lang w:eastAsia="zh-CN"/>
        </w:rPr>
        <w:t>投标文件</w:t>
      </w:r>
      <w:r>
        <w:rPr>
          <w:rFonts w:hint="eastAsia" w:ascii="宋体" w:hAnsi="宋体" w:eastAsia="宋体" w:cs="宋体"/>
          <w:b/>
          <w:bCs/>
          <w:color w:val="auto"/>
          <w:sz w:val="21"/>
          <w:szCs w:val="21"/>
        </w:rPr>
        <w:t>的澄清和补正</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3.3.1在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可以书面形式要求供应商对所提交的</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中不明确的内容进行书面澄清或说明，或者对细微偏离进行补正。</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不接受供应商主动提出的澄清、说明或补正。</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3.3.2 澄清、说明和补正不得超出</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的范围或者改变</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的实质性内容（算术性错误修正的除外）。供应商的书面澄清、说明和补正属于</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的组成部分。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3.3.3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对供应商提交的澄清、说明或补正有疑问的，可以要求供应商进一步澄清、说明或补正，直至满足</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的要求。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rPr>
      </w:pPr>
      <w:bookmarkStart w:id="922" w:name="_Toc22986"/>
      <w:bookmarkStart w:id="923" w:name="_Toc32183"/>
      <w:bookmarkStart w:id="924" w:name="_Toc455080164"/>
      <w:bookmarkStart w:id="925" w:name="_Toc24481"/>
      <w:bookmarkStart w:id="926" w:name="_Toc22682"/>
      <w:bookmarkStart w:id="927" w:name="_Toc455867824"/>
      <w:bookmarkStart w:id="928" w:name="_Toc30053"/>
      <w:bookmarkStart w:id="929" w:name="_Toc19453"/>
      <w:bookmarkStart w:id="930" w:name="_Toc22049"/>
      <w:bookmarkStart w:id="931" w:name="_Toc26894"/>
      <w:bookmarkStart w:id="932" w:name="_Toc5903"/>
      <w:bookmarkStart w:id="933" w:name="_Toc281405536"/>
      <w:bookmarkStart w:id="934" w:name="_Toc19938"/>
      <w:bookmarkStart w:id="935" w:name="_Toc318450730"/>
      <w:bookmarkStart w:id="936" w:name="_Toc1857"/>
      <w:bookmarkStart w:id="937" w:name="_Toc490667883"/>
      <w:bookmarkStart w:id="938" w:name="_Toc4721"/>
      <w:bookmarkStart w:id="939" w:name="_Toc466298147"/>
      <w:r>
        <w:rPr>
          <w:rFonts w:hint="eastAsia" w:ascii="宋体" w:hAnsi="宋体" w:eastAsia="宋体" w:cs="宋体"/>
          <w:color w:val="auto"/>
          <w:sz w:val="21"/>
          <w:szCs w:val="21"/>
        </w:rPr>
        <w:t>3.4 评审结果</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按照得分由高到低的顺序推荐成交候选人。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3.4.2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完成评审后，应当向采购人提交书面评审报告。</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bookmarkStart w:id="940" w:name="_Toc152045609"/>
      <w:bookmarkStart w:id="941" w:name="_Toc14024"/>
      <w:bookmarkStart w:id="942" w:name="_Toc152042387"/>
      <w:bookmarkStart w:id="943" w:name="_Toc144974577"/>
      <w:r>
        <w:rPr>
          <w:rFonts w:hint="eastAsia" w:ascii="宋体" w:hAnsi="宋体" w:eastAsia="宋体" w:cs="宋体"/>
          <w:color w:val="auto"/>
          <w:szCs w:val="21"/>
        </w:rPr>
        <w:t>3.4.</w:t>
      </w:r>
      <w:r>
        <w:rPr>
          <w:rFonts w:hint="eastAsia" w:ascii="宋体" w:hAnsi="宋体" w:eastAsia="宋体" w:cs="宋体"/>
          <w:color w:val="auto"/>
          <w:szCs w:val="21"/>
          <w:lang w:val="en-US" w:eastAsia="zh-CN"/>
        </w:rPr>
        <w:t>3</w:t>
      </w:r>
      <w:r>
        <w:rPr>
          <w:rFonts w:hint="eastAsia" w:ascii="宋体" w:hAnsi="宋体" w:eastAsia="宋体" w:cs="宋体"/>
          <w:color w:val="auto"/>
          <w:szCs w:val="21"/>
        </w:rPr>
        <w:t>评标结果同时在</w:t>
      </w:r>
      <w:r>
        <w:rPr>
          <w:rFonts w:hint="eastAsia" w:ascii="宋体" w:hAnsi="宋体" w:eastAsia="宋体" w:cs="宋体"/>
          <w:color w:val="auto"/>
          <w:szCs w:val="21"/>
          <w:lang w:val="en-US" w:eastAsia="zh-CN"/>
        </w:rPr>
        <w:t>《河南省政府采购网》、《全国公共资源交易平台（河南省·罗山县）》</w:t>
      </w:r>
      <w:r>
        <w:rPr>
          <w:rFonts w:hint="eastAsia" w:ascii="宋体" w:hAnsi="宋体" w:eastAsia="宋体" w:cs="宋体"/>
          <w:color w:val="auto"/>
          <w:szCs w:val="21"/>
        </w:rPr>
        <w:t>公示。</w:t>
      </w:r>
      <w:bookmarkStart w:id="944" w:name="_Toc13764"/>
    </w:p>
    <w:p>
      <w:pPr>
        <w:pStyle w:val="5"/>
        <w:pageBreakBefore w:val="0"/>
        <w:numPr>
          <w:ilvl w:val="0"/>
          <w:numId w:val="0"/>
        </w:numPr>
        <w:kinsoku/>
        <w:wordWrap/>
        <w:overflowPunct/>
        <w:topLinePunct w:val="0"/>
        <w:bidi w:val="0"/>
        <w:spacing w:line="400" w:lineRule="exact"/>
        <w:outlineLvl w:val="0"/>
        <w:rPr>
          <w:rFonts w:hint="eastAsia" w:ascii="宋体" w:hAnsi="宋体" w:eastAsia="宋体" w:cs="宋体"/>
          <w:color w:val="auto"/>
          <w:sz w:val="21"/>
          <w:szCs w:val="21"/>
        </w:rPr>
      </w:pPr>
      <w:r>
        <w:rPr>
          <w:rFonts w:hint="eastAsia" w:ascii="宋体" w:hAnsi="宋体" w:eastAsia="宋体" w:cs="宋体"/>
          <w:color w:val="auto"/>
          <w:sz w:val="21"/>
          <w:szCs w:val="21"/>
        </w:rPr>
        <w:t>附件：废标条件</w:t>
      </w:r>
      <w:bookmarkEnd w:id="944"/>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须知”和本章正文部分所规定的废标条件的总结和补充，如果出现相互矛盾的情况，以第二章“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w:t>
      </w:r>
      <w:r>
        <w:rPr>
          <w:rFonts w:hint="eastAsia" w:ascii="宋体" w:hAnsi="宋体" w:eastAsia="宋体" w:cs="宋体"/>
          <w:b/>
          <w:color w:val="auto"/>
          <w:sz w:val="21"/>
          <w:szCs w:val="21"/>
          <w:lang w:eastAsia="zh-CN"/>
        </w:rPr>
        <w:t>评标委员会</w:t>
      </w:r>
      <w:r>
        <w:rPr>
          <w:rFonts w:hint="eastAsia" w:ascii="宋体" w:hAnsi="宋体" w:eastAsia="宋体" w:cs="宋体"/>
          <w:b/>
          <w:color w:val="auto"/>
          <w:sz w:val="21"/>
          <w:szCs w:val="21"/>
        </w:rPr>
        <w:t>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投标报价</w:t>
      </w:r>
      <w:r>
        <w:rPr>
          <w:rFonts w:hint="eastAsia" w:ascii="宋体" w:hAnsi="宋体" w:eastAsia="宋体" w:cs="宋体"/>
          <w:b/>
          <w:color w:val="auto"/>
          <w:sz w:val="21"/>
          <w:szCs w:val="21"/>
        </w:rPr>
        <w:t>有算术性错误，投标人不接受修正价格的；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8.文件制作机器码、文件创建标识码有相同的；</w:t>
      </w:r>
    </w:p>
    <w:p>
      <w:pPr>
        <w:spacing w:line="240" w:lineRule="auto"/>
        <w:ind w:firstLine="422" w:firstLineChars="200"/>
        <w:rPr>
          <w:rFonts w:hint="eastAsia" w:ascii="宋体" w:hAnsi="宋体" w:cs="宋体"/>
          <w:bCs/>
          <w:color w:val="auto"/>
          <w:sz w:val="28"/>
          <w:szCs w:val="28"/>
        </w:r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．不符合</w:t>
      </w:r>
      <w:r>
        <w:rPr>
          <w:rFonts w:hint="eastAsia" w:ascii="宋体" w:hAnsi="宋体" w:eastAsia="宋体" w:cs="宋体"/>
          <w:b/>
          <w:color w:val="auto"/>
          <w:sz w:val="21"/>
          <w:szCs w:val="21"/>
          <w:lang w:eastAsia="zh-CN"/>
        </w:rPr>
        <w:t>招标文件</w:t>
      </w:r>
      <w:r>
        <w:rPr>
          <w:rFonts w:hint="eastAsia" w:ascii="宋体" w:hAnsi="宋体" w:eastAsia="宋体" w:cs="宋体"/>
          <w:b/>
          <w:color w:val="auto"/>
          <w:sz w:val="21"/>
          <w:szCs w:val="21"/>
        </w:rPr>
        <w:t>规定的其他实质性要求及相关法律、法规或规章规定可以废标的其他情形。</w:t>
      </w:r>
    </w:p>
    <w:bookmarkEnd w:id="940"/>
    <w:bookmarkEnd w:id="941"/>
    <w:bookmarkEnd w:id="942"/>
    <w:bookmarkEnd w:id="943"/>
    <w:p>
      <w:pPr>
        <w:rPr>
          <w:rFonts w:hint="eastAsia" w:ascii="宋体" w:hAnsi="宋体" w:cs="宋体"/>
          <w:b/>
          <w:bCs/>
          <w:color w:val="auto"/>
          <w:sz w:val="32"/>
          <w:szCs w:val="32"/>
        </w:rPr>
      </w:pPr>
      <w:bookmarkStart w:id="945" w:name="_Toc17356"/>
      <w:bookmarkStart w:id="946" w:name="_Toc152042575"/>
      <w:bookmarkStart w:id="947" w:name="_Toc152045786"/>
      <w:bookmarkStart w:id="948" w:name="_Toc144974855"/>
      <w:bookmarkStart w:id="949" w:name="_Toc14158"/>
      <w:r>
        <w:rPr>
          <w:rFonts w:hint="eastAsia" w:ascii="宋体" w:hAnsi="宋体" w:cs="宋体"/>
          <w:b/>
          <w:bCs/>
          <w:color w:val="auto"/>
          <w:sz w:val="32"/>
          <w:szCs w:val="32"/>
        </w:rPr>
        <w:br w:type="page"/>
      </w:r>
    </w:p>
    <w:p>
      <w:pPr>
        <w:spacing w:line="400" w:lineRule="exact"/>
        <w:ind w:left="0" w:leftChars="0" w:firstLine="0" w:firstLineChars="0"/>
        <w:jc w:val="center"/>
        <w:outlineLvl w:val="0"/>
        <w:rPr>
          <w:rFonts w:hint="eastAsia" w:ascii="宋体" w:hAnsi="宋体" w:cs="宋体"/>
          <w:b/>
          <w:bCs/>
          <w:color w:val="auto"/>
          <w:sz w:val="32"/>
          <w:szCs w:val="32"/>
        </w:rPr>
      </w:pPr>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w:t>
      </w:r>
      <w:r>
        <w:rPr>
          <w:rFonts w:hint="eastAsia" w:ascii="宋体" w:hAnsi="宋体" w:cs="宋体"/>
          <w:b/>
          <w:color w:val="auto"/>
          <w:sz w:val="32"/>
          <w:szCs w:val="32"/>
          <w:lang w:eastAsia="zh-CN"/>
        </w:rPr>
        <w:t>参考文本</w:t>
      </w:r>
      <w:r>
        <w:rPr>
          <w:rFonts w:hint="eastAsia" w:ascii="宋体" w:hAnsi="宋体" w:cs="宋体"/>
          <w:b/>
          <w:color w:val="auto"/>
          <w:sz w:val="32"/>
          <w:szCs w:val="32"/>
        </w:rPr>
        <w:t>）</w:t>
      </w:r>
      <w:bookmarkEnd w:id="945"/>
    </w:p>
    <w:p>
      <w:pPr>
        <w:spacing w:line="400" w:lineRule="exact"/>
        <w:ind w:firstLine="450" w:firstLineChars="150"/>
        <w:rPr>
          <w:rFonts w:hint="eastAsia" w:ascii="宋体" w:hAnsi="宋体" w:cs="宋体"/>
          <w:color w:val="auto"/>
          <w:sz w:val="30"/>
          <w:szCs w:val="30"/>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采购人（招标人）：</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（以下简称甲方）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投标人（供应商）：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（以下简称乙方）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经甲乙双方充分协商，特订立本合同，以便共同遵守。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一、合同标底：</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eastAsia="zh-CN"/>
        </w:rPr>
        <w:t>招标文件</w:t>
      </w:r>
      <w:r>
        <w:rPr>
          <w:rFonts w:hint="eastAsia" w:ascii="宋体" w:hAnsi="宋体" w:eastAsia="宋体" w:cs="宋体"/>
          <w:color w:val="auto"/>
          <w:kern w:val="0"/>
          <w:sz w:val="21"/>
          <w:szCs w:val="21"/>
        </w:rPr>
        <w:t>及其补充文件、中标方的</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及其澄清文件和甲方政府采购项目明细表等确定（清单附后，甲乙双方须在清单上盖章）。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二、合同价格：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三、交货时间及地点：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1、乙方在采购合同签订后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日历天内全部交付并安装调试完毕（具体日期由签订合同之日起计算）；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2、乙方自定运输方式，自付费用将中标</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合同标的送达甲方指定地点。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四、技术规格：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1、乙方提供的产品的技术规格有国家标准的应符合现行国家标准，无国家标准的应符合部颁标准或行业标准，并满足标的清单中的规定。</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2、乙方保证提供的产品是全新的正品品牌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，必须满足</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承诺的所有服务。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五、附件、配件：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按产品所附使用说明书及清单执行；包括厂家在促销等特别期间承诺提供的附件。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六、售后服务：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1、产品质量：在质保期内，甲方正常使用乙方所供产品而出现质量问题时，乙方按“质量保证承诺书”负责；对产品出现的故障乙方应免费上门服务。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2、产品使用：甲方在使用乙方所供产品中出现问题需乙方指导解决时，乙方应及时给予解决。</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合同商品从验收合格之日起，</w:t>
      </w:r>
      <w:r>
        <w:rPr>
          <w:rFonts w:hint="eastAsia" w:ascii="宋体" w:hAnsi="宋体" w:eastAsia="宋体" w:cs="宋体"/>
          <w:color w:val="auto"/>
          <w:kern w:val="0"/>
          <w:sz w:val="21"/>
          <w:szCs w:val="21"/>
          <w:highlight w:val="none"/>
          <w:lang w:val="en-US" w:eastAsia="zh-CN"/>
        </w:rPr>
        <w:t>质保期内第一年免费维修，无法维修的，无条件免费更换。</w:t>
      </w:r>
      <w:r>
        <w:rPr>
          <w:rFonts w:hint="eastAsia" w:ascii="宋体" w:hAnsi="宋体" w:eastAsia="宋体" w:cs="宋体"/>
          <w:color w:val="auto"/>
          <w:kern w:val="0"/>
          <w:sz w:val="21"/>
          <w:szCs w:val="21"/>
          <w:highlight w:val="none"/>
        </w:rPr>
        <w:t>保修期后，</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方仍提供维修服务，收取成本费。</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方保证所供商品在保修期内发生故障时，最迟在 3 个工作日内修复，不能按时修复的，须采取备件方式等措施，以保证甲方的正常使用。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七、验收及异议：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1、甲方验收，并根据实际验收情况向乙方签发验收报告；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color w:val="auto"/>
          <w:szCs w:val="21"/>
          <w:highlight w:val="none"/>
        </w:rPr>
      </w:pPr>
      <w:r>
        <w:rPr>
          <w:rFonts w:hint="eastAsia" w:ascii="宋体" w:hAnsi="宋体" w:eastAsia="宋体" w:cs="宋体"/>
          <w:b/>
          <w:bCs/>
          <w:color w:val="auto"/>
          <w:kern w:val="0"/>
          <w:sz w:val="21"/>
          <w:szCs w:val="21"/>
          <w:highlight w:val="none"/>
        </w:rPr>
        <w:t>八、</w:t>
      </w:r>
      <w:r>
        <w:rPr>
          <w:rFonts w:hint="eastAsia"/>
          <w:b/>
          <w:bCs/>
          <w:color w:val="auto"/>
          <w:szCs w:val="21"/>
          <w:highlight w:val="none"/>
        </w:rPr>
        <w:t>支付和支付条件</w:t>
      </w:r>
      <w:r>
        <w:rPr>
          <w:rFonts w:hint="eastAsia"/>
          <w:b/>
          <w:bCs/>
          <w:color w:val="auto"/>
          <w:szCs w:val="21"/>
          <w:highlight w:val="none"/>
          <w:lang w:eastAsia="zh-CN"/>
        </w:rPr>
        <w:t>：合同签订后，甲方</w:t>
      </w:r>
      <w:r>
        <w:rPr>
          <w:rFonts w:hint="eastAsia"/>
          <w:b/>
          <w:bCs/>
          <w:color w:val="auto"/>
          <w:szCs w:val="21"/>
          <w:highlight w:val="none"/>
          <w:lang w:val="en-US" w:eastAsia="zh-CN"/>
        </w:rPr>
        <w:t>30</w:t>
      </w:r>
      <w:r>
        <w:rPr>
          <w:rFonts w:hint="eastAsia"/>
          <w:b/>
          <w:bCs/>
          <w:color w:val="auto"/>
          <w:szCs w:val="21"/>
          <w:highlight w:val="none"/>
          <w:lang w:eastAsia="zh-CN"/>
        </w:rPr>
        <w:t>日内以电汇/转账方式支付乙方本合同经费的30%，设备到齐安装调试完毕后，经由甲方按照国家验收规范及合同、招标文件的规定组织专家验收，出具验收合格证明后，甲方</w:t>
      </w:r>
      <w:r>
        <w:rPr>
          <w:rFonts w:hint="eastAsia"/>
          <w:b/>
          <w:bCs/>
          <w:color w:val="auto"/>
          <w:szCs w:val="21"/>
          <w:highlight w:val="none"/>
          <w:lang w:val="en-US" w:eastAsia="zh-CN"/>
        </w:rPr>
        <w:t>按单位工作进度</w:t>
      </w:r>
      <w:r>
        <w:rPr>
          <w:rFonts w:hint="eastAsia"/>
          <w:b/>
          <w:bCs/>
          <w:color w:val="auto"/>
          <w:szCs w:val="21"/>
          <w:highlight w:val="none"/>
          <w:lang w:eastAsia="zh-CN"/>
        </w:rPr>
        <w:t>一次性付清</w:t>
      </w:r>
      <w:r>
        <w:rPr>
          <w:rFonts w:hint="eastAsia"/>
          <w:b/>
          <w:bCs/>
          <w:color w:val="auto"/>
          <w:szCs w:val="21"/>
          <w:highlight w:val="none"/>
          <w:lang w:val="en-US" w:eastAsia="zh-CN"/>
        </w:rPr>
        <w:t>剩余</w:t>
      </w:r>
      <w:r>
        <w:rPr>
          <w:rFonts w:hint="eastAsia"/>
          <w:b/>
          <w:bCs/>
          <w:color w:val="auto"/>
          <w:szCs w:val="21"/>
          <w:highlight w:val="none"/>
          <w:lang w:eastAsia="zh-CN"/>
        </w:rPr>
        <w:t>合同款项</w:t>
      </w:r>
      <w:r>
        <w:rPr>
          <w:rFonts w:hint="eastAsia"/>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1、乙方不能按时交货或因不可抗力的原因不能按时交货而未在</w:t>
      </w:r>
      <w:r>
        <w:rPr>
          <w:rFonts w:hint="eastAsia" w:ascii="宋体" w:hAnsi="宋体" w:eastAsia="宋体" w:cs="宋体"/>
          <w:color w:val="auto"/>
          <w:kern w:val="0"/>
          <w:sz w:val="21"/>
          <w:szCs w:val="21"/>
          <w:lang w:eastAsia="zh-CN"/>
        </w:rPr>
        <w:t>供货期</w:t>
      </w:r>
      <w:r>
        <w:rPr>
          <w:rFonts w:hint="eastAsia" w:ascii="宋体" w:hAnsi="宋体" w:eastAsia="宋体" w:cs="宋体"/>
          <w:color w:val="auto"/>
          <w:kern w:val="0"/>
          <w:sz w:val="21"/>
          <w:szCs w:val="21"/>
        </w:rPr>
        <w:t>限内书面或电话告知甲方的，应向甲方偿付不能交货部分货款5%的违约金；</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2、乙方所交标的品牌、型号、规格、质量等不符合合同规定，按违约处理，并赔偿合同金额总数及承担由此给甲方带来的</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损失。</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十一、本合同如发生纠纷，甲乙双方协商解决，协商不成时，约定由信阳市仲裁委员会仲裁。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十二、本合同自签字之日起生效，甲乙双方均不得随意变更或解除合同。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十三、合同如有未尽事宜，须经甲乙双方共同协商，</w:t>
      </w:r>
      <w:r>
        <w:rPr>
          <w:rFonts w:hint="eastAsia" w:ascii="宋体" w:hAnsi="宋体" w:eastAsia="宋体" w:cs="宋体"/>
          <w:color w:val="auto"/>
          <w:kern w:val="0"/>
          <w:sz w:val="21"/>
          <w:szCs w:val="21"/>
          <w:lang w:eastAsia="zh-CN"/>
        </w:rPr>
        <w:t>作出</w:t>
      </w:r>
      <w:r>
        <w:rPr>
          <w:rFonts w:hint="eastAsia" w:ascii="宋体" w:hAnsi="宋体" w:eastAsia="宋体" w:cs="宋体"/>
          <w:color w:val="auto"/>
          <w:kern w:val="0"/>
          <w:sz w:val="21"/>
          <w:szCs w:val="21"/>
        </w:rPr>
        <w:t>补充约定，补充约定与本合同具有同等法律效力。</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十四、本合同一式</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eastAsia="zh-CN"/>
        </w:rPr>
        <w:t>方执四份</w:t>
      </w:r>
      <w:r>
        <w:rPr>
          <w:rFonts w:hint="eastAsia" w:ascii="宋体" w:hAnsi="宋体" w:eastAsia="宋体" w:cs="宋体"/>
          <w:color w:val="auto"/>
          <w:kern w:val="0"/>
          <w:sz w:val="21"/>
          <w:szCs w:val="21"/>
        </w:rPr>
        <w:t>、乙方执</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具体内容</w:t>
      </w:r>
      <w:r>
        <w:rPr>
          <w:rFonts w:hint="eastAsia" w:ascii="宋体" w:hAnsi="宋体" w:eastAsia="宋体" w:cs="宋体"/>
          <w:color w:val="auto"/>
          <w:kern w:val="0"/>
          <w:sz w:val="21"/>
          <w:szCs w:val="21"/>
        </w:rPr>
        <w:t>以合同签订</w:t>
      </w:r>
      <w:r>
        <w:rPr>
          <w:rFonts w:hint="eastAsia" w:ascii="宋体" w:hAnsi="宋体" w:eastAsia="宋体" w:cs="宋体"/>
          <w:color w:val="auto"/>
          <w:kern w:val="0"/>
          <w:sz w:val="21"/>
          <w:szCs w:val="21"/>
          <w:lang w:val="en-US" w:eastAsia="zh-CN"/>
        </w:rPr>
        <w:t>时甲、乙双方协商</w:t>
      </w:r>
      <w:r>
        <w:rPr>
          <w:rFonts w:hint="eastAsia" w:ascii="宋体" w:hAnsi="宋体" w:eastAsia="宋体" w:cs="宋体"/>
          <w:color w:val="auto"/>
          <w:kern w:val="0"/>
          <w:sz w:val="21"/>
          <w:szCs w:val="21"/>
        </w:rPr>
        <w:t>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采购人（</w:t>
      </w:r>
      <w:r>
        <w:rPr>
          <w:rFonts w:hint="eastAsia" w:ascii="宋体" w:hAnsi="宋体" w:eastAsia="宋体" w:cs="宋体"/>
          <w:color w:val="auto"/>
          <w:kern w:val="0"/>
          <w:sz w:val="21"/>
          <w:szCs w:val="21"/>
        </w:rPr>
        <w:t>甲方）：（公章）                          投标人（乙方）：（公章）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法定代表人或授权代理人：（签字）                   法定代表人或授权代理人：（签字）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                                          地    址：</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                                          开户银行：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    号：                                          账    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                                          电    话：</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年   月   日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年  月  日</w:t>
      </w:r>
    </w:p>
    <w:p>
      <w:pPr>
        <w:pStyle w:val="26"/>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w:t>
      </w:r>
    </w:p>
    <w:p>
      <w:pPr>
        <w:rPr>
          <w:rFonts w:hint="eastAsia" w:ascii="宋体" w:hAnsi="宋体" w:eastAsia="宋体" w:cs="宋体"/>
          <w:b/>
          <w:bCs/>
          <w:color w:val="auto"/>
          <w:sz w:val="21"/>
          <w:szCs w:val="21"/>
          <w:lang w:val="en-US" w:eastAsia="zh-CN"/>
        </w:rPr>
      </w:pPr>
    </w:p>
    <w:p>
      <w:pPr>
        <w:pStyle w:val="15"/>
        <w:rPr>
          <w:rFonts w:hint="eastAsia" w:ascii="宋体" w:hAnsi="宋体" w:eastAsia="宋体" w:cs="宋体"/>
          <w:b/>
          <w:bCs/>
          <w:color w:val="auto"/>
          <w:sz w:val="21"/>
          <w:szCs w:val="21"/>
          <w:lang w:val="en-US" w:eastAsia="zh-CN"/>
        </w:rPr>
      </w:pPr>
    </w:p>
    <w:p>
      <w:pPr>
        <w:pStyle w:val="32"/>
        <w:rPr>
          <w:rFonts w:hint="eastAsia" w:ascii="宋体" w:hAnsi="宋体" w:eastAsia="宋体" w:cs="宋体"/>
          <w:b/>
          <w:bCs/>
          <w:color w:val="auto"/>
          <w:sz w:val="21"/>
          <w:szCs w:val="21"/>
          <w:lang w:val="en-US" w:eastAsia="zh-CN"/>
        </w:rPr>
      </w:pPr>
    </w:p>
    <w:p>
      <w:pPr>
        <w:rPr>
          <w:rFonts w:hint="eastAsia" w:ascii="宋体" w:hAnsi="宋体" w:cs="宋体"/>
          <w:color w:val="auto"/>
          <w:sz w:val="28"/>
          <w:szCs w:val="28"/>
          <w:lang w:eastAsia="zh-CN"/>
        </w:rPr>
      </w:pPr>
      <w:bookmarkStart w:id="950" w:name="_Toc17236"/>
      <w:bookmarkStart w:id="951" w:name="_Toc17041"/>
      <w:r>
        <w:rPr>
          <w:rFonts w:hint="eastAsia" w:ascii="宋体" w:hAnsi="宋体" w:cs="宋体"/>
          <w:color w:val="auto"/>
          <w:sz w:val="28"/>
          <w:szCs w:val="28"/>
          <w:lang w:eastAsia="zh-CN"/>
        </w:rPr>
        <w:br w:type="page"/>
      </w:r>
    </w:p>
    <w:p>
      <w:pPr>
        <w:pStyle w:val="3"/>
        <w:numPr>
          <w:ilvl w:val="0"/>
          <w:numId w:val="0"/>
        </w:numPr>
        <w:spacing w:before="120" w:beforeLines="0" w:after="120" w:afterLines="0" w:line="400" w:lineRule="exact"/>
        <w:jc w:val="center"/>
        <w:rPr>
          <w:rFonts w:hint="eastAsia" w:ascii="宋体" w:hAnsi="宋体" w:cs="宋体"/>
          <w:bCs w:val="0"/>
          <w:color w:val="auto"/>
          <w:sz w:val="28"/>
          <w:szCs w:val="28"/>
        </w:rPr>
      </w:pPr>
      <w:r>
        <w:rPr>
          <w:rFonts w:hint="eastAsia" w:ascii="宋体" w:hAnsi="宋体" w:cs="宋体"/>
          <w:color w:val="auto"/>
          <w:sz w:val="28"/>
          <w:szCs w:val="28"/>
          <w:lang w:eastAsia="zh-CN"/>
        </w:rPr>
        <w:t>第五章</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采购内容和</w:t>
      </w:r>
      <w:r>
        <w:rPr>
          <w:rFonts w:hint="eastAsia" w:ascii="宋体" w:hAnsi="宋体" w:cs="宋体"/>
          <w:color w:val="auto"/>
          <w:sz w:val="28"/>
          <w:szCs w:val="28"/>
          <w:lang w:val="en-US" w:eastAsia="zh-CN"/>
        </w:rPr>
        <w:t>清单</w:t>
      </w:r>
      <w:bookmarkEnd w:id="950"/>
      <w:bookmarkEnd w:id="951"/>
      <w:bookmarkStart w:id="952" w:name="_Toc16632"/>
      <w:bookmarkStart w:id="953" w:name="_Toc21679"/>
    </w:p>
    <w:tbl>
      <w:tblPr>
        <w:tblStyle w:val="28"/>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12"/>
        <w:gridCol w:w="5855"/>
        <w:gridCol w:w="709"/>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35" w:type="pct"/>
            <w:noWrap w:val="0"/>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序号</w:t>
            </w:r>
          </w:p>
        </w:tc>
        <w:tc>
          <w:tcPr>
            <w:tcW w:w="653" w:type="pct"/>
            <w:noWrap w:val="0"/>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货物名称</w:t>
            </w:r>
          </w:p>
        </w:tc>
        <w:tc>
          <w:tcPr>
            <w:tcW w:w="3154" w:type="pct"/>
            <w:noWrap w:val="0"/>
            <w:vAlign w:val="center"/>
          </w:tcPr>
          <w:p>
            <w:pPr>
              <w:keepNext w:val="0"/>
              <w:keepLines w:val="0"/>
              <w:widowControl/>
              <w:suppressLineNumbers w:val="0"/>
              <w:spacing w:line="240" w:lineRule="auto"/>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技术参数及要求</w:t>
            </w:r>
          </w:p>
        </w:tc>
        <w:tc>
          <w:tcPr>
            <w:tcW w:w="382" w:type="pct"/>
            <w:noWrap w:val="0"/>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单位</w:t>
            </w:r>
          </w:p>
        </w:tc>
        <w:tc>
          <w:tcPr>
            <w:tcW w:w="374" w:type="pct"/>
            <w:noWrap w:val="0"/>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b/>
                <w:bCs/>
                <w:color w:val="auto"/>
                <w:kern w:val="0"/>
                <w:sz w:val="21"/>
                <w:szCs w:val="21"/>
                <w:highlight w:val="none"/>
                <w:lang w:val="en-US" w:eastAsia="zh-Hans" w:bidi="ar"/>
              </w:rPr>
            </w:pPr>
            <w:r>
              <w:rPr>
                <w:rFonts w:hint="eastAsia" w:ascii="宋体" w:hAnsi="宋体" w:eastAsia="宋体" w:cs="宋体"/>
                <w:b/>
                <w:bCs/>
                <w:color w:val="auto"/>
                <w:kern w:val="0"/>
                <w:sz w:val="21"/>
                <w:szCs w:val="21"/>
                <w:highlight w:val="none"/>
                <w:lang w:val="en-US" w:eastAsia="zh-Hans"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restart"/>
            <w:noWrap w:val="0"/>
            <w:vAlign w:val="center"/>
          </w:tcPr>
          <w:p>
            <w:pPr>
              <w:keepNext w:val="0"/>
              <w:keepLines w:val="0"/>
              <w:widowControl/>
              <w:suppressLineNumbers w:val="0"/>
              <w:ind w:left="0" w:leftChars="0" w:firstLine="0" w:firstLine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w:t>
            </w:r>
          </w:p>
        </w:tc>
        <w:tc>
          <w:tcPr>
            <w:tcW w:w="653" w:type="pct"/>
            <w:vMerge w:val="restart"/>
            <w:noWrap w:val="0"/>
            <w:vAlign w:val="center"/>
          </w:tcPr>
          <w:p>
            <w:pPr>
              <w:keepNext w:val="0"/>
              <w:keepLines w:val="0"/>
              <w:widowControl/>
              <w:suppressLineNumbers w:val="0"/>
              <w:ind w:left="0" w:leftChars="0" w:firstLine="0" w:firstLine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MPV</w:t>
            </w: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车身颜色：白色/黑色</w:t>
            </w:r>
          </w:p>
        </w:tc>
        <w:tc>
          <w:tcPr>
            <w:tcW w:w="382" w:type="pct"/>
            <w:vMerge w:val="restart"/>
            <w:noWrap w:val="0"/>
            <w:vAlign w:val="center"/>
          </w:tcPr>
          <w:p>
            <w:pPr>
              <w:keepNext w:val="0"/>
              <w:keepLines w:val="0"/>
              <w:widowControl/>
              <w:suppressLineNumbers w:val="0"/>
              <w:ind w:left="0" w:leftChars="0" w:firstLine="0" w:firstLine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辆</w:t>
            </w:r>
          </w:p>
        </w:tc>
        <w:tc>
          <w:tcPr>
            <w:tcW w:w="374" w:type="pct"/>
            <w:vMerge w:val="restart"/>
            <w:noWrap w:val="0"/>
            <w:vAlign w:val="center"/>
          </w:tcPr>
          <w:p>
            <w:pPr>
              <w:keepNext w:val="0"/>
              <w:keepLines w:val="0"/>
              <w:widowControl/>
              <w:suppressLineNumbers w:val="0"/>
              <w:ind w:left="0" w:leftChars="0" w:firstLine="0" w:firstLine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车身结构及车型：5门7座车 MPV</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车身长度：</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4690</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1790</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1620mm</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轴距：</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2750mm</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★排量（L）：</w:t>
            </w:r>
            <w:r>
              <w:rPr>
                <w:rFonts w:hint="eastAsia" w:ascii="宋体" w:hAnsi="宋体" w:eastAsia="宋体" w:cs="宋体"/>
                <w:color w:val="auto"/>
                <w:kern w:val="0"/>
                <w:sz w:val="21"/>
                <w:szCs w:val="21"/>
                <w:highlight w:val="none"/>
                <w:lang w:val="en-US" w:eastAsia="zh-CN" w:bidi="ar"/>
              </w:rPr>
              <w:t>≤1.6</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★进气方式：涡轮增压</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最大马力：≥160Ps</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最大功率：</w:t>
            </w:r>
            <w:r>
              <w:rPr>
                <w:rFonts w:hint="eastAsia" w:ascii="宋体" w:hAnsi="宋体" w:eastAsia="宋体" w:cs="宋体"/>
                <w:color w:val="auto"/>
                <w:kern w:val="0"/>
                <w:sz w:val="21"/>
                <w:szCs w:val="21"/>
                <w:highlight w:val="none"/>
                <w:lang w:val="en-US" w:eastAsia="zh-CN" w:bidi="ar"/>
              </w:rPr>
              <w:t>≥120kW</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最大扭矩：</w:t>
            </w:r>
            <w:r>
              <w:rPr>
                <w:rFonts w:hint="eastAsia" w:ascii="宋体" w:hAnsi="宋体" w:eastAsia="宋体" w:cs="宋体"/>
                <w:color w:val="auto"/>
                <w:kern w:val="0"/>
                <w:sz w:val="21"/>
                <w:szCs w:val="21"/>
                <w:highlight w:val="none"/>
                <w:lang w:val="en-US" w:eastAsia="zh-CN" w:bidi="ar"/>
              </w:rPr>
              <w:t>≥230N·m</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★能源类型：汽油</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环保标准：国六</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rPr>
              <w:t>★变速箱：自动档</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widowControl/>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前悬架类型：麦弗逊式独立悬架</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widowControl/>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后悬架类型：</w:t>
            </w:r>
            <w:r>
              <w:rPr>
                <w:rFonts w:hint="eastAsia" w:ascii="宋体" w:hAnsi="宋体" w:eastAsia="宋体" w:cs="宋体"/>
                <w:color w:val="auto"/>
                <w:kern w:val="0"/>
                <w:sz w:val="21"/>
                <w:szCs w:val="21"/>
                <w:highlight w:val="none"/>
                <w:lang w:val="en-US" w:eastAsia="zh-CN"/>
              </w:rPr>
              <w:t>扭力梁式非独立悬挂架</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tabs>
                <w:tab w:val="left" w:pos="476"/>
              </w:tabs>
              <w:spacing w:beforeLines="0" w:afterLine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★变速箱：湿式双离合变速箱（DCT）</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line="240" w:lineRule="auto"/>
              <w:ind w:left="0" w:leftChars="0" w:firstLine="0" w:firstLineChars="0"/>
              <w:jc w:val="distribut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i w:val="0"/>
                <w:iCs w:val="0"/>
                <w:strike w:val="0"/>
                <w:dstrike w:val="0"/>
                <w:color w:val="auto"/>
                <w:sz w:val="21"/>
                <w:szCs w:val="21"/>
                <w:highlight w:val="none"/>
                <w:u w:val="none"/>
                <w:lang w:val="en-US" w:eastAsia="zh-CN"/>
              </w:rPr>
              <w:t>百公里综合油耗：≤ 8L（以工信部或WLTC综合油耗为准）</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i w:val="0"/>
                <w:color w:val="auto"/>
                <w:kern w:val="0"/>
                <w:sz w:val="21"/>
                <w:szCs w:val="21"/>
                <w:highlight w:val="none"/>
                <w:u w:val="none"/>
                <w:lang w:val="en-US" w:eastAsia="zh-CN" w:bidi="ar"/>
              </w:rPr>
              <w:t>主/副驾驶座安全气囊</w:t>
            </w:r>
            <w:r>
              <w:rPr>
                <w:rFonts w:hint="eastAsia" w:ascii="宋体" w:hAnsi="宋体" w:eastAsia="宋体" w:cs="宋体"/>
                <w:i w:val="0"/>
                <w:iCs w:val="0"/>
                <w:color w:val="auto"/>
                <w:sz w:val="21"/>
                <w:szCs w:val="21"/>
                <w:highlight w:val="none"/>
                <w:u w:val="none"/>
                <w:lang w:val="en-US" w:eastAsia="zh-CN"/>
              </w:rPr>
              <w:t>：具备</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胎压监测：具备</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定速巡航：具备</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自动驻车：具备</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5"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653"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154" w:type="pct"/>
            <w:noWrap w:val="0"/>
            <w:vAlign w:val="center"/>
          </w:tcPr>
          <w:p>
            <w:pPr>
              <w:spacing w:beforeLines="0" w:afterLine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车内PM2.5过滤装置：具备</w:t>
            </w:r>
          </w:p>
        </w:tc>
        <w:tc>
          <w:tcPr>
            <w:tcW w:w="382"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p>
        </w:tc>
        <w:tc>
          <w:tcPr>
            <w:tcW w:w="374" w:type="pct"/>
            <w:vMerge w:val="continue"/>
            <w:noWrap w:val="0"/>
            <w:vAlign w:val="center"/>
          </w:tcPr>
          <w:p>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Hans" w:bidi="ar"/>
              </w:rPr>
            </w:pPr>
          </w:p>
        </w:tc>
      </w:tr>
    </w:tbl>
    <w:p>
      <w:pPr>
        <w:pStyle w:val="3"/>
        <w:ind w:left="0" w:leftChars="0" w:firstLine="0" w:firstLineChars="0"/>
        <w:jc w:val="both"/>
        <w:rPr>
          <w:rFonts w:hint="eastAsia" w:ascii="宋体" w:hAnsi="宋体" w:cs="宋体"/>
          <w:bCs w:val="0"/>
          <w:color w:val="auto"/>
          <w:sz w:val="28"/>
          <w:szCs w:val="28"/>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1194" w:name="_GoBack"/>
      <w:bookmarkEnd w:id="1194"/>
    </w:p>
    <w:p>
      <w:pPr>
        <w:pStyle w:val="3"/>
        <w:numPr>
          <w:ilvl w:val="0"/>
          <w:numId w:val="0"/>
        </w:numPr>
        <w:spacing w:before="120" w:beforeLines="0" w:after="120" w:afterLines="0" w:line="400" w:lineRule="exact"/>
        <w:jc w:val="center"/>
        <w:rPr>
          <w:rFonts w:hint="eastAsia" w:ascii="宋体" w:hAnsi="宋体" w:eastAsia="宋体" w:cs="宋体"/>
          <w:bCs w:val="0"/>
          <w:color w:val="auto"/>
          <w:sz w:val="28"/>
          <w:szCs w:val="28"/>
          <w:lang w:eastAsia="zh-CN"/>
        </w:rPr>
      </w:pPr>
      <w:r>
        <w:rPr>
          <w:rFonts w:hint="eastAsia" w:ascii="宋体" w:hAnsi="宋体" w:cs="宋体"/>
          <w:bCs w:val="0"/>
          <w:color w:val="auto"/>
          <w:sz w:val="28"/>
          <w:szCs w:val="28"/>
        </w:rPr>
        <w:t xml:space="preserve">第六章  </w:t>
      </w:r>
      <w:r>
        <w:rPr>
          <w:rFonts w:hint="eastAsia" w:ascii="宋体" w:hAnsi="宋体" w:cs="宋体"/>
          <w:bCs w:val="0"/>
          <w:color w:val="auto"/>
          <w:sz w:val="28"/>
          <w:szCs w:val="28"/>
          <w:lang w:eastAsia="zh-CN"/>
        </w:rPr>
        <w:t>投标文件格式</w:t>
      </w:r>
      <w:bookmarkEnd w:id="952"/>
      <w:bookmarkEnd w:id="953"/>
    </w:p>
    <w:p>
      <w:pPr>
        <w:spacing w:line="440" w:lineRule="exact"/>
        <w:ind w:left="0" w:leftChars="0" w:firstLine="0" w:firstLineChars="0"/>
        <w:rPr>
          <w:rFonts w:hint="eastAsia" w:ascii="宋体" w:hAnsi="宋体" w:cs="宋体"/>
          <w:color w:val="auto"/>
          <w:sz w:val="24"/>
        </w:rPr>
      </w:pPr>
    </w:p>
    <w:p>
      <w:pPr>
        <w:pStyle w:val="25"/>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pPr>
        <w:pStyle w:val="25"/>
        <w:bidi w:val="0"/>
        <w:spacing w:line="400" w:lineRule="exact"/>
        <w:ind w:firstLine="210"/>
        <w:rPr>
          <w:rFonts w:hint="eastAsia" w:ascii="宋体" w:hAnsi="宋体" w:eastAsia="宋体" w:cs="宋体"/>
          <w:color w:val="auto"/>
        </w:rPr>
      </w:pPr>
    </w:p>
    <w:p>
      <w:pPr>
        <w:pStyle w:val="25"/>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pPr>
        <w:bidi w:val="0"/>
        <w:spacing w:line="400" w:lineRule="exact"/>
        <w:jc w:val="center"/>
        <w:rPr>
          <w:rFonts w:hint="eastAsia" w:ascii="宋体" w:hAnsi="宋体" w:eastAsia="宋体" w:cs="宋体"/>
          <w:color w:val="auto"/>
          <w:kern w:val="0"/>
          <w:sz w:val="32"/>
          <w:szCs w:val="32"/>
          <w:u w:val="single"/>
        </w:rPr>
      </w:pPr>
    </w:p>
    <w:p>
      <w:pPr>
        <w:bidi w:val="0"/>
        <w:spacing w:line="400" w:lineRule="exact"/>
        <w:jc w:val="center"/>
        <w:outlineLvl w:val="0"/>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u w:val="single"/>
        </w:rPr>
        <w:t xml:space="preserve">                </w:t>
      </w:r>
      <w:bookmarkStart w:id="954" w:name="_Toc5144"/>
      <w:bookmarkStart w:id="955" w:name="_Toc10892"/>
      <w:bookmarkStart w:id="956" w:name="_Toc10217"/>
      <w:bookmarkStart w:id="957" w:name="_Toc22688"/>
      <w:bookmarkStart w:id="958" w:name="_Toc377"/>
      <w:bookmarkStart w:id="959" w:name="_Toc16477"/>
      <w:r>
        <w:rPr>
          <w:rFonts w:hint="eastAsia" w:ascii="宋体" w:hAnsi="宋体" w:eastAsia="宋体" w:cs="宋体"/>
          <w:color w:val="auto"/>
          <w:kern w:val="0"/>
          <w:sz w:val="32"/>
          <w:szCs w:val="32"/>
        </w:rPr>
        <w:t>（项目名称）</w:t>
      </w:r>
      <w:bookmarkEnd w:id="954"/>
      <w:bookmarkEnd w:id="955"/>
      <w:bookmarkEnd w:id="956"/>
      <w:bookmarkEnd w:id="957"/>
      <w:bookmarkEnd w:id="958"/>
      <w:bookmarkEnd w:id="959"/>
    </w:p>
    <w:p>
      <w:pPr>
        <w:pStyle w:val="43"/>
        <w:bidi w:val="0"/>
        <w:ind w:firstLine="880"/>
        <w:rPr>
          <w:rFonts w:hint="eastAsia" w:ascii="宋体" w:hAnsi="宋体" w:eastAsia="宋体" w:cs="宋体"/>
          <w:color w:val="auto"/>
        </w:rPr>
      </w:pPr>
    </w:p>
    <w:p>
      <w:pPr>
        <w:bidi w:val="0"/>
        <w:spacing w:before="411" w:beforeLines="100" w:line="400" w:lineRule="exact"/>
        <w:jc w:val="center"/>
        <w:rPr>
          <w:rFonts w:hint="eastAsia" w:ascii="宋体" w:hAnsi="宋体" w:eastAsia="宋体" w:cs="宋体"/>
          <w:color w:val="auto"/>
          <w:sz w:val="44"/>
          <w:szCs w:val="44"/>
        </w:rPr>
      </w:pPr>
    </w:p>
    <w:p>
      <w:pPr>
        <w:bidi w:val="0"/>
        <w:spacing w:before="411" w:beforeLines="100" w:line="400" w:lineRule="exact"/>
        <w:jc w:val="center"/>
        <w:outlineLvl w:val="0"/>
        <w:rPr>
          <w:rFonts w:hint="eastAsia" w:ascii="宋体" w:hAnsi="宋体" w:eastAsia="宋体" w:cs="宋体"/>
          <w:b/>
          <w:bCs/>
          <w:color w:val="auto"/>
          <w:sz w:val="48"/>
          <w:szCs w:val="48"/>
        </w:rPr>
      </w:pPr>
      <w:bookmarkStart w:id="960" w:name="_Toc32022"/>
      <w:bookmarkStart w:id="961" w:name="_Toc32147"/>
      <w:bookmarkStart w:id="962" w:name="_Toc10243"/>
      <w:bookmarkStart w:id="963" w:name="_Toc25611"/>
      <w:bookmarkStart w:id="964" w:name="_Toc14727"/>
      <w:bookmarkStart w:id="965" w:name="_Toc19261"/>
      <w:bookmarkStart w:id="966" w:name="_Toc29720"/>
      <w:r>
        <w:rPr>
          <w:rFonts w:hint="eastAsia" w:ascii="宋体" w:hAnsi="宋体" w:eastAsia="宋体" w:cs="宋体"/>
          <w:b/>
          <w:bCs/>
          <w:color w:val="auto"/>
          <w:sz w:val="48"/>
          <w:szCs w:val="48"/>
        </w:rPr>
        <w:t>投  标  文  件</w:t>
      </w:r>
      <w:bookmarkEnd w:id="960"/>
      <w:bookmarkEnd w:id="961"/>
      <w:bookmarkEnd w:id="962"/>
      <w:bookmarkEnd w:id="963"/>
      <w:bookmarkEnd w:id="964"/>
      <w:bookmarkEnd w:id="965"/>
      <w:bookmarkEnd w:id="966"/>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eastAsia="zh-CN"/>
        </w:rPr>
        <w:t>罗财公开招标-2023-</w:t>
      </w:r>
      <w:r>
        <w:rPr>
          <w:rFonts w:hint="eastAsia" w:ascii="宋体" w:hAnsi="宋体" w:eastAsia="宋体" w:cs="宋体"/>
          <w:b/>
          <w:bCs/>
          <w:color w:val="auto"/>
          <w:sz w:val="32"/>
          <w:szCs w:val="32"/>
          <w:lang w:val="en-US" w:eastAsia="zh-CN"/>
        </w:rPr>
        <w:t>xx</w:t>
      </w: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pStyle w:val="15"/>
        <w:bidi w:val="0"/>
        <w:ind w:left="0" w:leftChars="0" w:firstLine="0" w:firstLineChars="0"/>
        <w:rPr>
          <w:rFonts w:hint="eastAsia"/>
          <w:color w:val="auto"/>
        </w:rPr>
      </w:pPr>
    </w:p>
    <w:p>
      <w:pPr>
        <w:pStyle w:val="23"/>
        <w:bidi w:val="0"/>
        <w:rPr>
          <w:rFonts w:hint="eastAsia"/>
          <w:color w:val="auto"/>
        </w:rPr>
      </w:pPr>
    </w:p>
    <w:p>
      <w:pPr>
        <w:bidi w:val="0"/>
        <w:spacing w:line="400" w:lineRule="exact"/>
        <w:jc w:val="center"/>
        <w:rPr>
          <w:rFonts w:hint="eastAsia" w:ascii="宋体" w:hAnsi="宋体" w:eastAsia="宋体" w:cs="宋体"/>
          <w:color w:val="auto"/>
          <w:sz w:val="32"/>
          <w:szCs w:val="32"/>
        </w:rPr>
      </w:pPr>
    </w:p>
    <w:p>
      <w:pPr>
        <w:bidi w:val="0"/>
        <w:spacing w:line="480" w:lineRule="auto"/>
        <w:jc w:val="center"/>
        <w:outlineLvl w:val="0"/>
        <w:rPr>
          <w:rFonts w:hint="eastAsia" w:ascii="宋体" w:hAnsi="宋体" w:eastAsia="宋体" w:cs="宋体"/>
          <w:color w:val="auto"/>
          <w:sz w:val="28"/>
          <w:szCs w:val="28"/>
        </w:rPr>
      </w:pPr>
      <w:bookmarkStart w:id="967" w:name="_Toc25252"/>
      <w:bookmarkStart w:id="968" w:name="_Toc1594"/>
      <w:bookmarkStart w:id="969" w:name="_Toc18403"/>
      <w:bookmarkStart w:id="970" w:name="_Toc27470"/>
      <w:bookmarkStart w:id="971" w:name="_Toc10910"/>
      <w:bookmarkStart w:id="972" w:name="_Toc20941"/>
      <w:bookmarkStart w:id="973" w:name="_Toc19439"/>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bookmarkEnd w:id="967"/>
      <w:bookmarkEnd w:id="968"/>
      <w:bookmarkEnd w:id="969"/>
      <w:bookmarkEnd w:id="970"/>
      <w:bookmarkEnd w:id="971"/>
      <w:bookmarkEnd w:id="972"/>
      <w:bookmarkEnd w:id="973"/>
    </w:p>
    <w:p>
      <w:pPr>
        <w:bidi w:val="0"/>
        <w:spacing w:line="480" w:lineRule="auto"/>
        <w:jc w:val="center"/>
        <w:outlineLvl w:val="0"/>
        <w:rPr>
          <w:rFonts w:hint="eastAsia" w:ascii="宋体" w:hAnsi="宋体" w:eastAsia="宋体" w:cs="宋体"/>
          <w:color w:val="auto"/>
          <w:sz w:val="28"/>
          <w:szCs w:val="28"/>
        </w:rPr>
      </w:pPr>
      <w:bookmarkStart w:id="974" w:name="_Toc30919"/>
      <w:bookmarkStart w:id="975" w:name="_Toc950"/>
      <w:bookmarkStart w:id="976" w:name="_Toc2011"/>
      <w:bookmarkStart w:id="977" w:name="_Toc10135"/>
      <w:bookmarkStart w:id="978" w:name="_Toc23142"/>
      <w:bookmarkStart w:id="979" w:name="_Toc1597"/>
      <w:bookmarkStart w:id="980" w:name="_Toc515"/>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bookmarkEnd w:id="974"/>
      <w:bookmarkEnd w:id="975"/>
      <w:bookmarkEnd w:id="976"/>
      <w:bookmarkEnd w:id="977"/>
      <w:bookmarkEnd w:id="978"/>
      <w:bookmarkEnd w:id="979"/>
      <w:bookmarkEnd w:id="980"/>
    </w:p>
    <w:p>
      <w:pPr>
        <w:bidi w:val="0"/>
        <w:spacing w:line="480" w:lineRule="auto"/>
        <w:jc w:val="center"/>
        <w:outlineLvl w:val="0"/>
        <w:rPr>
          <w:rFonts w:hint="eastAsia"/>
          <w:color w:val="auto"/>
          <w:sz w:val="44"/>
          <w:szCs w:val="44"/>
        </w:rPr>
      </w:pPr>
      <w:r>
        <w:rPr>
          <w:rFonts w:hint="eastAsia" w:ascii="宋体" w:hAnsi="宋体" w:eastAsia="宋体" w:cs="宋体"/>
          <w:color w:val="auto"/>
          <w:sz w:val="28"/>
          <w:szCs w:val="28"/>
          <w:u w:val="single"/>
        </w:rPr>
        <w:t xml:space="preserve">         </w:t>
      </w:r>
      <w:bookmarkStart w:id="981" w:name="_Toc27710"/>
      <w:bookmarkStart w:id="982" w:name="_Toc15514"/>
      <w:bookmarkStart w:id="983" w:name="_Toc19181"/>
      <w:bookmarkStart w:id="984" w:name="_Toc12370"/>
      <w:bookmarkStart w:id="985" w:name="_Toc8085"/>
      <w:bookmarkStart w:id="986" w:name="_Toc19483"/>
      <w:bookmarkStart w:id="987" w:name="_Toc30149"/>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981"/>
      <w:bookmarkEnd w:id="982"/>
      <w:bookmarkEnd w:id="983"/>
      <w:bookmarkEnd w:id="984"/>
      <w:bookmarkEnd w:id="985"/>
      <w:bookmarkEnd w:id="986"/>
      <w:bookmarkEnd w:id="987"/>
      <w:bookmarkStart w:id="988" w:name="_Toc472429341"/>
      <w:bookmarkStart w:id="989" w:name="_Toc472337696"/>
    </w:p>
    <w:p>
      <w:pPr>
        <w:pStyle w:val="3"/>
        <w:numPr>
          <w:ilvl w:val="0"/>
          <w:numId w:val="0"/>
        </w:numPr>
        <w:bidi w:val="0"/>
        <w:spacing w:line="360" w:lineRule="auto"/>
        <w:ind w:right="210"/>
        <w:jc w:val="center"/>
        <w:rPr>
          <w:rFonts w:hint="eastAsia" w:ascii="宋体" w:hAnsi="宋体" w:eastAsia="宋体" w:cs="宋体"/>
          <w:b/>
          <w:bCs/>
          <w:color w:val="auto"/>
          <w:sz w:val="44"/>
          <w:szCs w:val="44"/>
        </w:rPr>
      </w:pPr>
      <w:bookmarkStart w:id="990" w:name="_Toc30667"/>
      <w:bookmarkStart w:id="991" w:name="_Toc6800"/>
      <w:bookmarkStart w:id="992" w:name="_Toc3067"/>
      <w:bookmarkStart w:id="993" w:name="_Toc19613"/>
      <w:bookmarkStart w:id="994" w:name="_Toc9840"/>
      <w:bookmarkStart w:id="995" w:name="_Toc4178"/>
      <w:bookmarkStart w:id="996" w:name="_Toc22470"/>
      <w:r>
        <w:rPr>
          <w:rFonts w:hint="eastAsia" w:ascii="宋体" w:hAnsi="宋体" w:eastAsia="宋体" w:cs="宋体"/>
          <w:b/>
          <w:bCs/>
          <w:color w:val="auto"/>
          <w:sz w:val="44"/>
          <w:szCs w:val="44"/>
        </w:rPr>
        <w:t>目    录</w:t>
      </w:r>
      <w:bookmarkEnd w:id="990"/>
      <w:bookmarkEnd w:id="991"/>
      <w:bookmarkEnd w:id="992"/>
      <w:bookmarkEnd w:id="993"/>
      <w:bookmarkEnd w:id="994"/>
      <w:bookmarkEnd w:id="995"/>
      <w:bookmarkEnd w:id="996"/>
    </w:p>
    <w:p>
      <w:pPr>
        <w:pStyle w:val="3"/>
        <w:numPr>
          <w:ilvl w:val="0"/>
          <w:numId w:val="0"/>
        </w:numPr>
        <w:bidi w:val="0"/>
        <w:spacing w:line="400" w:lineRule="exact"/>
        <w:ind w:right="210"/>
        <w:jc w:val="both"/>
        <w:outlineLvl w:val="9"/>
        <w:rPr>
          <w:rFonts w:hint="eastAsia" w:ascii="宋体" w:hAnsi="宋体" w:eastAsia="宋体" w:cs="宋体"/>
          <w:color w:val="auto"/>
          <w:szCs w:val="32"/>
        </w:rPr>
      </w:pPr>
    </w:p>
    <w:bookmarkEnd w:id="988"/>
    <w:bookmarkEnd w:id="989"/>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997" w:name="_Toc30931"/>
      <w:bookmarkStart w:id="998" w:name="_Toc9737"/>
      <w:bookmarkStart w:id="999" w:name="_Toc18284"/>
      <w:bookmarkStart w:id="1000" w:name="_Toc29136"/>
      <w:bookmarkStart w:id="1001" w:name="_Toc30841"/>
      <w:bookmarkStart w:id="1002" w:name="_Toc6787"/>
      <w:bookmarkStart w:id="1003" w:name="_Toc15397"/>
      <w:r>
        <w:rPr>
          <w:rFonts w:hint="eastAsia" w:ascii="宋体" w:hAnsi="宋体" w:eastAsia="宋体" w:cs="宋体"/>
          <w:color w:val="auto"/>
          <w:sz w:val="22"/>
          <w:szCs w:val="22"/>
        </w:rPr>
        <w:t>一、投标函及投标函附录</w:t>
      </w:r>
      <w:bookmarkEnd w:id="997"/>
      <w:bookmarkEnd w:id="998"/>
      <w:bookmarkEnd w:id="999"/>
      <w:bookmarkEnd w:id="1000"/>
      <w:bookmarkEnd w:id="1001"/>
      <w:bookmarkEnd w:id="1002"/>
      <w:bookmarkEnd w:id="1003"/>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04" w:name="_Toc15526"/>
      <w:bookmarkStart w:id="1005" w:name="_Toc20125"/>
      <w:bookmarkStart w:id="1006" w:name="_Toc13304"/>
      <w:bookmarkStart w:id="1007" w:name="_Toc4312"/>
      <w:bookmarkStart w:id="1008" w:name="_Toc31214"/>
      <w:bookmarkStart w:id="1009" w:name="_Toc23372"/>
      <w:bookmarkStart w:id="1010" w:name="_Toc12091"/>
      <w:r>
        <w:rPr>
          <w:rFonts w:hint="eastAsia" w:ascii="宋体" w:hAnsi="宋体" w:eastAsia="宋体" w:cs="宋体"/>
          <w:color w:val="auto"/>
          <w:sz w:val="22"/>
          <w:szCs w:val="22"/>
        </w:rPr>
        <w:t>二、法定代表人（单位负责人）身份证明（适用于无委托代理人的情况）</w:t>
      </w:r>
      <w:bookmarkEnd w:id="1004"/>
      <w:bookmarkEnd w:id="1005"/>
      <w:bookmarkEnd w:id="1006"/>
      <w:bookmarkEnd w:id="1007"/>
      <w:bookmarkEnd w:id="1008"/>
      <w:bookmarkEnd w:id="1009"/>
      <w:bookmarkEnd w:id="1010"/>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11" w:name="_Toc11116"/>
      <w:bookmarkStart w:id="1012" w:name="_Toc5706"/>
      <w:bookmarkStart w:id="1013" w:name="_Toc8441"/>
      <w:bookmarkStart w:id="1014" w:name="_Toc5821"/>
      <w:bookmarkStart w:id="1015" w:name="_Toc30501"/>
      <w:bookmarkStart w:id="1016" w:name="_Toc10137"/>
      <w:bookmarkStart w:id="1017" w:name="_Toc985"/>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、授权委托书（适用于有委托代理人的情况）</w:t>
      </w:r>
      <w:bookmarkEnd w:id="1011"/>
      <w:bookmarkEnd w:id="1012"/>
      <w:bookmarkEnd w:id="1013"/>
      <w:bookmarkEnd w:id="1014"/>
      <w:bookmarkEnd w:id="1015"/>
      <w:bookmarkEnd w:id="1016"/>
      <w:bookmarkEnd w:id="1017"/>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18" w:name="_Toc1717"/>
      <w:bookmarkStart w:id="1019" w:name="_Toc6019"/>
      <w:bookmarkStart w:id="1020" w:name="_Toc32335"/>
      <w:bookmarkStart w:id="1021" w:name="_Toc24747"/>
      <w:bookmarkStart w:id="1022" w:name="_Toc1905"/>
      <w:bookmarkStart w:id="1023" w:name="_Toc27715"/>
      <w:bookmarkStart w:id="1024" w:name="_Toc1943"/>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、分项报价表</w:t>
      </w:r>
      <w:bookmarkEnd w:id="1018"/>
      <w:bookmarkEnd w:id="1019"/>
      <w:bookmarkEnd w:id="1020"/>
      <w:bookmarkEnd w:id="1021"/>
      <w:bookmarkEnd w:id="1022"/>
      <w:bookmarkEnd w:id="1023"/>
      <w:bookmarkEnd w:id="1024"/>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（一）货物分项报价一览表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（二）小型、微型（监狱、残疾人福利性单位）企业产品明细表</w:t>
      </w:r>
      <w:r>
        <w:rPr>
          <w:rFonts w:hint="eastAsia" w:ascii="宋体" w:hAnsi="宋体" w:eastAsia="宋体" w:cs="宋体"/>
          <w:color w:val="auto"/>
          <w:sz w:val="22"/>
          <w:szCs w:val="22"/>
          <w:lang w:eastAsia="zh-CN"/>
        </w:rPr>
        <w:t>（非专门面向中小企业适用）</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25" w:name="_Toc31055"/>
      <w:bookmarkStart w:id="1026" w:name="_Toc16111"/>
      <w:bookmarkStart w:id="1027" w:name="_Toc6903"/>
      <w:bookmarkStart w:id="1028" w:name="_Toc3368"/>
      <w:bookmarkStart w:id="1029" w:name="_Toc76"/>
      <w:bookmarkStart w:id="1030" w:name="_Toc31101"/>
      <w:bookmarkStart w:id="1031" w:name="_Toc19097"/>
      <w:r>
        <w:rPr>
          <w:rFonts w:hint="eastAsia" w:ascii="宋体" w:hAnsi="宋体" w:eastAsia="宋体" w:cs="宋体"/>
          <w:color w:val="auto"/>
          <w:sz w:val="22"/>
          <w:szCs w:val="22"/>
          <w:lang w:eastAsia="zh-CN"/>
        </w:rPr>
        <w:t>四、技术参数偏差表</w:t>
      </w:r>
      <w:bookmarkEnd w:id="1025"/>
      <w:bookmarkEnd w:id="1026"/>
      <w:bookmarkEnd w:id="1027"/>
      <w:bookmarkEnd w:id="1028"/>
      <w:bookmarkEnd w:id="1029"/>
      <w:bookmarkEnd w:id="1030"/>
      <w:bookmarkEnd w:id="1031"/>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32" w:name="_Toc7640"/>
      <w:bookmarkStart w:id="1033" w:name="_Toc23704"/>
      <w:bookmarkStart w:id="1034" w:name="_Toc19084"/>
      <w:bookmarkStart w:id="1035" w:name="_Toc22381"/>
      <w:bookmarkStart w:id="1036" w:name="_Toc15136"/>
      <w:bookmarkStart w:id="1037" w:name="_Toc28766"/>
      <w:r>
        <w:rPr>
          <w:rFonts w:hint="eastAsia" w:ascii="宋体" w:hAnsi="宋体" w:eastAsia="宋体" w:cs="宋体"/>
          <w:color w:val="auto"/>
          <w:sz w:val="22"/>
          <w:szCs w:val="22"/>
          <w:lang w:val="en-US" w:eastAsia="zh-CN"/>
        </w:rPr>
        <w:t>五、投标货物</w:t>
      </w:r>
      <w:r>
        <w:rPr>
          <w:rFonts w:hint="eastAsia" w:ascii="宋体" w:hAnsi="宋体" w:eastAsia="宋体" w:cs="宋体"/>
          <w:color w:val="auto"/>
          <w:sz w:val="22"/>
          <w:szCs w:val="22"/>
          <w:lang w:eastAsia="zh-CN"/>
        </w:rPr>
        <w:t>技术性能指标的详细描述</w:t>
      </w:r>
      <w:r>
        <w:rPr>
          <w:rFonts w:hint="eastAsia" w:ascii="宋体" w:hAnsi="宋体" w:eastAsia="宋体" w:cs="宋体"/>
          <w:color w:val="auto"/>
          <w:sz w:val="22"/>
          <w:szCs w:val="22"/>
          <w:lang w:val="en-US" w:eastAsia="zh-CN"/>
        </w:rPr>
        <w:t>及技术支持资料</w:t>
      </w:r>
      <w:bookmarkEnd w:id="1032"/>
      <w:bookmarkEnd w:id="1033"/>
      <w:bookmarkEnd w:id="1034"/>
      <w:bookmarkEnd w:id="1035"/>
      <w:bookmarkEnd w:id="1036"/>
      <w:bookmarkEnd w:id="1037"/>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val="en-US" w:eastAsia="zh-CN"/>
        </w:rPr>
      </w:pPr>
      <w:bookmarkStart w:id="1038" w:name="_Toc3642"/>
      <w:bookmarkStart w:id="1039" w:name="_Toc3543"/>
      <w:bookmarkStart w:id="1040" w:name="_Toc196"/>
      <w:bookmarkStart w:id="1041" w:name="_Toc25102"/>
      <w:bookmarkStart w:id="1042" w:name="_Toc17418"/>
      <w:bookmarkStart w:id="1043" w:name="_Toc18952"/>
      <w:bookmarkStart w:id="1044" w:name="_Toc32107"/>
      <w:r>
        <w:rPr>
          <w:rFonts w:hint="eastAsia" w:ascii="宋体" w:hAnsi="宋体" w:eastAsia="宋体" w:cs="宋体"/>
          <w:color w:val="auto"/>
          <w:sz w:val="22"/>
          <w:szCs w:val="22"/>
          <w:lang w:eastAsia="zh-CN"/>
        </w:rPr>
        <w:t>六</w:t>
      </w:r>
      <w:r>
        <w:rPr>
          <w:rFonts w:hint="eastAsia" w:ascii="宋体" w:hAnsi="宋体" w:eastAsia="宋体" w:cs="宋体"/>
          <w:color w:val="auto"/>
          <w:sz w:val="22"/>
          <w:szCs w:val="22"/>
        </w:rPr>
        <w:t>、售后服务承诺</w:t>
      </w:r>
      <w:bookmarkEnd w:id="1038"/>
      <w:bookmarkEnd w:id="1039"/>
      <w:bookmarkEnd w:id="1040"/>
      <w:bookmarkEnd w:id="1041"/>
      <w:bookmarkEnd w:id="1042"/>
      <w:bookmarkEnd w:id="1043"/>
      <w:bookmarkEnd w:id="1044"/>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45" w:name="_Toc25578"/>
      <w:bookmarkStart w:id="1046" w:name="_Toc29057"/>
      <w:bookmarkStart w:id="1047" w:name="_Toc16489"/>
      <w:bookmarkStart w:id="1048" w:name="_Toc7032"/>
      <w:bookmarkStart w:id="1049" w:name="_Toc23978"/>
      <w:bookmarkStart w:id="1050" w:name="_Toc26083"/>
      <w:bookmarkStart w:id="1051" w:name="_Toc21555"/>
      <w:r>
        <w:rPr>
          <w:rFonts w:hint="eastAsia" w:ascii="宋体" w:hAnsi="宋体" w:eastAsia="宋体" w:cs="宋体"/>
          <w:color w:val="auto"/>
          <w:sz w:val="22"/>
          <w:szCs w:val="22"/>
          <w:lang w:eastAsia="zh-CN"/>
        </w:rPr>
        <w:t>七</w:t>
      </w:r>
      <w:r>
        <w:rPr>
          <w:rFonts w:hint="eastAsia" w:ascii="宋体" w:hAnsi="宋体" w:eastAsia="宋体" w:cs="宋体"/>
          <w:color w:val="auto"/>
          <w:sz w:val="22"/>
          <w:szCs w:val="22"/>
        </w:rPr>
        <w:t>、资格审查资料</w:t>
      </w:r>
      <w:bookmarkEnd w:id="1045"/>
      <w:bookmarkEnd w:id="1046"/>
      <w:bookmarkEnd w:id="1047"/>
      <w:bookmarkEnd w:id="1048"/>
      <w:bookmarkEnd w:id="1049"/>
      <w:bookmarkEnd w:id="1050"/>
      <w:bookmarkEnd w:id="1051"/>
    </w:p>
    <w:p>
      <w:pPr>
        <w:pStyle w:val="15"/>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auto"/>
          <w:sz w:val="22"/>
          <w:szCs w:val="22"/>
        </w:rPr>
      </w:pPr>
      <w:bookmarkStart w:id="1052" w:name="_Toc17101"/>
      <w:bookmarkStart w:id="1053" w:name="_Toc13472"/>
      <w:bookmarkStart w:id="1054" w:name="_Toc8899"/>
      <w:bookmarkStart w:id="1055" w:name="_Toc8250"/>
      <w:bookmarkStart w:id="1056" w:name="_Toc23714"/>
      <w:bookmarkStart w:id="1057" w:name="_Toc20077"/>
      <w:bookmarkStart w:id="1058" w:name="_Toc14197"/>
      <w:r>
        <w:rPr>
          <w:rFonts w:hint="eastAsia" w:ascii="宋体" w:hAnsi="宋体" w:eastAsia="宋体" w:cs="宋体"/>
          <w:color w:val="auto"/>
          <w:sz w:val="22"/>
          <w:szCs w:val="22"/>
          <w:lang w:eastAsia="zh-CN"/>
        </w:rPr>
        <w:t>八、</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bookmarkEnd w:id="1052"/>
      <w:bookmarkEnd w:id="1053"/>
      <w:bookmarkEnd w:id="1054"/>
      <w:bookmarkEnd w:id="1055"/>
      <w:bookmarkEnd w:id="1056"/>
      <w:bookmarkEnd w:id="1057"/>
      <w:bookmarkEnd w:id="1058"/>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59" w:name="_Toc21067"/>
      <w:bookmarkStart w:id="1060" w:name="_Toc22590"/>
      <w:bookmarkStart w:id="1061" w:name="_Toc11185"/>
      <w:bookmarkStart w:id="1062" w:name="_Toc7869"/>
      <w:bookmarkStart w:id="1063" w:name="_Toc23214"/>
      <w:bookmarkStart w:id="1064" w:name="_Toc7964"/>
      <w:bookmarkStart w:id="1065" w:name="_Toc19561"/>
      <w:r>
        <w:rPr>
          <w:rFonts w:hint="eastAsia" w:hAnsi="宋体" w:cs="宋体"/>
          <w:color w:val="auto"/>
          <w:kern w:val="2"/>
          <w:sz w:val="22"/>
          <w:szCs w:val="22"/>
          <w:lang w:eastAsia="zh-CN"/>
        </w:rPr>
        <w:t>九</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残疾人福利性单位声明函</w:t>
      </w:r>
      <w:r>
        <w:rPr>
          <w:rFonts w:hint="eastAsia" w:hAnsi="宋体" w:eastAsia="宋体" w:cs="宋体"/>
          <w:color w:val="auto"/>
          <w:kern w:val="2"/>
          <w:sz w:val="22"/>
          <w:szCs w:val="22"/>
          <w:lang w:eastAsia="zh-CN"/>
        </w:rPr>
        <w:t>（</w:t>
      </w:r>
      <w:r>
        <w:rPr>
          <w:rFonts w:hint="eastAsia" w:ascii="宋体" w:hAnsi="宋体" w:eastAsia="宋体" w:cs="宋体"/>
          <w:color w:val="auto"/>
          <w:sz w:val="22"/>
          <w:szCs w:val="22"/>
        </w:rPr>
        <w:t>如有</w:t>
      </w:r>
      <w:r>
        <w:rPr>
          <w:rFonts w:hint="eastAsia" w:hAnsi="宋体" w:eastAsia="宋体" w:cs="宋体"/>
          <w:color w:val="auto"/>
          <w:sz w:val="22"/>
          <w:szCs w:val="22"/>
          <w:lang w:eastAsia="zh-CN"/>
        </w:rPr>
        <w:t>）</w:t>
      </w:r>
      <w:r>
        <w:rPr>
          <w:rFonts w:hint="eastAsia" w:ascii="宋体" w:hAnsi="宋体" w:eastAsia="宋体" w:cs="宋体"/>
          <w:color w:val="auto"/>
          <w:sz w:val="22"/>
          <w:szCs w:val="22"/>
          <w:lang w:eastAsia="zh-CN"/>
        </w:rPr>
        <w:t>（非专门面向中小企业适用）</w:t>
      </w:r>
      <w:bookmarkEnd w:id="1059"/>
      <w:bookmarkEnd w:id="1060"/>
      <w:bookmarkEnd w:id="1061"/>
      <w:bookmarkEnd w:id="1062"/>
      <w:bookmarkEnd w:id="1063"/>
      <w:bookmarkEnd w:id="1064"/>
      <w:bookmarkEnd w:id="1065"/>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66" w:name="_Toc21283"/>
      <w:bookmarkStart w:id="1067" w:name="_Toc32204"/>
      <w:bookmarkStart w:id="1068" w:name="_Toc26372"/>
      <w:bookmarkStart w:id="1069" w:name="_Toc13987"/>
      <w:bookmarkStart w:id="1070" w:name="_Toc27418"/>
      <w:bookmarkStart w:id="1071" w:name="_Toc3427"/>
      <w:bookmarkStart w:id="1072" w:name="_Toc3859"/>
      <w:r>
        <w:rPr>
          <w:rFonts w:hint="eastAsia" w:ascii="宋体" w:hAnsi="宋体" w:eastAsia="宋体" w:cs="宋体"/>
          <w:color w:val="auto"/>
          <w:sz w:val="22"/>
          <w:szCs w:val="22"/>
          <w:lang w:eastAsia="zh-CN"/>
        </w:rPr>
        <w:t>十、</w:t>
      </w:r>
      <w:r>
        <w:rPr>
          <w:rFonts w:hint="eastAsia" w:ascii="宋体" w:hAnsi="宋体" w:eastAsia="宋体" w:cs="宋体"/>
          <w:color w:val="auto"/>
          <w:sz w:val="22"/>
          <w:szCs w:val="22"/>
        </w:rPr>
        <w:t>监狱企业证明文件（如有）</w:t>
      </w:r>
      <w:r>
        <w:rPr>
          <w:rFonts w:hint="eastAsia" w:ascii="宋体" w:hAnsi="宋体" w:eastAsia="宋体" w:cs="宋体"/>
          <w:color w:val="auto"/>
          <w:sz w:val="22"/>
          <w:szCs w:val="22"/>
          <w:lang w:eastAsia="zh-CN"/>
        </w:rPr>
        <w:t>（非专门面向中小企业适用）</w:t>
      </w:r>
      <w:bookmarkEnd w:id="1066"/>
      <w:bookmarkEnd w:id="1067"/>
      <w:bookmarkEnd w:id="1068"/>
      <w:bookmarkEnd w:id="1069"/>
      <w:bookmarkEnd w:id="1070"/>
      <w:bookmarkEnd w:id="1071"/>
      <w:bookmarkEnd w:id="1072"/>
    </w:p>
    <w:p>
      <w:pPr>
        <w:keepNext w:val="0"/>
        <w:keepLines w:val="0"/>
        <w:pageBreakBefore w:val="0"/>
        <w:widowControl w:val="0"/>
        <w:kinsoku/>
        <w:wordWrap/>
        <w:overflowPunct/>
        <w:topLinePunct/>
        <w:bidi w:val="0"/>
        <w:snapToGrid/>
        <w:spacing w:before="120" w:beforeLines="50" w:after="120" w:afterLines="50" w:line="360" w:lineRule="auto"/>
        <w:ind w:right="1321" w:firstLine="440" w:firstLineChars="200"/>
        <w:textAlignment w:val="auto"/>
        <w:outlineLvl w:val="0"/>
        <w:rPr>
          <w:rFonts w:hint="eastAsia" w:ascii="宋体" w:hAnsi="宋体" w:eastAsia="宋体" w:cs="宋体"/>
          <w:color w:val="auto"/>
          <w:sz w:val="22"/>
          <w:szCs w:val="22"/>
        </w:rPr>
      </w:pPr>
      <w:bookmarkStart w:id="1073" w:name="_Toc4720"/>
      <w:bookmarkStart w:id="1074" w:name="_Toc18452"/>
      <w:bookmarkStart w:id="1075" w:name="_Toc25554"/>
      <w:bookmarkStart w:id="1076" w:name="_Toc26827"/>
      <w:bookmarkStart w:id="1077" w:name="_Toc23004"/>
      <w:bookmarkStart w:id="1078" w:name="_Toc27827"/>
      <w:bookmarkStart w:id="1079" w:name="_Toc9283"/>
      <w:bookmarkStart w:id="1080" w:name="_Toc20569"/>
      <w:r>
        <w:rPr>
          <w:rFonts w:hint="eastAsia" w:ascii="宋体" w:hAnsi="宋体" w:eastAsia="宋体" w:cs="宋体"/>
          <w:color w:val="auto"/>
          <w:sz w:val="22"/>
          <w:szCs w:val="22"/>
          <w:lang w:eastAsia="zh-CN"/>
        </w:rPr>
        <w:t>十一、</w:t>
      </w:r>
      <w:r>
        <w:rPr>
          <w:rFonts w:hint="eastAsia" w:ascii="宋体" w:hAnsi="宋体" w:eastAsia="宋体" w:cs="宋体"/>
          <w:color w:val="auto"/>
          <w:sz w:val="22"/>
          <w:szCs w:val="22"/>
        </w:rPr>
        <w:t>反商业贿赂承诺书</w:t>
      </w:r>
      <w:bookmarkEnd w:id="1073"/>
      <w:bookmarkEnd w:id="1074"/>
      <w:bookmarkEnd w:id="1075"/>
      <w:bookmarkEnd w:id="1076"/>
      <w:bookmarkEnd w:id="1077"/>
      <w:bookmarkEnd w:id="1078"/>
      <w:bookmarkEnd w:id="1079"/>
      <w:bookmarkEnd w:id="1080"/>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81" w:name="_Toc24244"/>
      <w:bookmarkStart w:id="1082" w:name="_Toc21606"/>
      <w:bookmarkStart w:id="1083" w:name="_Toc7937"/>
      <w:bookmarkStart w:id="1084" w:name="_Toc18313"/>
      <w:bookmarkStart w:id="1085" w:name="_Toc15912"/>
      <w:bookmarkStart w:id="1086" w:name="_Toc14494"/>
      <w:bookmarkStart w:id="1087" w:name="_Toc7257"/>
      <w:r>
        <w:rPr>
          <w:rFonts w:hint="eastAsia" w:ascii="宋体" w:hAnsi="宋体" w:eastAsia="宋体" w:cs="宋体"/>
          <w:color w:val="auto"/>
          <w:sz w:val="22"/>
          <w:szCs w:val="22"/>
          <w:lang w:eastAsia="zh-CN"/>
        </w:rPr>
        <w:t>十二</w:t>
      </w:r>
      <w:r>
        <w:rPr>
          <w:rFonts w:hint="eastAsia" w:ascii="宋体" w:hAnsi="宋体" w:eastAsia="宋体" w:cs="宋体"/>
          <w:color w:val="auto"/>
          <w:sz w:val="22"/>
          <w:szCs w:val="22"/>
        </w:rPr>
        <w:t>、其他材料</w:t>
      </w:r>
      <w:bookmarkEnd w:id="1081"/>
      <w:bookmarkEnd w:id="1082"/>
      <w:bookmarkEnd w:id="1083"/>
      <w:bookmarkEnd w:id="1084"/>
      <w:bookmarkEnd w:id="1085"/>
      <w:bookmarkEnd w:id="1086"/>
      <w:bookmarkEnd w:id="1087"/>
    </w:p>
    <w:p>
      <w:pPr>
        <w:pStyle w:val="3"/>
        <w:numPr>
          <w:ilvl w:val="0"/>
          <w:numId w:val="0"/>
        </w:numPr>
        <w:bidi w:val="0"/>
        <w:spacing w:line="400" w:lineRule="exact"/>
        <w:ind w:left="210" w:right="210"/>
        <w:jc w:val="center"/>
        <w:outlineLvl w:val="9"/>
        <w:rPr>
          <w:rFonts w:hint="eastAsia" w:ascii="宋体" w:hAnsi="宋体" w:eastAsia="宋体" w:cs="宋体"/>
          <w:b/>
          <w:color w:val="auto"/>
          <w:sz w:val="28"/>
          <w:szCs w:val="28"/>
        </w:rPr>
      </w:pPr>
      <w:bookmarkStart w:id="1088" w:name="_Toc472337697"/>
      <w:bookmarkStart w:id="1089" w:name="_Toc472429342"/>
    </w:p>
    <w:p>
      <w:pPr>
        <w:rPr>
          <w:rFonts w:hint="eastAsia"/>
          <w:color w:val="auto"/>
        </w:rPr>
      </w:pPr>
    </w:p>
    <w:p>
      <w:pPr>
        <w:pStyle w:val="25"/>
        <w:rPr>
          <w:rFonts w:hint="eastAsia"/>
          <w:color w:val="auto"/>
        </w:rPr>
      </w:pPr>
    </w:p>
    <w:p>
      <w:pPr>
        <w:bidi w:val="0"/>
        <w:rPr>
          <w:rFonts w:hint="eastAsia" w:ascii="宋体" w:hAnsi="宋体" w:eastAsia="宋体" w:cs="宋体"/>
          <w:color w:val="auto"/>
        </w:rPr>
      </w:pPr>
    </w:p>
    <w:p>
      <w:pPr>
        <w:pStyle w:val="3"/>
        <w:numPr>
          <w:ilvl w:val="0"/>
          <w:numId w:val="0"/>
        </w:numPr>
        <w:bidi w:val="0"/>
        <w:spacing w:line="400" w:lineRule="exact"/>
        <w:ind w:left="210" w:right="210"/>
        <w:jc w:val="center"/>
        <w:rPr>
          <w:rFonts w:hint="eastAsia" w:ascii="宋体" w:hAnsi="宋体" w:eastAsia="宋体" w:cs="宋体"/>
          <w:b/>
          <w:color w:val="auto"/>
          <w:sz w:val="28"/>
          <w:szCs w:val="28"/>
        </w:rPr>
      </w:pPr>
      <w:bookmarkStart w:id="1090" w:name="_Toc11338"/>
      <w:bookmarkStart w:id="1091" w:name="_Toc3585"/>
      <w:bookmarkStart w:id="1092" w:name="_Toc28961"/>
      <w:bookmarkStart w:id="1093" w:name="_Toc8066"/>
      <w:bookmarkStart w:id="1094" w:name="_Toc5265"/>
      <w:bookmarkStart w:id="1095" w:name="_Toc14549"/>
      <w:bookmarkStart w:id="1096" w:name="_Toc10009"/>
      <w:r>
        <w:rPr>
          <w:rFonts w:hint="eastAsia" w:ascii="宋体" w:hAnsi="宋体" w:eastAsia="宋体" w:cs="宋体"/>
          <w:b/>
          <w:color w:val="auto"/>
          <w:sz w:val="28"/>
          <w:szCs w:val="28"/>
        </w:rPr>
        <w:t>一、投标函及投标函附录</w:t>
      </w:r>
      <w:bookmarkEnd w:id="1088"/>
      <w:bookmarkEnd w:id="1089"/>
      <w:bookmarkEnd w:id="1090"/>
      <w:bookmarkEnd w:id="1091"/>
      <w:bookmarkEnd w:id="1092"/>
      <w:bookmarkEnd w:id="1093"/>
      <w:bookmarkEnd w:id="1094"/>
      <w:bookmarkEnd w:id="1095"/>
      <w:bookmarkEnd w:id="1096"/>
    </w:p>
    <w:p>
      <w:p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w:t>
      </w:r>
    </w:p>
    <w:p>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标段</w:t>
      </w:r>
      <w:r>
        <w:rPr>
          <w:rFonts w:hint="eastAsia" w:ascii="宋体" w:hAnsi="宋体" w:eastAsia="宋体" w:cs="宋体"/>
          <w:color w:val="auto"/>
          <w:sz w:val="21"/>
          <w:szCs w:val="21"/>
        </w:rPr>
        <w:t>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eastAsia="zh-CN"/>
        </w:rPr>
        <w:t>质保期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，提供招标文件规定的各项技术服务，并按合同约定履行义务。</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pPr>
        <w:bidi w:val="0"/>
        <w:spacing w:line="400" w:lineRule="exact"/>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5"/>
        <w:bidi w:val="0"/>
        <w:spacing w:line="400" w:lineRule="exact"/>
        <w:ind w:firstLine="210"/>
        <w:rPr>
          <w:rFonts w:hint="eastAsia" w:ascii="宋体" w:hAnsi="宋体" w:eastAsia="宋体" w:cs="宋体"/>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pStyle w:val="36"/>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pPr>
        <w:bidi w:val="0"/>
        <w:spacing w:line="400" w:lineRule="exact"/>
        <w:rPr>
          <w:rFonts w:hint="eastAsia" w:ascii="宋体" w:hAnsi="宋体" w:eastAsia="宋体" w:cs="宋体"/>
          <w:color w:val="auto"/>
          <w:sz w:val="21"/>
          <w:szCs w:val="21"/>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pPr>
              <w:widowControl/>
              <w:spacing w:line="400"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w:t>
            </w:r>
            <w:r>
              <w:rPr>
                <w:rFonts w:hint="eastAsia" w:ascii="宋体" w:hAnsi="宋体" w:eastAsia="宋体" w:cs="宋体"/>
                <w:color w:val="auto"/>
                <w:sz w:val="21"/>
                <w:szCs w:val="21"/>
                <w:lang w:val="en-US" w:eastAsia="zh-CN"/>
              </w:rPr>
              <w:t>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pPr>
              <w:widowControl/>
              <w:spacing w:line="400" w:lineRule="exact"/>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投标报价（元）</w:t>
            </w:r>
          </w:p>
        </w:tc>
        <w:tc>
          <w:tcPr>
            <w:tcW w:w="6794" w:type="dxa"/>
            <w:noWrap w:val="0"/>
            <w:vAlign w:val="center"/>
          </w:tcPr>
          <w:p>
            <w:pPr>
              <w:spacing w:line="400" w:lineRule="exact"/>
              <w:jc w:val="left"/>
              <w:rPr>
                <w:rFonts w:hint="eastAsia"/>
                <w:color w:val="auto"/>
                <w:lang w:val="en-US" w:eastAsia="zh-CN"/>
              </w:rPr>
            </w:pPr>
            <w:r>
              <w:rPr>
                <w:rFonts w:hint="eastAsia"/>
                <w:color w:val="auto"/>
                <w:lang w:val="en-US" w:eastAsia="zh-CN"/>
              </w:rPr>
              <w:t>大写：</w:t>
            </w:r>
          </w:p>
          <w:p>
            <w:pPr>
              <w:pStyle w:val="3"/>
              <w:jc w:val="left"/>
              <w:rPr>
                <w:rFonts w:hint="default"/>
                <w:color w:val="auto"/>
                <w:lang w:val="en-US" w:eastAsia="zh-CN"/>
              </w:rPr>
            </w:pPr>
            <w:r>
              <w:rPr>
                <w:rFonts w:hint="eastAsia" w:asciiTheme="minorHAnsi" w:hAnsiTheme="minorHAnsi" w:eastAsiaTheme="minorEastAsia" w:cstheme="minorBidi"/>
                <w:b w:val="0"/>
                <w:bCs w:val="0"/>
                <w:color w:val="auto"/>
                <w:kern w:val="2"/>
                <w:sz w:val="21"/>
                <w:szCs w:val="22"/>
                <w:lang w:val="en-US" w:eastAsia="zh-CN" w:bidi="ar-SA"/>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6794"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交货地点</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val="en-US" w:eastAsia="zh-CN"/>
              </w:rPr>
            </w:pPr>
            <w:r>
              <w:rPr>
                <w:rFonts w:hint="eastAsia"/>
                <w:color w:val="auto"/>
                <w:szCs w:val="21"/>
              </w:rPr>
              <w:t>签订合同后</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rPr>
              <w:t>日历天内供货、安装、调试完毕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noWrap w:val="0"/>
            <w:vAlign w:val="center"/>
          </w:tcPr>
          <w:p>
            <w:pPr>
              <w:spacing w:line="40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价格折扣</w:t>
            </w:r>
            <w:r>
              <w:rPr>
                <w:rFonts w:hint="eastAsia" w:ascii="宋体" w:hAnsi="宋体" w:eastAsia="宋体" w:cs="宋体"/>
                <w:color w:val="auto"/>
                <w:sz w:val="21"/>
                <w:szCs w:val="21"/>
                <w:lang w:val="en-US" w:eastAsia="zh-CN"/>
              </w:rPr>
              <w:t>（非专门面向中小企业采购时使用）</w:t>
            </w:r>
          </w:p>
        </w:tc>
        <w:tc>
          <w:tcPr>
            <w:tcW w:w="6794" w:type="dxa"/>
            <w:noWrap w:val="0"/>
            <w:vAlign w:val="center"/>
          </w:tcPr>
          <w:p>
            <w:pPr>
              <w:pStyle w:val="50"/>
              <w:widowControl w:val="0"/>
              <w:autoSpaceDE w:val="0"/>
              <w:autoSpaceDN w:val="0"/>
              <w:spacing w:before="0" w:after="0"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符合小微企业价格折扣（</w:t>
            </w:r>
            <w:r>
              <w:rPr>
                <w:rFonts w:hint="eastAsia" w:ascii="宋体" w:hAnsi="宋体" w:eastAsia="宋体" w:cs="宋体"/>
                <w:color w:val="auto"/>
                <w:spacing w:val="-1"/>
                <w:sz w:val="21"/>
                <w:szCs w:val="21"/>
                <w:u w:val="single"/>
                <w:lang w:eastAsia="zh-CN"/>
              </w:rPr>
              <w:t>是</w:t>
            </w:r>
            <w:r>
              <w:rPr>
                <w:rFonts w:hint="eastAsia" w:ascii="宋体" w:hAnsi="宋体" w:eastAsia="宋体" w:cs="宋体"/>
                <w:color w:val="auto"/>
                <w:spacing w:val="-1"/>
                <w:sz w:val="21"/>
                <w:szCs w:val="21"/>
                <w:u w:val="single"/>
                <w:lang w:val="en-US" w:eastAsia="zh-CN"/>
              </w:rPr>
              <w:t>/否</w:t>
            </w:r>
            <w:r>
              <w:rPr>
                <w:rFonts w:hint="eastAsia" w:ascii="宋体" w:hAnsi="宋体" w:eastAsia="宋体" w:cs="宋体"/>
                <w:color w:val="auto"/>
                <w:spacing w:val="-1"/>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widowControl/>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pPr>
              <w:widowControl/>
              <w:spacing w:line="400" w:lineRule="exact"/>
              <w:ind w:firstLine="1260" w:firstLineChars="600"/>
              <w:jc w:val="left"/>
              <w:rPr>
                <w:rFonts w:hint="eastAsia" w:ascii="宋体" w:hAnsi="宋体" w:eastAsia="宋体" w:cs="宋体"/>
                <w:color w:val="auto"/>
                <w:sz w:val="21"/>
                <w:szCs w:val="21"/>
              </w:rPr>
            </w:pPr>
            <w:r>
              <w:rPr>
                <w:rFonts w:hint="eastAsia" w:asciiTheme="minorEastAsia" w:hAnsiTheme="minorEastAsia" w:cstheme="minorEastAsia"/>
                <w:color w:val="auto"/>
                <w:sz w:val="21"/>
                <w:szCs w:val="21"/>
                <w:highlight w:val="none"/>
                <w:lang w:val="en-US" w:eastAsia="zh-CN"/>
              </w:rPr>
              <w:t>响应内容符合第五章采购内容和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bl>
    <w:p>
      <w:pPr>
        <w:bidi w:val="0"/>
        <w:spacing w:line="400" w:lineRule="exact"/>
        <w:ind w:firstLine="422" w:firstLineChars="200"/>
        <w:rPr>
          <w:rFonts w:hint="eastAsia" w:ascii="宋体" w:hAnsi="宋体" w:eastAsia="宋体" w:cs="宋体"/>
          <w:b/>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after="206" w:afterLines="50" w:line="400" w:lineRule="exact"/>
        <w:jc w:val="center"/>
        <w:rPr>
          <w:rFonts w:hint="eastAsia" w:ascii="宋体" w:hAnsi="宋体" w:eastAsia="宋体" w:cs="宋体"/>
          <w:color w:val="auto"/>
          <w:sz w:val="21"/>
          <w:szCs w:val="21"/>
        </w:rPr>
      </w:pPr>
    </w:p>
    <w:p>
      <w:pPr>
        <w:pStyle w:val="25"/>
        <w:bidi w:val="0"/>
        <w:spacing w:line="400" w:lineRule="exact"/>
        <w:ind w:firstLine="21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5"/>
        <w:numPr>
          <w:ilvl w:val="0"/>
          <w:numId w:val="0"/>
        </w:numPr>
        <w:bidi w:val="0"/>
        <w:spacing w:line="400" w:lineRule="exact"/>
        <w:jc w:val="center"/>
        <w:outlineLvl w:val="0"/>
        <w:rPr>
          <w:rFonts w:hint="eastAsia" w:ascii="宋体" w:hAnsi="宋体" w:eastAsia="宋体" w:cs="宋体"/>
          <w:b/>
          <w:color w:val="auto"/>
          <w:sz w:val="28"/>
          <w:szCs w:val="28"/>
        </w:rPr>
      </w:pPr>
      <w:bookmarkStart w:id="1097" w:name="_Toc8168"/>
      <w:bookmarkStart w:id="1098" w:name="_Toc7549"/>
      <w:bookmarkStart w:id="1099" w:name="_Toc13815"/>
      <w:bookmarkStart w:id="1100" w:name="_Toc17442"/>
      <w:bookmarkStart w:id="1101" w:name="_Toc12840"/>
      <w:bookmarkStart w:id="1102" w:name="_Toc24370"/>
      <w:r>
        <w:rPr>
          <w:rFonts w:hint="eastAsia" w:ascii="宋体" w:hAnsi="宋体" w:eastAsia="宋体" w:cs="宋体"/>
          <w:b/>
          <w:color w:val="auto"/>
          <w:sz w:val="28"/>
          <w:szCs w:val="28"/>
        </w:rPr>
        <w:t>二、法定代表人（单位负责人）身份证明</w:t>
      </w:r>
      <w:bookmarkEnd w:id="1097"/>
      <w:bookmarkEnd w:id="1098"/>
      <w:bookmarkEnd w:id="1099"/>
      <w:bookmarkEnd w:id="1100"/>
      <w:bookmarkEnd w:id="1101"/>
      <w:bookmarkEnd w:id="1102"/>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pPr>
        <w:pStyle w:val="25"/>
        <w:bidi w:val="0"/>
        <w:spacing w:line="400" w:lineRule="exact"/>
        <w:ind w:firstLine="21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515" w:firstLineChars="2150"/>
        <w:rPr>
          <w:rFonts w:hint="eastAsia" w:ascii="宋体" w:hAnsi="宋体" w:eastAsia="宋体" w:cs="宋体"/>
          <w:color w:val="auto"/>
          <w:sz w:val="21"/>
          <w:szCs w:val="21"/>
          <w:u w:val="single"/>
        </w:rPr>
      </w:pPr>
    </w:p>
    <w:p>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ind w:firstLine="420" w:firstLineChars="200"/>
        <w:rPr>
          <w:rFonts w:hint="eastAsia" w:ascii="宋体" w:hAnsi="宋体" w:eastAsia="宋体" w:cs="宋体"/>
          <w:color w:val="auto"/>
          <w:sz w:val="21"/>
          <w:szCs w:val="21"/>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5"/>
        <w:numPr>
          <w:ilvl w:val="0"/>
          <w:numId w:val="0"/>
        </w:numPr>
        <w:bidi w:val="0"/>
        <w:spacing w:line="400" w:lineRule="exact"/>
        <w:jc w:val="center"/>
        <w:outlineLvl w:val="0"/>
        <w:rPr>
          <w:rFonts w:hint="eastAsia" w:ascii="宋体" w:hAnsi="宋体" w:eastAsia="宋体" w:cs="宋体"/>
          <w:b/>
          <w:color w:val="auto"/>
          <w:sz w:val="28"/>
          <w:szCs w:val="28"/>
          <w:lang w:eastAsia="zh-CN"/>
        </w:rPr>
      </w:pPr>
      <w:bookmarkStart w:id="1103" w:name="_Toc22027"/>
      <w:bookmarkStart w:id="1104" w:name="_Toc25946"/>
      <w:bookmarkStart w:id="1105" w:name="_Toc21396"/>
      <w:bookmarkStart w:id="1106" w:name="_Toc184635140"/>
      <w:bookmarkStart w:id="1107" w:name="_Toc6206"/>
      <w:bookmarkStart w:id="1108" w:name="_Toc16604"/>
      <w:bookmarkStart w:id="1109" w:name="_Toc27003"/>
      <w:bookmarkStart w:id="1110" w:name="_Toc5622"/>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、授权委托书</w:t>
      </w:r>
      <w:bookmarkEnd w:id="1103"/>
      <w:bookmarkEnd w:id="1104"/>
      <w:bookmarkEnd w:id="1105"/>
      <w:bookmarkEnd w:id="1106"/>
      <w:bookmarkEnd w:id="1107"/>
      <w:bookmarkEnd w:id="1108"/>
      <w:bookmarkEnd w:id="1109"/>
      <w:bookmarkEnd w:id="1110"/>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系（投标人名称）的法定代表人，现委托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（项目名称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eastAsia="zh-CN"/>
        </w:rPr>
        <w:t>标段</w:t>
      </w:r>
      <w:r>
        <w:rPr>
          <w:rFonts w:hint="eastAsia" w:ascii="宋体" w:hAnsi="宋体" w:eastAsia="宋体" w:cs="宋体"/>
          <w:color w:val="auto"/>
          <w:sz w:val="21"/>
          <w:szCs w:val="21"/>
        </w:rPr>
        <w:t>投标文件、签订合同和处理有关事宜，其法律后果由我方承担。</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pPr>
        <w:pStyle w:val="15"/>
        <w:bidi w:val="0"/>
        <w:rPr>
          <w:rFonts w:hint="eastAsia" w:ascii="宋体" w:hAnsi="宋体" w:eastAsia="宋体" w:cs="宋体"/>
          <w:color w:val="auto"/>
          <w:sz w:val="21"/>
          <w:szCs w:val="21"/>
          <w:lang w:eastAsia="zh-CN"/>
        </w:rPr>
      </w:pPr>
    </w:p>
    <w:p>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委托期限：本授权书至投标有效期结束前始终有效</w:t>
      </w:r>
      <w:r>
        <w:rPr>
          <w:rFonts w:hint="eastAsia" w:ascii="宋体" w:hAnsi="宋体" w:eastAsia="宋体" w:cs="宋体"/>
          <w:b/>
          <w:bCs/>
          <w:color w:val="auto"/>
          <w:sz w:val="21"/>
          <w:szCs w:val="21"/>
        </w:rPr>
        <w:t>。</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注：本授权委托书需由投标人加盖单位公章并由法定代表人和委托代理人签字。</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5355" w:firstLineChars="2550"/>
        <w:rPr>
          <w:rFonts w:hint="eastAsia" w:ascii="宋体" w:hAnsi="宋体" w:eastAsia="宋体" w:cs="宋体"/>
          <w:color w:val="auto"/>
          <w:sz w:val="21"/>
          <w:szCs w:val="21"/>
        </w:rPr>
      </w:pPr>
    </w:p>
    <w:p>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bCs/>
          <w:color w:val="auto"/>
          <w:sz w:val="21"/>
          <w:szCs w:val="21"/>
        </w:rPr>
      </w:pPr>
    </w:p>
    <w:p>
      <w:pPr>
        <w:bidi w:val="0"/>
        <w:spacing w:line="400" w:lineRule="exact"/>
        <w:rPr>
          <w:rFonts w:hint="eastAsia" w:ascii="宋体" w:hAnsi="宋体" w:eastAsia="宋体" w:cs="宋体"/>
          <w:bCs/>
          <w:color w:val="auto"/>
          <w:sz w:val="21"/>
          <w:szCs w:val="21"/>
        </w:rPr>
      </w:pPr>
    </w:p>
    <w:p>
      <w:pPr>
        <w:pStyle w:val="25"/>
        <w:bidi w:val="0"/>
        <w:spacing w:line="400" w:lineRule="exact"/>
        <w:ind w:left="0" w:leftChars="0" w:firstLine="0" w:firstLineChars="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26"/>
        <w:rPr>
          <w:rFonts w:hint="eastAsia" w:ascii="宋体" w:hAnsi="宋体" w:eastAsia="宋体" w:cs="宋体"/>
          <w:color w:val="auto"/>
          <w:sz w:val="21"/>
          <w:szCs w:val="21"/>
        </w:rPr>
      </w:pPr>
    </w:p>
    <w:p>
      <w:pPr>
        <w:pStyle w:val="4"/>
        <w:numPr>
          <w:ilvl w:val="0"/>
          <w:numId w:val="0"/>
        </w:numPr>
        <w:bidi w:val="0"/>
        <w:spacing w:before="60" w:after="60" w:line="400" w:lineRule="exact"/>
        <w:jc w:val="center"/>
        <w:outlineLvl w:val="0"/>
        <w:rPr>
          <w:rFonts w:hint="eastAsia" w:ascii="宋体" w:hAnsi="宋体" w:eastAsia="宋体" w:cs="宋体"/>
          <w:b/>
          <w:color w:val="auto"/>
          <w:sz w:val="28"/>
          <w:szCs w:val="28"/>
        </w:rPr>
      </w:pPr>
      <w:bookmarkStart w:id="1111" w:name="_Toc5581"/>
      <w:bookmarkStart w:id="1112" w:name="_Toc1782"/>
      <w:bookmarkStart w:id="1113" w:name="_Toc12611"/>
      <w:bookmarkStart w:id="1114" w:name="_Toc12208"/>
      <w:bookmarkStart w:id="1115" w:name="_Toc10813"/>
      <w:bookmarkStart w:id="1116" w:name="_Toc32707"/>
      <w:bookmarkStart w:id="1117" w:name="_Toc20658"/>
      <w:r>
        <w:rPr>
          <w:rFonts w:hint="eastAsia" w:eastAsia="宋体" w:cs="宋体"/>
          <w:b/>
          <w:color w:val="auto"/>
          <w:sz w:val="28"/>
          <w:szCs w:val="28"/>
          <w:lang w:eastAsia="zh-CN"/>
        </w:rPr>
        <w:t>三、</w:t>
      </w:r>
      <w:r>
        <w:rPr>
          <w:rFonts w:hint="eastAsia" w:ascii="宋体" w:hAnsi="宋体" w:eastAsia="宋体" w:cs="宋体"/>
          <w:b/>
          <w:color w:val="auto"/>
          <w:sz w:val="28"/>
          <w:szCs w:val="28"/>
        </w:rPr>
        <w:t>分项报价表</w:t>
      </w:r>
      <w:bookmarkEnd w:id="1111"/>
      <w:bookmarkEnd w:id="1112"/>
      <w:bookmarkEnd w:id="1113"/>
      <w:bookmarkEnd w:id="1114"/>
      <w:bookmarkEnd w:id="1115"/>
      <w:bookmarkEnd w:id="1116"/>
      <w:bookmarkEnd w:id="1117"/>
    </w:p>
    <w:p>
      <w:pPr>
        <w:bidi w:val="0"/>
        <w:spacing w:line="400" w:lineRule="exact"/>
        <w:ind w:left="699" w:leftChars="227" w:hanging="222" w:hangingChars="106"/>
        <w:rPr>
          <w:rFonts w:hint="eastAsia" w:ascii="宋体" w:hAnsi="宋体" w:eastAsia="宋体" w:cs="宋体"/>
          <w:color w:val="auto"/>
          <w:sz w:val="21"/>
          <w:szCs w:val="21"/>
        </w:rPr>
      </w:pPr>
    </w:p>
    <w:p>
      <w:pPr>
        <w:numPr>
          <w:ilvl w:val="0"/>
          <w:numId w:val="2"/>
        </w:numPr>
        <w:spacing w:line="360" w:lineRule="exact"/>
        <w:jc w:val="center"/>
        <w:outlineLvl w:val="1"/>
        <w:rPr>
          <w:rFonts w:hint="eastAsia" w:ascii="宋体" w:hAnsi="宋体" w:eastAsia="宋体" w:cs="宋体"/>
          <w:color w:val="auto"/>
        </w:rPr>
      </w:pPr>
      <w:r>
        <w:rPr>
          <w:rFonts w:hint="eastAsia" w:ascii="宋体" w:hAnsi="宋体" w:eastAsia="宋体" w:cs="宋体"/>
          <w:b/>
          <w:color w:val="auto"/>
          <w:sz w:val="24"/>
          <w:szCs w:val="24"/>
        </w:rPr>
        <w:t>货物分项报价一览表</w:t>
      </w:r>
    </w:p>
    <w:p>
      <w:pPr>
        <w:spacing w:line="312" w:lineRule="auto"/>
        <w:jc w:val="center"/>
        <w:outlineLvl w:val="0"/>
        <w:rPr>
          <w:rFonts w:hint="eastAsia" w:ascii="宋体" w:hAnsi="宋体" w:eastAsia="宋体" w:cs="宋体"/>
          <w:b/>
          <w:color w:val="auto"/>
          <w:sz w:val="21"/>
          <w:szCs w:val="21"/>
        </w:rPr>
      </w:pPr>
      <w:r>
        <w:rPr>
          <w:rFonts w:hint="eastAsia" w:ascii="宋体" w:hAnsi="宋体" w:eastAsia="宋体" w:cs="宋体"/>
          <w:b/>
          <w:color w:val="auto"/>
          <w:sz w:val="28"/>
          <w:szCs w:val="28"/>
        </w:rPr>
        <w:t xml:space="preserve">                                          </w:t>
      </w:r>
      <w:bookmarkStart w:id="1118" w:name="_Toc157"/>
      <w:bookmarkStart w:id="1119" w:name="_Toc7100"/>
      <w:bookmarkStart w:id="1120" w:name="_Toc14711"/>
      <w:bookmarkStart w:id="1121" w:name="_Toc19778"/>
      <w:bookmarkStart w:id="1122" w:name="_Toc22113"/>
      <w:bookmarkStart w:id="1123" w:name="_Toc31783"/>
      <w:bookmarkStart w:id="1124" w:name="_Toc26635"/>
      <w:r>
        <w:rPr>
          <w:rFonts w:hint="eastAsia" w:ascii="宋体" w:hAnsi="宋体" w:eastAsia="宋体" w:cs="宋体"/>
          <w:b/>
          <w:color w:val="auto"/>
          <w:sz w:val="21"/>
          <w:szCs w:val="21"/>
        </w:rPr>
        <w:t>单位：元</w:t>
      </w:r>
      <w:bookmarkEnd w:id="1118"/>
      <w:bookmarkEnd w:id="1119"/>
      <w:bookmarkEnd w:id="1120"/>
      <w:bookmarkEnd w:id="1121"/>
      <w:bookmarkEnd w:id="1122"/>
      <w:bookmarkEnd w:id="1123"/>
      <w:bookmarkEnd w:id="112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056"/>
        <w:gridCol w:w="846"/>
        <w:gridCol w:w="636"/>
        <w:gridCol w:w="636"/>
        <w:gridCol w:w="636"/>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货物名称</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制造商</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品牌</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gridSpan w:val="7"/>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0" w:type="auto"/>
            <w:noWrap w:val="0"/>
            <w:vAlign w:val="top"/>
          </w:tcPr>
          <w:p>
            <w:pPr>
              <w:jc w:val="cente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bl>
    <w:p>
      <w:pPr>
        <w:spacing w:line="33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注：该表格仅供参考投标人，可根据需要自行扩展。</w:t>
      </w:r>
    </w:p>
    <w:p>
      <w:pPr>
        <w:spacing w:line="312" w:lineRule="auto"/>
        <w:rPr>
          <w:rFonts w:hint="eastAsia" w:ascii="宋体" w:hAnsi="宋体" w:eastAsia="宋体" w:cs="宋体"/>
          <w:color w:val="auto"/>
          <w:sz w:val="24"/>
        </w:rPr>
      </w:pP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投标单位（盖章）：                    </w:t>
      </w: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法定代表人或其委托代理人（签字或盖章）：</w:t>
      </w:r>
    </w:p>
    <w:p>
      <w:pPr>
        <w:spacing w:line="312"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pPr>
        <w:pStyle w:val="25"/>
        <w:rPr>
          <w:rFonts w:hint="eastAsia"/>
          <w:color w:val="auto"/>
        </w:rPr>
      </w:pPr>
    </w:p>
    <w:p>
      <w:pPr>
        <w:pStyle w:val="4"/>
        <w:numPr>
          <w:ilvl w:val="0"/>
          <w:numId w:val="2"/>
        </w:numPr>
        <w:adjustRightInd w:val="0"/>
        <w:snapToGrid w:val="0"/>
        <w:spacing w:line="400" w:lineRule="exact"/>
        <w:ind w:left="0" w:leftChars="0" w:firstLine="0" w:firstLineChars="0"/>
        <w:jc w:val="center"/>
        <w:outlineLvl w:val="0"/>
        <w:rPr>
          <w:rFonts w:hint="eastAsia" w:ascii="宋体" w:hAnsi="宋体" w:eastAsia="宋体" w:cs="宋体"/>
          <w:color w:val="auto"/>
        </w:rPr>
      </w:pPr>
      <w:bookmarkStart w:id="1125" w:name="_Toc15604"/>
      <w:bookmarkStart w:id="1126" w:name="_Toc6632"/>
      <w:bookmarkStart w:id="1127" w:name="_Toc8789"/>
      <w:bookmarkStart w:id="1128" w:name="_Toc29376"/>
      <w:bookmarkStart w:id="1129" w:name="_Toc676"/>
      <w:bookmarkStart w:id="1130" w:name="_Toc22772"/>
      <w:bookmarkStart w:id="1131" w:name="_Toc17383"/>
      <w:bookmarkStart w:id="1132" w:name="_Toc19193"/>
      <w:r>
        <w:rPr>
          <w:rFonts w:hint="eastAsia" w:ascii="宋体" w:hAnsi="宋体" w:eastAsia="宋体" w:cs="宋体"/>
          <w:color w:val="auto"/>
        </w:rPr>
        <w:t>小型、微型（监狱、残疾人福利性单位）企业产品明细表</w:t>
      </w:r>
      <w:bookmarkEnd w:id="1125"/>
      <w:bookmarkEnd w:id="1126"/>
      <w:bookmarkEnd w:id="1127"/>
      <w:bookmarkEnd w:id="1128"/>
      <w:bookmarkEnd w:id="1129"/>
      <w:bookmarkEnd w:id="1130"/>
      <w:bookmarkEnd w:id="1131"/>
      <w:bookmarkEnd w:id="1132"/>
    </w:p>
    <w:p>
      <w:pPr>
        <w:numPr>
          <w:ilvl w:val="0"/>
          <w:numId w:val="0"/>
        </w:numPr>
        <w:ind w:leftChars="0"/>
        <w:rPr>
          <w:rFonts w:hint="eastAsia"/>
          <w:color w:val="auto"/>
        </w:rPr>
      </w:pPr>
    </w:p>
    <w:tbl>
      <w:tblPr>
        <w:tblStyle w:val="2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098"/>
        <w:gridCol w:w="1630"/>
        <w:gridCol w:w="928"/>
        <w:gridCol w:w="1700"/>
        <w:gridCol w:w="665"/>
        <w:gridCol w:w="670"/>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62" w:type="dxa"/>
            <w:vMerge w:val="restart"/>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中小企业扶持政策</w:t>
            </w:r>
          </w:p>
        </w:tc>
        <w:tc>
          <w:tcPr>
            <w:tcW w:w="7337" w:type="dxa"/>
            <w:gridSpan w:val="7"/>
            <w:noWrap w:val="0"/>
            <w:vAlign w:val="center"/>
          </w:tcPr>
          <w:p>
            <w:pPr>
              <w:pStyle w:val="51"/>
              <w:tabs>
                <w:tab w:val="left" w:pos="1260"/>
              </w:tabs>
              <w:spacing w:before="40" w:after="40" w:line="400" w:lineRule="exact"/>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如属所列情形的，请在括号内打“√”：</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）小型、微型企业投标且提供本企业制造的产品。</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）小微企业投标且提供</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eastAsia="zh-CN"/>
              </w:rPr>
              <w:t>货物名称</w:t>
            </w: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品牌</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val="en-GB"/>
              </w:rPr>
              <w:t>型号</w:t>
            </w: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w:t>
            </w: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制造商企业类型</w:t>
            </w: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数量</w:t>
            </w: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单价</w:t>
            </w: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bl>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填报要求：</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 本表的</w:t>
      </w:r>
      <w:r>
        <w:rPr>
          <w:rFonts w:hint="eastAsia" w:ascii="宋体" w:hAnsi="宋体" w:eastAsia="宋体" w:cs="宋体"/>
          <w:color w:val="auto"/>
          <w:sz w:val="21"/>
          <w:szCs w:val="21"/>
          <w:lang w:eastAsia="zh-CN"/>
        </w:rPr>
        <w:t>货物名称</w:t>
      </w:r>
      <w:r>
        <w:rPr>
          <w:rFonts w:hint="eastAsia" w:ascii="宋体" w:hAnsi="宋体" w:eastAsia="宋体" w:cs="宋体"/>
          <w:color w:val="auto"/>
          <w:sz w:val="21"/>
          <w:szCs w:val="21"/>
        </w:rPr>
        <w:t>、规格型号和注册商标、金额应与《货物分项报价一览表》一致。</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 制造商为小型或微型企业时才需要填“制造商企业类型”栏，填写内容为“小型”或“微型”。（监狱企业、残疾人福利企业视同小微企业）</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请投标人正确填写本表，所填内容将作为评审的依据。其内容或数据应与对应的证明资料相符。</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.如产品较多时，投标人可自行增加表格。没有相关产品可不填此表。</w:t>
      </w:r>
    </w:p>
    <w:p>
      <w:pPr>
        <w:pStyle w:val="8"/>
        <w:spacing w:line="360" w:lineRule="auto"/>
        <w:ind w:left="0" w:leftChars="0" w:firstLine="0" w:firstLineChars="0"/>
        <w:rPr>
          <w:rFonts w:hint="eastAsia" w:ascii="宋体" w:hAnsi="宋体" w:eastAsia="宋体" w:cs="宋体"/>
          <w:color w:val="auto"/>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5"/>
        <w:rPr>
          <w:rFonts w:hint="eastAsia"/>
          <w:color w:val="auto"/>
        </w:rPr>
      </w:pPr>
    </w:p>
    <w:p>
      <w:pPr>
        <w:pStyle w:val="26"/>
        <w:rPr>
          <w:rFonts w:hint="eastAsia"/>
        </w:rPr>
      </w:pPr>
    </w:p>
    <w:p>
      <w:pPr>
        <w:pStyle w:val="26"/>
        <w:rPr>
          <w:rFonts w:hint="eastAsia"/>
          <w:color w:val="auto"/>
        </w:rPr>
      </w:pPr>
    </w:p>
    <w:p>
      <w:pPr>
        <w:rPr>
          <w:rFonts w:hint="eastAsia" w:ascii="宋体" w:hAnsi="宋体" w:eastAsia="宋体" w:cs="宋体"/>
          <w:b/>
          <w:color w:val="auto"/>
          <w:sz w:val="28"/>
          <w:szCs w:val="28"/>
          <w:lang w:eastAsia="zh-CN"/>
        </w:rPr>
      </w:pPr>
      <w:bookmarkStart w:id="1133" w:name="_Toc15434"/>
      <w:bookmarkStart w:id="1134" w:name="_Toc13983"/>
      <w:bookmarkStart w:id="1135" w:name="_Toc7405"/>
      <w:bookmarkStart w:id="1136" w:name="_Toc26659"/>
      <w:bookmarkStart w:id="1137" w:name="_Toc9351"/>
      <w:bookmarkStart w:id="1138" w:name="_Toc27746"/>
      <w:bookmarkStart w:id="1139" w:name="_Toc12002"/>
      <w:r>
        <w:rPr>
          <w:rFonts w:hint="eastAsia" w:ascii="宋体" w:hAnsi="宋体" w:eastAsia="宋体" w:cs="宋体"/>
          <w:b/>
          <w:color w:val="auto"/>
          <w:sz w:val="28"/>
          <w:szCs w:val="28"/>
          <w:lang w:eastAsia="zh-CN"/>
        </w:rPr>
        <w:br w:type="page"/>
      </w:r>
    </w:p>
    <w:p>
      <w:pPr>
        <w:pStyle w:val="25"/>
        <w:bidi w:val="0"/>
        <w:ind w:firstLine="540" w:firstLineChars="192"/>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四、技术参数偏差表</w:t>
      </w:r>
      <w:bookmarkEnd w:id="1133"/>
      <w:bookmarkEnd w:id="1134"/>
      <w:bookmarkEnd w:id="1135"/>
      <w:bookmarkEnd w:id="1136"/>
      <w:bookmarkEnd w:id="1137"/>
      <w:bookmarkEnd w:id="1138"/>
      <w:bookmarkEnd w:id="1139"/>
    </w:p>
    <w:p>
      <w:pPr>
        <w:tabs>
          <w:tab w:val="left" w:pos="926"/>
          <w:tab w:val="left" w:pos="4335"/>
          <w:tab w:val="left" w:pos="7227"/>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项目名称：                                              </w:t>
      </w:r>
    </w:p>
    <w:p>
      <w:pPr>
        <w:tabs>
          <w:tab w:val="left" w:pos="926"/>
          <w:tab w:val="left" w:pos="4335"/>
          <w:tab w:val="left" w:pos="6390"/>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10"/>
        <w:gridCol w:w="1494"/>
        <w:gridCol w:w="1517"/>
        <w:gridCol w:w="174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8"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序号</w:t>
            </w:r>
          </w:p>
        </w:tc>
        <w:tc>
          <w:tcPr>
            <w:tcW w:w="1110" w:type="dxa"/>
            <w:vMerge w:val="restart"/>
            <w:noWrap w:val="0"/>
            <w:vAlign w:val="center"/>
          </w:tcPr>
          <w:p>
            <w:pPr>
              <w:spacing w:line="312" w:lineRule="auto"/>
              <w:ind w:left="0" w:leftChars="0" w:firstLine="0" w:firstLineChars="0"/>
              <w:jc w:val="both"/>
              <w:rPr>
                <w:rFonts w:hint="eastAsia" w:ascii="宋体" w:hAnsi="宋体" w:eastAsia="宋体"/>
                <w:color w:val="auto"/>
                <w:sz w:val="21"/>
                <w:szCs w:val="21"/>
                <w:lang w:eastAsia="zh-CN"/>
              </w:rPr>
            </w:pPr>
            <w:r>
              <w:rPr>
                <w:rFonts w:hint="eastAsia" w:ascii="宋体" w:hAnsi="宋体"/>
                <w:color w:val="auto"/>
                <w:sz w:val="21"/>
                <w:szCs w:val="21"/>
                <w:lang w:eastAsia="zh-CN"/>
              </w:rPr>
              <w:t>货物名称</w:t>
            </w:r>
          </w:p>
        </w:tc>
        <w:tc>
          <w:tcPr>
            <w:tcW w:w="3011" w:type="dxa"/>
            <w:gridSpan w:val="2"/>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技术参数及要求</w:t>
            </w:r>
          </w:p>
        </w:tc>
        <w:tc>
          <w:tcPr>
            <w:tcW w:w="1744"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对招标文件偏差</w:t>
            </w:r>
          </w:p>
        </w:tc>
        <w:tc>
          <w:tcPr>
            <w:tcW w:w="1119"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vMerge w:val="continue"/>
            <w:noWrap w:val="0"/>
            <w:vAlign w:val="center"/>
          </w:tcPr>
          <w:p>
            <w:pPr>
              <w:spacing w:line="312" w:lineRule="auto"/>
              <w:jc w:val="center"/>
              <w:rPr>
                <w:rFonts w:hint="eastAsia" w:ascii="宋体" w:hAnsi="宋体"/>
                <w:color w:val="auto"/>
                <w:sz w:val="21"/>
                <w:szCs w:val="21"/>
              </w:rPr>
            </w:pPr>
          </w:p>
        </w:tc>
        <w:tc>
          <w:tcPr>
            <w:tcW w:w="1110" w:type="dxa"/>
            <w:vMerge w:val="continue"/>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招标技术要求</w:t>
            </w:r>
          </w:p>
        </w:tc>
        <w:tc>
          <w:tcPr>
            <w:tcW w:w="1517"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投标技术指标</w:t>
            </w:r>
          </w:p>
        </w:tc>
        <w:tc>
          <w:tcPr>
            <w:tcW w:w="1744" w:type="dxa"/>
            <w:vMerge w:val="continue"/>
            <w:noWrap w:val="0"/>
            <w:vAlign w:val="center"/>
          </w:tcPr>
          <w:p>
            <w:pPr>
              <w:spacing w:line="312" w:lineRule="auto"/>
              <w:jc w:val="center"/>
              <w:rPr>
                <w:rFonts w:hint="eastAsia" w:ascii="宋体" w:hAnsi="宋体"/>
                <w:color w:val="auto"/>
                <w:sz w:val="21"/>
                <w:szCs w:val="21"/>
              </w:rPr>
            </w:pPr>
          </w:p>
        </w:tc>
        <w:tc>
          <w:tcPr>
            <w:tcW w:w="1119" w:type="dxa"/>
            <w:vMerge w:val="continue"/>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1</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2</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3</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4</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5</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6</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ascii="宋体" w:hAnsi="宋体"/>
                <w:color w:val="auto"/>
                <w:sz w:val="21"/>
                <w:szCs w:val="21"/>
              </w:rPr>
              <w:t>…</w:t>
            </w:r>
          </w:p>
        </w:tc>
        <w:tc>
          <w:tcPr>
            <w:tcW w:w="1110" w:type="dxa"/>
            <w:noWrap w:val="0"/>
            <w:vAlign w:val="center"/>
          </w:tcPr>
          <w:p>
            <w:pPr>
              <w:spacing w:line="312" w:lineRule="auto"/>
              <w:rPr>
                <w:rFonts w:hint="eastAsia" w:ascii="宋体" w:hAnsi="宋体"/>
                <w:color w:val="auto"/>
              </w:rPr>
            </w:pPr>
          </w:p>
        </w:tc>
        <w:tc>
          <w:tcPr>
            <w:tcW w:w="1494" w:type="dxa"/>
            <w:noWrap w:val="0"/>
            <w:vAlign w:val="center"/>
          </w:tcPr>
          <w:p>
            <w:pPr>
              <w:spacing w:line="312" w:lineRule="auto"/>
              <w:rPr>
                <w:rFonts w:ascii="宋体" w:hAnsi="宋体"/>
                <w:color w:val="auto"/>
              </w:rPr>
            </w:pPr>
          </w:p>
        </w:tc>
        <w:tc>
          <w:tcPr>
            <w:tcW w:w="1517" w:type="dxa"/>
            <w:noWrap w:val="0"/>
            <w:vAlign w:val="center"/>
          </w:tcPr>
          <w:p>
            <w:pPr>
              <w:spacing w:line="312" w:lineRule="auto"/>
              <w:rPr>
                <w:rFonts w:ascii="宋体" w:hAnsi="宋体"/>
                <w:color w:val="auto"/>
              </w:rPr>
            </w:pPr>
          </w:p>
        </w:tc>
        <w:tc>
          <w:tcPr>
            <w:tcW w:w="1744" w:type="dxa"/>
            <w:noWrap w:val="0"/>
            <w:vAlign w:val="center"/>
          </w:tcPr>
          <w:p>
            <w:pPr>
              <w:spacing w:line="312" w:lineRule="auto"/>
              <w:rPr>
                <w:rFonts w:ascii="宋体" w:hAnsi="宋体"/>
                <w:color w:val="auto"/>
              </w:rPr>
            </w:pPr>
          </w:p>
        </w:tc>
        <w:tc>
          <w:tcPr>
            <w:tcW w:w="1119" w:type="dxa"/>
            <w:noWrap w:val="0"/>
            <w:vAlign w:val="center"/>
          </w:tcPr>
          <w:p>
            <w:pPr>
              <w:spacing w:line="312" w:lineRule="auto"/>
              <w:rPr>
                <w:rFonts w:ascii="宋体" w:hAnsi="宋体"/>
                <w:color w:val="auto"/>
              </w:rPr>
            </w:pPr>
          </w:p>
        </w:tc>
      </w:tr>
    </w:tbl>
    <w:p>
      <w:pPr>
        <w:bidi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投标人应按招标文件中的采购项目产品技术标准与要求，根据投报产品进行相应响应，投标人必须根据所投产品的实际情况如实填写，照抄、复制招标文件主要技术指标要求的按无效投标处理。偏差情况填写“负偏差”或“正偏差”或“无偏差”。</w:t>
      </w:r>
    </w:p>
    <w:p>
      <w:pPr>
        <w:pStyle w:val="4"/>
        <w:numPr>
          <w:ilvl w:val="1"/>
          <w:numId w:val="0"/>
        </w:numPr>
        <w:bidi w:val="0"/>
        <w:spacing w:before="60" w:after="60" w:line="400" w:lineRule="exac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投标人保证：除商务和技术偏差表列出的偏差外，投标人响应招标文件的全部要求</w:t>
      </w:r>
      <w:r>
        <w:rPr>
          <w:rFonts w:hint="eastAsia" w:eastAsia="宋体" w:cs="宋体"/>
          <w:b/>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单位盖章</w:t>
      </w:r>
      <w:r>
        <w:rPr>
          <w:rFonts w:hint="eastAsia" w:ascii="宋体" w:hAnsi="宋体" w:eastAsia="宋体" w:cs="宋体"/>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签字或盖章</w:t>
      </w:r>
      <w:r>
        <w:rPr>
          <w:rFonts w:hint="eastAsia" w:ascii="宋体" w:hAnsi="宋体" w:eastAsia="宋体" w:cs="宋体"/>
          <w:color w:val="auto"/>
          <w:sz w:val="21"/>
          <w:szCs w:val="21"/>
          <w:lang w:eastAsia="zh-CN"/>
        </w:rPr>
        <w:t>）</w:t>
      </w:r>
    </w:p>
    <w:p>
      <w:pPr>
        <w:bidi w:val="0"/>
        <w:spacing w:line="360" w:lineRule="auto"/>
        <w:ind w:firstLine="4095" w:firstLineChars="19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5"/>
        <w:bidi w:val="0"/>
        <w:spacing w:line="400" w:lineRule="exact"/>
        <w:ind w:firstLine="210"/>
        <w:rPr>
          <w:rFonts w:hint="eastAsia" w:ascii="宋体" w:hAnsi="宋体" w:eastAsia="宋体" w:cs="宋体"/>
          <w:color w:val="auto"/>
          <w:sz w:val="21"/>
          <w:szCs w:val="21"/>
        </w:rPr>
      </w:pPr>
    </w:p>
    <w:p>
      <w:pPr>
        <w:pStyle w:val="25"/>
        <w:bidi w:val="0"/>
        <w:ind w:left="0" w:leftChars="0" w:firstLine="0" w:firstLineChars="0"/>
        <w:jc w:val="both"/>
        <w:rPr>
          <w:rFonts w:hint="eastAsia" w:ascii="宋体" w:hAnsi="宋体" w:eastAsia="宋体" w:cs="宋体"/>
          <w:b/>
          <w:color w:val="auto"/>
          <w:sz w:val="21"/>
          <w:szCs w:val="21"/>
          <w:lang w:eastAsia="zh-CN"/>
        </w:rPr>
      </w:pPr>
      <w:bookmarkStart w:id="1140" w:name="_Toc150653531"/>
    </w:p>
    <w:p>
      <w:pPr>
        <w:pStyle w:val="23"/>
        <w:ind w:left="0" w:leftChars="0" w:firstLine="0" w:firstLineChars="0"/>
        <w:rPr>
          <w:rFonts w:hint="eastAsia"/>
          <w:color w:val="auto"/>
          <w:lang w:val="en-US" w:eastAsia="zh-CN"/>
        </w:rPr>
      </w:pPr>
    </w:p>
    <w:p>
      <w:pPr>
        <w:pStyle w:val="25"/>
        <w:numPr>
          <w:ilvl w:val="0"/>
          <w:numId w:val="0"/>
        </w:numPr>
        <w:bidi w:val="0"/>
        <w:ind w:left="1050" w:leftChars="0"/>
        <w:jc w:val="both"/>
        <w:outlineLvl w:val="0"/>
        <w:rPr>
          <w:rFonts w:hint="eastAsia" w:ascii="宋体" w:hAnsi="宋体" w:eastAsia="宋体" w:cs="宋体"/>
          <w:b/>
          <w:color w:val="auto"/>
          <w:sz w:val="28"/>
          <w:szCs w:val="28"/>
          <w:lang w:val="en-US" w:eastAsia="zh-CN"/>
        </w:rPr>
      </w:pPr>
      <w:bookmarkStart w:id="1141" w:name="_Toc6731"/>
      <w:bookmarkStart w:id="1142" w:name="_Toc7992"/>
      <w:bookmarkStart w:id="1143" w:name="_Toc10422"/>
      <w:bookmarkStart w:id="1144" w:name="_Toc7949"/>
      <w:bookmarkStart w:id="1145" w:name="_Toc12192"/>
      <w:bookmarkStart w:id="1146" w:name="_Toc18674"/>
      <w:bookmarkStart w:id="1147" w:name="_Toc14658"/>
      <w:r>
        <w:rPr>
          <w:rFonts w:hint="eastAsia" w:ascii="宋体" w:hAnsi="宋体" w:eastAsia="宋体" w:cs="宋体"/>
          <w:b/>
          <w:color w:val="auto"/>
          <w:sz w:val="28"/>
          <w:szCs w:val="28"/>
          <w:lang w:val="en-US" w:eastAsia="zh-CN"/>
        </w:rPr>
        <w:t>五、投标货物技术性能指标的详细描述及技术支持资料</w:t>
      </w:r>
      <w:bookmarkEnd w:id="1141"/>
      <w:bookmarkEnd w:id="1142"/>
      <w:bookmarkEnd w:id="1143"/>
      <w:bookmarkEnd w:id="1144"/>
      <w:bookmarkEnd w:id="1145"/>
      <w:bookmarkEnd w:id="1146"/>
      <w:bookmarkEnd w:id="1147"/>
    </w:p>
    <w:p>
      <w:pPr>
        <w:keepNext w:val="0"/>
        <w:keepLines w:val="0"/>
        <w:widowControl/>
        <w:suppressLineNumbers w:val="0"/>
        <w:bidi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rPr>
          <w:rFonts w:hint="eastAsia"/>
          <w:color w:val="auto"/>
          <w:lang w:val="en-US" w:eastAsia="zh-CN"/>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color w:val="auto"/>
        </w:rPr>
      </w:pPr>
    </w:p>
    <w:p>
      <w:pPr>
        <w:pStyle w:val="26"/>
        <w:numPr>
          <w:ilvl w:val="0"/>
          <w:numId w:val="0"/>
        </w:numPr>
        <w:bidi w:val="0"/>
        <w:ind w:left="840" w:leftChars="400"/>
        <w:rPr>
          <w:rFonts w:hint="eastAsia"/>
          <w:color w:val="auto"/>
          <w:lang w:val="en-US" w:eastAsia="zh-CN"/>
        </w:rPr>
      </w:pPr>
    </w:p>
    <w:p>
      <w:pPr>
        <w:rPr>
          <w:rFonts w:hint="eastAsia"/>
          <w:color w:val="auto"/>
          <w:lang w:val="en-US" w:eastAsia="zh-CN"/>
        </w:rPr>
      </w:pPr>
    </w:p>
    <w:p>
      <w:pPr>
        <w:pStyle w:val="25"/>
        <w:rPr>
          <w:rFonts w:hint="eastAsia"/>
          <w:color w:val="auto"/>
          <w:lang w:val="en-US" w:eastAsia="zh-CN"/>
        </w:rPr>
      </w:pPr>
    </w:p>
    <w:p>
      <w:pPr>
        <w:pStyle w:val="26"/>
        <w:rPr>
          <w:rFonts w:hint="eastAsia"/>
          <w:color w:val="auto"/>
          <w:lang w:val="en-US" w:eastAsia="zh-CN"/>
        </w:rPr>
      </w:pPr>
    </w:p>
    <w:p>
      <w:pPr>
        <w:rPr>
          <w:rFonts w:hint="eastAsia"/>
          <w:color w:val="auto"/>
          <w:lang w:val="en-US" w:eastAsia="zh-CN"/>
        </w:rPr>
      </w:pPr>
    </w:p>
    <w:p>
      <w:pPr>
        <w:pStyle w:val="25"/>
        <w:bidi w:val="0"/>
        <w:ind w:firstLine="540" w:firstLineChars="192"/>
        <w:jc w:val="center"/>
        <w:outlineLvl w:val="0"/>
        <w:rPr>
          <w:rFonts w:hint="eastAsia" w:ascii="宋体" w:hAnsi="宋体" w:eastAsia="宋体" w:cs="宋体"/>
          <w:b/>
          <w:color w:val="auto"/>
          <w:sz w:val="28"/>
          <w:szCs w:val="28"/>
          <w:lang w:eastAsia="zh-CN"/>
        </w:rPr>
      </w:pPr>
      <w:bookmarkStart w:id="1148" w:name="_Toc4821"/>
      <w:bookmarkStart w:id="1149" w:name="_Toc19105"/>
      <w:bookmarkStart w:id="1150" w:name="_Toc17756"/>
      <w:bookmarkStart w:id="1151" w:name="_Toc32491"/>
      <w:bookmarkStart w:id="1152" w:name="_Toc14050"/>
      <w:bookmarkStart w:id="1153" w:name="_Toc2820"/>
      <w:bookmarkStart w:id="1154" w:name="_Toc14414"/>
      <w:r>
        <w:rPr>
          <w:rFonts w:hint="eastAsia" w:ascii="宋体" w:hAnsi="宋体" w:eastAsia="宋体" w:cs="宋体"/>
          <w:b/>
          <w:color w:val="auto"/>
          <w:sz w:val="28"/>
          <w:szCs w:val="28"/>
          <w:lang w:val="en-US" w:eastAsia="zh-CN"/>
        </w:rPr>
        <w:t>六、售后服务承诺</w:t>
      </w:r>
      <w:bookmarkEnd w:id="1148"/>
      <w:bookmarkEnd w:id="1149"/>
      <w:bookmarkEnd w:id="1150"/>
      <w:bookmarkEnd w:id="1151"/>
      <w:bookmarkEnd w:id="1152"/>
      <w:bookmarkEnd w:id="1153"/>
      <w:bookmarkEnd w:id="1154"/>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bidi w:val="0"/>
        <w:spacing w:line="480" w:lineRule="exact"/>
        <w:ind w:left="315" w:hanging="315" w:hangingChars="150"/>
        <w:jc w:val="right"/>
        <w:rPr>
          <w:rFonts w:hint="eastAsia" w:ascii="宋体" w:hAnsi="宋体" w:eastAsia="宋体" w:cs="宋体"/>
          <w:color w:val="auto"/>
          <w:sz w:val="21"/>
          <w:szCs w:val="21"/>
        </w:rPr>
      </w:pPr>
    </w:p>
    <w:p>
      <w:pPr>
        <w:pStyle w:val="52"/>
        <w:bidi w:val="0"/>
        <w:spacing w:line="520" w:lineRule="exact"/>
        <w:ind w:firstLine="0"/>
        <w:rPr>
          <w:rFonts w:hint="eastAsia" w:ascii="宋体" w:hAnsi="宋体" w:eastAsia="宋体" w:cs="宋体"/>
          <w:bCs/>
          <w:color w:val="auto"/>
          <w:sz w:val="21"/>
          <w:szCs w:val="21"/>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color w:val="auto"/>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color w:val="auto"/>
          <w:lang w:val="en-US" w:eastAsia="zh-CN"/>
        </w:rPr>
      </w:pPr>
    </w:p>
    <w:bookmarkEnd w:id="1140"/>
    <w:p>
      <w:pPr>
        <w:pStyle w:val="25"/>
        <w:bidi w:val="0"/>
        <w:spacing w:line="400" w:lineRule="exact"/>
        <w:ind w:firstLine="210"/>
        <w:jc w:val="center"/>
        <w:outlineLvl w:val="0"/>
        <w:rPr>
          <w:rFonts w:hint="eastAsia" w:ascii="宋体" w:hAnsi="宋体" w:eastAsia="宋体" w:cs="宋体"/>
          <w:color w:val="auto"/>
          <w:sz w:val="21"/>
          <w:szCs w:val="21"/>
        </w:rPr>
      </w:pPr>
      <w:bookmarkStart w:id="1155" w:name="_Toc18841"/>
      <w:bookmarkStart w:id="1156" w:name="_Toc20727"/>
      <w:bookmarkStart w:id="1157" w:name="_Toc14069"/>
      <w:bookmarkStart w:id="1158" w:name="_Toc11158"/>
      <w:bookmarkStart w:id="1159" w:name="_Toc3669"/>
      <w:bookmarkStart w:id="1160" w:name="_Toc28750"/>
      <w:bookmarkStart w:id="1161" w:name="_Toc20392"/>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rPr>
        <w:t>、 资格审查资料</w:t>
      </w:r>
      <w:bookmarkEnd w:id="1155"/>
      <w:bookmarkEnd w:id="1156"/>
      <w:bookmarkEnd w:id="1157"/>
      <w:bookmarkEnd w:id="1158"/>
      <w:bookmarkEnd w:id="1159"/>
      <w:bookmarkEnd w:id="1160"/>
      <w:bookmarkEnd w:id="1161"/>
    </w:p>
    <w:p>
      <w:pPr>
        <w:pStyle w:val="6"/>
        <w:numPr>
          <w:ilvl w:val="3"/>
          <w:numId w:val="0"/>
        </w:num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7"/>
        <w:tblW w:w="84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075"/>
        <w:gridCol w:w="1230"/>
        <w:gridCol w:w="1260"/>
        <w:gridCol w:w="755"/>
        <w:gridCol w:w="723"/>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pPr>
              <w:spacing w:line="400" w:lineRule="exact"/>
              <w:jc w:val="center"/>
              <w:rPr>
                <w:rFonts w:hint="eastAsia" w:ascii="宋体" w:hAnsi="宋体" w:eastAsia="宋体" w:cs="宋体"/>
                <w:color w:val="auto"/>
                <w:sz w:val="21"/>
                <w:szCs w:val="21"/>
              </w:rPr>
            </w:pP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75" w:type="dxa"/>
            <w:noWrap w:val="0"/>
            <w:vAlign w:val="top"/>
          </w:tcPr>
          <w:p>
            <w:pPr>
              <w:spacing w:line="400" w:lineRule="exact"/>
              <w:jc w:val="center"/>
              <w:rPr>
                <w:rFonts w:hint="eastAsia" w:ascii="宋体" w:hAnsi="宋体" w:eastAsia="宋体" w:cs="宋体"/>
                <w:color w:val="auto"/>
                <w:sz w:val="21"/>
                <w:szCs w:val="21"/>
              </w:rPr>
            </w:pPr>
          </w:p>
        </w:tc>
        <w:tc>
          <w:tcPr>
            <w:tcW w:w="123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2015" w:type="dxa"/>
            <w:gridSpan w:val="2"/>
            <w:noWrap w:val="0"/>
            <w:vAlign w:val="top"/>
          </w:tcPr>
          <w:p>
            <w:pPr>
              <w:spacing w:line="400" w:lineRule="exact"/>
              <w:jc w:val="center"/>
              <w:rPr>
                <w:rFonts w:hint="eastAsia" w:ascii="宋体" w:hAnsi="宋体" w:eastAsia="宋体" w:cs="宋体"/>
                <w:color w:val="auto"/>
                <w:sz w:val="21"/>
                <w:szCs w:val="21"/>
              </w:rPr>
            </w:pPr>
          </w:p>
        </w:tc>
        <w:tc>
          <w:tcPr>
            <w:tcW w:w="723"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382" w:type="dxa"/>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投标人须知要求投标人需具有的各类资质证书（若有）</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502" w:type="dxa"/>
            <w:gridSpan w:val="7"/>
            <w:noWrap w:val="0"/>
            <w:vAlign w:val="top"/>
          </w:tcPr>
          <w:p>
            <w:pPr>
              <w:spacing w:line="400" w:lineRule="exact"/>
              <w:ind w:firstLine="420" w:firstLineChars="200"/>
              <w:rPr>
                <w:rFonts w:hint="eastAsia" w:ascii="宋体" w:hAnsi="宋体" w:eastAsia="宋体" w:cs="宋体"/>
                <w:color w:val="auto"/>
                <w:sz w:val="21"/>
                <w:szCs w:val="21"/>
              </w:rPr>
            </w:pPr>
          </w:p>
        </w:tc>
      </w:tr>
    </w:tbl>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投标人应根据投标人须知</w:t>
      </w:r>
      <w:r>
        <w:rPr>
          <w:rFonts w:hint="eastAsia" w:ascii="宋体" w:hAnsi="宋体" w:eastAsia="宋体" w:cs="宋体"/>
          <w:color w:val="auto"/>
          <w:sz w:val="21"/>
          <w:szCs w:val="21"/>
          <w:lang w:eastAsia="zh-CN"/>
        </w:rPr>
        <w:t>“投标人资格</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在本表后附</w:t>
      </w:r>
      <w:r>
        <w:rPr>
          <w:rFonts w:hint="eastAsia" w:ascii="宋体" w:hAnsi="宋体" w:eastAsia="宋体" w:cs="宋体"/>
          <w:b/>
          <w:bCs/>
          <w:color w:val="auto"/>
          <w:kern w:val="0"/>
          <w:sz w:val="21"/>
          <w:szCs w:val="21"/>
          <w:lang w:val="en-US" w:eastAsia="zh-CN" w:bidi="ar"/>
        </w:rPr>
        <w:t>资格审查资料</w:t>
      </w:r>
      <w:r>
        <w:rPr>
          <w:rFonts w:hint="eastAsia" w:ascii="宋体" w:hAnsi="宋体" w:eastAsia="宋体" w:cs="宋体"/>
          <w:color w:val="auto"/>
          <w:sz w:val="21"/>
          <w:szCs w:val="21"/>
        </w:rPr>
        <w:t>。</w:t>
      </w:r>
    </w:p>
    <w:p>
      <w:pPr>
        <w:bidi w:val="0"/>
        <w:spacing w:line="400" w:lineRule="exact"/>
        <w:rPr>
          <w:rFonts w:hint="eastAsia" w:ascii="宋体" w:hAnsi="宋体" w:eastAsia="宋体" w:cs="宋体"/>
          <w:b/>
          <w:bCs/>
          <w:color w:val="auto"/>
          <w:sz w:val="21"/>
          <w:szCs w:val="21"/>
          <w:lang w:val="en-US" w:eastAsia="zh-CN"/>
        </w:rPr>
        <w:sectPr>
          <w:headerReference r:id="rId11" w:type="default"/>
          <w:footerReference r:id="rId12" w:type="default"/>
          <w:pgSz w:w="11905" w:h="16838"/>
          <w:pgMar w:top="1440" w:right="1803" w:bottom="1440" w:left="1803" w:header="850" w:footer="102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w:t>
      </w:r>
      <w:r>
        <w:rPr>
          <w:rFonts w:hint="eastAsia" w:ascii="宋体" w:hAnsi="宋体" w:cs="宋体"/>
          <w:b/>
          <w:bCs/>
          <w:color w:val="auto"/>
          <w:sz w:val="21"/>
          <w:szCs w:val="21"/>
          <w:lang w:val="en-US" w:eastAsia="zh-CN"/>
        </w:rPr>
        <w:t>本项目的特定资格要求</w:t>
      </w:r>
      <w:r>
        <w:rPr>
          <w:rFonts w:hint="eastAsia" w:ascii="宋体" w:hAnsi="宋体" w:eastAsia="宋体" w:cs="宋体"/>
          <w:b/>
          <w:bCs/>
          <w:color w:val="auto"/>
          <w:sz w:val="21"/>
          <w:szCs w:val="21"/>
          <w:lang w:val="en-US" w:eastAsia="zh-CN"/>
        </w:rPr>
        <w:t>（如有）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需提供相应的证明材料</w:t>
      </w:r>
    </w:p>
    <w:p>
      <w:pPr>
        <w:bidi w:val="0"/>
        <w:spacing w:line="360" w:lineRule="auto"/>
        <w:ind w:left="0" w:leftChars="0" w:firstLine="0" w:firstLineChars="0"/>
        <w:jc w:val="center"/>
        <w:outlineLvl w:val="0"/>
        <w:rPr>
          <w:rFonts w:hint="eastAsia" w:ascii="宋体" w:hAnsi="宋体" w:eastAsia="宋体" w:cs="宋体"/>
          <w:color w:val="auto"/>
          <w:sz w:val="21"/>
          <w:szCs w:val="21"/>
          <w:lang w:val="en-US" w:eastAsia="zh-CN"/>
        </w:rPr>
      </w:pPr>
      <w:bookmarkStart w:id="1162" w:name="_Toc1089"/>
      <w:bookmarkStart w:id="1163" w:name="_Toc27497"/>
      <w:bookmarkStart w:id="1164" w:name="_Toc18995"/>
      <w:bookmarkStart w:id="1165" w:name="_Toc9658"/>
      <w:bookmarkStart w:id="1166" w:name="_Toc8098"/>
      <w:bookmarkStart w:id="1167" w:name="_Toc12802"/>
      <w:r>
        <w:rPr>
          <w:rFonts w:hint="eastAsia" w:ascii="宋体" w:hAnsi="宋体" w:eastAsia="宋体" w:cs="宋体"/>
          <w:b/>
          <w:bCs/>
          <w:color w:val="auto"/>
          <w:sz w:val="28"/>
          <w:szCs w:val="28"/>
          <w:lang w:eastAsia="zh-CN"/>
        </w:rPr>
        <w:t>八、中小企业声明函（货物）</w:t>
      </w:r>
      <w:bookmarkEnd w:id="1162"/>
      <w:bookmarkEnd w:id="1163"/>
      <w:bookmarkEnd w:id="1164"/>
      <w:bookmarkEnd w:id="1165"/>
      <w:bookmarkEnd w:id="1166"/>
      <w:bookmarkEnd w:id="1167"/>
    </w:p>
    <w:p>
      <w:pPr>
        <w:pStyle w:val="53"/>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本公司（联合体）郑重声明，根据《政府采购促进中小企业发展管理办法》（财库[2020]46号）的规定，本公司（联合体）参加（单位名称）的（项目名称）采购活动，</w:t>
      </w:r>
      <w:r>
        <w:rPr>
          <w:rFonts w:hint="eastAsia" w:ascii="宋体" w:hAnsi="宋体" w:eastAsia="宋体" w:cs="宋体"/>
          <w:b/>
          <w:bCs/>
          <w:color w:val="auto"/>
          <w:kern w:val="2"/>
          <w:sz w:val="21"/>
          <w:szCs w:val="21"/>
          <w:lang w:val="en-US" w:eastAsia="zh-CN" w:bidi="ar-SA"/>
        </w:rPr>
        <w:t>提供的货物全部由符合政策要求的中小企业制造。</w:t>
      </w:r>
      <w:r>
        <w:rPr>
          <w:rFonts w:hint="eastAsia" w:ascii="宋体" w:hAnsi="宋体" w:eastAsia="宋体" w:cs="宋体"/>
          <w:color w:val="auto"/>
          <w:kern w:val="2"/>
          <w:sz w:val="21"/>
          <w:szCs w:val="21"/>
          <w:lang w:val="en-US" w:eastAsia="zh-CN" w:bidi="ar-SA"/>
        </w:rPr>
        <w:t>相关企业（含联合体中的中小企业、签订分包意向协议的中小企业）的具体情况如下：</w:t>
      </w:r>
    </w:p>
    <w:p>
      <w:pPr>
        <w:pStyle w:val="53"/>
        <w:numPr>
          <w:ilvl w:val="0"/>
          <w:numId w:val="3"/>
        </w:numPr>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3"/>
        </w:numPr>
        <w:bidi w:val="0"/>
        <w:spacing w:line="360" w:lineRule="auto"/>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0"/>
        </w:numPr>
        <w:bidi w:val="0"/>
        <w:spacing w:line="360" w:lineRule="auto"/>
        <w:ind w:left="420" w:left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p>
      <w:pPr>
        <w:pStyle w:val="53"/>
        <w:numPr>
          <w:ilvl w:val="0"/>
          <w:numId w:val="0"/>
        </w:numPr>
        <w:bidi w:val="0"/>
        <w:spacing w:line="360" w:lineRule="auto"/>
        <w:ind w:firstLine="420" w:firstLineChars="200"/>
        <w:rPr>
          <w:rFonts w:hint="eastAsia" w:ascii="宋体" w:hAnsi="宋体" w:eastAsia="宋体" w:cs="宋体"/>
          <w:color w:val="auto"/>
          <w:kern w:val="2"/>
          <w:sz w:val="21"/>
          <w:szCs w:val="21"/>
          <w:lang w:val="en-US" w:eastAsia="zh-CN" w:bidi="ar-SA"/>
        </w:rPr>
      </w:pPr>
    </w:p>
    <w:p>
      <w:pPr>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以上企业，不属于大企业的分支机构，不存在控股股东为大型企业的情形，也不存在与大型企业的负责人为同一人的情形。</w:t>
      </w:r>
    </w:p>
    <w:p>
      <w:pPr>
        <w:pStyle w:val="15"/>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本企业对上述声明内容的真实性负责。如有虚假，将依法承担相应责任。</w:t>
      </w:r>
    </w:p>
    <w:p>
      <w:pPr>
        <w:pStyle w:val="36"/>
        <w:bidi w:val="0"/>
        <w:spacing w:line="360" w:lineRule="auto"/>
        <w:ind w:firstLine="2940" w:firstLineChars="140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单位名称（盖单位公章）：</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pPr>
        <w:pStyle w:val="36"/>
        <w:bidi w:val="0"/>
        <w:spacing w:line="360" w:lineRule="auto"/>
        <w:ind w:firstLine="5460" w:firstLineChars="2600"/>
        <w:jc w:val="both"/>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日期：</w:t>
      </w:r>
      <w:r>
        <w:rPr>
          <w:rFonts w:hint="eastAsia" w:ascii="宋体" w:hAnsi="宋体" w:eastAsia="宋体" w:cs="宋体"/>
          <w:color w:val="auto"/>
          <w:kern w:val="2"/>
          <w:sz w:val="21"/>
          <w:szCs w:val="21"/>
          <w:u w:val="single"/>
          <w:lang w:val="en-US" w:eastAsia="zh-CN" w:bidi="ar-SA"/>
        </w:rPr>
        <w:t xml:space="preserve">                 </w:t>
      </w:r>
    </w:p>
    <w:p>
      <w:pPr>
        <w:bidi w:val="0"/>
        <w:rPr>
          <w:rFonts w:hint="eastAsia" w:ascii="宋体" w:hAnsi="宋体" w:eastAsia="宋体" w:cs="宋体"/>
          <w:color w:val="auto"/>
          <w:kern w:val="2"/>
          <w:sz w:val="21"/>
          <w:szCs w:val="21"/>
          <w:u w:val="single"/>
          <w:lang w:val="en-US" w:eastAsia="zh-CN" w:bidi="ar-SA"/>
        </w:rPr>
      </w:pPr>
    </w:p>
    <w:p>
      <w:pPr>
        <w:pStyle w:val="36"/>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1、从业人员、营业收入、资产总额填报上一年度数据，无上一年度数据的新成立企业可不填报。</w:t>
      </w:r>
    </w:p>
    <w:p>
      <w:pPr>
        <w:pStyle w:val="8"/>
        <w:bidi w:val="0"/>
        <w:spacing w:line="360" w:lineRule="auto"/>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2、所投产品制造商属于中小微企业的填写，不属于的无需填写此项内容</w:t>
      </w:r>
    </w:p>
    <w:p>
      <w:pPr>
        <w:bidi w:val="0"/>
        <w:spacing w:line="360" w:lineRule="auto"/>
        <w:jc w:val="center"/>
        <w:outlineLvl w:val="0"/>
        <w:rPr>
          <w:rFonts w:hint="eastAsia" w:ascii="宋体" w:hAnsi="宋体" w:eastAsia="宋体" w:cs="宋体"/>
          <w:color w:val="auto"/>
          <w:kern w:val="0"/>
          <w:sz w:val="21"/>
          <w:szCs w:val="21"/>
        </w:rPr>
      </w:pPr>
      <w:r>
        <w:rPr>
          <w:rFonts w:hint="eastAsia" w:ascii="宋体" w:hAnsi="宋体" w:eastAsia="宋体" w:cs="宋体"/>
          <w:color w:val="auto"/>
          <w:sz w:val="21"/>
          <w:szCs w:val="21"/>
        </w:rPr>
        <w:br w:type="page"/>
      </w:r>
      <w:bookmarkStart w:id="1168" w:name="_Toc7642"/>
      <w:bookmarkStart w:id="1169" w:name="_Toc26594"/>
      <w:bookmarkStart w:id="1170" w:name="_Toc18813"/>
      <w:bookmarkStart w:id="1171" w:name="_Toc12463"/>
      <w:bookmarkStart w:id="1172" w:name="_Toc32355"/>
      <w:bookmarkStart w:id="1173" w:name="_Toc31848"/>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残疾人福利性单位声明函</w:t>
      </w:r>
      <w:bookmarkEnd w:id="1168"/>
      <w:bookmarkEnd w:id="1169"/>
      <w:bookmarkEnd w:id="1170"/>
      <w:bookmarkEnd w:id="1171"/>
      <w:bookmarkEnd w:id="1172"/>
      <w:bookmarkEnd w:id="1173"/>
    </w:p>
    <w:p>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pPr>
        <w:pStyle w:val="40"/>
        <w:bidi w:val="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3"/>
        <w:numPr>
          <w:ilvl w:val="0"/>
          <w:numId w:val="0"/>
        </w:numPr>
        <w:bidi w:val="0"/>
        <w:ind w:left="425"/>
        <w:jc w:val="center"/>
        <w:outlineLvl w:val="9"/>
        <w:rPr>
          <w:rFonts w:hint="eastAsia" w:ascii="宋体" w:hAnsi="宋体" w:eastAsia="宋体" w:cs="宋体"/>
          <w:b/>
          <w:bCs w:val="0"/>
          <w:color w:val="auto"/>
          <w:kern w:val="2"/>
          <w:sz w:val="21"/>
          <w:szCs w:val="21"/>
          <w:lang w:val="en-US" w:eastAsia="zh-CN" w:bidi="ar-SA"/>
        </w:rPr>
      </w:pPr>
    </w:p>
    <w:p>
      <w:pPr>
        <w:rPr>
          <w:rFonts w:hint="eastAsia" w:ascii="宋体" w:hAnsi="宋体" w:eastAsia="宋体" w:cs="宋体"/>
          <w:b/>
          <w:bCs w:val="0"/>
          <w:color w:val="auto"/>
          <w:kern w:val="2"/>
          <w:sz w:val="21"/>
          <w:szCs w:val="21"/>
          <w:lang w:val="en-US" w:eastAsia="zh-CN" w:bidi="ar-SA"/>
        </w:rPr>
      </w:pPr>
    </w:p>
    <w:p>
      <w:pPr>
        <w:pStyle w:val="36"/>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3"/>
        <w:numPr>
          <w:ilvl w:val="0"/>
          <w:numId w:val="0"/>
        </w:numPr>
        <w:bidi w:val="0"/>
        <w:jc w:val="center"/>
        <w:rPr>
          <w:rFonts w:hint="eastAsia" w:ascii="宋体" w:hAnsi="宋体" w:eastAsia="宋体" w:cs="宋体"/>
          <w:b/>
          <w:bCs/>
          <w:color w:val="auto"/>
          <w:kern w:val="2"/>
          <w:sz w:val="28"/>
          <w:szCs w:val="28"/>
          <w:lang w:val="en-US" w:eastAsia="zh-CN" w:bidi="ar-SA"/>
        </w:rPr>
      </w:pPr>
      <w:bookmarkStart w:id="1174" w:name="_Toc29303"/>
      <w:bookmarkStart w:id="1175" w:name="_Toc25518"/>
      <w:bookmarkStart w:id="1176" w:name="_Toc10683"/>
      <w:bookmarkStart w:id="1177" w:name="_Toc16552"/>
      <w:bookmarkStart w:id="1178" w:name="_Toc4910"/>
      <w:bookmarkStart w:id="1179" w:name="_Toc19414"/>
      <w:r>
        <w:rPr>
          <w:rFonts w:hint="eastAsia" w:ascii="宋体" w:hAnsi="宋体" w:eastAsia="宋体" w:cs="宋体"/>
          <w:b/>
          <w:bCs/>
          <w:color w:val="auto"/>
          <w:kern w:val="2"/>
          <w:sz w:val="28"/>
          <w:szCs w:val="28"/>
          <w:lang w:val="en-US" w:eastAsia="zh-CN" w:bidi="ar-SA"/>
        </w:rPr>
        <w:t>十、监狱企业证明文件（如有）</w:t>
      </w:r>
      <w:bookmarkEnd w:id="1174"/>
      <w:bookmarkEnd w:id="1175"/>
      <w:bookmarkEnd w:id="1176"/>
      <w:bookmarkEnd w:id="1177"/>
      <w:bookmarkEnd w:id="1178"/>
      <w:bookmarkEnd w:id="1179"/>
    </w:p>
    <w:p>
      <w:pPr>
        <w:bidi w:val="0"/>
        <w:spacing w:line="360" w:lineRule="auto"/>
        <w:ind w:left="0" w:leftChars="0"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5"/>
        <w:rPr>
          <w:rFonts w:hint="eastAsia"/>
          <w:color w:val="auto"/>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3"/>
        <w:numPr>
          <w:ilvl w:val="0"/>
          <w:numId w:val="0"/>
        </w:numPr>
        <w:bidi w:val="0"/>
        <w:ind w:firstLine="562" w:firstLineChars="200"/>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5"/>
        <w:rPr>
          <w:rFonts w:hint="eastAsia" w:ascii="宋体" w:hAnsi="宋体" w:eastAsia="宋体" w:cs="宋体"/>
          <w:b/>
          <w:bCs/>
          <w:color w:val="auto"/>
          <w:kern w:val="2"/>
          <w:sz w:val="28"/>
          <w:szCs w:val="28"/>
          <w:lang w:val="en-US" w:eastAsia="zh-CN" w:bidi="ar-SA"/>
        </w:rPr>
      </w:pPr>
    </w:p>
    <w:p>
      <w:pPr>
        <w:pStyle w:val="26"/>
        <w:rPr>
          <w:rFonts w:hint="eastAsia"/>
          <w:color w:val="auto"/>
          <w:lang w:val="en-US" w:eastAsia="zh-CN"/>
        </w:rPr>
      </w:pPr>
    </w:p>
    <w:p>
      <w:pPr>
        <w:pStyle w:val="25"/>
        <w:rPr>
          <w:rFonts w:hint="eastAsia"/>
          <w:color w:val="auto"/>
          <w:lang w:val="en-US" w:eastAsia="zh-CN"/>
        </w:rPr>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p>
    <w:p>
      <w:pPr>
        <w:pStyle w:val="26"/>
        <w:rPr>
          <w:rFonts w:hint="eastAsia" w:ascii="宋体" w:hAnsi="宋体" w:eastAsia="宋体" w:cs="宋体"/>
          <w:color w:val="auto"/>
          <w:sz w:val="21"/>
          <w:szCs w:val="21"/>
          <w:lang w:val="zh-CN"/>
        </w:rPr>
      </w:pPr>
    </w:p>
    <w:p>
      <w:pPr>
        <w:pStyle w:val="3"/>
        <w:numPr>
          <w:ilvl w:val="0"/>
          <w:numId w:val="0"/>
        </w:numPr>
        <w:bidi w:val="0"/>
        <w:jc w:val="center"/>
        <w:rPr>
          <w:rFonts w:hint="eastAsia"/>
          <w:color w:val="auto"/>
          <w:lang w:val="zh-CN"/>
        </w:rPr>
      </w:pPr>
      <w:bookmarkStart w:id="1180" w:name="_Toc29039"/>
      <w:bookmarkStart w:id="1181" w:name="_Toc2237"/>
      <w:bookmarkStart w:id="1182" w:name="_Toc26471"/>
      <w:bookmarkStart w:id="1183" w:name="_Toc793"/>
      <w:bookmarkStart w:id="1184" w:name="_Toc6664"/>
      <w:bookmarkStart w:id="1185" w:name="_Toc10544"/>
      <w:r>
        <w:rPr>
          <w:rFonts w:hint="eastAsia" w:ascii="宋体" w:hAnsi="宋体" w:eastAsia="宋体" w:cs="宋体"/>
          <w:b/>
          <w:bCs/>
          <w:color w:val="auto"/>
          <w:kern w:val="2"/>
          <w:sz w:val="28"/>
          <w:szCs w:val="28"/>
          <w:lang w:val="en-US" w:eastAsia="zh-CN" w:bidi="ar-SA"/>
        </w:rPr>
        <w:t>十一、反商业贿赂承诺书</w:t>
      </w:r>
      <w:bookmarkEnd w:id="1180"/>
      <w:bookmarkEnd w:id="1181"/>
      <w:bookmarkEnd w:id="1182"/>
      <w:bookmarkEnd w:id="1183"/>
      <w:bookmarkEnd w:id="1184"/>
      <w:bookmarkEnd w:id="1185"/>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标段</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bidi w:val="0"/>
        <w:spacing w:line="360" w:lineRule="auto"/>
        <w:ind w:left="645"/>
        <w:outlineLvl w:val="9"/>
        <w:rPr>
          <w:rFonts w:hint="eastAsia" w:ascii="宋体" w:hAnsi="宋体" w:eastAsia="宋体" w:cs="宋体"/>
          <w:color w:val="auto"/>
          <w:sz w:val="21"/>
          <w:szCs w:val="21"/>
        </w:rPr>
      </w:pPr>
    </w:p>
    <w:p>
      <w:pPr>
        <w:pStyle w:val="25"/>
        <w:rPr>
          <w:rFonts w:hint="eastAsia" w:ascii="宋体" w:hAnsi="宋体" w:eastAsia="宋体" w:cs="宋体"/>
          <w:color w:val="auto"/>
          <w:sz w:val="21"/>
          <w:szCs w:val="21"/>
        </w:rPr>
      </w:pPr>
    </w:p>
    <w:p>
      <w:pPr>
        <w:pStyle w:val="26"/>
        <w:rPr>
          <w:rFonts w:hint="eastAsia" w:ascii="宋体" w:hAnsi="宋体" w:eastAsia="宋体" w:cs="宋体"/>
          <w:color w:val="auto"/>
          <w:sz w:val="21"/>
          <w:szCs w:val="21"/>
        </w:rPr>
      </w:pPr>
    </w:p>
    <w:p>
      <w:pPr>
        <w:pStyle w:val="57"/>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5"/>
        <w:rPr>
          <w:rFonts w:hint="eastAsia" w:ascii="宋体" w:hAnsi="宋体" w:eastAsia="宋体" w:cs="宋体"/>
          <w:color w:val="auto"/>
          <w:sz w:val="21"/>
          <w:szCs w:val="21"/>
        </w:rPr>
      </w:pPr>
    </w:p>
    <w:p>
      <w:pPr>
        <w:pStyle w:val="26"/>
        <w:rPr>
          <w:rFonts w:hint="eastAsia"/>
          <w:color w:val="auto"/>
        </w:rPr>
      </w:pPr>
    </w:p>
    <w:p>
      <w:pPr>
        <w:pStyle w:val="12"/>
        <w:rPr>
          <w:rFonts w:hint="eastAsia"/>
          <w:color w:val="auto"/>
        </w:rPr>
      </w:pPr>
    </w:p>
    <w:p>
      <w:pPr>
        <w:rPr>
          <w:rFonts w:hint="eastAsia" w:ascii="宋体" w:hAnsi="宋体" w:eastAsia="宋体" w:cs="宋体"/>
          <w:b/>
          <w:bCs/>
          <w:color w:val="auto"/>
          <w:kern w:val="2"/>
          <w:sz w:val="28"/>
          <w:szCs w:val="28"/>
          <w:lang w:val="en-US" w:eastAsia="zh-CN" w:bidi="ar-SA"/>
        </w:rPr>
      </w:pPr>
      <w:bookmarkStart w:id="1186" w:name="_Toc9896"/>
      <w:bookmarkStart w:id="1187" w:name="_Toc1431"/>
      <w:bookmarkStart w:id="1188" w:name="_Toc23022"/>
      <w:bookmarkStart w:id="1189" w:name="_Toc26283"/>
      <w:bookmarkStart w:id="1190" w:name="_Toc17793"/>
      <w:r>
        <w:rPr>
          <w:rFonts w:hint="eastAsia" w:ascii="宋体" w:hAnsi="宋体" w:eastAsia="宋体" w:cs="宋体"/>
          <w:b/>
          <w:bCs/>
          <w:color w:val="auto"/>
          <w:kern w:val="2"/>
          <w:sz w:val="28"/>
          <w:szCs w:val="28"/>
          <w:lang w:val="en-US" w:eastAsia="zh-CN" w:bidi="ar-SA"/>
        </w:rPr>
        <w:br w:type="page"/>
      </w:r>
    </w:p>
    <w:p>
      <w:pPr>
        <w:pStyle w:val="3"/>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十二、其他材料</w:t>
      </w:r>
      <w:bookmarkEnd w:id="1186"/>
      <w:bookmarkEnd w:id="1187"/>
      <w:bookmarkEnd w:id="1188"/>
      <w:bookmarkEnd w:id="1189"/>
      <w:bookmarkEnd w:id="1190"/>
    </w:p>
    <w:p>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pPr>
        <w:pStyle w:val="24"/>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5"/>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25"/>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4"/>
        <w:rPr>
          <w:rFonts w:hint="eastAsia"/>
          <w:color w:val="auto"/>
          <w:lang w:val="en-US" w:eastAsia="zh-CN"/>
        </w:rPr>
      </w:pPr>
    </w:p>
    <w:p>
      <w:pPr>
        <w:rPr>
          <w:rFonts w:hint="eastAsia"/>
          <w:color w:val="auto"/>
          <w:lang w:val="en-US" w:eastAsia="zh-CN"/>
        </w:rPr>
      </w:pPr>
    </w:p>
    <w:p>
      <w:pPr>
        <w:pStyle w:val="4"/>
        <w:rPr>
          <w:rFonts w:hint="eastAsia"/>
          <w:lang w:val="en-US" w:eastAsia="zh-CN"/>
        </w:rPr>
      </w:pPr>
    </w:p>
    <w:p>
      <w:pPr>
        <w:pStyle w:val="25"/>
        <w:rPr>
          <w:rFonts w:hint="eastAsia"/>
          <w:color w:val="auto"/>
          <w:lang w:val="en-US" w:eastAsia="zh-CN"/>
        </w:rPr>
      </w:pPr>
    </w:p>
    <w:p>
      <w:pPr>
        <w:pStyle w:val="26"/>
        <w:rPr>
          <w:rFonts w:hint="eastAsia"/>
          <w:color w:val="auto"/>
          <w:lang w:val="en-US" w:eastAsia="zh-CN"/>
        </w:rPr>
      </w:pPr>
    </w:p>
    <w:p>
      <w:pPr>
        <w:pStyle w:val="12"/>
        <w:rPr>
          <w:rFonts w:hint="eastAsia"/>
          <w:color w:val="auto"/>
          <w:lang w:val="en-US" w:eastAsia="zh-CN"/>
        </w:rPr>
      </w:pPr>
    </w:p>
    <w:p>
      <w:pPr>
        <w:ind w:left="0" w:leftChars="0" w:firstLine="0" w:firstLineChars="0"/>
        <w:rPr>
          <w:rFonts w:hint="eastAsia"/>
          <w:color w:val="auto"/>
          <w:lang w:val="en-US" w:eastAsia="zh-CN"/>
        </w:rPr>
      </w:pPr>
    </w:p>
    <w:p>
      <w:pPr>
        <w:pStyle w:val="24"/>
        <w:shd w:val="clear" w:color="auto"/>
        <w:bidi w:val="0"/>
        <w:spacing w:before="0" w:beforeLines="0" w:beforeAutospacing="0" w:after="0" w:afterLines="0" w:afterAutospacing="0" w:line="405" w:lineRule="atLeast"/>
        <w:ind w:left="0" w:leftChars="0" w:firstLine="0" w:firstLineChars="0"/>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pPr>
        <w:pStyle w:val="24"/>
        <w:shd w:val="clear" w:color="auto"/>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24"/>
        <w:shd w:val="clear" w:color="auto"/>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pPr>
        <w:pStyle w:val="24"/>
        <w:shd w:val="clear" w:color="auto"/>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shd w:val="clea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bidi w:val="0"/>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pPr>
        <w:bidi w:val="0"/>
        <w:jc w:val="center"/>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ind w:left="0" w:leftChars="0" w:firstLine="0" w:firstLineChars="0"/>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3"/>
        <w:numPr>
          <w:ilvl w:val="0"/>
          <w:numId w:val="0"/>
        </w:numPr>
        <w:jc w:val="center"/>
        <w:rPr>
          <w:rFonts w:hint="eastAsia" w:ascii="宋体" w:hAnsi="宋体" w:eastAsia="宋体" w:cs="宋体"/>
          <w:b/>
          <w:bCs/>
          <w:color w:val="auto"/>
          <w:sz w:val="30"/>
          <w:szCs w:val="30"/>
          <w:highlight w:val="none"/>
          <w:lang w:eastAsia="zh-CN"/>
        </w:rPr>
      </w:pPr>
      <w:bookmarkStart w:id="1191" w:name="_Toc32356"/>
      <w:bookmarkStart w:id="1192" w:name="_Toc28931"/>
      <w:r>
        <w:rPr>
          <w:rFonts w:hint="eastAsia" w:ascii="宋体" w:hAnsi="宋体" w:eastAsia="宋体" w:cs="宋体"/>
          <w:b/>
          <w:bCs/>
          <w:color w:val="auto"/>
          <w:sz w:val="30"/>
          <w:szCs w:val="30"/>
          <w:highlight w:val="none"/>
          <w:lang w:eastAsia="zh-CN"/>
        </w:rPr>
        <w:t>罗山县政府采购合同融资政策告知函</w:t>
      </w:r>
      <w:bookmarkEnd w:id="1191"/>
      <w:bookmarkEnd w:id="1192"/>
    </w:p>
    <w:p>
      <w:pPr>
        <w:spacing w:line="360" w:lineRule="auto"/>
        <w:rPr>
          <w:rFonts w:hint="eastAsia"/>
        </w:rPr>
      </w:pP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各供应商：</w:t>
      </w:r>
    </w:p>
    <w:p>
      <w:pPr>
        <w:pStyle w:val="55"/>
        <w:spacing w:line="360" w:lineRule="auto"/>
        <w:ind w:left="0" w:leftChars="0" w:firstLine="452" w:firstLineChars="200"/>
        <w:outlineLvl w:val="0"/>
        <w:rPr>
          <w:rFonts w:hint="eastAsia" w:ascii="宋体" w:hAnsi="宋体" w:eastAsia="宋体" w:cs="宋体"/>
          <w:color w:val="auto"/>
          <w:spacing w:val="8"/>
          <w:kern w:val="0"/>
          <w:sz w:val="21"/>
          <w:szCs w:val="21"/>
          <w:shd w:val="clear" w:color="auto" w:fill="FFFFFF"/>
          <w:lang w:val="en-US" w:eastAsia="zh-CN" w:bidi="ar-SA"/>
        </w:rPr>
      </w:pPr>
      <w:bookmarkStart w:id="1193" w:name="_Toc30240"/>
      <w:r>
        <w:rPr>
          <w:rFonts w:hint="eastAsia" w:ascii="宋体" w:hAnsi="宋体" w:eastAsia="宋体" w:cs="宋体"/>
          <w:color w:val="auto"/>
          <w:spacing w:val="8"/>
          <w:kern w:val="0"/>
          <w:sz w:val="21"/>
          <w:szCs w:val="21"/>
          <w:shd w:val="clear" w:color="auto" w:fill="FFFFFF"/>
          <w:lang w:val="en-US" w:eastAsia="zh-CN" w:bidi="ar-SA"/>
        </w:rPr>
        <w:t>欢迎贵公司参与罗山县政府采购活动！</w:t>
      </w:r>
      <w:bookmarkEnd w:id="1193"/>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府采购合同融资是罗山县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贷款渠道和提供贷款的金融机构，可在河南省政府采购网“河南省政府采购合同融资平台”查询联系。</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政策解读：</w:t>
      </w:r>
      <w:r>
        <w:rPr>
          <w:rFonts w:hint="eastAsia" w:ascii="宋体" w:hAnsi="宋体" w:eastAsia="宋体" w:cs="宋体"/>
          <w:color w:val="auto"/>
          <w:spacing w:val="8"/>
          <w:kern w:val="0"/>
          <w:sz w:val="21"/>
          <w:szCs w:val="21"/>
          <w:shd w:val="clear" w:color="auto" w:fill="FFFFFF"/>
          <w:lang w:val="en-US" w:eastAsia="zh-CN" w:bidi="ar-SA"/>
        </w:rPr>
        <w:fldChar w:fldCharType="begin"/>
      </w:r>
      <w:r>
        <w:rPr>
          <w:rFonts w:hint="eastAsia" w:ascii="宋体" w:hAnsi="宋体" w:eastAsia="宋体" w:cs="宋体"/>
          <w:color w:val="auto"/>
          <w:spacing w:val="8"/>
          <w:kern w:val="0"/>
          <w:sz w:val="21"/>
          <w:szCs w:val="21"/>
          <w:shd w:val="clear" w:color="auto" w:fill="FFFFFF"/>
          <w:lang w:val="en-US" w:eastAsia="zh-CN" w:bidi="ar-SA"/>
        </w:rPr>
        <w:instrText xml:space="preserve"> HYPERLINK "http://www.hngp.gov.cn/xygh/egp/jd/rzjg/rzjgxx/ShowPicListNew.html" </w:instrText>
      </w:r>
      <w:r>
        <w:rPr>
          <w:rFonts w:hint="eastAsia" w:ascii="宋体" w:hAnsi="宋体" w:eastAsia="宋体" w:cs="宋体"/>
          <w:color w:val="auto"/>
          <w:spacing w:val="8"/>
          <w:kern w:val="0"/>
          <w:sz w:val="21"/>
          <w:szCs w:val="21"/>
          <w:shd w:val="clear" w:color="auto" w:fill="FFFFFF"/>
          <w:lang w:val="en-US" w:eastAsia="zh-CN" w:bidi="ar-SA"/>
        </w:rPr>
        <w:fldChar w:fldCharType="separate"/>
      </w:r>
      <w:r>
        <w:rPr>
          <w:rFonts w:hint="eastAsia" w:ascii="宋体" w:hAnsi="宋体" w:eastAsia="宋体" w:cs="宋体"/>
          <w:color w:val="auto"/>
          <w:spacing w:val="8"/>
          <w:kern w:val="0"/>
          <w:sz w:val="21"/>
          <w:szCs w:val="21"/>
          <w:shd w:val="clear" w:color="auto" w:fill="FFFFFF"/>
          <w:lang w:val="en-US" w:eastAsia="zh-CN" w:bidi="ar-SA"/>
        </w:rPr>
        <w:t>http://www.hngp.gov.cn/xygh/egp/jd/rzjg/rzjgxx/ShowPicListNew.html</w:t>
      </w:r>
      <w:r>
        <w:rPr>
          <w:rFonts w:hint="eastAsia" w:ascii="宋体" w:hAnsi="宋体" w:eastAsia="宋体" w:cs="宋体"/>
          <w:color w:val="auto"/>
          <w:spacing w:val="8"/>
          <w:kern w:val="0"/>
          <w:sz w:val="21"/>
          <w:szCs w:val="21"/>
          <w:shd w:val="clear" w:color="auto" w:fill="FFFFFF"/>
          <w:lang w:val="en-US" w:eastAsia="zh-CN" w:bidi="ar-SA"/>
        </w:rPr>
        <w:fldChar w:fldCharType="end"/>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注：此项仅为告知，无须附到投标文件中。</w:t>
      </w:r>
    </w:p>
    <w:bookmarkEnd w:id="946"/>
    <w:bookmarkEnd w:id="947"/>
    <w:bookmarkEnd w:id="948"/>
    <w:bookmarkEnd w:id="949"/>
    <w:p>
      <w:pPr>
        <w:pStyle w:val="15"/>
        <w:ind w:left="0" w:leftChars="0" w:firstLine="0" w:firstLineChars="0"/>
        <w:rPr>
          <w:color w:val="auto"/>
        </w:rPr>
      </w:pPr>
    </w:p>
    <w:sectPr>
      <w:headerReference r:id="rId13" w:type="default"/>
      <w:footerReference r:id="rId14" w:type="default"/>
      <w:pgSz w:w="11906" w:h="16838"/>
      <w:pgMar w:top="1440" w:right="1800" w:bottom="1440" w:left="1800" w:header="794" w:footer="102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val="0"/>
      <w:pBdr>
        <w:top w:val="single" w:color="auto" w:sz="4" w:space="1"/>
        <w:left w:val="none" w:color="auto" w:sz="0" w:space="4"/>
        <w:bottom w:val="none" w:color="auto" w:sz="0" w:space="1"/>
        <w:right w:val="none" w:color="auto" w:sz="0" w:space="4"/>
        <w:between w:val="none" w:color="auto" w:sz="0" w:space="0"/>
      </w:pBdr>
      <w:bidi w:val="0"/>
      <w:snapToGrid w:val="0"/>
      <w:spacing w:line="240" w:lineRule="auto"/>
      <w:ind w:left="0" w:leftChars="0" w:firstLine="0" w:firstLineChars="0"/>
      <w:jc w:val="left"/>
      <w:rPr>
        <w:rFonts w:hint="eastAsia" w:ascii="隶书" w:hAnsi="隶书" w:eastAsia="隶书" w:cs="隶书"/>
        <w:i w:val="0"/>
        <w:iCs w:val="0"/>
        <w:color w:val="auto"/>
        <w:sz w:val="21"/>
        <w:szCs w:val="21"/>
        <w:u w:val="none"/>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bidi w:val="0"/>
      <w:rPr>
        <w:rStyle w:val="30"/>
      </w:rPr>
    </w:pPr>
    <w:r>
      <w:fldChar w:fldCharType="begin"/>
    </w:r>
    <w:r>
      <w:rPr>
        <w:rStyle w:val="30"/>
      </w:rPr>
      <w:instrText xml:space="preserve">PAGE  </w:instrText>
    </w:r>
    <w:r>
      <w:fldChar w:fldCharType="separate"/>
    </w:r>
    <w:r>
      <w:rPr>
        <w:rStyle w:val="30"/>
      </w:rPr>
      <w:t>1</w:t>
    </w:r>
    <w:r>
      <w:fldChar w:fldCharType="end"/>
    </w:r>
  </w:p>
  <w:p>
    <w:pPr>
      <w:pStyle w:val="17"/>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 </w:t>
                          </w:r>
                          <w:r>
                            <w:fldChar w:fldCharType="begin"/>
                          </w:r>
                          <w:r>
                            <w:instrText xml:space="preserve"> PAGE  \* MERGEFORMAT </w:instrText>
                          </w:r>
                          <w:r>
                            <w:fldChar w:fldCharType="separate"/>
                          </w:r>
                          <w:r>
                            <w:t>40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0" w:leftChars="0"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bidi w:val="0"/>
      <w:ind w:left="0" w:leftChars="0" w:firstLine="0" w:firstLineChars="0"/>
      <w:jc w:val="left"/>
      <w:rPr>
        <w:rFonts w:hint="default" w:ascii="宋体" w:hAnsi="宋体"/>
        <w:sz w:val="28"/>
        <w:szCs w:val="28"/>
        <w:u w:val="doub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thinThickSmallGap" w:color="auto" w:sz="12" w:space="1"/>
      </w:pBdr>
      <w:ind w:left="0" w:leftChars="0" w:firstLine="0" w:firstLineChars="0"/>
      <w:jc w:val="both"/>
      <w:rPr>
        <w:rFonts w:hint="default" w:eastAsiaTheme="minorEastAsia"/>
        <w:lang w:val="en-US" w:eastAsia="zh-CN"/>
      </w:rPr>
    </w:pPr>
    <w:r>
      <w:rPr>
        <w:rFonts w:hint="eastAsia"/>
        <w:lang w:val="en-US" w:eastAsia="zh-CN"/>
      </w:rPr>
      <w:t>罗山县公安局2023年度政法转移支付资金公安业务装备采购项目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1"/>
      </w:pBdr>
      <w:ind w:left="0" w:leftChars="0"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eastAsia="宋体" w:cs="宋体"/>
        <w:i/>
        <w:iCs/>
        <w:color w:val="0000FF"/>
        <w:sz w:val="18"/>
        <w:szCs w:val="18"/>
        <w:lang w:val="en-US" w:eastAsia="zh-CN"/>
      </w:rPr>
      <w:t xml:space="preserve"> </w:t>
    </w:r>
  </w:p>
  <w:p>
    <w:pPr>
      <w:pStyle w:val="19"/>
      <w:pBdr>
        <w:bottom w:val="double" w:color="auto" w:sz="8" w:space="1"/>
      </w:pBdr>
      <w:bidi w:val="0"/>
      <w:jc w:val="right"/>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C1438806"/>
    <w:multiLevelType w:val="singleLevel"/>
    <w:tmpl w:val="C1438806"/>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HorizontalSpacing w:val="210"/>
  <w:drawingGridVerticalSpacing w:val="207"/>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NTc5YWZkODk0ZjU4ZmRhMWMyNzZjMTcyZGZiZGMifQ=="/>
  </w:docVars>
  <w:rsids>
    <w:rsidRoot w:val="16285726"/>
    <w:rsid w:val="009474DD"/>
    <w:rsid w:val="01A6307F"/>
    <w:rsid w:val="02007A13"/>
    <w:rsid w:val="02AB4EB4"/>
    <w:rsid w:val="030F0A14"/>
    <w:rsid w:val="03233CED"/>
    <w:rsid w:val="033D7535"/>
    <w:rsid w:val="03DF1EFE"/>
    <w:rsid w:val="03FD2154"/>
    <w:rsid w:val="04150DF9"/>
    <w:rsid w:val="041B6CAE"/>
    <w:rsid w:val="04445F74"/>
    <w:rsid w:val="056D178C"/>
    <w:rsid w:val="05B92CDC"/>
    <w:rsid w:val="05F23A3F"/>
    <w:rsid w:val="06EC40A2"/>
    <w:rsid w:val="06FA5A4B"/>
    <w:rsid w:val="072C3BA8"/>
    <w:rsid w:val="08AC0921"/>
    <w:rsid w:val="0A3B59B5"/>
    <w:rsid w:val="0AD40E05"/>
    <w:rsid w:val="0BBC66FD"/>
    <w:rsid w:val="0C1006B7"/>
    <w:rsid w:val="0CB53335"/>
    <w:rsid w:val="0CCF2D39"/>
    <w:rsid w:val="0CD951BE"/>
    <w:rsid w:val="0D204956"/>
    <w:rsid w:val="0E0E518E"/>
    <w:rsid w:val="0E4D71E3"/>
    <w:rsid w:val="0E8776FD"/>
    <w:rsid w:val="0EE2002C"/>
    <w:rsid w:val="103B6450"/>
    <w:rsid w:val="11386E8A"/>
    <w:rsid w:val="11396646"/>
    <w:rsid w:val="12064E09"/>
    <w:rsid w:val="143A1241"/>
    <w:rsid w:val="14A4092D"/>
    <w:rsid w:val="15B35C0D"/>
    <w:rsid w:val="15C0731B"/>
    <w:rsid w:val="15E65829"/>
    <w:rsid w:val="16285726"/>
    <w:rsid w:val="163D3790"/>
    <w:rsid w:val="16B63E50"/>
    <w:rsid w:val="16BF2C8C"/>
    <w:rsid w:val="17571D9C"/>
    <w:rsid w:val="17F368A6"/>
    <w:rsid w:val="19986F02"/>
    <w:rsid w:val="1A845E02"/>
    <w:rsid w:val="1B56685D"/>
    <w:rsid w:val="1C695762"/>
    <w:rsid w:val="1C723415"/>
    <w:rsid w:val="1D345057"/>
    <w:rsid w:val="1D715F48"/>
    <w:rsid w:val="1DEC7D13"/>
    <w:rsid w:val="1E015124"/>
    <w:rsid w:val="1E953217"/>
    <w:rsid w:val="1F7E03C6"/>
    <w:rsid w:val="1F8F4381"/>
    <w:rsid w:val="1FB94800"/>
    <w:rsid w:val="1FCD2B3E"/>
    <w:rsid w:val="20546C98"/>
    <w:rsid w:val="20735CBC"/>
    <w:rsid w:val="20F86A57"/>
    <w:rsid w:val="210C1A01"/>
    <w:rsid w:val="21843CA5"/>
    <w:rsid w:val="21987E11"/>
    <w:rsid w:val="219F4999"/>
    <w:rsid w:val="21EC3B0A"/>
    <w:rsid w:val="222F0275"/>
    <w:rsid w:val="22A00A12"/>
    <w:rsid w:val="22FB6A6C"/>
    <w:rsid w:val="23515DF1"/>
    <w:rsid w:val="23A9627C"/>
    <w:rsid w:val="24EE2297"/>
    <w:rsid w:val="24F42B55"/>
    <w:rsid w:val="25D223A5"/>
    <w:rsid w:val="25D530A8"/>
    <w:rsid w:val="2692735C"/>
    <w:rsid w:val="26DE23A2"/>
    <w:rsid w:val="27A440EC"/>
    <w:rsid w:val="27E823ED"/>
    <w:rsid w:val="28416434"/>
    <w:rsid w:val="28674DDE"/>
    <w:rsid w:val="28924BDC"/>
    <w:rsid w:val="28B20E43"/>
    <w:rsid w:val="29115E06"/>
    <w:rsid w:val="291A6ED1"/>
    <w:rsid w:val="29D81836"/>
    <w:rsid w:val="29E37D04"/>
    <w:rsid w:val="2A534B74"/>
    <w:rsid w:val="2B044C34"/>
    <w:rsid w:val="2B9223D2"/>
    <w:rsid w:val="2C0E487F"/>
    <w:rsid w:val="2DEC59F1"/>
    <w:rsid w:val="2E0A5266"/>
    <w:rsid w:val="2E33593F"/>
    <w:rsid w:val="2E8C33F6"/>
    <w:rsid w:val="310E134C"/>
    <w:rsid w:val="312406A1"/>
    <w:rsid w:val="31F40FB9"/>
    <w:rsid w:val="32175EB4"/>
    <w:rsid w:val="321E307F"/>
    <w:rsid w:val="322F554F"/>
    <w:rsid w:val="33FF3119"/>
    <w:rsid w:val="34721A13"/>
    <w:rsid w:val="348F6779"/>
    <w:rsid w:val="34CC52D7"/>
    <w:rsid w:val="35613C72"/>
    <w:rsid w:val="35945D09"/>
    <w:rsid w:val="35A16764"/>
    <w:rsid w:val="36423DD2"/>
    <w:rsid w:val="367C11AC"/>
    <w:rsid w:val="368D10CA"/>
    <w:rsid w:val="36CE7119"/>
    <w:rsid w:val="36F113BA"/>
    <w:rsid w:val="370D12E8"/>
    <w:rsid w:val="371F53BE"/>
    <w:rsid w:val="37743ADD"/>
    <w:rsid w:val="387F42EB"/>
    <w:rsid w:val="38B26BB4"/>
    <w:rsid w:val="38D25C01"/>
    <w:rsid w:val="393F667A"/>
    <w:rsid w:val="395908AC"/>
    <w:rsid w:val="39671A73"/>
    <w:rsid w:val="396B3311"/>
    <w:rsid w:val="39B413FF"/>
    <w:rsid w:val="39D75E0E"/>
    <w:rsid w:val="3A621DE4"/>
    <w:rsid w:val="3A822A04"/>
    <w:rsid w:val="3B006923"/>
    <w:rsid w:val="3BE30160"/>
    <w:rsid w:val="3C3520E9"/>
    <w:rsid w:val="3C8D752D"/>
    <w:rsid w:val="3D502E88"/>
    <w:rsid w:val="3DB15D17"/>
    <w:rsid w:val="3E6E4F23"/>
    <w:rsid w:val="3E817133"/>
    <w:rsid w:val="3E875B87"/>
    <w:rsid w:val="3ED43848"/>
    <w:rsid w:val="3FF050AD"/>
    <w:rsid w:val="40551FDE"/>
    <w:rsid w:val="42685250"/>
    <w:rsid w:val="42DF0CD6"/>
    <w:rsid w:val="437A5F03"/>
    <w:rsid w:val="44972919"/>
    <w:rsid w:val="44A23DFA"/>
    <w:rsid w:val="44D125AC"/>
    <w:rsid w:val="44D50FA6"/>
    <w:rsid w:val="45464904"/>
    <w:rsid w:val="45E9098E"/>
    <w:rsid w:val="46142D8F"/>
    <w:rsid w:val="46CD058C"/>
    <w:rsid w:val="48A26623"/>
    <w:rsid w:val="4A4D2CE8"/>
    <w:rsid w:val="4AB75AC2"/>
    <w:rsid w:val="4B1C0F46"/>
    <w:rsid w:val="4C11613A"/>
    <w:rsid w:val="4C4F26EF"/>
    <w:rsid w:val="4C685F8B"/>
    <w:rsid w:val="4C866433"/>
    <w:rsid w:val="4D4F0070"/>
    <w:rsid w:val="4E2E3FCE"/>
    <w:rsid w:val="4E5205BB"/>
    <w:rsid w:val="4EA14099"/>
    <w:rsid w:val="4EB00931"/>
    <w:rsid w:val="4FE6489D"/>
    <w:rsid w:val="51DD749F"/>
    <w:rsid w:val="51F77770"/>
    <w:rsid w:val="5240597E"/>
    <w:rsid w:val="526F7400"/>
    <w:rsid w:val="538A5305"/>
    <w:rsid w:val="54473321"/>
    <w:rsid w:val="55485957"/>
    <w:rsid w:val="558D3544"/>
    <w:rsid w:val="55B94FAC"/>
    <w:rsid w:val="5693287E"/>
    <w:rsid w:val="575C059D"/>
    <w:rsid w:val="57722A0A"/>
    <w:rsid w:val="5801436F"/>
    <w:rsid w:val="58843129"/>
    <w:rsid w:val="590907DD"/>
    <w:rsid w:val="59222300"/>
    <w:rsid w:val="59D55B0A"/>
    <w:rsid w:val="5A0744A1"/>
    <w:rsid w:val="5AA238C9"/>
    <w:rsid w:val="5AB26B9A"/>
    <w:rsid w:val="5BCF1086"/>
    <w:rsid w:val="5BDE4349"/>
    <w:rsid w:val="5BDE5B23"/>
    <w:rsid w:val="5BFE29CB"/>
    <w:rsid w:val="5C3B3E80"/>
    <w:rsid w:val="5D407CAF"/>
    <w:rsid w:val="5D58291D"/>
    <w:rsid w:val="5D894E8D"/>
    <w:rsid w:val="5D965B67"/>
    <w:rsid w:val="5E6E797B"/>
    <w:rsid w:val="606A2876"/>
    <w:rsid w:val="60EB5B3F"/>
    <w:rsid w:val="61235D51"/>
    <w:rsid w:val="618E553F"/>
    <w:rsid w:val="61C84621"/>
    <w:rsid w:val="62AE5E29"/>
    <w:rsid w:val="62C43E70"/>
    <w:rsid w:val="6302528E"/>
    <w:rsid w:val="63075593"/>
    <w:rsid w:val="633E3916"/>
    <w:rsid w:val="63EA620E"/>
    <w:rsid w:val="66596C8F"/>
    <w:rsid w:val="6717660C"/>
    <w:rsid w:val="67DB3777"/>
    <w:rsid w:val="680E1188"/>
    <w:rsid w:val="6820608A"/>
    <w:rsid w:val="68906041"/>
    <w:rsid w:val="692C753A"/>
    <w:rsid w:val="6A3E1686"/>
    <w:rsid w:val="6B120A88"/>
    <w:rsid w:val="6B3E4C53"/>
    <w:rsid w:val="6B514E55"/>
    <w:rsid w:val="6B6E578F"/>
    <w:rsid w:val="6B8C1288"/>
    <w:rsid w:val="6BC02869"/>
    <w:rsid w:val="6BFB3E62"/>
    <w:rsid w:val="6C427652"/>
    <w:rsid w:val="6C625209"/>
    <w:rsid w:val="6C817587"/>
    <w:rsid w:val="6D454232"/>
    <w:rsid w:val="6DF16E28"/>
    <w:rsid w:val="6E60505E"/>
    <w:rsid w:val="6E834DA0"/>
    <w:rsid w:val="6EAA45FF"/>
    <w:rsid w:val="6F55628C"/>
    <w:rsid w:val="701B0440"/>
    <w:rsid w:val="70EB2CD4"/>
    <w:rsid w:val="7164044C"/>
    <w:rsid w:val="725D5D4E"/>
    <w:rsid w:val="727B1AD3"/>
    <w:rsid w:val="729A1B38"/>
    <w:rsid w:val="73961C36"/>
    <w:rsid w:val="74335059"/>
    <w:rsid w:val="744F63BC"/>
    <w:rsid w:val="74B1587A"/>
    <w:rsid w:val="74E12C47"/>
    <w:rsid w:val="753D44D2"/>
    <w:rsid w:val="76A61999"/>
    <w:rsid w:val="76AC04E9"/>
    <w:rsid w:val="773772DA"/>
    <w:rsid w:val="78E57AEA"/>
    <w:rsid w:val="79952D27"/>
    <w:rsid w:val="7BE07BE8"/>
    <w:rsid w:val="7C502D1D"/>
    <w:rsid w:val="7CDD1799"/>
    <w:rsid w:val="7D4023B4"/>
    <w:rsid w:val="7E250898"/>
    <w:rsid w:val="7E3D5789"/>
    <w:rsid w:val="7E9A7E78"/>
    <w:rsid w:val="7F634265"/>
    <w:rsid w:val="7F93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jc w:val="center"/>
      <w:outlineLvl w:val="0"/>
    </w:pPr>
    <w:rPr>
      <w:b/>
      <w:bCs/>
      <w:color w:val="000000"/>
      <w:sz w:val="32"/>
    </w:rPr>
  </w:style>
  <w:style w:type="paragraph" w:styleId="4">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5">
    <w:name w:val="heading 3"/>
    <w:basedOn w:val="1"/>
    <w:next w:val="1"/>
    <w:qFormat/>
    <w:uiPriority w:val="0"/>
    <w:pPr>
      <w:keepNext/>
      <w:keepLines/>
      <w:spacing w:after="0" w:afterLines="0" w:line="460" w:lineRule="exact"/>
      <w:jc w:val="left"/>
      <w:outlineLvl w:val="2"/>
    </w:pPr>
    <w:rPr>
      <w:b/>
      <w:sz w:val="24"/>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sz w:val="21"/>
      <w:szCs w:val="24"/>
    </w:rPr>
  </w:style>
  <w:style w:type="paragraph" w:styleId="7">
    <w:name w:val="index 8"/>
    <w:basedOn w:val="1"/>
    <w:next w:val="1"/>
    <w:qFormat/>
    <w:uiPriority w:val="0"/>
    <w:pPr>
      <w:ind w:left="1400" w:leftChars="1400"/>
    </w:pPr>
  </w:style>
  <w:style w:type="paragraph" w:styleId="8">
    <w:name w:val="Normal Indent"/>
    <w:basedOn w:val="1"/>
    <w:next w:val="9"/>
    <w:qFormat/>
    <w:uiPriority w:val="0"/>
    <w:pPr>
      <w:ind w:firstLine="420"/>
    </w:pPr>
    <w:rPr>
      <w:sz w:val="21"/>
    </w:rPr>
  </w:style>
  <w:style w:type="paragraph" w:styleId="9">
    <w:name w:val="Document Map"/>
    <w:basedOn w:val="1"/>
    <w:next w:val="10"/>
    <w:qFormat/>
    <w:uiPriority w:val="0"/>
    <w:pPr>
      <w:shd w:val="clear" w:color="000000" w:fill="000080"/>
      <w:ind w:firstLine="14"/>
    </w:pPr>
    <w:rPr>
      <w:rFonts w:ascii="Calibri" w:hAnsi="Calibri"/>
    </w:rPr>
  </w:style>
  <w:style w:type="paragraph" w:styleId="10">
    <w:name w:val="Block Text"/>
    <w:basedOn w:val="1"/>
    <w:next w:val="11"/>
    <w:qFormat/>
    <w:uiPriority w:val="99"/>
    <w:pPr>
      <w:spacing w:after="120"/>
      <w:ind w:left="1440" w:leftChars="700" w:right="1440" w:rightChars="700"/>
    </w:pPr>
  </w:style>
  <w:style w:type="paragraph" w:styleId="11">
    <w:name w:val="Body Text Indent"/>
    <w:basedOn w:val="1"/>
    <w:next w:val="12"/>
    <w:qFormat/>
    <w:uiPriority w:val="0"/>
    <w:pPr>
      <w:spacing w:line="312" w:lineRule="auto"/>
      <w:ind w:firstLine="735" w:firstLineChars="245"/>
    </w:pPr>
  </w:style>
  <w:style w:type="paragraph" w:styleId="12">
    <w:name w:val="Date"/>
    <w:basedOn w:val="1"/>
    <w:next w:val="1"/>
    <w:unhideWhenUsed/>
    <w:qFormat/>
    <w:uiPriority w:val="99"/>
    <w:pPr>
      <w:ind w:left="100" w:leftChars="2500"/>
    </w:pPr>
    <w:rPr>
      <w:rFonts w:cs="Times New Roman"/>
    </w:rPr>
  </w:style>
  <w:style w:type="paragraph" w:styleId="13">
    <w:name w:val="annotation text"/>
    <w:basedOn w:val="1"/>
    <w:qFormat/>
    <w:uiPriority w:val="99"/>
    <w:pPr>
      <w:jc w:val="left"/>
    </w:pPr>
  </w:style>
  <w:style w:type="paragraph" w:styleId="14">
    <w:name w:val="Body Text 3"/>
    <w:basedOn w:val="1"/>
    <w:qFormat/>
    <w:uiPriority w:val="0"/>
    <w:rPr>
      <w:rFonts w:hAnsi="Times New Roman"/>
      <w:kern w:val="0"/>
      <w:sz w:val="24"/>
      <w:szCs w:val="20"/>
    </w:rPr>
  </w:style>
  <w:style w:type="paragraph" w:styleId="15">
    <w:name w:val="Body Text"/>
    <w:basedOn w:val="1"/>
    <w:next w:val="1"/>
    <w:qFormat/>
    <w:uiPriority w:val="0"/>
    <w:pPr>
      <w:spacing w:after="120" w:afterLines="0" w:afterAutospacing="0"/>
    </w:pPr>
    <w:rPr>
      <w:sz w:val="21"/>
    </w:rPr>
  </w:style>
  <w:style w:type="paragraph" w:styleId="16">
    <w:name w:val="toc 3"/>
    <w:basedOn w:val="1"/>
    <w:next w:val="1"/>
    <w:qFormat/>
    <w:uiPriority w:val="0"/>
    <w:pPr>
      <w:ind w:left="840" w:leftChars="400"/>
    </w:pPr>
  </w:style>
  <w:style w:type="paragraph" w:styleId="1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3">
    <w:name w:val="Body Text 2"/>
    <w:basedOn w:val="1"/>
    <w:next w:val="1"/>
    <w:qFormat/>
    <w:uiPriority w:val="0"/>
    <w:pPr>
      <w:spacing w:after="120" w:afterLines="0" w:afterAutospacing="0" w:line="480" w:lineRule="auto"/>
    </w:pPr>
    <w:rPr>
      <w:sz w:val="21"/>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5">
    <w:name w:val="Body Text First Indent"/>
    <w:basedOn w:val="15"/>
    <w:next w:val="26"/>
    <w:qFormat/>
    <w:uiPriority w:val="0"/>
    <w:pPr>
      <w:ind w:firstLine="420" w:firstLineChars="100"/>
    </w:pPr>
  </w:style>
  <w:style w:type="paragraph" w:styleId="26">
    <w:name w:val="Body Text First Indent 2"/>
    <w:basedOn w:val="11"/>
    <w:next w:val="12"/>
    <w:qFormat/>
    <w:uiPriority w:val="0"/>
    <w:pPr>
      <w:spacing w:after="120" w:afterLines="0" w:line="240" w:lineRule="auto"/>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basedOn w:val="29"/>
    <w:qFormat/>
    <w:uiPriority w:val="0"/>
    <w:rPr>
      <w:color w:val="0000FF"/>
      <w:u w:val="single"/>
    </w:rPr>
  </w:style>
  <w:style w:type="paragraph" w:customStyle="1" w:styleId="32">
    <w:name w:val="style4"/>
    <w:basedOn w:val="33"/>
    <w:next w:val="35"/>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33">
    <w:name w:val="正文1"/>
    <w:basedOn w:val="1"/>
    <w:next w:val="34"/>
    <w:qFormat/>
    <w:uiPriority w:val="0"/>
    <w:pPr>
      <w:adjustRightInd w:val="0"/>
      <w:spacing w:line="360" w:lineRule="atLeast"/>
      <w:textAlignment w:val="baseline"/>
    </w:pPr>
    <w:rPr>
      <w:rFonts w:hAnsi="Times New Roman" w:cs="Times New Roman"/>
      <w:sz w:val="24"/>
      <w:szCs w:val="20"/>
    </w:rPr>
  </w:style>
  <w:style w:type="paragraph" w:customStyle="1" w:styleId="34">
    <w:name w:val="正文文本1"/>
    <w:basedOn w:val="33"/>
    <w:next w:val="32"/>
    <w:qFormat/>
    <w:uiPriority w:val="0"/>
    <w:pPr>
      <w:spacing w:after="120"/>
    </w:pPr>
    <w:rPr>
      <w:sz w:val="20"/>
    </w:rPr>
  </w:style>
  <w:style w:type="paragraph" w:customStyle="1" w:styleId="35">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Char10 Char Char Char Char"/>
    <w:basedOn w:val="1"/>
    <w:next w:val="38"/>
    <w:qFormat/>
    <w:uiPriority w:val="99"/>
  </w:style>
  <w:style w:type="paragraph" w:customStyle="1" w:styleId="38">
    <w:name w:val="xl87"/>
    <w:basedOn w:val="1"/>
    <w:next w:val="3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39">
    <w:name w:val="xl72"/>
    <w:basedOn w:val="1"/>
    <w:next w:val="12"/>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40">
    <w:name w:val="无间隔1"/>
    <w:basedOn w:val="1"/>
    <w:next w:val="1"/>
    <w:qFormat/>
    <w:uiPriority w:val="1"/>
    <w:pPr>
      <w:spacing w:line="400" w:lineRule="exact"/>
    </w:pPr>
  </w:style>
  <w:style w:type="paragraph" w:customStyle="1" w:styleId="41">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BodyText1I2"/>
    <w:basedOn w:val="44"/>
    <w:next w:val="45"/>
    <w:qFormat/>
    <w:uiPriority w:val="0"/>
    <w:pPr>
      <w:ind w:firstLine="420" w:firstLineChars="200"/>
    </w:pPr>
    <w:rPr>
      <w:rFonts w:ascii="Calibri" w:hAnsi="Calibri" w:eastAsia="楷体_GB2312"/>
      <w:kern w:val="44"/>
      <w:sz w:val="44"/>
    </w:rPr>
  </w:style>
  <w:style w:type="paragraph" w:customStyle="1" w:styleId="44">
    <w:name w:val="BodyTextIndent"/>
    <w:basedOn w:val="1"/>
    <w:qFormat/>
    <w:uiPriority w:val="0"/>
    <w:pPr>
      <w:spacing w:after="120"/>
      <w:ind w:left="420" w:leftChars="200"/>
    </w:pPr>
    <w:rPr>
      <w:rFonts w:ascii="Times New Roman" w:hAnsi="Times New Roman"/>
      <w:kern w:val="0"/>
      <w:sz w:val="20"/>
    </w:rPr>
  </w:style>
  <w:style w:type="paragraph" w:customStyle="1" w:styleId="45">
    <w:name w:val="UserStyle_136"/>
    <w:basedOn w:val="1"/>
    <w:next w:val="1"/>
    <w:qFormat/>
    <w:uiPriority w:val="0"/>
    <w:pPr>
      <w:spacing w:after="120" w:line="320" w:lineRule="atLeast"/>
      <w:ind w:firstLine="200" w:firstLineChars="200"/>
    </w:pPr>
    <w:rPr>
      <w:rFonts w:ascii="Arial" w:hAnsi="Arial"/>
      <w:kern w:val="0"/>
    </w:rPr>
  </w:style>
  <w:style w:type="paragraph" w:customStyle="1" w:styleId="46">
    <w:name w:val="样式 标题 2 + Times New Roman 四号 非加粗 段前: 5 磅 段后: 0 磅 行距: 固定值 20..."/>
    <w:basedOn w:val="4"/>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47">
    <w:name w:val="List Paragraph"/>
    <w:basedOn w:val="1"/>
    <w:qFormat/>
    <w:uiPriority w:val="0"/>
    <w:pPr>
      <w:ind w:firstLine="420" w:firstLineChars="200"/>
    </w:pPr>
    <w:rPr>
      <w:sz w:val="21"/>
      <w:szCs w:val="24"/>
    </w:rPr>
  </w:style>
  <w:style w:type="paragraph" w:customStyle="1" w:styleId="48">
    <w:name w:val="样式 标题 3 + (中文) 黑体 小四 非加粗 段前: 7.8 磅 段后: 0 磅 行距: 固定值 20 磅"/>
    <w:basedOn w:val="5"/>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49">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p0"/>
    <w:basedOn w:val="1"/>
    <w:qFormat/>
    <w:uiPriority w:val="0"/>
    <w:pPr>
      <w:widowControl/>
    </w:pPr>
    <w:rPr>
      <w:kern w:val="0"/>
      <w:sz w:val="21"/>
      <w:szCs w:val="21"/>
    </w:rPr>
  </w:style>
  <w:style w:type="paragraph" w:customStyle="1" w:styleId="55">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56">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58">
    <w:name w:val="font21"/>
    <w:basedOn w:val="29"/>
    <w:qFormat/>
    <w:uiPriority w:val="0"/>
    <w:rPr>
      <w:rFonts w:hint="eastAsia" w:ascii="新宋体" w:hAnsi="新宋体" w:eastAsia="新宋体" w:cs="新宋体"/>
      <w:color w:val="000000"/>
      <w:sz w:val="22"/>
      <w:szCs w:val="22"/>
      <w:u w:val="none"/>
    </w:rPr>
  </w:style>
  <w:style w:type="character" w:customStyle="1" w:styleId="59">
    <w:name w:val="font81"/>
    <w:basedOn w:val="29"/>
    <w:qFormat/>
    <w:uiPriority w:val="0"/>
    <w:rPr>
      <w:rFonts w:hint="eastAsia" w:ascii="宋体" w:hAnsi="宋体" w:eastAsia="宋体" w:cs="宋体"/>
      <w:color w:val="000000"/>
      <w:sz w:val="22"/>
      <w:szCs w:val="22"/>
      <w:u w:val="none"/>
    </w:rPr>
  </w:style>
  <w:style w:type="character" w:customStyle="1" w:styleId="60">
    <w:name w:val="font141"/>
    <w:basedOn w:val="29"/>
    <w:qFormat/>
    <w:uiPriority w:val="0"/>
    <w:rPr>
      <w:rFonts w:hint="eastAsia" w:ascii="宋体" w:hAnsi="宋体" w:eastAsia="宋体" w:cs="宋体"/>
      <w:b/>
      <w:bCs/>
      <w:color w:val="000000"/>
      <w:sz w:val="22"/>
      <w:szCs w:val="22"/>
      <w:u w:val="none"/>
    </w:rPr>
  </w:style>
  <w:style w:type="character" w:customStyle="1" w:styleId="61">
    <w:name w:val="font161"/>
    <w:basedOn w:val="29"/>
    <w:qFormat/>
    <w:uiPriority w:val="0"/>
    <w:rPr>
      <w:rFonts w:hint="eastAsia" w:ascii="宋体" w:hAnsi="宋体" w:eastAsia="宋体" w:cs="宋体"/>
      <w:b/>
      <w:bCs/>
      <w:color w:val="000000"/>
      <w:sz w:val="22"/>
      <w:szCs w:val="22"/>
      <w:u w:val="none"/>
    </w:rPr>
  </w:style>
  <w:style w:type="character" w:customStyle="1" w:styleId="62">
    <w:name w:val="font91"/>
    <w:basedOn w:val="29"/>
    <w:qFormat/>
    <w:uiPriority w:val="0"/>
    <w:rPr>
      <w:rFonts w:hint="eastAsia" w:ascii="宋体" w:hAnsi="宋体" w:eastAsia="宋体" w:cs="宋体"/>
      <w:color w:val="000000"/>
      <w:sz w:val="24"/>
      <w:szCs w:val="24"/>
      <w:u w:val="none"/>
    </w:rPr>
  </w:style>
  <w:style w:type="character" w:customStyle="1" w:styleId="63">
    <w:name w:val="font112"/>
    <w:basedOn w:val="29"/>
    <w:qFormat/>
    <w:uiPriority w:val="0"/>
    <w:rPr>
      <w:rFonts w:hint="eastAsia" w:ascii="宋体" w:hAnsi="宋体" w:eastAsia="宋体" w:cs="宋体"/>
      <w:color w:val="000000"/>
      <w:sz w:val="24"/>
      <w:szCs w:val="24"/>
      <w:u w:val="none"/>
    </w:rPr>
  </w:style>
  <w:style w:type="character" w:customStyle="1" w:styleId="64">
    <w:name w:val="font171"/>
    <w:basedOn w:val="29"/>
    <w:qFormat/>
    <w:uiPriority w:val="0"/>
    <w:rPr>
      <w:rFonts w:hint="eastAsia" w:ascii="宋体" w:hAnsi="宋体" w:eastAsia="宋体" w:cs="宋体"/>
      <w:b/>
      <w:bCs/>
      <w:color w:val="FF0000"/>
      <w:sz w:val="22"/>
      <w:szCs w:val="22"/>
      <w:u w:val="none"/>
    </w:rPr>
  </w:style>
  <w:style w:type="character" w:customStyle="1" w:styleId="65">
    <w:name w:val="font61"/>
    <w:basedOn w:val="29"/>
    <w:qFormat/>
    <w:uiPriority w:val="0"/>
    <w:rPr>
      <w:rFonts w:hint="eastAsia" w:ascii="宋体" w:hAnsi="宋体" w:eastAsia="宋体" w:cs="宋体"/>
      <w:color w:val="000000"/>
      <w:sz w:val="22"/>
      <w:szCs w:val="22"/>
      <w:u w:val="none"/>
    </w:rPr>
  </w:style>
  <w:style w:type="character" w:customStyle="1" w:styleId="66">
    <w:name w:val="font01"/>
    <w:basedOn w:val="29"/>
    <w:qFormat/>
    <w:uiPriority w:val="0"/>
    <w:rPr>
      <w:rFonts w:hint="eastAsia" w:ascii="宋体" w:hAnsi="宋体" w:eastAsia="宋体" w:cs="宋体"/>
      <w:color w:val="000000"/>
      <w:sz w:val="22"/>
      <w:szCs w:val="22"/>
      <w:u w:val="none"/>
    </w:rPr>
  </w:style>
  <w:style w:type="character" w:customStyle="1" w:styleId="67">
    <w:name w:val="font41"/>
    <w:basedOn w:val="29"/>
    <w:qFormat/>
    <w:uiPriority w:val="0"/>
    <w:rPr>
      <w:rFonts w:hint="eastAsia" w:ascii="宋体" w:hAnsi="宋体" w:eastAsia="宋体" w:cs="宋体"/>
      <w:color w:val="000000"/>
      <w:sz w:val="24"/>
      <w:szCs w:val="24"/>
      <w:u w:val="none"/>
    </w:rPr>
  </w:style>
  <w:style w:type="character" w:customStyle="1" w:styleId="68">
    <w:name w:val="font121"/>
    <w:basedOn w:val="29"/>
    <w:qFormat/>
    <w:uiPriority w:val="0"/>
    <w:rPr>
      <w:rFonts w:hint="eastAsia" w:ascii="宋体" w:hAnsi="宋体" w:eastAsia="宋体" w:cs="宋体"/>
      <w:b/>
      <w:bCs/>
      <w:color w:val="FF0000"/>
      <w:sz w:val="24"/>
      <w:szCs w:val="24"/>
      <w:u w:val="none"/>
    </w:rPr>
  </w:style>
  <w:style w:type="character" w:customStyle="1" w:styleId="69">
    <w:name w:val="font101"/>
    <w:basedOn w:val="29"/>
    <w:qFormat/>
    <w:uiPriority w:val="0"/>
    <w:rPr>
      <w:rFonts w:hint="eastAsia" w:ascii="宋体" w:hAnsi="宋体" w:eastAsia="宋体" w:cs="宋体"/>
      <w:color w:val="FF0000"/>
      <w:sz w:val="24"/>
      <w:szCs w:val="24"/>
      <w:u w:val="none"/>
    </w:rPr>
  </w:style>
  <w:style w:type="paragraph" w:customStyle="1" w:styleId="70">
    <w:name w:val="列表段落1"/>
    <w:basedOn w:val="1"/>
    <w:qFormat/>
    <w:uiPriority w:val="34"/>
    <w:pPr>
      <w:ind w:firstLine="420" w:firstLineChars="200"/>
    </w:pPr>
    <w:rPr>
      <w:rFonts w:ascii="等线" w:hAnsi="等线" w:eastAsia="宋体" w:cs="Times New Roman"/>
    </w:rPr>
  </w:style>
  <w:style w:type="character" w:customStyle="1" w:styleId="71">
    <w:name w:val="font11"/>
    <w:basedOn w:val="29"/>
    <w:qFormat/>
    <w:uiPriority w:val="0"/>
    <w:rPr>
      <w:rFonts w:hint="eastAsia" w:ascii="黑体" w:hAnsi="宋体" w:eastAsia="黑体" w:cs="黑体"/>
      <w:color w:val="000000"/>
      <w:sz w:val="20"/>
      <w:szCs w:val="20"/>
      <w:u w:val="none"/>
    </w:rPr>
  </w:style>
  <w:style w:type="character" w:customStyle="1" w:styleId="72">
    <w:name w:val="font51"/>
    <w:basedOn w:val="29"/>
    <w:qFormat/>
    <w:uiPriority w:val="0"/>
    <w:rPr>
      <w:rFonts w:hint="eastAsia" w:ascii="黑体" w:hAnsi="宋体" w:eastAsia="黑体" w:cs="黑体"/>
      <w:color w:val="000000"/>
      <w:sz w:val="20"/>
      <w:szCs w:val="20"/>
      <w:u w:val="none"/>
    </w:rPr>
  </w:style>
  <w:style w:type="character" w:customStyle="1" w:styleId="73">
    <w:name w:val="font71"/>
    <w:basedOn w:val="29"/>
    <w:qFormat/>
    <w:uiPriority w:val="0"/>
    <w:rPr>
      <w:rFonts w:hint="eastAsia" w:ascii="宋体" w:hAnsi="宋体" w:eastAsia="宋体" w:cs="宋体"/>
      <w:color w:val="000000"/>
      <w:sz w:val="20"/>
      <w:szCs w:val="20"/>
      <w:u w:val="none"/>
    </w:rPr>
  </w:style>
  <w:style w:type="paragraph" w:customStyle="1" w:styleId="74">
    <w:name w:val="页眉1"/>
    <w:basedOn w:val="1"/>
    <w:qFormat/>
    <w:uiPriority w:val="0"/>
    <w:pPr>
      <w:pBdr>
        <w:bottom w:val="single" w:color="00000A" w:sz="6" w:space="1"/>
      </w:pBdr>
      <w:tabs>
        <w:tab w:val="center" w:pos="4153"/>
        <w:tab w:val="right" w:pos="8306"/>
      </w:tabs>
      <w:snapToGrid w:val="0"/>
      <w:jc w:val="center"/>
    </w:pPr>
    <w:rPr>
      <w:rFonts w:ascii="Times New Roman" w:hAnsi="Times New Roman" w:eastAsia="楷体_GB2312"/>
      <w:sz w:val="18"/>
      <w:szCs w:val="20"/>
    </w:rPr>
  </w:style>
  <w:style w:type="paragraph" w:customStyle="1" w:styleId="75">
    <w:name w:val="header"/>
    <w:basedOn w:val="1"/>
    <w:qFormat/>
    <w:uiPriority w:val="0"/>
    <w:pPr>
      <w:pBdr>
        <w:bottom w:val="single" w:color="auto" w:sz="6" w:space="1"/>
      </w:pBdr>
      <w:tabs>
        <w:tab w:val="center" w:pos="4153"/>
        <w:tab w:val="right" w:pos="8306"/>
      </w:tabs>
      <w:snapToGrid w:val="0"/>
      <w:jc w:val="center"/>
    </w:pPr>
    <w:rPr>
      <w:kern w:val="2"/>
      <w:sz w:val="18"/>
      <w:szCs w:val="21"/>
    </w:rPr>
  </w:style>
  <w:style w:type="paragraph" w:customStyle="1" w:styleId="76">
    <w:name w:val="footer"/>
    <w:basedOn w:val="1"/>
    <w:qFormat/>
    <w:uiPriority w:val="0"/>
    <w:pPr>
      <w:tabs>
        <w:tab w:val="center" w:pos="4153"/>
        <w:tab w:val="right" w:pos="8306"/>
      </w:tabs>
      <w:snapToGrid w:val="0"/>
      <w:jc w:val="left"/>
    </w:pPr>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24175</Words>
  <Characters>25860</Characters>
  <Lines>0</Lines>
  <Paragraphs>0</Paragraphs>
  <TotalTime>0</TotalTime>
  <ScaleCrop>false</ScaleCrop>
  <LinksUpToDate>false</LinksUpToDate>
  <CharactersWithSpaces>27486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NTKO</cp:lastModifiedBy>
  <cp:lastPrinted>2022-08-29T00:56:00Z</cp:lastPrinted>
  <dcterms:modified xsi:type="dcterms:W3CDTF">2023-09-23T09:23:01Z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AE64813CF3344E0CA4C2824D4A88371B</vt:lpwstr>
  </property>
</Properties>
</file>