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b/>
          <w:sz w:val="52"/>
          <w:szCs w:val="52"/>
          <w:highlight w:val="none"/>
        </w:rPr>
      </w:pPr>
      <w:r>
        <w:rPr>
          <w:rFonts w:hint="eastAsia" w:ascii="Times New Roman" w:hAnsi="Times New Roman" w:eastAsia="宋体" w:cs="Times New Roman"/>
          <w:b/>
          <w:sz w:val="52"/>
          <w:szCs w:val="52"/>
          <w:highlight w:val="none"/>
        </w:rPr>
        <w:t xml:space="preserve">  </w:t>
      </w:r>
    </w:p>
    <w:p>
      <w:pPr>
        <w:jc w:val="center"/>
        <w:rPr>
          <w:rFonts w:ascii="Times New Roman" w:hAnsi="Times New Roman" w:eastAsia="宋体" w:cs="Times New Roman"/>
          <w:b/>
          <w:sz w:val="48"/>
          <w:szCs w:val="48"/>
          <w:highlight w:val="none"/>
        </w:rPr>
      </w:pPr>
      <w:r>
        <w:rPr>
          <w:rFonts w:hint="eastAsia" w:ascii="Times New Roman" w:hAnsi="Times New Roman" w:eastAsia="宋体" w:cs="Times New Roman"/>
          <w:b/>
          <w:sz w:val="48"/>
          <w:szCs w:val="48"/>
          <w:highlight w:val="none"/>
        </w:rPr>
        <w:t>电（扶）梯设备定制、安装合同</w:t>
      </w:r>
    </w:p>
    <w:p>
      <w:pPr>
        <w:jc w:val="center"/>
        <w:rPr>
          <w:rFonts w:ascii="Times New Roman" w:hAnsi="Times New Roman" w:eastAsia="宋体" w:cs="Times New Roman"/>
          <w:b/>
          <w:szCs w:val="21"/>
          <w:highlight w:val="none"/>
        </w:rPr>
      </w:pPr>
    </w:p>
    <w:p>
      <w:pPr>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 　　　　　　　　　　　　　　　　　　　　　</w:t>
      </w:r>
    </w:p>
    <w:p>
      <w:pPr>
        <w:jc w:val="center"/>
        <w:rPr>
          <w:rFonts w:ascii="Times New Roman" w:hAnsi="Times New Roman" w:eastAsia="宋体" w:cs="Times New Roman"/>
          <w:szCs w:val="21"/>
          <w:highlight w:val="none"/>
          <w:u w:val="single"/>
        </w:rPr>
      </w:pPr>
      <w:r>
        <w:rPr>
          <w:rFonts w:hint="eastAsia" w:ascii="Times New Roman" w:hAnsi="Times New Roman" w:eastAsia="宋体" w:cs="Times New Roman"/>
          <w:szCs w:val="21"/>
          <w:highlight w:val="none"/>
        </w:rPr>
        <w:t xml:space="preserve">                                            合同编号：</w:t>
      </w:r>
    </w:p>
    <w:p>
      <w:pPr>
        <w:jc w:val="center"/>
        <w:rPr>
          <w:rFonts w:ascii="Times New Roman" w:hAnsi="Times New Roman" w:eastAsia="宋体" w:cs="Times New Roman"/>
          <w:sz w:val="18"/>
          <w:szCs w:val="18"/>
          <w:highlight w:val="none"/>
          <w:u w:val="single"/>
        </w:rPr>
      </w:pPr>
    </w:p>
    <w:p>
      <w:pP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项目名称：华北水利水电大学江淮校区及配套设施项目</w:t>
      </w:r>
    </w:p>
    <w:p>
      <w:pPr>
        <w:rPr>
          <w:rFonts w:ascii="Times New Roman" w:hAnsi="Times New Roman" w:eastAsia="宋体" w:cs="Times New Roman"/>
          <w:szCs w:val="21"/>
          <w:highlight w:val="none"/>
        </w:rPr>
      </w:pPr>
    </w:p>
    <w:p>
      <w:pP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项目地址：河南省信阳市</w:t>
      </w:r>
    </w:p>
    <w:p>
      <w:pPr>
        <w:rPr>
          <w:rFonts w:ascii="Times New Roman" w:hAnsi="Times New Roman" w:eastAsia="宋体" w:cs="Times New Roman"/>
          <w:szCs w:val="21"/>
          <w:highlight w:val="none"/>
        </w:rPr>
      </w:pPr>
    </w:p>
    <w:p>
      <w:pP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　　　　　　</w:t>
      </w:r>
      <w:bookmarkStart w:id="0" w:name="_GoBack"/>
      <w:bookmarkEnd w:id="0"/>
      <w:r>
        <w:rPr>
          <w:rFonts w:hint="eastAsia" w:ascii="Times New Roman" w:hAnsi="Times New Roman" w:eastAsia="宋体" w:cs="Times New Roman"/>
          <w:szCs w:val="21"/>
          <w:highlight w:val="none"/>
        </w:rPr>
        <w:t>　　　　　　　　　</w:t>
      </w:r>
    </w:p>
    <w:p>
      <w:pPr>
        <w:jc w:val="center"/>
        <w:rPr>
          <w:rFonts w:ascii="Times New Roman" w:hAnsi="Times New Roman" w:eastAsia="宋体" w:cs="Times New Roman"/>
          <w:szCs w:val="21"/>
          <w:highlight w:val="none"/>
        </w:rPr>
      </w:pPr>
    </w:p>
    <w:p>
      <w:pPr>
        <w:rPr>
          <w:rFonts w:ascii="Times New Roman" w:hAnsi="Times New Roman" w:eastAsia="宋体" w:cs="Times New Roman"/>
          <w:b/>
          <w:szCs w:val="24"/>
          <w:highlight w:val="none"/>
        </w:rPr>
      </w:pPr>
      <w:r>
        <w:rPr>
          <w:rFonts w:hint="eastAsia" w:ascii="Times New Roman" w:hAnsi="Times New Roman" w:eastAsia="宋体" w:cs="Times New Roman"/>
          <w:szCs w:val="21"/>
          <w:highlight w:val="none"/>
        </w:rPr>
        <w:t>甲    方                                   乙   方</w:t>
      </w:r>
    </w:p>
    <w:p>
      <w:pPr>
        <w:rPr>
          <w:rFonts w:ascii="Times New Roman" w:hAnsi="Times New Roman" w:eastAsia="宋体" w:cs="Times New Roman"/>
          <w:b/>
          <w:szCs w:val="24"/>
          <w:highlight w:val="none"/>
        </w:rPr>
      </w:pPr>
    </w:p>
    <w:p>
      <w:pPr>
        <w:spacing w:line="44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单位名称：</w:t>
      </w:r>
      <w:r>
        <w:rPr>
          <w:rFonts w:hint="eastAsia" w:ascii="Times New Roman" w:hAnsi="Times New Roman" w:eastAsia="宋体" w:cs="Times New Roman"/>
          <w:sz w:val="18"/>
          <w:szCs w:val="18"/>
          <w:highlight w:val="none"/>
          <w:u w:val="single"/>
        </w:rPr>
        <w:t>罗山县江淮教育产业园区开发建设有限公司</w:t>
      </w:r>
      <w:r>
        <w:rPr>
          <w:rFonts w:hint="eastAsia" w:ascii="Times New Roman" w:hAnsi="Times New Roman" w:eastAsia="宋体" w:cs="Times New Roman"/>
          <w:szCs w:val="21"/>
          <w:highlight w:val="none"/>
        </w:rPr>
        <w:t>单位名称：</w:t>
      </w:r>
      <w:r>
        <w:rPr>
          <w:rFonts w:hint="eastAsia" w:ascii="Times New Roman" w:hAnsi="Times New Roman" w:eastAsia="宋体" w:cs="Times New Roman"/>
          <w:szCs w:val="21"/>
          <w:highlight w:val="none"/>
          <w:u w:val="single"/>
        </w:rPr>
        <w:t>河南英瑞机电工程有限公司</w:t>
      </w:r>
    </w:p>
    <w:p>
      <w:pPr>
        <w:spacing w:line="440" w:lineRule="exact"/>
        <w:ind w:left="5250" w:hanging="5250" w:hangingChars="2500"/>
        <w:rPr>
          <w:rFonts w:ascii="Times New Roman" w:hAnsi="Times New Roman" w:eastAsia="宋体" w:cs="Times New Roman"/>
          <w:sz w:val="18"/>
          <w:szCs w:val="18"/>
          <w:highlight w:val="none"/>
        </w:rPr>
      </w:pPr>
      <w:r>
        <w:rPr>
          <w:rFonts w:hint="eastAsia" w:ascii="Times New Roman" w:hAnsi="Times New Roman" w:eastAsia="宋体" w:cs="Times New Roman"/>
          <w:szCs w:val="21"/>
          <w:highlight w:val="none"/>
        </w:rPr>
        <w:t>地　　址：</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lang w:val="en-US" w:eastAsia="zh-CN"/>
        </w:rPr>
        <w:t>华水江淮校区建设事务中心2楼</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地　　址：</w:t>
      </w:r>
      <w:r>
        <w:rPr>
          <w:rFonts w:hint="eastAsia" w:ascii="Times New Roman" w:hAnsi="Times New Roman" w:eastAsia="宋体" w:cs="Times New Roman"/>
          <w:szCs w:val="21"/>
          <w:highlight w:val="none"/>
          <w:u w:val="single"/>
        </w:rPr>
        <w:t>驻马店市纬二路</w:t>
      </w:r>
      <w:r>
        <w:rPr>
          <w:rFonts w:hint="eastAsia" w:ascii="Times New Roman" w:hAnsi="Times New Roman" w:eastAsia="宋体" w:cs="Times New Roman"/>
          <w:szCs w:val="21"/>
          <w:highlight w:val="none"/>
          <w:u w:val="single"/>
          <w:lang w:eastAsia="zh-CN"/>
        </w:rPr>
        <w:t>，</w:t>
      </w:r>
      <w:r>
        <w:rPr>
          <w:rFonts w:hint="eastAsia" w:ascii="Times New Roman" w:hAnsi="Times New Roman" w:eastAsia="宋体" w:cs="Times New Roman"/>
          <w:szCs w:val="21"/>
          <w:highlight w:val="none"/>
          <w:u w:val="single"/>
        </w:rPr>
        <w:t>文明路</w:t>
      </w:r>
      <w:r>
        <w:rPr>
          <w:rFonts w:hint="eastAsia" w:ascii="Times New Roman" w:hAnsi="Times New Roman" w:eastAsia="宋体" w:cs="Times New Roman"/>
          <w:szCs w:val="21"/>
          <w:highlight w:val="none"/>
          <w:u w:val="single"/>
          <w:lang w:eastAsia="zh-CN"/>
        </w:rPr>
        <w:t>，</w:t>
      </w:r>
      <w:r>
        <w:rPr>
          <w:rFonts w:hint="eastAsia" w:ascii="Times New Roman" w:hAnsi="Times New Roman" w:eastAsia="宋体" w:cs="Times New Roman"/>
          <w:szCs w:val="21"/>
          <w:highlight w:val="none"/>
          <w:u w:val="single"/>
        </w:rPr>
        <w:t>纬二支路</w:t>
      </w:r>
      <w:r>
        <w:rPr>
          <w:rFonts w:hint="eastAsia" w:ascii="Times New Roman" w:hAnsi="Times New Roman" w:eastAsia="宋体" w:cs="Times New Roman"/>
          <w:szCs w:val="21"/>
          <w:highlight w:val="none"/>
          <w:u w:val="single"/>
          <w:lang w:eastAsia="zh-CN"/>
        </w:rPr>
        <w:t>，</w:t>
      </w:r>
      <w:r>
        <w:rPr>
          <w:rFonts w:hint="eastAsia" w:ascii="Times New Roman" w:hAnsi="Times New Roman" w:eastAsia="宋体" w:cs="Times New Roman"/>
          <w:szCs w:val="21"/>
          <w:highlight w:val="none"/>
          <w:u w:val="single"/>
        </w:rPr>
        <w:t>经一路合围区置地天中第一城C座1504房</w:t>
      </w:r>
    </w:p>
    <w:p>
      <w:pPr>
        <w:spacing w:line="44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电　　话：</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lang w:val="en-US" w:eastAsia="zh-CN"/>
        </w:rPr>
        <w:t xml:space="preserve">       0376-2122659         </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电　　话：</w:t>
      </w:r>
      <w:r>
        <w:rPr>
          <w:rFonts w:hint="eastAsia" w:ascii="Times New Roman" w:hAnsi="Times New Roman" w:eastAsia="宋体" w:cs="Times New Roman"/>
          <w:szCs w:val="21"/>
          <w:highlight w:val="none"/>
          <w:u w:val="single"/>
        </w:rPr>
        <w:t xml:space="preserve"> 　　　　　        　　　</w:t>
      </w:r>
    </w:p>
    <w:p>
      <w:pPr>
        <w:spacing w:line="44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传　　真：</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传　　真：</w:t>
      </w:r>
      <w:r>
        <w:rPr>
          <w:rFonts w:hint="eastAsia" w:ascii="Times New Roman" w:hAnsi="Times New Roman" w:eastAsia="宋体" w:cs="Times New Roman"/>
          <w:szCs w:val="21"/>
          <w:highlight w:val="none"/>
          <w:u w:val="single"/>
        </w:rPr>
        <w:t xml:space="preserve"> 　　　　　　        　　</w:t>
      </w:r>
    </w:p>
    <w:p>
      <w:pPr>
        <w:spacing w:line="440" w:lineRule="exact"/>
        <w:rPr>
          <w:rFonts w:ascii="Times New Roman" w:hAnsi="Times New Roman" w:eastAsia="宋体" w:cs="Times New Roman"/>
          <w:szCs w:val="21"/>
          <w:highlight w:val="none"/>
          <w:u w:val="single"/>
        </w:rPr>
      </w:pPr>
      <w:r>
        <w:rPr>
          <w:rFonts w:hint="eastAsia" w:ascii="Times New Roman" w:hAnsi="Times New Roman" w:eastAsia="宋体" w:cs="Times New Roman"/>
          <w:szCs w:val="21"/>
          <w:highlight w:val="none"/>
        </w:rPr>
        <w:t>邮　　编：</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lang w:val="en-US" w:eastAsia="zh-CN"/>
        </w:rPr>
        <w:t>464200</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邮　　编：</w:t>
      </w:r>
      <w:r>
        <w:rPr>
          <w:rFonts w:hint="eastAsia" w:ascii="Times New Roman" w:hAnsi="Times New Roman" w:eastAsia="宋体" w:cs="Times New Roman"/>
          <w:szCs w:val="21"/>
          <w:highlight w:val="none"/>
          <w:u w:val="single"/>
        </w:rPr>
        <w:t xml:space="preserve"> 　　　　　　    　　　　</w:t>
      </w:r>
    </w:p>
    <w:p>
      <w:pPr>
        <w:spacing w:line="440" w:lineRule="exact"/>
        <w:ind w:left="5460" w:hanging="5460" w:hangingChars="26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开户银行：</w:t>
      </w:r>
      <w:r>
        <w:rPr>
          <w:rFonts w:hint="eastAsia" w:ascii="Times New Roman" w:hAnsi="Times New Roman" w:eastAsia="宋体" w:cs="Times New Roman"/>
          <w:szCs w:val="21"/>
          <w:highlight w:val="none"/>
          <w:u w:val="single"/>
        </w:rPr>
        <w:t xml:space="preserve">  中原银行股份有限公司罗山支行</w:t>
      </w:r>
      <w:r>
        <w:rPr>
          <w:rFonts w:hint="eastAsia" w:ascii="Times New Roman" w:hAnsi="Times New Roman" w:eastAsia="宋体" w:cs="Times New Roman"/>
          <w:szCs w:val="21"/>
          <w:highlight w:val="none"/>
          <w:u w:val="single"/>
          <w:lang w:val="en-US" w:eastAsia="zh-CN"/>
        </w:rPr>
        <w:t xml:space="preserve"> </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开户银行：</w:t>
      </w:r>
      <w:r>
        <w:rPr>
          <w:rFonts w:hint="eastAsia" w:ascii="Times New Roman" w:hAnsi="Times New Roman" w:eastAsia="宋体" w:cs="Times New Roman"/>
          <w:szCs w:val="21"/>
          <w:highlight w:val="none"/>
          <w:u w:val="single"/>
        </w:rPr>
        <w:t>中国农业银行股份有限公司驻马店分行</w:t>
      </w:r>
    </w:p>
    <w:p>
      <w:pPr>
        <w:spacing w:line="440" w:lineRule="exact"/>
        <w:ind w:right="25" w:rightChars="12"/>
        <w:rPr>
          <w:rFonts w:ascii="Times New Roman" w:hAnsi="Times New Roman" w:eastAsia="宋体" w:cs="Times New Roman"/>
          <w:b/>
          <w:szCs w:val="24"/>
          <w:highlight w:val="none"/>
        </w:rPr>
      </w:pPr>
      <w:r>
        <w:rPr>
          <w:rFonts w:hint="eastAsia" w:ascii="Times New Roman" w:hAnsi="Times New Roman" w:eastAsia="宋体" w:cs="Times New Roman"/>
          <w:szCs w:val="21"/>
          <w:highlight w:val="none"/>
          <w:lang w:eastAsia="zh-CN"/>
        </w:rPr>
        <w:t>银行账号</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u w:val="single"/>
        </w:rPr>
        <w:t xml:space="preserve">  411529010130033101          </w:t>
      </w:r>
      <w:r>
        <w:rPr>
          <w:rFonts w:hint="eastAsia" w:ascii="Times New Roman" w:hAnsi="Times New Roman" w:eastAsia="宋体" w:cs="Times New Roman"/>
          <w:szCs w:val="21"/>
          <w:highlight w:val="none"/>
          <w:u w:val="single"/>
          <w:lang w:eastAsia="zh-CN"/>
        </w:rPr>
        <w:t>银行账号</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u w:val="single"/>
        </w:rPr>
        <w:t>16607101040014162　</w:t>
      </w:r>
    </w:p>
    <w:p>
      <w:pPr>
        <w:spacing w:line="440" w:lineRule="exact"/>
        <w:rPr>
          <w:rFonts w:ascii="Times New Roman" w:hAnsi="Times New Roman" w:eastAsia="宋体" w:cs="Times New Roman"/>
          <w:szCs w:val="21"/>
          <w:highlight w:val="none"/>
          <w:u w:val="single"/>
        </w:rPr>
      </w:pPr>
      <w:r>
        <w:rPr>
          <w:rFonts w:hint="eastAsia" w:ascii="Times New Roman" w:hAnsi="Times New Roman" w:eastAsia="宋体" w:cs="Times New Roman"/>
          <w:szCs w:val="21"/>
          <w:highlight w:val="none"/>
        </w:rPr>
        <w:t>税务登记号：</w:t>
      </w:r>
      <w:r>
        <w:rPr>
          <w:rFonts w:hint="eastAsia"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行号：</w:t>
      </w:r>
      <w:r>
        <w:rPr>
          <w:rFonts w:hint="eastAsia"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rPr>
        <w:t>/</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rPr>
        <w:t xml:space="preserve">         </w:t>
      </w:r>
    </w:p>
    <w:p>
      <w:pPr>
        <w:spacing w:line="400" w:lineRule="exact"/>
        <w:rPr>
          <w:rFonts w:ascii="宋体" w:hAnsi="宋体" w:eastAsia="宋体" w:cs="Times New Roman"/>
          <w:szCs w:val="21"/>
          <w:highlight w:val="none"/>
        </w:rPr>
      </w:pPr>
    </w:p>
    <w:p>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甲方盖章</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 xml:space="preserve">                               乙方盖章：  </w:t>
      </w:r>
    </w:p>
    <w:p>
      <w:pPr>
        <w:spacing w:line="360" w:lineRule="auto"/>
        <w:rPr>
          <w:rFonts w:ascii="宋体" w:hAnsi="宋体" w:eastAsia="宋体" w:cs="Times New Roman"/>
          <w:szCs w:val="21"/>
          <w:highlight w:val="none"/>
          <w:u w:val="thick"/>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甲方法定代表人或                        乙方法定代表人或</w:t>
      </w:r>
    </w:p>
    <w:p>
      <w:pPr>
        <w:spacing w:line="360" w:lineRule="auto"/>
        <w:rPr>
          <w:rFonts w:ascii="宋体" w:hAnsi="宋体" w:eastAsia="宋体" w:cs="Times New Roman"/>
          <w:szCs w:val="21"/>
          <w:highlight w:val="none"/>
          <w:u w:val="single"/>
        </w:rPr>
      </w:pPr>
      <w:r>
        <w:rPr>
          <w:rFonts w:hint="eastAsia" w:ascii="宋体" w:hAnsi="宋体" w:eastAsia="宋体" w:cs="Times New Roman"/>
          <w:szCs w:val="21"/>
          <w:highlight w:val="none"/>
        </w:rPr>
        <w:t>委托代理人签字：</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委托代理人签字：</w:t>
      </w:r>
      <w:r>
        <w:rPr>
          <w:rFonts w:hint="eastAsia" w:ascii="宋体" w:hAnsi="宋体" w:eastAsia="宋体" w:cs="Times New Roman"/>
          <w:szCs w:val="21"/>
          <w:highlight w:val="none"/>
          <w:u w:val="single"/>
        </w:rPr>
        <w:t xml:space="preserve">                       </w:t>
      </w:r>
    </w:p>
    <w:p>
      <w:pPr>
        <w:rPr>
          <w:rFonts w:ascii="宋体" w:hAnsi="宋体" w:eastAsia="宋体" w:cs="Times New Roman"/>
          <w:szCs w:val="18"/>
          <w:highlight w:val="none"/>
        </w:rPr>
      </w:pPr>
    </w:p>
    <w:p>
      <w:pPr>
        <w:rPr>
          <w:rFonts w:ascii="宋体" w:hAnsi="宋体" w:eastAsia="宋体" w:cs="Times New Roman"/>
          <w:szCs w:val="18"/>
          <w:highlight w:val="none"/>
        </w:rPr>
      </w:pPr>
      <w:r>
        <w:rPr>
          <w:rFonts w:hint="eastAsia" w:ascii="宋体" w:hAnsi="宋体" w:eastAsia="宋体" w:cs="Times New Roman"/>
          <w:szCs w:val="18"/>
          <w:highlight w:val="none"/>
          <w:u w:val="single"/>
        </w:rPr>
        <w:t xml:space="preserve">2023    </w:t>
      </w:r>
      <w:r>
        <w:rPr>
          <w:rFonts w:hint="eastAsia" w:ascii="宋体" w:hAnsi="宋体" w:eastAsia="宋体" w:cs="Times New Roman"/>
          <w:szCs w:val="18"/>
          <w:highlight w:val="none"/>
        </w:rPr>
        <w:t>年</w:t>
      </w:r>
      <w:r>
        <w:rPr>
          <w:rFonts w:hint="eastAsia" w:ascii="宋体" w:hAnsi="宋体" w:eastAsia="宋体" w:cs="Times New Roman"/>
          <w:szCs w:val="18"/>
          <w:highlight w:val="none"/>
          <w:u w:val="single"/>
        </w:rPr>
        <w:t>　</w:t>
      </w:r>
      <w:r>
        <w:rPr>
          <w:rFonts w:hint="eastAsia" w:ascii="宋体" w:hAnsi="宋体" w:eastAsia="宋体" w:cs="Times New Roman"/>
          <w:szCs w:val="18"/>
          <w:highlight w:val="none"/>
          <w:u w:val="single"/>
          <w:lang w:val="en-US" w:eastAsia="zh-CN"/>
        </w:rPr>
        <w:t xml:space="preserve">  </w:t>
      </w:r>
      <w:r>
        <w:rPr>
          <w:rFonts w:hint="eastAsia" w:ascii="宋体" w:hAnsi="宋体" w:eastAsia="宋体" w:cs="Times New Roman"/>
          <w:szCs w:val="18"/>
          <w:highlight w:val="none"/>
          <w:u w:val="single"/>
        </w:rPr>
        <w:t xml:space="preserve">  </w:t>
      </w:r>
      <w:r>
        <w:rPr>
          <w:rFonts w:hint="eastAsia" w:ascii="宋体" w:hAnsi="宋体" w:eastAsia="宋体" w:cs="Times New Roman"/>
          <w:szCs w:val="18"/>
          <w:highlight w:val="none"/>
        </w:rPr>
        <w:t>月</w:t>
      </w:r>
      <w:r>
        <w:rPr>
          <w:rFonts w:hint="eastAsia" w:ascii="宋体" w:hAnsi="宋体" w:eastAsia="宋体" w:cs="Times New Roman"/>
          <w:szCs w:val="18"/>
          <w:highlight w:val="none"/>
          <w:u w:val="single"/>
        </w:rPr>
        <w:t>　     　</w:t>
      </w:r>
      <w:r>
        <w:rPr>
          <w:rFonts w:hint="eastAsia" w:ascii="宋体" w:hAnsi="宋体" w:eastAsia="宋体" w:cs="Times New Roman"/>
          <w:szCs w:val="18"/>
          <w:highlight w:val="none"/>
        </w:rPr>
        <w:t xml:space="preserve">日　　　   </w:t>
      </w:r>
      <w:r>
        <w:rPr>
          <w:rFonts w:hint="eastAsia" w:ascii="宋体" w:hAnsi="宋体" w:eastAsia="宋体" w:cs="Times New Roman"/>
          <w:szCs w:val="18"/>
          <w:highlight w:val="none"/>
          <w:u w:val="single"/>
        </w:rPr>
        <w:t xml:space="preserve">  2023    </w:t>
      </w:r>
      <w:r>
        <w:rPr>
          <w:rFonts w:hint="eastAsia" w:ascii="宋体" w:hAnsi="宋体" w:eastAsia="宋体" w:cs="Times New Roman"/>
          <w:szCs w:val="18"/>
          <w:highlight w:val="none"/>
        </w:rPr>
        <w:t>年</w:t>
      </w:r>
      <w:r>
        <w:rPr>
          <w:rFonts w:hint="eastAsia" w:ascii="宋体" w:hAnsi="宋体" w:eastAsia="宋体" w:cs="Times New Roman"/>
          <w:szCs w:val="18"/>
          <w:highlight w:val="none"/>
          <w:u w:val="single"/>
        </w:rPr>
        <w:t>　</w:t>
      </w:r>
      <w:r>
        <w:rPr>
          <w:rFonts w:hint="eastAsia" w:ascii="宋体" w:hAnsi="宋体" w:eastAsia="宋体" w:cs="Times New Roman"/>
          <w:szCs w:val="18"/>
          <w:highlight w:val="none"/>
          <w:u w:val="single"/>
          <w:lang w:val="en-US" w:eastAsia="zh-CN"/>
        </w:rPr>
        <w:t xml:space="preserve">  </w:t>
      </w:r>
      <w:r>
        <w:rPr>
          <w:rFonts w:hint="eastAsia" w:ascii="宋体" w:hAnsi="宋体" w:eastAsia="宋体" w:cs="Times New Roman"/>
          <w:szCs w:val="18"/>
          <w:highlight w:val="none"/>
          <w:u w:val="single"/>
        </w:rPr>
        <w:t xml:space="preserve">   </w:t>
      </w:r>
      <w:r>
        <w:rPr>
          <w:rFonts w:hint="eastAsia" w:ascii="宋体" w:hAnsi="宋体" w:eastAsia="宋体" w:cs="Times New Roman"/>
          <w:szCs w:val="18"/>
          <w:highlight w:val="none"/>
        </w:rPr>
        <w:t>月</w:t>
      </w:r>
      <w:r>
        <w:rPr>
          <w:rFonts w:hint="eastAsia" w:ascii="宋体" w:hAnsi="宋体" w:eastAsia="宋体" w:cs="Times New Roman"/>
          <w:szCs w:val="18"/>
          <w:highlight w:val="none"/>
          <w:u w:val="single"/>
        </w:rPr>
        <w:t>　      　</w:t>
      </w:r>
      <w:r>
        <w:rPr>
          <w:rFonts w:hint="eastAsia" w:ascii="宋体" w:hAnsi="宋体" w:eastAsia="宋体" w:cs="Times New Roman"/>
          <w:szCs w:val="18"/>
          <w:highlight w:val="none"/>
        </w:rPr>
        <w:t>日　</w:t>
      </w:r>
    </w:p>
    <w:p>
      <w:pPr>
        <w:rPr>
          <w:rFonts w:ascii="宋体" w:hAnsi="宋体" w:eastAsia="宋体" w:cs="Times New Roman"/>
          <w:szCs w:val="18"/>
          <w:highlight w:val="none"/>
        </w:rPr>
      </w:pPr>
    </w:p>
    <w:p>
      <w:pPr>
        <w:rPr>
          <w:rFonts w:ascii="宋体" w:hAnsi="宋体" w:eastAsia="宋体" w:cs="Times New Roman"/>
          <w:szCs w:val="18"/>
          <w:highlight w:val="none"/>
        </w:rPr>
      </w:pPr>
    </w:p>
    <w:p>
      <w:pPr>
        <w:rPr>
          <w:rFonts w:ascii="宋体" w:hAnsi="宋体" w:eastAsia="宋体" w:cs="Times New Roman"/>
          <w:szCs w:val="18"/>
          <w:highlight w:val="none"/>
        </w:rPr>
      </w:pPr>
      <w:r>
        <w:rPr>
          <w:rFonts w:hint="eastAsia" w:ascii="宋体" w:hAnsi="宋体" w:eastAsia="宋体" w:cs="Times New Roman"/>
          <w:szCs w:val="18"/>
          <w:highlight w:val="none"/>
        </w:rPr>
        <w:t>注：可选项中，选择请在该项前的“□”中划“√”符号表示，未选请在该项前的“□”中划“×”符合表示。</w:t>
      </w:r>
    </w:p>
    <w:p>
      <w:pPr>
        <w:spacing w:line="360" w:lineRule="auto"/>
        <w:ind w:firstLine="420" w:firstLineChars="200"/>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根据《中华人民共和国民法典》的有关规定，经甲、乙双方充分协商，达成一致，并签订本合同，双方在履行中共同遵照执行。</w:t>
      </w:r>
    </w:p>
    <w:p>
      <w:pPr>
        <w:spacing w:line="300" w:lineRule="auto"/>
        <w:ind w:firstLine="120" w:firstLineChars="5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cs="Times New Roman"/>
          <w:szCs w:val="18"/>
          <w:highlight w:val="none"/>
        </w:rPr>
        <w:t>根据甲方工程要求，由乙方按以下型号和参数在配置参数表中的选定内容为甲方制作电梯</w:t>
      </w:r>
      <w:r>
        <w:rPr>
          <w:rFonts w:hint="eastAsia" w:ascii="宋体" w:hAnsi="宋体" w:eastAsia="宋体" w:cs="Times New Roman"/>
          <w:szCs w:val="18"/>
          <w:highlight w:val="none"/>
          <w:lang w:eastAsia="zh-CN"/>
        </w:rPr>
        <w:t>。</w:t>
      </w:r>
      <w:r>
        <w:rPr>
          <w:rFonts w:hint="eastAsia" w:ascii="宋体" w:hAnsi="宋体" w:eastAsia="宋体" w:cs="Times New Roman"/>
          <w:szCs w:val="18"/>
          <w:highlight w:val="none"/>
        </w:rPr>
        <w:t xml:space="preserve">                  货币单位：人民币万元</w:t>
      </w:r>
    </w:p>
    <w:tbl>
      <w:tblPr>
        <w:tblStyle w:val="12"/>
        <w:tblW w:w="5197" w:type="pct"/>
        <w:jc w:val="center"/>
        <w:tblLayout w:type="autofit"/>
        <w:tblCellMar>
          <w:top w:w="0" w:type="dxa"/>
          <w:left w:w="108" w:type="dxa"/>
          <w:bottom w:w="0" w:type="dxa"/>
          <w:right w:w="108" w:type="dxa"/>
        </w:tblCellMar>
      </w:tblPr>
      <w:tblGrid>
        <w:gridCol w:w="1988"/>
        <w:gridCol w:w="1229"/>
        <w:gridCol w:w="1881"/>
        <w:gridCol w:w="896"/>
        <w:gridCol w:w="927"/>
        <w:gridCol w:w="900"/>
        <w:gridCol w:w="1037"/>
      </w:tblGrid>
      <w:tr>
        <w:tblPrEx>
          <w:tblCellMar>
            <w:top w:w="0" w:type="dxa"/>
            <w:left w:w="108" w:type="dxa"/>
            <w:bottom w:w="0" w:type="dxa"/>
            <w:right w:w="108" w:type="dxa"/>
          </w:tblCellMar>
        </w:tblPrEx>
        <w:trPr>
          <w:trHeight w:val="388" w:hRule="atLeast"/>
          <w:jc w:val="center"/>
        </w:trPr>
        <w:tc>
          <w:tcPr>
            <w:tcW w:w="112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楼号</w:t>
            </w:r>
          </w:p>
        </w:tc>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梯号</w:t>
            </w:r>
          </w:p>
        </w:tc>
        <w:tc>
          <w:tcPr>
            <w:tcW w:w="106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货物名称</w:t>
            </w:r>
          </w:p>
        </w:tc>
        <w:tc>
          <w:tcPr>
            <w:tcW w:w="153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规 格</w:t>
            </w:r>
          </w:p>
        </w:tc>
        <w:tc>
          <w:tcPr>
            <w:tcW w:w="5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数量</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台</w:t>
            </w:r>
            <w:r>
              <w:rPr>
                <w:rFonts w:hint="eastAsia" w:ascii="宋体" w:hAnsi="宋体" w:eastAsia="宋体" w:cs="宋体"/>
                <w:color w:val="000000"/>
                <w:kern w:val="0"/>
                <w:sz w:val="20"/>
                <w:szCs w:val="20"/>
                <w:highlight w:val="none"/>
                <w:lang w:eastAsia="zh-CN" w:bidi="ar"/>
              </w:rPr>
              <w:t>）</w:t>
            </w:r>
          </w:p>
        </w:tc>
      </w:tr>
      <w:tr>
        <w:tblPrEx>
          <w:tblCellMar>
            <w:top w:w="0" w:type="dxa"/>
            <w:left w:w="108" w:type="dxa"/>
            <w:bottom w:w="0" w:type="dxa"/>
            <w:right w:w="108" w:type="dxa"/>
          </w:tblCellMar>
        </w:tblPrEx>
        <w:trPr>
          <w:trHeight w:val="1093" w:hRule="atLeast"/>
          <w:jc w:val="center"/>
        </w:trPr>
        <w:tc>
          <w:tcPr>
            <w:tcW w:w="112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highlight w:val="none"/>
              </w:rPr>
            </w:pPr>
          </w:p>
        </w:tc>
        <w:tc>
          <w:tcPr>
            <w:tcW w:w="106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载重</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kg</w:t>
            </w:r>
            <w:r>
              <w:rPr>
                <w:rFonts w:hint="eastAsia" w:ascii="宋体" w:hAnsi="宋体" w:eastAsia="宋体" w:cs="宋体"/>
                <w:color w:val="000000"/>
                <w:kern w:val="0"/>
                <w:sz w:val="20"/>
                <w:szCs w:val="20"/>
                <w:highlight w:val="none"/>
                <w:lang w:eastAsia="zh-CN" w:bidi="ar"/>
              </w:rPr>
              <w:t>）</w:t>
            </w:r>
          </w:p>
        </w:tc>
        <w:tc>
          <w:tcPr>
            <w:tcW w:w="5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速度</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m/s</w:t>
            </w:r>
            <w:r>
              <w:rPr>
                <w:rFonts w:hint="eastAsia" w:ascii="宋体" w:hAnsi="宋体" w:eastAsia="宋体" w:cs="宋体"/>
                <w:color w:val="000000"/>
                <w:kern w:val="0"/>
                <w:sz w:val="20"/>
                <w:szCs w:val="20"/>
                <w:highlight w:val="none"/>
                <w:lang w:eastAsia="zh-CN" w:bidi="ar"/>
              </w:rPr>
              <w:t>）</w:t>
            </w:r>
          </w:p>
        </w:tc>
        <w:tc>
          <w:tcPr>
            <w:tcW w:w="5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层站门</w:t>
            </w:r>
          </w:p>
        </w:tc>
        <w:tc>
          <w:tcPr>
            <w:tcW w:w="5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r>
      <w:tr>
        <w:tblPrEx>
          <w:tblCellMar>
            <w:top w:w="0" w:type="dxa"/>
            <w:left w:w="108" w:type="dxa"/>
            <w:bottom w:w="0" w:type="dxa"/>
            <w:right w:w="108" w:type="dxa"/>
          </w:tblCellMar>
        </w:tblPrEx>
        <w:trPr>
          <w:wAfter w:w="0" w:type="auto"/>
          <w:trHeight w:val="598"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本科生宿舍楼</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001-008</w:t>
            </w:r>
          </w:p>
        </w:tc>
        <w:tc>
          <w:tcPr>
            <w:tcW w:w="106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SL6000无机房客梯</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1600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1.5</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6/6/6</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w:t>
            </w:r>
          </w:p>
        </w:tc>
      </w:tr>
      <w:tr>
        <w:tblPrEx>
          <w:tblCellMar>
            <w:top w:w="0" w:type="dxa"/>
            <w:left w:w="108" w:type="dxa"/>
            <w:bottom w:w="0" w:type="dxa"/>
            <w:right w:w="108" w:type="dxa"/>
          </w:tblCellMar>
        </w:tblPrEx>
        <w:trPr>
          <w:wAfter w:w="0" w:type="auto"/>
          <w:trHeight w:val="598"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师生活动中心</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009</w:t>
            </w:r>
          </w:p>
        </w:tc>
        <w:tc>
          <w:tcPr>
            <w:tcW w:w="106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1350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1.5</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2/2/2</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r>
      <w:tr>
        <w:tblPrEx>
          <w:tblCellMar>
            <w:top w:w="0" w:type="dxa"/>
            <w:left w:w="108" w:type="dxa"/>
            <w:bottom w:w="0" w:type="dxa"/>
            <w:right w:w="108" w:type="dxa"/>
          </w:tblCellMar>
        </w:tblPrEx>
        <w:trPr>
          <w:wAfter w:w="0" w:type="auto"/>
          <w:trHeight w:val="892"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卫生所</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010</w:t>
            </w:r>
          </w:p>
        </w:tc>
        <w:tc>
          <w:tcPr>
            <w:tcW w:w="10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SL6000无机房医梯</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1600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1.0 </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2/2/2</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r>
      <w:tr>
        <w:tblPrEx>
          <w:tblCellMar>
            <w:top w:w="0" w:type="dxa"/>
            <w:left w:w="108" w:type="dxa"/>
            <w:bottom w:w="0" w:type="dxa"/>
            <w:right w:w="108" w:type="dxa"/>
          </w:tblCellMar>
        </w:tblPrEx>
        <w:trPr>
          <w:wAfter w:w="0" w:type="auto"/>
          <w:trHeight w:val="598"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青年教师公寓</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011</w:t>
            </w:r>
          </w:p>
        </w:tc>
        <w:tc>
          <w:tcPr>
            <w:tcW w:w="106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SL6000无机房客梯</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1.5</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7/7/7</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r>
      <w:tr>
        <w:tblPrEx>
          <w:tblCellMar>
            <w:top w:w="0" w:type="dxa"/>
            <w:left w:w="108" w:type="dxa"/>
            <w:bottom w:w="0" w:type="dxa"/>
            <w:right w:w="108" w:type="dxa"/>
          </w:tblCellMar>
        </w:tblPrEx>
        <w:trPr>
          <w:wAfter w:w="0" w:type="auto"/>
          <w:trHeight w:val="388"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012</w:t>
            </w:r>
          </w:p>
        </w:tc>
        <w:tc>
          <w:tcPr>
            <w:tcW w:w="106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1.5</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5/5/5</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r>
      <w:tr>
        <w:tblPrEx>
          <w:tblCellMar>
            <w:top w:w="0" w:type="dxa"/>
            <w:left w:w="108" w:type="dxa"/>
            <w:bottom w:w="0" w:type="dxa"/>
            <w:right w:w="108" w:type="dxa"/>
          </w:tblCellMar>
        </w:tblPrEx>
        <w:trPr>
          <w:wAfter w:w="0" w:type="auto"/>
          <w:trHeight w:val="892"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013</w:t>
            </w:r>
          </w:p>
        </w:tc>
        <w:tc>
          <w:tcPr>
            <w:tcW w:w="10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SL6000有机房客梯</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2/2/2</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r>
      <w:tr>
        <w:tblPrEx>
          <w:tblCellMar>
            <w:top w:w="0" w:type="dxa"/>
            <w:left w:w="108" w:type="dxa"/>
            <w:bottom w:w="0" w:type="dxa"/>
            <w:right w:w="108" w:type="dxa"/>
          </w:tblCellMar>
        </w:tblPrEx>
        <w:trPr>
          <w:wAfter w:w="0" w:type="auto"/>
          <w:trHeight w:val="598"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餐梯</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014-015</w:t>
            </w:r>
          </w:p>
        </w:tc>
        <w:tc>
          <w:tcPr>
            <w:tcW w:w="10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杂物梯</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300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0.4</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2/2/2</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w:t>
            </w:r>
          </w:p>
        </w:tc>
      </w:tr>
      <w:tr>
        <w:tblPrEx>
          <w:tblCellMar>
            <w:top w:w="0" w:type="dxa"/>
            <w:left w:w="108" w:type="dxa"/>
            <w:bottom w:w="0" w:type="dxa"/>
            <w:right w:w="108" w:type="dxa"/>
          </w:tblCellMar>
        </w:tblPrEx>
        <w:trPr>
          <w:wAfter w:w="0" w:type="auto"/>
          <w:trHeight w:val="388"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教学楼</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016-017</w:t>
            </w:r>
          </w:p>
        </w:tc>
        <w:tc>
          <w:tcPr>
            <w:tcW w:w="106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SL6000无机房客梯</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1350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1.5</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4/4/4</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w:t>
            </w:r>
          </w:p>
        </w:tc>
      </w:tr>
      <w:tr>
        <w:tblPrEx>
          <w:tblCellMar>
            <w:top w:w="0" w:type="dxa"/>
            <w:left w:w="108" w:type="dxa"/>
            <w:bottom w:w="0" w:type="dxa"/>
            <w:right w:w="108" w:type="dxa"/>
          </w:tblCellMar>
        </w:tblPrEx>
        <w:trPr>
          <w:wAfter w:w="0" w:type="auto"/>
          <w:trHeight w:val="388"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实训中心</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018</w:t>
            </w:r>
          </w:p>
        </w:tc>
        <w:tc>
          <w:tcPr>
            <w:tcW w:w="106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1250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1.0 </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4/4/4</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r>
      <w:tr>
        <w:tblPrEx>
          <w:tblCellMar>
            <w:top w:w="0" w:type="dxa"/>
            <w:left w:w="108" w:type="dxa"/>
            <w:bottom w:w="0" w:type="dxa"/>
            <w:right w:w="108" w:type="dxa"/>
          </w:tblCellMar>
        </w:tblPrEx>
        <w:trPr>
          <w:wAfter w:w="0" w:type="auto"/>
          <w:trHeight w:val="388"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019</w:t>
            </w:r>
          </w:p>
        </w:tc>
        <w:tc>
          <w:tcPr>
            <w:tcW w:w="106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1350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1.5</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3/3/3</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r>
      <w:tr>
        <w:tblPrEx>
          <w:tblCellMar>
            <w:top w:w="0" w:type="dxa"/>
            <w:left w:w="108" w:type="dxa"/>
            <w:bottom w:w="0" w:type="dxa"/>
            <w:right w:w="108" w:type="dxa"/>
          </w:tblCellMar>
        </w:tblPrEx>
        <w:trPr>
          <w:wAfter w:w="0" w:type="auto"/>
          <w:trHeight w:val="388" w:hRule="atLeast"/>
          <w:jc w:val="center"/>
        </w:trPr>
        <w:tc>
          <w:tcPr>
            <w:tcW w:w="11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020</w:t>
            </w:r>
          </w:p>
        </w:tc>
        <w:tc>
          <w:tcPr>
            <w:tcW w:w="10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VT-XZ货梯</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5000</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0.5</w:t>
            </w:r>
          </w:p>
        </w:tc>
        <w:tc>
          <w:tcPr>
            <w:tcW w:w="5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4/4/4</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r>
      <w:tr>
        <w:tblPrEx>
          <w:tblCellMar>
            <w:top w:w="0" w:type="dxa"/>
            <w:left w:w="108" w:type="dxa"/>
            <w:bottom w:w="0" w:type="dxa"/>
            <w:right w:w="108" w:type="dxa"/>
          </w:tblCellMar>
        </w:tblPrEx>
        <w:trPr>
          <w:wAfter w:w="0" w:type="auto"/>
          <w:trHeight w:val="396" w:hRule="atLeast"/>
          <w:jc w:val="center"/>
        </w:trPr>
        <w:tc>
          <w:tcPr>
            <w:tcW w:w="4415"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合计</w:t>
            </w:r>
          </w:p>
        </w:tc>
        <w:tc>
          <w:tcPr>
            <w:tcW w:w="5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20</w:t>
            </w:r>
          </w:p>
        </w:tc>
      </w:tr>
      <w:tr>
        <w:tblPrEx>
          <w:tblCellMar>
            <w:top w:w="0" w:type="dxa"/>
            <w:left w:w="108" w:type="dxa"/>
            <w:bottom w:w="0" w:type="dxa"/>
            <w:right w:w="108" w:type="dxa"/>
          </w:tblCellMar>
        </w:tblPrEx>
        <w:trPr>
          <w:wAfter w:w="0" w:type="auto"/>
          <w:trHeight w:val="396"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本合同总价合计：肆佰贰拾伍万叁仟玖佰元整（￥：425.39万元）</w:t>
            </w:r>
          </w:p>
        </w:tc>
      </w:tr>
    </w:tbl>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t>注：</w:t>
      </w:r>
      <w:r>
        <w:rPr>
          <w:rFonts w:hint="eastAsia" w:ascii="仿宋_GB2312" w:hAnsi="仿宋_GB2312" w:eastAsia="仿宋_GB2312" w:cs="仿宋_GB2312"/>
          <w:szCs w:val="21"/>
          <w:highlight w:val="none"/>
        </w:rPr>
        <w:t>①</w:t>
      </w:r>
      <w:r>
        <w:rPr>
          <w:rFonts w:hint="eastAsia" w:ascii="宋体" w:hAnsi="宋体" w:eastAsia="宋体" w:cs="Times New Roman"/>
          <w:szCs w:val="21"/>
          <w:highlight w:val="none"/>
        </w:rPr>
        <w:t>以上价格指设备含税价，包装、运输</w:t>
      </w:r>
      <w:r>
        <w:rPr>
          <w:rFonts w:hint="eastAsia" w:ascii="宋体" w:hAnsi="宋体" w:eastAsia="宋体"/>
          <w:szCs w:val="21"/>
          <w:highlight w:val="none"/>
        </w:rPr>
        <w:t>安装费、吊装费、卸车费、申报、安装、验收</w:t>
      </w:r>
      <w:r>
        <w:rPr>
          <w:rFonts w:hint="eastAsia" w:ascii="宋体" w:hAnsi="宋体" w:eastAsia="宋体"/>
          <w:szCs w:val="21"/>
          <w:highlight w:val="none"/>
          <w:lang w:eastAsia="zh-CN"/>
        </w:rPr>
        <w:t>及</w:t>
      </w:r>
      <w:r>
        <w:rPr>
          <w:rFonts w:hint="eastAsia" w:ascii="宋体" w:hAnsi="宋体" w:eastAsia="宋体"/>
          <w:szCs w:val="21"/>
          <w:highlight w:val="none"/>
        </w:rPr>
        <w:t>12个月的质量维修维护费</w:t>
      </w:r>
      <w:r>
        <w:rPr>
          <w:rFonts w:hint="eastAsia" w:ascii="宋体" w:hAnsi="宋体" w:eastAsia="宋体" w:cs="Times New Roman"/>
          <w:szCs w:val="21"/>
          <w:highlight w:val="none"/>
        </w:rPr>
        <w:t>，不含其他任何费用</w:t>
      </w:r>
      <w:r>
        <w:rPr>
          <w:rFonts w:hint="eastAsia" w:ascii="宋体" w:hAnsi="宋体" w:eastAsia="宋体" w:cs="Times New Roman"/>
          <w:b/>
          <w:szCs w:val="21"/>
          <w:highlight w:val="none"/>
        </w:rPr>
        <w:t>（税率按国家税法标准执行）。</w:t>
      </w:r>
    </w:p>
    <w:p>
      <w:pPr>
        <w:spacing w:line="360" w:lineRule="auto"/>
        <w:ind w:firstLine="420" w:firstLineChars="200"/>
        <w:rPr>
          <w:rFonts w:ascii="宋体" w:hAnsi="宋体" w:eastAsia="宋体" w:cs="Times New Roman"/>
          <w:bCs/>
          <w:szCs w:val="21"/>
          <w:highlight w:val="none"/>
        </w:rPr>
      </w:pPr>
      <w:r>
        <w:rPr>
          <w:rFonts w:hint="eastAsia" w:ascii="仿宋_GB2312" w:hAnsi="仿宋_GB2312" w:eastAsia="仿宋_GB2312" w:cs="仿宋_GB2312"/>
          <w:bCs/>
          <w:szCs w:val="21"/>
          <w:highlight w:val="none"/>
        </w:rPr>
        <w:t>②</w:t>
      </w:r>
      <w:r>
        <w:rPr>
          <w:rFonts w:hint="eastAsia" w:ascii="宋体" w:hAnsi="宋体" w:eastAsia="宋体" w:cs="Times New Roman"/>
          <w:bCs/>
          <w:szCs w:val="21"/>
          <w:highlight w:val="none"/>
        </w:rPr>
        <w:t>工程内容为交钥匙工程，乙方负责电梯设备的设计、制造、供应、运输、保管、安装、调试、验收、质量保修、维护保养及售后服务（自验收合格之日起12个月）。</w:t>
      </w:r>
    </w:p>
    <w:p>
      <w:pPr>
        <w:spacing w:line="360" w:lineRule="auto"/>
        <w:ind w:firstLine="420" w:firstLineChars="200"/>
        <w:rPr>
          <w:rFonts w:ascii="宋体" w:hAnsi="宋体" w:eastAsia="宋体" w:cs="Times New Roman"/>
          <w:bCs/>
          <w:szCs w:val="18"/>
          <w:highlight w:val="none"/>
        </w:rPr>
      </w:pPr>
      <w:r>
        <w:rPr>
          <w:rFonts w:hint="eastAsia" w:ascii="宋体" w:hAnsi="宋体" w:eastAsia="宋体" w:cs="Times New Roman"/>
          <w:bCs/>
          <w:szCs w:val="18"/>
          <w:highlight w:val="none"/>
        </w:rPr>
        <w:t>③本合同总价为固定价格，不随市场行情随意波动，超出的任何费用，甲方均不承担。如甲方更改本合同约定的装潢要求或需重新增加配置功能时，双方另行协商价格。</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2、付款方式：</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2.1在本合同签订之日起6天内，甲方向乙方支付本合同总价的</w:t>
      </w:r>
      <w:r>
        <w:rPr>
          <w:rFonts w:hint="eastAsia" w:ascii="宋体" w:hAnsi="宋体" w:eastAsia="宋体" w:cs="Times New Roman"/>
          <w:szCs w:val="21"/>
          <w:highlight w:val="none"/>
          <w:u w:val="single"/>
        </w:rPr>
        <w:t xml:space="preserve"> 20 </w:t>
      </w:r>
      <w:r>
        <w:rPr>
          <w:rFonts w:hint="eastAsia" w:ascii="宋体" w:hAnsi="宋体" w:eastAsia="宋体" w:cs="Times New Roman"/>
          <w:szCs w:val="21"/>
          <w:highlight w:val="none"/>
        </w:rPr>
        <w:t>％（第一期款），直接付至本合同乙方</w:t>
      </w:r>
      <w:r>
        <w:rPr>
          <w:rFonts w:hint="eastAsia" w:ascii="宋体" w:hAnsi="宋体" w:eastAsia="宋体" w:cs="Times New Roman"/>
          <w:szCs w:val="21"/>
          <w:highlight w:val="none"/>
          <w:lang w:eastAsia="zh-CN"/>
        </w:rPr>
        <w:t>指定账户</w:t>
      </w:r>
      <w:r>
        <w:rPr>
          <w:rFonts w:hint="eastAsia" w:ascii="宋体" w:hAnsi="宋体" w:eastAsia="宋体" w:cs="Times New Roman"/>
          <w:szCs w:val="21"/>
          <w:highlight w:val="none"/>
        </w:rPr>
        <w:t>。甲方逾期付款的，则合同发货时间予以顺延。</w:t>
      </w:r>
    </w:p>
    <w:p>
      <w:pPr>
        <w:spacing w:line="360" w:lineRule="auto"/>
        <w:rPr>
          <w:rFonts w:hint="eastAsia" w:ascii="宋体" w:hAnsi="宋体" w:eastAsia="宋体" w:cs="Times New Roman"/>
          <w:szCs w:val="18"/>
          <w:highlight w:val="none"/>
        </w:rPr>
      </w:pPr>
      <w:r>
        <w:rPr>
          <w:rFonts w:hint="eastAsia" w:ascii="宋体" w:hAnsi="宋体" w:eastAsia="宋体" w:cs="Times New Roman"/>
          <w:szCs w:val="18"/>
          <w:highlight w:val="none"/>
        </w:rPr>
        <w:t>2.2发货前15个工作日内甲方向乙方支付本合同总价的</w:t>
      </w:r>
      <w:r>
        <w:rPr>
          <w:rFonts w:hint="eastAsia" w:ascii="宋体" w:hAnsi="宋体" w:eastAsia="宋体" w:cs="Times New Roman"/>
          <w:szCs w:val="18"/>
          <w:highlight w:val="none"/>
          <w:u w:val="single"/>
        </w:rPr>
        <w:t xml:space="preserve"> 40 </w:t>
      </w:r>
      <w:r>
        <w:rPr>
          <w:rFonts w:hint="eastAsia" w:ascii="宋体" w:hAnsi="宋体" w:eastAsia="宋体" w:cs="Times New Roman"/>
          <w:szCs w:val="18"/>
          <w:highlight w:val="none"/>
        </w:rPr>
        <w:t>％作为排产款（第二期款），直接汇入本合同乙方</w:t>
      </w:r>
      <w:r>
        <w:rPr>
          <w:rFonts w:hint="eastAsia" w:ascii="宋体" w:hAnsi="宋体" w:eastAsia="宋体" w:cs="Times New Roman"/>
          <w:szCs w:val="18"/>
          <w:highlight w:val="none"/>
          <w:lang w:eastAsia="zh-CN"/>
        </w:rPr>
        <w:t>指定账户</w:t>
      </w:r>
      <w:r>
        <w:rPr>
          <w:rFonts w:hint="eastAsia" w:ascii="宋体" w:hAnsi="宋体" w:eastAsia="宋体" w:cs="Times New Roman"/>
          <w:szCs w:val="18"/>
          <w:highlight w:val="none"/>
        </w:rPr>
        <w:t>。甲方逾期付款的，则合同发货时间予以顺延。</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2.3货到工地经甲乙双方验收无误签收后6天内甲方向乙方支付本合同总价的</w:t>
      </w:r>
      <w:r>
        <w:rPr>
          <w:rFonts w:hint="eastAsia" w:ascii="宋体" w:hAnsi="宋体" w:eastAsia="宋体" w:cs="Times New Roman"/>
          <w:szCs w:val="18"/>
          <w:highlight w:val="none"/>
          <w:u w:val="single"/>
        </w:rPr>
        <w:t xml:space="preserve"> 20 </w:t>
      </w:r>
      <w:r>
        <w:rPr>
          <w:rFonts w:hint="eastAsia" w:ascii="宋体" w:hAnsi="宋体" w:eastAsia="宋体" w:cs="Times New Roman"/>
          <w:szCs w:val="18"/>
          <w:highlight w:val="none"/>
        </w:rPr>
        <w:t>％（第三期款）</w:t>
      </w:r>
      <w:r>
        <w:rPr>
          <w:rFonts w:hint="eastAsia" w:ascii="宋体" w:hAnsi="宋体" w:eastAsia="宋体" w:cs="Times New Roman"/>
          <w:szCs w:val="21"/>
          <w:highlight w:val="none"/>
        </w:rPr>
        <w:t>，</w:t>
      </w:r>
      <w:r>
        <w:rPr>
          <w:rFonts w:hint="eastAsia" w:ascii="宋体" w:hAnsi="宋体" w:eastAsia="宋体" w:cs="Times New Roman"/>
          <w:szCs w:val="18"/>
          <w:highlight w:val="none"/>
        </w:rPr>
        <w:t>直接汇入本合同乙方</w:t>
      </w:r>
      <w:r>
        <w:rPr>
          <w:rFonts w:hint="eastAsia" w:ascii="宋体" w:hAnsi="宋体" w:eastAsia="宋体" w:cs="Times New Roman"/>
          <w:szCs w:val="18"/>
          <w:highlight w:val="none"/>
          <w:lang w:eastAsia="zh-CN"/>
        </w:rPr>
        <w:t>指定账户</w:t>
      </w:r>
      <w:r>
        <w:rPr>
          <w:rFonts w:hint="eastAsia" w:ascii="宋体" w:hAnsi="宋体" w:eastAsia="宋体" w:cs="Times New Roman"/>
          <w:szCs w:val="18"/>
          <w:highlight w:val="none"/>
        </w:rPr>
        <w:t>。</w:t>
      </w:r>
    </w:p>
    <w:p>
      <w:pPr>
        <w:spacing w:line="360" w:lineRule="auto"/>
        <w:ind w:left="105" w:leftChars="50"/>
        <w:rPr>
          <w:rFonts w:ascii="宋体" w:hAnsi="宋体" w:eastAsia="宋体" w:cs="Times New Roman"/>
          <w:szCs w:val="18"/>
          <w:highlight w:val="none"/>
        </w:rPr>
      </w:pPr>
      <w:r>
        <w:rPr>
          <w:rFonts w:hint="eastAsia" w:ascii="宋体" w:hAnsi="宋体" w:eastAsia="宋体" w:cs="Times New Roman"/>
          <w:szCs w:val="18"/>
          <w:highlight w:val="none"/>
        </w:rPr>
        <w:t>2.4电梯安装调试完毕，提交当地电梯质监部门验收，待电梯检验部门出具验收报告合格后，乙方向甲方提供包括但不限于产品合格证书、检验报告（不包括整体验收报告）、与电梯相匹配的技术资料，甲方在6日内，向乙方支付本合同总价的</w:t>
      </w:r>
      <w:r>
        <w:rPr>
          <w:rFonts w:hint="eastAsia" w:ascii="宋体" w:hAnsi="宋体" w:eastAsia="宋体" w:cs="Times New Roman"/>
          <w:szCs w:val="18"/>
          <w:highlight w:val="none"/>
          <w:u w:val="single"/>
        </w:rPr>
        <w:t xml:space="preserve"> 15 </w:t>
      </w:r>
      <w:r>
        <w:rPr>
          <w:rFonts w:hint="eastAsia" w:ascii="宋体" w:hAnsi="宋体" w:eastAsia="宋体" w:cs="Times New Roman"/>
          <w:szCs w:val="18"/>
          <w:highlight w:val="none"/>
        </w:rPr>
        <w:t>％（第四期款），直接汇入本合同乙方</w:t>
      </w:r>
      <w:r>
        <w:rPr>
          <w:rFonts w:hint="eastAsia" w:ascii="宋体" w:hAnsi="宋体" w:eastAsia="宋体" w:cs="Times New Roman"/>
          <w:szCs w:val="18"/>
          <w:highlight w:val="none"/>
          <w:lang w:eastAsia="zh-CN"/>
        </w:rPr>
        <w:t>指定账户</w:t>
      </w:r>
      <w:r>
        <w:rPr>
          <w:rFonts w:hint="eastAsia" w:ascii="宋体" w:hAnsi="宋体" w:eastAsia="宋体" w:cs="Times New Roman"/>
          <w:szCs w:val="18"/>
          <w:highlight w:val="none"/>
        </w:rPr>
        <w:t>。（如因甲方原因引起的不能及时安装或者不能验收时，自发货之日起2个月内甲方付清余款。如因乙方原因不能安装时，乙方责任自负）。</w:t>
      </w:r>
    </w:p>
    <w:p>
      <w:pPr>
        <w:pStyle w:val="7"/>
        <w:spacing w:line="360" w:lineRule="auto"/>
        <w:rPr>
          <w:rFonts w:hint="eastAsia" w:ascii="宋体" w:hAnsi="宋体" w:eastAsia="宋体" w:cs="Times New Roman"/>
          <w:kern w:val="2"/>
          <w:sz w:val="21"/>
          <w:szCs w:val="18"/>
          <w:highlight w:val="none"/>
          <w:lang w:val="en-US" w:eastAsia="zh-CN" w:bidi="ar-SA"/>
        </w:rPr>
      </w:pPr>
      <w:r>
        <w:rPr>
          <w:rFonts w:hint="eastAsia" w:ascii="宋体" w:hAnsi="宋体" w:eastAsia="宋体" w:cs="Times New Roman"/>
          <w:kern w:val="2"/>
          <w:sz w:val="21"/>
          <w:szCs w:val="18"/>
          <w:highlight w:val="none"/>
          <w:lang w:val="en-US" w:eastAsia="zh-CN" w:bidi="ar-SA"/>
        </w:rPr>
        <w:t>2.5质量保修期为自验收合格之日起12个月，质保期满6日内，甲方向乙方支付本合同总价的5%（第五期款）。每次付款前提：乙方开具正式增值税发票，甲方收到发票后据实支付。</w:t>
      </w:r>
    </w:p>
    <w:p>
      <w:pPr>
        <w:pStyle w:val="2"/>
        <w:spacing w:line="360" w:lineRule="auto"/>
        <w:ind w:firstLine="0" w:firstLineChars="0"/>
        <w:rPr>
          <w:rFonts w:hint="eastAsia" w:ascii="宋体" w:hAnsi="宋体" w:eastAsia="宋体" w:cs="Times New Roman"/>
          <w:kern w:val="2"/>
          <w:sz w:val="21"/>
          <w:szCs w:val="18"/>
          <w:highlight w:val="none"/>
          <w:lang w:val="en-US" w:eastAsia="zh-CN" w:bidi="ar-SA"/>
        </w:rPr>
      </w:pPr>
    </w:p>
    <w:p>
      <w:pPr>
        <w:spacing w:line="360" w:lineRule="auto"/>
        <w:rPr>
          <w:rFonts w:ascii="宋体" w:hAnsi="宋体" w:eastAsia="宋体" w:cs="Times New Roman"/>
          <w:szCs w:val="18"/>
          <w:highlight w:val="none"/>
        </w:rPr>
      </w:pPr>
      <w:r>
        <w:rPr>
          <w:rFonts w:ascii="宋体" w:hAnsi="宋体" w:eastAsia="宋体" w:cs="Times New Roman"/>
          <w:szCs w:val="18"/>
          <w:highlight w:val="none"/>
        </w:rPr>
        <w:t>2</w:t>
      </w:r>
      <w:r>
        <w:rPr>
          <w:rFonts w:hint="eastAsia" w:ascii="宋体" w:hAnsi="宋体" w:eastAsia="宋体" w:cs="Times New Roman"/>
          <w:szCs w:val="18"/>
          <w:highlight w:val="none"/>
        </w:rPr>
        <w:t>.6甲方应以</w:t>
      </w:r>
      <w:r>
        <w:rPr>
          <w:rFonts w:hint="eastAsia" w:ascii="宋体" w:hAnsi="宋体" w:eastAsia="宋体" w:cs="Times New Roman"/>
          <w:szCs w:val="18"/>
          <w:highlight w:val="none"/>
          <w:lang w:eastAsia="zh-CN"/>
        </w:rPr>
        <w:t>银行转账</w:t>
      </w:r>
      <w:r>
        <w:rPr>
          <w:rFonts w:hint="eastAsia" w:ascii="宋体" w:hAnsi="宋体" w:eastAsia="宋体" w:cs="Times New Roman"/>
          <w:szCs w:val="18"/>
          <w:highlight w:val="none"/>
        </w:rPr>
        <w:t>方式，向本合同乙方</w:t>
      </w:r>
      <w:r>
        <w:rPr>
          <w:rFonts w:hint="eastAsia" w:ascii="宋体" w:hAnsi="宋体" w:eastAsia="宋体" w:cs="Times New Roman"/>
          <w:szCs w:val="18"/>
          <w:highlight w:val="none"/>
          <w:lang w:eastAsia="zh-CN"/>
        </w:rPr>
        <w:t>指定账户及账号</w:t>
      </w:r>
      <w:r>
        <w:rPr>
          <w:rFonts w:hint="eastAsia" w:ascii="宋体" w:hAnsi="宋体" w:eastAsia="宋体" w:cs="Times New Roman"/>
          <w:szCs w:val="18"/>
          <w:highlight w:val="none"/>
        </w:rPr>
        <w:t>支付合同款项。</w:t>
      </w:r>
    </w:p>
    <w:p>
      <w:pPr>
        <w:spacing w:line="360" w:lineRule="auto"/>
        <w:ind w:left="420" w:hanging="420" w:hangingChars="200"/>
        <w:rPr>
          <w:rFonts w:ascii="宋体" w:hAnsi="宋体" w:eastAsia="宋体" w:cs="Times New Roman"/>
          <w:szCs w:val="18"/>
          <w:highlight w:val="none"/>
        </w:rPr>
      </w:pPr>
      <w:r>
        <w:rPr>
          <w:rFonts w:hint="eastAsia" w:ascii="宋体" w:hAnsi="宋体" w:eastAsia="宋体" w:cs="Times New Roman"/>
          <w:szCs w:val="18"/>
          <w:highlight w:val="none"/>
        </w:rPr>
        <w:t>3、技术参数的确认</w:t>
      </w:r>
      <w:r>
        <w:rPr>
          <w:rFonts w:hint="eastAsia" w:ascii="宋体" w:hAnsi="宋体" w:eastAsia="宋体" w:cs="Times New Roman"/>
          <w:szCs w:val="18"/>
          <w:highlight w:val="none"/>
          <w:lang w:eastAsia="zh-CN"/>
        </w:rPr>
        <w:t>：</w:t>
      </w:r>
    </w:p>
    <w:p>
      <w:pPr>
        <w:spacing w:line="360" w:lineRule="auto"/>
        <w:ind w:firstLine="420" w:firstLineChars="200"/>
        <w:rPr>
          <w:rFonts w:ascii="Times New Roman" w:hAnsi="Times New Roman" w:eastAsia="宋体" w:cs="Times New Roman"/>
          <w:szCs w:val="24"/>
          <w:highlight w:val="none"/>
        </w:rPr>
      </w:pPr>
      <w:r>
        <w:rPr>
          <w:rFonts w:hint="eastAsia" w:ascii="仿宋_GB2312" w:hAnsi="仿宋_GB2312" w:eastAsia="仿宋_GB2312" w:cs="仿宋_GB2312"/>
          <w:szCs w:val="24"/>
          <w:highlight w:val="none"/>
        </w:rPr>
        <w:t>①</w:t>
      </w:r>
      <w:r>
        <w:rPr>
          <w:rFonts w:hint="eastAsia" w:ascii="Times New Roman" w:hAnsi="Times New Roman" w:eastAsia="宋体" w:cs="Times New Roman"/>
          <w:szCs w:val="24"/>
          <w:highlight w:val="none"/>
        </w:rPr>
        <w:t>甲方应在本合同签订后，对电梯的各项基本数据进行书面确认，并应于发货前三十天内把书面确认表提供给乙方。</w:t>
      </w:r>
    </w:p>
    <w:p>
      <w:pPr>
        <w:spacing w:line="360" w:lineRule="auto"/>
        <w:ind w:firstLine="420" w:firstLineChars="200"/>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②电梯使用场地的基础技术资料（包括建筑图纸、土建参数等）由甲方提供，乙方有义务到现场核实；本合同标的物设计、制造、安装所需的技术资料由乙方提供并经甲方确认盖章后有效。</w:t>
      </w:r>
    </w:p>
    <w:p>
      <w:pPr>
        <w:spacing w:line="360" w:lineRule="auto"/>
        <w:ind w:firstLine="420" w:firstLineChars="200"/>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③本合同签订之后，乙方在5日内根据甲方建筑图制作电梯土建部分设计图、装潢式样图提供给甲方，甲方应在收到该电梯设计图、装潢式样图后5日内予以书面确认或提出书面异议。甲方在收到乙方所提供的资料后须及时回复，否则，为此引起的延误时间甲方自负。</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4、发货时间</w:t>
      </w:r>
      <w:r>
        <w:rPr>
          <w:rFonts w:hint="eastAsia" w:ascii="宋体" w:hAnsi="宋体" w:eastAsia="宋体" w:cs="Times New Roman"/>
          <w:szCs w:val="18"/>
          <w:highlight w:val="none"/>
          <w:lang w:eastAsia="zh-CN"/>
        </w:rPr>
        <w:t>：</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4.1预计发货时间：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60"/>
        <w:gridCol w:w="324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spacing w:line="360" w:lineRule="auto"/>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梯号</w:t>
            </w:r>
          </w:p>
        </w:tc>
        <w:tc>
          <w:tcPr>
            <w:tcW w:w="5400" w:type="dxa"/>
            <w:gridSpan w:val="2"/>
          </w:tcPr>
          <w:p>
            <w:pPr>
              <w:spacing w:line="360" w:lineRule="auto"/>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发货时间</w:t>
            </w:r>
          </w:p>
        </w:tc>
        <w:tc>
          <w:tcPr>
            <w:tcW w:w="2114" w:type="dxa"/>
          </w:tcPr>
          <w:p>
            <w:pPr>
              <w:spacing w:line="360" w:lineRule="auto"/>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spacing w:line="360" w:lineRule="auto"/>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 xml:space="preserve"> </w:t>
            </w:r>
          </w:p>
        </w:tc>
        <w:tc>
          <w:tcPr>
            <w:tcW w:w="2160" w:type="dxa"/>
          </w:tcPr>
          <w:p>
            <w:pPr>
              <w:spacing w:line="360" w:lineRule="auto"/>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基本数据书面确认后</w:t>
            </w:r>
          </w:p>
        </w:tc>
        <w:tc>
          <w:tcPr>
            <w:tcW w:w="3240" w:type="dxa"/>
          </w:tcPr>
          <w:p>
            <w:pPr>
              <w:spacing w:line="360" w:lineRule="auto"/>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u w:val="single"/>
              </w:rPr>
              <w:t xml:space="preserve">     /    </w:t>
            </w:r>
            <w:r>
              <w:rPr>
                <w:rFonts w:hint="eastAsia" w:ascii="Times New Roman" w:hAnsi="Times New Roman" w:eastAsia="宋体" w:cs="Times New Roman"/>
                <w:szCs w:val="24"/>
                <w:highlight w:val="none"/>
              </w:rPr>
              <w:t>天</w:t>
            </w:r>
          </w:p>
        </w:tc>
        <w:tc>
          <w:tcPr>
            <w:tcW w:w="2114" w:type="dxa"/>
          </w:tcPr>
          <w:p>
            <w:pPr>
              <w:spacing w:line="360" w:lineRule="auto"/>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国定节假日除外</w:t>
            </w:r>
          </w:p>
        </w:tc>
      </w:tr>
    </w:tbl>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4.2实际发货时间：合同的实际发货时间甲方以书面形式通知乙方。</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4.3甲方不能按期提供</w:t>
      </w:r>
      <w:r>
        <w:rPr>
          <w:rFonts w:hint="eastAsia" w:ascii="Times New Roman" w:hAnsi="Times New Roman" w:eastAsia="宋体" w:cs="Times New Roman"/>
          <w:szCs w:val="24"/>
          <w:highlight w:val="none"/>
        </w:rPr>
        <w:t>各项基本数据，发货时间将顺延。</w:t>
      </w:r>
    </w:p>
    <w:p>
      <w:pPr>
        <w:spacing w:line="360" w:lineRule="auto"/>
        <w:rPr>
          <w:rFonts w:ascii="宋体" w:hAnsi="宋体" w:eastAsia="宋体" w:cs="Times New Roman"/>
          <w:szCs w:val="24"/>
          <w:highlight w:val="none"/>
        </w:rPr>
      </w:pPr>
      <w:r>
        <w:rPr>
          <w:rFonts w:hint="eastAsia" w:ascii="宋体" w:hAnsi="宋体" w:eastAsia="宋体" w:cs="Times New Roman"/>
          <w:szCs w:val="18"/>
          <w:highlight w:val="none"/>
        </w:rPr>
        <w:t>4.4</w:t>
      </w:r>
      <w:r>
        <w:rPr>
          <w:rFonts w:hint="eastAsia" w:ascii="宋体" w:hAnsi="宋体" w:eastAsia="宋体" w:cs="Times New Roman"/>
          <w:szCs w:val="24"/>
          <w:highlight w:val="none"/>
        </w:rPr>
        <w:t>如甲方原因导致设备生产后3个工作日内未收货，则甲方支付协商后的仓储费用给乙方。</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5、交货方式</w:t>
      </w:r>
      <w:r>
        <w:rPr>
          <w:rFonts w:hint="eastAsia" w:ascii="宋体" w:hAnsi="宋体" w:eastAsia="宋体" w:cs="Times New Roman"/>
          <w:szCs w:val="18"/>
          <w:highlight w:val="none"/>
          <w:lang w:eastAsia="zh-CN"/>
        </w:rPr>
        <w:t>：</w:t>
      </w:r>
      <w:r>
        <w:rPr>
          <w:rFonts w:hint="eastAsia" w:ascii="宋体" w:hAnsi="宋体" w:eastAsia="宋体" w:cs="Times New Roman"/>
          <w:szCs w:val="18"/>
          <w:highlight w:val="none"/>
        </w:rPr>
        <w:t xml:space="preserve"> 由乙方代办运输，送至甲方项目所在地。</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6、运输</w:t>
      </w:r>
      <w:r>
        <w:rPr>
          <w:rFonts w:hint="eastAsia" w:ascii="宋体" w:hAnsi="宋体" w:eastAsia="宋体" w:cs="Times New Roman"/>
          <w:szCs w:val="18"/>
          <w:highlight w:val="none"/>
          <w:lang w:eastAsia="zh-CN"/>
        </w:rPr>
        <w:t>：</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6.1运输方式：由乙方自行选择，电梯包装须适合长途运输及合理</w:t>
      </w:r>
      <w:r>
        <w:rPr>
          <w:rFonts w:hint="eastAsia" w:ascii="宋体" w:hAnsi="宋体" w:eastAsia="宋体" w:cs="Times New Roman"/>
          <w:szCs w:val="18"/>
          <w:highlight w:val="none"/>
          <w:lang w:eastAsia="zh-CN"/>
        </w:rPr>
        <w:t>地</w:t>
      </w:r>
      <w:r>
        <w:rPr>
          <w:rFonts w:hint="eastAsia" w:ascii="宋体" w:hAnsi="宋体" w:eastAsia="宋体" w:cs="Times New Roman"/>
          <w:szCs w:val="18"/>
          <w:highlight w:val="none"/>
        </w:rPr>
        <w:t>多次搬动</w:t>
      </w:r>
    </w:p>
    <w:p>
      <w:pPr>
        <w:spacing w:line="360" w:lineRule="auto"/>
        <w:rPr>
          <w:rFonts w:ascii="宋体" w:hAnsi="宋体" w:eastAsia="宋体" w:cs="Times New Roman"/>
          <w:szCs w:val="21"/>
          <w:highlight w:val="none"/>
          <w:u w:val="single"/>
        </w:rPr>
      </w:pPr>
      <w:r>
        <w:rPr>
          <w:rFonts w:hint="eastAsia" w:ascii="宋体" w:hAnsi="宋体" w:eastAsia="宋体" w:cs="Times New Roman"/>
          <w:szCs w:val="18"/>
          <w:highlight w:val="none"/>
        </w:rPr>
        <w:t>6.2</w:t>
      </w:r>
      <w:r>
        <w:rPr>
          <w:rFonts w:hint="eastAsia" w:ascii="宋体" w:hAnsi="宋体" w:eastAsia="宋体" w:cs="Times New Roman"/>
          <w:szCs w:val="21"/>
          <w:highlight w:val="none"/>
        </w:rPr>
        <w:t>收货单位：</w:t>
      </w:r>
    </w:p>
    <w:p>
      <w:pPr>
        <w:spacing w:line="360" w:lineRule="auto"/>
        <w:ind w:firstLine="420" w:firstLineChars="200"/>
        <w:rPr>
          <w:rFonts w:ascii="宋体" w:hAnsi="宋体" w:eastAsia="宋体" w:cs="Times New Roman"/>
          <w:szCs w:val="21"/>
          <w:highlight w:val="none"/>
          <w:u w:val="single"/>
        </w:rPr>
      </w:pPr>
      <w:r>
        <w:rPr>
          <w:rFonts w:hint="eastAsia" w:ascii="宋体" w:hAnsi="宋体" w:eastAsia="宋体" w:cs="Times New Roman"/>
          <w:szCs w:val="21"/>
          <w:highlight w:val="none"/>
        </w:rPr>
        <w:t>到（站）港：</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w:t>
      </w:r>
    </w:p>
    <w:p>
      <w:pPr>
        <w:spacing w:line="360" w:lineRule="auto"/>
        <w:ind w:firstLine="420" w:firstLineChars="200"/>
        <w:rPr>
          <w:rFonts w:ascii="宋体" w:hAnsi="宋体" w:eastAsia="宋体" w:cs="Times New Roman"/>
          <w:szCs w:val="21"/>
          <w:highlight w:val="none"/>
          <w:u w:val="single"/>
        </w:rPr>
      </w:pPr>
      <w:r>
        <w:rPr>
          <w:rFonts w:hint="eastAsia" w:ascii="宋体" w:hAnsi="宋体" w:eastAsia="宋体" w:cs="Times New Roman"/>
          <w:szCs w:val="21"/>
          <w:highlight w:val="none"/>
        </w:rPr>
        <w:t>接货地址：</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河南省信阳市罗山县江淮校区华北水利水电大学江淮校区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w:t>
      </w:r>
    </w:p>
    <w:p>
      <w:pPr>
        <w:spacing w:line="360" w:lineRule="auto"/>
        <w:ind w:firstLine="420" w:firstLineChars="200"/>
        <w:rPr>
          <w:rFonts w:ascii="宋体" w:hAnsi="宋体" w:eastAsia="宋体" w:cs="Times New Roman"/>
          <w:szCs w:val="21"/>
          <w:highlight w:val="none"/>
          <w:u w:val="single"/>
        </w:rPr>
      </w:pPr>
      <w:r>
        <w:rPr>
          <w:rFonts w:hint="eastAsia" w:ascii="宋体" w:hAnsi="宋体" w:eastAsia="宋体" w:cs="Times New Roman"/>
          <w:szCs w:val="21"/>
          <w:highlight w:val="none"/>
        </w:rPr>
        <w:t>邮　　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464200</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联系人：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张岚</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电话：</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13693970917</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传真：</w:t>
      </w:r>
    </w:p>
    <w:p>
      <w:pPr>
        <w:spacing w:line="360" w:lineRule="auto"/>
        <w:rPr>
          <w:rFonts w:ascii="宋体" w:hAnsi="宋体" w:eastAsia="宋体" w:cs="Times New Roman"/>
          <w:szCs w:val="21"/>
          <w:highlight w:val="none"/>
        </w:rPr>
      </w:pPr>
      <w:r>
        <w:rPr>
          <w:rFonts w:hint="eastAsia" w:ascii="宋体" w:hAnsi="宋体" w:eastAsia="宋体" w:cs="Times New Roman"/>
          <w:szCs w:val="18"/>
          <w:highlight w:val="none"/>
        </w:rPr>
        <w:t>7、</w:t>
      </w:r>
      <w:r>
        <w:rPr>
          <w:rFonts w:hint="eastAsia" w:ascii="宋体" w:hAnsi="宋体" w:eastAsia="宋体" w:cs="Times New Roman"/>
          <w:szCs w:val="21"/>
          <w:highlight w:val="none"/>
        </w:rPr>
        <w:t>收货查验及保管</w:t>
      </w:r>
      <w:r>
        <w:rPr>
          <w:rFonts w:hint="eastAsia" w:ascii="宋体" w:hAnsi="宋体" w:eastAsia="宋体" w:cs="Times New Roman"/>
          <w:szCs w:val="21"/>
          <w:highlight w:val="none"/>
          <w:lang w:eastAsia="zh-CN"/>
        </w:rPr>
        <w:t>：</w:t>
      </w:r>
    </w:p>
    <w:p>
      <w:pPr>
        <w:spacing w:line="360" w:lineRule="auto"/>
        <w:rPr>
          <w:rFonts w:ascii="宋体" w:hAnsi="宋体" w:eastAsia="宋体" w:cs="Times New Roman"/>
          <w:b/>
          <w:szCs w:val="18"/>
          <w:highlight w:val="none"/>
        </w:rPr>
      </w:pPr>
      <w:r>
        <w:rPr>
          <w:rFonts w:hint="eastAsia" w:ascii="宋体" w:hAnsi="宋体" w:eastAsia="宋体" w:cs="Times New Roman"/>
          <w:szCs w:val="18"/>
          <w:highlight w:val="none"/>
        </w:rPr>
        <w:t>7.1货到现场共同查验并出具书面盖章确认。</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7.2甲方收货后提供防雨、防潮、防盗的场所，货物的卸车、保管由乙方负责，产生的搭建、维护、仓储等费用由乙方承担。</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7.3签收后的货物清单仅作为收货凭证，不作为乙方货物是否合格的依据。</w:t>
      </w:r>
    </w:p>
    <w:p>
      <w:pPr>
        <w:spacing w:line="360" w:lineRule="auto"/>
        <w:ind w:left="412" w:hanging="411" w:hangingChars="196"/>
        <w:rPr>
          <w:rFonts w:ascii="宋体" w:hAnsi="宋体" w:eastAsia="宋体" w:cs="Times New Roman"/>
          <w:szCs w:val="21"/>
          <w:highlight w:val="none"/>
        </w:rPr>
      </w:pPr>
      <w:r>
        <w:rPr>
          <w:rFonts w:hint="eastAsia" w:ascii="宋体" w:hAnsi="宋体" w:eastAsia="宋体" w:cs="Times New Roman"/>
          <w:szCs w:val="18"/>
          <w:highlight w:val="none"/>
        </w:rPr>
        <w:t>8、</w:t>
      </w:r>
      <w:r>
        <w:rPr>
          <w:rFonts w:hint="eastAsia" w:ascii="宋体" w:hAnsi="宋体" w:eastAsia="宋体" w:cs="Times New Roman"/>
          <w:szCs w:val="21"/>
          <w:highlight w:val="none"/>
        </w:rPr>
        <w:t>产品质量保证：</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8.1乙方必须根据国标GB7588-2003《电梯制造与安装安全规范》，且最新调整的制造与安装安全规范进行制造与安装。</w:t>
      </w:r>
    </w:p>
    <w:p>
      <w:pPr>
        <w:spacing w:line="360" w:lineRule="auto"/>
        <w:ind w:left="412" w:hanging="411" w:hangingChars="196"/>
        <w:rPr>
          <w:rFonts w:ascii="宋体" w:hAnsi="宋体" w:eastAsia="宋体" w:cs="Times New Roman"/>
          <w:szCs w:val="18"/>
          <w:highlight w:val="none"/>
        </w:rPr>
      </w:pPr>
      <w:r>
        <w:rPr>
          <w:rFonts w:hint="eastAsia" w:ascii="宋体" w:hAnsi="宋体" w:eastAsia="宋体" w:cs="Times New Roman"/>
          <w:szCs w:val="18"/>
          <w:highlight w:val="none"/>
        </w:rPr>
        <w:t>8.2乙方保证提供的合同产品是全新的，规格型号是符合双方确认的基本数据规格表。</w:t>
      </w:r>
    </w:p>
    <w:p>
      <w:pPr>
        <w:spacing w:line="360" w:lineRule="auto"/>
        <w:ind w:left="412" w:hanging="411" w:hangingChars="196"/>
        <w:rPr>
          <w:rFonts w:ascii="宋体" w:hAnsi="宋体" w:eastAsia="宋体" w:cs="Times New Roman"/>
          <w:bCs/>
          <w:szCs w:val="18"/>
          <w:highlight w:val="none"/>
        </w:rPr>
      </w:pPr>
      <w:r>
        <w:rPr>
          <w:rFonts w:hint="eastAsia" w:ascii="宋体" w:hAnsi="宋体" w:eastAsia="宋体" w:cs="Times New Roman"/>
          <w:szCs w:val="18"/>
          <w:highlight w:val="none"/>
        </w:rPr>
        <w:t>8.3本合同产品的免费保修期自乙方发货之日起的18个月内，其中使用期即安装所在地特</w:t>
      </w:r>
      <w:r>
        <w:rPr>
          <w:rFonts w:hint="eastAsia" w:ascii="宋体" w:hAnsi="宋体" w:eastAsia="宋体" w:cs="Times New Roman"/>
          <w:bCs/>
          <w:szCs w:val="18"/>
          <w:highlight w:val="none"/>
        </w:rPr>
        <w:t>种设备监督检验部门对电梯验收合格之日起12个月，但不包括任何因使用不当及人为造成损坏的零部件及装修材料的更换。</w:t>
      </w:r>
    </w:p>
    <w:p>
      <w:pPr>
        <w:spacing w:line="360" w:lineRule="auto"/>
        <w:ind w:left="412" w:hanging="411" w:hangingChars="196"/>
        <w:rPr>
          <w:rFonts w:ascii="宋体" w:hAnsi="宋体" w:eastAsia="宋体" w:cs="Times New Roman"/>
          <w:szCs w:val="18"/>
          <w:highlight w:val="none"/>
        </w:rPr>
      </w:pPr>
      <w:r>
        <w:rPr>
          <w:rFonts w:hint="eastAsia" w:ascii="宋体" w:hAnsi="宋体" w:eastAsia="宋体" w:cs="Times New Roman"/>
          <w:bCs/>
          <w:szCs w:val="18"/>
          <w:highlight w:val="none"/>
        </w:rPr>
        <w:t>8.4 依特种设备安全法规定，电梯应由制造单位或由制造单位委托的具备相应资质的安装电梯进行安装，</w:t>
      </w:r>
      <w:r>
        <w:rPr>
          <w:rFonts w:hint="eastAsia" w:ascii="宋体" w:hAnsi="宋体" w:eastAsia="宋体" w:cs="Times New Roman"/>
          <w:szCs w:val="18"/>
          <w:highlight w:val="none"/>
        </w:rPr>
        <w:t>如甲方未经乙方同意自行寻找安装单位或非属乙方原因的，则乙方不承担和负责维保工作及费用，亦不承担因非乙方安装调试而引起的质量事故及责任，且乙方保留通过诉讼要求甲方赔偿由于甲方自行安装或寻找其他单位安装而造成乙方的任何损失的权利。在满足安装条件下，如乙方未及时进行安装，经甲方书面通知后3日历天内未安装的，甲方可自行寻找安装单位，产生的费用由乙方承担。</w:t>
      </w:r>
    </w:p>
    <w:p>
      <w:pPr>
        <w:spacing w:line="360" w:lineRule="auto"/>
        <w:rPr>
          <w:rFonts w:ascii="宋体" w:hAnsi="宋体" w:eastAsia="宋体" w:cs="Times New Roman"/>
          <w:szCs w:val="21"/>
          <w:highlight w:val="none"/>
        </w:rPr>
      </w:pPr>
      <w:r>
        <w:rPr>
          <w:rFonts w:hint="eastAsia" w:ascii="宋体" w:hAnsi="宋体" w:eastAsia="宋体" w:cs="Times New Roman"/>
          <w:szCs w:val="18"/>
          <w:highlight w:val="none"/>
        </w:rPr>
        <w:t>9、</w:t>
      </w:r>
      <w:r>
        <w:rPr>
          <w:rFonts w:hint="eastAsia" w:ascii="宋体" w:hAnsi="宋体" w:eastAsia="宋体" w:cs="Times New Roman"/>
          <w:szCs w:val="21"/>
          <w:highlight w:val="none"/>
        </w:rPr>
        <w:t>专利：</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乙方必须保障甲方在使用其提供的产品时不受到第三方关于侵犯专利权、商标权及其所有知识产权的指控。任何第三方如果提出侵权指控，乙方必须与第三方交涉并承担因此产生的一切法律责任和损失。</w:t>
      </w:r>
    </w:p>
    <w:p>
      <w:pPr>
        <w:spacing w:line="360" w:lineRule="auto"/>
        <w:ind w:left="412" w:hanging="411" w:hangingChars="196"/>
        <w:rPr>
          <w:rFonts w:ascii="宋体" w:hAnsi="宋体" w:eastAsia="宋体" w:cs="Times New Roman"/>
          <w:szCs w:val="21"/>
          <w:highlight w:val="none"/>
        </w:rPr>
      </w:pPr>
      <w:r>
        <w:rPr>
          <w:rFonts w:hint="eastAsia" w:ascii="宋体" w:hAnsi="宋体" w:eastAsia="宋体" w:cs="Times New Roman"/>
          <w:szCs w:val="21"/>
          <w:highlight w:val="none"/>
        </w:rPr>
        <w:t>10、合同变更：</w:t>
      </w:r>
    </w:p>
    <w:p>
      <w:pPr>
        <w:tabs>
          <w:tab w:val="left" w:pos="360"/>
        </w:tabs>
        <w:spacing w:line="360" w:lineRule="auto"/>
        <w:ind w:firstLine="315" w:firstLineChars="150"/>
        <w:rPr>
          <w:rFonts w:ascii="宋体" w:hAnsi="宋体" w:eastAsia="宋体" w:cs="Times New Roman"/>
          <w:szCs w:val="18"/>
          <w:highlight w:val="none"/>
        </w:rPr>
      </w:pPr>
      <w:r>
        <w:rPr>
          <w:rFonts w:hint="eastAsia" w:ascii="宋体" w:hAnsi="宋体" w:eastAsia="宋体" w:cs="Times New Roman"/>
          <w:szCs w:val="18"/>
          <w:highlight w:val="none"/>
        </w:rPr>
        <w:t>本合同在履行过程中，甲、乙双方的任何一方需要变更的，且应在合同发货前15天以书面形式提出并通知另一方，并征得另一方的书面确认，双方签署合同变更书后方为完成合同的变更。因甲方原因而引起的合同变更，则增加的费用应由甲方承担。如乙方的原因引起的合同变更，则增加的费用由乙方承担。</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11、违约责任及解决纠纷的方式：</w:t>
      </w:r>
    </w:p>
    <w:p>
      <w:pPr>
        <w:spacing w:line="360" w:lineRule="auto"/>
        <w:rPr>
          <w:rFonts w:ascii="宋体" w:hAnsi="宋体" w:eastAsia="宋体" w:cs="宋体"/>
          <w:bCs/>
          <w:szCs w:val="21"/>
          <w:highlight w:val="none"/>
        </w:rPr>
      </w:pPr>
      <w:r>
        <w:rPr>
          <w:rFonts w:hint="eastAsia" w:ascii="宋体" w:hAnsi="宋体" w:eastAsia="宋体" w:cs="Times New Roman"/>
          <w:szCs w:val="18"/>
          <w:highlight w:val="none"/>
        </w:rPr>
        <w:t>11.1除不可抗力原因外，甲、乙双方中的任何一方单方终止合同，</w:t>
      </w:r>
      <w:r>
        <w:rPr>
          <w:rFonts w:hint="eastAsia" w:ascii="Times New Roman" w:hAnsi="Times New Roman" w:eastAsia="宋体" w:cs="Times New Roman"/>
          <w:szCs w:val="24"/>
          <w:highlight w:val="none"/>
        </w:rPr>
        <w:t>违约方应按延误部分金额千分之一/天的比例向另一方支付逾期违约金；经守约一方书面催告后，违约方仍然不能履行交（收）货或付款义务的，守约方有权单方解除合同，且违约方应按合同总额的30%向守约一方支付违约金</w:t>
      </w:r>
      <w:r>
        <w:rPr>
          <w:rFonts w:hint="eastAsia" w:ascii="宋体" w:hAnsi="宋体" w:eastAsia="宋体" w:cs="宋体"/>
          <w:bCs/>
          <w:szCs w:val="21"/>
          <w:highlight w:val="none"/>
        </w:rPr>
        <w:t>，如违约金不足以弥补守约方的损失的，则违约方需另行赔偿。</w:t>
      </w:r>
    </w:p>
    <w:p>
      <w:pPr>
        <w:spacing w:line="360" w:lineRule="auto"/>
        <w:rPr>
          <w:rFonts w:ascii="宋体" w:hAnsi="宋体" w:eastAsia="宋体" w:cs="宋体"/>
          <w:bCs/>
          <w:szCs w:val="21"/>
          <w:highlight w:val="none"/>
        </w:rPr>
      </w:pPr>
      <w:r>
        <w:rPr>
          <w:rFonts w:hint="eastAsia" w:ascii="宋体" w:hAnsi="宋体" w:eastAsia="宋体" w:cs="宋体"/>
          <w:bCs/>
          <w:szCs w:val="21"/>
          <w:highlight w:val="none"/>
        </w:rPr>
        <w:t>11.2在双方履行合同要求后，电梯的拟定安装并调试完成时间为</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202</w:t>
      </w:r>
      <w:r>
        <w:rPr>
          <w:rFonts w:hint="eastAsia" w:ascii="宋体" w:hAnsi="宋体" w:eastAsia="宋体" w:cs="宋体"/>
          <w:bCs/>
          <w:szCs w:val="21"/>
          <w:highlight w:val="none"/>
          <w:u w:val="single"/>
          <w:lang w:val="en-US" w:eastAsia="zh-CN"/>
        </w:rPr>
        <w:t xml:space="preserve">4 </w:t>
      </w:r>
      <w:r>
        <w:rPr>
          <w:rFonts w:hint="eastAsia" w:ascii="宋体" w:hAnsi="宋体" w:eastAsia="宋体" w:cs="宋体"/>
          <w:bCs/>
          <w:szCs w:val="21"/>
          <w:highlight w:val="none"/>
          <w:u w:val="single"/>
        </w:rPr>
        <w:t>年</w:t>
      </w:r>
      <w:r>
        <w:rPr>
          <w:rFonts w:hint="eastAsia" w:ascii="宋体" w:hAnsi="宋体" w:eastAsia="宋体" w:cs="宋体"/>
          <w:bCs/>
          <w:szCs w:val="21"/>
          <w:highlight w:val="none"/>
          <w:u w:val="single"/>
          <w:lang w:val="en-US" w:eastAsia="zh-CN"/>
        </w:rPr>
        <w:t xml:space="preserve"> 2 </w:t>
      </w:r>
      <w:r>
        <w:rPr>
          <w:rFonts w:hint="eastAsia" w:ascii="宋体" w:hAnsi="宋体" w:eastAsia="宋体" w:cs="宋体"/>
          <w:bCs/>
          <w:szCs w:val="21"/>
          <w:highlight w:val="none"/>
          <w:u w:val="single"/>
        </w:rPr>
        <w:t>月</w:t>
      </w:r>
      <w:r>
        <w:rPr>
          <w:rFonts w:hint="eastAsia" w:ascii="宋体" w:hAnsi="宋体" w:eastAsia="宋体" w:cs="宋体"/>
          <w:bCs/>
          <w:szCs w:val="21"/>
          <w:highlight w:val="none"/>
          <w:u w:val="single"/>
          <w:lang w:val="en-US" w:eastAsia="zh-CN"/>
        </w:rPr>
        <w:t xml:space="preserve"> 25 </w:t>
      </w:r>
      <w:r>
        <w:rPr>
          <w:rFonts w:hint="eastAsia" w:ascii="宋体" w:hAnsi="宋体" w:eastAsia="宋体" w:cs="宋体"/>
          <w:bCs/>
          <w:szCs w:val="21"/>
          <w:highlight w:val="none"/>
          <w:u w:val="single"/>
        </w:rPr>
        <w:t>日，</w:t>
      </w:r>
      <w:r>
        <w:rPr>
          <w:rFonts w:hint="eastAsia" w:ascii="宋体" w:hAnsi="宋体" w:eastAsia="宋体" w:cs="宋体"/>
          <w:bCs/>
          <w:szCs w:val="21"/>
          <w:highlight w:val="none"/>
        </w:rPr>
        <w:t>安装期间，甲方须积极配合乙方相关的一些工作。</w:t>
      </w:r>
    </w:p>
    <w:p>
      <w:pPr>
        <w:spacing w:line="360" w:lineRule="auto"/>
        <w:rPr>
          <w:rFonts w:ascii="宋体" w:hAnsi="宋体" w:eastAsia="宋体" w:cs="宋体"/>
          <w:bCs/>
          <w:szCs w:val="21"/>
          <w:highlight w:val="none"/>
        </w:rPr>
      </w:pPr>
      <w:r>
        <w:rPr>
          <w:rFonts w:hint="eastAsia" w:ascii="宋体" w:hAnsi="宋体" w:eastAsia="宋体" w:cs="宋体"/>
          <w:bCs/>
          <w:szCs w:val="21"/>
          <w:highlight w:val="none"/>
        </w:rPr>
        <w:t xml:space="preserve"> 11.3本合同中的不可抗力指不能预见、不能避免并不能克服的客观情况。包括但不限于：自然灾害如地震、台风、洪水、火灾及政府行为；及其适用的变化或者其他任何无法预见、避免或者控制的事件。</w:t>
      </w:r>
    </w:p>
    <w:p>
      <w:pPr>
        <w:spacing w:line="360" w:lineRule="auto"/>
        <w:rPr>
          <w:rFonts w:ascii="宋体" w:hAnsi="宋体" w:eastAsia="宋体" w:cs="宋体"/>
          <w:bCs/>
          <w:dstrike/>
          <w:szCs w:val="21"/>
          <w:highlight w:val="none"/>
        </w:rPr>
      </w:pPr>
      <w:r>
        <w:rPr>
          <w:rFonts w:hint="eastAsia" w:ascii="宋体" w:hAnsi="宋体" w:eastAsia="宋体" w:cs="宋体"/>
          <w:bCs/>
          <w:szCs w:val="21"/>
          <w:highlight w:val="none"/>
        </w:rPr>
        <w:t>11.4不可抗力导致的合同不能按时履行或（不能履行）均不视为违约，甲、乙双方均不需要承担因不可抗力原因而造成的另一方损失，但发生不可抗力一方，应在不可抗力情形发生之日起十日内向另一方提交相应的政府部门证明。</w:t>
      </w:r>
    </w:p>
    <w:p>
      <w:pPr>
        <w:spacing w:line="360" w:lineRule="auto"/>
        <w:rPr>
          <w:rFonts w:ascii="宋体" w:hAnsi="宋体" w:eastAsia="宋体" w:cs="宋体"/>
          <w:szCs w:val="18"/>
          <w:highlight w:val="none"/>
        </w:rPr>
      </w:pPr>
      <w:r>
        <w:rPr>
          <w:rFonts w:hint="eastAsia" w:ascii="宋体" w:hAnsi="宋体" w:eastAsia="宋体" w:cs="宋体"/>
          <w:szCs w:val="18"/>
          <w:highlight w:val="none"/>
        </w:rPr>
        <w:t>11.5若甲、乙双方在合同履行过程中发生纠纷，应友好协商解决，协商不成则由原告方人民法院裁决。</w:t>
      </w:r>
    </w:p>
    <w:p>
      <w:pPr>
        <w:spacing w:line="360" w:lineRule="auto"/>
        <w:rPr>
          <w:rFonts w:ascii="宋体" w:hAnsi="宋体" w:eastAsia="宋体" w:cs="宋体"/>
          <w:szCs w:val="18"/>
          <w:highlight w:val="none"/>
        </w:rPr>
      </w:pPr>
      <w:r>
        <w:rPr>
          <w:rFonts w:hint="eastAsia" w:ascii="宋体" w:hAnsi="宋体" w:eastAsia="宋体" w:cs="宋体"/>
          <w:szCs w:val="18"/>
          <w:highlight w:val="none"/>
        </w:rPr>
        <w:t>11.6本合同未涉及的违约事宜，则按照</w:t>
      </w:r>
      <w:r>
        <w:rPr>
          <w:rFonts w:hint="eastAsia" w:ascii="宋体" w:hAnsi="宋体" w:eastAsia="宋体" w:cs="宋体"/>
          <w:szCs w:val="24"/>
          <w:highlight w:val="none"/>
        </w:rPr>
        <w:t>《中华人民共和国民法典》的有关规定办理。</w:t>
      </w:r>
    </w:p>
    <w:p>
      <w:pPr>
        <w:spacing w:line="360" w:lineRule="auto"/>
        <w:rPr>
          <w:rFonts w:ascii="宋体" w:hAnsi="宋体" w:eastAsia="宋体" w:cs="宋体"/>
          <w:szCs w:val="24"/>
          <w:highlight w:val="none"/>
        </w:rPr>
      </w:pPr>
      <w:r>
        <w:rPr>
          <w:rFonts w:hint="eastAsia" w:ascii="宋体" w:hAnsi="宋体" w:eastAsia="宋体" w:cs="宋体"/>
          <w:szCs w:val="24"/>
          <w:highlight w:val="none"/>
        </w:rPr>
        <w:t>12、其他：</w:t>
      </w:r>
    </w:p>
    <w:p>
      <w:pPr>
        <w:spacing w:line="360" w:lineRule="auto"/>
        <w:rPr>
          <w:rFonts w:ascii="宋体" w:hAnsi="宋体" w:eastAsia="宋体" w:cs="宋体"/>
          <w:szCs w:val="24"/>
          <w:highlight w:val="none"/>
        </w:rPr>
      </w:pPr>
      <w:r>
        <w:rPr>
          <w:rFonts w:hint="eastAsia" w:ascii="宋体" w:hAnsi="宋体" w:eastAsia="宋体" w:cs="宋体"/>
          <w:szCs w:val="18"/>
          <w:highlight w:val="none"/>
        </w:rPr>
        <w:t>12.1</w:t>
      </w:r>
      <w:r>
        <w:rPr>
          <w:rFonts w:hint="eastAsia" w:ascii="宋体" w:hAnsi="宋体" w:eastAsia="宋体" w:cs="宋体"/>
          <w:szCs w:val="24"/>
          <w:highlight w:val="none"/>
        </w:rPr>
        <w:t>在甲方未付清本合同约定的款项之前，本合同设备的所有权仍属乙方所有，乙方有权停止对电梯设备的使用，乙方承担电梯产品移交前的法律风险。</w:t>
      </w:r>
    </w:p>
    <w:p>
      <w:pPr>
        <w:spacing w:line="360" w:lineRule="auto"/>
        <w:rPr>
          <w:rFonts w:ascii="宋体" w:hAnsi="宋体" w:eastAsia="宋体" w:cs="宋体"/>
          <w:szCs w:val="18"/>
          <w:highlight w:val="none"/>
        </w:rPr>
      </w:pPr>
      <w:r>
        <w:rPr>
          <w:rFonts w:hint="eastAsia" w:ascii="宋体" w:hAnsi="宋体" w:eastAsia="宋体" w:cs="宋体"/>
          <w:szCs w:val="24"/>
          <w:highlight w:val="none"/>
        </w:rPr>
        <w:t>1</w:t>
      </w:r>
      <w:r>
        <w:rPr>
          <w:rFonts w:hint="eastAsia" w:ascii="宋体" w:hAnsi="宋体" w:eastAsia="宋体" w:cs="宋体"/>
          <w:szCs w:val="18"/>
          <w:highlight w:val="none"/>
        </w:rPr>
        <w:t>2.2如因甲方原因导致乙方不能及时安装，或因甲方原因不及时报验或因甲方不具备验收条件而导致电（扶）梯不能及时通过当地负责特种安全监督管理的部门验收的，</w:t>
      </w:r>
      <w:r>
        <w:rPr>
          <w:rFonts w:hint="eastAsia" w:ascii="宋体" w:hAnsi="宋体" w:eastAsia="宋体" w:cs="宋体"/>
          <w:highlight w:val="none"/>
        </w:rPr>
        <w:t>甲方应于设备发货之日起满二个月之日起的七日内</w:t>
      </w:r>
      <w:r>
        <w:rPr>
          <w:rFonts w:hint="eastAsia" w:ascii="宋体" w:hAnsi="宋体" w:eastAsia="宋体" w:cs="宋体"/>
          <w:szCs w:val="18"/>
          <w:highlight w:val="none"/>
        </w:rPr>
        <w:t>付清剩余的设备款项。如因乙方原因导致甲方不能及时安装，或因乙方原因不及时报验或因乙方不具备验收条件而导致电（扶）梯不能及时通过当地负责特种安全监督管理的部门验收的，乙方按定制、安装合同总价的5%承担责任。</w:t>
      </w:r>
    </w:p>
    <w:p>
      <w:pPr>
        <w:spacing w:line="360" w:lineRule="auto"/>
        <w:rPr>
          <w:rFonts w:ascii="宋体" w:hAnsi="宋体" w:eastAsia="宋体" w:cs="宋体"/>
          <w:szCs w:val="24"/>
          <w:highlight w:val="none"/>
        </w:rPr>
      </w:pPr>
      <w:r>
        <w:rPr>
          <w:rFonts w:hint="eastAsia" w:ascii="宋体" w:hAnsi="宋体" w:eastAsia="宋体" w:cs="宋体"/>
          <w:szCs w:val="18"/>
          <w:highlight w:val="none"/>
        </w:rPr>
        <w:t>12.3</w:t>
      </w:r>
      <w:r>
        <w:rPr>
          <w:rFonts w:hint="eastAsia" w:ascii="宋体" w:hAnsi="宋体" w:eastAsia="宋体" w:cs="宋体"/>
          <w:szCs w:val="24"/>
          <w:highlight w:val="none"/>
        </w:rPr>
        <w:t>本合同文本甲、乙双方的任何一方不得用手写进行涂改、删减或添加等修改行为，若需修改，则须经甲、乙双方协商达成一致后进行修改，并对书面修改的内容须经双方盖章确认，并作为本合同的附件。</w:t>
      </w:r>
    </w:p>
    <w:p>
      <w:pPr>
        <w:spacing w:line="360" w:lineRule="auto"/>
        <w:rPr>
          <w:rFonts w:ascii="宋体" w:hAnsi="宋体" w:eastAsia="宋体" w:cs="宋体"/>
          <w:szCs w:val="18"/>
          <w:highlight w:val="none"/>
        </w:rPr>
      </w:pPr>
      <w:r>
        <w:rPr>
          <w:rFonts w:hint="eastAsia" w:ascii="宋体" w:hAnsi="宋体" w:eastAsia="宋体" w:cs="宋体"/>
          <w:szCs w:val="18"/>
          <w:highlight w:val="none"/>
        </w:rPr>
        <w:t>12.4本合同未尽事宜以及合同履行过程中需协商确定的相关内容，甲、乙双方必须采用书面形式予以确立，必须经双方签字盖章签署补充条款，并作为本合同附件。</w:t>
      </w:r>
    </w:p>
    <w:p>
      <w:pPr>
        <w:spacing w:line="360" w:lineRule="auto"/>
        <w:rPr>
          <w:rFonts w:ascii="宋体" w:hAnsi="宋体" w:eastAsia="宋体" w:cs="宋体"/>
          <w:szCs w:val="18"/>
          <w:highlight w:val="none"/>
        </w:rPr>
      </w:pPr>
      <w:r>
        <w:rPr>
          <w:rFonts w:hint="eastAsia" w:ascii="宋体" w:hAnsi="宋体" w:eastAsia="宋体" w:cs="宋体"/>
          <w:szCs w:val="18"/>
          <w:highlight w:val="none"/>
        </w:rPr>
        <w:t>12.5本合同设备的基本数据规格表、甲方确认的土建图、变更书、补充条款及双方往来函件、电子联络记录等书面联系材料均作为本合同附件。</w:t>
      </w:r>
    </w:p>
    <w:p>
      <w:pPr>
        <w:spacing w:line="360" w:lineRule="auto"/>
        <w:rPr>
          <w:rFonts w:ascii="宋体" w:hAnsi="宋体" w:eastAsia="宋体" w:cs="宋体"/>
          <w:szCs w:val="18"/>
          <w:highlight w:val="none"/>
        </w:rPr>
      </w:pPr>
      <w:r>
        <w:rPr>
          <w:rFonts w:hint="eastAsia" w:ascii="宋体" w:hAnsi="宋体" w:eastAsia="宋体" w:cs="宋体"/>
          <w:szCs w:val="18"/>
          <w:highlight w:val="none"/>
        </w:rPr>
        <w:t>12.6本合同所有附件，均为本合同不可分割的组成部分，均与本合同具有同等的法律效力。</w:t>
      </w:r>
    </w:p>
    <w:p>
      <w:pPr>
        <w:pStyle w:val="2"/>
        <w:spacing w:line="360" w:lineRule="auto"/>
        <w:ind w:firstLine="0" w:firstLineChars="0"/>
        <w:rPr>
          <w:rFonts w:ascii="宋体" w:hAnsi="宋体" w:eastAsia="宋体" w:cs="宋体"/>
          <w:szCs w:val="18"/>
          <w:highlight w:val="none"/>
          <w:lang w:val="en-US"/>
        </w:rPr>
      </w:pPr>
      <w:r>
        <w:rPr>
          <w:rFonts w:hint="eastAsia" w:ascii="宋体" w:hAnsi="宋体" w:eastAsia="宋体" w:cs="宋体"/>
          <w:szCs w:val="18"/>
          <w:highlight w:val="none"/>
          <w:lang w:val="en-US"/>
        </w:rPr>
        <w:t>12.7甲乙双方约定：</w:t>
      </w:r>
    </w:p>
    <w:p>
      <w:pPr>
        <w:spacing w:line="360" w:lineRule="auto"/>
        <w:ind w:firstLine="420" w:firstLineChars="200"/>
        <w:rPr>
          <w:rFonts w:ascii="宋体" w:hAnsi="宋体" w:eastAsia="宋体" w:cs="Times New Roman"/>
          <w:bCs/>
          <w:szCs w:val="18"/>
          <w:highlight w:val="none"/>
          <w:lang w:val="zh-CN"/>
        </w:rPr>
      </w:pPr>
      <w:r>
        <w:rPr>
          <w:rFonts w:hint="eastAsia" w:ascii="宋体" w:hAnsi="宋体" w:eastAsia="宋体" w:cs="Times New Roman"/>
          <w:bCs/>
          <w:szCs w:val="18"/>
          <w:highlight w:val="none"/>
        </w:rPr>
        <w:t>①乙方应按照相关规定，支付施工总包单位配合费，支付标准为：合同安装总价的2%（或双方协商决定）</w:t>
      </w:r>
      <w:r>
        <w:rPr>
          <w:rFonts w:hint="eastAsia" w:ascii="宋体" w:hAnsi="宋体" w:eastAsia="宋体" w:cs="Times New Roman"/>
          <w:bCs/>
          <w:szCs w:val="18"/>
          <w:highlight w:val="none"/>
          <w:lang w:val="zh-CN"/>
        </w:rPr>
        <w:t>。</w:t>
      </w:r>
    </w:p>
    <w:p>
      <w:pPr>
        <w:spacing w:line="360" w:lineRule="auto"/>
        <w:ind w:firstLine="420" w:firstLineChars="200"/>
        <w:rPr>
          <w:rFonts w:ascii="宋体" w:hAnsi="宋体" w:eastAsia="宋体" w:cs="Times New Roman"/>
          <w:bCs/>
          <w:szCs w:val="18"/>
          <w:highlight w:val="none"/>
          <w:lang w:val="zh-CN"/>
        </w:rPr>
      </w:pPr>
      <w:r>
        <w:rPr>
          <w:rFonts w:hint="eastAsia" w:ascii="宋体" w:hAnsi="宋体" w:eastAsia="宋体" w:cs="Times New Roman"/>
          <w:bCs/>
          <w:szCs w:val="18"/>
          <w:highlight w:val="none"/>
        </w:rPr>
        <w:t>②乙方自愿支付合同总价</w:t>
      </w:r>
      <w:r>
        <w:rPr>
          <w:rFonts w:hint="eastAsia" w:ascii="宋体" w:hAnsi="宋体" w:eastAsia="宋体" w:cs="Times New Roman"/>
          <w:bCs/>
          <w:szCs w:val="18"/>
          <w:highlight w:val="none"/>
          <w:lang w:val="zh-CN"/>
        </w:rPr>
        <w:t>6%</w:t>
      </w:r>
      <w:r>
        <w:rPr>
          <w:rFonts w:hint="eastAsia" w:ascii="宋体" w:hAnsi="宋体" w:eastAsia="宋体" w:cs="Times New Roman"/>
          <w:bCs/>
          <w:szCs w:val="18"/>
          <w:highlight w:val="none"/>
        </w:rPr>
        <w:t>的</w:t>
      </w:r>
      <w:r>
        <w:rPr>
          <w:rFonts w:hint="eastAsia" w:ascii="宋体" w:hAnsi="宋体" w:eastAsia="宋体" w:cs="Times New Roman"/>
          <w:bCs/>
          <w:szCs w:val="18"/>
          <w:highlight w:val="none"/>
          <w:lang w:val="zh-CN"/>
        </w:rPr>
        <w:t>管理费（</w:t>
      </w:r>
      <w:r>
        <w:rPr>
          <w:rFonts w:hint="eastAsia" w:ascii="宋体" w:hAnsi="宋体" w:eastAsia="宋体" w:cs="Times New Roman"/>
          <w:bCs/>
          <w:szCs w:val="18"/>
          <w:highlight w:val="none"/>
        </w:rPr>
        <w:t>含税</w:t>
      </w:r>
      <w:r>
        <w:rPr>
          <w:rFonts w:hint="eastAsia" w:ascii="宋体" w:hAnsi="宋体" w:eastAsia="宋体" w:cs="Times New Roman"/>
          <w:bCs/>
          <w:szCs w:val="18"/>
          <w:highlight w:val="none"/>
          <w:lang w:val="zh-CN"/>
        </w:rPr>
        <w:t>）</w:t>
      </w:r>
      <w:r>
        <w:rPr>
          <w:rFonts w:hint="eastAsia" w:ascii="宋体" w:hAnsi="宋体" w:eastAsia="宋体" w:cs="Times New Roman"/>
          <w:bCs/>
          <w:szCs w:val="18"/>
          <w:highlight w:val="none"/>
        </w:rPr>
        <w:t>给甲方</w:t>
      </w:r>
      <w:r>
        <w:rPr>
          <w:rFonts w:hint="eastAsia" w:ascii="宋体" w:hAnsi="宋体" w:eastAsia="宋体" w:cs="Times New Roman"/>
          <w:bCs/>
          <w:szCs w:val="18"/>
          <w:highlight w:val="none"/>
          <w:lang w:val="zh-CN"/>
        </w:rPr>
        <w:t>。</w:t>
      </w:r>
    </w:p>
    <w:p>
      <w:pPr>
        <w:pStyle w:val="2"/>
        <w:spacing w:line="360" w:lineRule="auto"/>
        <w:rPr>
          <w:rFonts w:eastAsia="宋体"/>
          <w:highlight w:val="none"/>
          <w:lang w:val="en-US"/>
        </w:rPr>
      </w:pPr>
      <w:r>
        <w:rPr>
          <w:rFonts w:hint="eastAsia" w:ascii="宋体" w:hAnsi="宋体" w:eastAsia="宋体" w:cs="Times New Roman"/>
          <w:bCs/>
          <w:szCs w:val="18"/>
          <w:highlight w:val="none"/>
          <w:lang w:val="en-US"/>
        </w:rPr>
        <w:t>③乙方应积极配合甲方的财政评审工作，并就电梯工程招标控制价一事，提供技术、经济材料，以使得本采购事项符合财政结算流程，避免甲方经济损失。</w:t>
      </w:r>
    </w:p>
    <w:p>
      <w:pPr>
        <w:pStyle w:val="2"/>
        <w:spacing w:line="360" w:lineRule="auto"/>
        <w:rPr>
          <w:rFonts w:ascii="宋体" w:hAnsi="宋体" w:eastAsia="宋体" w:cs="Times New Roman"/>
          <w:bCs/>
          <w:szCs w:val="18"/>
          <w:highlight w:val="none"/>
          <w:lang w:val="en-US"/>
        </w:rPr>
      </w:pPr>
      <w:r>
        <w:rPr>
          <w:rFonts w:hint="eastAsia" w:ascii="宋体" w:hAnsi="宋体" w:eastAsia="宋体" w:cs="Times New Roman"/>
          <w:bCs/>
          <w:szCs w:val="18"/>
          <w:highlight w:val="none"/>
          <w:lang w:val="en-US"/>
        </w:rPr>
        <w:t>④鉴于本项目的特殊性</w:t>
      </w:r>
      <w:r>
        <w:rPr>
          <w:rFonts w:hint="eastAsia" w:ascii="宋体" w:hAnsi="宋体" w:eastAsia="宋体" w:cs="Times New Roman"/>
          <w:bCs/>
          <w:szCs w:val="18"/>
          <w:highlight w:val="none"/>
          <w:lang w:val="en-US" w:eastAsia="zh-CN"/>
        </w:rPr>
        <w:t>，</w:t>
      </w:r>
      <w:r>
        <w:rPr>
          <w:rFonts w:hint="eastAsia" w:ascii="宋体" w:hAnsi="宋体" w:eastAsia="宋体" w:cs="Times New Roman"/>
          <w:bCs/>
          <w:szCs w:val="18"/>
          <w:highlight w:val="none"/>
          <w:lang w:val="en-US"/>
        </w:rPr>
        <w:t>乙方应配合完成甲方公开招标的流程</w:t>
      </w:r>
      <w:r>
        <w:rPr>
          <w:rFonts w:hint="eastAsia" w:ascii="宋体" w:hAnsi="宋体" w:eastAsia="宋体" w:cs="Times New Roman"/>
          <w:bCs/>
          <w:szCs w:val="18"/>
          <w:highlight w:val="none"/>
          <w:lang w:val="en-US" w:eastAsia="zh-CN"/>
        </w:rPr>
        <w:t>，</w:t>
      </w:r>
      <w:r>
        <w:rPr>
          <w:rFonts w:hint="eastAsia" w:ascii="宋体" w:hAnsi="宋体" w:eastAsia="宋体" w:cs="Times New Roman"/>
          <w:bCs/>
          <w:szCs w:val="18"/>
          <w:highlight w:val="none"/>
          <w:lang w:val="en-US"/>
        </w:rPr>
        <w:t>使得本采购事项符合有关规定</w:t>
      </w:r>
      <w:r>
        <w:rPr>
          <w:rFonts w:hint="eastAsia" w:ascii="宋体" w:hAnsi="宋体" w:eastAsia="宋体" w:cs="Times New Roman"/>
          <w:bCs/>
          <w:szCs w:val="18"/>
          <w:highlight w:val="none"/>
          <w:lang w:val="en-US" w:eastAsia="zh-CN"/>
        </w:rPr>
        <w:t>，</w:t>
      </w:r>
      <w:r>
        <w:rPr>
          <w:rFonts w:hint="eastAsia" w:ascii="宋体" w:hAnsi="宋体" w:eastAsia="宋体" w:cs="Times New Roman"/>
          <w:bCs/>
          <w:szCs w:val="18"/>
          <w:highlight w:val="none"/>
          <w:lang w:val="en-US"/>
        </w:rPr>
        <w:t>乙方组织的</w:t>
      </w:r>
      <w:r>
        <w:rPr>
          <w:rFonts w:hint="eastAsia" w:ascii="宋体" w:hAnsi="宋体" w:eastAsia="宋体" w:cs="Times New Roman"/>
          <w:bCs/>
          <w:szCs w:val="18"/>
          <w:highlight w:val="none"/>
          <w:lang w:val="en-US" w:eastAsia="zh-CN"/>
        </w:rPr>
        <w:t>投标</w:t>
      </w:r>
      <w:r>
        <w:rPr>
          <w:rFonts w:hint="eastAsia" w:ascii="宋体" w:hAnsi="宋体" w:eastAsia="宋体" w:cs="Times New Roman"/>
          <w:bCs/>
          <w:szCs w:val="18"/>
          <w:highlight w:val="none"/>
          <w:lang w:val="en-US"/>
        </w:rPr>
        <w:t>相关费用由乙方承担。</w:t>
      </w:r>
    </w:p>
    <w:p>
      <w:pPr>
        <w:pStyle w:val="2"/>
        <w:spacing w:line="360" w:lineRule="auto"/>
        <w:rPr>
          <w:rFonts w:ascii="宋体" w:hAnsi="宋体" w:eastAsia="宋体" w:cs="Times New Roman"/>
          <w:bCs/>
          <w:szCs w:val="18"/>
          <w:highlight w:val="none"/>
          <w:lang w:val="en-US"/>
        </w:rPr>
      </w:pPr>
      <w:r>
        <w:rPr>
          <w:rFonts w:hint="eastAsia" w:ascii="宋体" w:hAnsi="宋体" w:eastAsia="宋体" w:cs="Times New Roman"/>
          <w:bCs/>
          <w:szCs w:val="18"/>
          <w:highlight w:val="none"/>
          <w:lang w:val="en-US"/>
        </w:rPr>
        <w:t>⑤甲方在有关部门办理竣工结算或者进入审计程序时，乙方应采取配合措施，该措施包括但不限于变更合同签订时间等。</w:t>
      </w:r>
    </w:p>
    <w:p>
      <w:pPr>
        <w:pStyle w:val="2"/>
        <w:spacing w:line="360" w:lineRule="auto"/>
        <w:rPr>
          <w:highlight w:val="none"/>
        </w:rPr>
      </w:pPr>
      <w:r>
        <w:rPr>
          <w:rFonts w:hint="eastAsia" w:ascii="宋体" w:hAnsi="宋体" w:eastAsia="宋体" w:cs="Times New Roman"/>
          <w:bCs/>
          <w:szCs w:val="18"/>
          <w:highlight w:val="none"/>
          <w:lang w:val="en-US"/>
        </w:rPr>
        <w:t>⑥乙方应负责组织履行后期招标程序，并</w:t>
      </w:r>
      <w:r>
        <w:rPr>
          <w:rFonts w:hint="eastAsia" w:ascii="宋体" w:hAnsi="宋体" w:eastAsia="宋体" w:cs="Times New Roman"/>
          <w:bCs/>
          <w:szCs w:val="18"/>
          <w:highlight w:val="none"/>
          <w:lang w:val="en-US" w:eastAsia="zh-CN"/>
        </w:rPr>
        <w:t>按照</w:t>
      </w:r>
      <w:r>
        <w:rPr>
          <w:rFonts w:hint="eastAsia" w:ascii="宋体" w:hAnsi="宋体" w:eastAsia="宋体" w:cs="Times New Roman"/>
          <w:bCs/>
          <w:szCs w:val="18"/>
          <w:highlight w:val="none"/>
          <w:lang w:val="en-US"/>
        </w:rPr>
        <w:t>相关法律法规及财政评审要求主导完成招标过程，并支付中标费。</w:t>
      </w:r>
    </w:p>
    <w:p>
      <w:pPr>
        <w:spacing w:line="360" w:lineRule="auto"/>
        <w:rPr>
          <w:rFonts w:hint="eastAsia" w:ascii="宋体" w:hAnsi="宋体" w:eastAsia="宋体" w:cs="宋体"/>
          <w:szCs w:val="18"/>
          <w:highlight w:val="none"/>
        </w:rPr>
      </w:pPr>
      <w:r>
        <w:rPr>
          <w:rFonts w:hint="eastAsia" w:ascii="宋体" w:hAnsi="宋体" w:eastAsia="宋体" w:cs="宋体"/>
          <w:szCs w:val="18"/>
          <w:highlight w:val="none"/>
        </w:rPr>
        <w:t>12.8本合同经甲、乙双方签字盖章，同时须加盖骑缝章后生效；待项目招标完成后，如乙方中标，则本合同条款正式转为合同条款。</w:t>
      </w:r>
    </w:p>
    <w:p>
      <w:pPr>
        <w:spacing w:line="360" w:lineRule="auto"/>
        <w:rPr>
          <w:rFonts w:ascii="宋体" w:hAnsi="宋体" w:eastAsia="宋体" w:cs="宋体"/>
          <w:szCs w:val="18"/>
          <w:highlight w:val="none"/>
        </w:rPr>
      </w:pPr>
      <w:r>
        <w:rPr>
          <w:rFonts w:hint="eastAsia" w:ascii="宋体" w:hAnsi="宋体" w:eastAsia="宋体" w:cs="宋体"/>
          <w:szCs w:val="18"/>
          <w:highlight w:val="none"/>
        </w:rPr>
        <w:t>12.9本合同一式六份，甲方四份，乙方两份。</w:t>
      </w:r>
    </w:p>
    <w:p>
      <w:pPr>
        <w:spacing w:line="360" w:lineRule="auto"/>
        <w:rPr>
          <w:rFonts w:ascii="宋体" w:hAnsi="宋体" w:eastAsia="宋体" w:cs="宋体"/>
          <w:szCs w:val="18"/>
          <w:highlight w:val="none"/>
        </w:rPr>
      </w:pPr>
      <w:r>
        <w:rPr>
          <w:rFonts w:hint="eastAsia" w:ascii="宋体" w:hAnsi="宋体" w:eastAsia="宋体" w:cs="宋体"/>
          <w:szCs w:val="18"/>
          <w:highlight w:val="none"/>
        </w:rPr>
        <w:t>12.10本合同双方预留如下联系地址及电子通讯方式，用于传送、接收与本合同相关的往来函件或电子联络记录，今后如涉及纠纷处理，上述联系地址同时作为有效送达地址。任何一方向另一方发出与本合同相关的纸质函件、通知，一经向预留地址发出满三日，或电子联络一经向指定通知方式发出均视为有效送达。如任何一方需变更联系地址及电子通讯方式的，须书面通知对方。</w:t>
      </w:r>
    </w:p>
    <w:p>
      <w:pPr>
        <w:spacing w:line="360" w:lineRule="auto"/>
        <w:rPr>
          <w:rFonts w:ascii="宋体" w:hAnsi="宋体" w:eastAsia="宋体" w:cs="宋体"/>
          <w:szCs w:val="18"/>
          <w:highlight w:val="none"/>
          <w:u w:val="single"/>
        </w:rPr>
      </w:pPr>
      <w:r>
        <w:rPr>
          <w:rFonts w:hint="eastAsia" w:ascii="宋体" w:hAnsi="宋体" w:eastAsia="宋体" w:cs="宋体"/>
          <w:szCs w:val="18"/>
          <w:highlight w:val="none"/>
        </w:rPr>
        <w:t>甲方：                                     乙方：</w:t>
      </w:r>
    </w:p>
    <w:p>
      <w:pPr>
        <w:spacing w:line="360" w:lineRule="auto"/>
        <w:rPr>
          <w:rFonts w:ascii="宋体" w:hAnsi="宋体" w:eastAsia="宋体" w:cs="宋体"/>
          <w:szCs w:val="18"/>
          <w:highlight w:val="none"/>
          <w:u w:val="single"/>
        </w:rPr>
      </w:pPr>
      <w:r>
        <w:rPr>
          <w:rFonts w:hint="eastAsia" w:ascii="宋体" w:hAnsi="宋体" w:eastAsia="宋体" w:cs="宋体"/>
          <w:szCs w:val="18"/>
          <w:highlight w:val="none"/>
        </w:rPr>
        <w:t>联系地址：                                 联系地址：</w:t>
      </w:r>
    </w:p>
    <w:p>
      <w:pPr>
        <w:spacing w:line="360" w:lineRule="auto"/>
        <w:rPr>
          <w:rFonts w:ascii="宋体" w:hAnsi="宋体" w:eastAsia="宋体" w:cs="宋体"/>
          <w:szCs w:val="18"/>
          <w:highlight w:val="none"/>
          <w:u w:val="single"/>
        </w:rPr>
      </w:pPr>
      <w:r>
        <w:rPr>
          <w:rFonts w:hint="eastAsia" w:ascii="宋体" w:hAnsi="宋体" w:eastAsia="宋体" w:cs="宋体"/>
          <w:szCs w:val="18"/>
          <w:highlight w:val="none"/>
        </w:rPr>
        <w:t>电子邮箱：                                 电子邮箱：</w:t>
      </w:r>
    </w:p>
    <w:p>
      <w:pPr>
        <w:spacing w:line="360" w:lineRule="auto"/>
        <w:rPr>
          <w:rFonts w:ascii="宋体" w:hAnsi="宋体" w:eastAsia="宋体" w:cs="宋体"/>
          <w:szCs w:val="18"/>
          <w:highlight w:val="none"/>
        </w:rPr>
      </w:pPr>
      <w:r>
        <w:rPr>
          <w:rFonts w:hint="eastAsia" w:ascii="宋体" w:hAnsi="宋体" w:eastAsia="宋体" w:cs="宋体"/>
          <w:szCs w:val="18"/>
          <w:highlight w:val="none"/>
        </w:rPr>
        <w:t>微信或QQ                                  微信或QQ</w:t>
      </w:r>
    </w:p>
    <w:p>
      <w:pPr>
        <w:pStyle w:val="2"/>
        <w:rPr>
          <w:highlight w:val="none"/>
        </w:rPr>
      </w:pPr>
    </w:p>
    <w:p>
      <w:pPr>
        <w:numPr>
          <w:ilvl w:val="0"/>
          <w:numId w:val="1"/>
        </w:num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甲乙双方任何一方违反本合同约定的，违约方应当向守约方按照本合同金额的30%支付违约金。</w:t>
      </w:r>
    </w:p>
    <w:p>
      <w:pPr>
        <w:spacing w:line="360" w:lineRule="auto"/>
        <w:rPr>
          <w:rFonts w:ascii="宋体" w:hAnsi="宋体" w:eastAsia="宋体" w:cs="Times New Roman"/>
          <w:szCs w:val="18"/>
          <w:highlight w:val="none"/>
        </w:rPr>
      </w:pPr>
      <w:r>
        <w:rPr>
          <w:rFonts w:hint="eastAsia" w:ascii="宋体" w:hAnsi="宋体" w:eastAsia="宋体" w:cs="Times New Roman"/>
          <w:szCs w:val="18"/>
          <w:highlight w:val="none"/>
        </w:rPr>
        <w:t>14、双方共同签署的协议及书面通知、会议纪要及补充协议等作为本合同组成部分，与本合同具有同等法律效力。</w:t>
      </w:r>
    </w:p>
    <w:p>
      <w:pPr>
        <w:spacing w:line="520" w:lineRule="exact"/>
        <w:ind w:firstLine="480" w:firstLineChars="200"/>
        <w:rPr>
          <w:rFonts w:ascii="宋体" w:hAnsi="宋体" w:eastAsia="宋体"/>
          <w:sz w:val="24"/>
          <w:szCs w:val="24"/>
          <w:highlight w:val="none"/>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25348"/>
    <w:multiLevelType w:val="singleLevel"/>
    <w:tmpl w:val="C6B25348"/>
    <w:lvl w:ilvl="0" w:tentative="0">
      <w:start w:val="1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jlmMWY4YWI1ZGY3OTdiNTk3MmJjZjg1YTBkMjcifQ=="/>
  </w:docVars>
  <w:rsids>
    <w:rsidRoot w:val="0009657D"/>
    <w:rsid w:val="00007E53"/>
    <w:rsid w:val="00022170"/>
    <w:rsid w:val="000261E2"/>
    <w:rsid w:val="000445F0"/>
    <w:rsid w:val="00050AF0"/>
    <w:rsid w:val="00056E55"/>
    <w:rsid w:val="000707C4"/>
    <w:rsid w:val="0009657D"/>
    <w:rsid w:val="000A2C59"/>
    <w:rsid w:val="000B6E07"/>
    <w:rsid w:val="000D3BC4"/>
    <w:rsid w:val="000D421C"/>
    <w:rsid w:val="00115A9D"/>
    <w:rsid w:val="00131538"/>
    <w:rsid w:val="00134320"/>
    <w:rsid w:val="00141A87"/>
    <w:rsid w:val="00157BA8"/>
    <w:rsid w:val="0016701F"/>
    <w:rsid w:val="001769FD"/>
    <w:rsid w:val="00190E4D"/>
    <w:rsid w:val="001C7F49"/>
    <w:rsid w:val="001E2E39"/>
    <w:rsid w:val="001F2CF3"/>
    <w:rsid w:val="001F3BC1"/>
    <w:rsid w:val="00232A4E"/>
    <w:rsid w:val="002B2D57"/>
    <w:rsid w:val="002D1942"/>
    <w:rsid w:val="002E18BD"/>
    <w:rsid w:val="002E23B8"/>
    <w:rsid w:val="00303BAD"/>
    <w:rsid w:val="003119E1"/>
    <w:rsid w:val="00312A3C"/>
    <w:rsid w:val="00312AE3"/>
    <w:rsid w:val="00327148"/>
    <w:rsid w:val="00332C20"/>
    <w:rsid w:val="003353CF"/>
    <w:rsid w:val="0034237B"/>
    <w:rsid w:val="003504B3"/>
    <w:rsid w:val="0035497E"/>
    <w:rsid w:val="00355237"/>
    <w:rsid w:val="0037191E"/>
    <w:rsid w:val="0037376D"/>
    <w:rsid w:val="003850EA"/>
    <w:rsid w:val="00385F79"/>
    <w:rsid w:val="00391323"/>
    <w:rsid w:val="00394F64"/>
    <w:rsid w:val="003F0F03"/>
    <w:rsid w:val="003F42A7"/>
    <w:rsid w:val="00404764"/>
    <w:rsid w:val="00426B56"/>
    <w:rsid w:val="00452CCA"/>
    <w:rsid w:val="00453AD8"/>
    <w:rsid w:val="0047543E"/>
    <w:rsid w:val="00482243"/>
    <w:rsid w:val="004850EC"/>
    <w:rsid w:val="00490C23"/>
    <w:rsid w:val="00495FCD"/>
    <w:rsid w:val="004D0862"/>
    <w:rsid w:val="004D1987"/>
    <w:rsid w:val="004E29A7"/>
    <w:rsid w:val="004F0A69"/>
    <w:rsid w:val="004F5599"/>
    <w:rsid w:val="00501900"/>
    <w:rsid w:val="00506481"/>
    <w:rsid w:val="00506D86"/>
    <w:rsid w:val="0051010F"/>
    <w:rsid w:val="005104B0"/>
    <w:rsid w:val="0051571A"/>
    <w:rsid w:val="00531046"/>
    <w:rsid w:val="00536452"/>
    <w:rsid w:val="005409A0"/>
    <w:rsid w:val="00541FCE"/>
    <w:rsid w:val="00550D1E"/>
    <w:rsid w:val="00555304"/>
    <w:rsid w:val="00592D26"/>
    <w:rsid w:val="00633079"/>
    <w:rsid w:val="00642C70"/>
    <w:rsid w:val="00674115"/>
    <w:rsid w:val="00695D30"/>
    <w:rsid w:val="006B7F85"/>
    <w:rsid w:val="006D5BD4"/>
    <w:rsid w:val="006E220B"/>
    <w:rsid w:val="006E5728"/>
    <w:rsid w:val="00713D21"/>
    <w:rsid w:val="007170FA"/>
    <w:rsid w:val="007451C8"/>
    <w:rsid w:val="007726DE"/>
    <w:rsid w:val="00792FFE"/>
    <w:rsid w:val="0079438F"/>
    <w:rsid w:val="007A3548"/>
    <w:rsid w:val="007B758B"/>
    <w:rsid w:val="007D79DE"/>
    <w:rsid w:val="00832E18"/>
    <w:rsid w:val="00863EEE"/>
    <w:rsid w:val="008801EE"/>
    <w:rsid w:val="008909EF"/>
    <w:rsid w:val="008F0D7A"/>
    <w:rsid w:val="00925C27"/>
    <w:rsid w:val="009600F9"/>
    <w:rsid w:val="009705E1"/>
    <w:rsid w:val="00983FAB"/>
    <w:rsid w:val="009B17F3"/>
    <w:rsid w:val="009B1E8E"/>
    <w:rsid w:val="009C6AF0"/>
    <w:rsid w:val="009D4E56"/>
    <w:rsid w:val="00A056A2"/>
    <w:rsid w:val="00A06C03"/>
    <w:rsid w:val="00A168F8"/>
    <w:rsid w:val="00A37262"/>
    <w:rsid w:val="00A44DE2"/>
    <w:rsid w:val="00A55583"/>
    <w:rsid w:val="00A55CA0"/>
    <w:rsid w:val="00A65E02"/>
    <w:rsid w:val="00A70D8E"/>
    <w:rsid w:val="00A826C6"/>
    <w:rsid w:val="00AC495E"/>
    <w:rsid w:val="00AC5A3A"/>
    <w:rsid w:val="00AE29B6"/>
    <w:rsid w:val="00AE675D"/>
    <w:rsid w:val="00B17A73"/>
    <w:rsid w:val="00B24118"/>
    <w:rsid w:val="00B565CA"/>
    <w:rsid w:val="00B714B1"/>
    <w:rsid w:val="00B764EE"/>
    <w:rsid w:val="00B9153E"/>
    <w:rsid w:val="00BC2DD6"/>
    <w:rsid w:val="00BE00D7"/>
    <w:rsid w:val="00C04A96"/>
    <w:rsid w:val="00C06A25"/>
    <w:rsid w:val="00C113F4"/>
    <w:rsid w:val="00C34C5F"/>
    <w:rsid w:val="00C35F20"/>
    <w:rsid w:val="00C57F57"/>
    <w:rsid w:val="00C835B8"/>
    <w:rsid w:val="00C90F02"/>
    <w:rsid w:val="00C95711"/>
    <w:rsid w:val="00CB61CE"/>
    <w:rsid w:val="00CC06A3"/>
    <w:rsid w:val="00D05695"/>
    <w:rsid w:val="00D21917"/>
    <w:rsid w:val="00D76C12"/>
    <w:rsid w:val="00D84439"/>
    <w:rsid w:val="00D92AB4"/>
    <w:rsid w:val="00D9604A"/>
    <w:rsid w:val="00DB375A"/>
    <w:rsid w:val="00E046E0"/>
    <w:rsid w:val="00E63AD3"/>
    <w:rsid w:val="00EB5090"/>
    <w:rsid w:val="00EB7AB5"/>
    <w:rsid w:val="00F05147"/>
    <w:rsid w:val="00F14C75"/>
    <w:rsid w:val="00F35C1F"/>
    <w:rsid w:val="00F35F63"/>
    <w:rsid w:val="00F73B3E"/>
    <w:rsid w:val="00F8074C"/>
    <w:rsid w:val="00FC0B9E"/>
    <w:rsid w:val="013D6861"/>
    <w:rsid w:val="01453A14"/>
    <w:rsid w:val="01543C57"/>
    <w:rsid w:val="016373F7"/>
    <w:rsid w:val="01AD22E4"/>
    <w:rsid w:val="01CD61FC"/>
    <w:rsid w:val="0265218E"/>
    <w:rsid w:val="031713E0"/>
    <w:rsid w:val="03536CD7"/>
    <w:rsid w:val="03604B36"/>
    <w:rsid w:val="03641490"/>
    <w:rsid w:val="03DB780C"/>
    <w:rsid w:val="05484431"/>
    <w:rsid w:val="058A1770"/>
    <w:rsid w:val="062559AA"/>
    <w:rsid w:val="062824C6"/>
    <w:rsid w:val="062C4F55"/>
    <w:rsid w:val="06340249"/>
    <w:rsid w:val="06C70A28"/>
    <w:rsid w:val="072C40CF"/>
    <w:rsid w:val="07A76C22"/>
    <w:rsid w:val="08A74CA8"/>
    <w:rsid w:val="09794853"/>
    <w:rsid w:val="098F2FD4"/>
    <w:rsid w:val="0A515CBB"/>
    <w:rsid w:val="0A6901DC"/>
    <w:rsid w:val="0A6D5880"/>
    <w:rsid w:val="0A771269"/>
    <w:rsid w:val="0ACF2A9D"/>
    <w:rsid w:val="0BA25527"/>
    <w:rsid w:val="0BE16961"/>
    <w:rsid w:val="0C3D446D"/>
    <w:rsid w:val="0C4425E4"/>
    <w:rsid w:val="0C965487"/>
    <w:rsid w:val="0D447B0D"/>
    <w:rsid w:val="0D9F625A"/>
    <w:rsid w:val="0DCE56F1"/>
    <w:rsid w:val="0DD51C7C"/>
    <w:rsid w:val="0E7E068E"/>
    <w:rsid w:val="0F85348C"/>
    <w:rsid w:val="0FD03043"/>
    <w:rsid w:val="0FD35E5A"/>
    <w:rsid w:val="0FEE6D60"/>
    <w:rsid w:val="10246EEB"/>
    <w:rsid w:val="10920980"/>
    <w:rsid w:val="11154EB9"/>
    <w:rsid w:val="11591CC1"/>
    <w:rsid w:val="11F86147"/>
    <w:rsid w:val="12277EBF"/>
    <w:rsid w:val="12380A2C"/>
    <w:rsid w:val="131F6A64"/>
    <w:rsid w:val="133F535E"/>
    <w:rsid w:val="13946040"/>
    <w:rsid w:val="13AE58FF"/>
    <w:rsid w:val="13B55CD9"/>
    <w:rsid w:val="14655B03"/>
    <w:rsid w:val="14665D2B"/>
    <w:rsid w:val="147026FF"/>
    <w:rsid w:val="14967309"/>
    <w:rsid w:val="152D172E"/>
    <w:rsid w:val="15B10A96"/>
    <w:rsid w:val="16067913"/>
    <w:rsid w:val="1638549E"/>
    <w:rsid w:val="166974BA"/>
    <w:rsid w:val="171B594B"/>
    <w:rsid w:val="175569B5"/>
    <w:rsid w:val="17A55114"/>
    <w:rsid w:val="18B7465F"/>
    <w:rsid w:val="19006747"/>
    <w:rsid w:val="19426B32"/>
    <w:rsid w:val="196A7827"/>
    <w:rsid w:val="1AF71A6A"/>
    <w:rsid w:val="1B6E7182"/>
    <w:rsid w:val="1B813B2A"/>
    <w:rsid w:val="1BB36E25"/>
    <w:rsid w:val="1C054FE1"/>
    <w:rsid w:val="1C374CEE"/>
    <w:rsid w:val="1CE42741"/>
    <w:rsid w:val="1D805136"/>
    <w:rsid w:val="1D9408A9"/>
    <w:rsid w:val="1D9C4FE8"/>
    <w:rsid w:val="1DCE506F"/>
    <w:rsid w:val="1E2F3219"/>
    <w:rsid w:val="1E6D231E"/>
    <w:rsid w:val="1F383EAA"/>
    <w:rsid w:val="1F9E45C4"/>
    <w:rsid w:val="1F9F5734"/>
    <w:rsid w:val="20990D5C"/>
    <w:rsid w:val="214C004F"/>
    <w:rsid w:val="219F0278"/>
    <w:rsid w:val="21CF5D11"/>
    <w:rsid w:val="21E4263A"/>
    <w:rsid w:val="22243C68"/>
    <w:rsid w:val="22AC1FC1"/>
    <w:rsid w:val="23762B04"/>
    <w:rsid w:val="2485550E"/>
    <w:rsid w:val="24BC6CD6"/>
    <w:rsid w:val="2514007B"/>
    <w:rsid w:val="2543051F"/>
    <w:rsid w:val="25B7597E"/>
    <w:rsid w:val="25E666D4"/>
    <w:rsid w:val="27186A29"/>
    <w:rsid w:val="27731D61"/>
    <w:rsid w:val="27C80910"/>
    <w:rsid w:val="27FF0D84"/>
    <w:rsid w:val="283F090E"/>
    <w:rsid w:val="28532C42"/>
    <w:rsid w:val="28720817"/>
    <w:rsid w:val="289A5F47"/>
    <w:rsid w:val="290B259E"/>
    <w:rsid w:val="2A042857"/>
    <w:rsid w:val="2A921AFD"/>
    <w:rsid w:val="2AB60BE1"/>
    <w:rsid w:val="2B06197D"/>
    <w:rsid w:val="2B1B5EBA"/>
    <w:rsid w:val="2B605EB4"/>
    <w:rsid w:val="2BBD5338"/>
    <w:rsid w:val="2C411FCC"/>
    <w:rsid w:val="2C5F50DB"/>
    <w:rsid w:val="2D940DB4"/>
    <w:rsid w:val="2DBC4DAE"/>
    <w:rsid w:val="2DC3088C"/>
    <w:rsid w:val="2DC350DF"/>
    <w:rsid w:val="2DCE0AF2"/>
    <w:rsid w:val="2DFC6E56"/>
    <w:rsid w:val="2E8F7656"/>
    <w:rsid w:val="2EA63A0F"/>
    <w:rsid w:val="2F0C5455"/>
    <w:rsid w:val="2F41530C"/>
    <w:rsid w:val="2F996C58"/>
    <w:rsid w:val="30A77D89"/>
    <w:rsid w:val="31104BF6"/>
    <w:rsid w:val="312E32A7"/>
    <w:rsid w:val="31D818B8"/>
    <w:rsid w:val="3236068C"/>
    <w:rsid w:val="32404710"/>
    <w:rsid w:val="32E57A51"/>
    <w:rsid w:val="335E09E2"/>
    <w:rsid w:val="33A56CF0"/>
    <w:rsid w:val="33C817B8"/>
    <w:rsid w:val="33EB36F8"/>
    <w:rsid w:val="33F203C2"/>
    <w:rsid w:val="34565015"/>
    <w:rsid w:val="348E0C53"/>
    <w:rsid w:val="34E72409"/>
    <w:rsid w:val="353F12CA"/>
    <w:rsid w:val="356304B3"/>
    <w:rsid w:val="357B7513"/>
    <w:rsid w:val="35B013E4"/>
    <w:rsid w:val="36A466B8"/>
    <w:rsid w:val="37226DDB"/>
    <w:rsid w:val="380717DD"/>
    <w:rsid w:val="381B4426"/>
    <w:rsid w:val="38DE2266"/>
    <w:rsid w:val="390678C8"/>
    <w:rsid w:val="394B2B83"/>
    <w:rsid w:val="3A0F1731"/>
    <w:rsid w:val="3A181DA4"/>
    <w:rsid w:val="3BAD6437"/>
    <w:rsid w:val="3CBA010B"/>
    <w:rsid w:val="3CDC1016"/>
    <w:rsid w:val="3D0B1155"/>
    <w:rsid w:val="3DC13DFE"/>
    <w:rsid w:val="3DFC66A9"/>
    <w:rsid w:val="3E6419CA"/>
    <w:rsid w:val="3E664A4F"/>
    <w:rsid w:val="3E6D29DC"/>
    <w:rsid w:val="3E734A16"/>
    <w:rsid w:val="3EE4295B"/>
    <w:rsid w:val="3EE90647"/>
    <w:rsid w:val="3F9154E9"/>
    <w:rsid w:val="3F9E6A6C"/>
    <w:rsid w:val="40866C82"/>
    <w:rsid w:val="40F0234E"/>
    <w:rsid w:val="41A74D33"/>
    <w:rsid w:val="41C214BA"/>
    <w:rsid w:val="43052EED"/>
    <w:rsid w:val="430A7323"/>
    <w:rsid w:val="43D25E19"/>
    <w:rsid w:val="44016E00"/>
    <w:rsid w:val="4561381A"/>
    <w:rsid w:val="45C84F75"/>
    <w:rsid w:val="45F36B68"/>
    <w:rsid w:val="4602366E"/>
    <w:rsid w:val="465075E8"/>
    <w:rsid w:val="465B64BB"/>
    <w:rsid w:val="46794B93"/>
    <w:rsid w:val="46F030A7"/>
    <w:rsid w:val="47E349AA"/>
    <w:rsid w:val="48952CC4"/>
    <w:rsid w:val="48BD62E3"/>
    <w:rsid w:val="49235C74"/>
    <w:rsid w:val="49E26D97"/>
    <w:rsid w:val="4AA5064D"/>
    <w:rsid w:val="4AF94E45"/>
    <w:rsid w:val="4B225894"/>
    <w:rsid w:val="4C94180E"/>
    <w:rsid w:val="4CE05895"/>
    <w:rsid w:val="4CE468EB"/>
    <w:rsid w:val="4D07739D"/>
    <w:rsid w:val="4D8F5C27"/>
    <w:rsid w:val="4DCB44B3"/>
    <w:rsid w:val="4DF3322E"/>
    <w:rsid w:val="4DF571F5"/>
    <w:rsid w:val="4E3D59A8"/>
    <w:rsid w:val="4E65437B"/>
    <w:rsid w:val="4E661EA1"/>
    <w:rsid w:val="4EBE3C7D"/>
    <w:rsid w:val="4EDF67ED"/>
    <w:rsid w:val="4F6014C5"/>
    <w:rsid w:val="509004E5"/>
    <w:rsid w:val="509100C5"/>
    <w:rsid w:val="50D70E34"/>
    <w:rsid w:val="50E36E1E"/>
    <w:rsid w:val="50FB4B23"/>
    <w:rsid w:val="50FC3928"/>
    <w:rsid w:val="51262B5F"/>
    <w:rsid w:val="516F56DB"/>
    <w:rsid w:val="51B65975"/>
    <w:rsid w:val="51F34E8F"/>
    <w:rsid w:val="522050A7"/>
    <w:rsid w:val="52B048AE"/>
    <w:rsid w:val="52CC7E79"/>
    <w:rsid w:val="546F6579"/>
    <w:rsid w:val="54CD1549"/>
    <w:rsid w:val="556A04C9"/>
    <w:rsid w:val="55895B0A"/>
    <w:rsid w:val="56CA56C3"/>
    <w:rsid w:val="56E86CBA"/>
    <w:rsid w:val="57B10631"/>
    <w:rsid w:val="57D309D1"/>
    <w:rsid w:val="582C1D96"/>
    <w:rsid w:val="58506CA2"/>
    <w:rsid w:val="589F272F"/>
    <w:rsid w:val="5970506E"/>
    <w:rsid w:val="59DB6922"/>
    <w:rsid w:val="5A3B2434"/>
    <w:rsid w:val="5A6B7B7B"/>
    <w:rsid w:val="5AB83A84"/>
    <w:rsid w:val="5BD95175"/>
    <w:rsid w:val="5CDD5A24"/>
    <w:rsid w:val="5D843236"/>
    <w:rsid w:val="5DCC01B2"/>
    <w:rsid w:val="5DE771D4"/>
    <w:rsid w:val="5E120461"/>
    <w:rsid w:val="5E1D5979"/>
    <w:rsid w:val="5E4F4B2B"/>
    <w:rsid w:val="5E5A4536"/>
    <w:rsid w:val="5E7B72A3"/>
    <w:rsid w:val="5E960581"/>
    <w:rsid w:val="5EBC3790"/>
    <w:rsid w:val="5F9A2F21"/>
    <w:rsid w:val="60716BAF"/>
    <w:rsid w:val="60D95424"/>
    <w:rsid w:val="61502C69"/>
    <w:rsid w:val="61981CE1"/>
    <w:rsid w:val="61E433B1"/>
    <w:rsid w:val="62242D80"/>
    <w:rsid w:val="629A593D"/>
    <w:rsid w:val="62C56D45"/>
    <w:rsid w:val="62D578C9"/>
    <w:rsid w:val="63015223"/>
    <w:rsid w:val="632E0263"/>
    <w:rsid w:val="63493E13"/>
    <w:rsid w:val="63925DD9"/>
    <w:rsid w:val="63DD71A4"/>
    <w:rsid w:val="64957EB7"/>
    <w:rsid w:val="64B74DAD"/>
    <w:rsid w:val="64E02555"/>
    <w:rsid w:val="65276693"/>
    <w:rsid w:val="655C2EB5"/>
    <w:rsid w:val="65717652"/>
    <w:rsid w:val="65725D9A"/>
    <w:rsid w:val="66D3486C"/>
    <w:rsid w:val="67020A40"/>
    <w:rsid w:val="69630FF7"/>
    <w:rsid w:val="69C133C0"/>
    <w:rsid w:val="69CB54F8"/>
    <w:rsid w:val="6A507835"/>
    <w:rsid w:val="6A6432E1"/>
    <w:rsid w:val="6A6B1D29"/>
    <w:rsid w:val="6A7A1CD9"/>
    <w:rsid w:val="6AFC72F5"/>
    <w:rsid w:val="6BF660A3"/>
    <w:rsid w:val="6BFC62BD"/>
    <w:rsid w:val="6C064857"/>
    <w:rsid w:val="6C2C6257"/>
    <w:rsid w:val="6D036DE1"/>
    <w:rsid w:val="6D9E1FD5"/>
    <w:rsid w:val="6DF322BB"/>
    <w:rsid w:val="6DF52051"/>
    <w:rsid w:val="6E2C2368"/>
    <w:rsid w:val="6E4E719B"/>
    <w:rsid w:val="6F4E12A8"/>
    <w:rsid w:val="6F7C5766"/>
    <w:rsid w:val="6FAA5C3A"/>
    <w:rsid w:val="70132954"/>
    <w:rsid w:val="701F7910"/>
    <w:rsid w:val="703C16AA"/>
    <w:rsid w:val="713A123F"/>
    <w:rsid w:val="722752AC"/>
    <w:rsid w:val="72347A3D"/>
    <w:rsid w:val="73DE4104"/>
    <w:rsid w:val="73E62421"/>
    <w:rsid w:val="74DF6386"/>
    <w:rsid w:val="74F271F3"/>
    <w:rsid w:val="75130554"/>
    <w:rsid w:val="75175B20"/>
    <w:rsid w:val="75391849"/>
    <w:rsid w:val="75661D01"/>
    <w:rsid w:val="763C6CB5"/>
    <w:rsid w:val="76782034"/>
    <w:rsid w:val="76DF08BF"/>
    <w:rsid w:val="77931841"/>
    <w:rsid w:val="78160310"/>
    <w:rsid w:val="786A41B8"/>
    <w:rsid w:val="78777194"/>
    <w:rsid w:val="78CF4579"/>
    <w:rsid w:val="78EE4DE9"/>
    <w:rsid w:val="79640A12"/>
    <w:rsid w:val="798561A1"/>
    <w:rsid w:val="798B7E60"/>
    <w:rsid w:val="7A544EF9"/>
    <w:rsid w:val="7A5F6F59"/>
    <w:rsid w:val="7A8C3371"/>
    <w:rsid w:val="7A982578"/>
    <w:rsid w:val="7AEE7B5F"/>
    <w:rsid w:val="7B546EC9"/>
    <w:rsid w:val="7B5A6766"/>
    <w:rsid w:val="7C0151BF"/>
    <w:rsid w:val="7CB208D4"/>
    <w:rsid w:val="7CD07875"/>
    <w:rsid w:val="7D6F0E77"/>
    <w:rsid w:val="7D976B6F"/>
    <w:rsid w:val="7DE73695"/>
    <w:rsid w:val="7DEF6C48"/>
    <w:rsid w:val="7E11044F"/>
    <w:rsid w:val="7E3D0F12"/>
    <w:rsid w:val="7ED8079A"/>
    <w:rsid w:val="7EF2556E"/>
    <w:rsid w:val="7FAA3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1"/>
    <w:qFormat/>
    <w:uiPriority w:val="0"/>
    <w:pPr>
      <w:keepNext/>
      <w:keepLines/>
      <w:spacing w:before="260" w:after="260"/>
      <w:jc w:val="center"/>
      <w:outlineLvl w:val="1"/>
    </w:pPr>
    <w:rPr>
      <w:rFonts w:ascii="黑体" w:hAnsi="宋体" w:eastAsia="宋体" w:cs="Times New Roman"/>
      <w:b/>
      <w:sz w:val="24"/>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lang w:val="zh-CN"/>
    </w:rPr>
  </w:style>
  <w:style w:type="paragraph" w:styleId="3">
    <w:name w:val="Body Text First Indent 2"/>
    <w:basedOn w:val="4"/>
    <w:next w:val="2"/>
    <w:qFormat/>
    <w:uiPriority w:val="0"/>
    <w:pPr>
      <w:tabs>
        <w:tab w:val="left" w:pos="945"/>
        <w:tab w:val="left" w:pos="1155"/>
      </w:tabs>
      <w:spacing w:after="120" w:line="240" w:lineRule="auto"/>
      <w:ind w:left="420" w:leftChars="200" w:firstLine="420" w:firstLineChars="200"/>
    </w:pPr>
  </w:style>
  <w:style w:type="paragraph" w:styleId="4">
    <w:name w:val="Body Text Indent"/>
    <w:basedOn w:val="1"/>
    <w:next w:val="3"/>
    <w:link w:val="23"/>
    <w:qFormat/>
    <w:uiPriority w:val="0"/>
    <w:pPr>
      <w:spacing w:line="360" w:lineRule="exact"/>
      <w:ind w:left="346" w:leftChars="165"/>
    </w:pPr>
    <w:rPr>
      <w:rFonts w:ascii="Times New Roman" w:hAnsi="Times New Roman" w:eastAsia="宋体" w:cs="Times New Roman"/>
      <w:sz w:val="24"/>
      <w:szCs w:val="21"/>
    </w:rPr>
  </w:style>
  <w:style w:type="paragraph" w:styleId="7">
    <w:name w:val="annotation text"/>
    <w:basedOn w:val="1"/>
    <w:link w:val="18"/>
    <w:semiHidden/>
    <w:unhideWhenUsed/>
    <w:qFormat/>
    <w:uiPriority w:val="99"/>
    <w:pPr>
      <w:jc w:val="left"/>
    </w:p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19"/>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10"/>
    <w:qFormat/>
    <w:uiPriority w:val="0"/>
    <w:rPr>
      <w:sz w:val="18"/>
      <w:szCs w:val="18"/>
    </w:rPr>
  </w:style>
  <w:style w:type="character" w:customStyle="1" w:styleId="16">
    <w:name w:val="页脚 Char"/>
    <w:basedOn w:val="13"/>
    <w:link w:val="9"/>
    <w:qFormat/>
    <w:uiPriority w:val="99"/>
    <w:rPr>
      <w:sz w:val="18"/>
      <w:szCs w:val="18"/>
    </w:rPr>
  </w:style>
  <w:style w:type="character" w:customStyle="1" w:styleId="17">
    <w:name w:val="批注框文本 Char"/>
    <w:basedOn w:val="13"/>
    <w:link w:val="8"/>
    <w:semiHidden/>
    <w:qFormat/>
    <w:uiPriority w:val="99"/>
    <w:rPr>
      <w:sz w:val="18"/>
      <w:szCs w:val="18"/>
    </w:rPr>
  </w:style>
  <w:style w:type="character" w:customStyle="1" w:styleId="18">
    <w:name w:val="批注文字 Char"/>
    <w:basedOn w:val="13"/>
    <w:link w:val="7"/>
    <w:semiHidden/>
    <w:qFormat/>
    <w:uiPriority w:val="99"/>
  </w:style>
  <w:style w:type="character" w:customStyle="1" w:styleId="19">
    <w:name w:val="批注主题 Char"/>
    <w:basedOn w:val="18"/>
    <w:link w:val="11"/>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标题 2 Char"/>
    <w:basedOn w:val="13"/>
    <w:link w:val="6"/>
    <w:qFormat/>
    <w:uiPriority w:val="0"/>
    <w:rPr>
      <w:rFonts w:ascii="黑体" w:hAnsi="宋体" w:eastAsia="宋体" w:cs="Times New Roman"/>
      <w:b/>
      <w:kern w:val="2"/>
      <w:sz w:val="24"/>
      <w:szCs w:val="32"/>
    </w:rPr>
  </w:style>
  <w:style w:type="character" w:customStyle="1" w:styleId="22">
    <w:name w:val="标题 1 Char"/>
    <w:basedOn w:val="13"/>
    <w:link w:val="5"/>
    <w:qFormat/>
    <w:uiPriority w:val="9"/>
    <w:rPr>
      <w:b/>
      <w:bCs/>
      <w:kern w:val="44"/>
      <w:sz w:val="44"/>
      <w:szCs w:val="44"/>
    </w:rPr>
  </w:style>
  <w:style w:type="character" w:customStyle="1" w:styleId="23">
    <w:name w:val="正文文本缩进 Char"/>
    <w:basedOn w:val="13"/>
    <w:link w:val="4"/>
    <w:qFormat/>
    <w:uiPriority w:val="0"/>
    <w:rPr>
      <w:rFonts w:ascii="Times New Roman" w:hAnsi="Times New Roman" w:eastAsia="宋体" w:cs="Times New Roman"/>
      <w:kern w:val="2"/>
      <w:sz w:val="24"/>
      <w:szCs w:val="21"/>
    </w:rPr>
  </w:style>
  <w:style w:type="paragraph" w:styleId="24">
    <w:name w:val="List Paragraph"/>
    <w:basedOn w:val="1"/>
    <w:qFormat/>
    <w:uiPriority w:val="99"/>
    <w:pPr>
      <w:ind w:firstLine="420" w:firstLineChars="200"/>
    </w:pPr>
    <w:rPr>
      <w:rFonts w:ascii="Times New Roman" w:hAnsi="Times New Roman" w:eastAsia="宋体" w:cs="Times New Roman"/>
      <w:szCs w:val="24"/>
    </w:rPr>
  </w:style>
  <w:style w:type="paragraph" w:customStyle="1" w:styleId="2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65351A-599F-469C-9DF4-43619253C3B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2596</Words>
  <Characters>14798</Characters>
  <Lines>123</Lines>
  <Paragraphs>34</Paragraphs>
  <TotalTime>9</TotalTime>
  <ScaleCrop>false</ScaleCrop>
  <LinksUpToDate>false</LinksUpToDate>
  <CharactersWithSpaces>17360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2023-03-28T23:58:00Z</dcterms:created>
  <dc:creator>SSM</dc:creator>
  <cp:lastModifiedBy>傻笑</cp:lastModifiedBy>
  <cp:lastPrinted>2023-04-03T01:13:00Z</cp:lastPrinted>
  <dcterms:modified xsi:type="dcterms:W3CDTF">2023-12-25T03:27:18Z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535129C2B99A4389AB7FE984C13072AA</vt:lpwstr>
  </property>
</Properties>
</file>