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8DB21E">
      <w:pPr>
        <w:pageBreakBefore w:val="0"/>
        <w:kinsoku/>
        <w:wordWrap w:val="0"/>
        <w:overflowPunct/>
        <w:bidi w:val="0"/>
        <w:spacing w:line="360" w:lineRule="auto"/>
        <w:jc w:val="center"/>
        <w:rPr>
          <w:rFonts w:hint="eastAsia" w:ascii="宋体" w:hAnsi="宋体" w:eastAsia="宋体" w:cs="宋体"/>
          <w:b/>
          <w:color w:val="auto"/>
          <w:sz w:val="48"/>
          <w:szCs w:val="96"/>
          <w:lang w:eastAsia="zh-CN"/>
        </w:rPr>
      </w:pPr>
    </w:p>
    <w:p w14:paraId="1380AE3F">
      <w:pPr>
        <w:pageBreakBefore w:val="0"/>
        <w:kinsoku/>
        <w:wordWrap w:val="0"/>
        <w:overflowPunct/>
        <w:bidi w:val="0"/>
        <w:spacing w:line="360" w:lineRule="auto"/>
        <w:jc w:val="center"/>
        <w:rPr>
          <w:rFonts w:hint="eastAsia" w:ascii="宋体" w:hAnsi="宋体" w:cs="宋体"/>
          <w:b/>
          <w:color w:val="auto"/>
          <w:sz w:val="56"/>
          <w:szCs w:val="160"/>
          <w:lang w:eastAsia="zh-CN"/>
        </w:rPr>
      </w:pPr>
      <w:r>
        <w:rPr>
          <w:rFonts w:hint="eastAsia" w:ascii="宋体" w:hAnsi="宋体" w:cs="宋体"/>
          <w:b/>
          <w:color w:val="auto"/>
          <w:sz w:val="56"/>
          <w:szCs w:val="160"/>
          <w:lang w:eastAsia="zh-CN"/>
        </w:rPr>
        <w:t>国有固始林场2025年森林可持续经营试点任务资金项目</w:t>
      </w:r>
    </w:p>
    <w:p w14:paraId="370749BC">
      <w:pPr>
        <w:rPr>
          <w:rFonts w:hint="eastAsia"/>
          <w:color w:val="auto"/>
          <w:lang w:eastAsia="zh-CN"/>
        </w:rPr>
      </w:pPr>
    </w:p>
    <w:p w14:paraId="65F050E9">
      <w:pPr>
        <w:pageBreakBefore w:val="0"/>
        <w:kinsoku/>
        <w:wordWrap w:val="0"/>
        <w:overflowPunct/>
        <w:bidi w:val="0"/>
        <w:spacing w:line="360" w:lineRule="auto"/>
        <w:jc w:val="center"/>
        <w:rPr>
          <w:rFonts w:hint="eastAsia" w:ascii="宋体" w:hAnsi="宋体" w:eastAsia="宋体" w:cs="宋体"/>
          <w:color w:val="auto"/>
          <w:szCs w:val="21"/>
        </w:rPr>
      </w:pPr>
      <w:r>
        <w:rPr>
          <w:rFonts w:hint="eastAsia" w:ascii="宋体" w:hAnsi="宋体" w:eastAsia="宋体" w:cs="宋体"/>
          <w:b/>
          <w:color w:val="auto"/>
          <w:sz w:val="72"/>
          <w:szCs w:val="72"/>
        </w:rPr>
        <w:t>竞争性磋商文件</w:t>
      </w:r>
    </w:p>
    <w:p w14:paraId="5EC48593">
      <w:pPr>
        <w:pageBreakBefore w:val="0"/>
        <w:kinsoku/>
        <w:wordWrap w:val="0"/>
        <w:overflowPunct/>
        <w:bidi w:val="0"/>
        <w:spacing w:line="360" w:lineRule="auto"/>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rPr>
        <w:t>采购编号：</w:t>
      </w:r>
      <w:r>
        <w:rPr>
          <w:rFonts w:hint="eastAsia" w:ascii="宋体" w:hAnsi="宋体" w:cs="宋体"/>
          <w:b/>
          <w:color w:val="auto"/>
          <w:sz w:val="32"/>
          <w:szCs w:val="32"/>
          <w:lang w:val="en-US" w:eastAsia="zh-CN"/>
        </w:rPr>
        <w:t>固财磋商采购-2025-37</w:t>
      </w:r>
    </w:p>
    <w:p w14:paraId="05E735F9">
      <w:pPr>
        <w:pStyle w:val="3"/>
        <w:rPr>
          <w:rFonts w:hint="eastAsia" w:ascii="宋体" w:hAnsi="宋体" w:eastAsia="宋体" w:cs="宋体"/>
          <w:color w:val="auto"/>
          <w:lang w:val="en-US" w:eastAsia="zh-CN"/>
        </w:rPr>
      </w:pPr>
    </w:p>
    <w:p w14:paraId="3E3C3BB9">
      <w:pPr>
        <w:pageBreakBefore w:val="0"/>
        <w:kinsoku/>
        <w:wordWrap w:val="0"/>
        <w:overflowPunct/>
        <w:bidi w:val="0"/>
        <w:spacing w:line="720" w:lineRule="auto"/>
        <w:ind w:left="0" w:leftChars="0" w:firstLine="0" w:firstLineChars="0"/>
        <w:jc w:val="center"/>
        <w:rPr>
          <w:rFonts w:hint="eastAsia" w:ascii="宋体" w:hAnsi="宋体" w:eastAsia="宋体" w:cs="宋体"/>
          <w:b/>
          <w:color w:val="auto"/>
          <w:sz w:val="30"/>
          <w:szCs w:val="30"/>
          <w:lang w:eastAsia="zh-CN"/>
        </w:rPr>
      </w:pPr>
    </w:p>
    <w:p w14:paraId="75153E0B">
      <w:pPr>
        <w:pStyle w:val="23"/>
        <w:rPr>
          <w:rFonts w:hint="eastAsia" w:ascii="宋体" w:hAnsi="宋体" w:eastAsia="宋体" w:cs="宋体"/>
          <w:b/>
          <w:color w:val="auto"/>
          <w:sz w:val="30"/>
          <w:szCs w:val="30"/>
          <w:lang w:eastAsia="zh-CN"/>
        </w:rPr>
      </w:pPr>
    </w:p>
    <w:p w14:paraId="4CCC8405">
      <w:pPr>
        <w:pStyle w:val="69"/>
        <w:rPr>
          <w:rFonts w:hint="eastAsia" w:ascii="宋体" w:hAnsi="宋体" w:eastAsia="宋体" w:cs="宋体"/>
          <w:b/>
          <w:color w:val="auto"/>
          <w:sz w:val="30"/>
          <w:szCs w:val="30"/>
          <w:lang w:eastAsia="zh-CN"/>
        </w:rPr>
      </w:pPr>
    </w:p>
    <w:p w14:paraId="3C63AD69">
      <w:pPr>
        <w:pStyle w:val="13"/>
        <w:rPr>
          <w:rFonts w:hint="eastAsia" w:ascii="宋体" w:hAnsi="宋体" w:eastAsia="宋体" w:cs="宋体"/>
          <w:b/>
          <w:color w:val="auto"/>
          <w:sz w:val="30"/>
          <w:szCs w:val="30"/>
          <w:lang w:eastAsia="zh-CN"/>
        </w:rPr>
      </w:pPr>
    </w:p>
    <w:p w14:paraId="7A4F4751">
      <w:pPr>
        <w:rPr>
          <w:rFonts w:hint="eastAsia" w:ascii="宋体" w:hAnsi="宋体" w:eastAsia="宋体" w:cs="宋体"/>
          <w:b/>
          <w:color w:val="auto"/>
          <w:sz w:val="30"/>
          <w:szCs w:val="30"/>
          <w:lang w:eastAsia="zh-CN"/>
        </w:rPr>
      </w:pPr>
    </w:p>
    <w:p w14:paraId="1829DDF7">
      <w:pPr>
        <w:pStyle w:val="23"/>
        <w:rPr>
          <w:rFonts w:hint="eastAsia"/>
          <w:color w:val="auto"/>
          <w:lang w:eastAsia="zh-CN"/>
        </w:rPr>
      </w:pPr>
    </w:p>
    <w:p w14:paraId="54953453">
      <w:pPr>
        <w:rPr>
          <w:rFonts w:hint="eastAsia"/>
          <w:color w:val="auto"/>
        </w:rPr>
      </w:pPr>
    </w:p>
    <w:p w14:paraId="1AC6A53E">
      <w:pPr>
        <w:pageBreakBefore w:val="0"/>
        <w:kinsoku/>
        <w:wordWrap w:val="0"/>
        <w:overflowPunct/>
        <w:bidi w:val="0"/>
        <w:spacing w:line="720" w:lineRule="auto"/>
        <w:ind w:firstLine="1494" w:firstLineChars="496"/>
        <w:rPr>
          <w:rFonts w:hint="eastAsia" w:ascii="宋体" w:hAnsi="宋体" w:eastAsia="宋体" w:cs="宋体"/>
          <w:b/>
          <w:color w:val="auto"/>
          <w:sz w:val="30"/>
          <w:szCs w:val="30"/>
          <w:lang w:eastAsia="zh-CN"/>
        </w:rPr>
      </w:pPr>
      <w:r>
        <w:rPr>
          <w:rFonts w:hint="eastAsia" w:ascii="宋体" w:hAnsi="宋体" w:eastAsia="宋体" w:cs="宋体"/>
          <w:b/>
          <w:color w:val="auto"/>
          <w:sz w:val="30"/>
          <w:szCs w:val="30"/>
        </w:rPr>
        <w:t>采   购   人：</w:t>
      </w:r>
      <w:r>
        <w:rPr>
          <w:rFonts w:hint="eastAsia" w:ascii="宋体" w:hAnsi="宋体" w:cs="宋体"/>
          <w:b/>
          <w:color w:val="auto"/>
          <w:sz w:val="30"/>
          <w:szCs w:val="30"/>
          <w:lang w:eastAsia="zh-CN"/>
        </w:rPr>
        <w:t>国有固始林场</w:t>
      </w:r>
    </w:p>
    <w:p w14:paraId="13D01AAA">
      <w:pPr>
        <w:pageBreakBefore w:val="0"/>
        <w:kinsoku/>
        <w:wordWrap w:val="0"/>
        <w:overflowPunct/>
        <w:bidi w:val="0"/>
        <w:spacing w:line="720" w:lineRule="auto"/>
        <w:ind w:firstLine="1494" w:firstLineChars="496"/>
        <w:rPr>
          <w:rFonts w:hint="eastAsia" w:ascii="宋体" w:hAnsi="宋体" w:eastAsia="宋体" w:cs="宋体"/>
          <w:b/>
          <w:color w:val="auto"/>
          <w:sz w:val="30"/>
          <w:szCs w:val="30"/>
          <w:lang w:eastAsia="zh-CN"/>
        </w:rPr>
      </w:pPr>
      <w:r>
        <w:rPr>
          <w:rFonts w:hint="eastAsia" w:ascii="宋体" w:hAnsi="宋体" w:eastAsia="宋体" w:cs="宋体"/>
          <w:b/>
          <w:color w:val="auto"/>
          <w:sz w:val="30"/>
          <w:szCs w:val="30"/>
        </w:rPr>
        <w:t>采购代理机构：</w:t>
      </w:r>
      <w:r>
        <w:rPr>
          <w:rFonts w:hint="eastAsia" w:ascii="宋体" w:hAnsi="宋体" w:cs="宋体"/>
          <w:b/>
          <w:color w:val="auto"/>
          <w:sz w:val="30"/>
          <w:szCs w:val="30"/>
          <w:lang w:eastAsia="zh-CN"/>
        </w:rPr>
        <w:t>河南峻嘉工程管理有限公司</w:t>
      </w:r>
    </w:p>
    <w:p w14:paraId="1CD612B7">
      <w:pPr>
        <w:pageBreakBefore w:val="0"/>
        <w:kinsoku/>
        <w:wordWrap w:val="0"/>
        <w:overflowPunct/>
        <w:bidi w:val="0"/>
        <w:spacing w:line="720" w:lineRule="auto"/>
        <w:ind w:firstLine="1494" w:firstLineChars="496"/>
        <w:rPr>
          <w:rFonts w:hint="eastAsia" w:ascii="宋体" w:hAnsi="宋体" w:eastAsia="宋体" w:cs="宋体"/>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0" w:gutter="0"/>
          <w:pgNumType w:start="1"/>
          <w:cols w:space="720" w:num="1"/>
          <w:titlePg/>
          <w:docGrid w:linePitch="312" w:charSpace="0"/>
        </w:sectPr>
      </w:pPr>
      <w:r>
        <w:rPr>
          <w:rFonts w:hint="eastAsia" w:ascii="宋体" w:hAnsi="宋体" w:eastAsia="宋体" w:cs="宋体"/>
          <w:b/>
          <w:color w:val="auto"/>
          <w:sz w:val="30"/>
          <w:szCs w:val="30"/>
        </w:rPr>
        <w:t>日        期：二〇二</w:t>
      </w:r>
      <w:r>
        <w:rPr>
          <w:rFonts w:hint="eastAsia" w:ascii="宋体" w:hAnsi="宋体" w:cs="宋体"/>
          <w:b/>
          <w:color w:val="auto"/>
          <w:sz w:val="30"/>
          <w:szCs w:val="30"/>
          <w:lang w:val="en-US" w:eastAsia="zh-CN"/>
        </w:rPr>
        <w:t>五</w:t>
      </w:r>
      <w:r>
        <w:rPr>
          <w:rFonts w:hint="eastAsia" w:ascii="宋体" w:hAnsi="宋体" w:eastAsia="宋体" w:cs="宋体"/>
          <w:b/>
          <w:color w:val="auto"/>
          <w:sz w:val="30"/>
          <w:szCs w:val="30"/>
        </w:rPr>
        <w:t>年</w:t>
      </w:r>
      <w:r>
        <w:rPr>
          <w:rFonts w:hint="eastAsia" w:ascii="宋体" w:hAnsi="宋体" w:cs="宋体"/>
          <w:b/>
          <w:color w:val="auto"/>
          <w:sz w:val="30"/>
          <w:szCs w:val="30"/>
          <w:lang w:val="en-US" w:eastAsia="zh-CN"/>
        </w:rPr>
        <w:t>九</w:t>
      </w:r>
      <w:r>
        <w:rPr>
          <w:rFonts w:hint="eastAsia" w:ascii="宋体" w:hAnsi="宋体" w:eastAsia="宋体" w:cs="宋体"/>
          <w:b/>
          <w:color w:val="auto"/>
          <w:sz w:val="30"/>
          <w:szCs w:val="30"/>
        </w:rPr>
        <w:t>月</w:t>
      </w:r>
    </w:p>
    <w:p w14:paraId="0FC042FC">
      <w:pPr>
        <w:pStyle w:val="40"/>
        <w:pageBreakBefore w:val="0"/>
        <w:tabs>
          <w:tab w:val="right" w:leader="dot" w:pos="9412"/>
          <w:tab w:val="clear" w:pos="8778"/>
        </w:tabs>
        <w:kinsoku/>
        <w:wordWrap w:val="0"/>
        <w:overflowPunct/>
        <w:bidi w:val="0"/>
        <w:rPr>
          <w:rFonts w:hint="eastAsia" w:ascii="宋体" w:hAnsi="宋体" w:eastAsia="宋体" w:cs="宋体"/>
          <w:bCs w:val="0"/>
          <w:iCs w:val="0"/>
          <w:caps w:val="0"/>
          <w:color w:val="auto"/>
          <w:sz w:val="28"/>
          <w:szCs w:val="48"/>
        </w:rPr>
      </w:pPr>
      <w:bookmarkStart w:id="0" w:name="_Toc246996899"/>
      <w:bookmarkStart w:id="1" w:name="_Toc246996156"/>
      <w:bookmarkStart w:id="2" w:name="_Toc247085670"/>
      <w:r>
        <w:rPr>
          <w:rFonts w:hint="eastAsia" w:ascii="宋体" w:hAnsi="宋体" w:eastAsia="宋体" w:cs="宋体"/>
          <w:bCs w:val="0"/>
          <w:iCs w:val="0"/>
          <w:caps w:val="0"/>
          <w:color w:val="auto"/>
          <w:sz w:val="28"/>
          <w:szCs w:val="48"/>
        </w:rPr>
        <w:t>目     录</w:t>
      </w:r>
      <w:bookmarkEnd w:id="0"/>
      <w:bookmarkEnd w:id="1"/>
      <w:bookmarkEnd w:id="2"/>
    </w:p>
    <w:p w14:paraId="78624449">
      <w:pPr>
        <w:pStyle w:val="40"/>
        <w:pageBreakBefore w:val="0"/>
        <w:tabs>
          <w:tab w:val="right" w:leader="dot" w:pos="9412"/>
          <w:tab w:val="clear" w:pos="8778"/>
        </w:tabs>
        <w:kinsoku/>
        <w:wordWrap w:val="0"/>
        <w:overflowPunct/>
        <w:bidi w:val="0"/>
        <w:rPr>
          <w:rFonts w:hint="eastAsia" w:ascii="宋体" w:hAnsi="宋体" w:eastAsia="宋体" w:cs="宋体"/>
          <w:b w:val="0"/>
          <w:bCs w:val="0"/>
          <w:iCs w:val="0"/>
          <w:caps w:val="0"/>
          <w:color w:val="auto"/>
          <w:sz w:val="36"/>
          <w:szCs w:val="36"/>
        </w:rPr>
      </w:pPr>
    </w:p>
    <w:p w14:paraId="5DDB675E">
      <w:pPr>
        <w:pStyle w:val="40"/>
        <w:pageBreakBefore w:val="0"/>
        <w:tabs>
          <w:tab w:val="right" w:leader="dot" w:pos="9070"/>
          <w:tab w:val="clear" w:pos="8778"/>
        </w:tabs>
        <w:kinsoku/>
        <w:wordWrap w:val="0"/>
        <w:overflowPunct/>
        <w:bidi w:val="0"/>
        <w:rPr>
          <w:rFonts w:hint="eastAsia" w:ascii="宋体" w:hAnsi="宋体" w:eastAsia="宋体" w:cs="宋体"/>
          <w:color w:val="auto"/>
          <w:sz w:val="28"/>
          <w:szCs w:val="48"/>
        </w:rPr>
      </w:pP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TOC \o "1-1" \h \u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HYPERLINK \l _Toc2362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lang w:val="en-US" w:eastAsia="zh-CN"/>
        </w:rPr>
        <w:t>第一章 竞争性磋商公告</w:t>
      </w:r>
      <w:r>
        <w:rPr>
          <w:rFonts w:hint="eastAsia" w:ascii="宋体" w:hAnsi="宋体" w:eastAsia="宋体" w:cs="宋体"/>
          <w:color w:val="auto"/>
          <w:sz w:val="28"/>
          <w:szCs w:val="48"/>
        </w:rPr>
        <w:tab/>
      </w: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PAGEREF _Toc2362 \h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t>3</w:t>
      </w:r>
      <w:r>
        <w:rPr>
          <w:rFonts w:hint="eastAsia" w:ascii="宋体" w:hAnsi="宋体" w:eastAsia="宋体" w:cs="宋体"/>
          <w:color w:val="auto"/>
          <w:sz w:val="28"/>
          <w:szCs w:val="48"/>
        </w:rPr>
        <w:fldChar w:fldCharType="end"/>
      </w:r>
      <w:r>
        <w:rPr>
          <w:rFonts w:hint="eastAsia" w:ascii="宋体" w:hAnsi="宋体" w:eastAsia="宋体" w:cs="宋体"/>
          <w:color w:val="auto"/>
          <w:sz w:val="28"/>
          <w:szCs w:val="48"/>
        </w:rPr>
        <w:fldChar w:fldCharType="end"/>
      </w:r>
    </w:p>
    <w:p w14:paraId="032D699C">
      <w:pPr>
        <w:pStyle w:val="40"/>
        <w:pageBreakBefore w:val="0"/>
        <w:tabs>
          <w:tab w:val="right" w:leader="dot" w:pos="9070"/>
          <w:tab w:val="clear" w:pos="8778"/>
        </w:tabs>
        <w:kinsoku/>
        <w:wordWrap w:val="0"/>
        <w:overflowPunct/>
        <w:bidi w:val="0"/>
        <w:rPr>
          <w:rFonts w:hint="eastAsia" w:ascii="宋体" w:hAnsi="宋体" w:eastAsia="宋体" w:cs="宋体"/>
          <w:color w:val="auto"/>
          <w:sz w:val="28"/>
          <w:szCs w:val="48"/>
        </w:rPr>
      </w:pP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HYPERLINK \l _Toc26326 </w:instrText>
      </w:r>
      <w:r>
        <w:rPr>
          <w:rFonts w:hint="eastAsia" w:ascii="宋体" w:hAnsi="宋体" w:eastAsia="宋体" w:cs="宋体"/>
          <w:color w:val="auto"/>
          <w:sz w:val="28"/>
          <w:szCs w:val="48"/>
        </w:rPr>
        <w:fldChar w:fldCharType="separate"/>
      </w:r>
      <w:r>
        <w:rPr>
          <w:rFonts w:hint="eastAsia" w:ascii="宋体" w:hAnsi="宋体" w:eastAsia="宋体" w:cs="宋体"/>
          <w:bCs/>
          <w:color w:val="auto"/>
          <w:kern w:val="44"/>
          <w:sz w:val="28"/>
          <w:szCs w:val="56"/>
          <w:lang w:val="en-US" w:eastAsia="zh-CN" w:bidi="ar-SA"/>
        </w:rPr>
        <w:t>第二章 供应商须知</w:t>
      </w:r>
      <w:r>
        <w:rPr>
          <w:rFonts w:hint="eastAsia" w:ascii="宋体" w:hAnsi="宋体" w:eastAsia="宋体" w:cs="宋体"/>
          <w:color w:val="auto"/>
          <w:sz w:val="28"/>
          <w:szCs w:val="48"/>
        </w:rPr>
        <w:tab/>
      </w: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PAGEREF _Toc26326 \h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t>7</w:t>
      </w:r>
      <w:r>
        <w:rPr>
          <w:rFonts w:hint="eastAsia" w:ascii="宋体" w:hAnsi="宋体" w:eastAsia="宋体" w:cs="宋体"/>
          <w:color w:val="auto"/>
          <w:sz w:val="28"/>
          <w:szCs w:val="48"/>
        </w:rPr>
        <w:fldChar w:fldCharType="end"/>
      </w:r>
      <w:r>
        <w:rPr>
          <w:rFonts w:hint="eastAsia" w:ascii="宋体" w:hAnsi="宋体" w:eastAsia="宋体" w:cs="宋体"/>
          <w:color w:val="auto"/>
          <w:sz w:val="28"/>
          <w:szCs w:val="48"/>
        </w:rPr>
        <w:fldChar w:fldCharType="end"/>
      </w:r>
    </w:p>
    <w:p w14:paraId="67CBDB1E">
      <w:pPr>
        <w:pStyle w:val="40"/>
        <w:pageBreakBefore w:val="0"/>
        <w:tabs>
          <w:tab w:val="right" w:leader="dot" w:pos="9070"/>
          <w:tab w:val="clear" w:pos="8778"/>
        </w:tabs>
        <w:kinsoku/>
        <w:wordWrap w:val="0"/>
        <w:overflowPunct/>
        <w:bidi w:val="0"/>
        <w:rPr>
          <w:rFonts w:hint="eastAsia" w:ascii="宋体" w:hAnsi="宋体" w:eastAsia="宋体" w:cs="宋体"/>
          <w:color w:val="auto"/>
          <w:sz w:val="28"/>
          <w:szCs w:val="48"/>
        </w:rPr>
      </w:pP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HYPERLINK \l _Toc16648 </w:instrText>
      </w:r>
      <w:r>
        <w:rPr>
          <w:rFonts w:hint="eastAsia" w:ascii="宋体" w:hAnsi="宋体" w:eastAsia="宋体" w:cs="宋体"/>
          <w:color w:val="auto"/>
          <w:sz w:val="28"/>
          <w:szCs w:val="48"/>
        </w:rPr>
        <w:fldChar w:fldCharType="separate"/>
      </w:r>
      <w:r>
        <w:rPr>
          <w:rFonts w:hint="eastAsia" w:ascii="宋体" w:hAnsi="宋体" w:eastAsia="宋体" w:cs="宋体"/>
          <w:bCs/>
          <w:color w:val="auto"/>
          <w:kern w:val="44"/>
          <w:sz w:val="28"/>
          <w:szCs w:val="56"/>
        </w:rPr>
        <w:t>第三章 评标办法（综合评分法）</w:t>
      </w:r>
      <w:r>
        <w:rPr>
          <w:rFonts w:hint="eastAsia" w:ascii="宋体" w:hAnsi="宋体" w:eastAsia="宋体" w:cs="宋体"/>
          <w:color w:val="auto"/>
          <w:sz w:val="28"/>
          <w:szCs w:val="48"/>
        </w:rPr>
        <w:tab/>
      </w: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PAGEREF _Toc16648 \h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t>17</w:t>
      </w:r>
      <w:r>
        <w:rPr>
          <w:rFonts w:hint="eastAsia" w:ascii="宋体" w:hAnsi="宋体" w:eastAsia="宋体" w:cs="宋体"/>
          <w:color w:val="auto"/>
          <w:sz w:val="28"/>
          <w:szCs w:val="48"/>
        </w:rPr>
        <w:fldChar w:fldCharType="end"/>
      </w:r>
      <w:r>
        <w:rPr>
          <w:rFonts w:hint="eastAsia" w:ascii="宋体" w:hAnsi="宋体" w:eastAsia="宋体" w:cs="宋体"/>
          <w:color w:val="auto"/>
          <w:sz w:val="28"/>
          <w:szCs w:val="48"/>
        </w:rPr>
        <w:fldChar w:fldCharType="end"/>
      </w:r>
    </w:p>
    <w:p w14:paraId="2D138876">
      <w:pPr>
        <w:pStyle w:val="40"/>
        <w:pageBreakBefore w:val="0"/>
        <w:tabs>
          <w:tab w:val="right" w:leader="dot" w:pos="9070"/>
          <w:tab w:val="clear" w:pos="8778"/>
        </w:tabs>
        <w:kinsoku/>
        <w:wordWrap w:val="0"/>
        <w:overflowPunct/>
        <w:bidi w:val="0"/>
        <w:rPr>
          <w:rFonts w:hint="eastAsia" w:ascii="宋体" w:hAnsi="宋体" w:eastAsia="宋体" w:cs="宋体"/>
          <w:color w:val="auto"/>
          <w:sz w:val="28"/>
          <w:szCs w:val="48"/>
        </w:rPr>
      </w:pP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HYPERLINK \l _Toc19439 </w:instrText>
      </w:r>
      <w:r>
        <w:rPr>
          <w:rFonts w:hint="eastAsia" w:ascii="宋体" w:hAnsi="宋体" w:eastAsia="宋体" w:cs="宋体"/>
          <w:color w:val="auto"/>
          <w:sz w:val="28"/>
          <w:szCs w:val="48"/>
        </w:rPr>
        <w:fldChar w:fldCharType="separate"/>
      </w:r>
      <w:r>
        <w:rPr>
          <w:rFonts w:hint="eastAsia" w:ascii="宋体" w:hAnsi="宋体" w:eastAsia="宋体" w:cs="宋体"/>
          <w:bCs/>
          <w:color w:val="auto"/>
          <w:kern w:val="44"/>
          <w:sz w:val="28"/>
          <w:szCs w:val="56"/>
          <w:lang w:eastAsia="zh-CN"/>
        </w:rPr>
        <w:t>第四章</w:t>
      </w:r>
      <w:r>
        <w:rPr>
          <w:rFonts w:hint="eastAsia" w:ascii="宋体" w:hAnsi="宋体" w:eastAsia="宋体" w:cs="宋体"/>
          <w:bCs/>
          <w:color w:val="auto"/>
          <w:kern w:val="44"/>
          <w:sz w:val="28"/>
          <w:szCs w:val="56"/>
          <w:lang w:val="en-US" w:eastAsia="zh-CN"/>
        </w:rPr>
        <w:t xml:space="preserve"> </w:t>
      </w:r>
      <w:r>
        <w:rPr>
          <w:rFonts w:hint="eastAsia" w:ascii="宋体" w:hAnsi="宋体" w:eastAsia="宋体" w:cs="宋体"/>
          <w:bCs/>
          <w:color w:val="auto"/>
          <w:kern w:val="44"/>
          <w:sz w:val="28"/>
          <w:szCs w:val="56"/>
        </w:rPr>
        <w:t>河南省政府采购合同（参考文本）</w:t>
      </w:r>
      <w:r>
        <w:rPr>
          <w:rFonts w:hint="eastAsia" w:ascii="宋体" w:hAnsi="宋体" w:eastAsia="宋体" w:cs="宋体"/>
          <w:color w:val="auto"/>
          <w:sz w:val="28"/>
          <w:szCs w:val="48"/>
        </w:rPr>
        <w:tab/>
      </w: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PAGEREF _Toc19439 \h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t>22</w:t>
      </w:r>
      <w:r>
        <w:rPr>
          <w:rFonts w:hint="eastAsia" w:ascii="宋体" w:hAnsi="宋体" w:eastAsia="宋体" w:cs="宋体"/>
          <w:color w:val="auto"/>
          <w:sz w:val="28"/>
          <w:szCs w:val="48"/>
        </w:rPr>
        <w:fldChar w:fldCharType="end"/>
      </w:r>
      <w:r>
        <w:rPr>
          <w:rFonts w:hint="eastAsia" w:ascii="宋体" w:hAnsi="宋体" w:eastAsia="宋体" w:cs="宋体"/>
          <w:color w:val="auto"/>
          <w:sz w:val="28"/>
          <w:szCs w:val="48"/>
        </w:rPr>
        <w:fldChar w:fldCharType="end"/>
      </w:r>
    </w:p>
    <w:p w14:paraId="3D667DF4">
      <w:pPr>
        <w:pStyle w:val="40"/>
        <w:pageBreakBefore w:val="0"/>
        <w:tabs>
          <w:tab w:val="right" w:leader="dot" w:pos="9070"/>
          <w:tab w:val="clear" w:pos="8778"/>
        </w:tabs>
        <w:kinsoku/>
        <w:wordWrap w:val="0"/>
        <w:overflowPunct/>
        <w:bidi w:val="0"/>
        <w:rPr>
          <w:rFonts w:hint="eastAsia" w:ascii="宋体" w:hAnsi="宋体" w:eastAsia="宋体" w:cs="宋体"/>
          <w:color w:val="auto"/>
          <w:sz w:val="28"/>
          <w:szCs w:val="48"/>
        </w:rPr>
      </w:pP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HYPERLINK \l _Toc27917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t>第五章</w:t>
      </w:r>
      <w:r>
        <w:rPr>
          <w:rFonts w:hint="eastAsia" w:ascii="宋体" w:hAnsi="宋体" w:eastAsia="宋体" w:cs="宋体"/>
          <w:color w:val="auto"/>
          <w:sz w:val="28"/>
          <w:szCs w:val="48"/>
          <w:lang w:val="en-US" w:eastAsia="zh-CN"/>
        </w:rPr>
        <w:t xml:space="preserve"> </w:t>
      </w:r>
      <w:r>
        <w:rPr>
          <w:rFonts w:hint="eastAsia" w:ascii="宋体" w:hAnsi="宋体" w:eastAsia="宋体" w:cs="宋体"/>
          <w:color w:val="auto"/>
          <w:sz w:val="28"/>
          <w:szCs w:val="48"/>
        </w:rPr>
        <w:t>采购需求</w:t>
      </w:r>
      <w:r>
        <w:rPr>
          <w:rFonts w:hint="eastAsia" w:ascii="宋体" w:hAnsi="宋体" w:eastAsia="宋体" w:cs="宋体"/>
          <w:color w:val="auto"/>
          <w:sz w:val="28"/>
          <w:szCs w:val="48"/>
        </w:rPr>
        <w:tab/>
      </w: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PAGEREF _Toc27917 \h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t>26</w:t>
      </w:r>
      <w:r>
        <w:rPr>
          <w:rFonts w:hint="eastAsia" w:ascii="宋体" w:hAnsi="宋体" w:eastAsia="宋体" w:cs="宋体"/>
          <w:color w:val="auto"/>
          <w:sz w:val="28"/>
          <w:szCs w:val="48"/>
        </w:rPr>
        <w:fldChar w:fldCharType="end"/>
      </w:r>
      <w:r>
        <w:rPr>
          <w:rFonts w:hint="eastAsia" w:ascii="宋体" w:hAnsi="宋体" w:eastAsia="宋体" w:cs="宋体"/>
          <w:color w:val="auto"/>
          <w:sz w:val="28"/>
          <w:szCs w:val="48"/>
        </w:rPr>
        <w:fldChar w:fldCharType="end"/>
      </w:r>
    </w:p>
    <w:p w14:paraId="4449CF7A">
      <w:pPr>
        <w:pStyle w:val="40"/>
        <w:pageBreakBefore w:val="0"/>
        <w:tabs>
          <w:tab w:val="right" w:leader="dot" w:pos="9070"/>
          <w:tab w:val="clear" w:pos="8778"/>
        </w:tabs>
        <w:kinsoku/>
        <w:wordWrap w:val="0"/>
        <w:overflowPunct/>
        <w:bidi w:val="0"/>
        <w:rPr>
          <w:rFonts w:hint="eastAsia" w:ascii="宋体" w:hAnsi="宋体" w:eastAsia="宋体" w:cs="宋体"/>
          <w:color w:val="auto"/>
          <w:sz w:val="28"/>
          <w:szCs w:val="48"/>
        </w:rPr>
      </w:pP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HYPERLINK \l _Toc23712 </w:instrText>
      </w:r>
      <w:r>
        <w:rPr>
          <w:rFonts w:hint="eastAsia" w:ascii="宋体" w:hAnsi="宋体" w:eastAsia="宋体" w:cs="宋体"/>
          <w:color w:val="auto"/>
          <w:sz w:val="28"/>
          <w:szCs w:val="48"/>
        </w:rPr>
        <w:fldChar w:fldCharType="separate"/>
      </w:r>
      <w:r>
        <w:rPr>
          <w:rFonts w:hint="eastAsia" w:ascii="宋体" w:hAnsi="宋体" w:eastAsia="宋体" w:cs="宋体"/>
          <w:bCs/>
          <w:color w:val="auto"/>
          <w:kern w:val="44"/>
          <w:sz w:val="28"/>
          <w:szCs w:val="56"/>
          <w:lang w:val="en-US" w:eastAsia="zh-CN" w:bidi="ar-SA"/>
        </w:rPr>
        <w:t>第六章 响应文件格式</w:t>
      </w:r>
      <w:r>
        <w:rPr>
          <w:rFonts w:hint="eastAsia" w:ascii="宋体" w:hAnsi="宋体" w:eastAsia="宋体" w:cs="宋体"/>
          <w:color w:val="auto"/>
          <w:sz w:val="28"/>
          <w:szCs w:val="48"/>
        </w:rPr>
        <w:tab/>
      </w:r>
      <w:r>
        <w:rPr>
          <w:rFonts w:hint="eastAsia" w:ascii="宋体" w:hAnsi="宋体" w:eastAsia="宋体" w:cs="宋体"/>
          <w:color w:val="auto"/>
          <w:sz w:val="28"/>
          <w:szCs w:val="48"/>
        </w:rPr>
        <w:fldChar w:fldCharType="begin"/>
      </w:r>
      <w:r>
        <w:rPr>
          <w:rFonts w:hint="eastAsia" w:ascii="宋体" w:hAnsi="宋体" w:eastAsia="宋体" w:cs="宋体"/>
          <w:color w:val="auto"/>
          <w:sz w:val="28"/>
          <w:szCs w:val="48"/>
        </w:rPr>
        <w:instrText xml:space="preserve"> PAGEREF _Toc23712 \h </w:instrText>
      </w:r>
      <w:r>
        <w:rPr>
          <w:rFonts w:hint="eastAsia" w:ascii="宋体" w:hAnsi="宋体" w:eastAsia="宋体" w:cs="宋体"/>
          <w:color w:val="auto"/>
          <w:sz w:val="28"/>
          <w:szCs w:val="48"/>
        </w:rPr>
        <w:fldChar w:fldCharType="separate"/>
      </w:r>
      <w:r>
        <w:rPr>
          <w:rFonts w:hint="eastAsia" w:ascii="宋体" w:hAnsi="宋体" w:eastAsia="宋体" w:cs="宋体"/>
          <w:color w:val="auto"/>
          <w:sz w:val="28"/>
          <w:szCs w:val="48"/>
        </w:rPr>
        <w:t>27</w:t>
      </w:r>
      <w:r>
        <w:rPr>
          <w:rFonts w:hint="eastAsia" w:ascii="宋体" w:hAnsi="宋体" w:eastAsia="宋体" w:cs="宋体"/>
          <w:color w:val="auto"/>
          <w:sz w:val="28"/>
          <w:szCs w:val="48"/>
        </w:rPr>
        <w:fldChar w:fldCharType="end"/>
      </w:r>
      <w:r>
        <w:rPr>
          <w:rFonts w:hint="eastAsia" w:ascii="宋体" w:hAnsi="宋体" w:eastAsia="宋体" w:cs="宋体"/>
          <w:color w:val="auto"/>
          <w:sz w:val="28"/>
          <w:szCs w:val="48"/>
        </w:rPr>
        <w:fldChar w:fldCharType="end"/>
      </w:r>
    </w:p>
    <w:p w14:paraId="42D83EF6">
      <w:pPr>
        <w:pageBreakBefore w:val="0"/>
        <w:kinsoku/>
        <w:wordWrap w:val="0"/>
        <w:overflowPunct/>
        <w:autoSpaceDE w:val="0"/>
        <w:autoSpaceDN w:val="0"/>
        <w:bidi w:val="0"/>
        <w:adjustRightInd w:val="0"/>
        <w:snapToGrid w:val="0"/>
        <w:spacing w:after="120" w:afterLines="50"/>
        <w:outlineLvl w:val="0"/>
        <w:rPr>
          <w:rFonts w:hint="eastAsia" w:ascii="宋体" w:hAnsi="宋体" w:eastAsia="宋体" w:cs="宋体"/>
          <w:color w:val="auto"/>
        </w:rPr>
        <w:sectPr>
          <w:headerReference r:id="rId9" w:type="default"/>
          <w:footerReference r:id="rId10" w:type="default"/>
          <w:pgSz w:w="11906" w:h="16838"/>
          <w:pgMar w:top="1418" w:right="1418" w:bottom="1418" w:left="1418" w:header="851" w:footer="850" w:gutter="0"/>
          <w:pgNumType w:start="1"/>
          <w:cols w:space="720" w:num="1"/>
          <w:docGrid w:linePitch="312" w:charSpace="0"/>
        </w:sectPr>
      </w:pPr>
      <w:r>
        <w:rPr>
          <w:rFonts w:hint="eastAsia" w:ascii="宋体" w:hAnsi="宋体" w:eastAsia="宋体" w:cs="宋体"/>
          <w:color w:val="auto"/>
          <w:sz w:val="28"/>
          <w:szCs w:val="36"/>
        </w:rPr>
        <w:fldChar w:fldCharType="end"/>
      </w:r>
    </w:p>
    <w:p w14:paraId="11365D6A">
      <w:pPr>
        <w:keepNext w:val="0"/>
        <w:keepLines w:val="0"/>
        <w:pageBreakBefore w:val="0"/>
        <w:widowControl w:val="0"/>
        <w:kinsoku/>
        <w:wordWrap w:val="0"/>
        <w:overflowPunct/>
        <w:topLinePunct w:val="0"/>
        <w:autoSpaceDE/>
        <w:autoSpaceDN/>
        <w:bidi w:val="0"/>
        <w:adjustRightInd/>
        <w:snapToGrid/>
        <w:spacing w:line="336" w:lineRule="auto"/>
        <w:ind w:left="0" w:leftChars="0" w:firstLine="0" w:firstLineChars="0"/>
        <w:jc w:val="center"/>
        <w:textAlignment w:val="auto"/>
        <w:rPr>
          <w:rFonts w:hint="eastAsia" w:ascii="宋体" w:hAnsi="宋体" w:eastAsia="宋体" w:cs="宋体"/>
          <w:color w:val="auto"/>
        </w:rPr>
      </w:pPr>
      <w:bookmarkStart w:id="3" w:name="_Toc28967"/>
      <w:bookmarkStart w:id="4" w:name="OLE_LINK1"/>
      <w:r>
        <w:rPr>
          <w:rFonts w:hint="eastAsia" w:ascii="宋体" w:hAnsi="宋体" w:eastAsia="宋体" w:cs="宋体"/>
          <w:b/>
          <w:bCs/>
          <w:color w:val="auto"/>
          <w:sz w:val="30"/>
          <w:szCs w:val="30"/>
          <w:highlight w:val="none"/>
        </w:rPr>
        <w:t>特 别 提 示</w:t>
      </w:r>
    </w:p>
    <w:p w14:paraId="1A3DC600">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1、投标人注册</w:t>
      </w:r>
    </w:p>
    <w:p w14:paraId="730017AB">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投标人首先通过“固始县公共资源交易中</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"http://www.gsggzy.cn/" \h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心（</w:t>
      </w:r>
      <w:r>
        <w:rPr>
          <w:rFonts w:hint="eastAsia" w:ascii="宋体" w:hAnsi="宋体" w:cs="宋体"/>
          <w:color w:val="auto"/>
          <w:sz w:val="22"/>
          <w:szCs w:val="22"/>
          <w:highlight w:val="none"/>
          <w:lang w:eastAsia="zh-CN"/>
        </w:rPr>
        <w:t>http://gushi.xyggzyjy.cn</w: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网站进行注册，然后按新闻中心（通知公告）关于电子交易平台诚信库入库登记的公告（工程建设、政府采购）及关于办理CA数字证书及电子签章的通知要求准备齐资料，最后到固始县公共资源交易中心完成注册和办理CA密钥。</w:t>
      </w:r>
    </w:p>
    <w:p w14:paraId="2058A814">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制作</w:t>
      </w:r>
    </w:p>
    <w:p w14:paraId="1553305D">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2.1、投标人通过“固始县公共资源交易中心</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"http://www.gsggzy.cn/" \h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eastAsia="zh-CN"/>
        </w:rPr>
        <w:t>http://gushi.xyggzyjy.cn</w: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）”网站下载中心（业务相关）：下载“</w:t>
      </w:r>
      <w:r>
        <w:rPr>
          <w:rFonts w:hint="eastAsia" w:ascii="宋体" w:hAnsi="宋体" w:eastAsia="宋体" w:cs="宋体"/>
          <w:color w:val="auto"/>
          <w:sz w:val="22"/>
          <w:szCs w:val="22"/>
          <w:highlight w:val="none"/>
          <w:lang w:eastAsia="zh-CN"/>
        </w:rPr>
        <w:t>固始县投标文件制作工具软件</w:t>
      </w:r>
      <w:r>
        <w:rPr>
          <w:rFonts w:hint="eastAsia" w:ascii="宋体" w:hAnsi="宋体" w:eastAsia="宋体" w:cs="宋体"/>
          <w:color w:val="auto"/>
          <w:sz w:val="22"/>
          <w:szCs w:val="22"/>
          <w:highlight w:val="none"/>
        </w:rPr>
        <w:t>”。</w:t>
      </w:r>
    </w:p>
    <w:p w14:paraId="4D73391C">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2.2、投标人凭CA密钥登陆交易系统下载招标文件(.gszf格式)。</w:t>
      </w:r>
    </w:p>
    <w:p w14:paraId="7BB2716A">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2.3、投标人须在</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递交截止时间前制作并提交：加密的电子</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（*.gstf格式）,应在</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截止时间前通过“固始县公共资源交易中心（</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"http://www.gsggzy.cn/" \h </w:instrText>
      </w:r>
      <w:r>
        <w:rPr>
          <w:rFonts w:hint="eastAsia" w:ascii="宋体" w:hAnsi="宋体" w:eastAsia="宋体" w:cs="宋体"/>
          <w:color w:val="auto"/>
          <w:sz w:val="22"/>
          <w:szCs w:val="22"/>
          <w:highlight w:val="none"/>
        </w:rPr>
        <w:fldChar w:fldCharType="separate"/>
      </w:r>
      <w:r>
        <w:rPr>
          <w:rFonts w:hint="eastAsia" w:ascii="宋体" w:hAnsi="宋体" w:cs="宋体"/>
          <w:color w:val="auto"/>
          <w:sz w:val="22"/>
          <w:szCs w:val="22"/>
          <w:highlight w:val="none"/>
          <w:lang w:eastAsia="zh-CN"/>
        </w:rPr>
        <w:t>http://gushi.xyggzyjy.cn</w: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）”电子交易平台内上传；</w:t>
      </w:r>
    </w:p>
    <w:p w14:paraId="085796AD">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2.4、加密的电子</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为“固始县公共资源交易中心</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"http://www.gsggzy.cn/" \h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eastAsia="zh-CN"/>
        </w:rPr>
        <w:t>http://gushi.xyggzyjy.cn</w: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）”网站提供的“</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制作工具”软件制作生成的加密版</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w:t>
      </w:r>
    </w:p>
    <w:p w14:paraId="29E48D95">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2.5、投标人在制作电子</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时，“</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制作工具”左侧栏目“投标正文”、“投标函及投标函附录”、“工程量清单”制作完成后须加盖电子签章。其他要求签字盖章的招标文件格式内容，投标人须将盖章签字后的扫描图片替换到相应格式中。投标函报价将作为电子开标的唱标依据。</w:t>
      </w:r>
    </w:p>
    <w:p w14:paraId="56306EBF">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2.6、招标文件格式所要求包含的全部资料应全部制作在</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内，严格按照本项目招标文件所有格式如实填写（不涉及的内容除外），不应存在漏项或缺项，否则将存在</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被拒绝的风险。</w:t>
      </w:r>
    </w:p>
    <w:p w14:paraId="3E50B917">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2.7、</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以外的任何资料招标人和代理机构将拒收。</w:t>
      </w:r>
    </w:p>
    <w:p w14:paraId="1E49F671">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2.8、投标人编辑电子</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时，根据招标文件要求用法人CA密钥和企业CA密钥进行招标人、招标代理机构对已发出的招标文件进行的澄清、更正或更改，澄清、更正或更改的内容将作为招标文件的组成部分。招标代理机构将通过网站“变更公告”</w:t>
      </w:r>
      <w:r>
        <w:rPr>
          <w:rFonts w:hint="eastAsia" w:ascii="宋体" w:hAnsi="宋体" w:cs="宋体"/>
          <w:color w:val="auto"/>
          <w:sz w:val="22"/>
          <w:szCs w:val="22"/>
          <w:highlight w:val="none"/>
          <w:lang w:val="en-US" w:eastAsia="zh-CN"/>
        </w:rPr>
        <w:t>或</w:t>
      </w:r>
      <w:r>
        <w:rPr>
          <w:rFonts w:hint="eastAsia" w:ascii="宋体" w:hAnsi="宋体" w:eastAsia="宋体" w:cs="宋体"/>
          <w:color w:val="auto"/>
          <w:sz w:val="22"/>
          <w:szCs w:val="22"/>
          <w:highlight w:val="none"/>
        </w:rPr>
        <w:t>系统内部“答疑文件”告知投标人。各投标人须下载招标文件和最新的答疑文件及招标控制价文件，以此编制</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w:t>
      </w:r>
    </w:p>
    <w:p w14:paraId="7210CC83">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因固始县公共资源交易中心平台在开标前具有保密性，投标人在</w:t>
      </w:r>
      <w:r>
        <w:rPr>
          <w:rFonts w:hint="eastAsia" w:ascii="宋体" w:hAnsi="宋体" w:eastAsia="宋体" w:cs="宋体"/>
          <w:color w:val="auto"/>
          <w:sz w:val="22"/>
          <w:szCs w:val="22"/>
          <w:highlight w:val="none"/>
          <w:lang w:eastAsia="zh-CN"/>
        </w:rPr>
        <w:t>响应文件</w:t>
      </w:r>
      <w:r>
        <w:rPr>
          <w:rFonts w:hint="eastAsia" w:ascii="宋体" w:hAnsi="宋体" w:eastAsia="宋体" w:cs="宋体"/>
          <w:color w:val="auto"/>
          <w:sz w:val="22"/>
          <w:szCs w:val="22"/>
          <w:highlight w:val="none"/>
        </w:rPr>
        <w:t>递交截止时间前须自行查看项目进展、变更通知、澄清及回复，因投标人未及时查看而造成的后果自负。</w:t>
      </w:r>
    </w:p>
    <w:p w14:paraId="5C79257B">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rPr>
        <w:t>各投标单位请务必在开标结束后对开标记录表签章后再离席。</w:t>
      </w:r>
    </w:p>
    <w:p w14:paraId="6A7D613E">
      <w:pPr>
        <w:pStyle w:val="23"/>
        <w:pageBreakBefore w:val="0"/>
        <w:kinsoku/>
        <w:wordWrap w:val="0"/>
        <w:overflowPunct/>
        <w:topLinePunct w:val="0"/>
        <w:bidi w:val="0"/>
        <w:ind w:left="0" w:leftChars="0" w:firstLine="0" w:firstLineChars="0"/>
        <w:rPr>
          <w:rFonts w:hint="eastAsia" w:ascii="宋体" w:hAnsi="宋体" w:eastAsia="宋体" w:cs="宋体"/>
          <w:color w:val="auto"/>
          <w:sz w:val="24"/>
          <w:szCs w:val="24"/>
        </w:rPr>
      </w:pPr>
    </w:p>
    <w:p w14:paraId="132B483D">
      <w:pPr>
        <w:pStyle w:val="71"/>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bCs/>
          <w:color w:val="auto"/>
          <w:sz w:val="24"/>
          <w:szCs w:val="24"/>
          <w:lang w:val="en-US" w:eastAsia="zh-CN"/>
        </w:rPr>
        <w:sectPr>
          <w:headerReference r:id="rId11" w:type="default"/>
          <w:pgSz w:w="11906" w:h="16838"/>
          <w:pgMar w:top="1440" w:right="1080" w:bottom="1440" w:left="1080" w:header="851" w:footer="992" w:gutter="0"/>
          <w:pgNumType w:fmt="decimal"/>
          <w:cols w:space="720" w:num="1"/>
          <w:docGrid w:type="lines" w:linePitch="312" w:charSpace="0"/>
        </w:sectPr>
      </w:pPr>
    </w:p>
    <w:p w14:paraId="2804E91F">
      <w:pPr>
        <w:pStyle w:val="2"/>
        <w:pageBreakBefore w:val="0"/>
        <w:kinsoku/>
        <w:wordWrap w:val="0"/>
        <w:overflowPunct/>
        <w:bidi w:val="0"/>
        <w:rPr>
          <w:rFonts w:hint="eastAsia" w:ascii="宋体" w:hAnsi="宋体" w:eastAsia="宋体" w:cs="宋体"/>
          <w:color w:val="auto"/>
          <w:lang w:val="en-US" w:eastAsia="zh-CN"/>
        </w:rPr>
      </w:pPr>
      <w:bookmarkStart w:id="5" w:name="_Toc2362"/>
      <w:r>
        <w:rPr>
          <w:rFonts w:hint="eastAsia" w:ascii="宋体" w:hAnsi="宋体" w:eastAsia="宋体" w:cs="宋体"/>
          <w:color w:val="auto"/>
          <w:lang w:val="en-US" w:eastAsia="zh-CN"/>
        </w:rPr>
        <w:t xml:space="preserve">第一章 </w:t>
      </w:r>
      <w:bookmarkEnd w:id="3"/>
      <w:r>
        <w:rPr>
          <w:rFonts w:hint="eastAsia" w:ascii="宋体" w:hAnsi="宋体" w:eastAsia="宋体" w:cs="宋体"/>
          <w:color w:val="auto"/>
          <w:lang w:val="en-US" w:eastAsia="zh-CN"/>
        </w:rPr>
        <w:t>竞争性磋商公告</w:t>
      </w:r>
      <w:bookmarkEnd w:id="5"/>
    </w:p>
    <w:p w14:paraId="02F5701B">
      <w:pPr>
        <w:pStyle w:val="23"/>
        <w:pageBreakBefore w:val="0"/>
        <w:kinsoku/>
        <w:wordWrap w:val="0"/>
        <w:overflowPunct/>
        <w:bidi w:val="0"/>
        <w:adjustRightInd w:val="0"/>
        <w:snapToGrid w:val="0"/>
        <w:spacing w:after="120" w:line="300"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lang w:eastAsia="zh-CN"/>
        </w:rPr>
        <w:t>国有固始林场2025年森林可持续经营试点任务资金项目</w:t>
      </w:r>
    </w:p>
    <w:p w14:paraId="3A2F1664">
      <w:pPr>
        <w:pageBreakBefore w:val="0"/>
        <w:tabs>
          <w:tab w:val="left" w:pos="709"/>
        </w:tabs>
        <w:kinsoku/>
        <w:wordWrap w:val="0"/>
        <w:overflowPunct/>
        <w:autoSpaceDE w:val="0"/>
        <w:autoSpaceDN w:val="0"/>
        <w:bidi w:val="0"/>
        <w:adjustRightInd w:val="0"/>
        <w:snapToGrid w:val="0"/>
        <w:spacing w:line="360" w:lineRule="auto"/>
        <w:jc w:val="center"/>
        <w:rPr>
          <w:rFonts w:hint="eastAsia" w:ascii="宋体" w:hAnsi="宋体" w:eastAsia="宋体" w:cs="宋体"/>
          <w:b/>
          <w:color w:val="auto"/>
          <w:sz w:val="28"/>
          <w:szCs w:val="28"/>
        </w:rPr>
      </w:pPr>
      <w:bookmarkStart w:id="6" w:name="_Toc20435"/>
      <w:r>
        <w:rPr>
          <w:rFonts w:hint="eastAsia" w:ascii="宋体" w:hAnsi="宋体" w:eastAsia="宋体" w:cs="宋体"/>
          <w:b/>
          <w:color w:val="auto"/>
          <w:sz w:val="28"/>
          <w:szCs w:val="28"/>
        </w:rPr>
        <w:t>竞争性磋商公告</w:t>
      </w:r>
    </w:p>
    <w:bookmarkEnd w:id="4"/>
    <w:p w14:paraId="0784C7F5">
      <w:pPr>
        <w:pageBreakBefore w:val="0"/>
        <w:pBdr>
          <w:top w:val="single" w:color="auto" w:sz="4" w:space="1"/>
          <w:left w:val="single" w:color="auto" w:sz="4" w:space="4"/>
          <w:bottom w:val="single" w:color="auto" w:sz="4" w:space="1"/>
          <w:right w:val="single" w:color="auto" w:sz="4" w:space="4"/>
        </w:pBdr>
        <w:kinsoku/>
        <w:wordWrap w:val="0"/>
        <w:overflowPunct/>
        <w:bidi w:val="0"/>
        <w:spacing w:line="360" w:lineRule="auto"/>
        <w:rPr>
          <w:rFonts w:hint="eastAsia" w:ascii="宋体" w:hAnsi="宋体" w:eastAsia="宋体" w:cs="宋体"/>
          <w:color w:val="auto"/>
          <w:szCs w:val="21"/>
        </w:rPr>
      </w:pPr>
      <w:r>
        <w:rPr>
          <w:rFonts w:hint="eastAsia" w:ascii="宋体" w:hAnsi="宋体" w:eastAsia="宋体" w:cs="宋体"/>
          <w:color w:val="auto"/>
          <w:szCs w:val="21"/>
        </w:rPr>
        <w:t>项目概况</w:t>
      </w:r>
    </w:p>
    <w:p w14:paraId="3C68BDD0">
      <w:pPr>
        <w:pageBreakBefore w:val="0"/>
        <w:pBdr>
          <w:top w:val="single" w:color="auto" w:sz="4" w:space="1"/>
          <w:left w:val="single" w:color="auto" w:sz="4" w:space="4"/>
          <w:bottom w:val="single" w:color="auto" w:sz="4" w:space="1"/>
          <w:right w:val="single" w:color="auto" w:sz="4" w:space="4"/>
        </w:pBdr>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cs="宋体"/>
          <w:bCs/>
          <w:color w:val="auto"/>
          <w:szCs w:val="21"/>
          <w:u w:val="single"/>
          <w:shd w:val="clear" w:color="auto" w:fill="FFFFFF"/>
          <w:lang w:eastAsia="zh-CN"/>
        </w:rPr>
        <w:t>国有固始林场2025年森林可持续经营试点任务资金项目</w:t>
      </w:r>
      <w:r>
        <w:rPr>
          <w:rFonts w:hint="eastAsia" w:ascii="宋体" w:hAnsi="宋体" w:eastAsia="宋体" w:cs="宋体"/>
          <w:color w:val="auto"/>
          <w:szCs w:val="21"/>
          <w:shd w:val="clear" w:color="auto" w:fill="FFFFFF"/>
        </w:rPr>
        <w:t>招标项目的潜在投标人应在《</w:t>
      </w:r>
      <w:r>
        <w:rPr>
          <w:rFonts w:hint="eastAsia" w:ascii="宋体" w:hAnsi="宋体" w:cs="宋体"/>
          <w:color w:val="auto"/>
          <w:szCs w:val="21"/>
          <w:shd w:val="clear" w:color="auto" w:fill="FFFFFF"/>
          <w:lang w:eastAsia="zh-CN"/>
        </w:rPr>
        <w:t>固始县公共资源交易网</w:t>
      </w:r>
      <w:r>
        <w:rPr>
          <w:rFonts w:hint="eastAsia" w:ascii="宋体" w:hAnsi="宋体" w:eastAsia="宋体" w:cs="宋体"/>
          <w:color w:val="auto"/>
          <w:szCs w:val="21"/>
          <w:shd w:val="clear" w:color="auto" w:fill="FFFFFF"/>
        </w:rPr>
        <w:t>》获取磋商文件，并于</w:t>
      </w:r>
      <w:r>
        <w:rPr>
          <w:rFonts w:hint="eastAsia" w:ascii="宋体" w:hAnsi="宋体" w:cs="宋体"/>
          <w:bCs/>
          <w:color w:val="auto"/>
          <w:szCs w:val="21"/>
          <w:u w:val="single"/>
          <w:shd w:val="clear" w:color="auto" w:fill="FFFFFF"/>
          <w:lang w:eastAsia="zh-CN"/>
        </w:rPr>
        <w:t>2025年9月19日</w:t>
      </w:r>
      <w:r>
        <w:rPr>
          <w:rFonts w:hint="eastAsia" w:ascii="宋体" w:hAnsi="宋体" w:eastAsia="宋体" w:cs="宋体"/>
          <w:bCs/>
          <w:color w:val="auto"/>
          <w:szCs w:val="21"/>
          <w:u w:val="single"/>
          <w:shd w:val="clear" w:color="auto" w:fill="FFFFFF"/>
          <w:lang w:val="en-US" w:eastAsia="zh-CN"/>
        </w:rPr>
        <w:t>08</w:t>
      </w:r>
      <w:r>
        <w:rPr>
          <w:rFonts w:hint="eastAsia" w:ascii="宋体" w:hAnsi="宋体" w:eastAsia="宋体" w:cs="宋体"/>
          <w:bCs/>
          <w:color w:val="auto"/>
          <w:szCs w:val="21"/>
          <w:u w:val="single"/>
          <w:shd w:val="clear" w:color="auto" w:fill="FFFFFF"/>
        </w:rPr>
        <w:t>时</w:t>
      </w:r>
      <w:r>
        <w:rPr>
          <w:rFonts w:hint="eastAsia" w:ascii="宋体" w:hAnsi="宋体" w:eastAsia="宋体" w:cs="宋体"/>
          <w:bCs/>
          <w:color w:val="auto"/>
          <w:szCs w:val="21"/>
          <w:u w:val="single"/>
          <w:shd w:val="clear" w:color="auto" w:fill="FFFFFF"/>
          <w:lang w:val="en-US" w:eastAsia="zh-CN"/>
        </w:rPr>
        <w:t>30</w:t>
      </w:r>
      <w:r>
        <w:rPr>
          <w:rFonts w:hint="eastAsia" w:ascii="宋体" w:hAnsi="宋体" w:eastAsia="宋体" w:cs="宋体"/>
          <w:bCs/>
          <w:color w:val="auto"/>
          <w:szCs w:val="21"/>
          <w:u w:val="single"/>
          <w:shd w:val="clear" w:color="auto" w:fill="FFFFFF"/>
        </w:rPr>
        <w:t>分</w:t>
      </w:r>
      <w:r>
        <w:rPr>
          <w:rFonts w:hint="eastAsia" w:ascii="宋体" w:hAnsi="宋体" w:eastAsia="宋体" w:cs="宋体"/>
          <w:color w:val="auto"/>
          <w:szCs w:val="21"/>
          <w:shd w:val="clear" w:color="auto" w:fill="FFFFFF"/>
        </w:rPr>
        <w:t>（北京时间）前递交响应文件。</w:t>
      </w:r>
    </w:p>
    <w:p w14:paraId="2B3C0B94">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rPr>
      </w:pPr>
      <w:r>
        <w:rPr>
          <w:rFonts w:hint="eastAsia" w:ascii="宋体" w:hAnsi="宋体" w:eastAsia="宋体" w:cs="宋体"/>
          <w:b/>
          <w:color w:val="auto"/>
          <w:szCs w:val="21"/>
        </w:rPr>
        <w:t>一、项目基本情况</w:t>
      </w:r>
    </w:p>
    <w:p w14:paraId="6AE78EA0">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rPr>
        <w:t>1、采购编号：</w:t>
      </w:r>
      <w:r>
        <w:rPr>
          <w:rFonts w:hint="eastAsia" w:ascii="宋体" w:hAnsi="宋体" w:cs="宋体"/>
          <w:color w:val="auto"/>
          <w:szCs w:val="21"/>
          <w:lang w:eastAsia="zh-CN"/>
        </w:rPr>
        <w:t>固财磋商采购-2025-37</w:t>
      </w:r>
    </w:p>
    <w:p w14:paraId="4D036035">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2、项目名称：</w:t>
      </w:r>
      <w:r>
        <w:rPr>
          <w:rFonts w:hint="eastAsia" w:ascii="宋体" w:hAnsi="宋体" w:cs="宋体"/>
          <w:color w:val="auto"/>
          <w:szCs w:val="21"/>
          <w:lang w:eastAsia="zh-CN"/>
        </w:rPr>
        <w:t>国有固始林场2025年森林可持续经营试点任务资金项目</w:t>
      </w:r>
    </w:p>
    <w:p w14:paraId="6630B833">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3、采购方式：竞争性磋商</w:t>
      </w:r>
    </w:p>
    <w:p w14:paraId="58669C28">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4、预算金额：</w:t>
      </w:r>
      <w:r>
        <w:rPr>
          <w:rFonts w:hint="eastAsia" w:ascii="宋体" w:hAnsi="宋体" w:cs="宋体"/>
          <w:color w:val="auto"/>
          <w:szCs w:val="21"/>
          <w:lang w:eastAsia="zh-CN"/>
        </w:rPr>
        <w:t>1737300</w:t>
      </w:r>
      <w:r>
        <w:rPr>
          <w:rFonts w:hint="eastAsia" w:ascii="宋体" w:hAnsi="宋体" w:eastAsia="宋体" w:cs="宋体"/>
          <w:color w:val="auto"/>
          <w:szCs w:val="21"/>
        </w:rPr>
        <w:t>元</w:t>
      </w:r>
    </w:p>
    <w:p w14:paraId="6B3CC446">
      <w:pPr>
        <w:pageBreakBefore w:val="0"/>
        <w:kinsoku/>
        <w:wordWrap w:val="0"/>
        <w:overflowPunct/>
        <w:bidi w:val="0"/>
        <w:spacing w:line="360" w:lineRule="auto"/>
        <w:ind w:firstLine="945" w:firstLineChars="450"/>
        <w:rPr>
          <w:rFonts w:hint="eastAsia" w:ascii="宋体" w:hAnsi="宋体" w:eastAsia="宋体" w:cs="宋体"/>
          <w:color w:val="auto"/>
        </w:rPr>
      </w:pPr>
      <w:r>
        <w:rPr>
          <w:rFonts w:hint="eastAsia" w:ascii="宋体" w:hAnsi="宋体" w:eastAsia="宋体" w:cs="宋体"/>
          <w:bCs/>
          <w:color w:val="auto"/>
          <w:szCs w:val="21"/>
        </w:rPr>
        <w:t>最高限价：</w:t>
      </w:r>
      <w:r>
        <w:rPr>
          <w:rFonts w:hint="eastAsia" w:ascii="宋体" w:hAnsi="宋体" w:cs="宋体"/>
          <w:bCs/>
          <w:color w:val="auto"/>
          <w:szCs w:val="21"/>
          <w:lang w:eastAsia="zh-CN"/>
        </w:rPr>
        <w:t>1737300</w:t>
      </w:r>
      <w:r>
        <w:rPr>
          <w:rFonts w:hint="eastAsia" w:ascii="宋体" w:hAnsi="宋体" w:eastAsia="宋体" w:cs="宋体"/>
          <w:color w:val="auto"/>
          <w:szCs w:val="21"/>
          <w:lang w:bidi="zh-CN"/>
        </w:rPr>
        <w:t>元</w:t>
      </w:r>
    </w:p>
    <w:tbl>
      <w:tblPr>
        <w:tblStyle w:val="51"/>
        <w:tblpPr w:leftFromText="180" w:rightFromText="180" w:vertAnchor="text" w:horzAnchor="page" w:tblpX="1521" w:tblpY="2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2037"/>
        <w:gridCol w:w="2977"/>
        <w:gridCol w:w="1842"/>
        <w:gridCol w:w="1560"/>
      </w:tblGrid>
      <w:tr w14:paraId="0C321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14:paraId="2E521ECA">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序号</w:t>
            </w:r>
          </w:p>
        </w:tc>
        <w:tc>
          <w:tcPr>
            <w:tcW w:w="2037" w:type="dxa"/>
            <w:tcBorders>
              <w:top w:val="single" w:color="000000" w:sz="4" w:space="0"/>
              <w:left w:val="single" w:color="000000" w:sz="4" w:space="0"/>
              <w:bottom w:val="single" w:color="000000" w:sz="4" w:space="0"/>
              <w:right w:val="single" w:color="000000" w:sz="4" w:space="0"/>
            </w:tcBorders>
            <w:noWrap w:val="0"/>
            <w:vAlign w:val="center"/>
          </w:tcPr>
          <w:p w14:paraId="56EE6CC8">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包号</w:t>
            </w:r>
          </w:p>
        </w:tc>
        <w:tc>
          <w:tcPr>
            <w:tcW w:w="2977" w:type="dxa"/>
            <w:tcBorders>
              <w:top w:val="single" w:color="000000" w:sz="4" w:space="0"/>
              <w:left w:val="single" w:color="000000" w:sz="4" w:space="0"/>
              <w:bottom w:val="single" w:color="000000" w:sz="4" w:space="0"/>
              <w:right w:val="single" w:color="auto" w:sz="4" w:space="0"/>
            </w:tcBorders>
            <w:noWrap w:val="0"/>
            <w:vAlign w:val="center"/>
          </w:tcPr>
          <w:p w14:paraId="0047CBFE">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shd w:val="clear" w:color="auto" w:fill="FFFFFF"/>
              </w:rPr>
            </w:pPr>
            <w:r>
              <w:rPr>
                <w:rFonts w:hint="eastAsia" w:ascii="宋体" w:hAnsi="宋体" w:cs="宋体"/>
                <w:color w:val="auto"/>
                <w:szCs w:val="21"/>
                <w:shd w:val="clear" w:color="auto" w:fill="FFFFFF"/>
                <w:lang w:val="en-US" w:eastAsia="zh-CN"/>
              </w:rPr>
              <w:t>包</w:t>
            </w:r>
            <w:r>
              <w:rPr>
                <w:rFonts w:hint="eastAsia" w:ascii="宋体" w:hAnsi="宋体" w:eastAsia="宋体" w:cs="宋体"/>
                <w:color w:val="auto"/>
                <w:szCs w:val="21"/>
                <w:shd w:val="clear" w:color="auto" w:fill="FFFFFF"/>
              </w:rPr>
              <w:t>名称</w:t>
            </w:r>
          </w:p>
        </w:tc>
        <w:tc>
          <w:tcPr>
            <w:tcW w:w="1842" w:type="dxa"/>
            <w:tcBorders>
              <w:top w:val="single" w:color="000000" w:sz="4" w:space="0"/>
              <w:left w:val="single" w:color="000000" w:sz="4" w:space="0"/>
              <w:bottom w:val="single" w:color="000000" w:sz="4" w:space="0"/>
              <w:right w:val="single" w:color="auto" w:sz="4" w:space="0"/>
            </w:tcBorders>
            <w:noWrap w:val="0"/>
            <w:vAlign w:val="center"/>
          </w:tcPr>
          <w:p w14:paraId="353F109E">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预算金额（元）</w:t>
            </w:r>
          </w:p>
        </w:tc>
        <w:tc>
          <w:tcPr>
            <w:tcW w:w="1560" w:type="dxa"/>
            <w:tcBorders>
              <w:top w:val="single" w:color="000000" w:sz="4" w:space="0"/>
              <w:left w:val="single" w:color="auto" w:sz="4" w:space="0"/>
              <w:bottom w:val="single" w:color="000000" w:sz="4" w:space="0"/>
              <w:right w:val="single" w:color="auto" w:sz="4" w:space="0"/>
            </w:tcBorders>
            <w:noWrap w:val="0"/>
            <w:vAlign w:val="center"/>
          </w:tcPr>
          <w:p w14:paraId="54DEB93B">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最高限价（元）</w:t>
            </w:r>
          </w:p>
        </w:tc>
      </w:tr>
      <w:tr w14:paraId="0DC4B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14:paraId="11E56AF9">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1</w:t>
            </w:r>
          </w:p>
        </w:tc>
        <w:tc>
          <w:tcPr>
            <w:tcW w:w="2037" w:type="dxa"/>
            <w:tcBorders>
              <w:top w:val="single" w:color="000000" w:sz="4" w:space="0"/>
              <w:left w:val="single" w:color="000000" w:sz="4" w:space="0"/>
              <w:bottom w:val="single" w:color="000000" w:sz="4" w:space="0"/>
              <w:right w:val="single" w:color="000000" w:sz="4" w:space="0"/>
            </w:tcBorders>
            <w:noWrap w:val="0"/>
            <w:vAlign w:val="center"/>
          </w:tcPr>
          <w:p w14:paraId="4F32EAEB">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shd w:val="clear" w:color="auto" w:fill="FFFFFF"/>
                <w:lang w:val="en-US" w:eastAsia="zh-CN"/>
              </w:rPr>
            </w:pPr>
            <w:r>
              <w:rPr>
                <w:rFonts w:hint="eastAsia" w:ascii="宋体" w:hAnsi="宋体" w:cs="宋体"/>
                <w:color w:val="auto"/>
                <w:szCs w:val="21"/>
                <w:shd w:val="clear" w:color="auto" w:fill="FFFFFF"/>
                <w:lang w:eastAsia="zh-CN"/>
              </w:rPr>
              <w:t>固财磋商采购-2025-37</w:t>
            </w:r>
            <w:r>
              <w:rPr>
                <w:rFonts w:hint="eastAsia" w:ascii="宋体" w:hAnsi="宋体" w:eastAsia="宋体" w:cs="宋体"/>
                <w:color w:val="auto"/>
                <w:szCs w:val="21"/>
                <w:shd w:val="clear" w:color="auto" w:fill="FFFFFF"/>
                <w:lang w:val="en-US" w:eastAsia="zh-CN"/>
              </w:rPr>
              <w:t>-1</w:t>
            </w:r>
          </w:p>
        </w:tc>
        <w:tc>
          <w:tcPr>
            <w:tcW w:w="2977" w:type="dxa"/>
            <w:tcBorders>
              <w:top w:val="single" w:color="000000" w:sz="4" w:space="0"/>
              <w:left w:val="single" w:color="000000" w:sz="4" w:space="0"/>
              <w:bottom w:val="single" w:color="000000" w:sz="4" w:space="0"/>
              <w:right w:val="single" w:color="auto" w:sz="4" w:space="0"/>
            </w:tcBorders>
            <w:noWrap w:val="0"/>
            <w:vAlign w:val="center"/>
          </w:tcPr>
          <w:p w14:paraId="69205A5B">
            <w:pPr>
              <w:keepNext w:val="0"/>
              <w:keepLines w:val="0"/>
              <w:pageBreakBefore w:val="0"/>
              <w:suppressLineNumbers w:val="0"/>
              <w:kinsoku/>
              <w:wordWrap w:val="0"/>
              <w:overflowPunct/>
              <w:bidi w:val="0"/>
              <w:spacing w:before="0" w:beforeAutospacing="0" w:after="0" w:afterAutospacing="0"/>
              <w:ind w:left="0" w:right="0"/>
              <w:jc w:val="center"/>
              <w:rPr>
                <w:rFonts w:hint="default" w:ascii="宋体" w:hAnsi="宋体" w:eastAsia="宋体" w:cs="宋体"/>
                <w:color w:val="auto"/>
                <w:szCs w:val="21"/>
                <w:shd w:val="clear" w:color="auto" w:fill="FFFFFF"/>
                <w:lang w:val="en-US" w:eastAsia="zh-CN"/>
              </w:rPr>
            </w:pPr>
            <w:r>
              <w:rPr>
                <w:rFonts w:hint="eastAsia" w:ascii="宋体" w:hAnsi="宋体" w:cs="宋体"/>
                <w:color w:val="auto"/>
                <w:szCs w:val="21"/>
                <w:shd w:val="clear" w:color="auto" w:fill="FFFFFF"/>
                <w:lang w:eastAsia="zh-CN"/>
              </w:rPr>
              <w:t>国有固始林场2025年森林可持续经营试点任务资金项目</w:t>
            </w:r>
          </w:p>
        </w:tc>
        <w:tc>
          <w:tcPr>
            <w:tcW w:w="1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A53D35F">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cs="宋体"/>
                <w:color w:val="auto"/>
                <w:szCs w:val="21"/>
                <w:shd w:val="clear" w:color="auto" w:fill="FFFFFF"/>
                <w:lang w:val="en-US" w:eastAsia="zh-CN"/>
              </w:rPr>
            </w:pPr>
            <w:r>
              <w:rPr>
                <w:rFonts w:hint="eastAsia" w:ascii="宋体" w:hAnsi="宋体" w:cs="宋体"/>
                <w:color w:val="auto"/>
                <w:szCs w:val="21"/>
                <w:shd w:val="clear" w:color="auto" w:fill="FFFFFF"/>
                <w:lang w:val="en-US" w:eastAsia="zh-CN"/>
              </w:rPr>
              <w:t>1737300</w:t>
            </w:r>
          </w:p>
        </w:tc>
        <w:tc>
          <w:tcPr>
            <w:tcW w:w="1560" w:type="dxa"/>
            <w:tcBorders>
              <w:top w:val="single" w:color="000000" w:sz="4" w:space="0"/>
              <w:left w:val="single" w:color="auto" w:sz="4" w:space="0"/>
              <w:bottom w:val="single" w:color="000000" w:sz="4" w:space="0"/>
              <w:right w:val="single" w:color="auto" w:sz="4" w:space="0"/>
            </w:tcBorders>
            <w:noWrap w:val="0"/>
            <w:vAlign w:val="center"/>
          </w:tcPr>
          <w:p w14:paraId="05124497">
            <w:pPr>
              <w:keepNext w:val="0"/>
              <w:keepLines w:val="0"/>
              <w:pageBreakBefore w:val="0"/>
              <w:suppressLineNumbers w:val="0"/>
              <w:kinsoku/>
              <w:wordWrap w:val="0"/>
              <w:overflowPunct/>
              <w:bidi w:val="0"/>
              <w:spacing w:before="0" w:beforeAutospacing="0" w:after="0" w:afterAutospacing="0"/>
              <w:ind w:left="0" w:leftChars="0" w:right="0" w:rightChars="0"/>
              <w:jc w:val="center"/>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val="en-US" w:eastAsia="zh-CN"/>
              </w:rPr>
              <w:t>1737300</w:t>
            </w:r>
          </w:p>
        </w:tc>
      </w:tr>
    </w:tbl>
    <w:p w14:paraId="4C0B7FEE">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bCs/>
          <w:color w:val="auto"/>
          <w:szCs w:val="21"/>
        </w:rPr>
      </w:pPr>
      <w:r>
        <w:rPr>
          <w:rFonts w:hint="eastAsia" w:ascii="宋体" w:hAnsi="宋体" w:eastAsia="宋体" w:cs="宋体"/>
          <w:color w:val="auto"/>
          <w:szCs w:val="21"/>
        </w:rPr>
        <w:t>5、采购需求：</w:t>
      </w:r>
      <w:r>
        <w:rPr>
          <w:rFonts w:hint="eastAsia" w:ascii="宋体" w:hAnsi="宋体" w:eastAsia="宋体" w:cs="宋体"/>
          <w:bCs/>
          <w:color w:val="auto"/>
          <w:szCs w:val="21"/>
        </w:rPr>
        <w:t>（包括但不限于标的的名称、数量、简要技术需求或服务要求等）：</w:t>
      </w:r>
    </w:p>
    <w:p w14:paraId="1774BC34">
      <w:pPr>
        <w:pageBreakBefore w:val="0"/>
        <w:kinsoku/>
        <w:wordWrap w:val="0"/>
        <w:overflowPunct/>
        <w:autoSpaceDE w:val="0"/>
        <w:autoSpaceDN w:val="0"/>
        <w:bidi w:val="0"/>
        <w:adjustRightInd w:val="0"/>
        <w:snapToGrid w:val="0"/>
        <w:spacing w:line="360" w:lineRule="auto"/>
        <w:ind w:left="210" w:leftChars="100" w:firstLine="630" w:firstLineChars="300"/>
        <w:jc w:val="left"/>
        <w:rPr>
          <w:rFonts w:hint="eastAsia" w:ascii="宋体" w:hAnsi="宋体" w:eastAsia="宋体" w:cs="宋体"/>
          <w:color w:val="auto"/>
          <w:szCs w:val="21"/>
        </w:rPr>
      </w:pPr>
      <w:r>
        <w:rPr>
          <w:rFonts w:hint="eastAsia" w:ascii="宋体" w:hAnsi="宋体" w:eastAsia="宋体" w:cs="宋体"/>
          <w:color w:val="auto"/>
          <w:szCs w:val="21"/>
        </w:rPr>
        <w:t>5.1采购内容：</w:t>
      </w:r>
      <w:r>
        <w:rPr>
          <w:rFonts w:hint="eastAsia" w:ascii="宋体" w:hAnsi="宋体" w:cs="宋体"/>
          <w:color w:val="auto"/>
          <w:szCs w:val="21"/>
          <w:lang w:val="en-US" w:eastAsia="zh-CN"/>
        </w:rPr>
        <w:t>王店林区4200亩国有林场林木间伐、林地割灌、林木修枝、林地剩余物清理、集材转运归楞工作，其中200亩低质低效林增加机械整地、苗木采购和栽植工作。</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详见磋商文件第五章）</w:t>
      </w:r>
      <w:r>
        <w:rPr>
          <w:rFonts w:hint="eastAsia" w:ascii="宋体" w:hAnsi="宋体" w:eastAsia="宋体" w:cs="宋体"/>
          <w:color w:val="auto"/>
          <w:szCs w:val="21"/>
        </w:rPr>
        <w:t>。</w:t>
      </w:r>
    </w:p>
    <w:p w14:paraId="35703768">
      <w:pPr>
        <w:pageBreakBefore w:val="0"/>
        <w:kinsoku/>
        <w:wordWrap w:val="0"/>
        <w:overflowPunct/>
        <w:autoSpaceDE w:val="0"/>
        <w:autoSpaceDN w:val="0"/>
        <w:bidi w:val="0"/>
        <w:adjustRightInd w:val="0"/>
        <w:snapToGrid w:val="0"/>
        <w:spacing w:line="360" w:lineRule="auto"/>
        <w:ind w:left="210" w:leftChars="100" w:firstLine="630" w:firstLineChars="300"/>
        <w:jc w:val="left"/>
        <w:rPr>
          <w:rFonts w:hint="eastAsia" w:ascii="宋体" w:hAnsi="宋体" w:eastAsia="宋体" w:cs="宋体"/>
          <w:color w:val="auto"/>
          <w:szCs w:val="21"/>
        </w:rPr>
      </w:pPr>
      <w:r>
        <w:rPr>
          <w:rFonts w:hint="eastAsia" w:ascii="宋体" w:hAnsi="宋体" w:eastAsia="宋体" w:cs="宋体"/>
          <w:color w:val="auto"/>
          <w:szCs w:val="21"/>
        </w:rPr>
        <w:t>5.2服务要求：达到国家及行业现行标准规范规定的合格要求；</w:t>
      </w:r>
    </w:p>
    <w:p w14:paraId="68A48B60">
      <w:pPr>
        <w:pageBreakBefore w:val="0"/>
        <w:kinsoku/>
        <w:wordWrap w:val="0"/>
        <w:overflowPunct/>
        <w:autoSpaceDE w:val="0"/>
        <w:autoSpaceDN w:val="0"/>
        <w:bidi w:val="0"/>
        <w:adjustRightInd w:val="0"/>
        <w:snapToGrid w:val="0"/>
        <w:spacing w:line="360" w:lineRule="auto"/>
        <w:ind w:left="210" w:leftChars="100" w:firstLine="630" w:firstLineChars="300"/>
        <w:jc w:val="left"/>
        <w:rPr>
          <w:rFonts w:hint="eastAsia" w:ascii="宋体" w:hAnsi="宋体" w:eastAsia="宋体" w:cs="宋体"/>
          <w:color w:val="auto"/>
          <w:szCs w:val="21"/>
          <w:lang w:eastAsia="zh-CN"/>
        </w:rPr>
      </w:pPr>
      <w:r>
        <w:rPr>
          <w:rFonts w:hint="eastAsia" w:ascii="宋体" w:hAnsi="宋体" w:eastAsia="宋体" w:cs="宋体"/>
          <w:color w:val="auto"/>
          <w:szCs w:val="21"/>
        </w:rPr>
        <w:t>5.3服务期限：</w:t>
      </w:r>
      <w:r>
        <w:rPr>
          <w:rFonts w:hint="eastAsia" w:ascii="宋体" w:hAnsi="宋体" w:cs="宋体"/>
          <w:color w:val="auto"/>
          <w:szCs w:val="21"/>
          <w:lang w:eastAsia="zh-CN"/>
        </w:rPr>
        <w:t>60日历天</w:t>
      </w:r>
      <w:r>
        <w:rPr>
          <w:rFonts w:hint="eastAsia" w:ascii="宋体" w:hAnsi="宋体" w:eastAsia="宋体" w:cs="宋体"/>
          <w:color w:val="auto"/>
          <w:szCs w:val="21"/>
          <w:lang w:eastAsia="zh-CN"/>
        </w:rPr>
        <w:t>；</w:t>
      </w:r>
    </w:p>
    <w:p w14:paraId="78AE3D04">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6、合同履行期限：</w:t>
      </w:r>
      <w:r>
        <w:rPr>
          <w:rFonts w:hint="eastAsia" w:ascii="宋体" w:hAnsi="宋体" w:cs="宋体"/>
          <w:color w:val="auto"/>
          <w:szCs w:val="21"/>
          <w:lang w:eastAsia="zh-CN"/>
        </w:rPr>
        <w:t>60日历天</w:t>
      </w:r>
      <w:r>
        <w:rPr>
          <w:rFonts w:hint="eastAsia" w:ascii="宋体" w:hAnsi="宋体" w:eastAsia="宋体" w:cs="宋体"/>
          <w:color w:val="auto"/>
          <w:szCs w:val="21"/>
        </w:rPr>
        <w:t>。</w:t>
      </w:r>
    </w:p>
    <w:p w14:paraId="726A44F0">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7、是否接受进口产品投标：否</w:t>
      </w:r>
    </w:p>
    <w:p w14:paraId="2AA08CC2">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8、是否接受联合体投标：否</w:t>
      </w:r>
    </w:p>
    <w:p w14:paraId="1A6E2869">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9、是否专门面向中小企业：是</w:t>
      </w:r>
    </w:p>
    <w:p w14:paraId="636166C7">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rPr>
      </w:pPr>
      <w:r>
        <w:rPr>
          <w:rFonts w:hint="eastAsia" w:ascii="宋体" w:hAnsi="宋体" w:eastAsia="宋体" w:cs="宋体"/>
          <w:b/>
          <w:color w:val="auto"/>
          <w:szCs w:val="21"/>
        </w:rPr>
        <w:t>二、申请人的资格要求：</w:t>
      </w:r>
    </w:p>
    <w:p w14:paraId="60716411">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rPr>
        <w:t>1</w:t>
      </w:r>
      <w:r>
        <w:rPr>
          <w:rFonts w:hint="eastAsia" w:ascii="宋体" w:hAnsi="宋体" w:eastAsia="宋体" w:cs="宋体"/>
          <w:color w:val="auto"/>
          <w:szCs w:val="21"/>
          <w:u w:val="none"/>
          <w:lang w:val="en-US" w:eastAsia="zh-CN"/>
        </w:rPr>
        <w:t>.</w:t>
      </w:r>
      <w:r>
        <w:rPr>
          <w:rFonts w:hint="eastAsia" w:ascii="宋体" w:hAnsi="宋体" w:eastAsia="宋体" w:cs="宋体"/>
          <w:color w:val="auto"/>
          <w:szCs w:val="21"/>
          <w:u w:val="none"/>
        </w:rPr>
        <w:t>满足《中华人民共和国政府采购法》第二十二条规定；</w:t>
      </w:r>
    </w:p>
    <w:p w14:paraId="7DE95C65">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val="en-US" w:eastAsia="zh-CN"/>
        </w:rPr>
        <w:t>2.落实政府采购政策满足的资格要求：本项目专门面向中小企业采购。本项目落实节约能源、保护环境、扶持不发达地区和少数民族地区、促进中小微企业、监狱企业及残疾人福利性单位发展等政府采购政策。</w:t>
      </w:r>
    </w:p>
    <w:p w14:paraId="4F54FC0D">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val="en-US" w:eastAsia="zh-CN"/>
        </w:rPr>
      </w:pPr>
      <w:r>
        <w:rPr>
          <w:rFonts w:hint="eastAsia" w:ascii="宋体" w:hAnsi="宋体" w:eastAsia="宋体" w:cs="宋体"/>
          <w:color w:val="auto"/>
          <w:szCs w:val="21"/>
          <w:u w:val="none"/>
          <w:lang w:val="en-US" w:eastAsia="zh-CN"/>
        </w:rPr>
        <w:t>3.本项目的特定资格要求</w:t>
      </w:r>
    </w:p>
    <w:p w14:paraId="401BB2D3">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val="en-US" w:eastAsia="zh-CN"/>
        </w:rPr>
      </w:pPr>
      <w:r>
        <w:rPr>
          <w:rFonts w:hint="eastAsia" w:ascii="宋体" w:hAnsi="宋体" w:eastAsia="宋体" w:cs="宋体"/>
          <w:color w:val="auto"/>
          <w:szCs w:val="21"/>
          <w:u w:val="none"/>
          <w:lang w:val="en-US" w:eastAsia="zh-CN"/>
        </w:rPr>
        <w:t>单位负责人为同一人或者存在控股、管理关系的不同单位，不得同时参加本项目投标（提供“国家企业信用信息公示系统”中公示的公司信息、股东或投资人信息网页截图加盖单位公章，</w:t>
      </w:r>
      <w:r>
        <w:rPr>
          <w:rFonts w:hint="eastAsia" w:ascii="宋体" w:hAnsi="宋体" w:eastAsia="宋体" w:cs="宋体"/>
          <w:color w:val="auto"/>
          <w:szCs w:val="21"/>
          <w:u w:val="none"/>
        </w:rPr>
        <w:t>查询时间需在本公告发布之后</w:t>
      </w:r>
      <w:r>
        <w:rPr>
          <w:rFonts w:hint="eastAsia" w:ascii="宋体" w:hAnsi="宋体" w:eastAsia="宋体" w:cs="宋体"/>
          <w:color w:val="auto"/>
          <w:szCs w:val="21"/>
          <w:u w:val="none"/>
          <w:lang w:val="en-US" w:eastAsia="zh-CN"/>
        </w:rPr>
        <w:t>）。</w:t>
      </w:r>
    </w:p>
    <w:p w14:paraId="0FF50190">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val="en-US" w:eastAsia="zh-CN"/>
        </w:rPr>
      </w:pPr>
      <w:r>
        <w:rPr>
          <w:rFonts w:hint="eastAsia" w:ascii="宋体" w:hAnsi="宋体" w:cs="宋体"/>
          <w:color w:val="auto"/>
          <w:szCs w:val="21"/>
          <w:u w:val="none"/>
          <w:lang w:val="en-US" w:eastAsia="zh-CN"/>
        </w:rPr>
        <w:t>4.</w:t>
      </w:r>
      <w:r>
        <w:rPr>
          <w:rFonts w:hint="eastAsia" w:ascii="宋体" w:hAnsi="宋体" w:eastAsia="宋体" w:cs="宋体"/>
          <w:color w:val="auto"/>
          <w:szCs w:val="21"/>
          <w:u w:val="none"/>
          <w:lang w:val="en-US" w:eastAsia="zh-CN"/>
        </w:rPr>
        <w:t>其他说明：</w:t>
      </w:r>
    </w:p>
    <w:p w14:paraId="5C3EA72F">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val="en-US" w:eastAsia="zh-CN"/>
        </w:rPr>
      </w:pPr>
      <w:r>
        <w:rPr>
          <w:rFonts w:hint="eastAsia" w:ascii="宋体" w:hAnsi="宋体" w:eastAsia="宋体" w:cs="宋体"/>
          <w:color w:val="auto"/>
          <w:szCs w:val="21"/>
          <w:u w:val="none"/>
          <w:lang w:val="en-US" w:eastAsia="zh-CN"/>
        </w:rPr>
        <w:t>4.1本项目适用信用承诺（详见下述要求）。</w:t>
      </w:r>
    </w:p>
    <w:p w14:paraId="4A6CE5FB">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（一）在本项目政府采购活动中，供应商在投标（响应）时，可对照资格要求进行自主核对，确定符合资格要求的，可按照规定提供相关承诺函（详见</w:t>
      </w:r>
      <w:r>
        <w:rPr>
          <w:rFonts w:hint="eastAsia" w:ascii="宋体" w:hAnsi="宋体" w:cs="宋体"/>
          <w:color w:val="auto"/>
          <w:szCs w:val="21"/>
          <w:u w:val="none"/>
          <w:lang w:eastAsia="zh-CN"/>
        </w:rPr>
        <w:t>响应文件格式</w:t>
      </w:r>
      <w:r>
        <w:rPr>
          <w:rFonts w:hint="eastAsia" w:ascii="宋体" w:hAnsi="宋体" w:eastAsia="宋体" w:cs="宋体"/>
          <w:color w:val="auto"/>
          <w:szCs w:val="21"/>
          <w:u w:val="none"/>
          <w:lang w:eastAsia="zh-CN"/>
        </w:rPr>
        <w:t>“资格</w:t>
      </w:r>
      <w:r>
        <w:rPr>
          <w:rFonts w:hint="eastAsia" w:ascii="宋体" w:hAnsi="宋体" w:eastAsia="宋体" w:cs="宋体"/>
          <w:color w:val="auto"/>
          <w:szCs w:val="21"/>
          <w:u w:val="none"/>
          <w:lang w:val="en-US" w:eastAsia="zh-CN"/>
        </w:rPr>
        <w:t>证明材料-信用承诺函”</w:t>
      </w:r>
      <w:r>
        <w:rPr>
          <w:rFonts w:hint="eastAsia" w:ascii="宋体" w:hAnsi="宋体" w:eastAsia="宋体" w:cs="宋体"/>
          <w:color w:val="auto"/>
          <w:szCs w:val="21"/>
          <w:u w:val="none"/>
          <w:lang w:eastAsia="zh-CN"/>
        </w:rPr>
        <w:t>），供应商只需在资格审查环节提供满足相应条件的书面承诺书，不再需要提供以下证明材料：</w:t>
      </w:r>
    </w:p>
    <w:p w14:paraId="616ED324">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①具有独立承担民事责任的能力，提供营业执照等证明文件；</w:t>
      </w:r>
    </w:p>
    <w:p w14:paraId="54A8876F">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②具有良好的商业信誉和健全的财务会计制度（提供2024年度经审计的财务审计报告，2025年成立的公司提供基本户的开户行开具的银行资信证明）；</w:t>
      </w:r>
    </w:p>
    <w:p w14:paraId="2C542D7E">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③具有履行合同所必需的设备和专业技术能力（提供相关证明材料或承诺函）；</w:t>
      </w:r>
    </w:p>
    <w:p w14:paraId="623AABF5">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④有依法缴纳税收和社会保险的良好记录（</w:t>
      </w:r>
      <w:r>
        <w:rPr>
          <w:rFonts w:hint="eastAsia" w:ascii="宋体" w:hAnsi="宋体" w:cs="宋体"/>
          <w:color w:val="auto"/>
          <w:szCs w:val="21"/>
          <w:u w:val="none"/>
          <w:lang w:eastAsia="zh-CN"/>
        </w:rPr>
        <w:t>提供2025年1月以来</w:t>
      </w:r>
      <w:r>
        <w:rPr>
          <w:rFonts w:hint="eastAsia" w:ascii="宋体" w:hAnsi="宋体" w:eastAsia="宋体" w:cs="宋体"/>
          <w:color w:val="auto"/>
          <w:szCs w:val="21"/>
          <w:u w:val="none"/>
          <w:lang w:eastAsia="zh-CN"/>
        </w:rPr>
        <w:t>任意3个月依法缴纳税收和社会保险的证明，成立不足三个月的提供自成立日以来的依法缴纳税收和社会保险的证明，依法免税和免缴纳社会保障金的须提供依法免缴纳证明）；</w:t>
      </w:r>
    </w:p>
    <w:p w14:paraId="4C130FC0">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⑤参加政府采购活动前三年内，在经营活动中没有重大违法记录（提供声明函）；</w:t>
      </w:r>
    </w:p>
    <w:p w14:paraId="760BA14A">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⑥根据《关于在政府采购活动中查询及使用信用记录有关问题的通知》财库【2016】125号文件和豫财购【2016】15号文件的规定，供应商应提供“信用中国"网站(www.creditchina.gov.cn)查询“失信被执行人”“重大税收违法失信主体”和“政府采购严重违法失信行为记录名单”；中国政府采购网(www.ccgp.gov.cn)查询“政府采购严重违法失信行为记录名单"渠道查询自身信用记录，提供查询网页截图，查询截止时点为：从公告发布之日起至投标截止之日止。</w:t>
      </w:r>
    </w:p>
    <w:p w14:paraId="36E6C1CC">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（二）供应商在中标（成交）后，应将上述由信用承诺书替代的证明材料提交采购人（采购代理机构）核验，经核验无误后，由采购人发出中标（成交）通知书。</w:t>
      </w:r>
    </w:p>
    <w:p w14:paraId="0CFA070E">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lang w:eastAsia="zh-CN"/>
        </w:rPr>
      </w:pPr>
      <w:r>
        <w:rPr>
          <w:rFonts w:hint="eastAsia" w:ascii="宋体" w:hAnsi="宋体" w:eastAsia="宋体" w:cs="宋体"/>
          <w:color w:val="auto"/>
          <w:szCs w:val="21"/>
          <w:u w:val="none"/>
          <w:lang w:eastAsia="zh-CN"/>
        </w:rPr>
        <w:t>4.2本项目实行资格后审，资格审查的具体要求见招标文件，资格后审不合格的投标人其投标将被否决。</w:t>
      </w:r>
    </w:p>
    <w:p w14:paraId="265EFE30">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u w:val="none"/>
        </w:rPr>
      </w:pPr>
      <w:r>
        <w:rPr>
          <w:rFonts w:hint="eastAsia" w:ascii="宋体" w:hAnsi="宋体" w:eastAsia="宋体" w:cs="宋体"/>
          <w:b/>
          <w:color w:val="auto"/>
          <w:szCs w:val="21"/>
          <w:u w:val="none"/>
        </w:rPr>
        <w:t>三、获取磋商文件</w:t>
      </w:r>
    </w:p>
    <w:p w14:paraId="7BC00406">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1</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时间：</w:t>
      </w:r>
      <w:r>
        <w:rPr>
          <w:rFonts w:hint="eastAsia" w:ascii="宋体" w:hAnsi="宋体" w:cs="宋体"/>
          <w:color w:val="auto"/>
          <w:szCs w:val="21"/>
          <w:u w:val="none"/>
          <w:lang w:eastAsia="zh-CN"/>
        </w:rPr>
        <w:t>2025年</w:t>
      </w:r>
      <w:r>
        <w:rPr>
          <w:rFonts w:hint="eastAsia" w:ascii="宋体" w:hAnsi="宋体" w:cs="宋体"/>
          <w:color w:val="auto"/>
          <w:szCs w:val="21"/>
          <w:u w:val="none"/>
          <w:lang w:val="en-US" w:eastAsia="zh-CN"/>
        </w:rPr>
        <w:t>9</w:t>
      </w:r>
      <w:r>
        <w:rPr>
          <w:rFonts w:hint="eastAsia" w:ascii="宋体" w:hAnsi="宋体" w:cs="宋体"/>
          <w:color w:val="auto"/>
          <w:szCs w:val="21"/>
          <w:u w:val="none"/>
          <w:lang w:eastAsia="zh-CN"/>
        </w:rPr>
        <w:t>月</w:t>
      </w:r>
      <w:r>
        <w:rPr>
          <w:rFonts w:hint="eastAsia" w:ascii="宋体" w:hAnsi="宋体" w:cs="宋体"/>
          <w:color w:val="auto"/>
          <w:szCs w:val="21"/>
          <w:u w:val="none"/>
          <w:lang w:val="en-US" w:eastAsia="zh-CN"/>
        </w:rPr>
        <w:t>5</w:t>
      </w:r>
      <w:r>
        <w:rPr>
          <w:rFonts w:hint="eastAsia" w:ascii="宋体" w:hAnsi="宋体" w:eastAsia="宋体" w:cs="宋体"/>
          <w:color w:val="auto"/>
          <w:szCs w:val="21"/>
          <w:u w:val="none"/>
        </w:rPr>
        <w:t>日至</w:t>
      </w:r>
      <w:r>
        <w:rPr>
          <w:rFonts w:hint="eastAsia" w:ascii="宋体" w:hAnsi="宋体" w:cs="宋体"/>
          <w:color w:val="auto"/>
          <w:szCs w:val="21"/>
          <w:u w:val="none"/>
          <w:lang w:eastAsia="zh-CN"/>
        </w:rPr>
        <w:t>202</w:t>
      </w:r>
      <w:r>
        <w:rPr>
          <w:rFonts w:hint="eastAsia" w:ascii="宋体" w:hAnsi="宋体" w:cs="宋体"/>
          <w:color w:val="auto"/>
          <w:szCs w:val="21"/>
          <w:u w:val="none"/>
          <w:lang w:val="en-US" w:eastAsia="zh-CN"/>
        </w:rPr>
        <w:t>5</w:t>
      </w:r>
      <w:r>
        <w:rPr>
          <w:rFonts w:hint="eastAsia" w:ascii="宋体" w:hAnsi="宋体" w:cs="宋体"/>
          <w:color w:val="auto"/>
          <w:szCs w:val="21"/>
          <w:u w:val="none"/>
          <w:lang w:eastAsia="zh-CN"/>
        </w:rPr>
        <w:t>年</w:t>
      </w:r>
      <w:r>
        <w:rPr>
          <w:rFonts w:hint="eastAsia" w:ascii="宋体" w:hAnsi="宋体" w:cs="宋体"/>
          <w:color w:val="auto"/>
          <w:szCs w:val="21"/>
          <w:u w:val="none"/>
          <w:lang w:val="en-US" w:eastAsia="zh-CN"/>
        </w:rPr>
        <w:t>9</w:t>
      </w:r>
      <w:r>
        <w:rPr>
          <w:rFonts w:hint="eastAsia" w:ascii="宋体" w:hAnsi="宋体" w:eastAsia="宋体" w:cs="宋体"/>
          <w:color w:val="auto"/>
          <w:szCs w:val="21"/>
          <w:u w:val="none"/>
        </w:rPr>
        <w:t>月</w:t>
      </w:r>
      <w:r>
        <w:rPr>
          <w:rFonts w:hint="eastAsia" w:ascii="宋体" w:hAnsi="宋体" w:cs="宋体"/>
          <w:color w:val="auto"/>
          <w:szCs w:val="21"/>
          <w:u w:val="none"/>
          <w:lang w:val="en-US" w:eastAsia="zh-CN"/>
        </w:rPr>
        <w:t>11</w:t>
      </w:r>
      <w:r>
        <w:rPr>
          <w:rFonts w:hint="eastAsia" w:ascii="宋体" w:hAnsi="宋体" w:eastAsia="宋体" w:cs="宋体"/>
          <w:color w:val="auto"/>
          <w:szCs w:val="21"/>
          <w:u w:val="none"/>
        </w:rPr>
        <w:t>日（北京时间）；每天上午08:00至12:00，下午12:00至18:00（北京时间，法定节假日除外。）</w:t>
      </w:r>
    </w:p>
    <w:p w14:paraId="431DC70E">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2</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地点：登陆《</w:t>
      </w:r>
      <w:r>
        <w:rPr>
          <w:rFonts w:hint="eastAsia" w:ascii="宋体" w:hAnsi="宋体" w:cs="宋体"/>
          <w:color w:val="auto"/>
          <w:szCs w:val="21"/>
          <w:u w:val="none"/>
          <w:lang w:eastAsia="zh-CN"/>
        </w:rPr>
        <w:t>固始县公共资源交易网</w:t>
      </w:r>
      <w:r>
        <w:rPr>
          <w:rFonts w:hint="eastAsia" w:ascii="宋体" w:hAnsi="宋体" w:eastAsia="宋体" w:cs="宋体"/>
          <w:color w:val="auto"/>
          <w:szCs w:val="21"/>
          <w:u w:val="none"/>
        </w:rPr>
        <w:t>》，凭办理的企业身份认证锁（CA数字证书）登陆会员系统进行网上投标；</w:t>
      </w:r>
    </w:p>
    <w:p w14:paraId="588231D9">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3</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方式：供应商凭CA数字证书登陆会员系统后，即可按网上提示免费下载磋商文件及资料（操作程序详见</w:t>
      </w:r>
      <w:r>
        <w:rPr>
          <w:rFonts w:hint="eastAsia" w:ascii="宋体" w:hAnsi="宋体" w:eastAsia="宋体" w:cs="宋体"/>
          <w:color w:val="auto"/>
          <w:szCs w:val="21"/>
          <w:u w:val="none"/>
          <w:lang w:val="en-US" w:eastAsia="zh-CN"/>
        </w:rPr>
        <w:t>固始县</w:t>
      </w:r>
      <w:r>
        <w:rPr>
          <w:rFonts w:hint="eastAsia" w:ascii="宋体" w:hAnsi="宋体" w:eastAsia="宋体" w:cs="宋体"/>
          <w:color w:val="auto"/>
          <w:szCs w:val="21"/>
          <w:u w:val="none"/>
        </w:rPr>
        <w:t>公共资源交易中心网站下载中心栏目里供应商操作手册）。磋商文件(*</w:t>
      </w:r>
      <w:r>
        <w:rPr>
          <w:rFonts w:hint="eastAsia" w:ascii="宋体" w:hAnsi="宋体" w:eastAsia="宋体" w:cs="宋体"/>
          <w:color w:val="auto"/>
          <w:szCs w:val="21"/>
          <w:u w:val="none"/>
          <w:lang w:eastAsia="zh-CN"/>
        </w:rPr>
        <w:t>.gszf</w:t>
      </w:r>
      <w:r>
        <w:rPr>
          <w:rFonts w:hint="eastAsia" w:ascii="宋体" w:hAnsi="宋体" w:eastAsia="宋体" w:cs="宋体"/>
          <w:color w:val="auto"/>
          <w:szCs w:val="21"/>
          <w:u w:val="none"/>
        </w:rPr>
        <w:t>格式)下载后需使用“</w:t>
      </w:r>
      <w:r>
        <w:rPr>
          <w:rFonts w:hint="eastAsia" w:ascii="宋体" w:hAnsi="宋体" w:eastAsia="宋体" w:cs="宋体"/>
          <w:color w:val="auto"/>
          <w:szCs w:val="21"/>
          <w:u w:val="none"/>
          <w:lang w:eastAsia="zh-CN"/>
        </w:rPr>
        <w:t>固始县电子投标文件制作工具软件</w:t>
      </w:r>
      <w:r>
        <w:rPr>
          <w:rFonts w:hint="eastAsia" w:ascii="宋体" w:hAnsi="宋体" w:eastAsia="宋体" w:cs="宋体"/>
          <w:color w:val="auto"/>
          <w:szCs w:val="21"/>
          <w:u w:val="none"/>
        </w:rPr>
        <w:t>”打开（该工具软件可在“</w:t>
      </w:r>
      <w:r>
        <w:rPr>
          <w:rFonts w:hint="eastAsia" w:ascii="宋体" w:hAnsi="宋体" w:eastAsia="宋体" w:cs="宋体"/>
          <w:color w:val="auto"/>
          <w:szCs w:val="21"/>
          <w:u w:val="none"/>
          <w:lang w:eastAsia="zh-CN"/>
        </w:rPr>
        <w:t>固始县公共资源交易中心（</w:t>
      </w:r>
      <w:r>
        <w:rPr>
          <w:rFonts w:hint="eastAsia" w:ascii="宋体" w:hAnsi="宋体" w:cs="宋体"/>
          <w:color w:val="auto"/>
          <w:szCs w:val="21"/>
          <w:u w:val="none"/>
          <w:lang w:eastAsia="zh-CN"/>
        </w:rPr>
        <w:t>http://gushi.xyggzyjy.cn</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网站下载中心栏目内下载或在磋商文件领取页面下载）。请供应商下载磋商文件后，及时关注系统业务菜单（“答疑澄清文件领取”、“控制价文件领取”）内该项目是否有的新的答疑澄清文件或控制价文件。如有请直接下载，不再另行通知。</w:t>
      </w:r>
    </w:p>
    <w:p w14:paraId="4F627EA9">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4</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售价：0元。</w:t>
      </w:r>
    </w:p>
    <w:p w14:paraId="7A1817C5">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u w:val="none"/>
        </w:rPr>
      </w:pPr>
      <w:r>
        <w:rPr>
          <w:rFonts w:hint="eastAsia" w:ascii="宋体" w:hAnsi="宋体" w:eastAsia="宋体" w:cs="宋体"/>
          <w:b/>
          <w:color w:val="auto"/>
          <w:szCs w:val="21"/>
          <w:u w:val="none"/>
        </w:rPr>
        <w:t>四、提交响应文件截止时间及地点</w:t>
      </w:r>
    </w:p>
    <w:p w14:paraId="6E43C672">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1、时间：</w:t>
      </w:r>
      <w:r>
        <w:rPr>
          <w:rFonts w:hint="eastAsia" w:ascii="宋体" w:hAnsi="宋体" w:cs="宋体"/>
          <w:color w:val="auto"/>
          <w:szCs w:val="21"/>
          <w:u w:val="none"/>
          <w:lang w:eastAsia="zh-CN"/>
        </w:rPr>
        <w:t>2025年9月19日</w:t>
      </w:r>
      <w:r>
        <w:rPr>
          <w:rFonts w:hint="eastAsia" w:ascii="宋体" w:hAnsi="宋体" w:eastAsia="宋体" w:cs="宋体"/>
          <w:color w:val="auto"/>
          <w:szCs w:val="21"/>
          <w:u w:val="none"/>
        </w:rPr>
        <w:t>08时30分(北京时间）。</w:t>
      </w:r>
    </w:p>
    <w:p w14:paraId="15FCF70F">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2、地点：投标人必须在投标截止时间前通过</w:t>
      </w:r>
      <w:r>
        <w:rPr>
          <w:rFonts w:hint="eastAsia" w:ascii="宋体" w:hAnsi="宋体" w:eastAsia="宋体" w:cs="宋体"/>
          <w:color w:val="auto"/>
          <w:szCs w:val="21"/>
          <w:u w:val="none"/>
          <w:lang w:eastAsia="zh-CN"/>
        </w:rPr>
        <w:t>固始县公共资源交易中心</w:t>
      </w:r>
      <w:r>
        <w:rPr>
          <w:rFonts w:hint="eastAsia" w:ascii="宋体" w:hAnsi="宋体" w:eastAsia="宋体" w:cs="宋体"/>
          <w:color w:val="auto"/>
          <w:szCs w:val="21"/>
          <w:u w:val="none"/>
        </w:rPr>
        <w:t>电子招投标系统上传电子响应文件(</w:t>
      </w:r>
      <w:r>
        <w:rPr>
          <w:rFonts w:hint="eastAsia" w:ascii="宋体" w:hAnsi="宋体" w:eastAsia="宋体" w:cs="宋体"/>
          <w:color w:val="auto"/>
          <w:szCs w:val="21"/>
          <w:u w:val="none"/>
          <w:lang w:eastAsia="zh-CN"/>
        </w:rPr>
        <w:t>*.gstf</w:t>
      </w:r>
      <w:r>
        <w:rPr>
          <w:rFonts w:hint="eastAsia" w:ascii="宋体" w:hAnsi="宋体" w:eastAsia="宋体" w:cs="宋体"/>
          <w:color w:val="auto"/>
          <w:szCs w:val="21"/>
          <w:u w:val="none"/>
        </w:rPr>
        <w:t>格式)。上传的电子响应文件应使用投标人CA数字证书认证并加密。</w:t>
      </w:r>
    </w:p>
    <w:p w14:paraId="292CD7DE">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3、加密电子响应文件逾期上传的招标人不予受理。</w:t>
      </w:r>
    </w:p>
    <w:p w14:paraId="6390DECA">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u w:val="none"/>
        </w:rPr>
      </w:pPr>
      <w:r>
        <w:rPr>
          <w:rFonts w:hint="eastAsia" w:ascii="宋体" w:hAnsi="宋体" w:eastAsia="宋体" w:cs="宋体"/>
          <w:b/>
          <w:color w:val="auto"/>
          <w:szCs w:val="21"/>
          <w:u w:val="none"/>
        </w:rPr>
        <w:t>五、开标时间及地点</w:t>
      </w:r>
    </w:p>
    <w:p w14:paraId="7D421847">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1</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时间：</w:t>
      </w:r>
      <w:r>
        <w:rPr>
          <w:rFonts w:hint="eastAsia" w:ascii="宋体" w:hAnsi="宋体" w:cs="宋体"/>
          <w:color w:val="auto"/>
          <w:szCs w:val="21"/>
          <w:u w:val="none"/>
          <w:lang w:eastAsia="zh-CN"/>
        </w:rPr>
        <w:t>2025年9月19日</w:t>
      </w:r>
      <w:r>
        <w:rPr>
          <w:rFonts w:hint="eastAsia" w:ascii="宋体" w:hAnsi="宋体" w:eastAsia="宋体" w:cs="宋体"/>
          <w:color w:val="auto"/>
          <w:szCs w:val="21"/>
          <w:u w:val="none"/>
        </w:rPr>
        <w:t>08时30分(北京时间）</w:t>
      </w:r>
    </w:p>
    <w:p w14:paraId="0B97CB91">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2</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地点：</w:t>
      </w:r>
      <w:r>
        <w:rPr>
          <w:rFonts w:hint="eastAsia" w:ascii="宋体" w:hAnsi="宋体" w:eastAsia="宋体" w:cs="宋体"/>
          <w:color w:val="auto"/>
          <w:szCs w:val="21"/>
          <w:u w:val="none"/>
          <w:lang w:eastAsia="zh-CN"/>
        </w:rPr>
        <w:t>固始县公共资源交易中心</w:t>
      </w:r>
      <w:r>
        <w:rPr>
          <w:rFonts w:hint="eastAsia" w:ascii="宋体" w:hAnsi="宋体" w:eastAsia="宋体" w:cs="宋体"/>
          <w:color w:val="auto"/>
          <w:szCs w:val="21"/>
          <w:u w:val="none"/>
          <w:lang w:val="en-US" w:eastAsia="zh-CN"/>
        </w:rPr>
        <w:t>六</w:t>
      </w:r>
      <w:r>
        <w:rPr>
          <w:rFonts w:hint="eastAsia" w:ascii="宋体" w:hAnsi="宋体" w:eastAsia="宋体" w:cs="宋体"/>
          <w:color w:val="auto"/>
          <w:szCs w:val="21"/>
          <w:u w:val="none"/>
        </w:rPr>
        <w:t>楼</w:t>
      </w:r>
      <w:r>
        <w:rPr>
          <w:rFonts w:hint="eastAsia" w:ascii="宋体" w:hAnsi="宋体" w:cs="宋体"/>
          <w:color w:val="auto"/>
          <w:szCs w:val="21"/>
          <w:u w:val="none"/>
          <w:lang w:eastAsia="zh-CN"/>
        </w:rPr>
        <w:t>不见面第三开标室</w:t>
      </w:r>
      <w:r>
        <w:rPr>
          <w:rFonts w:hint="eastAsia" w:ascii="宋体" w:hAnsi="宋体" w:eastAsia="宋体" w:cs="宋体"/>
          <w:color w:val="auto"/>
          <w:szCs w:val="21"/>
          <w:u w:val="none"/>
        </w:rPr>
        <w:t>。</w:t>
      </w:r>
    </w:p>
    <w:p w14:paraId="7F1492CD">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u w:val="none"/>
        </w:rPr>
      </w:pPr>
      <w:r>
        <w:rPr>
          <w:rFonts w:hint="eastAsia" w:ascii="宋体" w:hAnsi="宋体" w:eastAsia="宋体" w:cs="宋体"/>
          <w:b/>
          <w:color w:val="auto"/>
          <w:szCs w:val="21"/>
          <w:u w:val="none"/>
        </w:rPr>
        <w:t>六、发布公告的媒介及招标公告期限</w:t>
      </w:r>
    </w:p>
    <w:p w14:paraId="0DDF7DCC">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本公告在《河南省政府采购网</w:t>
      </w:r>
      <w:r>
        <w:rPr>
          <w:rFonts w:hint="eastAsia" w:ascii="宋体" w:hAnsi="宋体" w:cs="宋体"/>
          <w:color w:val="auto"/>
          <w:szCs w:val="21"/>
          <w:u w:val="none"/>
          <w:lang w:eastAsia="zh-CN"/>
        </w:rPr>
        <w:t>》</w:t>
      </w:r>
      <w:r>
        <w:rPr>
          <w:rFonts w:hint="eastAsia" w:ascii="宋体" w:hAnsi="宋体" w:eastAsia="宋体" w:cs="宋体"/>
          <w:color w:val="auto"/>
          <w:szCs w:val="21"/>
          <w:u w:val="none"/>
        </w:rPr>
        <w:t>和《</w:t>
      </w:r>
      <w:r>
        <w:rPr>
          <w:rFonts w:hint="eastAsia" w:ascii="宋体" w:hAnsi="宋体" w:cs="宋体"/>
          <w:color w:val="auto"/>
          <w:szCs w:val="21"/>
          <w:u w:val="none"/>
          <w:lang w:eastAsia="zh-CN"/>
        </w:rPr>
        <w:t>固始县公共资源交易网</w:t>
      </w:r>
      <w:r>
        <w:rPr>
          <w:rFonts w:hint="eastAsia" w:ascii="宋体" w:hAnsi="宋体" w:eastAsia="宋体" w:cs="宋体"/>
          <w:color w:val="auto"/>
          <w:szCs w:val="21"/>
          <w:u w:val="none"/>
        </w:rPr>
        <w:t>》上发布。</w:t>
      </w:r>
    </w:p>
    <w:p w14:paraId="54B9F432">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公告期限为五个工作日。</w:t>
      </w:r>
    </w:p>
    <w:p w14:paraId="0A007942">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u w:val="none"/>
        </w:rPr>
      </w:pPr>
      <w:r>
        <w:rPr>
          <w:rFonts w:hint="eastAsia" w:ascii="宋体" w:hAnsi="宋体" w:eastAsia="宋体" w:cs="宋体"/>
          <w:b/>
          <w:color w:val="auto"/>
          <w:szCs w:val="21"/>
          <w:u w:val="none"/>
        </w:rPr>
        <w:t>七、其他补充事宜：</w:t>
      </w:r>
    </w:p>
    <w:p w14:paraId="4CAF081E">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u w:val="none"/>
        </w:rPr>
      </w:pPr>
      <w:r>
        <w:rPr>
          <w:rFonts w:hint="eastAsia" w:ascii="宋体" w:hAnsi="宋体" w:eastAsia="宋体" w:cs="宋体"/>
          <w:color w:val="auto"/>
          <w:szCs w:val="21"/>
          <w:u w:val="none"/>
        </w:rPr>
        <w:t>1</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各投标人应在投标文件递交截止时间前上传加密的电子响应文件到系统的指定位置。上传的电子响应文件应使用投标人CA数字证书认证并加密。上传时必须得到交易系统“上传成功”的确认回复后方为上传成功。请投标人在上传前务必认真检查上传响应文件是否完整、正确。</w:t>
      </w:r>
    </w:p>
    <w:p w14:paraId="7DDAB6E9">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u w:val="none"/>
        </w:rPr>
        <w:t>2</w:t>
      </w:r>
      <w:r>
        <w:rPr>
          <w:rFonts w:hint="eastAsia" w:ascii="宋体" w:hAnsi="宋体" w:eastAsia="宋体" w:cs="宋体"/>
          <w:color w:val="auto"/>
          <w:szCs w:val="21"/>
          <w:u w:val="none"/>
          <w:lang w:eastAsia="zh-CN"/>
        </w:rPr>
        <w:t>、</w:t>
      </w:r>
      <w:r>
        <w:rPr>
          <w:rFonts w:hint="eastAsia" w:ascii="宋体" w:hAnsi="宋体" w:eastAsia="宋体" w:cs="宋体"/>
          <w:color w:val="auto"/>
          <w:szCs w:val="21"/>
          <w:u w:val="none"/>
        </w:rPr>
        <w:t>本项目采用“不见面开标”交易方式，不见面开标大厅网址为</w:t>
      </w:r>
      <w:r>
        <w:rPr>
          <w:rFonts w:hint="eastAsia" w:ascii="宋体" w:hAnsi="宋体" w:cs="宋体"/>
          <w:color w:val="auto"/>
          <w:szCs w:val="21"/>
          <w:lang w:eastAsia="zh-CN"/>
        </w:rPr>
        <w:t>https://ggzyjy.xinyang.gov.cn/BidOpening/bidhall/xinyang/login.html</w:t>
      </w:r>
      <w:r>
        <w:rPr>
          <w:rFonts w:hint="eastAsia" w:ascii="宋体" w:hAnsi="宋体" w:eastAsia="宋体" w:cs="宋体"/>
          <w:color w:val="auto"/>
          <w:szCs w:val="21"/>
        </w:rPr>
        <w:t>。投标人无需寄送和递交非加密的电子投标文件，无需到现场参加开标会议，无需到达现场提交原件资料。</w:t>
      </w:r>
    </w:p>
    <w:p w14:paraId="7E321BC9">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eastAsia="宋体" w:cs="宋体"/>
          <w:color w:val="auto"/>
          <w:szCs w:val="21"/>
          <w:lang w:eastAsia="zh-CN"/>
        </w:rPr>
        <w:t>、</w:t>
      </w:r>
      <w:r>
        <w:rPr>
          <w:rFonts w:hint="eastAsia" w:ascii="宋体" w:hAnsi="宋体" w:eastAsia="宋体" w:cs="宋体"/>
          <w:color w:val="auto"/>
          <w:szCs w:val="21"/>
        </w:rPr>
        <w:t>投标人应当在投标截止时间前，使用投标人CA数字证书登录不见面开标大厅，在线签到并准时参加开标活动，并在规定时间内完成投标文件解密、答疑澄清等。</w:t>
      </w:r>
    </w:p>
    <w:p w14:paraId="2B32E16C">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w:t>
      </w:r>
      <w:r>
        <w:rPr>
          <w:rFonts w:hint="eastAsia" w:ascii="宋体" w:hAnsi="宋体" w:eastAsia="宋体" w:cs="宋体"/>
          <w:color w:val="auto"/>
          <w:szCs w:val="21"/>
          <w:lang w:eastAsia="zh-CN"/>
        </w:rPr>
        <w:t>、</w:t>
      </w:r>
      <w:r>
        <w:rPr>
          <w:rFonts w:hint="eastAsia" w:ascii="宋体" w:hAnsi="宋体" w:eastAsia="宋体" w:cs="宋体"/>
          <w:color w:val="auto"/>
          <w:szCs w:val="21"/>
        </w:rPr>
        <w:t>逾期解密或者没有准时在线</w:t>
      </w:r>
      <w:r>
        <w:rPr>
          <w:rFonts w:hint="eastAsia" w:ascii="宋体" w:hAnsi="宋体" w:eastAsia="宋体" w:cs="宋体"/>
          <w:color w:val="auto"/>
          <w:szCs w:val="21"/>
          <w:lang w:val="en-US" w:eastAsia="zh-CN"/>
        </w:rPr>
        <w:t>签到</w:t>
      </w:r>
      <w:r>
        <w:rPr>
          <w:rFonts w:hint="eastAsia" w:ascii="宋体" w:hAnsi="宋体" w:eastAsia="宋体" w:cs="宋体"/>
          <w:color w:val="auto"/>
          <w:szCs w:val="21"/>
        </w:rPr>
        <w:t>参加开标活动导致的一切后果投标人自行承担。</w:t>
      </w:r>
    </w:p>
    <w:p w14:paraId="2CCD5F64">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5</w:t>
      </w:r>
      <w:r>
        <w:rPr>
          <w:rFonts w:hint="eastAsia" w:ascii="宋体" w:hAnsi="宋体" w:eastAsia="宋体" w:cs="宋体"/>
          <w:color w:val="auto"/>
          <w:szCs w:val="21"/>
          <w:lang w:eastAsia="zh-CN"/>
        </w:rPr>
        <w:t>、</w:t>
      </w:r>
      <w:r>
        <w:rPr>
          <w:rFonts w:hint="eastAsia" w:ascii="宋体" w:hAnsi="宋体" w:eastAsia="宋体" w:cs="宋体"/>
          <w:color w:val="auto"/>
          <w:szCs w:val="21"/>
        </w:rPr>
        <w:t>不见面开标服务的具体事宜，请查阅固始县公共资源交易中心网站首页—下载中心—固始县不见面开标大厅系统操作手册。</w:t>
      </w:r>
    </w:p>
    <w:p w14:paraId="6751EF2E">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6</w:t>
      </w:r>
      <w:r>
        <w:rPr>
          <w:rFonts w:hint="eastAsia" w:ascii="宋体" w:hAnsi="宋体" w:eastAsia="宋体" w:cs="宋体"/>
          <w:color w:val="auto"/>
          <w:szCs w:val="21"/>
          <w:lang w:eastAsia="zh-CN"/>
        </w:rPr>
        <w:t>、</w:t>
      </w:r>
      <w:r>
        <w:rPr>
          <w:rFonts w:hint="eastAsia" w:ascii="宋体" w:hAnsi="宋体" w:eastAsia="宋体" w:cs="宋体"/>
          <w:color w:val="auto"/>
          <w:szCs w:val="21"/>
        </w:rPr>
        <w:t>特别提示：本项目的采购方式为竞争性磋商，需要各投标人进行二次报价，第二轮报价在不见面开标系统上远程报价，故投标人在线签到时，应如实准确的填写授权委托人的联系电话，开标当天请务必保证电话畅通，否则引发的后果由投标人自行承担。</w:t>
      </w:r>
    </w:p>
    <w:p w14:paraId="3A7507C6">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本项目评标以电子投标文件为依据，未在投标截止时间前上传电子投标文件的投标人，视为自动放弃其投标。</w:t>
      </w:r>
    </w:p>
    <w:p w14:paraId="05C3F2A3">
      <w:pPr>
        <w:pageBreakBefore w:val="0"/>
        <w:tabs>
          <w:tab w:val="left" w:pos="709"/>
        </w:tabs>
        <w:kinsoku/>
        <w:wordWrap w:val="0"/>
        <w:overflowPunct/>
        <w:autoSpaceDE w:val="0"/>
        <w:autoSpaceDN w:val="0"/>
        <w:bidi w:val="0"/>
        <w:adjustRightInd w:val="0"/>
        <w:snapToGrid w:val="0"/>
        <w:spacing w:line="360" w:lineRule="auto"/>
        <w:ind w:left="210" w:leftChars="100" w:firstLine="422" w:firstLineChars="200"/>
        <w:jc w:val="left"/>
        <w:rPr>
          <w:rFonts w:hint="eastAsia" w:ascii="宋体" w:hAnsi="宋体" w:eastAsia="宋体" w:cs="宋体"/>
          <w:b/>
          <w:color w:val="auto"/>
          <w:szCs w:val="21"/>
        </w:rPr>
      </w:pPr>
      <w:r>
        <w:rPr>
          <w:rFonts w:hint="eastAsia" w:ascii="宋体" w:hAnsi="宋体" w:eastAsia="宋体" w:cs="宋体"/>
          <w:b/>
          <w:color w:val="auto"/>
          <w:szCs w:val="21"/>
        </w:rPr>
        <w:t>八、对本次招标提出询问，请按以下方式联系</w:t>
      </w:r>
    </w:p>
    <w:p w14:paraId="5E558D15">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1、采购人信息</w:t>
      </w:r>
    </w:p>
    <w:p w14:paraId="03E78D19">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名 称：</w:t>
      </w:r>
      <w:r>
        <w:rPr>
          <w:rFonts w:hint="eastAsia" w:ascii="宋体" w:hAnsi="宋体" w:cs="宋体"/>
          <w:color w:val="auto"/>
          <w:szCs w:val="21"/>
          <w:lang w:eastAsia="zh-CN"/>
        </w:rPr>
        <w:t>国有固始林场</w:t>
      </w:r>
    </w:p>
    <w:p w14:paraId="14B4BE34">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rPr>
        <w:t>地 址：</w:t>
      </w:r>
      <w:r>
        <w:rPr>
          <w:rFonts w:hint="eastAsia" w:ascii="宋体" w:hAnsi="宋体" w:cs="宋体"/>
          <w:color w:val="auto"/>
          <w:szCs w:val="21"/>
          <w:lang w:eastAsia="zh-CN"/>
        </w:rPr>
        <w:t>河南省固始县林场路13号</w:t>
      </w:r>
    </w:p>
    <w:p w14:paraId="21359AB3">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联系人：</w:t>
      </w:r>
      <w:r>
        <w:rPr>
          <w:rFonts w:hint="eastAsia" w:ascii="宋体" w:hAnsi="宋体" w:cs="宋体"/>
          <w:color w:val="auto"/>
          <w:szCs w:val="21"/>
          <w:lang w:eastAsia="zh-CN"/>
        </w:rPr>
        <w:t>李玉柱</w:t>
      </w:r>
    </w:p>
    <w:p w14:paraId="6D67E941">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rPr>
        <w:t>联系方式：</w:t>
      </w:r>
      <w:r>
        <w:rPr>
          <w:rFonts w:hint="eastAsia" w:ascii="宋体" w:hAnsi="宋体" w:cs="宋体"/>
          <w:color w:val="auto"/>
          <w:szCs w:val="21"/>
          <w:lang w:val="en-US" w:eastAsia="zh-CN"/>
        </w:rPr>
        <w:t>13323978571</w:t>
      </w:r>
    </w:p>
    <w:p w14:paraId="6E44AA67">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2、采购代理机构信息</w:t>
      </w:r>
    </w:p>
    <w:p w14:paraId="0B32C2F0">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名 称：</w:t>
      </w:r>
      <w:r>
        <w:rPr>
          <w:rFonts w:hint="eastAsia" w:ascii="宋体" w:hAnsi="宋体" w:cs="宋体"/>
          <w:color w:val="auto"/>
          <w:szCs w:val="21"/>
          <w:lang w:eastAsia="zh-CN"/>
        </w:rPr>
        <w:t>河南峻嘉工程管理有限公司</w:t>
      </w:r>
    </w:p>
    <w:p w14:paraId="4A5E239D">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地 址：</w:t>
      </w:r>
      <w:r>
        <w:rPr>
          <w:rFonts w:hint="eastAsia" w:ascii="宋体" w:hAnsi="宋体" w:cs="宋体"/>
          <w:color w:val="auto"/>
          <w:szCs w:val="21"/>
          <w:lang w:eastAsia="zh-CN"/>
        </w:rPr>
        <w:t>固始县陈元光大道与根亲大道交叉口西南角</w:t>
      </w:r>
    </w:p>
    <w:p w14:paraId="110AF036">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联系人：</w:t>
      </w:r>
      <w:r>
        <w:rPr>
          <w:rFonts w:hint="eastAsia" w:ascii="宋体" w:hAnsi="宋体" w:cs="宋体"/>
          <w:color w:val="auto"/>
          <w:szCs w:val="21"/>
          <w:lang w:eastAsia="zh-CN"/>
        </w:rPr>
        <w:t>王倪</w:t>
      </w:r>
    </w:p>
    <w:p w14:paraId="30ACAEDA">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联系方式：</w:t>
      </w:r>
      <w:r>
        <w:rPr>
          <w:rFonts w:hint="eastAsia" w:ascii="宋体" w:hAnsi="宋体" w:cs="宋体"/>
          <w:color w:val="auto"/>
          <w:szCs w:val="21"/>
          <w:lang w:eastAsia="zh-CN"/>
        </w:rPr>
        <w:t>18538493717</w:t>
      </w:r>
    </w:p>
    <w:p w14:paraId="424A7055">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3、项目联系方式</w:t>
      </w:r>
    </w:p>
    <w:p w14:paraId="4EDFAE6F">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联系人：</w:t>
      </w:r>
      <w:r>
        <w:rPr>
          <w:rFonts w:hint="eastAsia" w:ascii="宋体" w:hAnsi="宋体" w:cs="宋体"/>
          <w:color w:val="auto"/>
          <w:szCs w:val="21"/>
          <w:lang w:eastAsia="zh-CN"/>
        </w:rPr>
        <w:t>王倪</w:t>
      </w:r>
    </w:p>
    <w:p w14:paraId="1FB6F9F4">
      <w:pPr>
        <w:pageBreakBefore w:val="0"/>
        <w:tabs>
          <w:tab w:val="left" w:pos="709"/>
        </w:tabs>
        <w:kinsoku/>
        <w:wordWrap w:val="0"/>
        <w:overflowPunct/>
        <w:autoSpaceDE w:val="0"/>
        <w:autoSpaceDN w:val="0"/>
        <w:bidi w:val="0"/>
        <w:adjustRightInd w:val="0"/>
        <w:snapToGrid w:val="0"/>
        <w:spacing w:line="360" w:lineRule="auto"/>
        <w:ind w:left="210" w:leftChars="100"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联系方式：</w:t>
      </w:r>
      <w:r>
        <w:rPr>
          <w:rFonts w:hint="eastAsia" w:ascii="宋体" w:hAnsi="宋体" w:cs="宋体"/>
          <w:color w:val="auto"/>
          <w:szCs w:val="21"/>
          <w:lang w:eastAsia="zh-CN"/>
        </w:rPr>
        <w:t>18538493717</w:t>
      </w:r>
    </w:p>
    <w:p w14:paraId="75F2B77C">
      <w:pPr>
        <w:pageBreakBefore w:val="0"/>
        <w:numPr>
          <w:ilvl w:val="0"/>
          <w:numId w:val="1"/>
        </w:numPr>
        <w:kinsoku/>
        <w:wordWrap w:val="0"/>
        <w:overflowPunct/>
        <w:autoSpaceDE w:val="0"/>
        <w:autoSpaceDN w:val="0"/>
        <w:bidi w:val="0"/>
        <w:adjustRightInd w:val="0"/>
        <w:snapToGrid w:val="0"/>
        <w:spacing w:after="120" w:afterLines="50"/>
        <w:jc w:val="center"/>
        <w:outlineLvl w:val="0"/>
        <w:rPr>
          <w:rFonts w:hint="eastAsia" w:ascii="宋体" w:hAnsi="宋体" w:eastAsia="宋体" w:cs="宋体"/>
          <w:b/>
          <w:bCs/>
          <w:color w:val="auto"/>
          <w:kern w:val="44"/>
          <w:sz w:val="44"/>
          <w:szCs w:val="44"/>
          <w:lang w:val="en-US" w:eastAsia="zh-CN" w:bidi="ar-SA"/>
        </w:rPr>
      </w:pPr>
      <w:r>
        <w:rPr>
          <w:rFonts w:hint="eastAsia" w:ascii="宋体" w:hAnsi="宋体" w:eastAsia="宋体" w:cs="宋体"/>
          <w:b/>
          <w:bCs/>
          <w:color w:val="auto"/>
          <w:kern w:val="0"/>
          <w:sz w:val="32"/>
          <w:szCs w:val="32"/>
        </w:rPr>
        <w:br w:type="page"/>
      </w:r>
      <w:bookmarkStart w:id="7" w:name="_Toc26326"/>
      <w:r>
        <w:rPr>
          <w:rFonts w:hint="eastAsia" w:ascii="宋体" w:hAnsi="宋体" w:eastAsia="宋体" w:cs="宋体"/>
          <w:b/>
          <w:bCs/>
          <w:color w:val="auto"/>
          <w:kern w:val="44"/>
          <w:sz w:val="44"/>
          <w:szCs w:val="44"/>
          <w:lang w:val="en-US" w:eastAsia="zh-CN" w:bidi="ar-SA"/>
        </w:rPr>
        <w:t>供应商须知</w:t>
      </w:r>
      <w:bookmarkEnd w:id="6"/>
      <w:bookmarkEnd w:id="7"/>
    </w:p>
    <w:p w14:paraId="11CD2A4A">
      <w:pPr>
        <w:pageBreakBefore w:val="0"/>
        <w:kinsoku/>
        <w:wordWrap w:val="0"/>
        <w:overflowPunct/>
        <w:autoSpaceDE w:val="0"/>
        <w:autoSpaceDN w:val="0"/>
        <w:bidi w:val="0"/>
        <w:adjustRightInd w:val="0"/>
        <w:snapToGrid w:val="0"/>
        <w:spacing w:after="120" w:afterLines="50"/>
        <w:ind w:firstLine="2891" w:firstLineChars="1200"/>
        <w:outlineLvl w:val="1"/>
        <w:rPr>
          <w:rFonts w:hint="eastAsia" w:ascii="宋体" w:hAnsi="宋体" w:eastAsia="宋体" w:cs="宋体"/>
          <w:b/>
          <w:color w:val="auto"/>
          <w:kern w:val="0"/>
          <w:sz w:val="24"/>
        </w:rPr>
      </w:pPr>
      <w:bookmarkStart w:id="8" w:name="_Toc2549"/>
      <w:r>
        <w:rPr>
          <w:rFonts w:hint="eastAsia" w:ascii="宋体" w:hAnsi="宋体" w:eastAsia="宋体" w:cs="宋体"/>
          <w:b/>
          <w:color w:val="auto"/>
          <w:kern w:val="0"/>
          <w:sz w:val="24"/>
        </w:rPr>
        <w:t>（一）供应商须知前附表</w:t>
      </w:r>
      <w:bookmarkEnd w:id="8"/>
    </w:p>
    <w:tbl>
      <w:tblPr>
        <w:tblStyle w:val="51"/>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416"/>
        <w:gridCol w:w="6219"/>
      </w:tblGrid>
      <w:tr w14:paraId="13BD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16" w:type="dxa"/>
            <w:noWrap w:val="0"/>
            <w:vAlign w:val="center"/>
          </w:tcPr>
          <w:p w14:paraId="44E06E31">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条款号</w:t>
            </w:r>
          </w:p>
        </w:tc>
        <w:tc>
          <w:tcPr>
            <w:tcW w:w="2416" w:type="dxa"/>
            <w:noWrap w:val="0"/>
            <w:vAlign w:val="center"/>
          </w:tcPr>
          <w:p w14:paraId="2394A106">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条 款 名 称</w:t>
            </w:r>
          </w:p>
        </w:tc>
        <w:tc>
          <w:tcPr>
            <w:tcW w:w="6219" w:type="dxa"/>
            <w:noWrap w:val="0"/>
            <w:vAlign w:val="center"/>
          </w:tcPr>
          <w:p w14:paraId="32B35485">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编 列 内 容</w:t>
            </w:r>
          </w:p>
        </w:tc>
      </w:tr>
      <w:tr w14:paraId="30A4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16" w:type="dxa"/>
            <w:noWrap w:val="0"/>
            <w:vAlign w:val="center"/>
          </w:tcPr>
          <w:p w14:paraId="47DFF305">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1.2.1</w:t>
            </w:r>
          </w:p>
        </w:tc>
        <w:tc>
          <w:tcPr>
            <w:tcW w:w="2416" w:type="dxa"/>
            <w:noWrap w:val="0"/>
            <w:vAlign w:val="center"/>
          </w:tcPr>
          <w:p w14:paraId="7022A638">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采购人</w:t>
            </w:r>
          </w:p>
        </w:tc>
        <w:tc>
          <w:tcPr>
            <w:tcW w:w="6219" w:type="dxa"/>
            <w:noWrap w:val="0"/>
            <w:vAlign w:val="center"/>
          </w:tcPr>
          <w:p w14:paraId="720A4657">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 称：</w:t>
            </w:r>
            <w:r>
              <w:rPr>
                <w:rFonts w:hint="eastAsia" w:ascii="宋体" w:hAnsi="宋体" w:cs="宋体"/>
                <w:color w:val="auto"/>
                <w:sz w:val="21"/>
                <w:szCs w:val="21"/>
                <w:lang w:eastAsia="zh-CN"/>
              </w:rPr>
              <w:t>国有固始林场</w:t>
            </w:r>
          </w:p>
          <w:p w14:paraId="1E63ACAE">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 址：</w:t>
            </w:r>
            <w:r>
              <w:rPr>
                <w:rFonts w:hint="eastAsia" w:ascii="宋体" w:hAnsi="宋体" w:cs="宋体"/>
                <w:color w:val="auto"/>
                <w:sz w:val="21"/>
                <w:szCs w:val="21"/>
                <w:lang w:eastAsia="zh-CN"/>
              </w:rPr>
              <w:t>河南省固始县林场路13号</w:t>
            </w:r>
          </w:p>
          <w:p w14:paraId="06D5834F">
            <w:pPr>
              <w:keepNext w:val="0"/>
              <w:keepLines w:val="0"/>
              <w:pageBreakBefore w:val="0"/>
              <w:suppressLineNumbers w:val="0"/>
              <w:tabs>
                <w:tab w:val="left" w:pos="709"/>
              </w:tabs>
              <w:kinsoku/>
              <w:wordWrap w:val="0"/>
              <w:overflowPunct/>
              <w:autoSpaceDE w:val="0"/>
              <w:autoSpaceDN w:val="0"/>
              <w:bidi w:val="0"/>
              <w:adjustRightInd w:val="0"/>
              <w:snapToGrid w:val="0"/>
              <w:spacing w:before="72" w:beforeLines="30" w:beforeAutospacing="0" w:after="0" w:afterAutospacing="0" w:line="288" w:lineRule="auto"/>
              <w:ind w:left="21" w:leftChars="10" w:right="21" w:rightChars="1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联系人：</w:t>
            </w:r>
            <w:r>
              <w:rPr>
                <w:rFonts w:hint="eastAsia" w:ascii="宋体" w:hAnsi="宋体" w:cs="宋体"/>
                <w:color w:val="auto"/>
                <w:sz w:val="21"/>
                <w:szCs w:val="21"/>
                <w:lang w:eastAsia="zh-CN"/>
              </w:rPr>
              <w:t>李玉柱</w:t>
            </w:r>
          </w:p>
          <w:p w14:paraId="777D98D5">
            <w:pPr>
              <w:keepNext w:val="0"/>
              <w:keepLines w:val="0"/>
              <w:pageBreakBefore w:val="0"/>
              <w:suppressLineNumbers w:val="0"/>
              <w:tabs>
                <w:tab w:val="left" w:pos="709"/>
              </w:tabs>
              <w:kinsoku/>
              <w:wordWrap w:val="0"/>
              <w:overflowPunct/>
              <w:autoSpaceDE w:val="0"/>
              <w:autoSpaceDN w:val="0"/>
              <w:bidi w:val="0"/>
              <w:adjustRightInd w:val="0"/>
              <w:snapToGrid w:val="0"/>
              <w:spacing w:before="72" w:beforeLines="30" w:beforeAutospacing="0" w:after="0" w:afterAutospacing="0" w:line="288" w:lineRule="auto"/>
              <w:ind w:left="21" w:leftChars="10" w:right="21" w:rightChars="1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联系方式：</w:t>
            </w:r>
            <w:r>
              <w:rPr>
                <w:rFonts w:hint="eastAsia" w:ascii="宋体" w:hAnsi="宋体" w:cs="宋体"/>
                <w:color w:val="auto"/>
                <w:sz w:val="21"/>
                <w:szCs w:val="21"/>
                <w:lang w:val="en-US" w:eastAsia="zh-CN"/>
              </w:rPr>
              <w:t>13323978571</w:t>
            </w:r>
          </w:p>
        </w:tc>
      </w:tr>
      <w:tr w14:paraId="7F2A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16" w:type="dxa"/>
            <w:noWrap w:val="0"/>
            <w:vAlign w:val="center"/>
          </w:tcPr>
          <w:p w14:paraId="6C08DD94">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1.2.2</w:t>
            </w:r>
          </w:p>
        </w:tc>
        <w:tc>
          <w:tcPr>
            <w:tcW w:w="2416" w:type="dxa"/>
            <w:noWrap w:val="0"/>
            <w:vAlign w:val="center"/>
          </w:tcPr>
          <w:p w14:paraId="47039AC2">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采购代理机构</w:t>
            </w:r>
          </w:p>
        </w:tc>
        <w:tc>
          <w:tcPr>
            <w:tcW w:w="6219" w:type="dxa"/>
            <w:noWrap w:val="0"/>
            <w:vAlign w:val="center"/>
          </w:tcPr>
          <w:p w14:paraId="720544FC">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 称：</w:t>
            </w:r>
            <w:r>
              <w:rPr>
                <w:rFonts w:hint="eastAsia" w:ascii="宋体" w:hAnsi="宋体" w:cs="宋体"/>
                <w:color w:val="auto"/>
                <w:sz w:val="21"/>
                <w:szCs w:val="21"/>
                <w:lang w:eastAsia="zh-CN"/>
              </w:rPr>
              <w:t>河南峻嘉工程管理有限公司</w:t>
            </w:r>
          </w:p>
          <w:p w14:paraId="5B1B71CA">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　址：</w:t>
            </w:r>
            <w:r>
              <w:rPr>
                <w:rFonts w:hint="eastAsia" w:ascii="宋体" w:hAnsi="宋体" w:cs="宋体"/>
                <w:color w:val="auto"/>
                <w:sz w:val="21"/>
                <w:szCs w:val="21"/>
                <w:lang w:eastAsia="zh-CN"/>
              </w:rPr>
              <w:t>固始县陈元光大道与根亲大道交叉口西南角</w:t>
            </w:r>
          </w:p>
          <w:p w14:paraId="511AE962">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联系人：</w:t>
            </w:r>
            <w:r>
              <w:rPr>
                <w:rFonts w:hint="eastAsia" w:ascii="宋体" w:hAnsi="宋体" w:cs="宋体"/>
                <w:color w:val="auto"/>
                <w:sz w:val="21"/>
                <w:szCs w:val="21"/>
                <w:lang w:val="en-US" w:eastAsia="zh-CN"/>
              </w:rPr>
              <w:t>王倪</w:t>
            </w:r>
          </w:p>
          <w:p w14:paraId="17A53CF1">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w:t>
            </w:r>
            <w:r>
              <w:rPr>
                <w:rFonts w:hint="eastAsia" w:ascii="宋体" w:hAnsi="宋体" w:cs="宋体"/>
                <w:color w:val="auto"/>
                <w:sz w:val="21"/>
                <w:szCs w:val="21"/>
                <w:lang w:eastAsia="zh-CN"/>
              </w:rPr>
              <w:t>18538493717</w:t>
            </w:r>
          </w:p>
        </w:tc>
      </w:tr>
      <w:tr w14:paraId="4CC9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16" w:type="dxa"/>
            <w:noWrap w:val="0"/>
            <w:vAlign w:val="center"/>
          </w:tcPr>
          <w:p w14:paraId="4419437A">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1.2.3</w:t>
            </w:r>
          </w:p>
        </w:tc>
        <w:tc>
          <w:tcPr>
            <w:tcW w:w="2416" w:type="dxa"/>
            <w:noWrap w:val="0"/>
            <w:vAlign w:val="center"/>
          </w:tcPr>
          <w:p w14:paraId="3DD7B701">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项目名称</w:t>
            </w:r>
          </w:p>
        </w:tc>
        <w:tc>
          <w:tcPr>
            <w:tcW w:w="6219" w:type="dxa"/>
            <w:noWrap w:val="0"/>
            <w:vAlign w:val="center"/>
          </w:tcPr>
          <w:p w14:paraId="720FDA4D">
            <w:pPr>
              <w:pStyle w:val="25"/>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firstLine="0" w:firstLineChars="0"/>
              <w:rPr>
                <w:rFonts w:hint="eastAsia" w:ascii="宋体" w:hAnsi="宋体" w:cs="宋体"/>
                <w:color w:val="auto"/>
                <w:sz w:val="21"/>
                <w:szCs w:val="21"/>
                <w:lang w:eastAsia="zh-CN"/>
              </w:rPr>
            </w:pPr>
            <w:r>
              <w:rPr>
                <w:rFonts w:hint="eastAsia" w:ascii="宋体" w:hAnsi="宋体" w:cs="宋体"/>
                <w:color w:val="auto"/>
                <w:sz w:val="21"/>
                <w:szCs w:val="21"/>
                <w:lang w:eastAsia="zh-CN"/>
              </w:rPr>
              <w:t>国有固始林场2025年森林可持续经营试点任务资金项目</w:t>
            </w:r>
          </w:p>
          <w:p w14:paraId="7840FC4A">
            <w:pPr>
              <w:pStyle w:val="25"/>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firstLine="0" w:firstLineChars="0"/>
              <w:rPr>
                <w:rFonts w:hint="default" w:ascii="宋体" w:hAnsi="宋体" w:cs="宋体"/>
                <w:color w:val="auto"/>
                <w:sz w:val="21"/>
                <w:szCs w:val="21"/>
                <w:lang w:val="en-US" w:eastAsia="zh-CN"/>
              </w:rPr>
            </w:pPr>
            <w:r>
              <w:rPr>
                <w:rFonts w:hint="eastAsia" w:ascii="宋体" w:hAnsi="宋体" w:cs="宋体"/>
                <w:b/>
                <w:bCs/>
                <w:color w:val="auto"/>
                <w:sz w:val="22"/>
                <w:szCs w:val="22"/>
                <w:lang w:val="en-US" w:eastAsia="zh-CN"/>
              </w:rPr>
              <w:t>特别说明：网站显示“项目名称：国有固始林场2025年中央财政森林可持续经营项目”为项目前期申报名称，实际名称以招标文件“国有固始林场2025年森林可持续经营试点任务资金项目”为准。</w:t>
            </w:r>
            <w:bookmarkStart w:id="985" w:name="_GoBack"/>
            <w:bookmarkEnd w:id="985"/>
          </w:p>
        </w:tc>
      </w:tr>
      <w:tr w14:paraId="1807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16" w:type="dxa"/>
            <w:noWrap w:val="0"/>
            <w:vAlign w:val="center"/>
          </w:tcPr>
          <w:p w14:paraId="36FC9FA3">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1.2.4</w:t>
            </w:r>
          </w:p>
        </w:tc>
        <w:tc>
          <w:tcPr>
            <w:tcW w:w="2416" w:type="dxa"/>
            <w:noWrap w:val="0"/>
            <w:vAlign w:val="center"/>
          </w:tcPr>
          <w:p w14:paraId="51231470">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spacing w:val="1"/>
                <w:kern w:val="0"/>
                <w:sz w:val="21"/>
                <w:szCs w:val="21"/>
              </w:rPr>
            </w:pPr>
            <w:r>
              <w:rPr>
                <w:rFonts w:hint="eastAsia" w:ascii="宋体" w:hAnsi="宋体" w:eastAsia="宋体" w:cs="宋体"/>
                <w:color w:val="auto"/>
                <w:spacing w:val="1"/>
                <w:kern w:val="0"/>
                <w:sz w:val="21"/>
                <w:szCs w:val="21"/>
              </w:rPr>
              <w:t>采购方式</w:t>
            </w:r>
          </w:p>
        </w:tc>
        <w:tc>
          <w:tcPr>
            <w:tcW w:w="6219" w:type="dxa"/>
            <w:noWrap w:val="0"/>
            <w:vAlign w:val="center"/>
          </w:tcPr>
          <w:p w14:paraId="126B5CC6">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left"/>
              <w:rPr>
                <w:rFonts w:hint="eastAsia" w:ascii="宋体" w:hAnsi="宋体" w:eastAsia="宋体" w:cs="宋体"/>
                <w:color w:val="auto"/>
                <w:spacing w:val="1"/>
                <w:kern w:val="0"/>
                <w:sz w:val="21"/>
                <w:szCs w:val="21"/>
              </w:rPr>
            </w:pPr>
            <w:r>
              <w:rPr>
                <w:rFonts w:hint="eastAsia" w:ascii="宋体" w:hAnsi="宋体" w:eastAsia="宋体" w:cs="宋体"/>
                <w:color w:val="auto"/>
                <w:spacing w:val="1"/>
                <w:kern w:val="0"/>
                <w:sz w:val="21"/>
                <w:szCs w:val="21"/>
              </w:rPr>
              <w:t>竞争性磋商</w:t>
            </w:r>
          </w:p>
        </w:tc>
      </w:tr>
      <w:tr w14:paraId="20ED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16" w:type="dxa"/>
            <w:noWrap w:val="0"/>
            <w:vAlign w:val="center"/>
          </w:tcPr>
          <w:p w14:paraId="71190CE6">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1.2.5</w:t>
            </w:r>
          </w:p>
        </w:tc>
        <w:tc>
          <w:tcPr>
            <w:tcW w:w="2416" w:type="dxa"/>
            <w:noWrap w:val="0"/>
            <w:vAlign w:val="center"/>
          </w:tcPr>
          <w:p w14:paraId="05D0F296">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预算价（</w:t>
            </w:r>
            <w:r>
              <w:rPr>
                <w:rFonts w:hint="eastAsia" w:ascii="宋体" w:hAnsi="宋体" w:eastAsia="宋体" w:cs="宋体"/>
                <w:color w:val="auto"/>
                <w:sz w:val="21"/>
                <w:szCs w:val="21"/>
              </w:rPr>
              <w:t>最高限价</w:t>
            </w:r>
            <w:r>
              <w:rPr>
                <w:rFonts w:hint="eastAsia" w:ascii="宋体" w:hAnsi="宋体" w:eastAsia="宋体" w:cs="宋体"/>
                <w:color w:val="auto"/>
                <w:kern w:val="0"/>
                <w:sz w:val="21"/>
                <w:szCs w:val="21"/>
              </w:rPr>
              <w:t>）</w:t>
            </w:r>
          </w:p>
        </w:tc>
        <w:tc>
          <w:tcPr>
            <w:tcW w:w="6219" w:type="dxa"/>
            <w:noWrap w:val="0"/>
            <w:vAlign w:val="center"/>
          </w:tcPr>
          <w:p w14:paraId="6B28B0AC">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预算价（最高限价）：</w:t>
            </w:r>
            <w:r>
              <w:rPr>
                <w:rFonts w:hint="eastAsia" w:ascii="宋体" w:hAnsi="宋体" w:cs="宋体"/>
                <w:b/>
                <w:bCs/>
                <w:color w:val="auto"/>
                <w:kern w:val="0"/>
                <w:sz w:val="21"/>
                <w:szCs w:val="21"/>
                <w:lang w:eastAsia="zh-CN"/>
              </w:rPr>
              <w:t>1737300</w:t>
            </w:r>
            <w:r>
              <w:rPr>
                <w:rFonts w:hint="eastAsia" w:ascii="宋体" w:hAnsi="宋体" w:eastAsia="宋体" w:cs="宋体"/>
                <w:b/>
                <w:bCs/>
                <w:color w:val="auto"/>
                <w:sz w:val="21"/>
                <w:szCs w:val="21"/>
                <w:shd w:val="clear" w:color="auto" w:fill="FFFFFF"/>
              </w:rPr>
              <w:t>元</w:t>
            </w:r>
            <w:r>
              <w:rPr>
                <w:rFonts w:hint="eastAsia" w:ascii="宋体" w:hAnsi="宋体" w:cs="宋体"/>
                <w:b/>
                <w:bCs/>
                <w:color w:val="auto"/>
                <w:sz w:val="21"/>
                <w:szCs w:val="21"/>
                <w:shd w:val="clear" w:color="auto" w:fill="FFFFFF"/>
                <w:lang w:eastAsia="zh-CN"/>
              </w:rPr>
              <w:t>；</w:t>
            </w:r>
          </w:p>
          <w:p w14:paraId="04264989">
            <w:pPr>
              <w:pStyle w:val="273"/>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投标报价超过预算价（最高限价）按无效投标处理</w:t>
            </w:r>
          </w:p>
        </w:tc>
      </w:tr>
      <w:tr w14:paraId="1C58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6" w:type="dxa"/>
            <w:noWrap w:val="0"/>
            <w:vAlign w:val="center"/>
          </w:tcPr>
          <w:p w14:paraId="39F19C9B">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1.2.1</w:t>
            </w:r>
          </w:p>
        </w:tc>
        <w:tc>
          <w:tcPr>
            <w:tcW w:w="2416" w:type="dxa"/>
            <w:noWrap w:val="0"/>
            <w:vAlign w:val="center"/>
          </w:tcPr>
          <w:p w14:paraId="55140D02">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资金来源</w:t>
            </w:r>
          </w:p>
        </w:tc>
        <w:tc>
          <w:tcPr>
            <w:tcW w:w="6219" w:type="dxa"/>
            <w:noWrap w:val="0"/>
            <w:vAlign w:val="center"/>
          </w:tcPr>
          <w:p w14:paraId="505B62EB">
            <w:pPr>
              <w:pStyle w:val="69"/>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jc w:val="both"/>
              <w:rPr>
                <w:rFonts w:hint="eastAsia" w:ascii="宋体" w:hAnsi="宋体" w:eastAsia="宋体" w:cs="宋体"/>
                <w:color w:val="auto"/>
                <w:sz w:val="21"/>
                <w:szCs w:val="21"/>
              </w:rPr>
            </w:pPr>
            <w:r>
              <w:rPr>
                <w:rFonts w:hint="eastAsia" w:ascii="宋体" w:hAnsi="宋体" w:eastAsia="宋体" w:cs="宋体"/>
                <w:color w:val="auto"/>
                <w:sz w:val="21"/>
                <w:szCs w:val="21"/>
              </w:rPr>
              <w:t>财政资金</w:t>
            </w:r>
          </w:p>
        </w:tc>
      </w:tr>
      <w:tr w14:paraId="3147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16" w:type="dxa"/>
            <w:noWrap w:val="0"/>
            <w:vAlign w:val="center"/>
          </w:tcPr>
          <w:p w14:paraId="7AF353B0">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1.2.2</w:t>
            </w:r>
          </w:p>
        </w:tc>
        <w:tc>
          <w:tcPr>
            <w:tcW w:w="2416" w:type="dxa"/>
            <w:noWrap w:val="0"/>
            <w:vAlign w:val="center"/>
          </w:tcPr>
          <w:p w14:paraId="2A41A15C">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出资比例</w:t>
            </w:r>
          </w:p>
        </w:tc>
        <w:tc>
          <w:tcPr>
            <w:tcW w:w="6219" w:type="dxa"/>
            <w:noWrap w:val="0"/>
            <w:vAlign w:val="center"/>
          </w:tcPr>
          <w:p w14:paraId="6A276A00">
            <w:pPr>
              <w:pStyle w:val="69"/>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jc w:val="both"/>
              <w:rPr>
                <w:rFonts w:hint="eastAsia" w:ascii="宋体" w:hAnsi="宋体" w:eastAsia="宋体" w:cs="宋体"/>
                <w:color w:val="auto"/>
                <w:sz w:val="21"/>
                <w:szCs w:val="21"/>
              </w:rPr>
            </w:pPr>
            <w:r>
              <w:rPr>
                <w:rFonts w:hint="eastAsia" w:ascii="宋体" w:hAnsi="宋体" w:eastAsia="宋体" w:cs="宋体"/>
                <w:color w:val="auto"/>
                <w:sz w:val="21"/>
                <w:szCs w:val="21"/>
              </w:rPr>
              <w:t>100%</w:t>
            </w:r>
          </w:p>
        </w:tc>
      </w:tr>
      <w:tr w14:paraId="4DCF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16" w:type="dxa"/>
            <w:noWrap w:val="0"/>
            <w:vAlign w:val="center"/>
          </w:tcPr>
          <w:p w14:paraId="0B31E4AC">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1.4.1</w:t>
            </w:r>
          </w:p>
        </w:tc>
        <w:tc>
          <w:tcPr>
            <w:tcW w:w="2416" w:type="dxa"/>
            <w:noWrap w:val="0"/>
            <w:vAlign w:val="center"/>
          </w:tcPr>
          <w:p w14:paraId="01EA300D">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采购内容</w:t>
            </w:r>
          </w:p>
        </w:tc>
        <w:tc>
          <w:tcPr>
            <w:tcW w:w="6219" w:type="dxa"/>
            <w:noWrap w:val="0"/>
            <w:vAlign w:val="center"/>
          </w:tcPr>
          <w:p w14:paraId="712AA6E1">
            <w:pPr>
              <w:pStyle w:val="273"/>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cs="宋体"/>
                <w:color w:val="auto"/>
                <w:szCs w:val="21"/>
                <w:lang w:val="en-US" w:eastAsia="zh-CN"/>
              </w:rPr>
              <w:t>王店林区4200亩国有林场林木间伐、林地割灌、林木修枝、林地剩余物清理、集材转运归楞工作，其中200亩低质低效林增加机械整地、苗木采购和栽植工作。</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详见磋商文件第五章）</w:t>
            </w:r>
          </w:p>
        </w:tc>
      </w:tr>
      <w:tr w14:paraId="7FCE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16" w:type="dxa"/>
            <w:noWrap w:val="0"/>
            <w:vAlign w:val="center"/>
          </w:tcPr>
          <w:p w14:paraId="736CCD2E">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1.4.2</w:t>
            </w:r>
          </w:p>
        </w:tc>
        <w:tc>
          <w:tcPr>
            <w:tcW w:w="2416" w:type="dxa"/>
            <w:noWrap w:val="0"/>
            <w:vAlign w:val="center"/>
          </w:tcPr>
          <w:p w14:paraId="2707E582">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服务要求</w:t>
            </w:r>
          </w:p>
        </w:tc>
        <w:tc>
          <w:tcPr>
            <w:tcW w:w="6219" w:type="dxa"/>
            <w:noWrap w:val="0"/>
            <w:vAlign w:val="center"/>
          </w:tcPr>
          <w:p w14:paraId="3342ED9C">
            <w:pPr>
              <w:pStyle w:val="273"/>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达到国家及行业现行标准规范规定的合格要求</w:t>
            </w:r>
          </w:p>
        </w:tc>
      </w:tr>
      <w:tr w14:paraId="5D4C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16" w:type="dxa"/>
            <w:noWrap w:val="0"/>
            <w:vAlign w:val="center"/>
          </w:tcPr>
          <w:p w14:paraId="45C0439A">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1.4.3</w:t>
            </w:r>
          </w:p>
        </w:tc>
        <w:tc>
          <w:tcPr>
            <w:tcW w:w="2416" w:type="dxa"/>
            <w:noWrap w:val="0"/>
            <w:vAlign w:val="center"/>
          </w:tcPr>
          <w:p w14:paraId="2BE9F127">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服务期限</w:t>
            </w:r>
          </w:p>
        </w:tc>
        <w:tc>
          <w:tcPr>
            <w:tcW w:w="6219" w:type="dxa"/>
            <w:noWrap w:val="0"/>
            <w:vAlign w:val="center"/>
          </w:tcPr>
          <w:p w14:paraId="47943D14">
            <w:pPr>
              <w:keepNext w:val="0"/>
              <w:keepLines w:val="0"/>
              <w:pageBreakBefore w:val="0"/>
              <w:suppressLineNumbers w:val="0"/>
              <w:kinsoku/>
              <w:wordWrap w:val="0"/>
              <w:overflowPunct/>
              <w:bidi w:val="0"/>
              <w:adjustRightInd w:val="0"/>
              <w:snapToGrid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rPr>
            </w:pPr>
            <w:r>
              <w:rPr>
                <w:rFonts w:hint="eastAsia" w:ascii="宋体" w:hAnsi="宋体" w:cs="宋体"/>
                <w:color w:val="auto"/>
                <w:sz w:val="21"/>
                <w:szCs w:val="21"/>
                <w:lang w:eastAsia="zh-CN"/>
              </w:rPr>
              <w:t>60日历天</w:t>
            </w:r>
          </w:p>
        </w:tc>
      </w:tr>
      <w:tr w14:paraId="4F16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tcBorders>
              <w:top w:val="single" w:color="auto" w:sz="4" w:space="0"/>
            </w:tcBorders>
            <w:noWrap w:val="0"/>
            <w:vAlign w:val="center"/>
          </w:tcPr>
          <w:p w14:paraId="0A4DE1F4">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1.5.1</w:t>
            </w:r>
          </w:p>
        </w:tc>
        <w:tc>
          <w:tcPr>
            <w:tcW w:w="2416" w:type="dxa"/>
            <w:tcBorders>
              <w:top w:val="single" w:color="auto" w:sz="4" w:space="0"/>
            </w:tcBorders>
            <w:noWrap w:val="0"/>
            <w:vAlign w:val="center"/>
          </w:tcPr>
          <w:p w14:paraId="2C9F3979">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供应商资格要求</w:t>
            </w:r>
          </w:p>
        </w:tc>
        <w:tc>
          <w:tcPr>
            <w:tcW w:w="6219" w:type="dxa"/>
            <w:tcBorders>
              <w:top w:val="single" w:color="auto" w:sz="4" w:space="0"/>
            </w:tcBorders>
            <w:noWrap w:val="0"/>
            <w:vAlign w:val="center"/>
          </w:tcPr>
          <w:p w14:paraId="450F7773">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1、满足《中华人民共和国政府采购法》第二十二条规定；</w:t>
            </w:r>
          </w:p>
          <w:p w14:paraId="605158C1">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1.1具有独立承担民事责任的能力，提供营业执照等证明文件；</w:t>
            </w:r>
          </w:p>
          <w:p w14:paraId="6BBE0332">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1.2具有良好的商业信誉和健全的财务会计制度（提供2024年度经审计的财务审计报告，2025年成立的公司提供基本户的开户行开具的银行资信证明）；</w:t>
            </w:r>
          </w:p>
          <w:p w14:paraId="59AC0B7C">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1.3具有履行合同所必需的设备和专业技术能力（提供相关证明材料或承诺函）；</w:t>
            </w:r>
          </w:p>
          <w:p w14:paraId="548DC5E0">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1.4有依法缴纳税收和社会保险的良好记录（</w:t>
            </w:r>
            <w:r>
              <w:rPr>
                <w:rFonts w:hint="eastAsia" w:ascii="宋体" w:hAnsi="宋体" w:cs="宋体"/>
                <w:color w:val="auto"/>
                <w:sz w:val="21"/>
                <w:szCs w:val="21"/>
                <w:lang w:eastAsia="zh-CN"/>
              </w:rPr>
              <w:t>提供2025年1月以来</w:t>
            </w:r>
            <w:r>
              <w:rPr>
                <w:rFonts w:hint="eastAsia" w:ascii="宋体" w:hAnsi="宋体" w:eastAsia="宋体" w:cs="宋体"/>
                <w:color w:val="auto"/>
                <w:sz w:val="21"/>
                <w:szCs w:val="21"/>
              </w:rPr>
              <w:t>任意3个月依法缴纳税收和社会保险的证明，成立不足三个月的提供自成立日以来的依法缴纳税收和社会保险的证明，依法免税和免缴纳社会保障金的须提供依法免缴纳证明）；</w:t>
            </w:r>
          </w:p>
          <w:p w14:paraId="16960862">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1.5参加政府采购活动前三年内，在经营活动中没有重大违法记录（提供声明函）；</w:t>
            </w:r>
          </w:p>
          <w:p w14:paraId="62041122">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1.6根据《关于在政府采购活动中查询及使用信用记录有关问题的通知》财库【2016】125号文件和豫财购【2016】15号文件的规定，供应商应提供“信用中国"网站(www.creditchina.gov.cn)查询“失信被执行人”“重大税收违法失信主体”和“政府采购严重违法失信行为记录名单”；中国政府采购网(www.ccgp.gov.cn)查询“政府采购严重违法失信行为记录名单"渠道查询自身信用记录，提供查询网页截图，查询截止时点为：从公告发布之日起至投标截止之日止</w:t>
            </w:r>
          </w:p>
          <w:p w14:paraId="2E5ACE71">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2、本项目落实节约能源、保护环境、扶持不发达地区和少数民族地区、促进中小微企业、监狱企业及残疾人福利性单位发展等政府采购政策</w:t>
            </w:r>
          </w:p>
          <w:p w14:paraId="5F9D4473">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w:t>
            </w:r>
          </w:p>
          <w:p w14:paraId="037CED47">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单位负责人为同一人或者存在控股、管理关系的不同单位，不得同时参加本项目投标（提供“国家企业信用信息公示系统”中公示的公司信息、股东或投资人信息网页截图加盖单位公章，查询时间需在本公告发布之后）。</w:t>
            </w:r>
          </w:p>
        </w:tc>
      </w:tr>
      <w:tr w14:paraId="5F28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6" w:type="dxa"/>
            <w:tcBorders>
              <w:top w:val="single" w:color="auto" w:sz="4" w:space="0"/>
            </w:tcBorders>
            <w:noWrap w:val="0"/>
            <w:vAlign w:val="center"/>
          </w:tcPr>
          <w:p w14:paraId="000CB3B7">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1.5.2</w:t>
            </w:r>
          </w:p>
        </w:tc>
        <w:tc>
          <w:tcPr>
            <w:tcW w:w="2416" w:type="dxa"/>
            <w:tcBorders>
              <w:top w:val="single" w:color="auto" w:sz="4" w:space="0"/>
            </w:tcBorders>
            <w:noWrap w:val="0"/>
            <w:vAlign w:val="center"/>
          </w:tcPr>
          <w:p w14:paraId="38F9A323">
            <w:pPr>
              <w:keepNext w:val="0"/>
              <w:keepLines w:val="0"/>
              <w:pageBreakBefore w:val="0"/>
              <w:suppressLineNumbers w:val="0"/>
              <w:kinsoku/>
              <w:wordWrap w:val="0"/>
              <w:overflowPunct/>
              <w:bidi w:val="0"/>
              <w:spacing w:before="0" w:beforeAutospacing="0" w:after="0" w:afterAutospacing="0" w:line="3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是否接受联合体</w:t>
            </w:r>
          </w:p>
        </w:tc>
        <w:tc>
          <w:tcPr>
            <w:tcW w:w="6219" w:type="dxa"/>
            <w:tcBorders>
              <w:top w:val="single" w:color="auto" w:sz="4" w:space="0"/>
            </w:tcBorders>
            <w:noWrap w:val="0"/>
            <w:vAlign w:val="center"/>
          </w:tcPr>
          <w:p w14:paraId="4FA26FD0">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不接受</w:t>
            </w:r>
          </w:p>
        </w:tc>
      </w:tr>
      <w:tr w14:paraId="7FDD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6" w:type="dxa"/>
            <w:tcBorders>
              <w:top w:val="single" w:color="auto" w:sz="4" w:space="0"/>
            </w:tcBorders>
            <w:noWrap w:val="0"/>
            <w:vAlign w:val="center"/>
          </w:tcPr>
          <w:p w14:paraId="72F8580E">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1.10</w:t>
            </w:r>
          </w:p>
        </w:tc>
        <w:tc>
          <w:tcPr>
            <w:tcW w:w="2416" w:type="dxa"/>
            <w:tcBorders>
              <w:top w:val="single" w:color="auto" w:sz="4" w:space="0"/>
            </w:tcBorders>
            <w:noWrap w:val="0"/>
            <w:vAlign w:val="center"/>
          </w:tcPr>
          <w:p w14:paraId="35CB575C">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现场踏勘</w:t>
            </w:r>
          </w:p>
        </w:tc>
        <w:tc>
          <w:tcPr>
            <w:tcW w:w="6219" w:type="dxa"/>
            <w:tcBorders>
              <w:top w:val="single" w:color="auto" w:sz="4" w:space="0"/>
            </w:tcBorders>
            <w:noWrap w:val="0"/>
            <w:vAlign w:val="center"/>
          </w:tcPr>
          <w:p w14:paraId="4C6195EC">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自行踏勘</w:t>
            </w:r>
          </w:p>
        </w:tc>
      </w:tr>
      <w:tr w14:paraId="2486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6" w:type="dxa"/>
            <w:tcBorders>
              <w:top w:val="single" w:color="auto" w:sz="4" w:space="0"/>
            </w:tcBorders>
            <w:noWrap w:val="0"/>
            <w:vAlign w:val="center"/>
          </w:tcPr>
          <w:p w14:paraId="2B21011E">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1.11</w:t>
            </w:r>
          </w:p>
        </w:tc>
        <w:tc>
          <w:tcPr>
            <w:tcW w:w="2416" w:type="dxa"/>
            <w:tcBorders>
              <w:top w:val="single" w:color="auto" w:sz="4" w:space="0"/>
            </w:tcBorders>
            <w:noWrap w:val="0"/>
            <w:vAlign w:val="center"/>
          </w:tcPr>
          <w:p w14:paraId="2489DF9E">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分包</w:t>
            </w:r>
          </w:p>
        </w:tc>
        <w:tc>
          <w:tcPr>
            <w:tcW w:w="6219" w:type="dxa"/>
            <w:tcBorders>
              <w:top w:val="single" w:color="auto" w:sz="4" w:space="0"/>
            </w:tcBorders>
            <w:noWrap w:val="0"/>
            <w:vAlign w:val="center"/>
          </w:tcPr>
          <w:p w14:paraId="73E84501">
            <w:pPr>
              <w:pStyle w:val="21"/>
              <w:keepNext w:val="0"/>
              <w:keepLines w:val="0"/>
              <w:pageBreakBefore w:val="0"/>
              <w:suppressLineNumbers w:val="0"/>
              <w:kinsoku/>
              <w:wordWrap w:val="0"/>
              <w:overflowPunct/>
              <w:topLinePunct/>
              <w:bidi w:val="0"/>
              <w:adjustRightInd w:val="0"/>
              <w:spacing w:before="0" w:beforeAutospacing="0" w:after="0" w:afterAutospacing="0" w:line="340" w:lineRule="exact"/>
              <w:ind w:left="0" w:right="0" w:firstLine="0" w:firstLineChars="0"/>
              <w:jc w:val="left"/>
              <w:textAlignment w:val="baseline"/>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不允许分包</w:t>
            </w:r>
          </w:p>
        </w:tc>
      </w:tr>
      <w:tr w14:paraId="4C71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6" w:type="dxa"/>
            <w:tcBorders>
              <w:top w:val="single" w:color="auto" w:sz="4" w:space="0"/>
            </w:tcBorders>
            <w:noWrap w:val="0"/>
            <w:vAlign w:val="center"/>
          </w:tcPr>
          <w:p w14:paraId="5D2A6DA1">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2416" w:type="dxa"/>
            <w:tcBorders>
              <w:top w:val="single" w:color="auto" w:sz="4" w:space="0"/>
            </w:tcBorders>
            <w:noWrap w:val="0"/>
            <w:vAlign w:val="center"/>
          </w:tcPr>
          <w:p w14:paraId="1765588B">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构成磋商文件</w:t>
            </w:r>
          </w:p>
          <w:p w14:paraId="7599041F">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的其他材料</w:t>
            </w:r>
          </w:p>
        </w:tc>
        <w:tc>
          <w:tcPr>
            <w:tcW w:w="6219" w:type="dxa"/>
            <w:tcBorders>
              <w:top w:val="single" w:color="auto" w:sz="4" w:space="0"/>
            </w:tcBorders>
            <w:noWrap w:val="0"/>
            <w:vAlign w:val="center"/>
          </w:tcPr>
          <w:p w14:paraId="1A939322">
            <w:pPr>
              <w:keepNext w:val="0"/>
              <w:keepLines w:val="0"/>
              <w:pageBreakBefore w:val="0"/>
              <w:suppressLineNumbers w:val="0"/>
              <w:kinsoku/>
              <w:wordWrap w:val="0"/>
              <w:overflowPunct/>
              <w:bidi w:val="0"/>
              <w:spacing w:before="0" w:beforeAutospacing="0" w:after="0" w:afterAutospacing="0" w:line="32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除磋商文件外，采购人在磋商期间发出的澄清、修改、补充、补遗和其它有效正式函件等内容均是磋商文件的组成部分</w:t>
            </w:r>
          </w:p>
        </w:tc>
      </w:tr>
      <w:tr w14:paraId="3C09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6" w:type="dxa"/>
            <w:tcBorders>
              <w:top w:val="single" w:color="auto" w:sz="4" w:space="0"/>
            </w:tcBorders>
            <w:noWrap w:val="0"/>
            <w:vAlign w:val="center"/>
          </w:tcPr>
          <w:p w14:paraId="3CECAC52">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2.2.2</w:t>
            </w:r>
          </w:p>
        </w:tc>
        <w:tc>
          <w:tcPr>
            <w:tcW w:w="2416" w:type="dxa"/>
            <w:tcBorders>
              <w:top w:val="single" w:color="auto" w:sz="4" w:space="0"/>
            </w:tcBorders>
            <w:noWrap w:val="0"/>
            <w:vAlign w:val="center"/>
          </w:tcPr>
          <w:p w14:paraId="3254737C">
            <w:pPr>
              <w:keepNext w:val="0"/>
              <w:keepLines w:val="0"/>
              <w:pageBreakBefore w:val="0"/>
              <w:suppressLineNumbers w:val="0"/>
              <w:kinsoku/>
              <w:wordWrap w:val="0"/>
              <w:overflowPunct/>
              <w:bidi w:val="0"/>
              <w:spacing w:before="0" w:beforeAutospacing="0" w:after="0" w:afterAutospacing="0" w:line="3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采购人澄清磋商文件的截止时间</w:t>
            </w:r>
          </w:p>
        </w:tc>
        <w:tc>
          <w:tcPr>
            <w:tcW w:w="6219" w:type="dxa"/>
            <w:tcBorders>
              <w:top w:val="single" w:color="auto" w:sz="4" w:space="0"/>
            </w:tcBorders>
            <w:noWrap w:val="0"/>
            <w:vAlign w:val="center"/>
          </w:tcPr>
          <w:p w14:paraId="2BF91635">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递交响应文件截止之日</w:t>
            </w:r>
            <w:r>
              <w:rPr>
                <w:rFonts w:hint="eastAsia" w:ascii="宋体" w:hAnsi="宋体" w:eastAsia="宋体" w:cs="宋体"/>
                <w:color w:val="auto"/>
                <w:sz w:val="21"/>
                <w:szCs w:val="21"/>
                <w:u w:val="single"/>
              </w:rPr>
              <w:t>5</w:t>
            </w:r>
            <w:r>
              <w:rPr>
                <w:rFonts w:hint="eastAsia" w:ascii="宋体" w:hAnsi="宋体" w:eastAsia="宋体" w:cs="宋体"/>
                <w:color w:val="auto"/>
                <w:sz w:val="21"/>
                <w:szCs w:val="21"/>
              </w:rPr>
              <w:t>天前</w:t>
            </w:r>
          </w:p>
        </w:tc>
      </w:tr>
      <w:tr w14:paraId="57A4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6" w:type="dxa"/>
            <w:tcBorders>
              <w:top w:val="single" w:color="auto" w:sz="4" w:space="0"/>
            </w:tcBorders>
            <w:noWrap w:val="0"/>
            <w:vAlign w:val="center"/>
          </w:tcPr>
          <w:p w14:paraId="36DE86F5">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2.2.3</w:t>
            </w:r>
          </w:p>
        </w:tc>
        <w:tc>
          <w:tcPr>
            <w:tcW w:w="2416" w:type="dxa"/>
            <w:tcBorders>
              <w:top w:val="single" w:color="auto" w:sz="4" w:space="0"/>
            </w:tcBorders>
            <w:noWrap w:val="0"/>
            <w:vAlign w:val="center"/>
          </w:tcPr>
          <w:p w14:paraId="2465AD2A">
            <w:pPr>
              <w:keepNext w:val="0"/>
              <w:keepLines w:val="0"/>
              <w:pageBreakBefore w:val="0"/>
              <w:suppressLineNumbers w:val="0"/>
              <w:kinsoku/>
              <w:wordWrap w:val="0"/>
              <w:overflowPunct/>
              <w:bidi w:val="0"/>
              <w:spacing w:before="0" w:beforeAutospacing="0" w:after="0" w:afterAutospacing="0" w:line="3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供应商确认收到磋商文件澄清的时间</w:t>
            </w:r>
          </w:p>
        </w:tc>
        <w:tc>
          <w:tcPr>
            <w:tcW w:w="6219" w:type="dxa"/>
            <w:tcBorders>
              <w:top w:val="single" w:color="auto" w:sz="4" w:space="0"/>
            </w:tcBorders>
            <w:noWrap w:val="0"/>
            <w:vAlign w:val="center"/>
          </w:tcPr>
          <w:p w14:paraId="1B2EA3B0">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在收到相应澄清文件后</w:t>
            </w:r>
            <w:r>
              <w:rPr>
                <w:rFonts w:hint="eastAsia" w:ascii="宋体" w:hAnsi="宋体" w:eastAsia="宋体" w:cs="宋体"/>
                <w:color w:val="auto"/>
                <w:sz w:val="21"/>
                <w:szCs w:val="21"/>
                <w:u w:val="single"/>
              </w:rPr>
              <w:t xml:space="preserve"> 24 </w:t>
            </w:r>
            <w:r>
              <w:rPr>
                <w:rFonts w:hint="eastAsia" w:ascii="宋体" w:hAnsi="宋体" w:eastAsia="宋体" w:cs="宋体"/>
                <w:color w:val="auto"/>
                <w:sz w:val="21"/>
                <w:szCs w:val="21"/>
              </w:rPr>
              <w:t>小时内</w:t>
            </w:r>
          </w:p>
        </w:tc>
      </w:tr>
      <w:tr w14:paraId="6935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6" w:type="dxa"/>
            <w:tcBorders>
              <w:top w:val="single" w:color="auto" w:sz="4" w:space="0"/>
            </w:tcBorders>
            <w:noWrap w:val="0"/>
            <w:vAlign w:val="center"/>
          </w:tcPr>
          <w:p w14:paraId="3B95A392">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2.3.3</w:t>
            </w:r>
          </w:p>
        </w:tc>
        <w:tc>
          <w:tcPr>
            <w:tcW w:w="2416" w:type="dxa"/>
            <w:tcBorders>
              <w:top w:val="single" w:color="auto" w:sz="4" w:space="0"/>
            </w:tcBorders>
            <w:noWrap w:val="0"/>
            <w:vAlign w:val="center"/>
          </w:tcPr>
          <w:p w14:paraId="2A120FD3">
            <w:pPr>
              <w:keepNext w:val="0"/>
              <w:keepLines w:val="0"/>
              <w:pageBreakBefore w:val="0"/>
              <w:suppressLineNumbers w:val="0"/>
              <w:kinsoku/>
              <w:wordWrap w:val="0"/>
              <w:overflowPunct/>
              <w:bidi w:val="0"/>
              <w:spacing w:before="0" w:beforeAutospacing="0" w:after="0" w:afterAutospacing="0" w:line="3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供应商确认收到磋商文件修改的时间</w:t>
            </w:r>
          </w:p>
        </w:tc>
        <w:tc>
          <w:tcPr>
            <w:tcW w:w="6219" w:type="dxa"/>
            <w:tcBorders>
              <w:top w:val="single" w:color="auto" w:sz="4" w:space="0"/>
            </w:tcBorders>
            <w:noWrap w:val="0"/>
            <w:vAlign w:val="center"/>
          </w:tcPr>
          <w:p w14:paraId="43CAC313">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在收到相应修改文件后</w:t>
            </w:r>
            <w:r>
              <w:rPr>
                <w:rFonts w:hint="eastAsia" w:ascii="宋体" w:hAnsi="宋体" w:eastAsia="宋体" w:cs="宋体"/>
                <w:color w:val="auto"/>
                <w:sz w:val="21"/>
                <w:szCs w:val="21"/>
                <w:u w:val="single"/>
              </w:rPr>
              <w:t xml:space="preserve"> 24 </w:t>
            </w:r>
            <w:r>
              <w:rPr>
                <w:rFonts w:hint="eastAsia" w:ascii="宋体" w:hAnsi="宋体" w:eastAsia="宋体" w:cs="宋体"/>
                <w:color w:val="auto"/>
                <w:sz w:val="21"/>
                <w:szCs w:val="21"/>
              </w:rPr>
              <w:t>小时内</w:t>
            </w:r>
          </w:p>
        </w:tc>
      </w:tr>
      <w:tr w14:paraId="2FE0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16" w:type="dxa"/>
            <w:tcBorders>
              <w:bottom w:val="single" w:color="auto" w:sz="4" w:space="0"/>
            </w:tcBorders>
            <w:noWrap w:val="0"/>
            <w:vAlign w:val="center"/>
          </w:tcPr>
          <w:p w14:paraId="1CB9D795">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3.1</w:t>
            </w:r>
          </w:p>
        </w:tc>
        <w:tc>
          <w:tcPr>
            <w:tcW w:w="2416" w:type="dxa"/>
            <w:tcBorders>
              <w:bottom w:val="single" w:color="auto" w:sz="4" w:space="0"/>
            </w:tcBorders>
            <w:noWrap w:val="0"/>
            <w:vAlign w:val="center"/>
          </w:tcPr>
          <w:p w14:paraId="1EE37CC8">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spacing w:val="-6"/>
                <w:kern w:val="0"/>
                <w:sz w:val="21"/>
                <w:szCs w:val="21"/>
              </w:rPr>
            </w:pPr>
            <w:r>
              <w:rPr>
                <w:rFonts w:hint="eastAsia" w:ascii="宋体" w:hAnsi="宋体" w:eastAsia="宋体" w:cs="宋体"/>
                <w:color w:val="auto"/>
                <w:spacing w:val="-6"/>
                <w:kern w:val="0"/>
                <w:sz w:val="21"/>
                <w:szCs w:val="21"/>
              </w:rPr>
              <w:t>构成响应文件的其他材料</w:t>
            </w:r>
          </w:p>
        </w:tc>
        <w:tc>
          <w:tcPr>
            <w:tcW w:w="6219" w:type="dxa"/>
            <w:tcBorders>
              <w:bottom w:val="single" w:color="auto" w:sz="4" w:space="0"/>
            </w:tcBorders>
            <w:noWrap w:val="0"/>
            <w:vAlign w:val="center"/>
          </w:tcPr>
          <w:p w14:paraId="33017975">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供应商认为其他所需要补充的内容</w:t>
            </w:r>
          </w:p>
        </w:tc>
      </w:tr>
      <w:tr w14:paraId="4866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noWrap w:val="0"/>
            <w:vAlign w:val="center"/>
          </w:tcPr>
          <w:p w14:paraId="086F9B85">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3.2.1</w:t>
            </w:r>
          </w:p>
        </w:tc>
        <w:tc>
          <w:tcPr>
            <w:tcW w:w="2416" w:type="dxa"/>
            <w:noWrap w:val="0"/>
            <w:vAlign w:val="center"/>
          </w:tcPr>
          <w:p w14:paraId="0734806B">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磋商报价</w:t>
            </w:r>
          </w:p>
        </w:tc>
        <w:tc>
          <w:tcPr>
            <w:tcW w:w="6219" w:type="dxa"/>
            <w:noWrap w:val="0"/>
            <w:vAlign w:val="center"/>
          </w:tcPr>
          <w:p w14:paraId="073E15BF">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自主报价</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超出最高限价的文件为无效文件</w:t>
            </w:r>
          </w:p>
        </w:tc>
      </w:tr>
      <w:tr w14:paraId="7777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noWrap w:val="0"/>
            <w:vAlign w:val="center"/>
          </w:tcPr>
          <w:p w14:paraId="330306C3">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3.3.1</w:t>
            </w:r>
          </w:p>
        </w:tc>
        <w:tc>
          <w:tcPr>
            <w:tcW w:w="2416" w:type="dxa"/>
            <w:noWrap w:val="0"/>
            <w:vAlign w:val="center"/>
          </w:tcPr>
          <w:p w14:paraId="0AA34234">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磋商有效期</w:t>
            </w:r>
          </w:p>
        </w:tc>
        <w:tc>
          <w:tcPr>
            <w:tcW w:w="6219" w:type="dxa"/>
            <w:noWrap w:val="0"/>
            <w:vAlign w:val="center"/>
          </w:tcPr>
          <w:p w14:paraId="315E3F00">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60日历天（从磋商截止之日算起）</w:t>
            </w:r>
          </w:p>
        </w:tc>
      </w:tr>
      <w:tr w14:paraId="5175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6" w:type="dxa"/>
            <w:noWrap w:val="0"/>
            <w:vAlign w:val="center"/>
          </w:tcPr>
          <w:p w14:paraId="21B1CE18">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3</w:t>
            </w:r>
          </w:p>
        </w:tc>
        <w:tc>
          <w:tcPr>
            <w:tcW w:w="2416" w:type="dxa"/>
            <w:noWrap w:val="0"/>
            <w:vAlign w:val="center"/>
          </w:tcPr>
          <w:p w14:paraId="51A18348">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响应文件签字和盖章要求</w:t>
            </w:r>
          </w:p>
        </w:tc>
        <w:tc>
          <w:tcPr>
            <w:tcW w:w="6219" w:type="dxa"/>
            <w:noWrap w:val="0"/>
            <w:vAlign w:val="center"/>
          </w:tcPr>
          <w:p w14:paraId="47149E2C">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1、响应文件格式中所有要求供应商加盖公章的地方都须加盖供应商的 CA 印章。</w:t>
            </w:r>
          </w:p>
          <w:p w14:paraId="7A64BDEC">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2、所有要求法定代表人或其委托代理人签字的地方都须法定代表人或其委托代理人加盖CA印章或签字。</w:t>
            </w:r>
          </w:p>
        </w:tc>
      </w:tr>
      <w:tr w14:paraId="08C4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16" w:type="dxa"/>
            <w:noWrap w:val="0"/>
            <w:vAlign w:val="center"/>
          </w:tcPr>
          <w:p w14:paraId="74138CBC">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4</w:t>
            </w:r>
          </w:p>
        </w:tc>
        <w:tc>
          <w:tcPr>
            <w:tcW w:w="2416" w:type="dxa"/>
            <w:noWrap w:val="0"/>
            <w:vAlign w:val="center"/>
          </w:tcPr>
          <w:p w14:paraId="29198C7F">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响应文件份数及其他要求</w:t>
            </w:r>
          </w:p>
        </w:tc>
        <w:tc>
          <w:tcPr>
            <w:tcW w:w="6219" w:type="dxa"/>
            <w:noWrap w:val="0"/>
            <w:vAlign w:val="center"/>
          </w:tcPr>
          <w:p w14:paraId="6C91A1F6">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加密的电子响应文件壹份（*</w:t>
            </w:r>
            <w:r>
              <w:rPr>
                <w:rFonts w:hint="eastAsia" w:ascii="宋体" w:hAnsi="宋体" w:eastAsia="宋体" w:cs="宋体"/>
                <w:color w:val="auto"/>
                <w:kern w:val="0"/>
                <w:sz w:val="21"/>
                <w:szCs w:val="21"/>
                <w:lang w:eastAsia="zh-CN"/>
              </w:rPr>
              <w:t>*.gstf</w:t>
            </w:r>
            <w:r>
              <w:rPr>
                <w:rFonts w:hint="eastAsia" w:ascii="宋体" w:hAnsi="宋体" w:eastAsia="宋体" w:cs="宋体"/>
                <w:color w:val="auto"/>
                <w:kern w:val="0"/>
                <w:sz w:val="21"/>
                <w:szCs w:val="21"/>
              </w:rPr>
              <w:t xml:space="preserve"> 格式，在会员系统指定位置上传）</w:t>
            </w:r>
          </w:p>
        </w:tc>
      </w:tr>
      <w:tr w14:paraId="2D23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6" w:type="dxa"/>
            <w:noWrap w:val="0"/>
            <w:vAlign w:val="center"/>
          </w:tcPr>
          <w:p w14:paraId="6ECC3D8D">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4.2</w:t>
            </w:r>
          </w:p>
        </w:tc>
        <w:tc>
          <w:tcPr>
            <w:tcW w:w="2416" w:type="dxa"/>
            <w:noWrap w:val="0"/>
            <w:vAlign w:val="center"/>
          </w:tcPr>
          <w:p w14:paraId="6C6D1107">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响应文件递交</w:t>
            </w:r>
          </w:p>
        </w:tc>
        <w:tc>
          <w:tcPr>
            <w:tcW w:w="6219" w:type="dxa"/>
            <w:noWrap w:val="0"/>
            <w:vAlign w:val="center"/>
          </w:tcPr>
          <w:p w14:paraId="7E6F6F7B">
            <w:pPr>
              <w:keepNext w:val="0"/>
              <w:keepLines w:val="0"/>
              <w:pageBreakBefore w:val="0"/>
              <w:suppressLineNumbers w:val="0"/>
              <w:kinsoku/>
              <w:wordWrap w:val="0"/>
              <w:overflowPunct/>
              <w:bidi w:val="0"/>
              <w:adjustRightInd w:val="0"/>
              <w:spacing w:before="72" w:beforeLines="30" w:beforeAutospacing="0" w:after="0" w:afterAutospacing="0" w:line="288" w:lineRule="auto"/>
              <w:ind w:left="21" w:leftChars="10" w:right="21" w:rightChars="10"/>
              <w:jc w:val="left"/>
              <w:rPr>
                <w:rFonts w:hint="eastAsia" w:ascii="宋体" w:hAnsi="宋体" w:eastAsia="宋体" w:cs="宋体"/>
                <w:color w:val="auto"/>
                <w:sz w:val="21"/>
                <w:szCs w:val="21"/>
              </w:rPr>
            </w:pPr>
            <w:r>
              <w:rPr>
                <w:rFonts w:hint="eastAsia" w:ascii="宋体" w:hAnsi="宋体" w:eastAsia="宋体" w:cs="宋体"/>
                <w:color w:val="auto"/>
                <w:sz w:val="21"/>
                <w:szCs w:val="21"/>
              </w:rPr>
              <w:t>1、电子响应文件的递交</w:t>
            </w:r>
          </w:p>
          <w:p w14:paraId="2BBA5CF5">
            <w:pPr>
              <w:keepNext w:val="0"/>
              <w:keepLines w:val="0"/>
              <w:pageBreakBefore w:val="0"/>
              <w:suppressLineNumbers w:val="0"/>
              <w:kinsoku/>
              <w:wordWrap w:val="0"/>
              <w:overflowPunct/>
              <w:bidi w:val="0"/>
              <w:adjustRightInd w:val="0"/>
              <w:spacing w:before="72" w:beforeLines="30" w:beforeAutospacing="0" w:after="0" w:afterAutospacing="0" w:line="288" w:lineRule="auto"/>
              <w:ind w:left="21" w:leftChars="10" w:right="21" w:rightChars="10"/>
              <w:jc w:val="left"/>
              <w:rPr>
                <w:rFonts w:hint="eastAsia" w:ascii="宋体" w:hAnsi="宋体" w:eastAsia="宋体" w:cs="宋体"/>
                <w:color w:val="auto"/>
                <w:sz w:val="21"/>
                <w:szCs w:val="21"/>
              </w:rPr>
            </w:pPr>
            <w:r>
              <w:rPr>
                <w:rFonts w:hint="eastAsia" w:ascii="宋体" w:hAnsi="宋体" w:eastAsia="宋体" w:cs="宋体"/>
                <w:color w:val="auto"/>
                <w:sz w:val="21"/>
                <w:szCs w:val="21"/>
              </w:rPr>
              <w:t>各供应商应在投标截止时间前上传加密的电子响应文件（*</w:t>
            </w:r>
            <w:r>
              <w:rPr>
                <w:rFonts w:hint="eastAsia" w:ascii="宋体" w:hAnsi="宋体" w:eastAsia="宋体" w:cs="宋体"/>
                <w:color w:val="auto"/>
                <w:sz w:val="21"/>
                <w:szCs w:val="21"/>
                <w:lang w:eastAsia="zh-CN"/>
              </w:rPr>
              <w:t>*.gstf</w:t>
            </w:r>
            <w:r>
              <w:rPr>
                <w:rFonts w:hint="eastAsia" w:ascii="宋体" w:hAnsi="宋体" w:eastAsia="宋体" w:cs="宋体"/>
                <w:color w:val="auto"/>
                <w:sz w:val="21"/>
                <w:szCs w:val="21"/>
              </w:rPr>
              <w:t>）到会员系统的指定位置。上传时必须得到交易系统“上传成功”的确认回复后方为上传成功。请供应商在上传前务必认真检查上传响应文件是否完整、正确。</w:t>
            </w:r>
          </w:p>
          <w:p w14:paraId="7F0D84C1">
            <w:pPr>
              <w:keepNext w:val="0"/>
              <w:keepLines w:val="0"/>
              <w:pageBreakBefore w:val="0"/>
              <w:suppressLineNumbers w:val="0"/>
              <w:kinsoku/>
              <w:wordWrap w:val="0"/>
              <w:overflowPunct/>
              <w:bidi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2、本项目采用“不见面开标”交易方式，不见面开标大厅网址为</w:t>
            </w:r>
            <w:r>
              <w:rPr>
                <w:rFonts w:hint="eastAsia" w:ascii="宋体" w:hAnsi="宋体" w:cs="宋体"/>
                <w:color w:val="auto"/>
                <w:kern w:val="0"/>
                <w:sz w:val="21"/>
                <w:szCs w:val="21"/>
                <w:lang w:eastAsia="zh-CN"/>
              </w:rPr>
              <w:t>https://ggzyjy.xinyang.gov.cn/BidOpening/bidhall/xinyang/login.html</w:t>
            </w:r>
            <w:r>
              <w:rPr>
                <w:rFonts w:hint="eastAsia" w:ascii="宋体" w:hAnsi="宋体" w:eastAsia="宋体" w:cs="宋体"/>
                <w:color w:val="auto"/>
                <w:kern w:val="0"/>
                <w:sz w:val="21"/>
                <w:szCs w:val="21"/>
              </w:rPr>
              <w:t>，供应商无需寄送和递交非加密的电子响应文件，无需到现场参加开标会议，无需到达现场提交原件资料。</w:t>
            </w:r>
          </w:p>
        </w:tc>
      </w:tr>
      <w:tr w14:paraId="3E8B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16" w:type="dxa"/>
            <w:noWrap w:val="0"/>
            <w:vAlign w:val="center"/>
          </w:tcPr>
          <w:p w14:paraId="25EC561F">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416" w:type="dxa"/>
            <w:noWrap w:val="0"/>
            <w:vAlign w:val="center"/>
          </w:tcPr>
          <w:p w14:paraId="0D359A93">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提交响应文件截止时间</w:t>
            </w:r>
          </w:p>
        </w:tc>
        <w:tc>
          <w:tcPr>
            <w:tcW w:w="6219" w:type="dxa"/>
            <w:noWrap w:val="0"/>
            <w:vAlign w:val="center"/>
          </w:tcPr>
          <w:p w14:paraId="7D3C1041">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left"/>
              <w:textAlignment w:val="baseline"/>
              <w:rPr>
                <w:rFonts w:hint="eastAsia" w:ascii="宋体" w:hAnsi="宋体" w:eastAsia="宋体" w:cs="宋体"/>
                <w:color w:val="auto"/>
                <w:sz w:val="21"/>
                <w:szCs w:val="21"/>
              </w:rPr>
            </w:pPr>
            <w:r>
              <w:rPr>
                <w:rFonts w:hint="eastAsia" w:ascii="宋体" w:hAnsi="宋体" w:cs="宋体"/>
                <w:color w:val="auto"/>
                <w:sz w:val="21"/>
                <w:szCs w:val="21"/>
                <w:lang w:eastAsia="zh-CN"/>
              </w:rPr>
              <w:t>2025年9月19日</w:t>
            </w:r>
            <w:r>
              <w:rPr>
                <w:rFonts w:hint="eastAsia" w:ascii="宋体" w:hAnsi="宋体" w:eastAsia="宋体" w:cs="宋体"/>
                <w:color w:val="auto"/>
                <w:sz w:val="21"/>
                <w:szCs w:val="21"/>
              </w:rPr>
              <w:t>08时30分</w:t>
            </w:r>
          </w:p>
        </w:tc>
      </w:tr>
      <w:tr w14:paraId="531C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16" w:type="dxa"/>
            <w:noWrap w:val="0"/>
            <w:vAlign w:val="center"/>
          </w:tcPr>
          <w:p w14:paraId="1FE70A62">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5.1.1</w:t>
            </w:r>
          </w:p>
        </w:tc>
        <w:tc>
          <w:tcPr>
            <w:tcW w:w="2416" w:type="dxa"/>
            <w:noWrap w:val="0"/>
            <w:vAlign w:val="center"/>
          </w:tcPr>
          <w:p w14:paraId="2803090A">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磋商时间和地点</w:t>
            </w:r>
          </w:p>
        </w:tc>
        <w:tc>
          <w:tcPr>
            <w:tcW w:w="6219" w:type="dxa"/>
            <w:noWrap w:val="0"/>
            <w:vAlign w:val="center"/>
          </w:tcPr>
          <w:p w14:paraId="235004FC">
            <w:pPr>
              <w:keepNext w:val="0"/>
              <w:keepLines w:val="0"/>
              <w:pageBreakBefore w:val="0"/>
              <w:suppressLineNumbers w:val="0"/>
              <w:kinsoku/>
              <w:wordWrap w:val="0"/>
              <w:overflowPunct/>
              <w:autoSpaceDE w:val="0"/>
              <w:autoSpaceDN w:val="0"/>
              <w:bidi w:val="0"/>
              <w:adjustRightInd w:val="0"/>
              <w:spacing w:before="0" w:beforeAutospacing="0" w:after="0" w:afterAutospacing="0" w:line="340" w:lineRule="exact"/>
              <w:ind w:left="0" w:right="0"/>
              <w:jc w:val="left"/>
              <w:rPr>
                <w:rFonts w:hint="eastAsia" w:ascii="宋体" w:hAnsi="宋体" w:eastAsia="宋体" w:cs="宋体"/>
                <w:color w:val="auto"/>
                <w:kern w:val="0"/>
                <w:sz w:val="21"/>
                <w:szCs w:val="21"/>
              </w:rPr>
            </w:pPr>
            <w:r>
              <w:rPr>
                <w:rFonts w:hint="eastAsia" w:ascii="宋体" w:hAnsi="宋体" w:eastAsia="宋体" w:cs="宋体"/>
                <w:color w:val="auto"/>
                <w:sz w:val="21"/>
                <w:szCs w:val="21"/>
              </w:rPr>
              <w:t>磋商</w:t>
            </w:r>
            <w:r>
              <w:rPr>
                <w:rFonts w:hint="eastAsia" w:ascii="宋体" w:hAnsi="宋体" w:eastAsia="宋体" w:cs="宋体"/>
                <w:color w:val="auto"/>
                <w:kern w:val="0"/>
                <w:sz w:val="21"/>
                <w:szCs w:val="21"/>
              </w:rPr>
              <w:t>时间：同</w:t>
            </w:r>
            <w:r>
              <w:rPr>
                <w:rFonts w:hint="eastAsia" w:ascii="宋体" w:hAnsi="宋体" w:eastAsia="宋体" w:cs="宋体"/>
                <w:color w:val="auto"/>
                <w:sz w:val="21"/>
                <w:szCs w:val="21"/>
              </w:rPr>
              <w:t>响应文件提交</w:t>
            </w:r>
            <w:r>
              <w:rPr>
                <w:rFonts w:hint="eastAsia" w:ascii="宋体" w:hAnsi="宋体" w:eastAsia="宋体" w:cs="宋体"/>
                <w:color w:val="auto"/>
                <w:kern w:val="0"/>
                <w:sz w:val="21"/>
                <w:szCs w:val="21"/>
              </w:rPr>
              <w:t>截止时间</w:t>
            </w:r>
          </w:p>
          <w:p w14:paraId="2A8D55A3">
            <w:pPr>
              <w:keepNext w:val="0"/>
              <w:keepLines w:val="0"/>
              <w:pageBreakBefore w:val="0"/>
              <w:suppressLineNumbers w:val="0"/>
              <w:kinsoku/>
              <w:wordWrap w:val="0"/>
              <w:overflowPunct/>
              <w:bidi w:val="0"/>
              <w:spacing w:before="0" w:beforeAutospacing="0" w:after="0" w:afterAutospacing="0" w:line="340" w:lineRule="exact"/>
              <w:ind w:left="0" w:right="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磋商</w:t>
            </w:r>
            <w:r>
              <w:rPr>
                <w:rFonts w:hint="eastAsia" w:ascii="宋体" w:hAnsi="宋体" w:eastAsia="宋体" w:cs="宋体"/>
                <w:color w:val="auto"/>
                <w:kern w:val="0"/>
                <w:sz w:val="21"/>
                <w:szCs w:val="21"/>
              </w:rPr>
              <w:t>地点：</w:t>
            </w:r>
            <w:r>
              <w:rPr>
                <w:rFonts w:hint="eastAsia" w:ascii="宋体" w:hAnsi="宋体" w:eastAsia="宋体" w:cs="宋体"/>
                <w:color w:val="auto"/>
                <w:kern w:val="0"/>
                <w:sz w:val="21"/>
                <w:szCs w:val="21"/>
                <w:lang w:eastAsia="zh-CN"/>
              </w:rPr>
              <w:t>固始县公共资源交易中心六楼不见面</w:t>
            </w:r>
            <w:r>
              <w:rPr>
                <w:rFonts w:hint="eastAsia" w:ascii="宋体" w:hAnsi="宋体" w:cs="宋体"/>
                <w:color w:val="auto"/>
                <w:kern w:val="0"/>
                <w:sz w:val="21"/>
                <w:szCs w:val="21"/>
                <w:lang w:eastAsia="zh-CN"/>
              </w:rPr>
              <w:t>第三开标室</w:t>
            </w:r>
          </w:p>
        </w:tc>
      </w:tr>
      <w:tr w14:paraId="41FF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916" w:type="dxa"/>
            <w:noWrap w:val="0"/>
            <w:vAlign w:val="center"/>
          </w:tcPr>
          <w:p w14:paraId="04D70519">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6.1</w:t>
            </w:r>
          </w:p>
        </w:tc>
        <w:tc>
          <w:tcPr>
            <w:tcW w:w="2416" w:type="dxa"/>
            <w:noWrap w:val="0"/>
            <w:vAlign w:val="center"/>
          </w:tcPr>
          <w:p w14:paraId="54E34903">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评标委员会的组建</w:t>
            </w:r>
          </w:p>
        </w:tc>
        <w:tc>
          <w:tcPr>
            <w:tcW w:w="6219" w:type="dxa"/>
            <w:noWrap w:val="0"/>
            <w:vAlign w:val="center"/>
          </w:tcPr>
          <w:p w14:paraId="6D99933D">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磋商小组构成：</w:t>
            </w:r>
            <w:r>
              <w:rPr>
                <w:rFonts w:hint="eastAsia" w:ascii="宋体" w:hAnsi="宋体" w:eastAsia="宋体" w:cs="宋体"/>
                <w:color w:val="auto"/>
                <w:kern w:val="0"/>
                <w:sz w:val="21"/>
                <w:szCs w:val="21"/>
                <w:u w:val="single"/>
              </w:rPr>
              <w:t xml:space="preserve"> 3 </w:t>
            </w:r>
            <w:r>
              <w:rPr>
                <w:rFonts w:hint="eastAsia" w:ascii="宋体" w:hAnsi="宋体" w:eastAsia="宋体" w:cs="宋体"/>
                <w:color w:val="auto"/>
                <w:kern w:val="0"/>
                <w:sz w:val="21"/>
                <w:szCs w:val="21"/>
              </w:rPr>
              <w:t>人，其中业主评委</w:t>
            </w:r>
            <w:r>
              <w:rPr>
                <w:rFonts w:hint="eastAsia" w:ascii="宋体" w:hAnsi="宋体" w:eastAsia="宋体" w:cs="宋体"/>
                <w:color w:val="auto"/>
                <w:kern w:val="0"/>
                <w:sz w:val="21"/>
                <w:szCs w:val="21"/>
                <w:u w:val="single"/>
              </w:rPr>
              <w:t xml:space="preserve"> 1 </w:t>
            </w:r>
            <w:r>
              <w:rPr>
                <w:rFonts w:hint="eastAsia" w:ascii="宋体" w:hAnsi="宋体" w:eastAsia="宋体" w:cs="宋体"/>
                <w:color w:val="auto"/>
                <w:kern w:val="0"/>
                <w:sz w:val="21"/>
                <w:szCs w:val="21"/>
              </w:rPr>
              <w:t>人，技术、经济类专家</w:t>
            </w:r>
            <w:r>
              <w:rPr>
                <w:rFonts w:hint="eastAsia" w:ascii="宋体" w:hAnsi="宋体" w:eastAsia="宋体" w:cs="宋体"/>
                <w:color w:val="auto"/>
                <w:kern w:val="0"/>
                <w:sz w:val="21"/>
                <w:szCs w:val="21"/>
                <w:u w:val="single"/>
              </w:rPr>
              <w:t xml:space="preserve"> 2 </w:t>
            </w:r>
            <w:r>
              <w:rPr>
                <w:rFonts w:hint="eastAsia" w:ascii="宋体" w:hAnsi="宋体" w:eastAsia="宋体" w:cs="宋体"/>
                <w:color w:val="auto"/>
                <w:kern w:val="0"/>
                <w:sz w:val="21"/>
                <w:szCs w:val="21"/>
              </w:rPr>
              <w:t>人；</w:t>
            </w:r>
          </w:p>
          <w:p w14:paraId="3A0E9E26">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专家确定方式：磋商前从</w:t>
            </w:r>
            <w:r>
              <w:rPr>
                <w:rFonts w:hint="eastAsia" w:ascii="宋体" w:hAnsi="宋体" w:cs="宋体"/>
                <w:color w:val="auto"/>
                <w:kern w:val="0"/>
                <w:sz w:val="21"/>
                <w:szCs w:val="21"/>
                <w:lang w:val="en-US" w:eastAsia="zh-CN"/>
              </w:rPr>
              <w:t>信阳市</w:t>
            </w:r>
            <w:r>
              <w:rPr>
                <w:rFonts w:hint="eastAsia" w:ascii="宋体" w:hAnsi="宋体" w:eastAsia="宋体" w:cs="宋体"/>
                <w:color w:val="auto"/>
                <w:kern w:val="0"/>
                <w:sz w:val="21"/>
                <w:szCs w:val="21"/>
              </w:rPr>
              <w:t>政府采购专家库中随机抽取。</w:t>
            </w:r>
          </w:p>
        </w:tc>
      </w:tr>
      <w:tr w14:paraId="4FB6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16" w:type="dxa"/>
            <w:noWrap w:val="0"/>
            <w:vAlign w:val="center"/>
          </w:tcPr>
          <w:p w14:paraId="139BC71D">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7.1</w:t>
            </w:r>
          </w:p>
        </w:tc>
        <w:tc>
          <w:tcPr>
            <w:tcW w:w="2416" w:type="dxa"/>
            <w:noWrap w:val="0"/>
            <w:vAlign w:val="center"/>
          </w:tcPr>
          <w:p w14:paraId="48A5684B">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是否授权评标委员会确定中标人</w:t>
            </w:r>
          </w:p>
        </w:tc>
        <w:tc>
          <w:tcPr>
            <w:tcW w:w="6219" w:type="dxa"/>
            <w:noWrap w:val="0"/>
            <w:vAlign w:val="center"/>
          </w:tcPr>
          <w:p w14:paraId="67447D60">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否，推荐3名中标候选人。</w:t>
            </w:r>
          </w:p>
        </w:tc>
      </w:tr>
      <w:tr w14:paraId="36BB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noWrap w:val="0"/>
            <w:vAlign w:val="center"/>
          </w:tcPr>
          <w:p w14:paraId="28E3E252">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7.3</w:t>
            </w:r>
          </w:p>
        </w:tc>
        <w:tc>
          <w:tcPr>
            <w:tcW w:w="2416" w:type="dxa"/>
            <w:noWrap w:val="0"/>
            <w:vAlign w:val="center"/>
          </w:tcPr>
          <w:p w14:paraId="52766B1E">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履约保证金</w:t>
            </w:r>
          </w:p>
        </w:tc>
        <w:tc>
          <w:tcPr>
            <w:tcW w:w="6219" w:type="dxa"/>
            <w:noWrap w:val="0"/>
            <w:vAlign w:val="center"/>
          </w:tcPr>
          <w:p w14:paraId="1B3C22B4">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eastAsia" w:ascii="宋体" w:hAnsi="宋体" w:eastAsia="宋体" w:cs="宋体"/>
                <w:color w:val="auto"/>
                <w:sz w:val="21"/>
                <w:szCs w:val="21"/>
              </w:rPr>
            </w:pPr>
            <w:r>
              <w:rPr>
                <w:rFonts w:hint="eastAsia" w:ascii="宋体" w:hAnsi="宋体" w:eastAsia="宋体" w:cs="宋体"/>
                <w:color w:val="auto"/>
                <w:sz w:val="21"/>
                <w:szCs w:val="21"/>
              </w:rPr>
              <w:t>无</w:t>
            </w:r>
          </w:p>
        </w:tc>
      </w:tr>
      <w:tr w14:paraId="2536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noWrap w:val="0"/>
            <w:vAlign w:val="center"/>
          </w:tcPr>
          <w:p w14:paraId="1B6F0CB4">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7.4</w:t>
            </w:r>
          </w:p>
        </w:tc>
        <w:tc>
          <w:tcPr>
            <w:tcW w:w="2416" w:type="dxa"/>
            <w:noWrap w:val="0"/>
            <w:vAlign w:val="center"/>
          </w:tcPr>
          <w:p w14:paraId="59FB8EDB">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本项目所属行业</w:t>
            </w:r>
          </w:p>
        </w:tc>
        <w:tc>
          <w:tcPr>
            <w:tcW w:w="6219" w:type="dxa"/>
            <w:noWrap w:val="0"/>
            <w:vAlign w:val="center"/>
          </w:tcPr>
          <w:p w14:paraId="2AE45A5D">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农、林、牧、渔业</w:t>
            </w:r>
          </w:p>
        </w:tc>
      </w:tr>
      <w:tr w14:paraId="6264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551" w:type="dxa"/>
            <w:gridSpan w:val="3"/>
            <w:noWrap w:val="0"/>
            <w:vAlign w:val="center"/>
          </w:tcPr>
          <w:p w14:paraId="02235AD1">
            <w:pPr>
              <w:keepNext w:val="0"/>
              <w:keepLines w:val="0"/>
              <w:pageBreakBefore w:val="0"/>
              <w:suppressLineNumbers w:val="0"/>
              <w:kinsoku/>
              <w:wordWrap w:val="0"/>
              <w:overflowPunct/>
              <w:autoSpaceDE w:val="0"/>
              <w:autoSpaceDN w:val="0"/>
              <w:bidi w:val="0"/>
              <w:adjustRightInd w:val="0"/>
              <w:spacing w:before="72" w:beforeLines="30" w:beforeAutospacing="0" w:after="0" w:afterAutospacing="0" w:line="288" w:lineRule="auto"/>
              <w:ind w:left="21" w:leftChars="10" w:right="21" w:rightChars="10"/>
              <w:jc w:val="center"/>
              <w:rPr>
                <w:rFonts w:hint="eastAsia" w:ascii="宋体" w:hAnsi="宋体" w:eastAsia="宋体" w:cs="宋体"/>
                <w:color w:val="auto"/>
                <w:sz w:val="21"/>
                <w:szCs w:val="21"/>
              </w:rPr>
            </w:pPr>
            <w:r>
              <w:rPr>
                <w:rFonts w:hint="eastAsia" w:ascii="宋体" w:hAnsi="宋体" w:eastAsia="宋体" w:cs="宋体"/>
                <w:color w:val="auto"/>
                <w:sz w:val="21"/>
                <w:szCs w:val="21"/>
              </w:rPr>
              <w:t>需要补充的其他内容</w:t>
            </w:r>
          </w:p>
        </w:tc>
      </w:tr>
      <w:tr w14:paraId="0BCD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332" w:type="dxa"/>
            <w:gridSpan w:val="2"/>
            <w:noWrap w:val="0"/>
            <w:vAlign w:val="center"/>
          </w:tcPr>
          <w:p w14:paraId="7936FE1F">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解释权</w:t>
            </w:r>
          </w:p>
        </w:tc>
        <w:tc>
          <w:tcPr>
            <w:tcW w:w="6219" w:type="dxa"/>
            <w:noWrap w:val="0"/>
            <w:vAlign w:val="center"/>
          </w:tcPr>
          <w:p w14:paraId="42402011">
            <w:pPr>
              <w:keepNext w:val="0"/>
              <w:keepLines w:val="0"/>
              <w:pageBreakBefore w:val="0"/>
              <w:suppressLineNumbers w:val="0"/>
              <w:kinsoku/>
              <w:wordWrap w:val="0"/>
              <w:overflowPunct/>
              <w:bidi w:val="0"/>
              <w:adjustRightInd w:val="0"/>
              <w:spacing w:before="0" w:beforeAutospacing="0" w:after="0" w:afterAutospacing="0" w:line="340" w:lineRule="exact"/>
              <w:ind w:left="0" w:right="0" w:firstLine="42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7D74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332" w:type="dxa"/>
            <w:gridSpan w:val="2"/>
            <w:noWrap w:val="0"/>
            <w:vAlign w:val="center"/>
          </w:tcPr>
          <w:p w14:paraId="0FFCC96A">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质疑（异议）、投诉</w:t>
            </w:r>
          </w:p>
        </w:tc>
        <w:tc>
          <w:tcPr>
            <w:tcW w:w="6219" w:type="dxa"/>
            <w:noWrap w:val="0"/>
            <w:vAlign w:val="center"/>
          </w:tcPr>
          <w:p w14:paraId="10F7C637">
            <w:pPr>
              <w:keepNext w:val="0"/>
              <w:keepLines w:val="0"/>
              <w:pageBreakBefore w:val="0"/>
              <w:suppressLineNumbers w:val="0"/>
              <w:kinsoku/>
              <w:wordWrap w:val="0"/>
              <w:overflowPunct/>
              <w:bidi w:val="0"/>
              <w:adjustRightInd w:val="0"/>
              <w:spacing w:before="0" w:beforeAutospacing="0" w:after="0" w:afterAutospacing="0" w:line="340" w:lineRule="exact"/>
              <w:ind w:left="0" w:right="0" w:firstLine="420"/>
              <w:jc w:val="lef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kern w:val="0"/>
                <w:szCs w:val="21"/>
                <w:highlight w:val="none"/>
              </w:rPr>
              <w:t>投标人对采购文件、采购过程、中标或者成交结果的质疑，可以在知道或者应知其权益受到损害之日起7个工作日内，以书面形式一次性向采购人或采购代理机构提出质疑。采购人或采购代理机构不接受投标人对同一采购环节的多次质疑。</w:t>
            </w:r>
          </w:p>
        </w:tc>
      </w:tr>
      <w:tr w14:paraId="3571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332" w:type="dxa"/>
            <w:gridSpan w:val="2"/>
            <w:noWrap w:val="0"/>
            <w:vAlign w:val="center"/>
          </w:tcPr>
          <w:p w14:paraId="2C1C713B">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标书雷同性分析</w:t>
            </w:r>
          </w:p>
        </w:tc>
        <w:tc>
          <w:tcPr>
            <w:tcW w:w="6219" w:type="dxa"/>
            <w:noWrap w:val="0"/>
            <w:vAlign w:val="center"/>
          </w:tcPr>
          <w:p w14:paraId="6E6880BA">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文件制作机器码、文件创建标识码有相同的按废标处理。</w:t>
            </w:r>
          </w:p>
        </w:tc>
      </w:tr>
      <w:tr w14:paraId="24FB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332" w:type="dxa"/>
            <w:gridSpan w:val="2"/>
            <w:noWrap w:val="0"/>
            <w:vAlign w:val="center"/>
          </w:tcPr>
          <w:p w14:paraId="2E17D317">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代理服务费</w:t>
            </w:r>
          </w:p>
        </w:tc>
        <w:tc>
          <w:tcPr>
            <w:tcW w:w="6219" w:type="dxa"/>
            <w:noWrap w:val="0"/>
            <w:vAlign w:val="center"/>
          </w:tcPr>
          <w:p w14:paraId="44C065CD">
            <w:pPr>
              <w:keepNext w:val="0"/>
              <w:keepLines w:val="0"/>
              <w:pageBreakBefore w:val="0"/>
              <w:suppressLineNumbers w:val="0"/>
              <w:kinsoku/>
              <w:wordWrap w:val="0"/>
              <w:overflowPunct/>
              <w:bidi w:val="0"/>
              <w:adjustRightInd w:val="0"/>
              <w:spacing w:before="0" w:beforeAutospacing="0" w:after="0" w:afterAutospacing="0" w:line="340" w:lineRule="exact"/>
              <w:ind w:left="0" w:right="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招标代理服务费按《河南省招标投标协会关于印发《河南省招标代理服务收费指导意见》的通知》(豫招协[2023]002号)中招标代理服务收费计算标准并参照市场计取。</w:t>
            </w:r>
          </w:p>
        </w:tc>
      </w:tr>
    </w:tbl>
    <w:p w14:paraId="1EDCFC4F">
      <w:pPr>
        <w:pageBreakBefore w:val="0"/>
        <w:kinsoku/>
        <w:wordWrap w:val="0"/>
        <w:overflowPunct/>
        <w:bidi w:val="0"/>
        <w:spacing w:line="360" w:lineRule="auto"/>
        <w:ind w:firstLine="422" w:firstLineChars="200"/>
        <w:outlineLvl w:val="1"/>
        <w:rPr>
          <w:rFonts w:hint="eastAsia" w:ascii="宋体" w:hAnsi="宋体" w:eastAsia="宋体" w:cs="宋体"/>
          <w:b/>
          <w:bCs/>
          <w:color w:val="auto"/>
          <w:szCs w:val="21"/>
        </w:rPr>
      </w:pPr>
      <w:bookmarkStart w:id="9" w:name="_Toc27364"/>
      <w:bookmarkStart w:id="10" w:name="_Toc16296"/>
      <w:bookmarkStart w:id="11" w:name="_Toc3568"/>
      <w:bookmarkStart w:id="12" w:name="_Toc195921851"/>
      <w:r>
        <w:rPr>
          <w:rFonts w:hint="eastAsia" w:ascii="宋体" w:hAnsi="宋体" w:eastAsia="宋体" w:cs="宋体"/>
          <w:b/>
          <w:bCs/>
          <w:color w:val="auto"/>
          <w:szCs w:val="21"/>
        </w:rPr>
        <w:t>1.总则</w:t>
      </w:r>
      <w:bookmarkEnd w:id="9"/>
      <w:bookmarkEnd w:id="10"/>
      <w:bookmarkStart w:id="13" w:name="_Toc455080109"/>
      <w:bookmarkStart w:id="14" w:name="_Toc490667828"/>
      <w:bookmarkStart w:id="15" w:name="_Toc281380952"/>
      <w:bookmarkStart w:id="16" w:name="_Toc20827"/>
      <w:bookmarkStart w:id="17" w:name="_Toc21266"/>
      <w:bookmarkStart w:id="18" w:name="_Toc455867769"/>
      <w:bookmarkStart w:id="19" w:name="_Toc274409866"/>
      <w:bookmarkStart w:id="20" w:name="_Toc31404"/>
      <w:bookmarkStart w:id="21" w:name="_Toc1172"/>
      <w:bookmarkStart w:id="22" w:name="_Toc6747"/>
      <w:bookmarkStart w:id="23" w:name="_Toc466298092"/>
      <w:bookmarkStart w:id="24" w:name="_Toc29023"/>
      <w:bookmarkStart w:id="25" w:name="_Toc9136"/>
      <w:bookmarkStart w:id="26" w:name="_Toc15709"/>
      <w:bookmarkStart w:id="27" w:name="_Toc318450675"/>
      <w:bookmarkStart w:id="28" w:name="_Toc10273"/>
      <w:bookmarkStart w:id="29" w:name="_Toc658"/>
      <w:bookmarkStart w:id="30" w:name="_Toc21458"/>
      <w:bookmarkStart w:id="31" w:name="_Toc144974499"/>
      <w:bookmarkStart w:id="32" w:name="_Toc152042307"/>
      <w:bookmarkStart w:id="33" w:name="_Toc152045531"/>
    </w:p>
    <w:p w14:paraId="75137FB3">
      <w:pPr>
        <w:pageBreakBefore w:val="0"/>
        <w:kinsoku/>
        <w:wordWrap w:val="0"/>
        <w:overflowPunct/>
        <w:bidi w:val="0"/>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1.1 适用范围</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89ABA14">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1.1.1 根据《中华人民共和国政府采购法》等有关法律、法规和规章的规定，编制本项目磋商文件。</w:t>
      </w:r>
      <w:bookmarkStart w:id="34" w:name="_Toc281405468"/>
      <w:bookmarkStart w:id="35" w:name="_Toc24852"/>
      <w:bookmarkStart w:id="36" w:name="_Toc2929"/>
      <w:bookmarkStart w:id="37" w:name="_Toc490667829"/>
      <w:bookmarkStart w:id="38" w:name="_Toc274409867"/>
      <w:bookmarkStart w:id="39" w:name="_Toc10269"/>
      <w:bookmarkStart w:id="40" w:name="_Toc10556"/>
      <w:bookmarkStart w:id="41" w:name="_Toc455867770"/>
      <w:bookmarkStart w:id="42" w:name="_Toc466298093"/>
      <w:bookmarkStart w:id="43" w:name="_Toc7237"/>
      <w:bookmarkStart w:id="44" w:name="_Toc32619"/>
      <w:bookmarkStart w:id="45" w:name="_Toc25773"/>
      <w:bookmarkStart w:id="46" w:name="_Toc30891"/>
      <w:bookmarkStart w:id="47" w:name="_Toc318450676"/>
      <w:bookmarkStart w:id="48" w:name="_Toc3336"/>
      <w:bookmarkStart w:id="49" w:name="_Toc31929"/>
      <w:bookmarkStart w:id="50" w:name="_Toc710"/>
      <w:bookmarkStart w:id="51" w:name="_Toc455080110"/>
    </w:p>
    <w:p w14:paraId="7856994B">
      <w:pPr>
        <w:pageBreakBefore w:val="0"/>
        <w:kinsoku/>
        <w:wordWrap w:val="0"/>
        <w:overflowPunct/>
        <w:bidi w:val="0"/>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1.2 招标项目说明</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55848E5">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1.2.1 本项目采购人：见供应商须知前附表。</w:t>
      </w:r>
    </w:p>
    <w:p w14:paraId="5EF814A6">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1.2.2 本项目采购代理机构：见供应商须知前附表。</w:t>
      </w:r>
    </w:p>
    <w:p w14:paraId="7B7681D1">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1.2.3 本项目名称：见供应商须知前附表。</w:t>
      </w:r>
    </w:p>
    <w:p w14:paraId="10F06B3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1.2.4 本项目采购方式：见供应商须知前附表。</w:t>
      </w:r>
    </w:p>
    <w:p w14:paraId="3D6B78B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1.2.5 本项目预算价（最高限价）：见供应商须知前附表。</w:t>
      </w:r>
      <w:bookmarkStart w:id="52" w:name="_Toc18960"/>
      <w:bookmarkStart w:id="53" w:name="_Toc3477"/>
      <w:bookmarkStart w:id="54" w:name="_Toc16931"/>
      <w:bookmarkStart w:id="55" w:name="_Toc17146"/>
      <w:bookmarkStart w:id="56" w:name="_Toc455867771"/>
      <w:bookmarkStart w:id="57" w:name="_Toc274409868"/>
      <w:bookmarkStart w:id="58" w:name="_Toc4563"/>
      <w:bookmarkStart w:id="59" w:name="_Toc281405469"/>
      <w:bookmarkStart w:id="60" w:name="_Toc1373"/>
      <w:bookmarkStart w:id="61" w:name="_Toc17016"/>
      <w:bookmarkStart w:id="62" w:name="_Toc4122"/>
      <w:bookmarkStart w:id="63" w:name="_Toc318450677"/>
      <w:bookmarkStart w:id="64" w:name="_Toc22979"/>
      <w:bookmarkStart w:id="65" w:name="_Toc2415"/>
      <w:bookmarkStart w:id="66" w:name="_Toc455080111"/>
      <w:bookmarkStart w:id="67" w:name="_Toc4952"/>
      <w:bookmarkStart w:id="68" w:name="_Toc466298094"/>
      <w:bookmarkStart w:id="69" w:name="_Toc490667830"/>
    </w:p>
    <w:p w14:paraId="4B107DE5">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1.3 定义及解释</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A0E1B66">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1.3.1 采购人：依法进行政府采购的国家机关、事业单位、团体组织。</w:t>
      </w:r>
    </w:p>
    <w:p w14:paraId="254CA42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1.3.2 采购代理机构：取得政府采购招标代理资质，受采购人委托组织招标活动的社会中介组织。</w:t>
      </w:r>
    </w:p>
    <w:p w14:paraId="06350CBD">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1.3.3 服务：系指根据本磋商文件规定供应商须承担的服务以及其他类似的义务等。</w:t>
      </w:r>
    </w:p>
    <w:p w14:paraId="5973A806">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1.3.4 供应商：供应商是响应磋商文件、参加磋商竞争的中华人民共和国境内的法人、其它组织。</w:t>
      </w:r>
    </w:p>
    <w:p w14:paraId="22C018B3">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1.3.5 响应文件：指供应商根据竞争性磋商文件提交的所有文件。</w:t>
      </w:r>
    </w:p>
    <w:p w14:paraId="3B1ED31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1.3.6 磋商小组：依据《中华人民共和国政府采购法》及有关法律、法规的规定依法组建的专门负责本次评标工作的临时机构。</w:t>
      </w:r>
    </w:p>
    <w:p w14:paraId="50F31F0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1.3.7 偏离：响应文件的响应相对于竞争性磋商文件要求的偏差，该偏差优于竞争性磋商文件要求的为正偏离；劣于的，为负偏离。</w:t>
      </w:r>
    </w:p>
    <w:p w14:paraId="0D50E7F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1.3.8 “日期”或“天”：指日历天。</w:t>
      </w:r>
    </w:p>
    <w:p w14:paraId="1D6BFAD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1.3.9 合同：指依据本次服务采购招标结果签订的协议或合约文件。</w:t>
      </w:r>
    </w:p>
    <w:p w14:paraId="3211362D">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1.3.10 竞争性磋商文件中的标题或题名仅起引导作用，而不应视为对竞争性磋商文件内容的理解和解释。</w:t>
      </w:r>
      <w:bookmarkEnd w:id="31"/>
      <w:bookmarkEnd w:id="32"/>
      <w:bookmarkEnd w:id="33"/>
      <w:bookmarkStart w:id="70" w:name="_Toc152042308"/>
      <w:bookmarkStart w:id="71" w:name="_Toc455867772"/>
      <w:bookmarkStart w:id="72" w:name="_Toc12752"/>
      <w:bookmarkStart w:id="73" w:name="_Toc17808"/>
      <w:bookmarkStart w:id="74" w:name="_Toc466298095"/>
      <w:bookmarkStart w:id="75" w:name="_Toc144974500"/>
      <w:bookmarkStart w:id="76" w:name="_Toc16470"/>
      <w:bookmarkStart w:id="77" w:name="_Toc318450678"/>
      <w:bookmarkStart w:id="78" w:name="_Toc21766"/>
      <w:bookmarkStart w:id="79" w:name="_Toc152045532"/>
      <w:bookmarkStart w:id="80" w:name="_Toc26189"/>
      <w:bookmarkStart w:id="81" w:name="_Toc10894"/>
      <w:bookmarkStart w:id="82" w:name="_Toc32236"/>
      <w:bookmarkStart w:id="83" w:name="_Toc14043"/>
      <w:bookmarkStart w:id="84" w:name="_Toc27407"/>
      <w:bookmarkStart w:id="85" w:name="_Toc17908"/>
      <w:bookmarkStart w:id="86" w:name="_Toc490667831"/>
      <w:bookmarkStart w:id="87" w:name="_Toc19363"/>
      <w:bookmarkStart w:id="88" w:name="_Toc455080112"/>
    </w:p>
    <w:p w14:paraId="1A2CA068">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1.4 采购内容、</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hint="eastAsia" w:ascii="宋体" w:hAnsi="宋体" w:eastAsia="宋体" w:cs="宋体"/>
          <w:b/>
          <w:color w:val="auto"/>
          <w:szCs w:val="21"/>
        </w:rPr>
        <w:t>合同履行期限、质量要求</w:t>
      </w:r>
    </w:p>
    <w:p w14:paraId="3207294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1.4.1 本次采购内容：见供应商须知前附表。</w:t>
      </w:r>
    </w:p>
    <w:p w14:paraId="7E906090">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1.4.2 本项目的合同履行期限：见供应商须知前附表。</w:t>
      </w:r>
    </w:p>
    <w:p w14:paraId="14EF9364">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1.4.3 本项目的质量要求：见供应商须知前附表。</w:t>
      </w:r>
      <w:bookmarkStart w:id="89" w:name="_Toc152042310"/>
      <w:bookmarkStart w:id="90" w:name="_Toc152045534"/>
      <w:bookmarkStart w:id="91" w:name="_Toc318450679"/>
      <w:bookmarkStart w:id="92" w:name="_Toc144974502"/>
      <w:bookmarkStart w:id="93" w:name="_Toc4301"/>
      <w:bookmarkStart w:id="94" w:name="_Toc22643"/>
      <w:bookmarkStart w:id="95" w:name="_Toc10081"/>
      <w:bookmarkStart w:id="96" w:name="_Toc455867773"/>
      <w:bookmarkStart w:id="97" w:name="_Toc5019"/>
      <w:bookmarkStart w:id="98" w:name="_Toc11063"/>
      <w:bookmarkStart w:id="99" w:name="_Toc455080113"/>
      <w:bookmarkStart w:id="100" w:name="_Toc32156"/>
      <w:bookmarkStart w:id="101" w:name="_Toc490667832"/>
      <w:bookmarkStart w:id="102" w:name="_Toc466298096"/>
      <w:bookmarkStart w:id="103" w:name="_Toc18004"/>
      <w:bookmarkStart w:id="104" w:name="_Toc1602"/>
      <w:bookmarkStart w:id="105" w:name="_Toc7209"/>
      <w:bookmarkStart w:id="106" w:name="_Toc18689"/>
      <w:bookmarkStart w:id="107" w:name="_Toc4711"/>
    </w:p>
    <w:p w14:paraId="674C71A7">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 xml:space="preserve">1.5 </w:t>
      </w:r>
      <w:bookmarkEnd w:id="89"/>
      <w:bookmarkEnd w:id="90"/>
      <w:bookmarkEnd w:id="91"/>
      <w:bookmarkEnd w:id="92"/>
      <w:r>
        <w:rPr>
          <w:rFonts w:hint="eastAsia" w:ascii="宋体" w:hAnsi="宋体" w:eastAsia="宋体" w:cs="宋体"/>
          <w:b/>
          <w:color w:val="auto"/>
          <w:szCs w:val="21"/>
        </w:rPr>
        <w:t>供应商资质条件和能力</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DA00CB4">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1.5.1 供应商资质及能力要求：见供应商须知前附表。</w:t>
      </w:r>
    </w:p>
    <w:p w14:paraId="41CBAE83">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1.5.2 是否接受联合体：见供应商须知前附表。</w:t>
      </w:r>
      <w:bookmarkStart w:id="108" w:name="_Toc28135"/>
      <w:bookmarkStart w:id="109" w:name="_Toc981"/>
      <w:bookmarkStart w:id="110" w:name="_Toc12403"/>
      <w:bookmarkStart w:id="111" w:name="_Toc11905"/>
      <w:bookmarkStart w:id="112" w:name="_Toc31497"/>
      <w:bookmarkStart w:id="113" w:name="_Toc490667833"/>
      <w:bookmarkStart w:id="114" w:name="_Toc16889"/>
      <w:bookmarkStart w:id="115" w:name="_Toc455867774"/>
      <w:bookmarkStart w:id="116" w:name="_Toc9505"/>
      <w:bookmarkStart w:id="117" w:name="_Toc152042311"/>
      <w:bookmarkStart w:id="118" w:name="_Toc144974503"/>
      <w:bookmarkStart w:id="119" w:name="_Toc318450680"/>
      <w:bookmarkStart w:id="120" w:name="_Toc5162"/>
      <w:bookmarkStart w:id="121" w:name="_Toc455080114"/>
      <w:bookmarkStart w:id="122" w:name="_Toc31854"/>
      <w:bookmarkStart w:id="123" w:name="_Toc466298097"/>
      <w:bookmarkStart w:id="124" w:name="_Toc651"/>
      <w:bookmarkStart w:id="125" w:name="_Toc152045535"/>
      <w:bookmarkStart w:id="126" w:name="_Toc32446"/>
    </w:p>
    <w:p w14:paraId="28A4986D">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1.6 费用承担</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675469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供应商准备和参加磋商活动发生的费用自理，不论磋商的结果如何，采购人和采购代理机构在任何情况下均无义务和责任承担这些费用。</w:t>
      </w:r>
      <w:bookmarkStart w:id="127" w:name="_Toc5402"/>
      <w:bookmarkStart w:id="128" w:name="_Toc6014"/>
      <w:bookmarkStart w:id="129" w:name="_Toc455867775"/>
      <w:bookmarkStart w:id="130" w:name="_Toc22136"/>
      <w:bookmarkStart w:id="131" w:name="_Toc455080115"/>
      <w:bookmarkStart w:id="132" w:name="_Toc1879"/>
      <w:bookmarkStart w:id="133" w:name="_Toc24601"/>
      <w:bookmarkStart w:id="134" w:name="_Toc144974504"/>
      <w:bookmarkStart w:id="135" w:name="_Toc8598"/>
      <w:bookmarkStart w:id="136" w:name="_Toc490667834"/>
      <w:bookmarkStart w:id="137" w:name="_Toc8055"/>
      <w:bookmarkStart w:id="138" w:name="_Toc20145"/>
      <w:bookmarkStart w:id="139" w:name="_Toc22800"/>
      <w:bookmarkStart w:id="140" w:name="_Toc466298098"/>
      <w:bookmarkStart w:id="141" w:name="_Toc32053"/>
      <w:bookmarkStart w:id="142" w:name="_Toc152042312"/>
      <w:bookmarkStart w:id="143" w:name="_Toc152045536"/>
      <w:bookmarkStart w:id="144" w:name="_Toc2622"/>
      <w:bookmarkStart w:id="145" w:name="_Toc318450681"/>
    </w:p>
    <w:p w14:paraId="053B553B">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1.7 保密</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9528F0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参与磋商活动的各方应对竞争性磋商文件和响应文件中的商业和技术等秘密保密，违者应对由此造成的后果承担法律责任。</w:t>
      </w:r>
      <w:bookmarkStart w:id="146" w:name="_Toc144974505"/>
      <w:bookmarkStart w:id="147" w:name="_Toc22226"/>
      <w:bookmarkStart w:id="148" w:name="_Toc7031"/>
      <w:bookmarkStart w:id="149" w:name="_Toc152042313"/>
      <w:bookmarkStart w:id="150" w:name="_Toc466298099"/>
      <w:bookmarkStart w:id="151" w:name="_Toc30583"/>
      <w:bookmarkStart w:id="152" w:name="_Toc318450682"/>
      <w:bookmarkStart w:id="153" w:name="_Toc14775"/>
      <w:bookmarkStart w:id="154" w:name="_Toc152045537"/>
      <w:bookmarkStart w:id="155" w:name="_Toc30747"/>
      <w:bookmarkStart w:id="156" w:name="_Toc25517"/>
      <w:bookmarkStart w:id="157" w:name="_Toc21089"/>
      <w:bookmarkStart w:id="158" w:name="_Toc490667835"/>
      <w:bookmarkStart w:id="159" w:name="_Toc3628"/>
      <w:bookmarkStart w:id="160" w:name="_Toc455867776"/>
      <w:bookmarkStart w:id="161" w:name="_Toc15673"/>
      <w:bookmarkStart w:id="162" w:name="_Toc455080116"/>
      <w:bookmarkStart w:id="163" w:name="_Toc6615"/>
      <w:bookmarkStart w:id="164" w:name="_Toc13976"/>
    </w:p>
    <w:p w14:paraId="5D8F5E2F">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1.8 语言</w:t>
      </w:r>
      <w:bookmarkEnd w:id="146"/>
      <w:r>
        <w:rPr>
          <w:rFonts w:hint="eastAsia" w:ascii="宋体" w:hAnsi="宋体" w:eastAsia="宋体" w:cs="宋体"/>
          <w:b/>
          <w:color w:val="auto"/>
          <w:szCs w:val="21"/>
        </w:rPr>
        <w:t>文字</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0D3337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除专用术语外，与磋商有关的语言均使用中文。必要时专用术语应附有中文注释，对不同文字文本响应文件的解释发生异议的，以中文文本为准。</w:t>
      </w:r>
      <w:bookmarkStart w:id="165" w:name="_Toc152042314"/>
      <w:bookmarkStart w:id="166" w:name="_Toc490667836"/>
      <w:bookmarkStart w:id="167" w:name="_Toc22378"/>
      <w:bookmarkStart w:id="168" w:name="_Toc2702"/>
      <w:bookmarkStart w:id="169" w:name="_Toc4237"/>
      <w:bookmarkStart w:id="170" w:name="_Toc18357"/>
      <w:bookmarkStart w:id="171" w:name="_Toc318450683"/>
      <w:bookmarkStart w:id="172" w:name="_Toc144974506"/>
      <w:bookmarkStart w:id="173" w:name="_Toc455867777"/>
      <w:bookmarkStart w:id="174" w:name="_Toc21543"/>
      <w:bookmarkStart w:id="175" w:name="_Toc4501"/>
      <w:bookmarkStart w:id="176" w:name="_Toc152045538"/>
      <w:bookmarkStart w:id="177" w:name="_Toc22415"/>
      <w:bookmarkStart w:id="178" w:name="_Toc24337"/>
      <w:bookmarkStart w:id="179" w:name="_Toc14934"/>
      <w:bookmarkStart w:id="180" w:name="_Toc32507"/>
      <w:bookmarkStart w:id="181" w:name="_Toc466298100"/>
      <w:bookmarkStart w:id="182" w:name="_Toc455080117"/>
      <w:bookmarkStart w:id="183" w:name="_Toc9446"/>
    </w:p>
    <w:p w14:paraId="4BA014C6">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1.9 计量单位</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2DA4C9A">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所有计量均采用中华人民共和国法定计量单位。</w:t>
      </w:r>
      <w:bookmarkStart w:id="184" w:name="_Toc455867778"/>
      <w:bookmarkStart w:id="185" w:name="_Toc13675"/>
      <w:bookmarkStart w:id="186" w:name="_Toc284"/>
      <w:bookmarkStart w:id="187" w:name="_Toc31195"/>
      <w:bookmarkStart w:id="188" w:name="_Toc318450684"/>
      <w:bookmarkStart w:id="189" w:name="_Toc490667837"/>
      <w:bookmarkStart w:id="190" w:name="_Toc152042316"/>
      <w:bookmarkStart w:id="191" w:name="_Toc19685"/>
      <w:bookmarkStart w:id="192" w:name="_Toc2508"/>
      <w:bookmarkStart w:id="193" w:name="_Toc18589"/>
      <w:bookmarkStart w:id="194" w:name="_Toc466298101"/>
      <w:bookmarkStart w:id="195" w:name="_Toc144974508"/>
      <w:bookmarkStart w:id="196" w:name="_Toc338"/>
      <w:bookmarkStart w:id="197" w:name="_Toc12027"/>
      <w:bookmarkStart w:id="198" w:name="_Toc455080118"/>
      <w:bookmarkStart w:id="199" w:name="_Toc27570"/>
      <w:bookmarkStart w:id="200" w:name="_Toc29845"/>
      <w:bookmarkStart w:id="201" w:name="_Toc152045540"/>
      <w:bookmarkStart w:id="202" w:name="_Toc32253"/>
    </w:p>
    <w:p w14:paraId="5F04FEB9">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 xml:space="preserve">1.10 </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hint="eastAsia" w:ascii="宋体" w:hAnsi="宋体" w:eastAsia="宋体" w:cs="宋体"/>
          <w:b/>
          <w:color w:val="auto"/>
          <w:szCs w:val="21"/>
        </w:rPr>
        <w:t>现场踏勘</w:t>
      </w:r>
      <w:bookmarkEnd w:id="202"/>
      <w:bookmarkStart w:id="203" w:name="_Toc25208"/>
      <w:bookmarkStart w:id="204" w:name="_Toc490667838"/>
      <w:bookmarkStart w:id="205" w:name="_Toc32757"/>
      <w:bookmarkStart w:id="206" w:name="_Toc466298102"/>
      <w:bookmarkStart w:id="207" w:name="_Toc23635"/>
      <w:bookmarkStart w:id="208" w:name="_Toc28719"/>
      <w:bookmarkStart w:id="209" w:name="_Toc318450685"/>
      <w:bookmarkStart w:id="210" w:name="_Toc11744"/>
      <w:bookmarkStart w:id="211" w:name="_Toc455867779"/>
      <w:bookmarkStart w:id="212" w:name="_Toc3853"/>
      <w:bookmarkStart w:id="213" w:name="_Toc152045541"/>
      <w:bookmarkStart w:id="214" w:name="_Toc9182"/>
      <w:bookmarkStart w:id="215" w:name="_Toc24262"/>
      <w:bookmarkStart w:id="216" w:name="_Toc144974509"/>
      <w:bookmarkStart w:id="217" w:name="_Toc152042317"/>
      <w:bookmarkStart w:id="218" w:name="_Toc31725"/>
      <w:bookmarkStart w:id="219" w:name="_Toc455080119"/>
      <w:bookmarkStart w:id="220" w:name="_Toc23678"/>
    </w:p>
    <w:p w14:paraId="0DCFB3D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不组织。</w:t>
      </w:r>
    </w:p>
    <w:p w14:paraId="11E34458">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1.11 分包</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2A20159D">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是否允许分包：见供应商须知前附表。</w:t>
      </w:r>
      <w:bookmarkStart w:id="221" w:name="_Toc455080120"/>
      <w:bookmarkStart w:id="222" w:name="_Toc152045542"/>
      <w:bookmarkStart w:id="223" w:name="_Toc152042318"/>
      <w:bookmarkStart w:id="224" w:name="_Toc144974510"/>
    </w:p>
    <w:bookmarkEnd w:id="221"/>
    <w:bookmarkEnd w:id="222"/>
    <w:bookmarkEnd w:id="223"/>
    <w:bookmarkEnd w:id="224"/>
    <w:p w14:paraId="58EF31BE">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225" w:name="_Toc24635"/>
      <w:bookmarkStart w:id="226" w:name="_Toc2792"/>
      <w:r>
        <w:rPr>
          <w:rFonts w:hint="eastAsia" w:ascii="宋体" w:hAnsi="宋体" w:eastAsia="宋体" w:cs="宋体"/>
          <w:b/>
          <w:color w:val="auto"/>
          <w:szCs w:val="21"/>
        </w:rPr>
        <w:t>2.竞争性磋商文件</w:t>
      </w:r>
      <w:bookmarkEnd w:id="225"/>
      <w:bookmarkEnd w:id="226"/>
      <w:bookmarkStart w:id="227" w:name="_Toc318450687"/>
      <w:bookmarkStart w:id="228" w:name="_Toc455080121"/>
      <w:bookmarkStart w:id="229" w:name="_Toc11567"/>
      <w:bookmarkStart w:id="230" w:name="_Toc455867781"/>
      <w:bookmarkStart w:id="231" w:name="_Toc7999"/>
      <w:bookmarkStart w:id="232" w:name="_Toc12004"/>
      <w:bookmarkStart w:id="233" w:name="_Toc12640"/>
      <w:bookmarkStart w:id="234" w:name="_Toc32711"/>
      <w:bookmarkStart w:id="235" w:name="_Toc23649"/>
      <w:bookmarkStart w:id="236" w:name="_Toc152045543"/>
      <w:bookmarkStart w:id="237" w:name="_Toc3982"/>
      <w:bookmarkStart w:id="238" w:name="_Toc9780"/>
      <w:bookmarkStart w:id="239" w:name="_Toc1008"/>
      <w:bookmarkStart w:id="240" w:name="_Toc152042319"/>
      <w:bookmarkStart w:id="241" w:name="_Toc11599"/>
      <w:bookmarkStart w:id="242" w:name="_Toc25982"/>
      <w:bookmarkStart w:id="243" w:name="_Toc144974511"/>
      <w:bookmarkStart w:id="244" w:name="_Toc490667840"/>
      <w:bookmarkStart w:id="245" w:name="_Toc466298104"/>
    </w:p>
    <w:p w14:paraId="6E6B3FA1">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2.1 竞争性磋商文件的组成</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9FAB0E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本竞争性磋商文件包括：</w:t>
      </w:r>
    </w:p>
    <w:p w14:paraId="6AC1EC8F">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（1）竞争性磋商公告；</w:t>
      </w:r>
    </w:p>
    <w:p w14:paraId="5C226D1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（2）供应商须知；</w:t>
      </w:r>
    </w:p>
    <w:p w14:paraId="463326DA">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（3）评审办法（综合评分法）；</w:t>
      </w:r>
    </w:p>
    <w:p w14:paraId="78EBC04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（4）河南省政府采购合同（参考文本）；</w:t>
      </w:r>
    </w:p>
    <w:p w14:paraId="3F8284E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（5）采购要求；</w:t>
      </w:r>
    </w:p>
    <w:p w14:paraId="74F4AE0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（6）竞争性磋商响应文件格式。</w:t>
      </w:r>
    </w:p>
    <w:p w14:paraId="53E1BC8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根据本章第2.2款和第2.3款对竞争性磋商文件所作的澄清、修改，构成竞争性磋商文件的组成部分。</w:t>
      </w:r>
      <w:bookmarkStart w:id="246" w:name="_Toc6508"/>
      <w:bookmarkStart w:id="247" w:name="_Toc15658"/>
      <w:bookmarkStart w:id="248" w:name="_Toc144974514"/>
      <w:bookmarkStart w:id="249" w:name="_Toc152045546"/>
      <w:bookmarkStart w:id="250" w:name="_Toc152042322"/>
      <w:bookmarkStart w:id="251" w:name="_Toc455080124"/>
    </w:p>
    <w:p w14:paraId="69C99952">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2.2 竞争性磋商文件的澄清</w:t>
      </w:r>
      <w:bookmarkEnd w:id="246"/>
      <w:bookmarkEnd w:id="247"/>
    </w:p>
    <w:p w14:paraId="0256CFF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2.2.1 供应商应仔细阅读和检查竞争性磋商文件的全部内容。如发现缺页或附件不全，应及时向采购人提出，以便补齐。如有疑问，应在供应商须知前附表规定的时间前以书面形式（包括信函、电报、传真等可以有形表现所载内容的形式，下同），要求采购人对竞争性磋商文件予以澄清。</w:t>
      </w:r>
    </w:p>
    <w:p w14:paraId="1A9A3C73">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2.2.2 竞争性磋商文件的澄清将在供应商须知前附表规定的响应文件递交截止时间5天前在信阳市公共资源交易系统“变更公告”或“答疑文件”将澄清内容予以发布，但不指明澄清问题的来源。如果澄清的内容可能影响响应文件编制且发出的时间距响应文件递交截止时间不足5天，相应延长投标截止时间。</w:t>
      </w:r>
    </w:p>
    <w:p w14:paraId="3467AAFE">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2.2.3 供应商应在响应文件递交截止时间前及时查看澄清内容，因供应商未及时查看而造成的后果自负。</w:t>
      </w:r>
      <w:bookmarkStart w:id="252" w:name="_Toc9923"/>
      <w:bookmarkStart w:id="253" w:name="_Toc8263"/>
    </w:p>
    <w:p w14:paraId="12521EB0">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2.3 竞争性磋商文件的修改</w:t>
      </w:r>
      <w:bookmarkEnd w:id="252"/>
      <w:bookmarkEnd w:id="253"/>
    </w:p>
    <w:p w14:paraId="74246F76">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2.3.1 在响应文件递交截止时间5天前，采购人可以修改竞争性磋商文件。如有修改，应在信阳市公共资源交易系统“变更公告”或“答疑文件”将修改内容予以发布。如果修改的内容可能影响响应文件编制且发出的时间距响应文件递交截止时间不足5天，相应延长响应文件递交截止时间。</w:t>
      </w:r>
    </w:p>
    <w:p w14:paraId="1DD0E1E4">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2.3.2 当竞争性磋商文件的澄清、修改、补充等在同一内容的表述上不一致时，以最后在信阳市公共资源交易系统发出的文件为准。</w:t>
      </w:r>
    </w:p>
    <w:p w14:paraId="136CAF3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2.3.3 供应商应在响应文件递交截止时间前及时查看修改内容，因供应商未及时查看而造成的后果自负。</w:t>
      </w:r>
    </w:p>
    <w:p w14:paraId="0C74323E">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254" w:name="_Toc4666"/>
      <w:bookmarkStart w:id="255" w:name="_Toc26311"/>
      <w:bookmarkStart w:id="256" w:name="_Toc20484"/>
      <w:r>
        <w:rPr>
          <w:rFonts w:hint="eastAsia" w:ascii="宋体" w:hAnsi="宋体" w:eastAsia="宋体" w:cs="宋体"/>
          <w:b/>
          <w:color w:val="auto"/>
          <w:szCs w:val="21"/>
        </w:rPr>
        <w:t xml:space="preserve">3. </w:t>
      </w:r>
      <w:bookmarkEnd w:id="248"/>
      <w:bookmarkEnd w:id="249"/>
      <w:bookmarkEnd w:id="250"/>
      <w:r>
        <w:rPr>
          <w:rFonts w:hint="eastAsia" w:ascii="宋体" w:hAnsi="宋体" w:eastAsia="宋体" w:cs="宋体"/>
          <w:b/>
          <w:color w:val="auto"/>
          <w:szCs w:val="21"/>
        </w:rPr>
        <w:t>响应文件</w:t>
      </w:r>
      <w:bookmarkEnd w:id="251"/>
      <w:bookmarkEnd w:id="254"/>
      <w:bookmarkEnd w:id="255"/>
      <w:bookmarkEnd w:id="256"/>
      <w:bookmarkStart w:id="257" w:name="_Toc1102"/>
      <w:bookmarkStart w:id="258" w:name="_Toc9273"/>
      <w:bookmarkStart w:id="259" w:name="_Toc318450691"/>
      <w:bookmarkStart w:id="260" w:name="_Toc152042323"/>
      <w:bookmarkStart w:id="261" w:name="_Toc16198"/>
      <w:bookmarkStart w:id="262" w:name="_Toc15810"/>
      <w:bookmarkStart w:id="263" w:name="_Toc24440"/>
      <w:bookmarkStart w:id="264" w:name="_Toc490667844"/>
      <w:bookmarkStart w:id="265" w:name="_Toc10096"/>
      <w:bookmarkStart w:id="266" w:name="_Toc144974515"/>
      <w:bookmarkStart w:id="267" w:name="_Toc152045547"/>
      <w:bookmarkStart w:id="268" w:name="_Toc27373"/>
    </w:p>
    <w:p w14:paraId="70D28557">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3.1 响应文件的组成</w:t>
      </w:r>
      <w:bookmarkEnd w:id="257"/>
      <w:bookmarkEnd w:id="258"/>
      <w:bookmarkEnd w:id="259"/>
      <w:bookmarkEnd w:id="260"/>
      <w:bookmarkEnd w:id="261"/>
      <w:bookmarkEnd w:id="262"/>
      <w:bookmarkEnd w:id="263"/>
      <w:bookmarkEnd w:id="264"/>
      <w:bookmarkEnd w:id="265"/>
      <w:bookmarkEnd w:id="266"/>
      <w:bookmarkEnd w:id="267"/>
      <w:bookmarkEnd w:id="268"/>
    </w:p>
    <w:p w14:paraId="73725972">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269" w:name="_Toc26291"/>
      <w:bookmarkStart w:id="270" w:name="_Toc152042324"/>
      <w:bookmarkStart w:id="271" w:name="_Toc318450692"/>
      <w:bookmarkStart w:id="272" w:name="_Toc144974516"/>
      <w:bookmarkStart w:id="273" w:name="_Toc152045548"/>
      <w:bookmarkStart w:id="274" w:name="_Toc279156232"/>
      <w:bookmarkStart w:id="275" w:name="_Toc899"/>
      <w:r>
        <w:rPr>
          <w:rFonts w:hint="eastAsia" w:ascii="宋体" w:hAnsi="宋体" w:eastAsia="宋体" w:cs="宋体"/>
          <w:color w:val="auto"/>
          <w:szCs w:val="21"/>
        </w:rPr>
        <w:t>响应文件应包括下列内容：</w:t>
      </w:r>
    </w:p>
    <w:p w14:paraId="6ADD8A6D">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276" w:name="_Toc4592"/>
      <w:r>
        <w:rPr>
          <w:rFonts w:hint="eastAsia" w:ascii="宋体" w:hAnsi="宋体" w:eastAsia="宋体" w:cs="宋体"/>
          <w:color w:val="auto"/>
          <w:szCs w:val="21"/>
        </w:rPr>
        <w:t>一、响应函及响应函附录</w:t>
      </w:r>
    </w:p>
    <w:p w14:paraId="0F765FDD">
      <w:pPr>
        <w:pageBreakBefore w:val="0"/>
        <w:kinsoku/>
        <w:wordWrap w:val="0"/>
        <w:overflowPunct/>
        <w:bidi w:val="0"/>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二、法定代表人（单位负责人）身份证明</w:t>
      </w:r>
    </w:p>
    <w:p w14:paraId="2CAE952E">
      <w:pPr>
        <w:pageBreakBefore w:val="0"/>
        <w:kinsoku/>
        <w:wordWrap w:val="0"/>
        <w:overflowPunct/>
        <w:bidi w:val="0"/>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三、授权委托书</w:t>
      </w:r>
    </w:p>
    <w:p w14:paraId="72A3A3DF">
      <w:pPr>
        <w:pageBreakBefore w:val="0"/>
        <w:kinsoku/>
        <w:wordWrap w:val="0"/>
        <w:overflowPunct/>
        <w:bidi w:val="0"/>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四、</w:t>
      </w:r>
      <w:r>
        <w:rPr>
          <w:rFonts w:hint="eastAsia" w:ascii="宋体" w:hAnsi="宋体" w:eastAsia="宋体" w:cs="宋体"/>
          <w:color w:val="auto"/>
          <w:szCs w:val="21"/>
          <w:lang w:eastAsia="zh-CN"/>
        </w:rPr>
        <w:t>技术方案</w:t>
      </w:r>
    </w:p>
    <w:p w14:paraId="77BF3759">
      <w:pPr>
        <w:pageBreakBefore w:val="0"/>
        <w:kinsoku/>
        <w:wordWrap w:val="0"/>
        <w:overflowPunct/>
        <w:bidi w:val="0"/>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五、</w:t>
      </w:r>
      <w:r>
        <w:rPr>
          <w:rFonts w:hint="eastAsia" w:ascii="宋体" w:hAnsi="宋体" w:eastAsia="宋体" w:cs="宋体"/>
          <w:color w:val="auto"/>
          <w:szCs w:val="21"/>
          <w:lang w:eastAsia="zh-CN"/>
        </w:rPr>
        <w:t>综合材料</w:t>
      </w:r>
    </w:p>
    <w:p w14:paraId="784E418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六、资格证明材料</w:t>
      </w:r>
    </w:p>
    <w:p w14:paraId="572C3FBE">
      <w:pPr>
        <w:pageBreakBefore w:val="0"/>
        <w:kinsoku/>
        <w:wordWrap w:val="0"/>
        <w:overflowPunct/>
        <w:bidi w:val="0"/>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七、</w:t>
      </w:r>
      <w:r>
        <w:rPr>
          <w:rFonts w:hint="eastAsia" w:ascii="宋体" w:hAnsi="宋体" w:eastAsia="宋体" w:cs="宋体"/>
          <w:color w:val="auto"/>
          <w:szCs w:val="21"/>
          <w:lang w:eastAsia="zh-CN"/>
        </w:rPr>
        <w:t>投标人认为应该提交的资料</w:t>
      </w:r>
    </w:p>
    <w:p w14:paraId="7A51943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八、中小企业声明函</w:t>
      </w:r>
    </w:p>
    <w:p w14:paraId="6D2202A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九、残疾人福利性单位声明函(如有)</w:t>
      </w:r>
    </w:p>
    <w:p w14:paraId="50D171C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十、监狱企业证明文件（如有）</w:t>
      </w:r>
    </w:p>
    <w:p w14:paraId="0513093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十一、反商业贿赂承诺书</w:t>
      </w:r>
    </w:p>
    <w:p w14:paraId="7607557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十二、其他材料</w:t>
      </w:r>
    </w:p>
    <w:p w14:paraId="5D684971">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3.2 磋商报价</w:t>
      </w:r>
      <w:bookmarkEnd w:id="269"/>
      <w:bookmarkEnd w:id="270"/>
      <w:bookmarkEnd w:id="271"/>
      <w:bookmarkEnd w:id="272"/>
      <w:bookmarkEnd w:id="273"/>
      <w:bookmarkEnd w:id="274"/>
      <w:bookmarkEnd w:id="275"/>
      <w:bookmarkEnd w:id="276"/>
    </w:p>
    <w:p w14:paraId="0843844E">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277" w:name="_Toc12402"/>
      <w:bookmarkStart w:id="278" w:name="_Toc2425"/>
      <w:bookmarkStart w:id="279" w:name="_Toc455080126"/>
      <w:bookmarkStart w:id="280" w:name="_Toc6105"/>
      <w:bookmarkStart w:id="281" w:name="_Toc3624"/>
      <w:bookmarkStart w:id="282" w:name="_Toc318450693"/>
      <w:bookmarkStart w:id="283" w:name="_Toc7105"/>
      <w:bookmarkStart w:id="284" w:name="_Toc152045549"/>
      <w:bookmarkStart w:id="285" w:name="_Toc466298109"/>
      <w:bookmarkStart w:id="286" w:name="_Toc11968"/>
      <w:bookmarkStart w:id="287" w:name="_Toc29133"/>
      <w:bookmarkStart w:id="288" w:name="_Toc21600"/>
      <w:bookmarkStart w:id="289" w:name="_Toc144974517"/>
      <w:bookmarkStart w:id="290" w:name="_Toc152042325"/>
      <w:bookmarkStart w:id="291" w:name="_Toc7910"/>
      <w:bookmarkStart w:id="292" w:name="_Toc21680"/>
      <w:bookmarkStart w:id="293" w:name="_Toc25387"/>
      <w:bookmarkStart w:id="294" w:name="_Toc455867786"/>
      <w:bookmarkStart w:id="295" w:name="_Toc490667846"/>
      <w:r>
        <w:rPr>
          <w:rFonts w:hint="eastAsia" w:ascii="宋体" w:hAnsi="宋体" w:eastAsia="宋体" w:cs="宋体"/>
          <w:color w:val="auto"/>
          <w:szCs w:val="21"/>
        </w:rPr>
        <w:t xml:space="preserve">3.2.1 </w:t>
      </w:r>
      <w:bookmarkEnd w:id="277"/>
      <w:r>
        <w:rPr>
          <w:rFonts w:hint="eastAsia" w:ascii="宋体" w:hAnsi="宋体" w:eastAsia="宋体" w:cs="宋体"/>
          <w:color w:val="auto"/>
          <w:szCs w:val="21"/>
        </w:rPr>
        <w:t>本项目的磋商报价应按照磋商文件、补充通知、答疑纪要、现场情况、承包范围，并充分考虑服务期间各类风险和国家政策性调整等风险系数，由各响应人根据自身情况，在合理范围内，自主考虑、优惠报价，但不得低于企业成本，分二次报价：第一次报价必须按照磋商文件的报价格式填报，第二次报价在磋商中填报，第二次报价（不得高于一次报价）即为最终报价。</w:t>
      </w:r>
    </w:p>
    <w:p w14:paraId="6B203F0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3.2.2 供应商应充分了解该项目的总体情况以及影响磋商报价的其它要素，考虑服务期间的价格风险因素，成交价在合同实施期内不得调整，同时也不因市场价格变动而调整。</w:t>
      </w:r>
    </w:p>
    <w:p w14:paraId="19A5723F">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3.2.3 响应报价表中的大写金额和小写金额不一致的，以大写金额为准。</w:t>
      </w:r>
    </w:p>
    <w:p w14:paraId="709DA41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3.2.4 供应商的报价明显低于其他通过符合性审查供应商的报价，有可能影响服务质量或者不能诚信履约的，磋商委员会应当要求其在磋商现场（或电子交易系统）合理的时间内提供书面说明（或电子澄清说明文件），必要时提交相关证明材料；供应商不能证明其报价合理性的，磋商委员会应当将其作为无效投标处理。</w:t>
      </w:r>
    </w:p>
    <w:p w14:paraId="602E0EE2">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注：磋商价格为含税价，供应商应充分了解该项目的总体情况以及影响磋商报价的其它要素，考虑服务期间的价格风险因素，成交价在合同实施期内不得调整，同时也不因市场价格变动而调整。</w:t>
      </w:r>
    </w:p>
    <w:p w14:paraId="1187DD88">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296" w:name="_Toc31126"/>
      <w:r>
        <w:rPr>
          <w:rFonts w:hint="eastAsia" w:ascii="宋体" w:hAnsi="宋体" w:eastAsia="宋体" w:cs="宋体"/>
          <w:b/>
          <w:color w:val="auto"/>
          <w:szCs w:val="21"/>
        </w:rPr>
        <w:t>3.3 磋商有效期</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C65F90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3.3.1 在供应商须知前附表规定的磋商有效期内，供应商不得要求撤销或修改其响应文件。</w:t>
      </w:r>
    </w:p>
    <w:p w14:paraId="75B2A3C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3.3.2 出现特殊情况需要延长磋商有效期的，采购人以书面形式通知所有供应商延长磋商有效期。供应商同意延长的，但不得要求或被允许修改或撤销其响应文件；供应商拒绝延长的，其响应文件失效。</w:t>
      </w:r>
    </w:p>
    <w:p w14:paraId="7B8DC52B">
      <w:pPr>
        <w:pageBreakBefore w:val="0"/>
        <w:kinsoku/>
        <w:wordWrap w:val="0"/>
        <w:overflowPunct/>
        <w:bidi w:val="0"/>
        <w:spacing w:line="360" w:lineRule="auto"/>
        <w:ind w:firstLine="422" w:firstLineChars="200"/>
        <w:rPr>
          <w:rFonts w:hint="eastAsia" w:ascii="宋体" w:hAnsi="宋体" w:eastAsia="宋体" w:cs="宋体"/>
          <w:color w:val="auto"/>
          <w:szCs w:val="21"/>
        </w:rPr>
      </w:pPr>
      <w:bookmarkStart w:id="297" w:name="_Toc22634"/>
      <w:bookmarkStart w:id="298" w:name="_Toc455080127"/>
      <w:bookmarkStart w:id="299" w:name="_Toc490667847"/>
      <w:bookmarkStart w:id="300" w:name="_Toc152045550"/>
      <w:bookmarkStart w:id="301" w:name="_Toc10370"/>
      <w:bookmarkStart w:id="302" w:name="_Toc8406"/>
      <w:bookmarkStart w:id="303" w:name="_Toc7618"/>
      <w:bookmarkStart w:id="304" w:name="_Toc144974518"/>
      <w:bookmarkStart w:id="305" w:name="_Toc466298110"/>
      <w:bookmarkStart w:id="306" w:name="_Toc30697"/>
      <w:bookmarkStart w:id="307" w:name="_Toc152042326"/>
      <w:bookmarkStart w:id="308" w:name="_Toc7057"/>
      <w:bookmarkStart w:id="309" w:name="_Toc2505"/>
      <w:bookmarkStart w:id="310" w:name="_Toc318450694"/>
      <w:bookmarkStart w:id="311" w:name="_Toc4165"/>
      <w:bookmarkStart w:id="312" w:name="_Toc455867787"/>
      <w:bookmarkStart w:id="313" w:name="_Toc7973"/>
      <w:bookmarkStart w:id="314" w:name="_Toc1907"/>
      <w:bookmarkStart w:id="315" w:name="_Toc13921"/>
      <w:r>
        <w:rPr>
          <w:rFonts w:hint="eastAsia" w:ascii="宋体" w:hAnsi="宋体" w:eastAsia="宋体" w:cs="宋体"/>
          <w:b/>
          <w:color w:val="auto"/>
          <w:szCs w:val="21"/>
        </w:rPr>
        <w:t>3.4 磋商保证金</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Start w:id="316" w:name="_Toc152042328"/>
      <w:bookmarkStart w:id="317" w:name="_Toc318450695"/>
      <w:bookmarkStart w:id="318" w:name="_Toc152045552"/>
      <w:bookmarkStart w:id="319" w:name="_Toc144974520"/>
    </w:p>
    <w:p w14:paraId="2A8F73F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无。</w:t>
      </w:r>
      <w:bookmarkEnd w:id="314"/>
      <w:bookmarkEnd w:id="315"/>
    </w:p>
    <w:p w14:paraId="4F3AAF38">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320" w:name="_Toc455867788"/>
      <w:bookmarkStart w:id="321" w:name="_Toc27579"/>
      <w:bookmarkStart w:id="322" w:name="_Toc455080128"/>
      <w:bookmarkStart w:id="323" w:name="_Toc490667848"/>
      <w:bookmarkStart w:id="324" w:name="_Toc15547"/>
      <w:bookmarkStart w:id="325" w:name="_Toc16747"/>
      <w:bookmarkStart w:id="326" w:name="_Toc20328"/>
      <w:bookmarkStart w:id="327" w:name="_Toc11077"/>
      <w:bookmarkStart w:id="328" w:name="_Toc27678"/>
      <w:bookmarkStart w:id="329" w:name="_Toc13680"/>
      <w:bookmarkStart w:id="330" w:name="_Toc466298111"/>
      <w:bookmarkStart w:id="331" w:name="_Toc22527"/>
      <w:bookmarkStart w:id="332" w:name="_Toc17153"/>
      <w:bookmarkStart w:id="333" w:name="_Toc22384"/>
      <w:r>
        <w:rPr>
          <w:rFonts w:hint="eastAsia" w:ascii="宋体" w:hAnsi="宋体" w:eastAsia="宋体" w:cs="宋体"/>
          <w:b/>
          <w:color w:val="auto"/>
          <w:szCs w:val="21"/>
        </w:rPr>
        <w:t>3.5 资格审查资料</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2CF34A2">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334" w:name="_Toc15687"/>
      <w:bookmarkStart w:id="335" w:name="_Toc4586"/>
      <w:bookmarkStart w:id="336" w:name="_Toc490667849"/>
      <w:bookmarkStart w:id="337" w:name="_Toc455867789"/>
      <w:bookmarkStart w:id="338" w:name="_Toc318450696"/>
      <w:bookmarkStart w:id="339" w:name="_Toc11694"/>
      <w:bookmarkStart w:id="340" w:name="_Toc152042329"/>
      <w:bookmarkStart w:id="341" w:name="_Toc3286"/>
      <w:bookmarkStart w:id="342" w:name="_Toc144974521"/>
      <w:bookmarkStart w:id="343" w:name="_Toc18915"/>
      <w:bookmarkStart w:id="344" w:name="_Toc9015"/>
      <w:bookmarkStart w:id="345" w:name="_Toc26258"/>
      <w:bookmarkStart w:id="346" w:name="_Toc19724"/>
      <w:bookmarkStart w:id="347" w:name="_Toc1228"/>
      <w:bookmarkStart w:id="348" w:name="_Toc5132"/>
      <w:bookmarkStart w:id="349" w:name="_Toc466298112"/>
      <w:bookmarkStart w:id="350" w:name="_Toc455080129"/>
      <w:bookmarkStart w:id="351" w:name="_Toc152045553"/>
      <w:bookmarkStart w:id="352" w:name="_Toc30442"/>
      <w:r>
        <w:rPr>
          <w:rFonts w:hint="eastAsia" w:ascii="宋体" w:hAnsi="宋体" w:eastAsia="宋体" w:cs="宋体"/>
          <w:color w:val="auto"/>
          <w:szCs w:val="21"/>
        </w:rPr>
        <w:t>按照第二章供应商须知表“供应商须知前附表”1.5.1要求，提供其他相关材料。</w:t>
      </w:r>
      <w:bookmarkEnd w:id="334"/>
      <w:bookmarkEnd w:id="335"/>
    </w:p>
    <w:p w14:paraId="3042F057">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353" w:name="_Toc3708"/>
      <w:bookmarkStart w:id="354" w:name="_Toc24859"/>
      <w:r>
        <w:rPr>
          <w:rFonts w:hint="eastAsia" w:ascii="宋体" w:hAnsi="宋体" w:eastAsia="宋体" w:cs="宋体"/>
          <w:b/>
          <w:color w:val="auto"/>
          <w:szCs w:val="21"/>
        </w:rPr>
        <w:t>3.6 备选方案</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28C18C6F">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除供应商须知前附表另有规定外，供应商不得递交备选磋商方案。</w:t>
      </w:r>
    </w:p>
    <w:p w14:paraId="11A98665">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355" w:name="_Toc455867790"/>
      <w:bookmarkStart w:id="356" w:name="_Toc12541"/>
      <w:bookmarkStart w:id="357" w:name="_Toc152042330"/>
      <w:bookmarkStart w:id="358" w:name="_Toc152045554"/>
      <w:bookmarkStart w:id="359" w:name="_Toc5516"/>
      <w:bookmarkStart w:id="360" w:name="_Toc144974522"/>
      <w:bookmarkStart w:id="361" w:name="_Toc490667850"/>
      <w:bookmarkStart w:id="362" w:name="_Toc17982"/>
      <w:bookmarkStart w:id="363" w:name="_Toc28656"/>
      <w:bookmarkStart w:id="364" w:name="_Toc466298113"/>
      <w:bookmarkStart w:id="365" w:name="_Toc18912"/>
      <w:bookmarkStart w:id="366" w:name="_Toc455080130"/>
      <w:bookmarkStart w:id="367" w:name="_Toc6323"/>
      <w:bookmarkStart w:id="368" w:name="_Toc17697"/>
      <w:bookmarkStart w:id="369" w:name="_Toc25620"/>
      <w:bookmarkStart w:id="370" w:name="_Toc12275"/>
      <w:bookmarkStart w:id="371" w:name="_Toc318450697"/>
      <w:bookmarkStart w:id="372" w:name="_Toc7966"/>
      <w:bookmarkStart w:id="373" w:name="_Toc7626"/>
      <w:r>
        <w:rPr>
          <w:rFonts w:hint="eastAsia" w:ascii="宋体" w:hAnsi="宋体" w:eastAsia="宋体" w:cs="宋体"/>
          <w:b/>
          <w:color w:val="auto"/>
          <w:szCs w:val="21"/>
        </w:rPr>
        <w:t>3.7 响应文件的编制</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Start w:id="374" w:name="_Toc144974523"/>
      <w:bookmarkStart w:id="375" w:name="_Toc152042331"/>
      <w:bookmarkStart w:id="376" w:name="_Toc455080131"/>
      <w:bookmarkStart w:id="377" w:name="_Toc152045555"/>
    </w:p>
    <w:p w14:paraId="6519139C">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3.7.1 响应文件应按第六章“竞争性磋商响应文件格式”进行编写，如有必要，可以增加附页，作为响应文件的组成部分。其中，响应函附录在满足竞争性磋商文件实质性要求的基础上，可以提出比竞争性磋商文件要求更有利于采购人的承诺。</w:t>
      </w:r>
    </w:p>
    <w:p w14:paraId="1906A286">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3.7.2 响应文件应当对竞争性磋商文件有关采购内容、合同履行期限、质量要求作出响应。</w:t>
      </w:r>
    </w:p>
    <w:p w14:paraId="61C8058F">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3.7.3 响应文件应使用信阳市公共资源交易系统响应文件制作专用工具软件编制，竞争性磋商响应文件格式为“*</w:t>
      </w:r>
      <w:r>
        <w:rPr>
          <w:rFonts w:hint="eastAsia" w:ascii="宋体" w:hAnsi="宋体" w:eastAsia="宋体" w:cs="宋体"/>
          <w:color w:val="auto"/>
          <w:szCs w:val="21"/>
          <w:lang w:eastAsia="zh-CN"/>
        </w:rPr>
        <w:t>*.gstf</w:t>
      </w:r>
      <w:r>
        <w:rPr>
          <w:rFonts w:hint="eastAsia" w:ascii="宋体" w:hAnsi="宋体" w:eastAsia="宋体" w:cs="宋体"/>
          <w:color w:val="auto"/>
          <w:szCs w:val="21"/>
        </w:rPr>
        <w:t>”。电子响应文件签字或盖章的具体要求见供应商须知前附表。供应商须在响应文件递交截止时间前制作并提交。</w:t>
      </w:r>
    </w:p>
    <w:p w14:paraId="2696A01C">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3.7.4 响应文件份数见供应商须知前附表。</w:t>
      </w:r>
    </w:p>
    <w:p w14:paraId="2BFC9D01">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378" w:name="_Toc19433"/>
      <w:bookmarkStart w:id="379" w:name="_Toc28805"/>
      <w:bookmarkStart w:id="380" w:name="_Toc10732"/>
      <w:r>
        <w:rPr>
          <w:rFonts w:hint="eastAsia" w:ascii="宋体" w:hAnsi="宋体" w:eastAsia="宋体" w:cs="宋体"/>
          <w:b/>
          <w:color w:val="auto"/>
          <w:szCs w:val="21"/>
        </w:rPr>
        <w:t xml:space="preserve">4. </w:t>
      </w:r>
      <w:bookmarkEnd w:id="374"/>
      <w:bookmarkEnd w:id="375"/>
      <w:bookmarkEnd w:id="376"/>
      <w:bookmarkEnd w:id="377"/>
      <w:r>
        <w:rPr>
          <w:rFonts w:hint="eastAsia" w:ascii="宋体" w:hAnsi="宋体" w:eastAsia="宋体" w:cs="宋体"/>
          <w:b/>
          <w:color w:val="auto"/>
          <w:szCs w:val="21"/>
        </w:rPr>
        <w:t>磋商</w:t>
      </w:r>
      <w:bookmarkEnd w:id="378"/>
      <w:bookmarkEnd w:id="379"/>
      <w:bookmarkEnd w:id="380"/>
      <w:bookmarkStart w:id="381" w:name="_Toc16344"/>
      <w:bookmarkStart w:id="382" w:name="_Toc144974524"/>
      <w:bookmarkStart w:id="383" w:name="_Toc152042332"/>
      <w:bookmarkStart w:id="384" w:name="_Toc31492"/>
      <w:bookmarkStart w:id="385" w:name="_Toc26550"/>
      <w:bookmarkStart w:id="386" w:name="_Toc466298115"/>
      <w:bookmarkStart w:id="387" w:name="_Toc16962"/>
      <w:bookmarkStart w:id="388" w:name="_Toc318450699"/>
      <w:bookmarkStart w:id="389" w:name="_Toc22961"/>
      <w:bookmarkStart w:id="390" w:name="_Toc490667852"/>
      <w:bookmarkStart w:id="391" w:name="_Toc11243"/>
      <w:bookmarkStart w:id="392" w:name="_Toc152045556"/>
      <w:bookmarkStart w:id="393" w:name="_Toc18820"/>
      <w:bookmarkStart w:id="394" w:name="_Toc16783"/>
      <w:bookmarkStart w:id="395" w:name="_Toc455080132"/>
      <w:bookmarkStart w:id="396" w:name="_Toc26583"/>
      <w:bookmarkStart w:id="397" w:name="_Toc455867792"/>
      <w:bookmarkStart w:id="398" w:name="_Toc21145"/>
      <w:bookmarkStart w:id="399" w:name="_Toc19950"/>
    </w:p>
    <w:p w14:paraId="093E7CEF">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4.1 响应文件的</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Fonts w:hint="eastAsia" w:ascii="宋体" w:hAnsi="宋体" w:eastAsia="宋体" w:cs="宋体"/>
          <w:b/>
          <w:color w:val="auto"/>
          <w:szCs w:val="21"/>
        </w:rPr>
        <w:t>上传</w:t>
      </w:r>
      <w:bookmarkEnd w:id="398"/>
      <w:bookmarkEnd w:id="399"/>
    </w:p>
    <w:p w14:paraId="42F761E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4.1.1 网上上传的电子响应文件应使用供应商数字证书认证并加密。</w:t>
      </w:r>
    </w:p>
    <w:p w14:paraId="66879B9E">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400" w:name="_Toc20259"/>
      <w:bookmarkStart w:id="401" w:name="_Toc16832"/>
      <w:bookmarkStart w:id="402" w:name="_Toc27132"/>
      <w:bookmarkStart w:id="403" w:name="_Toc21897"/>
      <w:bookmarkStart w:id="404" w:name="_Toc152045557"/>
      <w:bookmarkStart w:id="405" w:name="_Toc455867793"/>
      <w:bookmarkStart w:id="406" w:name="_Toc466298116"/>
      <w:bookmarkStart w:id="407" w:name="_Toc144974525"/>
      <w:bookmarkStart w:id="408" w:name="_Toc152042333"/>
      <w:bookmarkStart w:id="409" w:name="_Toc4767"/>
      <w:bookmarkStart w:id="410" w:name="_Toc462"/>
      <w:bookmarkStart w:id="411" w:name="_Toc455080133"/>
      <w:bookmarkStart w:id="412" w:name="_Toc7663"/>
      <w:bookmarkStart w:id="413" w:name="_Toc28272"/>
      <w:bookmarkStart w:id="414" w:name="_Toc21072"/>
      <w:bookmarkStart w:id="415" w:name="_Toc318450700"/>
      <w:bookmarkStart w:id="416" w:name="_Toc490667853"/>
      <w:bookmarkStart w:id="417" w:name="_Toc5518"/>
      <w:bookmarkStart w:id="418" w:name="_Toc8754"/>
      <w:r>
        <w:rPr>
          <w:rFonts w:hint="eastAsia" w:ascii="宋体" w:hAnsi="宋体" w:eastAsia="宋体" w:cs="宋体"/>
          <w:b/>
          <w:color w:val="auto"/>
          <w:szCs w:val="21"/>
        </w:rPr>
        <w:t>4.2 响应文件的递交</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86E29AF">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419" w:name="_Toc144974526"/>
      <w:bookmarkStart w:id="420" w:name="_Toc152042334"/>
      <w:bookmarkStart w:id="421" w:name="_Toc490667854"/>
      <w:bookmarkStart w:id="422" w:name="_Toc2952"/>
      <w:bookmarkStart w:id="423" w:name="_Toc30860"/>
      <w:bookmarkStart w:id="424" w:name="_Toc11817"/>
      <w:bookmarkStart w:id="425" w:name="_Toc152045558"/>
      <w:bookmarkStart w:id="426" w:name="_Toc455080134"/>
      <w:bookmarkStart w:id="427" w:name="_Toc5102"/>
      <w:bookmarkStart w:id="428" w:name="_Toc17161"/>
      <w:bookmarkStart w:id="429" w:name="_Toc318450701"/>
      <w:bookmarkStart w:id="430" w:name="_Toc466298117"/>
      <w:bookmarkStart w:id="431" w:name="_Toc20281"/>
      <w:bookmarkStart w:id="432" w:name="_Toc21890"/>
      <w:bookmarkStart w:id="433" w:name="_Toc26684"/>
      <w:bookmarkStart w:id="434" w:name="_Toc19951"/>
      <w:bookmarkStart w:id="435" w:name="_Toc455867794"/>
      <w:r>
        <w:rPr>
          <w:rFonts w:hint="eastAsia" w:ascii="宋体" w:hAnsi="宋体" w:eastAsia="宋体" w:cs="宋体"/>
          <w:color w:val="auto"/>
          <w:szCs w:val="21"/>
        </w:rPr>
        <w:t>4.2.1 电子响应文件的递交</w:t>
      </w:r>
    </w:p>
    <w:p w14:paraId="5A50F51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各供应商应在响应文件提交截止时间前上传加密的电子响应文件（*</w:t>
      </w:r>
      <w:r>
        <w:rPr>
          <w:rFonts w:hint="eastAsia" w:ascii="宋体" w:hAnsi="宋体" w:eastAsia="宋体" w:cs="宋体"/>
          <w:color w:val="auto"/>
          <w:szCs w:val="21"/>
          <w:lang w:eastAsia="zh-CN"/>
        </w:rPr>
        <w:t>*.gstf</w:t>
      </w:r>
      <w:r>
        <w:rPr>
          <w:rFonts w:hint="eastAsia" w:ascii="宋体" w:hAnsi="宋体" w:eastAsia="宋体" w:cs="宋体"/>
          <w:color w:val="auto"/>
          <w:szCs w:val="21"/>
        </w:rPr>
        <w:t>）到会员系统的指定位置。上传的电子响应文件应使用供应商CA数字证书认证并加密。上传时必须得到交易系统“上传成功”的确认回复后方为上传成功。请供应商在上传前务必认真检查上传响应文件是否完整、正确。</w:t>
      </w:r>
      <w:bookmarkStart w:id="436" w:name="_Toc1790"/>
      <w:bookmarkStart w:id="437" w:name="_Toc30434"/>
    </w:p>
    <w:p w14:paraId="6C5A2CBD">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4.2.2 逾期上传的投标文件，招标人不予受理。</w:t>
      </w:r>
    </w:p>
    <w:p w14:paraId="34E3602B">
      <w:pPr>
        <w:pageBreakBefore w:val="0"/>
        <w:kinsoku/>
        <w:wordWrap w:val="0"/>
        <w:overflowPunct/>
        <w:bidi w:val="0"/>
        <w:spacing w:line="360" w:lineRule="auto"/>
        <w:ind w:firstLine="420" w:firstLineChars="200"/>
        <w:rPr>
          <w:rFonts w:hint="eastAsia" w:ascii="宋体" w:hAnsi="宋体" w:eastAsia="宋体" w:cs="宋体"/>
          <w:b/>
          <w:bCs/>
          <w:color w:val="auto"/>
          <w:szCs w:val="21"/>
        </w:rPr>
      </w:pPr>
      <w:r>
        <w:rPr>
          <w:rFonts w:hint="eastAsia" w:ascii="宋体" w:hAnsi="宋体" w:eastAsia="宋体" w:cs="宋体"/>
          <w:color w:val="auto"/>
          <w:szCs w:val="21"/>
        </w:rPr>
        <w:t>4.2.3</w:t>
      </w:r>
      <w:r>
        <w:rPr>
          <w:rFonts w:hint="eastAsia" w:ascii="宋体" w:hAnsi="宋体" w:eastAsia="宋体" w:cs="宋体"/>
          <w:b/>
          <w:bCs/>
          <w:color w:val="auto"/>
          <w:szCs w:val="21"/>
        </w:rPr>
        <w:t>投标人因电子招投标交易平台问题无法上传电子投标文件时，请及时与固始县公共资源交易中心联系</w:t>
      </w:r>
      <w:r>
        <w:rPr>
          <w:rFonts w:hint="eastAsia" w:ascii="宋体" w:hAnsi="宋体" w:cs="宋体"/>
          <w:b/>
          <w:bCs/>
          <w:color w:val="auto"/>
          <w:szCs w:val="21"/>
          <w:lang w:eastAsia="zh-CN"/>
        </w:rPr>
        <w:t>，</w:t>
      </w:r>
      <w:r>
        <w:rPr>
          <w:rFonts w:hint="eastAsia" w:ascii="宋体" w:hAnsi="宋体" w:eastAsia="宋体" w:cs="宋体"/>
          <w:b/>
          <w:bCs/>
          <w:color w:val="auto"/>
          <w:szCs w:val="21"/>
        </w:rPr>
        <w:t>新点软件技术人员余工联系电话：18537677109，交易中心信息科：4096606。</w:t>
      </w:r>
    </w:p>
    <w:p w14:paraId="10BC87EE">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4.3 响应文件的修改与撤回</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226A0830">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438" w:name="_Toc152042335"/>
      <w:bookmarkStart w:id="439" w:name="_Toc144974527"/>
      <w:bookmarkStart w:id="440" w:name="_Toc152045559"/>
      <w:bookmarkStart w:id="441" w:name="_Toc455080135"/>
      <w:r>
        <w:rPr>
          <w:rFonts w:hint="eastAsia" w:ascii="宋体" w:hAnsi="宋体" w:eastAsia="宋体" w:cs="宋体"/>
          <w:color w:val="auto"/>
          <w:szCs w:val="21"/>
        </w:rPr>
        <w:t>4.3.1 在第一章“竞争性磋商公告”规定的响应文件提交截止时间前，供应商可以多次修改或撤回已递交的响应文件，最终响应文件以响应文件提交截止时间前完成上传至信阳市公共资源交易中心交易系统最后一份响应文件为准。</w:t>
      </w:r>
    </w:p>
    <w:p w14:paraId="34B50A00">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4.3.2 修改的响应文件应按照本章第3.7条、第4.2条规定进行编制和递交。</w:t>
      </w:r>
    </w:p>
    <w:bookmarkEnd w:id="438"/>
    <w:bookmarkEnd w:id="439"/>
    <w:bookmarkEnd w:id="440"/>
    <w:p w14:paraId="0B4AD1BE">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442" w:name="_Toc5719"/>
      <w:bookmarkStart w:id="443" w:name="_Toc14969"/>
      <w:bookmarkStart w:id="444" w:name="_Toc31291"/>
      <w:r>
        <w:rPr>
          <w:rFonts w:hint="eastAsia" w:ascii="宋体" w:hAnsi="宋体" w:eastAsia="宋体" w:cs="宋体"/>
          <w:b/>
          <w:color w:val="auto"/>
          <w:szCs w:val="21"/>
        </w:rPr>
        <w:t>5. 磋商开始</w:t>
      </w:r>
      <w:bookmarkEnd w:id="441"/>
      <w:bookmarkEnd w:id="442"/>
      <w:bookmarkEnd w:id="443"/>
      <w:bookmarkEnd w:id="444"/>
      <w:bookmarkStart w:id="445" w:name="_Toc144974528"/>
      <w:bookmarkStart w:id="446" w:name="_Toc152042336"/>
      <w:bookmarkStart w:id="447" w:name="_Toc16040"/>
      <w:bookmarkStart w:id="448" w:name="_Toc318450703"/>
      <w:bookmarkStart w:id="449" w:name="_Toc466298119"/>
      <w:bookmarkStart w:id="450" w:name="_Toc152045560"/>
      <w:bookmarkStart w:id="451" w:name="_Toc9969"/>
      <w:bookmarkStart w:id="452" w:name="_Toc20333"/>
      <w:bookmarkStart w:id="453" w:name="_Toc455080136"/>
      <w:bookmarkStart w:id="454" w:name="_Toc20660"/>
      <w:bookmarkStart w:id="455" w:name="_Toc14"/>
      <w:bookmarkStart w:id="456" w:name="_Toc455867796"/>
      <w:bookmarkStart w:id="457" w:name="_Toc6763"/>
      <w:bookmarkStart w:id="458" w:name="_Toc26426"/>
      <w:bookmarkStart w:id="459" w:name="_Toc490667856"/>
      <w:bookmarkStart w:id="460" w:name="_Toc25533"/>
      <w:bookmarkStart w:id="461" w:name="_Toc25809"/>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14:paraId="7B839C5E">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462" w:name="_Toc19037"/>
      <w:bookmarkStart w:id="463" w:name="_Toc455867797"/>
      <w:bookmarkStart w:id="464" w:name="_Toc30792"/>
      <w:bookmarkStart w:id="465" w:name="_Toc3865"/>
      <w:bookmarkStart w:id="466" w:name="_Toc152042337"/>
      <w:bookmarkStart w:id="467" w:name="_Toc17491"/>
      <w:bookmarkStart w:id="468" w:name="_Toc747"/>
      <w:bookmarkStart w:id="469" w:name="_Toc144974529"/>
      <w:bookmarkStart w:id="470" w:name="_Toc490667857"/>
      <w:bookmarkStart w:id="471" w:name="_Toc318450704"/>
      <w:bookmarkStart w:id="472" w:name="_Toc466298120"/>
      <w:bookmarkStart w:id="473" w:name="_Toc25911"/>
      <w:bookmarkStart w:id="474" w:name="_Toc30965"/>
      <w:bookmarkStart w:id="475" w:name="_Toc455080137"/>
      <w:bookmarkStart w:id="476" w:name="_Toc11148"/>
      <w:bookmarkStart w:id="477" w:name="_Toc9328"/>
      <w:bookmarkStart w:id="478" w:name="_Toc152045561"/>
      <w:bookmarkStart w:id="479" w:name="_Toc30074"/>
      <w:bookmarkStart w:id="480" w:name="_Toc18582"/>
      <w:r>
        <w:rPr>
          <w:rFonts w:hint="eastAsia" w:ascii="宋体" w:hAnsi="宋体" w:eastAsia="宋体" w:cs="宋体"/>
          <w:b/>
          <w:color w:val="auto"/>
          <w:szCs w:val="21"/>
        </w:rPr>
        <w:t>5.1 磋商时间和地点</w:t>
      </w:r>
      <w:bookmarkEnd w:id="462"/>
    </w:p>
    <w:p w14:paraId="2D8ED4D3">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5.1.1 采购人在本章规定的投标截止时间（开标时间）和供应商须知前附表规定的地点开标。</w:t>
      </w:r>
    </w:p>
    <w:p w14:paraId="27DBBC96">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5.1.2 本项目采用“不见面开标”交易方式，不见面开标大厅网址为</w:t>
      </w:r>
      <w:r>
        <w:rPr>
          <w:rFonts w:hint="eastAsia" w:ascii="宋体" w:hAnsi="宋体" w:cs="宋体"/>
          <w:color w:val="auto"/>
          <w:szCs w:val="21"/>
          <w:u w:val="none"/>
          <w:lang w:eastAsia="zh-CN"/>
        </w:rPr>
        <w:t>https://ggzyjy.xinyang.gov.cn/BidOpening/bidhall/xinyang/login.html</w:t>
      </w:r>
      <w:r>
        <w:rPr>
          <w:rFonts w:hint="eastAsia" w:ascii="宋体" w:hAnsi="宋体" w:eastAsia="宋体" w:cs="宋体"/>
          <w:color w:val="auto"/>
          <w:szCs w:val="21"/>
          <w:u w:val="none"/>
        </w:rPr>
        <w:t>，供应商无需寄送和递交非加密的电子响应文件，无需到现场参加开标会议，无需到达现场提交原件资料。</w:t>
      </w:r>
    </w:p>
    <w:p w14:paraId="0D439AA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供应商应当在响应文件提交截止时间前，使用供应商CA数字证书登录不见面开标大厅，在线签到并准时参加开标活动，并在规定时间内完成响应文件解密、答疑澄清等。</w:t>
      </w:r>
    </w:p>
    <w:p w14:paraId="79421CE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需在解密开始后10分钟内完成解密（当供应商过多时，解密时间可以适当延长）。在响应文件解密过程中，因供应商原因（如供应商准备不到位、电脑网络问题等），造成无法及时解密的，将被退回响应文件。</w:t>
      </w:r>
    </w:p>
    <w:p w14:paraId="1C4DBCEF">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不见面开标服务的具体事宜，请查阅信阳市公共资源交易中心网站首页—下载中心—信阳市不见面开标大厅系统操作手册。</w:t>
      </w:r>
    </w:p>
    <w:p w14:paraId="7570B3CA">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开标过程中，供应商如有异议，须在开标结束前通过系统提出，否则视同认可开标记录。开标结束后，对开标记录的任何异议不再接受。</w:t>
      </w:r>
    </w:p>
    <w:p w14:paraId="52B14180">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481" w:name="_Toc6880"/>
      <w:r>
        <w:rPr>
          <w:rFonts w:hint="eastAsia" w:ascii="宋体" w:hAnsi="宋体" w:eastAsia="宋体" w:cs="宋体"/>
          <w:b/>
          <w:color w:val="auto"/>
          <w:szCs w:val="21"/>
        </w:rPr>
        <w:t>5.2 磋商程序</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Start w:id="482" w:name="_Toc14413"/>
      <w:bookmarkStart w:id="483" w:name="_Toc30403"/>
    </w:p>
    <w:p w14:paraId="44D0C090">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5.2.1 磋商小组对竞争性磋商文件进行熟悉确认。</w:t>
      </w:r>
      <w:bookmarkEnd w:id="482"/>
      <w:bookmarkEnd w:id="483"/>
    </w:p>
    <w:p w14:paraId="57A2A704">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484" w:name="_Toc152042338"/>
      <w:bookmarkStart w:id="485" w:name="_Toc152045562"/>
      <w:bookmarkStart w:id="486" w:name="_Toc144974530"/>
      <w:r>
        <w:rPr>
          <w:rFonts w:hint="eastAsia" w:ascii="宋体" w:hAnsi="宋体" w:eastAsia="宋体" w:cs="宋体"/>
          <w:color w:val="auto"/>
          <w:szCs w:val="21"/>
        </w:rPr>
        <w:t>5.2.2 磋商小组推选组长，讨论、通过磋商工作流程和磋商要点。</w:t>
      </w:r>
    </w:p>
    <w:p w14:paraId="3B5FDE3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5.2.3 资格评审审查：采购人依据竞争性磋商文件规定，对供应商进行审查，以确定磋商供应商是否具备参与磋商的资格。</w:t>
      </w:r>
    </w:p>
    <w:p w14:paraId="3F026E44">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5.2.4 符合性评审审查：磋商开始后，磋商小组依据竞争性磋商文件规定，对通过资格评审的供应商进行审查，以确定磋商供应商是否具备参与磋商的资格。</w:t>
      </w:r>
    </w:p>
    <w:p w14:paraId="1205ABD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5.2.5 磋商小组对通过资格性和符合性审查的响应文件进行评估，确定与各竞标人磋商的具体内容。</w:t>
      </w:r>
    </w:p>
    <w:p w14:paraId="435FD39E">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5.2.6 磋商过程中，磋商小组可以根据磋商情况实质性变动招标需求中的技术、服务要求以及合同草案条款，但不得变动竞争性磋商文件中的其他内容。实质性变动的内容需经采购人(业主)代表确认。并以书面形式通知所有参加磋商的供应商，该变动是竞争性磋商文件的有效组成部分。供应商应当按照竞争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w:t>
      </w:r>
      <w:r>
        <w:rPr>
          <w:rFonts w:hint="eastAsia" w:ascii="宋体" w:hAnsi="宋体" w:cs="宋体"/>
          <w:color w:val="auto"/>
          <w:szCs w:val="21"/>
          <w:lang w:val="en-US" w:eastAsia="zh-CN"/>
        </w:rPr>
        <w:t>无效报价</w:t>
      </w:r>
      <w:r>
        <w:rPr>
          <w:rFonts w:hint="eastAsia" w:ascii="宋体" w:hAnsi="宋体" w:eastAsia="宋体" w:cs="宋体"/>
          <w:color w:val="auto"/>
          <w:szCs w:val="21"/>
        </w:rPr>
        <w:t>处理。</w:t>
      </w:r>
    </w:p>
    <w:p w14:paraId="7F3B9A8C">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5.2.7 磋商小组对符合招标需求的供应商进行两轮报价；供应商只有通过资格评审及符合性评审后方可进入下一轮报价，在规定的时间内同时提交报价，最终报价不得超过响应文件中报价。</w:t>
      </w:r>
    </w:p>
    <w:p w14:paraId="1DE1CF2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5.2.8 经磋商确定最终招标需求，由磋商小组采用综合评分法对通过初步评审的供应商的响应文件进行综合评分。</w:t>
      </w:r>
    </w:p>
    <w:p w14:paraId="251752CA">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487" w:name="_Toc455080138"/>
      <w:bookmarkStart w:id="488" w:name="_Toc32276"/>
      <w:bookmarkStart w:id="489" w:name="_Toc16609"/>
      <w:bookmarkStart w:id="490" w:name="_Toc14039"/>
      <w:r>
        <w:rPr>
          <w:rFonts w:hint="eastAsia" w:ascii="宋体" w:hAnsi="宋体" w:eastAsia="宋体" w:cs="宋体"/>
          <w:b/>
          <w:color w:val="auto"/>
          <w:szCs w:val="21"/>
        </w:rPr>
        <w:t xml:space="preserve">6. </w:t>
      </w:r>
      <w:bookmarkEnd w:id="484"/>
      <w:bookmarkEnd w:id="485"/>
      <w:bookmarkEnd w:id="486"/>
      <w:r>
        <w:rPr>
          <w:rFonts w:hint="eastAsia" w:ascii="宋体" w:hAnsi="宋体" w:eastAsia="宋体" w:cs="宋体"/>
          <w:b/>
          <w:color w:val="auto"/>
          <w:szCs w:val="21"/>
        </w:rPr>
        <w:t>磋商</w:t>
      </w:r>
      <w:bookmarkEnd w:id="487"/>
      <w:r>
        <w:rPr>
          <w:rFonts w:hint="eastAsia" w:ascii="宋体" w:hAnsi="宋体" w:eastAsia="宋体" w:cs="宋体"/>
          <w:b/>
          <w:color w:val="auto"/>
          <w:szCs w:val="21"/>
        </w:rPr>
        <w:t>小组</w:t>
      </w:r>
      <w:bookmarkEnd w:id="488"/>
      <w:bookmarkEnd w:id="489"/>
      <w:bookmarkEnd w:id="490"/>
    </w:p>
    <w:p w14:paraId="3845D296">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491" w:name="_Toc26098"/>
      <w:bookmarkStart w:id="492" w:name="_Toc22250"/>
      <w:bookmarkStart w:id="493" w:name="_Toc9808"/>
      <w:bookmarkStart w:id="494" w:name="_Toc152042339"/>
      <w:bookmarkStart w:id="495" w:name="_Toc152045563"/>
      <w:bookmarkStart w:id="496" w:name="_Toc318450706"/>
      <w:bookmarkStart w:id="497" w:name="_Toc144974531"/>
      <w:bookmarkStart w:id="498" w:name="_Toc8157"/>
      <w:bookmarkStart w:id="499" w:name="_Toc23138"/>
      <w:bookmarkStart w:id="500" w:name="_Toc12742"/>
      <w:bookmarkStart w:id="501" w:name="_Toc466298122"/>
      <w:bookmarkStart w:id="502" w:name="_Toc455867799"/>
      <w:bookmarkStart w:id="503" w:name="_Toc490667859"/>
      <w:bookmarkStart w:id="504" w:name="_Toc13978"/>
      <w:bookmarkStart w:id="505" w:name="_Toc455080139"/>
      <w:bookmarkStart w:id="506" w:name="_Toc18985"/>
      <w:bookmarkStart w:id="507" w:name="_Toc8725"/>
      <w:bookmarkStart w:id="508" w:name="_Toc1574"/>
      <w:bookmarkStart w:id="509" w:name="_Toc1546"/>
      <w:r>
        <w:rPr>
          <w:rFonts w:hint="eastAsia" w:ascii="宋体" w:hAnsi="宋体" w:eastAsia="宋体" w:cs="宋体"/>
          <w:b/>
          <w:color w:val="auto"/>
          <w:szCs w:val="21"/>
        </w:rPr>
        <w:t>6.1</w:t>
      </w:r>
      <w:bookmarkEnd w:id="491"/>
      <w:bookmarkEnd w:id="492"/>
      <w:bookmarkEnd w:id="493"/>
      <w:bookmarkEnd w:id="494"/>
      <w:bookmarkEnd w:id="495"/>
      <w:bookmarkEnd w:id="496"/>
      <w:bookmarkEnd w:id="497"/>
      <w:r>
        <w:rPr>
          <w:rFonts w:hint="eastAsia" w:ascii="宋体" w:hAnsi="宋体" w:eastAsia="宋体" w:cs="宋体"/>
          <w:b/>
          <w:color w:val="auto"/>
          <w:szCs w:val="21"/>
        </w:rPr>
        <w:t xml:space="preserve"> 磋商小组</w:t>
      </w:r>
      <w:bookmarkEnd w:id="498"/>
      <w:bookmarkEnd w:id="499"/>
      <w:bookmarkEnd w:id="500"/>
      <w:bookmarkEnd w:id="501"/>
      <w:bookmarkEnd w:id="502"/>
      <w:bookmarkEnd w:id="503"/>
      <w:bookmarkEnd w:id="504"/>
      <w:bookmarkEnd w:id="505"/>
      <w:bookmarkEnd w:id="506"/>
      <w:bookmarkEnd w:id="507"/>
      <w:bookmarkEnd w:id="508"/>
      <w:bookmarkEnd w:id="509"/>
    </w:p>
    <w:p w14:paraId="7F4DC27E">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磋商由采购人依法组建的磋商小组负责。磋商小组由采购人代表以及有关技术、经济等方面的专家组成。磋商小组成员人数以及技术、经济等方面专家的确定方式见供应商须知前附表。</w:t>
      </w:r>
      <w:bookmarkStart w:id="510" w:name="_Toc455867800"/>
      <w:bookmarkStart w:id="511" w:name="_Toc455080140"/>
      <w:bookmarkStart w:id="512" w:name="_Toc144974532"/>
      <w:bookmarkStart w:id="513" w:name="_Toc152042340"/>
      <w:bookmarkStart w:id="514" w:name="_Toc21102"/>
      <w:bookmarkStart w:id="515" w:name="_Toc7286"/>
      <w:bookmarkStart w:id="516" w:name="_Toc8248"/>
      <w:bookmarkStart w:id="517" w:name="_Toc8240"/>
      <w:bookmarkStart w:id="518" w:name="_Toc4435"/>
      <w:bookmarkStart w:id="519" w:name="_Toc9532"/>
      <w:bookmarkStart w:id="520" w:name="_Toc10765"/>
      <w:bookmarkStart w:id="521" w:name="_Toc490667860"/>
      <w:bookmarkStart w:id="522" w:name="_Toc13368"/>
      <w:bookmarkStart w:id="523" w:name="_Toc318450707"/>
      <w:bookmarkStart w:id="524" w:name="_Toc22143"/>
      <w:bookmarkStart w:id="525" w:name="_Toc466298123"/>
      <w:bookmarkStart w:id="526" w:name="_Toc152045564"/>
      <w:bookmarkStart w:id="527" w:name="_Toc25721"/>
      <w:bookmarkStart w:id="528" w:name="_Toc27035"/>
    </w:p>
    <w:p w14:paraId="762EC50E">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6.2 磋商原则</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48FF63A5">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磋商活动遵循公平、公正、科学和择优的原则。</w:t>
      </w:r>
      <w:bookmarkStart w:id="529" w:name="_Toc318450708"/>
      <w:bookmarkStart w:id="530" w:name="_Toc152042341"/>
      <w:bookmarkStart w:id="531" w:name="_Toc15595"/>
      <w:bookmarkStart w:id="532" w:name="_Toc8705"/>
      <w:bookmarkStart w:id="533" w:name="_Toc16725"/>
      <w:bookmarkStart w:id="534" w:name="_Toc144974533"/>
      <w:bookmarkStart w:id="535" w:name="_Toc152045565"/>
      <w:bookmarkStart w:id="536" w:name="_Toc20062"/>
      <w:bookmarkStart w:id="537" w:name="_Toc24526"/>
      <w:bookmarkStart w:id="538" w:name="_Toc7890"/>
      <w:bookmarkStart w:id="539" w:name="_Toc490667861"/>
      <w:bookmarkStart w:id="540" w:name="_Toc466298124"/>
      <w:bookmarkStart w:id="541" w:name="_Toc24358"/>
      <w:bookmarkStart w:id="542" w:name="_Toc18756"/>
      <w:bookmarkStart w:id="543" w:name="_Toc3606"/>
      <w:bookmarkStart w:id="544" w:name="_Toc27036"/>
      <w:bookmarkStart w:id="545" w:name="_Toc455080141"/>
      <w:bookmarkStart w:id="546" w:name="_Toc455867801"/>
      <w:bookmarkStart w:id="547" w:name="_Toc28734"/>
    </w:p>
    <w:p w14:paraId="1A1E1909">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 xml:space="preserve">6.3 </w:t>
      </w:r>
      <w:bookmarkEnd w:id="529"/>
      <w:bookmarkEnd w:id="530"/>
      <w:bookmarkEnd w:id="531"/>
      <w:bookmarkEnd w:id="532"/>
      <w:bookmarkEnd w:id="533"/>
      <w:bookmarkEnd w:id="534"/>
      <w:bookmarkEnd w:id="535"/>
      <w:r>
        <w:rPr>
          <w:rFonts w:hint="eastAsia" w:ascii="宋体" w:hAnsi="宋体" w:eastAsia="宋体" w:cs="宋体"/>
          <w:b/>
          <w:color w:val="auto"/>
          <w:szCs w:val="21"/>
        </w:rPr>
        <w:t>磋商</w:t>
      </w:r>
      <w:bookmarkEnd w:id="536"/>
      <w:bookmarkEnd w:id="537"/>
      <w:bookmarkEnd w:id="538"/>
      <w:bookmarkEnd w:id="539"/>
      <w:bookmarkEnd w:id="540"/>
      <w:bookmarkEnd w:id="541"/>
      <w:bookmarkEnd w:id="542"/>
      <w:bookmarkEnd w:id="543"/>
      <w:bookmarkEnd w:id="544"/>
      <w:bookmarkEnd w:id="545"/>
      <w:bookmarkEnd w:id="546"/>
      <w:bookmarkEnd w:id="547"/>
    </w:p>
    <w:p w14:paraId="0EE7275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磋商小组按照第三章“评审办法”规定的方法、评审因素、标准和程序对响应文件进行评审。第三章“评审办法”没有规定的方法、评审因素和标准，不作为评标依据。</w:t>
      </w:r>
      <w:bookmarkStart w:id="548" w:name="_Toc6334"/>
      <w:bookmarkStart w:id="549" w:name="_Toc144974534"/>
      <w:bookmarkStart w:id="550" w:name="_Toc455080142"/>
      <w:bookmarkStart w:id="551" w:name="_Toc152042342"/>
      <w:bookmarkStart w:id="552" w:name="_Toc5971"/>
      <w:bookmarkStart w:id="553" w:name="_Toc9522"/>
      <w:bookmarkStart w:id="554" w:name="_Toc152045566"/>
    </w:p>
    <w:p w14:paraId="03AB8DBC">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7. 合同授予</w:t>
      </w:r>
      <w:bookmarkEnd w:id="548"/>
      <w:bookmarkEnd w:id="549"/>
      <w:bookmarkEnd w:id="550"/>
      <w:bookmarkEnd w:id="551"/>
      <w:bookmarkEnd w:id="552"/>
      <w:bookmarkEnd w:id="553"/>
      <w:bookmarkEnd w:id="554"/>
    </w:p>
    <w:p w14:paraId="2DDD94D7">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555" w:name="_Toc455080143"/>
      <w:bookmarkStart w:id="556" w:name="_Toc144974535"/>
      <w:bookmarkStart w:id="557" w:name="_Toc29686"/>
      <w:bookmarkStart w:id="558" w:name="_Toc25316"/>
      <w:bookmarkStart w:id="559" w:name="_Toc466298126"/>
      <w:bookmarkStart w:id="560" w:name="_Toc318450710"/>
      <w:bookmarkStart w:id="561" w:name="_Toc152045567"/>
      <w:bookmarkStart w:id="562" w:name="_Toc32135"/>
      <w:bookmarkStart w:id="563" w:name="_Toc20777"/>
      <w:bookmarkStart w:id="564" w:name="_Toc28919"/>
      <w:bookmarkStart w:id="565" w:name="_Toc7358"/>
      <w:bookmarkStart w:id="566" w:name="_Toc22461"/>
      <w:bookmarkStart w:id="567" w:name="_Toc490667863"/>
      <w:bookmarkStart w:id="568" w:name="_Toc455867803"/>
      <w:bookmarkStart w:id="569" w:name="_Toc14528"/>
      <w:bookmarkStart w:id="570" w:name="_Toc11409"/>
      <w:bookmarkStart w:id="571" w:name="_Toc29664"/>
      <w:bookmarkStart w:id="572" w:name="_Toc17660"/>
      <w:bookmarkStart w:id="573" w:name="_Toc152042343"/>
      <w:r>
        <w:rPr>
          <w:rFonts w:hint="eastAsia" w:ascii="宋体" w:hAnsi="宋体" w:eastAsia="宋体" w:cs="宋体"/>
          <w:b/>
          <w:color w:val="auto"/>
          <w:szCs w:val="21"/>
        </w:rPr>
        <w:t>7.1 定标方式</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29489DDC">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574" w:name="_Toc152042344"/>
      <w:bookmarkStart w:id="575" w:name="_Toc152045568"/>
      <w:bookmarkStart w:id="576" w:name="_Toc318450711"/>
      <w:bookmarkStart w:id="577" w:name="_Toc10868"/>
      <w:bookmarkStart w:id="578" w:name="_Toc7066"/>
      <w:bookmarkStart w:id="579" w:name="_Toc28254"/>
      <w:bookmarkStart w:id="580" w:name="_Toc144974536"/>
      <w:r>
        <w:rPr>
          <w:rFonts w:hint="eastAsia" w:ascii="宋体" w:hAnsi="宋体" w:eastAsia="宋体" w:cs="宋体"/>
          <w:color w:val="auto"/>
          <w:szCs w:val="21"/>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人，也可以重新磋商。</w:t>
      </w:r>
    </w:p>
    <w:p w14:paraId="7B81721C">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581" w:name="_Toc5428"/>
      <w:bookmarkStart w:id="582" w:name="_Toc15825"/>
      <w:bookmarkStart w:id="583" w:name="_Toc28177"/>
      <w:bookmarkStart w:id="584" w:name="_Toc9897"/>
      <w:bookmarkStart w:id="585" w:name="_Toc455867804"/>
      <w:bookmarkStart w:id="586" w:name="_Toc466298127"/>
      <w:bookmarkStart w:id="587" w:name="_Toc1484"/>
      <w:bookmarkStart w:id="588" w:name="_Toc5668"/>
      <w:bookmarkStart w:id="589" w:name="_Toc490667864"/>
      <w:bookmarkStart w:id="590" w:name="_Toc455080144"/>
      <w:bookmarkStart w:id="591" w:name="_Toc16163"/>
      <w:bookmarkStart w:id="592" w:name="_Toc9775"/>
      <w:r>
        <w:rPr>
          <w:rFonts w:hint="eastAsia" w:ascii="宋体" w:hAnsi="宋体" w:eastAsia="宋体" w:cs="宋体"/>
          <w:b/>
          <w:color w:val="auto"/>
          <w:szCs w:val="21"/>
        </w:rPr>
        <w:t>7.2 成交通知</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6FC9CB8E">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在本章第3.3.1款规定的磋商有效期内，采购人以书面形式向成交人发出成交通知书，同时将成交结果通知未成交的供应商。</w:t>
      </w:r>
    </w:p>
    <w:p w14:paraId="2115BF99">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593" w:name="_Toc22732"/>
      <w:r>
        <w:rPr>
          <w:rFonts w:hint="eastAsia" w:ascii="宋体" w:hAnsi="宋体" w:eastAsia="宋体" w:cs="宋体"/>
          <w:b/>
          <w:color w:val="auto"/>
          <w:szCs w:val="21"/>
        </w:rPr>
        <w:t>7.3 履约保证金</w:t>
      </w:r>
      <w:bookmarkEnd w:id="593"/>
    </w:p>
    <w:p w14:paraId="3DF8EE67">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594" w:name="_Toc21617"/>
      <w:bookmarkStart w:id="595" w:name="_Toc455867805"/>
      <w:bookmarkStart w:id="596" w:name="_Toc26760"/>
      <w:bookmarkStart w:id="597" w:name="_Toc12663"/>
      <w:bookmarkStart w:id="598" w:name="_Toc152042346"/>
      <w:bookmarkStart w:id="599" w:name="_Toc8886"/>
      <w:bookmarkStart w:id="600" w:name="_Toc152045570"/>
      <w:bookmarkStart w:id="601" w:name="_Toc466298128"/>
      <w:bookmarkStart w:id="602" w:name="_Toc21271"/>
      <w:bookmarkStart w:id="603" w:name="_Toc13147"/>
      <w:bookmarkStart w:id="604" w:name="_Toc455080145"/>
      <w:bookmarkStart w:id="605" w:name="_Toc318450712"/>
      <w:bookmarkStart w:id="606" w:name="_Toc490667865"/>
      <w:bookmarkStart w:id="607" w:name="_Toc24026"/>
      <w:bookmarkStart w:id="608" w:name="_Toc15458"/>
      <w:bookmarkStart w:id="609" w:name="_Toc26915"/>
      <w:bookmarkStart w:id="610" w:name="_Toc144974538"/>
      <w:bookmarkStart w:id="611" w:name="_Toc26655"/>
      <w:bookmarkStart w:id="612" w:name="_Toc10082"/>
      <w:r>
        <w:rPr>
          <w:rFonts w:hint="eastAsia" w:ascii="宋体" w:hAnsi="宋体" w:eastAsia="宋体" w:cs="宋体"/>
          <w:color w:val="auto"/>
          <w:szCs w:val="21"/>
        </w:rPr>
        <w:t>免收履约保证金</w:t>
      </w:r>
      <w:bookmarkEnd w:id="594"/>
    </w:p>
    <w:p w14:paraId="7ABFED72">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13" w:name="_Toc25032"/>
      <w:r>
        <w:rPr>
          <w:rFonts w:hint="eastAsia" w:ascii="宋体" w:hAnsi="宋体" w:eastAsia="宋体" w:cs="宋体"/>
          <w:b/>
          <w:color w:val="auto"/>
          <w:szCs w:val="21"/>
        </w:rPr>
        <w:t>7.4 签订合同</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628CF41F">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7.4.1 采购人和成交人应当自成交通知书发出之日起</w:t>
      </w:r>
      <w:r>
        <w:rPr>
          <w:rFonts w:hint="eastAsia" w:ascii="宋体" w:hAnsi="宋体" w:cs="宋体"/>
          <w:color w:val="auto"/>
          <w:szCs w:val="21"/>
          <w:lang w:val="en-US" w:eastAsia="zh-CN"/>
        </w:rPr>
        <w:t>30日内</w:t>
      </w:r>
      <w:r>
        <w:rPr>
          <w:rFonts w:hint="eastAsia" w:ascii="宋体" w:hAnsi="宋体" w:eastAsia="宋体" w:cs="宋体"/>
          <w:color w:val="auto"/>
          <w:szCs w:val="21"/>
        </w:rPr>
        <w:t>，根据竞争性磋商文件和成交人的响应文件订立书面合同。成交人无正当理由拒签合同的，采购人取消其成交资格，其磋商保证金不予退还；给采购人造成的损失超过磋商保证金数额的，成交人还应当对超过部分予以赔偿。</w:t>
      </w:r>
    </w:p>
    <w:p w14:paraId="54CD4C6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7.4.2 发出成交通知书后，采购人无正当理由拒签合同的，采购人向成交人退还磋商保证金；给成交人造成损失的，还应当赔偿损失。</w:t>
      </w:r>
      <w:bookmarkStart w:id="614" w:name="_Toc144974542"/>
      <w:bookmarkStart w:id="615" w:name="_Toc152042350"/>
      <w:bookmarkStart w:id="616" w:name="_Toc152045574"/>
    </w:p>
    <w:p w14:paraId="7E634B71">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17" w:name="_Toc24956"/>
      <w:bookmarkStart w:id="618" w:name="_Toc16866"/>
      <w:bookmarkStart w:id="619" w:name="_Toc20121"/>
      <w:bookmarkStart w:id="620" w:name="_Toc455080146"/>
      <w:r>
        <w:rPr>
          <w:rFonts w:hint="eastAsia" w:ascii="宋体" w:hAnsi="宋体" w:eastAsia="宋体" w:cs="宋体"/>
          <w:b/>
          <w:color w:val="auto"/>
          <w:szCs w:val="21"/>
        </w:rPr>
        <w:t>8. 重新招标</w:t>
      </w:r>
      <w:bookmarkEnd w:id="617"/>
      <w:bookmarkEnd w:id="618"/>
      <w:bookmarkEnd w:id="619"/>
      <w:bookmarkEnd w:id="620"/>
    </w:p>
    <w:p w14:paraId="0BF07F12">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21" w:name="_Toc16556"/>
      <w:bookmarkStart w:id="622" w:name="_Toc21278"/>
      <w:r>
        <w:rPr>
          <w:rFonts w:hint="eastAsia" w:ascii="宋体" w:hAnsi="宋体" w:eastAsia="宋体" w:cs="宋体"/>
          <w:b/>
          <w:color w:val="auto"/>
          <w:szCs w:val="21"/>
        </w:rPr>
        <w:t>8.1 重新招标</w:t>
      </w:r>
      <w:bookmarkEnd w:id="621"/>
      <w:bookmarkEnd w:id="622"/>
    </w:p>
    <w:p w14:paraId="001A93F2">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623" w:name="_Toc9985"/>
      <w:r>
        <w:rPr>
          <w:rFonts w:hint="eastAsia" w:ascii="宋体" w:hAnsi="宋体" w:eastAsia="宋体" w:cs="宋体"/>
          <w:color w:val="auto"/>
          <w:szCs w:val="21"/>
        </w:rPr>
        <w:t>有下列情形之一的，采购人将重新招标：</w:t>
      </w:r>
      <w:bookmarkEnd w:id="623"/>
    </w:p>
    <w:p w14:paraId="2D06F597">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624" w:name="_Toc25063"/>
      <w:r>
        <w:rPr>
          <w:rFonts w:hint="eastAsia" w:ascii="宋体" w:hAnsi="宋体" w:eastAsia="宋体" w:cs="宋体"/>
          <w:color w:val="auto"/>
          <w:szCs w:val="21"/>
        </w:rPr>
        <w:t>（1）提交响应文件截止时间止，供应商少于</w:t>
      </w:r>
      <w:r>
        <w:rPr>
          <w:rFonts w:hint="eastAsia" w:ascii="宋体" w:hAnsi="宋体" w:cs="宋体"/>
          <w:color w:val="auto"/>
          <w:szCs w:val="21"/>
          <w:lang w:val="en-US" w:eastAsia="zh-CN"/>
        </w:rPr>
        <w:t>3</w:t>
      </w:r>
      <w:r>
        <w:rPr>
          <w:rFonts w:hint="eastAsia" w:ascii="宋体" w:hAnsi="宋体" w:eastAsia="宋体" w:cs="宋体"/>
          <w:color w:val="auto"/>
          <w:szCs w:val="21"/>
        </w:rPr>
        <w:t>个的；</w:t>
      </w:r>
      <w:bookmarkEnd w:id="624"/>
    </w:p>
    <w:p w14:paraId="3DC9D4BC">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625" w:name="_Toc17911"/>
      <w:r>
        <w:rPr>
          <w:rFonts w:hint="eastAsia" w:ascii="宋体" w:hAnsi="宋体" w:eastAsia="宋体" w:cs="宋体"/>
          <w:color w:val="auto"/>
          <w:szCs w:val="21"/>
        </w:rPr>
        <w:t>（2）经磋商小组评审后否决所有响应文件的。</w:t>
      </w:r>
      <w:bookmarkEnd w:id="625"/>
    </w:p>
    <w:p w14:paraId="2F8E8BA3">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26" w:name="_Toc8213"/>
      <w:bookmarkStart w:id="627" w:name="_Toc455080147"/>
      <w:bookmarkStart w:id="628" w:name="_Toc9996"/>
      <w:bookmarkStart w:id="629" w:name="_Toc27506"/>
      <w:r>
        <w:rPr>
          <w:rFonts w:hint="eastAsia" w:ascii="宋体" w:hAnsi="宋体" w:eastAsia="宋体" w:cs="宋体"/>
          <w:b/>
          <w:color w:val="auto"/>
          <w:szCs w:val="21"/>
        </w:rPr>
        <w:t>9. 纪律和监督</w:t>
      </w:r>
      <w:bookmarkEnd w:id="614"/>
      <w:bookmarkEnd w:id="615"/>
      <w:bookmarkEnd w:id="616"/>
      <w:bookmarkEnd w:id="626"/>
      <w:bookmarkEnd w:id="627"/>
      <w:bookmarkEnd w:id="628"/>
      <w:bookmarkEnd w:id="629"/>
    </w:p>
    <w:p w14:paraId="078FB7DE">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30" w:name="_Toc466298131"/>
      <w:bookmarkStart w:id="631" w:name="_Toc152042351"/>
      <w:bookmarkStart w:id="632" w:name="_Toc14155"/>
      <w:bookmarkStart w:id="633" w:name="_Toc152045575"/>
      <w:bookmarkStart w:id="634" w:name="_Toc15769"/>
      <w:bookmarkStart w:id="635" w:name="_Toc269"/>
      <w:bookmarkStart w:id="636" w:name="_Toc27836"/>
      <w:bookmarkStart w:id="637" w:name="_Toc490667868"/>
      <w:bookmarkStart w:id="638" w:name="_Toc318450714"/>
      <w:bookmarkStart w:id="639" w:name="_Toc13970"/>
      <w:bookmarkStart w:id="640" w:name="_Toc455080148"/>
      <w:bookmarkStart w:id="641" w:name="_Toc455867808"/>
      <w:bookmarkStart w:id="642" w:name="_Toc20009"/>
      <w:bookmarkStart w:id="643" w:name="_Toc19159"/>
      <w:bookmarkStart w:id="644" w:name="_Toc697"/>
      <w:bookmarkStart w:id="645" w:name="_Toc1282"/>
      <w:bookmarkStart w:id="646" w:name="_Toc15592"/>
      <w:bookmarkStart w:id="647" w:name="_Toc12992"/>
      <w:bookmarkStart w:id="648" w:name="_Toc144974543"/>
      <w:r>
        <w:rPr>
          <w:rFonts w:hint="eastAsia" w:ascii="宋体" w:hAnsi="宋体" w:eastAsia="宋体" w:cs="宋体"/>
          <w:b/>
          <w:color w:val="auto"/>
          <w:szCs w:val="21"/>
        </w:rPr>
        <w:t>9.1 对采购人的纪律要求</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4352D881">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采购人不得泄漏磋商活动中应当保密的情况和资料，不得与供应商串通损害国家利益、社会公共利益或者他人合法权益。</w:t>
      </w:r>
    </w:p>
    <w:p w14:paraId="21D58391">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49" w:name="_Toc20261"/>
      <w:bookmarkStart w:id="650" w:name="_Toc144974544"/>
      <w:bookmarkStart w:id="651" w:name="_Toc490667869"/>
      <w:bookmarkStart w:id="652" w:name="_Toc455867809"/>
      <w:bookmarkStart w:id="653" w:name="_Toc455080149"/>
      <w:bookmarkStart w:id="654" w:name="_Toc466298132"/>
      <w:bookmarkStart w:id="655" w:name="_Toc318450715"/>
      <w:bookmarkStart w:id="656" w:name="_Toc19167"/>
      <w:bookmarkStart w:id="657" w:name="_Toc7572"/>
      <w:bookmarkStart w:id="658" w:name="_Toc18204"/>
      <w:bookmarkStart w:id="659" w:name="_Toc3089"/>
      <w:bookmarkStart w:id="660" w:name="_Toc152042352"/>
      <w:bookmarkStart w:id="661" w:name="_Toc1743"/>
      <w:bookmarkStart w:id="662" w:name="_Toc21646"/>
      <w:bookmarkStart w:id="663" w:name="_Toc27698"/>
      <w:bookmarkStart w:id="664" w:name="_Toc17040"/>
      <w:bookmarkStart w:id="665" w:name="_Toc3662"/>
      <w:bookmarkStart w:id="666" w:name="_Toc18604"/>
      <w:bookmarkStart w:id="667" w:name="_Toc152045576"/>
      <w:r>
        <w:rPr>
          <w:rFonts w:hint="eastAsia" w:ascii="宋体" w:hAnsi="宋体" w:eastAsia="宋体" w:cs="宋体"/>
          <w:b/>
          <w:color w:val="auto"/>
          <w:szCs w:val="21"/>
        </w:rPr>
        <w:t>9.2 对供应商的纪律要求</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BBB8CD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供应商不得相互串通或者与采购人串通，不得向采购人或者谈判小组行贿谋取成交，不得以他人名义或者以其他方式弄虚作假骗取成交；供应商不得以任何方式干扰、影响评审工作。</w:t>
      </w:r>
    </w:p>
    <w:p w14:paraId="17AE34F6">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68" w:name="_Toc32320"/>
      <w:bookmarkStart w:id="669" w:name="_Toc318450716"/>
      <w:bookmarkStart w:id="670" w:name="_Toc152045577"/>
      <w:bookmarkStart w:id="671" w:name="_Toc25241"/>
      <w:bookmarkStart w:id="672" w:name="_Toc12177"/>
      <w:bookmarkStart w:id="673" w:name="_Toc466298133"/>
      <w:bookmarkStart w:id="674" w:name="_Toc11909"/>
      <w:bookmarkStart w:id="675" w:name="_Toc7107"/>
      <w:bookmarkStart w:id="676" w:name="_Toc490667870"/>
      <w:bookmarkStart w:id="677" w:name="_Toc28813"/>
      <w:bookmarkStart w:id="678" w:name="_Toc19965"/>
      <w:bookmarkStart w:id="679" w:name="_Toc31001"/>
      <w:bookmarkStart w:id="680" w:name="_Toc30153"/>
      <w:bookmarkStart w:id="681" w:name="_Toc455867810"/>
      <w:bookmarkStart w:id="682" w:name="_Toc455080150"/>
      <w:bookmarkStart w:id="683" w:name="_Toc152042353"/>
      <w:bookmarkStart w:id="684" w:name="_Toc144974545"/>
      <w:bookmarkStart w:id="685" w:name="_Toc25211"/>
      <w:bookmarkStart w:id="686" w:name="_Toc7439"/>
      <w:r>
        <w:rPr>
          <w:rFonts w:hint="eastAsia" w:ascii="宋体" w:hAnsi="宋体" w:eastAsia="宋体" w:cs="宋体"/>
          <w:b/>
          <w:color w:val="auto"/>
          <w:szCs w:val="21"/>
        </w:rPr>
        <w:t>9.3 对磋商小组成员的纪律要求</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39BCA75A">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5FE6F65A">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687" w:name="_Toc26462"/>
      <w:bookmarkStart w:id="688" w:name="_Toc23717"/>
      <w:bookmarkStart w:id="689" w:name="_Toc24"/>
      <w:bookmarkStart w:id="690" w:name="_Toc11405"/>
      <w:bookmarkStart w:id="691" w:name="_Toc1295"/>
      <w:bookmarkStart w:id="692" w:name="_Toc466298134"/>
      <w:bookmarkStart w:id="693" w:name="_Toc7368"/>
      <w:bookmarkStart w:id="694" w:name="_Toc318450717"/>
      <w:bookmarkStart w:id="695" w:name="_Toc455867811"/>
      <w:bookmarkStart w:id="696" w:name="_Toc235"/>
      <w:bookmarkStart w:id="697" w:name="_Toc490667871"/>
      <w:bookmarkStart w:id="698" w:name="_Toc152042354"/>
      <w:bookmarkStart w:id="699" w:name="_Toc19485"/>
      <w:bookmarkStart w:id="700" w:name="_Toc455080151"/>
      <w:bookmarkStart w:id="701" w:name="_Toc27559"/>
      <w:bookmarkStart w:id="702" w:name="_Toc20546"/>
      <w:bookmarkStart w:id="703" w:name="_Toc152045578"/>
      <w:bookmarkStart w:id="704" w:name="_Toc9063"/>
      <w:bookmarkStart w:id="705" w:name="_Toc144974546"/>
      <w:r>
        <w:rPr>
          <w:rFonts w:hint="eastAsia" w:ascii="宋体" w:hAnsi="宋体" w:eastAsia="宋体" w:cs="宋体"/>
          <w:b/>
          <w:color w:val="auto"/>
          <w:szCs w:val="21"/>
        </w:rPr>
        <w:t>9.4 对与评标活动有关的工作人员的纪律要求</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02785CB6">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706" w:name="_Toc152042355"/>
      <w:r>
        <w:rPr>
          <w:rFonts w:hint="eastAsia" w:ascii="宋体" w:hAnsi="宋体" w:eastAsia="宋体" w:cs="宋体"/>
          <w:color w:val="auto"/>
          <w:szCs w:val="21"/>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706"/>
    </w:p>
    <w:p w14:paraId="6EEE9AFC">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707" w:name="_Toc25751"/>
      <w:bookmarkStart w:id="708" w:name="_Toc455080152"/>
      <w:bookmarkStart w:id="709" w:name="_Toc152042356"/>
      <w:bookmarkStart w:id="710" w:name="_Toc490667872"/>
      <w:bookmarkStart w:id="711" w:name="_Toc3617"/>
      <w:bookmarkStart w:id="712" w:name="_Toc1820"/>
      <w:bookmarkStart w:id="713" w:name="_Toc318450718"/>
      <w:bookmarkStart w:id="714" w:name="_Toc8074"/>
      <w:bookmarkStart w:id="715" w:name="_Toc3303"/>
      <w:bookmarkStart w:id="716" w:name="_Toc5504"/>
      <w:bookmarkStart w:id="717" w:name="_Toc455867812"/>
      <w:bookmarkStart w:id="718" w:name="_Toc31010"/>
      <w:bookmarkStart w:id="719" w:name="_Toc32675"/>
      <w:bookmarkStart w:id="720" w:name="_Toc17735"/>
      <w:bookmarkStart w:id="721" w:name="_Toc27420"/>
      <w:bookmarkStart w:id="722" w:name="_Toc6199"/>
      <w:bookmarkStart w:id="723" w:name="_Toc152045579"/>
      <w:bookmarkStart w:id="724" w:name="_Toc466298135"/>
      <w:r>
        <w:rPr>
          <w:rFonts w:hint="eastAsia" w:ascii="宋体" w:hAnsi="宋体" w:eastAsia="宋体" w:cs="宋体"/>
          <w:b/>
          <w:color w:val="auto"/>
          <w:szCs w:val="21"/>
        </w:rPr>
        <w:t>9.5 投诉</w:t>
      </w:r>
      <w:bookmarkEnd w:id="705"/>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42A0B86">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供应商和其他利害关系人认为本次磋商活动违反法律、法规和规章规定的，有权向有关行政监督部门投诉。</w:t>
      </w:r>
    </w:p>
    <w:p w14:paraId="207EB983">
      <w:pPr>
        <w:pageBreakBefore w:val="0"/>
        <w:kinsoku/>
        <w:wordWrap w:val="0"/>
        <w:overflowPunct/>
        <w:bidi w:val="0"/>
        <w:spacing w:line="360" w:lineRule="auto"/>
        <w:ind w:firstLine="422" w:firstLineChars="200"/>
        <w:rPr>
          <w:rFonts w:hint="eastAsia" w:ascii="宋体" w:hAnsi="宋体" w:eastAsia="宋体" w:cs="宋体"/>
          <w:b/>
          <w:color w:val="auto"/>
          <w:szCs w:val="21"/>
        </w:rPr>
      </w:pPr>
      <w:bookmarkStart w:id="725" w:name="_Toc14221"/>
      <w:bookmarkStart w:id="726" w:name="_Toc18280"/>
      <w:bookmarkStart w:id="727" w:name="_Toc455080153"/>
      <w:bookmarkStart w:id="728" w:name="_Toc24942"/>
      <w:bookmarkStart w:id="729" w:name="_Toc152045580"/>
      <w:bookmarkStart w:id="730" w:name="_Toc144974547"/>
      <w:bookmarkStart w:id="731" w:name="_Toc152042357"/>
      <w:r>
        <w:rPr>
          <w:rFonts w:hint="eastAsia" w:ascii="宋体" w:hAnsi="宋体" w:eastAsia="宋体" w:cs="宋体"/>
          <w:b/>
          <w:color w:val="auto"/>
          <w:szCs w:val="21"/>
        </w:rPr>
        <w:t>10. 需要补充的其他内容</w:t>
      </w:r>
      <w:bookmarkEnd w:id="725"/>
      <w:bookmarkEnd w:id="726"/>
      <w:bookmarkEnd w:id="727"/>
      <w:bookmarkEnd w:id="728"/>
      <w:bookmarkEnd w:id="729"/>
      <w:bookmarkEnd w:id="730"/>
      <w:bookmarkEnd w:id="731"/>
    </w:p>
    <w:p w14:paraId="19EC198E">
      <w:pPr>
        <w:pageBreakBefore w:val="0"/>
        <w:kinsoku/>
        <w:wordWrap w:val="0"/>
        <w:overflowPunct/>
        <w:autoSpaceDE w:val="0"/>
        <w:autoSpaceDN w:val="0"/>
        <w:bidi w:val="0"/>
        <w:adjustRightInd w:val="0"/>
        <w:snapToGrid w:val="0"/>
        <w:spacing w:after="120" w:afterLines="50"/>
        <w:jc w:val="center"/>
        <w:outlineLvl w:val="0"/>
        <w:rPr>
          <w:rFonts w:hint="eastAsia" w:ascii="宋体" w:hAnsi="宋体" w:eastAsia="宋体" w:cs="宋体"/>
          <w:b/>
          <w:bCs/>
          <w:color w:val="auto"/>
          <w:kern w:val="44"/>
          <w:sz w:val="44"/>
          <w:szCs w:val="44"/>
        </w:rPr>
      </w:pPr>
      <w:r>
        <w:rPr>
          <w:rFonts w:hint="eastAsia" w:ascii="宋体" w:hAnsi="宋体" w:eastAsia="宋体" w:cs="宋体"/>
          <w:color w:val="auto"/>
        </w:rPr>
        <w:br w:type="page"/>
      </w:r>
      <w:bookmarkStart w:id="732" w:name="_Toc16648"/>
      <w:r>
        <w:rPr>
          <w:rFonts w:hint="eastAsia" w:ascii="宋体" w:hAnsi="宋体" w:eastAsia="宋体" w:cs="宋体"/>
          <w:b/>
          <w:bCs/>
          <w:color w:val="auto"/>
          <w:kern w:val="44"/>
          <w:sz w:val="44"/>
          <w:szCs w:val="44"/>
        </w:rPr>
        <w:t>第三章 评标办法</w:t>
      </w:r>
      <w:bookmarkEnd w:id="11"/>
      <w:bookmarkEnd w:id="12"/>
      <w:r>
        <w:rPr>
          <w:rFonts w:hint="eastAsia" w:ascii="宋体" w:hAnsi="宋体" w:eastAsia="宋体" w:cs="宋体"/>
          <w:b/>
          <w:bCs/>
          <w:color w:val="auto"/>
          <w:kern w:val="44"/>
          <w:sz w:val="44"/>
          <w:szCs w:val="44"/>
        </w:rPr>
        <w:t>（综合评分法）</w:t>
      </w:r>
      <w:bookmarkEnd w:id="732"/>
      <w:bookmarkStart w:id="733" w:name="_Toc455080156"/>
      <w:bookmarkStart w:id="734" w:name="_Toc318450721"/>
      <w:bookmarkStart w:id="735" w:name="_Toc455867816"/>
      <w:bookmarkStart w:id="736" w:name="_Toc281405527"/>
      <w:bookmarkStart w:id="737" w:name="_Toc922"/>
      <w:bookmarkStart w:id="738" w:name="_Toc466298139"/>
      <w:bookmarkStart w:id="739" w:name="_Toc144974566"/>
      <w:bookmarkStart w:id="740" w:name="_Toc152045599"/>
      <w:bookmarkStart w:id="741" w:name="_Toc28069"/>
      <w:bookmarkStart w:id="742" w:name="_Toc482"/>
      <w:bookmarkStart w:id="743" w:name="_Toc27806"/>
      <w:bookmarkStart w:id="744" w:name="_Toc152042376"/>
    </w:p>
    <w:p w14:paraId="5CE4D315">
      <w:pPr>
        <w:pageBreakBefore w:val="0"/>
        <w:kinsoku/>
        <w:wordWrap w:val="0"/>
        <w:overflowPunct/>
        <w:autoSpaceDE w:val="0"/>
        <w:autoSpaceDN w:val="0"/>
        <w:bidi w:val="0"/>
        <w:adjustRightInd w:val="0"/>
        <w:snapToGrid w:val="0"/>
        <w:spacing w:after="120" w:afterLines="50"/>
        <w:jc w:val="center"/>
        <w:outlineLvl w:val="0"/>
        <w:rPr>
          <w:rFonts w:hint="eastAsia" w:ascii="宋体" w:hAnsi="宋体" w:eastAsia="宋体" w:cs="宋体"/>
          <w:b/>
          <w:color w:val="auto"/>
          <w:kern w:val="0"/>
          <w:sz w:val="32"/>
          <w:szCs w:val="32"/>
        </w:rPr>
      </w:pPr>
      <w:bookmarkStart w:id="745" w:name="_Toc2901"/>
      <w:r>
        <w:rPr>
          <w:rFonts w:hint="eastAsia" w:ascii="宋体" w:hAnsi="宋体" w:eastAsia="宋体" w:cs="宋体"/>
          <w:color w:val="auto"/>
          <w:sz w:val="24"/>
        </w:rPr>
        <w:t>评审办法前附表</w:t>
      </w:r>
      <w:bookmarkEnd w:id="733"/>
      <w:bookmarkEnd w:id="734"/>
      <w:bookmarkEnd w:id="735"/>
      <w:bookmarkEnd w:id="736"/>
      <w:bookmarkEnd w:id="737"/>
      <w:bookmarkEnd w:id="738"/>
      <w:bookmarkEnd w:id="739"/>
      <w:bookmarkEnd w:id="740"/>
      <w:bookmarkEnd w:id="741"/>
      <w:bookmarkEnd w:id="742"/>
      <w:bookmarkEnd w:id="743"/>
      <w:bookmarkEnd w:id="744"/>
      <w:bookmarkEnd w:id="745"/>
    </w:p>
    <w:tbl>
      <w:tblPr>
        <w:tblStyle w:val="5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3"/>
        <w:gridCol w:w="637"/>
        <w:gridCol w:w="2424"/>
        <w:gridCol w:w="5244"/>
      </w:tblGrid>
      <w:tr w14:paraId="0FF8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blHeader/>
          <w:jc w:val="center"/>
        </w:trPr>
        <w:tc>
          <w:tcPr>
            <w:tcW w:w="1620" w:type="dxa"/>
            <w:gridSpan w:val="2"/>
            <w:noWrap w:val="0"/>
            <w:vAlign w:val="center"/>
          </w:tcPr>
          <w:p w14:paraId="483D983C">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条款号</w:t>
            </w:r>
          </w:p>
        </w:tc>
        <w:tc>
          <w:tcPr>
            <w:tcW w:w="2424" w:type="dxa"/>
            <w:noWrap w:val="0"/>
            <w:vAlign w:val="center"/>
          </w:tcPr>
          <w:p w14:paraId="08268817">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评审因素</w:t>
            </w:r>
          </w:p>
        </w:tc>
        <w:tc>
          <w:tcPr>
            <w:tcW w:w="5244" w:type="dxa"/>
            <w:noWrap w:val="0"/>
            <w:vAlign w:val="center"/>
          </w:tcPr>
          <w:p w14:paraId="5C913E92">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评审标准</w:t>
            </w:r>
          </w:p>
        </w:tc>
      </w:tr>
      <w:tr w14:paraId="0AA1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restart"/>
            <w:noWrap w:val="0"/>
            <w:vAlign w:val="center"/>
          </w:tcPr>
          <w:p w14:paraId="395BC878">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2.1.1</w:t>
            </w:r>
          </w:p>
        </w:tc>
        <w:tc>
          <w:tcPr>
            <w:tcW w:w="637" w:type="dxa"/>
            <w:vMerge w:val="restart"/>
            <w:noWrap w:val="0"/>
            <w:vAlign w:val="center"/>
          </w:tcPr>
          <w:p w14:paraId="2AE45D7F">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资格评审标准</w:t>
            </w:r>
          </w:p>
        </w:tc>
        <w:tc>
          <w:tcPr>
            <w:tcW w:w="2424" w:type="dxa"/>
            <w:noWrap w:val="0"/>
            <w:vAlign w:val="center"/>
          </w:tcPr>
          <w:p w14:paraId="6B4F1E00">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符合《中华人民共和国政府采购法》第22条规定</w:t>
            </w:r>
          </w:p>
        </w:tc>
        <w:tc>
          <w:tcPr>
            <w:tcW w:w="5244" w:type="dxa"/>
            <w:noWrap w:val="0"/>
            <w:vAlign w:val="center"/>
          </w:tcPr>
          <w:p w14:paraId="722216E9">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符合第二章“供应商须知”第1.</w:t>
            </w:r>
            <w:r>
              <w:rPr>
                <w:rFonts w:hint="eastAsia" w:ascii="宋体" w:hAnsi="宋体" w:eastAsia="宋体" w:cs="宋体"/>
                <w:color w:val="auto"/>
                <w:kern w:val="0"/>
                <w:szCs w:val="21"/>
                <w:lang w:val="en-US" w:eastAsia="zh-CN"/>
              </w:rPr>
              <w:t>5</w:t>
            </w:r>
            <w:r>
              <w:rPr>
                <w:rFonts w:hint="eastAsia" w:ascii="宋体" w:hAnsi="宋体" w:eastAsia="宋体" w:cs="宋体"/>
                <w:color w:val="auto"/>
                <w:kern w:val="0"/>
                <w:szCs w:val="21"/>
              </w:rPr>
              <w:t>.1项规定</w:t>
            </w:r>
          </w:p>
        </w:tc>
      </w:tr>
      <w:tr w14:paraId="4546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3F640AEB">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p>
        </w:tc>
        <w:tc>
          <w:tcPr>
            <w:tcW w:w="637" w:type="dxa"/>
            <w:vMerge w:val="continue"/>
            <w:noWrap w:val="0"/>
            <w:vAlign w:val="center"/>
          </w:tcPr>
          <w:p w14:paraId="79960E89">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p>
        </w:tc>
        <w:tc>
          <w:tcPr>
            <w:tcW w:w="2424" w:type="dxa"/>
            <w:noWrap w:val="0"/>
            <w:vAlign w:val="center"/>
          </w:tcPr>
          <w:p w14:paraId="7AAFF3F7">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落实政府采购政策需满足的资格要求</w:t>
            </w:r>
          </w:p>
        </w:tc>
        <w:tc>
          <w:tcPr>
            <w:tcW w:w="5244" w:type="dxa"/>
            <w:noWrap w:val="0"/>
            <w:vAlign w:val="center"/>
          </w:tcPr>
          <w:p w14:paraId="099E75AA">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符合第二章“供应商须知”第1.</w:t>
            </w:r>
            <w:r>
              <w:rPr>
                <w:rFonts w:hint="eastAsia" w:ascii="宋体" w:hAnsi="宋体" w:eastAsia="宋体" w:cs="宋体"/>
                <w:color w:val="auto"/>
                <w:kern w:val="0"/>
                <w:szCs w:val="21"/>
                <w:lang w:val="en-US" w:eastAsia="zh-CN"/>
              </w:rPr>
              <w:t>5</w:t>
            </w:r>
            <w:r>
              <w:rPr>
                <w:rFonts w:hint="eastAsia" w:ascii="宋体" w:hAnsi="宋体" w:eastAsia="宋体" w:cs="宋体"/>
                <w:color w:val="auto"/>
                <w:kern w:val="0"/>
                <w:szCs w:val="21"/>
              </w:rPr>
              <w:t>.1项规定</w:t>
            </w:r>
          </w:p>
        </w:tc>
      </w:tr>
      <w:tr w14:paraId="514D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180819A3">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p>
        </w:tc>
        <w:tc>
          <w:tcPr>
            <w:tcW w:w="637" w:type="dxa"/>
            <w:vMerge w:val="continue"/>
            <w:noWrap w:val="0"/>
            <w:vAlign w:val="center"/>
          </w:tcPr>
          <w:p w14:paraId="7C5721DE">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p>
        </w:tc>
        <w:tc>
          <w:tcPr>
            <w:tcW w:w="2424" w:type="dxa"/>
            <w:noWrap w:val="0"/>
            <w:vAlign w:val="center"/>
          </w:tcPr>
          <w:p w14:paraId="16412F3E">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特定要求</w:t>
            </w:r>
          </w:p>
        </w:tc>
        <w:tc>
          <w:tcPr>
            <w:tcW w:w="5244" w:type="dxa"/>
            <w:noWrap w:val="0"/>
            <w:vAlign w:val="center"/>
          </w:tcPr>
          <w:p w14:paraId="6C84FF69">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符合第二章“供应商须知”第1.</w:t>
            </w:r>
            <w:r>
              <w:rPr>
                <w:rFonts w:hint="eastAsia" w:ascii="宋体" w:hAnsi="宋体" w:eastAsia="宋体" w:cs="宋体"/>
                <w:color w:val="auto"/>
                <w:kern w:val="0"/>
                <w:szCs w:val="21"/>
                <w:lang w:val="en-US" w:eastAsia="zh-CN"/>
              </w:rPr>
              <w:t>5</w:t>
            </w:r>
            <w:r>
              <w:rPr>
                <w:rFonts w:hint="eastAsia" w:ascii="宋体" w:hAnsi="宋体" w:eastAsia="宋体" w:cs="宋体"/>
                <w:color w:val="auto"/>
                <w:kern w:val="0"/>
                <w:szCs w:val="21"/>
              </w:rPr>
              <w:t>.1项规定</w:t>
            </w:r>
          </w:p>
        </w:tc>
      </w:tr>
      <w:tr w14:paraId="33C8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restart"/>
            <w:noWrap w:val="0"/>
            <w:vAlign w:val="center"/>
          </w:tcPr>
          <w:p w14:paraId="4FC62BB0">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2.1.2</w:t>
            </w:r>
          </w:p>
        </w:tc>
        <w:tc>
          <w:tcPr>
            <w:tcW w:w="637" w:type="dxa"/>
            <w:vMerge w:val="restart"/>
            <w:noWrap w:val="0"/>
            <w:vAlign w:val="center"/>
          </w:tcPr>
          <w:p w14:paraId="2FD5A8FB">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jc w:val="center"/>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符合性评审标准</w:t>
            </w:r>
          </w:p>
        </w:tc>
        <w:tc>
          <w:tcPr>
            <w:tcW w:w="2424" w:type="dxa"/>
            <w:noWrap w:val="0"/>
            <w:vAlign w:val="center"/>
          </w:tcPr>
          <w:p w14:paraId="3BA47A9C">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供应商名称</w:t>
            </w:r>
          </w:p>
        </w:tc>
        <w:tc>
          <w:tcPr>
            <w:tcW w:w="5244" w:type="dxa"/>
            <w:noWrap w:val="0"/>
            <w:vAlign w:val="center"/>
          </w:tcPr>
          <w:p w14:paraId="7C38E469">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与营业执照一致</w:t>
            </w:r>
          </w:p>
        </w:tc>
      </w:tr>
      <w:tr w14:paraId="5B1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755F79B3">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637" w:type="dxa"/>
            <w:vMerge w:val="continue"/>
            <w:noWrap w:val="0"/>
            <w:vAlign w:val="center"/>
          </w:tcPr>
          <w:p w14:paraId="791E219A">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2424" w:type="dxa"/>
            <w:noWrap w:val="0"/>
            <w:vAlign w:val="center"/>
          </w:tcPr>
          <w:p w14:paraId="7AB79C1E">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响应文件签字盖章</w:t>
            </w:r>
          </w:p>
        </w:tc>
        <w:tc>
          <w:tcPr>
            <w:tcW w:w="5244" w:type="dxa"/>
            <w:noWrap w:val="0"/>
            <w:vAlign w:val="center"/>
          </w:tcPr>
          <w:p w14:paraId="69446195">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符合第二章“供应商须知”第3.</w:t>
            </w:r>
            <w:r>
              <w:rPr>
                <w:rFonts w:hint="eastAsia" w:ascii="宋体" w:hAnsi="宋体" w:eastAsia="宋体" w:cs="宋体"/>
                <w:color w:val="auto"/>
                <w:kern w:val="0"/>
                <w:szCs w:val="21"/>
                <w:lang w:val="en-US" w:eastAsia="zh-CN"/>
              </w:rPr>
              <w:t>7</w:t>
            </w:r>
            <w:r>
              <w:rPr>
                <w:rFonts w:hint="eastAsia" w:ascii="宋体" w:hAnsi="宋体" w:eastAsia="宋体" w:cs="宋体"/>
                <w:color w:val="auto"/>
                <w:kern w:val="0"/>
                <w:szCs w:val="21"/>
              </w:rPr>
              <w:t>.</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rPr>
              <w:t>项规定</w:t>
            </w:r>
          </w:p>
        </w:tc>
      </w:tr>
      <w:tr w14:paraId="41BA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00940B1B">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637" w:type="dxa"/>
            <w:vMerge w:val="continue"/>
            <w:noWrap w:val="0"/>
            <w:vAlign w:val="center"/>
          </w:tcPr>
          <w:p w14:paraId="7887188D">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2424" w:type="dxa"/>
            <w:noWrap w:val="0"/>
            <w:vAlign w:val="center"/>
          </w:tcPr>
          <w:p w14:paraId="42CB1CF8">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响应文件格式</w:t>
            </w:r>
          </w:p>
        </w:tc>
        <w:tc>
          <w:tcPr>
            <w:tcW w:w="5244" w:type="dxa"/>
            <w:noWrap w:val="0"/>
            <w:vAlign w:val="center"/>
          </w:tcPr>
          <w:p w14:paraId="6785E43F">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符合第六章“响应文件格式”的要求</w:t>
            </w:r>
          </w:p>
        </w:tc>
      </w:tr>
      <w:tr w14:paraId="5431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44F6A9BF">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637" w:type="dxa"/>
            <w:vMerge w:val="continue"/>
            <w:noWrap w:val="0"/>
            <w:vAlign w:val="center"/>
          </w:tcPr>
          <w:p w14:paraId="6141A23C">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2424" w:type="dxa"/>
            <w:noWrap w:val="0"/>
            <w:vAlign w:val="center"/>
          </w:tcPr>
          <w:p w14:paraId="4BB18372">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磋商报价</w:t>
            </w:r>
          </w:p>
        </w:tc>
        <w:tc>
          <w:tcPr>
            <w:tcW w:w="5244" w:type="dxa"/>
            <w:noWrap w:val="0"/>
            <w:vAlign w:val="center"/>
          </w:tcPr>
          <w:p w14:paraId="02EB042A">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报价不超过预算价（最高限价）</w:t>
            </w:r>
          </w:p>
        </w:tc>
      </w:tr>
      <w:tr w14:paraId="7234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462C0BC1">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637" w:type="dxa"/>
            <w:vMerge w:val="continue"/>
            <w:noWrap w:val="0"/>
            <w:vAlign w:val="center"/>
          </w:tcPr>
          <w:p w14:paraId="62D26FC8">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2424" w:type="dxa"/>
            <w:noWrap w:val="0"/>
            <w:vAlign w:val="center"/>
          </w:tcPr>
          <w:p w14:paraId="7D1861CB">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服务要求</w:t>
            </w:r>
          </w:p>
        </w:tc>
        <w:tc>
          <w:tcPr>
            <w:tcW w:w="5244" w:type="dxa"/>
            <w:noWrap w:val="0"/>
            <w:vAlign w:val="center"/>
          </w:tcPr>
          <w:p w14:paraId="59C8DA65">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符合第二章“供应商须知”第1.</w:t>
            </w:r>
            <w:r>
              <w:rPr>
                <w:rFonts w:hint="eastAsia" w:ascii="宋体" w:hAnsi="宋体" w:eastAsia="宋体" w:cs="宋体"/>
                <w:color w:val="auto"/>
                <w:kern w:val="0"/>
                <w:szCs w:val="21"/>
                <w:lang w:val="en-US" w:eastAsia="zh-CN"/>
              </w:rPr>
              <w:t>4.2</w:t>
            </w:r>
            <w:r>
              <w:rPr>
                <w:rFonts w:hint="eastAsia" w:ascii="宋体" w:hAnsi="宋体" w:eastAsia="宋体" w:cs="宋体"/>
                <w:color w:val="auto"/>
                <w:kern w:val="0"/>
                <w:szCs w:val="21"/>
              </w:rPr>
              <w:t>项规定</w:t>
            </w:r>
          </w:p>
        </w:tc>
      </w:tr>
      <w:tr w14:paraId="7FA9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6A02F5E7">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637" w:type="dxa"/>
            <w:vMerge w:val="continue"/>
            <w:noWrap w:val="0"/>
            <w:vAlign w:val="center"/>
          </w:tcPr>
          <w:p w14:paraId="71777535">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2424" w:type="dxa"/>
            <w:noWrap w:val="0"/>
            <w:vAlign w:val="center"/>
          </w:tcPr>
          <w:p w14:paraId="1B4AA262">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服务期限</w:t>
            </w:r>
          </w:p>
        </w:tc>
        <w:tc>
          <w:tcPr>
            <w:tcW w:w="5244" w:type="dxa"/>
            <w:noWrap w:val="0"/>
            <w:vAlign w:val="center"/>
          </w:tcPr>
          <w:p w14:paraId="3DFB606C">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符合第二章“供应商须知”第1.</w:t>
            </w:r>
            <w:r>
              <w:rPr>
                <w:rFonts w:hint="eastAsia" w:ascii="宋体" w:hAnsi="宋体" w:eastAsia="宋体" w:cs="宋体"/>
                <w:color w:val="auto"/>
                <w:kern w:val="0"/>
                <w:szCs w:val="21"/>
                <w:lang w:val="en-US" w:eastAsia="zh-CN"/>
              </w:rPr>
              <w:t>4</w:t>
            </w:r>
            <w:r>
              <w:rPr>
                <w:rFonts w:hint="eastAsia" w:ascii="宋体" w:hAnsi="宋体" w:eastAsia="宋体" w:cs="宋体"/>
                <w:color w:val="auto"/>
                <w:kern w:val="0"/>
                <w:szCs w:val="21"/>
              </w:rPr>
              <w:t>.3项规定</w:t>
            </w:r>
          </w:p>
        </w:tc>
      </w:tr>
      <w:tr w14:paraId="098D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50AF1DDB">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637" w:type="dxa"/>
            <w:vMerge w:val="continue"/>
            <w:noWrap w:val="0"/>
            <w:vAlign w:val="center"/>
          </w:tcPr>
          <w:p w14:paraId="6EF45B8E">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2424" w:type="dxa"/>
            <w:noWrap w:val="0"/>
            <w:vAlign w:val="center"/>
          </w:tcPr>
          <w:p w14:paraId="7A34ED27">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磋商有效期</w:t>
            </w:r>
          </w:p>
        </w:tc>
        <w:tc>
          <w:tcPr>
            <w:tcW w:w="5244" w:type="dxa"/>
            <w:noWrap w:val="0"/>
            <w:vAlign w:val="center"/>
          </w:tcPr>
          <w:p w14:paraId="5EAAC3CC">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符合第二章“供应商须知”第3.</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rPr>
              <w:t>.1项规定</w:t>
            </w:r>
          </w:p>
        </w:tc>
      </w:tr>
      <w:tr w14:paraId="2EF0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83" w:type="dxa"/>
            <w:vMerge w:val="continue"/>
            <w:noWrap w:val="0"/>
            <w:vAlign w:val="center"/>
          </w:tcPr>
          <w:p w14:paraId="63966F2D">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637" w:type="dxa"/>
            <w:vMerge w:val="continue"/>
            <w:noWrap w:val="0"/>
            <w:vAlign w:val="center"/>
          </w:tcPr>
          <w:p w14:paraId="70B87E81">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rPr>
            </w:pPr>
          </w:p>
        </w:tc>
        <w:tc>
          <w:tcPr>
            <w:tcW w:w="2424" w:type="dxa"/>
            <w:shd w:val="clear" w:color="auto" w:fill="auto"/>
            <w:noWrap w:val="0"/>
            <w:vAlign w:val="center"/>
          </w:tcPr>
          <w:p w14:paraId="44A25CBE">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是否存在严重失信主体</w:t>
            </w:r>
          </w:p>
        </w:tc>
        <w:tc>
          <w:tcPr>
            <w:tcW w:w="5244" w:type="dxa"/>
            <w:shd w:val="clear" w:color="auto" w:fill="auto"/>
            <w:noWrap w:val="0"/>
            <w:vAlign w:val="center"/>
          </w:tcPr>
          <w:p w14:paraId="2C7DD2DD">
            <w:pPr>
              <w:keepNext w:val="0"/>
              <w:keepLines w:val="0"/>
              <w:pageBreakBefore w:val="0"/>
              <w:suppressLineNumbers w:val="0"/>
              <w:kinsoku/>
              <w:wordWrap w:val="0"/>
              <w:overflowPunct/>
              <w:bidi w:val="0"/>
              <w:spacing w:before="72" w:beforeLines="30" w:beforeAutospacing="0" w:after="0" w:afterAutospacing="0" w:line="288" w:lineRule="auto"/>
              <w:ind w:left="42" w:leftChars="20" w:right="42" w:rightChars="20"/>
              <w:textAlignment w:val="top"/>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根据《关于在政府采购活动中查询及使用信用记录有关问题的通知》财库【2016】125号文件和豫财购【2016】15号文件的规定，供应商应提供“信用中国"网站(www.creditchina.gov.cn)查询“失信被执行人”“重大税收违法失信主体”和“政府采购严重违法失信行为记录名单”；中国政府采购网(www.ccgp.gov.cn)查询“政府采购严重违法失信行为记录名单"渠道查询自身信用记录，提供查询网页截图，查询截止时点为：从公告发布之日起至投标截止之日止</w:t>
            </w:r>
          </w:p>
        </w:tc>
      </w:tr>
    </w:tbl>
    <w:p w14:paraId="7604E826">
      <w:pPr>
        <w:pStyle w:val="69"/>
        <w:pageBreakBefore w:val="0"/>
        <w:kinsoku/>
        <w:wordWrap w:val="0"/>
        <w:overflowPunct/>
        <w:bidi w:val="0"/>
        <w:rPr>
          <w:rFonts w:hint="eastAsia" w:ascii="宋体" w:hAnsi="宋体" w:eastAsia="宋体" w:cs="宋体"/>
          <w:color w:val="auto"/>
        </w:rPr>
        <w:sectPr>
          <w:pgSz w:w="11906" w:h="16838"/>
          <w:pgMar w:top="1418" w:right="1418" w:bottom="1418" w:left="1418" w:header="851" w:footer="850" w:gutter="0"/>
          <w:cols w:space="720" w:num="1"/>
          <w:docGrid w:linePitch="312" w:charSpace="0"/>
        </w:sectPr>
      </w:pPr>
    </w:p>
    <w:tbl>
      <w:tblPr>
        <w:tblStyle w:val="51"/>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209"/>
        <w:gridCol w:w="1121"/>
        <w:gridCol w:w="6229"/>
      </w:tblGrid>
      <w:tr w14:paraId="64E5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gridSpan w:val="2"/>
            <w:noWrap w:val="0"/>
            <w:vAlign w:val="center"/>
          </w:tcPr>
          <w:p w14:paraId="497352F9">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color w:val="auto"/>
                <w:kern w:val="0"/>
                <w:szCs w:val="21"/>
                <w:highlight w:val="none"/>
              </w:rPr>
            </w:pPr>
            <w:bookmarkStart w:id="746" w:name="_Toc19375"/>
            <w:bookmarkStart w:id="747" w:name="_Toc18239"/>
            <w:bookmarkStart w:id="748" w:name="_Toc12267"/>
            <w:r>
              <w:rPr>
                <w:rFonts w:hint="eastAsia" w:ascii="宋体" w:hAnsi="宋体" w:eastAsia="宋体" w:cs="宋体"/>
                <w:b/>
                <w:color w:val="auto"/>
                <w:kern w:val="0"/>
                <w:szCs w:val="21"/>
                <w:highlight w:val="none"/>
              </w:rPr>
              <w:t>2.2</w:t>
            </w:r>
          </w:p>
        </w:tc>
        <w:tc>
          <w:tcPr>
            <w:tcW w:w="1121" w:type="dxa"/>
            <w:noWrap w:val="0"/>
            <w:vAlign w:val="center"/>
          </w:tcPr>
          <w:p w14:paraId="592BFCD5">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分值构成（100分）</w:t>
            </w:r>
          </w:p>
        </w:tc>
        <w:tc>
          <w:tcPr>
            <w:tcW w:w="6229" w:type="dxa"/>
            <w:noWrap w:val="0"/>
            <w:vAlign w:val="center"/>
          </w:tcPr>
          <w:p w14:paraId="177F213C">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lang w:val="en-US" w:eastAsia="zh-CN"/>
              </w:rPr>
              <w:t>0</w:t>
            </w:r>
            <w:r>
              <w:rPr>
                <w:rFonts w:hint="eastAsia" w:ascii="宋体" w:hAnsi="宋体" w:eastAsia="宋体" w:cs="宋体"/>
                <w:b/>
                <w:bCs/>
                <w:color w:val="auto"/>
                <w:szCs w:val="21"/>
                <w:highlight w:val="none"/>
              </w:rPr>
              <w:t>分</w:t>
            </w:r>
          </w:p>
          <w:p w14:paraId="3660A7B1">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技术部分</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40</w:t>
            </w:r>
            <w:r>
              <w:rPr>
                <w:rFonts w:hint="eastAsia" w:ascii="宋体" w:hAnsi="宋体" w:eastAsia="宋体" w:cs="宋体"/>
                <w:b/>
                <w:bCs/>
                <w:color w:val="auto"/>
                <w:szCs w:val="21"/>
                <w:highlight w:val="none"/>
              </w:rPr>
              <w:t>分</w:t>
            </w:r>
          </w:p>
          <w:p w14:paraId="014BBBB1">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rPr>
                <w:rFonts w:hint="eastAsia" w:ascii="宋体" w:hAnsi="宋体" w:eastAsia="宋体" w:cs="宋体"/>
                <w:b/>
                <w:color w:val="auto"/>
                <w:kern w:val="0"/>
                <w:szCs w:val="21"/>
                <w:highlight w:val="none"/>
              </w:rPr>
            </w:pPr>
            <w:r>
              <w:rPr>
                <w:rFonts w:hint="eastAsia" w:ascii="宋体" w:hAnsi="宋体" w:eastAsia="宋体" w:cs="宋体"/>
                <w:color w:val="auto"/>
                <w:szCs w:val="21"/>
                <w:highlight w:val="none"/>
              </w:rPr>
              <w:t>综合部分：</w:t>
            </w:r>
            <w:r>
              <w:rPr>
                <w:rFonts w:hint="eastAsia" w:ascii="宋体" w:hAnsi="宋体" w:cs="宋体"/>
                <w:b/>
                <w:bCs/>
                <w:color w:val="auto"/>
                <w:szCs w:val="21"/>
                <w:highlight w:val="none"/>
                <w:lang w:val="en-US" w:eastAsia="zh-CN"/>
              </w:rPr>
              <w:t>30</w:t>
            </w:r>
            <w:r>
              <w:rPr>
                <w:rFonts w:hint="eastAsia" w:ascii="宋体" w:hAnsi="宋体" w:eastAsia="宋体" w:cs="宋体"/>
                <w:b/>
                <w:bCs/>
                <w:color w:val="auto"/>
                <w:szCs w:val="21"/>
                <w:highlight w:val="none"/>
                <w:lang w:val="en-US" w:eastAsia="zh-CN"/>
              </w:rPr>
              <w:t>分</w:t>
            </w:r>
          </w:p>
        </w:tc>
      </w:tr>
      <w:tr w14:paraId="6220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gridSpan w:val="2"/>
            <w:noWrap w:val="0"/>
            <w:vAlign w:val="center"/>
          </w:tcPr>
          <w:p w14:paraId="3EB994A1">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条款号</w:t>
            </w:r>
          </w:p>
        </w:tc>
        <w:tc>
          <w:tcPr>
            <w:tcW w:w="1121" w:type="dxa"/>
            <w:noWrap w:val="0"/>
            <w:vAlign w:val="center"/>
          </w:tcPr>
          <w:p w14:paraId="51F3AC39">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评分因素</w:t>
            </w:r>
          </w:p>
        </w:tc>
        <w:tc>
          <w:tcPr>
            <w:tcW w:w="6229" w:type="dxa"/>
            <w:noWrap w:val="0"/>
            <w:vAlign w:val="center"/>
          </w:tcPr>
          <w:p w14:paraId="0A88EBE9">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主要评审内容</w:t>
            </w:r>
          </w:p>
        </w:tc>
      </w:tr>
      <w:tr w14:paraId="550D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noWrap w:val="0"/>
            <w:vAlign w:val="center"/>
          </w:tcPr>
          <w:p w14:paraId="3F5FF0E8">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2.2（1）</w:t>
            </w:r>
          </w:p>
        </w:tc>
        <w:tc>
          <w:tcPr>
            <w:tcW w:w="1209" w:type="dxa"/>
            <w:noWrap w:val="0"/>
            <w:vAlign w:val="center"/>
          </w:tcPr>
          <w:p w14:paraId="11C3A849">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center"/>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商务部分（</w:t>
            </w:r>
            <w:r>
              <w:rPr>
                <w:rFonts w:hint="eastAsia" w:ascii="宋体" w:hAnsi="宋体" w:cs="宋体"/>
                <w:b/>
                <w:bCs/>
                <w:color w:val="auto"/>
                <w:kern w:val="0"/>
                <w:szCs w:val="21"/>
                <w:highlight w:val="none"/>
                <w:lang w:val="en-US" w:eastAsia="zh-CN"/>
              </w:rPr>
              <w:t>3</w:t>
            </w:r>
            <w:r>
              <w:rPr>
                <w:rFonts w:hint="eastAsia" w:ascii="宋体" w:hAnsi="宋体" w:eastAsia="宋体" w:cs="宋体"/>
                <w:b/>
                <w:bCs/>
                <w:color w:val="auto"/>
                <w:kern w:val="0"/>
                <w:szCs w:val="21"/>
                <w:highlight w:val="none"/>
                <w:lang w:val="en-US" w:eastAsia="zh-CN"/>
              </w:rPr>
              <w:t>0</w:t>
            </w:r>
            <w:r>
              <w:rPr>
                <w:rFonts w:hint="eastAsia" w:ascii="宋体" w:hAnsi="宋体" w:eastAsia="宋体" w:cs="宋体"/>
                <w:b/>
                <w:bCs/>
                <w:color w:val="auto"/>
                <w:kern w:val="0"/>
                <w:szCs w:val="21"/>
                <w:highlight w:val="none"/>
              </w:rPr>
              <w:t>分）</w:t>
            </w:r>
          </w:p>
        </w:tc>
        <w:tc>
          <w:tcPr>
            <w:tcW w:w="1121" w:type="dxa"/>
            <w:noWrap w:val="0"/>
            <w:vAlign w:val="center"/>
          </w:tcPr>
          <w:p w14:paraId="3D9EB142">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投标报价</w:t>
            </w:r>
          </w:p>
          <w:p w14:paraId="778764F8">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w:t>
            </w:r>
            <w:r>
              <w:rPr>
                <w:rFonts w:hint="eastAsia" w:ascii="宋体" w:hAnsi="宋体" w:eastAsia="宋体" w:cs="宋体"/>
                <w:b w:val="0"/>
                <w:bCs w:val="0"/>
                <w:color w:val="auto"/>
                <w:kern w:val="0"/>
                <w:szCs w:val="21"/>
                <w:highlight w:val="none"/>
                <w:lang w:val="en-US" w:eastAsia="zh-CN"/>
              </w:rPr>
              <w:t>30</w:t>
            </w:r>
            <w:r>
              <w:rPr>
                <w:rFonts w:hint="eastAsia" w:ascii="宋体" w:hAnsi="宋体" w:eastAsia="宋体" w:cs="宋体"/>
                <w:b w:val="0"/>
                <w:bCs w:val="0"/>
                <w:color w:val="auto"/>
                <w:kern w:val="0"/>
                <w:szCs w:val="21"/>
                <w:highlight w:val="none"/>
              </w:rPr>
              <w:t>分）</w:t>
            </w:r>
          </w:p>
        </w:tc>
        <w:tc>
          <w:tcPr>
            <w:tcW w:w="6229" w:type="dxa"/>
            <w:noWrap w:val="0"/>
            <w:vAlign w:val="center"/>
          </w:tcPr>
          <w:p w14:paraId="1D5A8280">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Cs w:val="21"/>
                <w:highlight w:val="none"/>
                <w:lang w:val="en-US" w:eastAsia="zh-CN"/>
              </w:rPr>
            </w:pPr>
            <w:r>
              <w:rPr>
                <w:rFonts w:hint="eastAsia" w:ascii="宋体" w:hAnsi="宋体" w:eastAsia="宋体" w:cs="宋体"/>
                <w:b w:val="0"/>
                <w:bCs w:val="0"/>
                <w:color w:val="auto"/>
                <w:kern w:val="0"/>
                <w:szCs w:val="21"/>
                <w:highlight w:val="none"/>
                <w:lang w:val="en-US" w:eastAsia="zh-CN"/>
              </w:rPr>
              <w:t>价格分采用低价优先法计算，即满足招标文件要求且最后报价最低的供应商的价格为评标基准价，其价格分为满分，其他供应商的价格分按下列公式计算：</w:t>
            </w:r>
          </w:p>
          <w:p w14:paraId="095523BC">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Cs w:val="21"/>
                <w:highlight w:val="none"/>
                <w:lang w:val="en-US" w:eastAsia="zh-CN"/>
              </w:rPr>
            </w:pPr>
            <w:r>
              <w:rPr>
                <w:rFonts w:hint="eastAsia" w:ascii="宋体" w:hAnsi="宋体" w:eastAsia="宋体" w:cs="宋体"/>
                <w:b w:val="0"/>
                <w:bCs w:val="0"/>
                <w:color w:val="auto"/>
                <w:kern w:val="0"/>
                <w:szCs w:val="21"/>
                <w:highlight w:val="none"/>
                <w:lang w:val="en-US" w:eastAsia="zh-CN"/>
              </w:rPr>
              <w:t>投标报价得分=（评标基准价/投标报价）×30</w:t>
            </w:r>
          </w:p>
          <w:p w14:paraId="5C135FDA">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Cs w:val="21"/>
                <w:highlight w:val="none"/>
                <w:lang w:val="en-US" w:eastAsia="zh-CN"/>
              </w:rPr>
            </w:pPr>
            <w:r>
              <w:rPr>
                <w:rFonts w:hint="eastAsia" w:ascii="宋体" w:hAnsi="宋体" w:eastAsia="宋体" w:cs="宋体"/>
                <w:b w:val="0"/>
                <w:bCs w:val="0"/>
                <w:color w:val="auto"/>
                <w:kern w:val="0"/>
                <w:szCs w:val="21"/>
                <w:highlight w:val="none"/>
                <w:lang w:val="en-US" w:eastAsia="zh-CN"/>
              </w:rPr>
              <w:t>注：评标委员会评审中发现供应商的报价明显低于其他通过符合性审查供应商的报价且该供应商的技术等主要指标有大量或明显故意不符，可能影响服务质量或者项目履约的，应当要求其在合理的时间内提供书面说明，供应商不能证明其报价合理性的，评标委员会应当将其作为无效投标处理；</w:t>
            </w:r>
          </w:p>
        </w:tc>
      </w:tr>
      <w:tr w14:paraId="3D1E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Merge w:val="restart"/>
            <w:noWrap w:val="0"/>
            <w:vAlign w:val="center"/>
          </w:tcPr>
          <w:p w14:paraId="21CAED8B">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p>
        </w:tc>
        <w:tc>
          <w:tcPr>
            <w:tcW w:w="1209" w:type="dxa"/>
            <w:vMerge w:val="restart"/>
            <w:noWrap w:val="0"/>
            <w:vAlign w:val="center"/>
          </w:tcPr>
          <w:p w14:paraId="6EE13D36">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技术部分（</w:t>
            </w:r>
            <w:r>
              <w:rPr>
                <w:rFonts w:hint="eastAsia" w:ascii="宋体" w:hAnsi="宋体" w:eastAsia="宋体" w:cs="宋体"/>
                <w:b/>
                <w:bCs/>
                <w:color w:val="auto"/>
                <w:kern w:val="0"/>
                <w:sz w:val="21"/>
                <w:szCs w:val="21"/>
                <w:highlight w:val="none"/>
                <w:lang w:val="en-US" w:eastAsia="zh-CN"/>
              </w:rPr>
              <w:t>4</w:t>
            </w:r>
            <w:r>
              <w:rPr>
                <w:rFonts w:hint="eastAsia" w:ascii="宋体" w:hAnsi="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rPr>
              <w:t>分）</w:t>
            </w:r>
          </w:p>
        </w:tc>
        <w:tc>
          <w:tcPr>
            <w:tcW w:w="1121" w:type="dxa"/>
            <w:noWrap w:val="0"/>
            <w:vAlign w:val="center"/>
          </w:tcPr>
          <w:p w14:paraId="7A1FA1DB">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作业</w:t>
            </w:r>
            <w:r>
              <w:rPr>
                <w:rFonts w:hint="eastAsia" w:ascii="宋体" w:hAnsi="宋体" w:eastAsia="宋体" w:cs="宋体"/>
                <w:b w:val="0"/>
                <w:bCs w:val="0"/>
                <w:color w:val="auto"/>
                <w:kern w:val="0"/>
                <w:sz w:val="21"/>
                <w:szCs w:val="21"/>
                <w:highlight w:val="none"/>
              </w:rPr>
              <w:t>方案和技术措施（</w:t>
            </w:r>
            <w:r>
              <w:rPr>
                <w:rFonts w:hint="eastAsia" w:ascii="宋体" w:hAnsi="宋体" w:cs="宋体"/>
                <w:b w:val="0"/>
                <w:bCs w:val="0"/>
                <w:color w:val="auto"/>
                <w:kern w:val="0"/>
                <w:sz w:val="21"/>
                <w:szCs w:val="21"/>
                <w:highlight w:val="none"/>
                <w:lang w:eastAsia="zh-CN"/>
              </w:rPr>
              <w:t>7分</w:t>
            </w:r>
            <w:r>
              <w:rPr>
                <w:rFonts w:hint="eastAsia" w:ascii="宋体" w:hAnsi="宋体" w:eastAsia="宋体" w:cs="宋体"/>
                <w:b w:val="0"/>
                <w:bCs w:val="0"/>
                <w:color w:val="auto"/>
                <w:kern w:val="0"/>
                <w:sz w:val="21"/>
                <w:szCs w:val="21"/>
                <w:highlight w:val="none"/>
              </w:rPr>
              <w:t>）</w:t>
            </w:r>
          </w:p>
        </w:tc>
        <w:tc>
          <w:tcPr>
            <w:tcW w:w="6229" w:type="dxa"/>
            <w:noWrap w:val="0"/>
            <w:vAlign w:val="center"/>
          </w:tcPr>
          <w:p w14:paraId="69D4FE67">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第一档：</w:t>
            </w:r>
            <w:r>
              <w:rPr>
                <w:rFonts w:hint="eastAsia" w:ascii="宋体" w:hAnsi="宋体" w:eastAsia="宋体" w:cs="宋体"/>
                <w:b w:val="0"/>
                <w:bCs w:val="0"/>
                <w:color w:val="auto"/>
                <w:kern w:val="0"/>
                <w:sz w:val="21"/>
                <w:szCs w:val="21"/>
                <w:highlight w:val="none"/>
                <w:lang w:val="en-US" w:eastAsia="zh-CN"/>
              </w:rPr>
              <w:t>（含项目特点、作业重点与难点及绿色作业）总体安排合理，运用先进、合理的作业工艺、作业机械；对作业难点有先进和合理的建议</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7分</w:t>
            </w:r>
            <w:r>
              <w:rPr>
                <w:rFonts w:hint="eastAsia" w:ascii="宋体" w:hAnsi="宋体" w:eastAsia="宋体" w:cs="宋体"/>
                <w:b w:val="0"/>
                <w:bCs w:val="0"/>
                <w:color w:val="auto"/>
                <w:kern w:val="0"/>
                <w:sz w:val="21"/>
                <w:szCs w:val="21"/>
                <w:highlight w:val="none"/>
                <w:lang w:val="en-US" w:eastAsia="zh-CN"/>
              </w:rPr>
              <w:t>；</w:t>
            </w:r>
          </w:p>
          <w:p w14:paraId="3438566A">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第二档：</w:t>
            </w:r>
            <w:r>
              <w:rPr>
                <w:rFonts w:hint="eastAsia" w:ascii="宋体" w:hAnsi="宋体" w:eastAsia="宋体" w:cs="宋体"/>
                <w:b w:val="0"/>
                <w:bCs w:val="0"/>
                <w:color w:val="auto"/>
                <w:kern w:val="0"/>
                <w:sz w:val="21"/>
                <w:szCs w:val="21"/>
                <w:highlight w:val="none"/>
                <w:lang w:val="en-US" w:eastAsia="zh-CN"/>
              </w:rPr>
              <w:t>（含项目特点、作业重点与难点及绿色作业）总体安排合理，作业工艺、作业机械合理、可行；对作业难点有合理的建议</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得5分；</w:t>
            </w:r>
          </w:p>
          <w:p w14:paraId="2E38063D">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第三档：</w:t>
            </w:r>
            <w:r>
              <w:rPr>
                <w:rFonts w:hint="eastAsia" w:ascii="宋体" w:hAnsi="宋体" w:eastAsia="宋体" w:cs="宋体"/>
                <w:b w:val="0"/>
                <w:bCs w:val="0"/>
                <w:color w:val="auto"/>
                <w:kern w:val="0"/>
                <w:sz w:val="21"/>
                <w:szCs w:val="21"/>
                <w:highlight w:val="none"/>
                <w:lang w:val="en-US" w:eastAsia="zh-CN"/>
              </w:rPr>
              <w:t>（含项目特点、作业重点与难点及绿色作业）总体安排基本合理，作业工艺、作业机械基本合理、可行</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得3分</w:t>
            </w:r>
            <w:r>
              <w:rPr>
                <w:rFonts w:hint="eastAsia" w:ascii="宋体" w:hAnsi="宋体" w:cs="宋体"/>
                <w:b w:val="0"/>
                <w:bCs w:val="0"/>
                <w:color w:val="auto"/>
                <w:kern w:val="0"/>
                <w:sz w:val="21"/>
                <w:szCs w:val="21"/>
                <w:highlight w:val="none"/>
                <w:lang w:val="en-US" w:eastAsia="zh-CN"/>
              </w:rPr>
              <w:t>；</w:t>
            </w:r>
          </w:p>
          <w:p w14:paraId="0DF78FA6">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第四档：</w:t>
            </w:r>
            <w:r>
              <w:rPr>
                <w:rFonts w:hint="eastAsia" w:ascii="宋体" w:hAnsi="宋体" w:eastAsia="宋体" w:cs="宋体"/>
                <w:b w:val="0"/>
                <w:bCs w:val="0"/>
                <w:color w:val="auto"/>
                <w:kern w:val="0"/>
                <w:sz w:val="21"/>
                <w:szCs w:val="21"/>
                <w:highlight w:val="none"/>
                <w:lang w:val="en-US" w:eastAsia="zh-CN"/>
              </w:rPr>
              <w:t>（含项目特点、作业重点与难点及绿色作业）</w:t>
            </w:r>
            <w:r>
              <w:rPr>
                <w:rFonts w:hint="eastAsia" w:ascii="宋体" w:hAnsi="宋体" w:cs="宋体"/>
                <w:b w:val="0"/>
                <w:bCs w:val="0"/>
                <w:color w:val="auto"/>
                <w:kern w:val="0"/>
                <w:sz w:val="21"/>
                <w:szCs w:val="21"/>
                <w:highlight w:val="none"/>
                <w:lang w:val="en-US" w:eastAsia="zh-CN"/>
              </w:rPr>
              <w:t>有</w:t>
            </w:r>
            <w:r>
              <w:rPr>
                <w:rFonts w:hint="eastAsia" w:ascii="宋体" w:hAnsi="宋体" w:eastAsia="宋体" w:cs="宋体"/>
                <w:b w:val="0"/>
                <w:bCs w:val="0"/>
                <w:color w:val="auto"/>
                <w:kern w:val="0"/>
                <w:sz w:val="21"/>
                <w:szCs w:val="21"/>
                <w:highlight w:val="none"/>
                <w:lang w:val="en-US" w:eastAsia="zh-CN"/>
              </w:rPr>
              <w:t>总体安排</w:t>
            </w:r>
            <w:r>
              <w:rPr>
                <w:rFonts w:hint="eastAsia" w:ascii="宋体" w:hAnsi="宋体" w:cs="宋体"/>
                <w:b w:val="0"/>
                <w:bCs w:val="0"/>
                <w:color w:val="auto"/>
                <w:kern w:val="0"/>
                <w:sz w:val="21"/>
                <w:szCs w:val="21"/>
                <w:highlight w:val="none"/>
                <w:lang w:val="en-US" w:eastAsia="zh-CN"/>
              </w:rPr>
              <w:t>，但不合理</w:t>
            </w:r>
            <w:r>
              <w:rPr>
                <w:rFonts w:hint="eastAsia" w:ascii="宋体" w:hAnsi="宋体" w:eastAsia="宋体" w:cs="宋体"/>
                <w:b w:val="0"/>
                <w:bCs w:val="0"/>
                <w:color w:val="auto"/>
                <w:kern w:val="0"/>
                <w:sz w:val="21"/>
                <w:szCs w:val="21"/>
                <w:highlight w:val="none"/>
                <w:lang w:val="en-US" w:eastAsia="zh-CN"/>
              </w:rPr>
              <w:t>，作业工艺、作业机械</w:t>
            </w:r>
            <w:r>
              <w:rPr>
                <w:rFonts w:hint="eastAsia" w:ascii="宋体" w:hAnsi="宋体" w:cs="宋体"/>
                <w:b w:val="0"/>
                <w:bCs w:val="0"/>
                <w:color w:val="auto"/>
                <w:kern w:val="0"/>
                <w:sz w:val="21"/>
                <w:szCs w:val="21"/>
                <w:highlight w:val="none"/>
                <w:lang w:val="en-US" w:eastAsia="zh-CN"/>
              </w:rPr>
              <w:t>不合理，</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val="en-US" w:eastAsia="zh-CN"/>
              </w:rPr>
              <w:t>分</w:t>
            </w:r>
            <w:r>
              <w:rPr>
                <w:rFonts w:hint="eastAsia" w:ascii="宋体" w:hAnsi="宋体" w:cs="宋体"/>
                <w:b w:val="0"/>
                <w:bCs w:val="0"/>
                <w:color w:val="auto"/>
                <w:kern w:val="0"/>
                <w:sz w:val="21"/>
                <w:szCs w:val="21"/>
                <w:highlight w:val="none"/>
                <w:lang w:val="en-US" w:eastAsia="zh-CN"/>
              </w:rPr>
              <w:t>；</w:t>
            </w:r>
          </w:p>
          <w:p w14:paraId="0CB1170B">
            <w:pPr>
              <w:pStyle w:val="69"/>
              <w:keepNext w:val="0"/>
              <w:keepLines w:val="0"/>
              <w:suppressLineNumbers w:val="0"/>
              <w:spacing w:before="0" w:beforeAutospacing="0" w:after="0" w:afterAutospacing="0"/>
              <w:ind w:left="0" w:right="0"/>
              <w:rPr>
                <w:rFonts w:hint="default"/>
                <w:color w:val="auto"/>
                <w:lang w:val="en-US" w:eastAsia="zh-CN"/>
              </w:rPr>
            </w:pPr>
            <w:r>
              <w:rPr>
                <w:rFonts w:hint="eastAsia" w:cs="宋体"/>
                <w:b/>
                <w:bCs/>
                <w:color w:val="auto"/>
                <w:kern w:val="0"/>
                <w:sz w:val="21"/>
                <w:szCs w:val="21"/>
                <w:highlight w:val="none"/>
                <w:lang w:val="en-US" w:eastAsia="zh-CN"/>
              </w:rPr>
              <w:t>缺项不得分</w:t>
            </w:r>
          </w:p>
        </w:tc>
      </w:tr>
      <w:tr w14:paraId="43D4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Merge w:val="continue"/>
            <w:noWrap w:val="0"/>
            <w:vAlign w:val="center"/>
          </w:tcPr>
          <w:p w14:paraId="2F304594">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p>
        </w:tc>
        <w:tc>
          <w:tcPr>
            <w:tcW w:w="1209" w:type="dxa"/>
            <w:vMerge w:val="continue"/>
            <w:noWrap w:val="0"/>
            <w:vAlign w:val="center"/>
          </w:tcPr>
          <w:p w14:paraId="7B041261">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bCs/>
                <w:color w:val="auto"/>
                <w:kern w:val="0"/>
                <w:sz w:val="21"/>
                <w:szCs w:val="21"/>
                <w:highlight w:val="none"/>
              </w:rPr>
            </w:pPr>
          </w:p>
        </w:tc>
        <w:tc>
          <w:tcPr>
            <w:tcW w:w="1121" w:type="dxa"/>
            <w:noWrap w:val="0"/>
            <w:vAlign w:val="center"/>
          </w:tcPr>
          <w:p w14:paraId="602BE939">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质量管理体系与措施（</w:t>
            </w:r>
            <w:r>
              <w:rPr>
                <w:rFonts w:hint="eastAsia" w:ascii="宋体" w:hAnsi="宋体" w:cs="宋体"/>
                <w:b w:val="0"/>
                <w:bCs w:val="0"/>
                <w:color w:val="auto"/>
                <w:kern w:val="0"/>
                <w:sz w:val="21"/>
                <w:szCs w:val="21"/>
                <w:highlight w:val="none"/>
                <w:lang w:eastAsia="zh-CN"/>
              </w:rPr>
              <w:t>7分</w:t>
            </w:r>
            <w:r>
              <w:rPr>
                <w:rFonts w:hint="eastAsia" w:ascii="宋体" w:hAnsi="宋体" w:eastAsia="宋体" w:cs="宋体"/>
                <w:b w:val="0"/>
                <w:bCs w:val="0"/>
                <w:color w:val="auto"/>
                <w:kern w:val="0"/>
                <w:sz w:val="21"/>
                <w:szCs w:val="21"/>
                <w:highlight w:val="none"/>
              </w:rPr>
              <w:t>）</w:t>
            </w:r>
          </w:p>
        </w:tc>
        <w:tc>
          <w:tcPr>
            <w:tcW w:w="6229" w:type="dxa"/>
            <w:noWrap w:val="0"/>
            <w:vAlign w:val="center"/>
          </w:tcPr>
          <w:p w14:paraId="0FD8CDE4">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第一档：</w:t>
            </w:r>
            <w:r>
              <w:rPr>
                <w:rFonts w:hint="eastAsia" w:ascii="宋体" w:hAnsi="宋体" w:eastAsia="宋体" w:cs="宋体"/>
                <w:b w:val="0"/>
                <w:bCs w:val="0"/>
                <w:color w:val="auto"/>
                <w:kern w:val="0"/>
                <w:sz w:val="21"/>
                <w:szCs w:val="21"/>
                <w:highlight w:val="none"/>
                <w:lang w:val="en-US" w:eastAsia="zh-CN"/>
              </w:rPr>
              <w:t>组织机构形式合理，有完善的指挥系统、质量监控系统、联络协调系统，对项目提出先进、可行、具体的保证措施。主体质量保证措施完整得力、经济、安全、切实，可行</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7分</w:t>
            </w:r>
            <w:r>
              <w:rPr>
                <w:rFonts w:hint="eastAsia" w:ascii="宋体" w:hAnsi="宋体" w:eastAsia="宋体" w:cs="宋体"/>
                <w:b w:val="0"/>
                <w:bCs w:val="0"/>
                <w:color w:val="auto"/>
                <w:kern w:val="0"/>
                <w:sz w:val="21"/>
                <w:szCs w:val="21"/>
                <w:highlight w:val="none"/>
                <w:lang w:val="en-US" w:eastAsia="zh-CN"/>
              </w:rPr>
              <w:t>；</w:t>
            </w:r>
          </w:p>
          <w:p w14:paraId="3AD9822F">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第二档：</w:t>
            </w:r>
            <w:r>
              <w:rPr>
                <w:rFonts w:hint="eastAsia" w:ascii="宋体" w:hAnsi="宋体" w:eastAsia="宋体" w:cs="宋体"/>
                <w:b w:val="0"/>
                <w:bCs w:val="0"/>
                <w:color w:val="auto"/>
                <w:kern w:val="0"/>
                <w:sz w:val="21"/>
                <w:szCs w:val="21"/>
                <w:highlight w:val="none"/>
                <w:lang w:val="en-US" w:eastAsia="zh-CN"/>
              </w:rPr>
              <w:t>组织机构形式基本合理，指挥系统、质量监控系统、联络协调系统，具体措施可行。主体质量保证措施经济、安全、基本可行，得5分；</w:t>
            </w:r>
          </w:p>
          <w:p w14:paraId="55150148">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第三档：</w:t>
            </w:r>
            <w:r>
              <w:rPr>
                <w:rFonts w:hint="eastAsia" w:ascii="宋体" w:hAnsi="宋体" w:eastAsia="宋体" w:cs="宋体"/>
                <w:b w:val="0"/>
                <w:bCs w:val="0"/>
                <w:color w:val="auto"/>
                <w:kern w:val="0"/>
                <w:sz w:val="21"/>
                <w:szCs w:val="21"/>
                <w:highlight w:val="none"/>
                <w:lang w:val="en-US" w:eastAsia="zh-CN"/>
              </w:rPr>
              <w:t>组织机构形式基本合理，有基本完善的指挥系统、质量监控系统、联络协调系统。主体质量保证措施基本完整得力、经济、安全、切实可行，得3分；</w:t>
            </w:r>
          </w:p>
          <w:p w14:paraId="0D10E4EF">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第四档：</w:t>
            </w:r>
            <w:r>
              <w:rPr>
                <w:rFonts w:hint="eastAsia" w:ascii="宋体" w:hAnsi="宋体" w:eastAsia="宋体" w:cs="宋体"/>
                <w:b w:val="0"/>
                <w:bCs w:val="0"/>
                <w:color w:val="auto"/>
                <w:kern w:val="0"/>
                <w:sz w:val="21"/>
                <w:szCs w:val="21"/>
                <w:highlight w:val="none"/>
                <w:lang w:val="en-US" w:eastAsia="zh-CN"/>
              </w:rPr>
              <w:t>有基本的指挥系统、质量监控系统、联络协调系统。</w:t>
            </w:r>
            <w:r>
              <w:rPr>
                <w:rFonts w:hint="eastAsia" w:ascii="宋体" w:hAnsi="宋体" w:cs="宋体"/>
                <w:b w:val="0"/>
                <w:bCs w:val="0"/>
                <w:color w:val="auto"/>
                <w:kern w:val="0"/>
                <w:sz w:val="21"/>
                <w:szCs w:val="21"/>
                <w:highlight w:val="none"/>
                <w:lang w:val="en-US" w:eastAsia="zh-CN"/>
              </w:rPr>
              <w:t>有</w:t>
            </w:r>
            <w:r>
              <w:rPr>
                <w:rFonts w:hint="eastAsia" w:ascii="宋体" w:hAnsi="宋体" w:eastAsia="宋体" w:cs="宋体"/>
                <w:b w:val="0"/>
                <w:bCs w:val="0"/>
                <w:color w:val="auto"/>
                <w:kern w:val="0"/>
                <w:sz w:val="21"/>
                <w:szCs w:val="21"/>
                <w:highlight w:val="none"/>
                <w:lang w:val="en-US" w:eastAsia="zh-CN"/>
              </w:rPr>
              <w:t>主体质量保证措施</w:t>
            </w:r>
            <w:r>
              <w:rPr>
                <w:rFonts w:hint="eastAsia" w:ascii="宋体" w:hAnsi="宋体" w:cs="宋体"/>
                <w:b w:val="0"/>
                <w:bCs w:val="0"/>
                <w:color w:val="auto"/>
                <w:kern w:val="0"/>
                <w:sz w:val="21"/>
                <w:szCs w:val="21"/>
                <w:highlight w:val="none"/>
                <w:lang w:val="en-US" w:eastAsia="zh-CN"/>
              </w:rPr>
              <w:t>，但不合理，</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val="en-US" w:eastAsia="zh-CN"/>
              </w:rPr>
              <w:t>分；</w:t>
            </w:r>
          </w:p>
          <w:p w14:paraId="5F130405">
            <w:pPr>
              <w:pStyle w:val="69"/>
              <w:keepNext w:val="0"/>
              <w:keepLines w:val="0"/>
              <w:suppressLineNumbers w:val="0"/>
              <w:spacing w:before="0" w:beforeAutospacing="0" w:after="0" w:afterAutospacing="0"/>
              <w:ind w:left="0" w:right="0"/>
              <w:rPr>
                <w:rFonts w:hint="eastAsia"/>
                <w:color w:val="auto"/>
                <w:lang w:val="en-US" w:eastAsia="zh-CN"/>
              </w:rPr>
            </w:pPr>
            <w:r>
              <w:rPr>
                <w:rFonts w:hint="eastAsia" w:cs="宋体"/>
                <w:b/>
                <w:bCs/>
                <w:color w:val="auto"/>
                <w:kern w:val="0"/>
                <w:sz w:val="21"/>
                <w:szCs w:val="21"/>
                <w:highlight w:val="none"/>
                <w:lang w:val="en-US" w:eastAsia="zh-CN"/>
              </w:rPr>
              <w:t>缺项不得分</w:t>
            </w:r>
          </w:p>
        </w:tc>
      </w:tr>
      <w:tr w14:paraId="239E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Merge w:val="continue"/>
            <w:noWrap w:val="0"/>
            <w:vAlign w:val="center"/>
          </w:tcPr>
          <w:p w14:paraId="5DA22705">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p>
        </w:tc>
        <w:tc>
          <w:tcPr>
            <w:tcW w:w="1209" w:type="dxa"/>
            <w:vMerge w:val="continue"/>
            <w:noWrap w:val="0"/>
            <w:vAlign w:val="center"/>
          </w:tcPr>
          <w:p w14:paraId="16328ACE">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bCs/>
                <w:color w:val="auto"/>
                <w:kern w:val="0"/>
                <w:sz w:val="21"/>
                <w:szCs w:val="21"/>
                <w:highlight w:val="none"/>
              </w:rPr>
            </w:pPr>
          </w:p>
        </w:tc>
        <w:tc>
          <w:tcPr>
            <w:tcW w:w="1121" w:type="dxa"/>
            <w:noWrap w:val="0"/>
            <w:vAlign w:val="center"/>
          </w:tcPr>
          <w:p w14:paraId="5399CC10">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color w:val="auto"/>
                <w:spacing w:val="-17"/>
                <w:sz w:val="21"/>
                <w:szCs w:val="21"/>
                <w:highlight w:val="none"/>
              </w:rPr>
              <w:t>安全管</w:t>
            </w:r>
            <w:r>
              <w:rPr>
                <w:rFonts w:hint="eastAsia" w:ascii="宋体" w:hAnsi="宋体" w:eastAsia="宋体" w:cs="宋体"/>
                <w:color w:val="auto"/>
                <w:spacing w:val="-3"/>
                <w:sz w:val="21"/>
                <w:szCs w:val="21"/>
                <w:highlight w:val="none"/>
              </w:rPr>
              <w:t>理体系与措施（</w:t>
            </w:r>
            <w:r>
              <w:rPr>
                <w:rFonts w:hint="eastAsia" w:ascii="宋体" w:hAnsi="宋体" w:cs="宋体"/>
                <w:color w:val="auto"/>
                <w:spacing w:val="-3"/>
                <w:sz w:val="21"/>
                <w:szCs w:val="21"/>
                <w:highlight w:val="none"/>
                <w:lang w:eastAsia="zh-CN"/>
              </w:rPr>
              <w:t>7分</w:t>
            </w:r>
            <w:r>
              <w:rPr>
                <w:rFonts w:hint="eastAsia" w:ascii="宋体" w:hAnsi="宋体" w:eastAsia="宋体" w:cs="宋体"/>
                <w:color w:val="auto"/>
                <w:spacing w:val="-5"/>
                <w:sz w:val="21"/>
                <w:szCs w:val="21"/>
                <w:highlight w:val="none"/>
              </w:rPr>
              <w:t>）</w:t>
            </w:r>
          </w:p>
        </w:tc>
        <w:tc>
          <w:tcPr>
            <w:tcW w:w="6229" w:type="dxa"/>
            <w:noWrap w:val="0"/>
            <w:vAlign w:val="center"/>
          </w:tcPr>
          <w:p w14:paraId="369C25E5">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第一档：</w:t>
            </w:r>
            <w:r>
              <w:rPr>
                <w:rFonts w:hint="eastAsia" w:ascii="宋体" w:hAnsi="宋体" w:eastAsia="宋体" w:cs="宋体"/>
                <w:b w:val="0"/>
                <w:bCs w:val="0"/>
                <w:color w:val="auto"/>
                <w:kern w:val="0"/>
                <w:sz w:val="21"/>
                <w:szCs w:val="21"/>
                <w:highlight w:val="none"/>
                <w:lang w:val="en-US" w:eastAsia="zh-CN"/>
              </w:rPr>
              <w:t>作业安全生产保障体系健全，安全管理制度完善，安全管理目标具体，全员安全责任制明确，现场安全管理组织机构、人员配备满足国家规定要求。根据项目特点、周边环境和作业工艺，现场重大危险源辨识全面，制定有项目危险性较大的项目清单并明确有相应的安全管理措施。安全技术方案措施科学合理、先进可行</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7分</w:t>
            </w:r>
            <w:r>
              <w:rPr>
                <w:rFonts w:hint="eastAsia" w:ascii="宋体" w:hAnsi="宋体" w:eastAsia="宋体" w:cs="宋体"/>
                <w:b w:val="0"/>
                <w:bCs w:val="0"/>
                <w:color w:val="auto"/>
                <w:kern w:val="0"/>
                <w:sz w:val="21"/>
                <w:szCs w:val="21"/>
                <w:highlight w:val="none"/>
                <w:lang w:val="en-US" w:eastAsia="zh-CN"/>
              </w:rPr>
              <w:t>；</w:t>
            </w:r>
          </w:p>
          <w:p w14:paraId="1F61CFA6">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第二档：</w:t>
            </w:r>
            <w:r>
              <w:rPr>
                <w:rFonts w:hint="eastAsia" w:ascii="宋体" w:hAnsi="宋体" w:eastAsia="宋体" w:cs="宋体"/>
                <w:b w:val="0"/>
                <w:bCs w:val="0"/>
                <w:color w:val="auto"/>
                <w:kern w:val="0"/>
                <w:sz w:val="21"/>
                <w:szCs w:val="21"/>
                <w:highlight w:val="none"/>
                <w:lang w:val="en-US" w:eastAsia="zh-CN"/>
              </w:rPr>
              <w:t>有作业安全生产保障体系、安全责任制和安全管理制度，现场安全管理机构、人员配备满足国家规定。根据项目特点、周边环境和作业工艺，正确识别现场重大危险源并有相应的安全防护管理措施。制定有本项目危险性较大的项目清单和相关专项作业方案（或方案计划），安全技术方案、措施基本可行</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得5分；</w:t>
            </w:r>
          </w:p>
          <w:p w14:paraId="1F93BEE5">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第三档：</w:t>
            </w:r>
            <w:r>
              <w:rPr>
                <w:rFonts w:hint="eastAsia" w:ascii="宋体" w:hAnsi="宋体" w:eastAsia="宋体" w:cs="宋体"/>
                <w:b w:val="0"/>
                <w:bCs w:val="0"/>
                <w:color w:val="auto"/>
                <w:kern w:val="0"/>
                <w:sz w:val="21"/>
                <w:szCs w:val="21"/>
                <w:highlight w:val="none"/>
                <w:lang w:val="en-US" w:eastAsia="zh-CN"/>
              </w:rPr>
              <w:t>作业安全生产保障体系、安全责任制和安全管理制度，现场安全管理机构、人员配备基本满足国家规定。根据项目特点、周边环境和作业工艺，有识别现场重大危险源并有相应的安全防护管理措施。制定的本项目危险性较大的项目清单和相关专项作业方案基本合理，但不是很齐全</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得3分；</w:t>
            </w:r>
          </w:p>
          <w:p w14:paraId="6A80B6CC">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第四档：</w:t>
            </w:r>
            <w:r>
              <w:rPr>
                <w:rFonts w:hint="eastAsia" w:ascii="宋体" w:hAnsi="宋体" w:cs="宋体"/>
                <w:b w:val="0"/>
                <w:bCs w:val="0"/>
                <w:color w:val="auto"/>
                <w:kern w:val="0"/>
                <w:sz w:val="21"/>
                <w:szCs w:val="21"/>
                <w:highlight w:val="none"/>
                <w:lang w:val="en-US" w:eastAsia="zh-CN"/>
              </w:rPr>
              <w:t>有</w:t>
            </w:r>
            <w:r>
              <w:rPr>
                <w:rFonts w:hint="eastAsia" w:ascii="宋体" w:hAnsi="宋体" w:eastAsia="宋体" w:cs="宋体"/>
                <w:b w:val="0"/>
                <w:bCs w:val="0"/>
                <w:color w:val="auto"/>
                <w:kern w:val="0"/>
                <w:sz w:val="21"/>
                <w:szCs w:val="21"/>
                <w:highlight w:val="none"/>
                <w:lang w:val="en-US" w:eastAsia="zh-CN"/>
              </w:rPr>
              <w:t>作业安全生产保障体系、安全责任制和安全管理制度，现场安全管理机构、人员配备满足国家规定</w:t>
            </w:r>
            <w:r>
              <w:rPr>
                <w:rFonts w:hint="eastAsia" w:ascii="宋体" w:hAnsi="宋体" w:cs="宋体"/>
                <w:b w:val="0"/>
                <w:bCs w:val="0"/>
                <w:color w:val="auto"/>
                <w:kern w:val="0"/>
                <w:sz w:val="21"/>
                <w:szCs w:val="21"/>
                <w:highlight w:val="none"/>
                <w:lang w:val="en-US" w:eastAsia="zh-CN"/>
              </w:rPr>
              <w:t>，但措施不得力，</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val="en-US" w:eastAsia="zh-CN"/>
              </w:rPr>
              <w:t>分；</w:t>
            </w:r>
          </w:p>
          <w:p w14:paraId="14C30211">
            <w:pPr>
              <w:pStyle w:val="69"/>
              <w:keepNext w:val="0"/>
              <w:keepLines w:val="0"/>
              <w:suppressLineNumbers w:val="0"/>
              <w:spacing w:before="0" w:beforeAutospacing="0" w:after="0" w:afterAutospacing="0"/>
              <w:ind w:left="0" w:right="0"/>
              <w:rPr>
                <w:rFonts w:hint="eastAsia"/>
                <w:color w:val="auto"/>
                <w:lang w:val="en-US" w:eastAsia="zh-CN"/>
              </w:rPr>
            </w:pPr>
            <w:r>
              <w:rPr>
                <w:rFonts w:hint="eastAsia" w:cs="宋体"/>
                <w:b/>
                <w:bCs/>
                <w:color w:val="auto"/>
                <w:kern w:val="0"/>
                <w:sz w:val="21"/>
                <w:szCs w:val="21"/>
                <w:highlight w:val="none"/>
                <w:lang w:val="en-US" w:eastAsia="zh-CN"/>
              </w:rPr>
              <w:t>缺项不得分</w:t>
            </w:r>
          </w:p>
        </w:tc>
      </w:tr>
      <w:tr w14:paraId="66F3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Merge w:val="continue"/>
            <w:noWrap w:val="0"/>
            <w:vAlign w:val="center"/>
          </w:tcPr>
          <w:p w14:paraId="27030499">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p>
        </w:tc>
        <w:tc>
          <w:tcPr>
            <w:tcW w:w="1209" w:type="dxa"/>
            <w:vMerge w:val="continue"/>
            <w:noWrap w:val="0"/>
            <w:vAlign w:val="center"/>
          </w:tcPr>
          <w:p w14:paraId="6A3CB10D">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bCs/>
                <w:color w:val="auto"/>
                <w:kern w:val="0"/>
                <w:sz w:val="21"/>
                <w:szCs w:val="21"/>
                <w:highlight w:val="none"/>
              </w:rPr>
            </w:pPr>
          </w:p>
        </w:tc>
        <w:tc>
          <w:tcPr>
            <w:tcW w:w="1121" w:type="dxa"/>
            <w:noWrap w:val="0"/>
            <w:vAlign w:val="center"/>
          </w:tcPr>
          <w:p w14:paraId="1190754D">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color w:val="auto"/>
                <w:spacing w:val="-16"/>
                <w:sz w:val="21"/>
                <w:szCs w:val="21"/>
                <w:highlight w:val="none"/>
                <w:lang w:eastAsia="zh-CN"/>
              </w:rPr>
              <w:t>项目</w:t>
            </w:r>
            <w:r>
              <w:rPr>
                <w:rFonts w:hint="eastAsia" w:ascii="宋体" w:hAnsi="宋体" w:eastAsia="宋体" w:cs="宋体"/>
                <w:color w:val="auto"/>
                <w:spacing w:val="-16"/>
                <w:sz w:val="21"/>
                <w:szCs w:val="21"/>
                <w:highlight w:val="none"/>
              </w:rPr>
              <w:t>进</w:t>
            </w:r>
            <w:r>
              <w:rPr>
                <w:rFonts w:hint="eastAsia" w:ascii="宋体" w:hAnsi="宋体" w:eastAsia="宋体" w:cs="宋体"/>
                <w:color w:val="auto"/>
                <w:spacing w:val="-3"/>
                <w:sz w:val="21"/>
                <w:szCs w:val="21"/>
                <w:highlight w:val="none"/>
              </w:rPr>
              <w:t>度计划与措施（</w:t>
            </w:r>
            <w:r>
              <w:rPr>
                <w:rFonts w:hint="eastAsia" w:ascii="宋体" w:hAnsi="宋体" w:cs="宋体"/>
                <w:color w:val="auto"/>
                <w:spacing w:val="-3"/>
                <w:sz w:val="21"/>
                <w:szCs w:val="21"/>
                <w:highlight w:val="none"/>
                <w:lang w:eastAsia="zh-CN"/>
              </w:rPr>
              <w:t>7分</w:t>
            </w:r>
            <w:r>
              <w:rPr>
                <w:rFonts w:hint="eastAsia" w:ascii="宋体" w:hAnsi="宋体" w:eastAsia="宋体" w:cs="宋体"/>
                <w:color w:val="auto"/>
                <w:spacing w:val="-5"/>
                <w:sz w:val="21"/>
                <w:szCs w:val="21"/>
                <w:highlight w:val="none"/>
              </w:rPr>
              <w:t>）</w:t>
            </w:r>
          </w:p>
        </w:tc>
        <w:tc>
          <w:tcPr>
            <w:tcW w:w="6229" w:type="dxa"/>
            <w:noWrap w:val="0"/>
            <w:vAlign w:val="center"/>
          </w:tcPr>
          <w:p w14:paraId="3C18D85E">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第一档：</w:t>
            </w:r>
            <w:r>
              <w:rPr>
                <w:rFonts w:hint="eastAsia" w:ascii="宋体" w:hAnsi="宋体" w:eastAsia="宋体" w:cs="宋体"/>
                <w:b w:val="0"/>
                <w:bCs w:val="0"/>
                <w:color w:val="auto"/>
                <w:kern w:val="0"/>
                <w:sz w:val="21"/>
                <w:szCs w:val="21"/>
                <w:highlight w:val="none"/>
                <w:lang w:val="en-US" w:eastAsia="zh-CN"/>
              </w:rPr>
              <w:t>工期承诺满足采购文件要求，工期保证措施合理且有针对性，有具体的违约责任承诺</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7分</w:t>
            </w:r>
            <w:r>
              <w:rPr>
                <w:rFonts w:hint="eastAsia" w:ascii="宋体" w:hAnsi="宋体" w:eastAsia="宋体" w:cs="宋体"/>
                <w:b w:val="0"/>
                <w:bCs w:val="0"/>
                <w:color w:val="auto"/>
                <w:kern w:val="0"/>
                <w:sz w:val="21"/>
                <w:szCs w:val="21"/>
                <w:highlight w:val="none"/>
                <w:lang w:val="en-US" w:eastAsia="zh-CN"/>
              </w:rPr>
              <w:t>；</w:t>
            </w:r>
          </w:p>
          <w:p w14:paraId="37B50ABF">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第二档：</w:t>
            </w:r>
            <w:r>
              <w:rPr>
                <w:rFonts w:hint="eastAsia" w:ascii="宋体" w:hAnsi="宋体" w:eastAsia="宋体" w:cs="宋体"/>
                <w:b w:val="0"/>
                <w:bCs w:val="0"/>
                <w:color w:val="auto"/>
                <w:kern w:val="0"/>
                <w:sz w:val="21"/>
                <w:szCs w:val="21"/>
                <w:highlight w:val="none"/>
                <w:lang w:val="en-US" w:eastAsia="zh-CN"/>
              </w:rPr>
              <w:t>工期承诺满足采购文件要求，工期保证措施基本合理，有具体的违约责任承诺</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得5分；</w:t>
            </w:r>
          </w:p>
          <w:p w14:paraId="6137AB12">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第三档：</w:t>
            </w:r>
            <w:r>
              <w:rPr>
                <w:rFonts w:hint="eastAsia" w:ascii="宋体" w:hAnsi="宋体" w:eastAsia="宋体" w:cs="宋体"/>
                <w:b w:val="0"/>
                <w:bCs w:val="0"/>
                <w:color w:val="auto"/>
                <w:kern w:val="0"/>
                <w:sz w:val="21"/>
                <w:szCs w:val="21"/>
                <w:highlight w:val="none"/>
                <w:lang w:val="en-US" w:eastAsia="zh-CN"/>
              </w:rPr>
              <w:t>工期承诺满足招标文件要求，工期保证措施一般，无具体的违约责任承诺</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得3分；</w:t>
            </w:r>
          </w:p>
          <w:p w14:paraId="687CF128">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第四档：</w:t>
            </w:r>
            <w:r>
              <w:rPr>
                <w:rFonts w:hint="eastAsia" w:ascii="宋体" w:hAnsi="宋体" w:eastAsia="宋体" w:cs="宋体"/>
                <w:b w:val="0"/>
                <w:bCs w:val="0"/>
                <w:color w:val="auto"/>
                <w:kern w:val="0"/>
                <w:sz w:val="21"/>
                <w:szCs w:val="21"/>
                <w:highlight w:val="none"/>
                <w:lang w:val="en-US" w:eastAsia="zh-CN"/>
              </w:rPr>
              <w:t>工期承诺满足招标文件要求，</w:t>
            </w:r>
            <w:r>
              <w:rPr>
                <w:rFonts w:hint="eastAsia" w:ascii="宋体" w:hAnsi="宋体" w:cs="宋体"/>
                <w:b w:val="0"/>
                <w:bCs w:val="0"/>
                <w:color w:val="auto"/>
                <w:kern w:val="0"/>
                <w:sz w:val="21"/>
                <w:szCs w:val="21"/>
                <w:highlight w:val="none"/>
                <w:lang w:val="en-US" w:eastAsia="zh-CN"/>
              </w:rPr>
              <w:t>有</w:t>
            </w:r>
            <w:r>
              <w:rPr>
                <w:rFonts w:hint="eastAsia" w:ascii="宋体" w:hAnsi="宋体" w:eastAsia="宋体" w:cs="宋体"/>
                <w:b w:val="0"/>
                <w:bCs w:val="0"/>
                <w:color w:val="auto"/>
                <w:kern w:val="0"/>
                <w:sz w:val="21"/>
                <w:szCs w:val="21"/>
                <w:highlight w:val="none"/>
                <w:lang w:val="en-US" w:eastAsia="zh-CN"/>
              </w:rPr>
              <w:t>工期保证措施，</w:t>
            </w:r>
            <w:r>
              <w:rPr>
                <w:rFonts w:hint="eastAsia" w:ascii="宋体" w:hAnsi="宋体" w:cs="宋体"/>
                <w:b w:val="0"/>
                <w:bCs w:val="0"/>
                <w:color w:val="auto"/>
                <w:kern w:val="0"/>
                <w:sz w:val="21"/>
                <w:szCs w:val="21"/>
                <w:highlight w:val="none"/>
                <w:lang w:val="en-US" w:eastAsia="zh-CN"/>
              </w:rPr>
              <w:t>，但不可行，</w:t>
            </w:r>
            <w:r>
              <w:rPr>
                <w:rFonts w:hint="eastAsia" w:ascii="宋体" w:hAnsi="宋体" w:eastAsia="宋体" w:cs="宋体"/>
                <w:b w:val="0"/>
                <w:bCs w:val="0"/>
                <w:color w:val="auto"/>
                <w:kern w:val="0"/>
                <w:sz w:val="21"/>
                <w:szCs w:val="21"/>
                <w:highlight w:val="none"/>
                <w:lang w:val="en-US" w:eastAsia="zh-CN"/>
              </w:rPr>
              <w:t>无具体的违约责任承诺</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val="en-US" w:eastAsia="zh-CN"/>
              </w:rPr>
              <w:t>分；</w:t>
            </w:r>
          </w:p>
          <w:p w14:paraId="7D824F1D">
            <w:pPr>
              <w:pStyle w:val="69"/>
              <w:keepNext w:val="0"/>
              <w:keepLines w:val="0"/>
              <w:suppressLineNumbers w:val="0"/>
              <w:spacing w:before="0" w:beforeAutospacing="0" w:after="0" w:afterAutospacing="0"/>
              <w:ind w:left="0" w:right="0"/>
              <w:rPr>
                <w:rFonts w:hint="eastAsia"/>
                <w:color w:val="auto"/>
                <w:lang w:val="en-US" w:eastAsia="zh-CN"/>
              </w:rPr>
            </w:pPr>
            <w:r>
              <w:rPr>
                <w:rFonts w:hint="eastAsia" w:cs="宋体"/>
                <w:b/>
                <w:bCs/>
                <w:color w:val="auto"/>
                <w:kern w:val="0"/>
                <w:sz w:val="21"/>
                <w:szCs w:val="21"/>
                <w:highlight w:val="none"/>
                <w:lang w:val="en-US" w:eastAsia="zh-CN"/>
              </w:rPr>
              <w:t>缺项不得分</w:t>
            </w:r>
          </w:p>
        </w:tc>
      </w:tr>
      <w:tr w14:paraId="527E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918" w:type="dxa"/>
            <w:vMerge w:val="continue"/>
            <w:noWrap w:val="0"/>
            <w:vAlign w:val="center"/>
          </w:tcPr>
          <w:p w14:paraId="5C8BAE64">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p>
        </w:tc>
        <w:tc>
          <w:tcPr>
            <w:tcW w:w="1209" w:type="dxa"/>
            <w:vMerge w:val="continue"/>
            <w:noWrap w:val="0"/>
            <w:vAlign w:val="center"/>
          </w:tcPr>
          <w:p w14:paraId="3322C96D">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bCs/>
                <w:color w:val="auto"/>
                <w:kern w:val="0"/>
                <w:sz w:val="21"/>
                <w:szCs w:val="21"/>
                <w:highlight w:val="none"/>
              </w:rPr>
            </w:pPr>
          </w:p>
        </w:tc>
        <w:tc>
          <w:tcPr>
            <w:tcW w:w="1121" w:type="dxa"/>
            <w:noWrap w:val="0"/>
            <w:vAlign w:val="center"/>
          </w:tcPr>
          <w:p w14:paraId="15E184DC">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color w:val="auto"/>
                <w:spacing w:val="-17"/>
                <w:sz w:val="21"/>
                <w:szCs w:val="21"/>
                <w:highlight w:val="none"/>
              </w:rPr>
              <w:t>拟投入</w:t>
            </w:r>
            <w:r>
              <w:rPr>
                <w:rFonts w:hint="eastAsia" w:ascii="宋体" w:hAnsi="宋体" w:eastAsia="宋体" w:cs="宋体"/>
                <w:color w:val="auto"/>
                <w:spacing w:val="-3"/>
                <w:sz w:val="21"/>
                <w:szCs w:val="21"/>
                <w:highlight w:val="none"/>
              </w:rPr>
              <w:t>资源配备计划</w:t>
            </w:r>
            <w:r>
              <w:rPr>
                <w:rFonts w:hint="eastAsia" w:ascii="宋体" w:hAnsi="宋体" w:eastAsia="宋体" w:cs="宋体"/>
                <w:color w:val="auto"/>
                <w:spacing w:val="-18"/>
                <w:sz w:val="21"/>
                <w:szCs w:val="21"/>
                <w:highlight w:val="none"/>
              </w:rPr>
              <w:t>（</w:t>
            </w:r>
            <w:r>
              <w:rPr>
                <w:rFonts w:hint="eastAsia" w:ascii="宋体" w:hAnsi="宋体" w:cs="宋体"/>
                <w:color w:val="auto"/>
                <w:spacing w:val="12"/>
                <w:sz w:val="21"/>
                <w:szCs w:val="21"/>
                <w:highlight w:val="none"/>
                <w:lang w:eastAsia="zh-CN"/>
              </w:rPr>
              <w:t>7分</w:t>
            </w:r>
            <w:r>
              <w:rPr>
                <w:rFonts w:hint="eastAsia" w:ascii="宋体" w:hAnsi="宋体" w:eastAsia="宋体" w:cs="宋体"/>
                <w:color w:val="auto"/>
                <w:spacing w:val="-5"/>
                <w:sz w:val="21"/>
                <w:szCs w:val="21"/>
                <w:highlight w:val="none"/>
              </w:rPr>
              <w:t>）</w:t>
            </w:r>
          </w:p>
        </w:tc>
        <w:tc>
          <w:tcPr>
            <w:tcW w:w="6229" w:type="dxa"/>
            <w:noWrap w:val="0"/>
            <w:vAlign w:val="center"/>
          </w:tcPr>
          <w:p w14:paraId="1F3F8734">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第一档：</w:t>
            </w:r>
            <w:r>
              <w:rPr>
                <w:rFonts w:hint="eastAsia" w:ascii="宋体" w:hAnsi="宋体" w:eastAsia="宋体" w:cs="宋体"/>
                <w:b w:val="0"/>
                <w:bCs w:val="0"/>
                <w:color w:val="auto"/>
                <w:kern w:val="0"/>
                <w:sz w:val="21"/>
                <w:szCs w:val="21"/>
                <w:highlight w:val="none"/>
                <w:lang w:val="en-US" w:eastAsia="zh-CN"/>
              </w:rPr>
              <w:t>机械</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投入计划与进度计划呼应，采用先进机械设备且配置合理、先进，满足安全技术规范和作业进度需要；劳动力：投入计划与进度计划呼应，较好满足作业需要，调配投入计划合理、准确；主要物资计划：主要物资投入计划与进度计划呼应，较好满足作业需要，调配投入计划合理、准确</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7分</w:t>
            </w:r>
            <w:r>
              <w:rPr>
                <w:rFonts w:hint="eastAsia" w:ascii="宋体" w:hAnsi="宋体" w:eastAsia="宋体" w:cs="宋体"/>
                <w:b w:val="0"/>
                <w:bCs w:val="0"/>
                <w:color w:val="auto"/>
                <w:kern w:val="0"/>
                <w:sz w:val="21"/>
                <w:szCs w:val="21"/>
                <w:highlight w:val="none"/>
                <w:lang w:val="en-US" w:eastAsia="zh-CN"/>
              </w:rPr>
              <w:t>；</w:t>
            </w:r>
          </w:p>
          <w:p w14:paraId="018BD84E">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第二档：</w:t>
            </w:r>
            <w:r>
              <w:rPr>
                <w:rFonts w:hint="eastAsia" w:ascii="宋体" w:hAnsi="宋体" w:eastAsia="宋体" w:cs="宋体"/>
                <w:b w:val="0"/>
                <w:bCs w:val="0"/>
                <w:color w:val="auto"/>
                <w:kern w:val="0"/>
                <w:sz w:val="21"/>
                <w:szCs w:val="21"/>
                <w:highlight w:val="none"/>
                <w:lang w:val="en-US" w:eastAsia="zh-CN"/>
              </w:rPr>
              <w:t>机械：投入计划与进度计划呼应，机械设备配置基本合理，满足安全技术规范和作业进度需要；劳动力：投入计划与进度计划呼应，基本满足作业需要，调配投入计划基本合理；主要物资计划：主要物资投入计划与进度计划呼应，基本满足作业需要，调配投入计划基本合理</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得5分；</w:t>
            </w:r>
          </w:p>
          <w:p w14:paraId="3A88855A">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第三档：</w:t>
            </w:r>
            <w:r>
              <w:rPr>
                <w:rFonts w:hint="eastAsia" w:ascii="宋体" w:hAnsi="宋体" w:eastAsia="宋体" w:cs="宋体"/>
                <w:b w:val="0"/>
                <w:bCs w:val="0"/>
                <w:color w:val="auto"/>
                <w:kern w:val="0"/>
                <w:sz w:val="21"/>
                <w:szCs w:val="21"/>
                <w:highlight w:val="none"/>
                <w:lang w:val="en-US" w:eastAsia="zh-CN"/>
              </w:rPr>
              <w:t>机械：投入计划与进度计划呼应，机械设备配置一般，能满足安全技术规范和作业进度需要；劳动力：投入计划与进度计划呼应，能满足作业需要，调配投入计划不详实；主要物资计划：主要物资投入计划与进度计划呼应，能满足作业需要，调配投入计划不详实</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得3分；</w:t>
            </w:r>
          </w:p>
          <w:p w14:paraId="4E7F55A4">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第四档：</w:t>
            </w:r>
            <w:r>
              <w:rPr>
                <w:rFonts w:hint="eastAsia" w:ascii="宋体" w:hAnsi="宋体" w:cs="宋体"/>
                <w:b w:val="0"/>
                <w:bCs w:val="0"/>
                <w:color w:val="auto"/>
                <w:kern w:val="0"/>
                <w:sz w:val="21"/>
                <w:szCs w:val="21"/>
                <w:highlight w:val="none"/>
                <w:lang w:val="en-US" w:eastAsia="zh-CN"/>
              </w:rPr>
              <w:t>投入</w:t>
            </w:r>
            <w:r>
              <w:rPr>
                <w:rFonts w:hint="eastAsia" w:ascii="宋体" w:hAnsi="宋体" w:eastAsia="宋体" w:cs="宋体"/>
                <w:b w:val="0"/>
                <w:bCs w:val="0"/>
                <w:color w:val="auto"/>
                <w:kern w:val="0"/>
                <w:sz w:val="21"/>
                <w:szCs w:val="21"/>
                <w:highlight w:val="none"/>
                <w:lang w:val="en-US" w:eastAsia="zh-CN"/>
              </w:rPr>
              <w:t>机械</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劳动力</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主要物资计划能满足作业</w:t>
            </w:r>
            <w:r>
              <w:rPr>
                <w:rFonts w:hint="eastAsia" w:ascii="宋体" w:hAnsi="宋体" w:cs="宋体"/>
                <w:b w:val="0"/>
                <w:bCs w:val="0"/>
                <w:color w:val="auto"/>
                <w:kern w:val="0"/>
                <w:sz w:val="21"/>
                <w:szCs w:val="21"/>
                <w:highlight w:val="none"/>
                <w:lang w:val="en-US" w:eastAsia="zh-CN"/>
              </w:rPr>
              <w:t>基本</w:t>
            </w:r>
            <w:r>
              <w:rPr>
                <w:rFonts w:hint="eastAsia" w:ascii="宋体" w:hAnsi="宋体" w:eastAsia="宋体" w:cs="宋体"/>
                <w:b w:val="0"/>
                <w:bCs w:val="0"/>
                <w:color w:val="auto"/>
                <w:kern w:val="0"/>
                <w:sz w:val="21"/>
                <w:szCs w:val="21"/>
                <w:highlight w:val="none"/>
                <w:lang w:val="en-US" w:eastAsia="zh-CN"/>
              </w:rPr>
              <w:t>需要，</w:t>
            </w:r>
            <w:r>
              <w:rPr>
                <w:rFonts w:hint="eastAsia" w:ascii="宋体" w:hAnsi="宋体" w:cs="宋体"/>
                <w:b w:val="0"/>
                <w:bCs w:val="0"/>
                <w:color w:val="auto"/>
                <w:kern w:val="0"/>
                <w:sz w:val="21"/>
                <w:szCs w:val="21"/>
                <w:highlight w:val="none"/>
                <w:lang w:val="en-US" w:eastAsia="zh-CN"/>
              </w:rPr>
              <w:t>但</w:t>
            </w:r>
            <w:r>
              <w:rPr>
                <w:rFonts w:hint="eastAsia" w:ascii="宋体" w:hAnsi="宋体" w:eastAsia="宋体" w:cs="宋体"/>
                <w:b w:val="0"/>
                <w:bCs w:val="0"/>
                <w:color w:val="auto"/>
                <w:kern w:val="0"/>
                <w:sz w:val="21"/>
                <w:szCs w:val="21"/>
                <w:highlight w:val="none"/>
                <w:lang w:val="en-US" w:eastAsia="zh-CN"/>
              </w:rPr>
              <w:t>物资投入计划</w:t>
            </w:r>
            <w:r>
              <w:rPr>
                <w:rFonts w:hint="eastAsia" w:ascii="宋体" w:hAnsi="宋体" w:cs="宋体"/>
                <w:b w:val="0"/>
                <w:bCs w:val="0"/>
                <w:color w:val="auto"/>
                <w:kern w:val="0"/>
                <w:sz w:val="21"/>
                <w:szCs w:val="21"/>
                <w:highlight w:val="none"/>
                <w:lang w:val="en-US" w:eastAsia="zh-CN"/>
              </w:rPr>
              <w:t>不合理，</w:t>
            </w:r>
            <w:r>
              <w:rPr>
                <w:rFonts w:hint="eastAsia" w:ascii="宋体" w:hAnsi="宋体" w:eastAsia="宋体" w:cs="宋体"/>
                <w:b w:val="0"/>
                <w:bCs w:val="0"/>
                <w:color w:val="auto"/>
                <w:kern w:val="0"/>
                <w:sz w:val="21"/>
                <w:szCs w:val="21"/>
                <w:highlight w:val="none"/>
                <w:lang w:val="en-US" w:eastAsia="zh-CN"/>
              </w:rPr>
              <w:t>得</w:t>
            </w:r>
            <w:r>
              <w:rPr>
                <w:rFonts w:hint="eastAsia" w:ascii="宋体" w:hAnsi="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val="en-US" w:eastAsia="zh-CN"/>
              </w:rPr>
              <w:t>分；</w:t>
            </w:r>
          </w:p>
          <w:p w14:paraId="49DF4D36">
            <w:pPr>
              <w:pStyle w:val="69"/>
              <w:keepNext w:val="0"/>
              <w:keepLines w:val="0"/>
              <w:suppressLineNumbers w:val="0"/>
              <w:spacing w:before="0" w:beforeAutospacing="0" w:after="0" w:afterAutospacing="0"/>
              <w:ind w:left="0" w:right="0"/>
              <w:rPr>
                <w:rFonts w:hint="eastAsia"/>
                <w:color w:val="auto"/>
                <w:lang w:val="en-US" w:eastAsia="zh-CN"/>
              </w:rPr>
            </w:pPr>
            <w:r>
              <w:rPr>
                <w:rFonts w:hint="eastAsia" w:cs="宋体"/>
                <w:b/>
                <w:bCs/>
                <w:color w:val="auto"/>
                <w:kern w:val="0"/>
                <w:sz w:val="21"/>
                <w:szCs w:val="21"/>
                <w:highlight w:val="none"/>
                <w:lang w:val="en-US" w:eastAsia="zh-CN"/>
              </w:rPr>
              <w:t>缺项不得分</w:t>
            </w:r>
          </w:p>
        </w:tc>
      </w:tr>
      <w:tr w14:paraId="3FC6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918" w:type="dxa"/>
            <w:vMerge w:val="continue"/>
            <w:noWrap w:val="0"/>
            <w:vAlign w:val="center"/>
          </w:tcPr>
          <w:p w14:paraId="6CA2F2FD">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p>
        </w:tc>
        <w:tc>
          <w:tcPr>
            <w:tcW w:w="1209" w:type="dxa"/>
            <w:vMerge w:val="continue"/>
            <w:noWrap w:val="0"/>
            <w:vAlign w:val="center"/>
          </w:tcPr>
          <w:p w14:paraId="59BEC69C">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bCs/>
                <w:color w:val="auto"/>
                <w:kern w:val="0"/>
                <w:sz w:val="21"/>
                <w:szCs w:val="21"/>
                <w:highlight w:val="none"/>
              </w:rPr>
            </w:pPr>
          </w:p>
        </w:tc>
        <w:tc>
          <w:tcPr>
            <w:tcW w:w="1121" w:type="dxa"/>
            <w:noWrap w:val="0"/>
            <w:vAlign w:val="center"/>
          </w:tcPr>
          <w:p w14:paraId="690843C8">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18"/>
                <w:szCs w:val="18"/>
                <w:highlight w:val="none"/>
                <w:lang w:val="en-US" w:eastAsia="zh-CN" w:bidi="ar-SA"/>
              </w:rPr>
            </w:pPr>
            <w:r>
              <w:rPr>
                <w:rFonts w:hint="eastAsia" w:ascii="宋体" w:hAnsi="宋体" w:eastAsia="宋体" w:cs="宋体"/>
                <w:color w:val="auto"/>
                <w:sz w:val="21"/>
                <w:szCs w:val="21"/>
              </w:rPr>
              <w:t>应急预案</w:t>
            </w:r>
            <w:r>
              <w:rPr>
                <w:rFonts w:hint="eastAsia" w:ascii="宋体" w:hAnsi="宋体" w:eastAsia="宋体" w:cs="宋体"/>
                <w:color w:val="auto"/>
                <w:spacing w:val="-16"/>
                <w:sz w:val="21"/>
                <w:szCs w:val="21"/>
                <w:highlight w:val="none"/>
              </w:rPr>
              <w:t>（5</w:t>
            </w:r>
            <w:r>
              <w:rPr>
                <w:rFonts w:hint="eastAsia" w:ascii="宋体" w:hAnsi="宋体" w:eastAsia="宋体" w:cs="宋体"/>
                <w:color w:val="auto"/>
                <w:spacing w:val="-6"/>
                <w:sz w:val="21"/>
                <w:szCs w:val="21"/>
                <w:highlight w:val="none"/>
              </w:rPr>
              <w:t>分）</w:t>
            </w:r>
          </w:p>
        </w:tc>
        <w:tc>
          <w:tcPr>
            <w:tcW w:w="6229" w:type="dxa"/>
            <w:noWrap w:val="0"/>
            <w:vAlign w:val="center"/>
          </w:tcPr>
          <w:p w14:paraId="1FE91738">
            <w:pPr>
              <w:pStyle w:val="69"/>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 xml:space="preserve">对本项目提供应急预案，应急措施等。 </w:t>
            </w:r>
          </w:p>
          <w:p w14:paraId="09EED2D5">
            <w:pPr>
              <w:pStyle w:val="69"/>
              <w:keepNext w:val="0"/>
              <w:keepLines w:val="0"/>
              <w:numPr>
                <w:ilvl w:val="0"/>
                <w:numId w:val="0"/>
              </w:numPr>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b/>
                <w:bCs/>
                <w:color w:val="auto"/>
                <w:kern w:val="0"/>
                <w:sz w:val="21"/>
                <w:szCs w:val="21"/>
                <w:highlight w:val="none"/>
                <w:lang w:val="en-US" w:eastAsia="zh-CN"/>
              </w:rPr>
              <w:t>第一档：</w:t>
            </w:r>
            <w:r>
              <w:rPr>
                <w:rFonts w:hint="eastAsia" w:ascii="宋体" w:hAnsi="宋体" w:eastAsia="宋体" w:cs="宋体"/>
                <w:color w:val="auto"/>
                <w:sz w:val="21"/>
                <w:szCs w:val="21"/>
              </w:rPr>
              <w:t xml:space="preserve">内容详细，措施得当，优于或完全满足采购需求， 得5分； </w:t>
            </w:r>
          </w:p>
          <w:p w14:paraId="35AD3B50">
            <w:pPr>
              <w:pStyle w:val="69"/>
              <w:keepNext w:val="0"/>
              <w:keepLines w:val="0"/>
              <w:numPr>
                <w:ilvl w:val="0"/>
                <w:numId w:val="0"/>
              </w:numPr>
              <w:suppressLineNumbers w:val="0"/>
              <w:spacing w:before="0" w:beforeAutospacing="0" w:after="0" w:afterAutospacing="0"/>
              <w:ind w:left="0" w:right="0"/>
              <w:rPr>
                <w:rFonts w:hint="eastAsia" w:ascii="宋体" w:hAnsi="宋体" w:eastAsia="宋体" w:cs="宋体"/>
                <w:color w:val="auto"/>
                <w:sz w:val="21"/>
                <w:szCs w:val="21"/>
                <w:lang w:val="en-US" w:eastAsia="zh-CN"/>
              </w:rPr>
            </w:pPr>
            <w:r>
              <w:rPr>
                <w:rFonts w:hint="eastAsia" w:ascii="宋体" w:hAnsi="宋体" w:eastAsia="宋体" w:cs="宋体"/>
                <w:b/>
                <w:bCs/>
                <w:color w:val="auto"/>
                <w:kern w:val="0"/>
                <w:sz w:val="21"/>
                <w:szCs w:val="21"/>
                <w:highlight w:val="none"/>
                <w:lang w:val="en-US" w:eastAsia="zh-CN"/>
              </w:rPr>
              <w:t>第二档：</w:t>
            </w:r>
            <w:r>
              <w:rPr>
                <w:rFonts w:hint="eastAsia" w:ascii="宋体" w:hAnsi="宋体" w:eastAsia="宋体" w:cs="宋体"/>
                <w:color w:val="auto"/>
                <w:sz w:val="21"/>
                <w:szCs w:val="21"/>
              </w:rPr>
              <w:t xml:space="preserve">内容较为详细，措施较为得当，具有一定实用性， 得3分； </w:t>
            </w:r>
          </w:p>
          <w:p w14:paraId="78A43B32">
            <w:pPr>
              <w:pStyle w:val="69"/>
              <w:keepNext w:val="0"/>
              <w:keepLines w:val="0"/>
              <w:numPr>
                <w:ilvl w:val="0"/>
                <w:numId w:val="0"/>
              </w:numPr>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b/>
                <w:bCs/>
                <w:color w:val="auto"/>
                <w:kern w:val="0"/>
                <w:sz w:val="21"/>
                <w:szCs w:val="21"/>
                <w:highlight w:val="none"/>
                <w:lang w:val="en-US" w:eastAsia="zh-CN"/>
              </w:rPr>
              <w:t>第三档：</w:t>
            </w:r>
            <w:r>
              <w:rPr>
                <w:rFonts w:hint="eastAsia" w:ascii="宋体" w:hAnsi="宋体" w:eastAsia="宋体" w:cs="宋体"/>
                <w:color w:val="auto"/>
                <w:sz w:val="21"/>
                <w:szCs w:val="21"/>
              </w:rPr>
              <w:t>内容存在明显缺陷，有待提升完善的，得1分；</w:t>
            </w:r>
          </w:p>
          <w:p w14:paraId="57E55423">
            <w:pPr>
              <w:pStyle w:val="69"/>
              <w:keepNext w:val="0"/>
              <w:keepLines w:val="0"/>
              <w:numPr>
                <w:ilvl w:val="0"/>
                <w:numId w:val="0"/>
              </w:numPr>
              <w:suppressLineNumbers w:val="0"/>
              <w:spacing w:before="0" w:beforeAutospacing="0" w:after="0" w:afterAutospacing="0"/>
              <w:ind w:left="0" w:right="0"/>
              <w:rPr>
                <w:rFonts w:hint="eastAsia" w:ascii="宋体" w:hAnsi="宋体" w:eastAsia="宋体" w:cs="宋体"/>
                <w:color w:val="auto"/>
                <w:sz w:val="18"/>
                <w:szCs w:val="18"/>
                <w:lang w:val="en-US" w:eastAsia="zh-CN"/>
              </w:rPr>
            </w:pPr>
            <w:r>
              <w:rPr>
                <w:rFonts w:hint="eastAsia" w:ascii="宋体" w:hAnsi="宋体" w:eastAsia="宋体" w:cs="宋体"/>
                <w:b/>
                <w:bCs/>
                <w:color w:val="auto"/>
                <w:kern w:val="0"/>
                <w:sz w:val="21"/>
                <w:szCs w:val="21"/>
                <w:highlight w:val="none"/>
                <w:lang w:val="en-US" w:eastAsia="zh-CN"/>
              </w:rPr>
              <w:t>缺项不得分</w:t>
            </w:r>
          </w:p>
        </w:tc>
      </w:tr>
      <w:tr w14:paraId="52B1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18" w:type="dxa"/>
            <w:vMerge w:val="restart"/>
            <w:noWrap w:val="0"/>
            <w:vAlign w:val="center"/>
          </w:tcPr>
          <w:p w14:paraId="11ED4F66">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p>
        </w:tc>
        <w:tc>
          <w:tcPr>
            <w:tcW w:w="1209" w:type="dxa"/>
            <w:vMerge w:val="restart"/>
            <w:noWrap w:val="0"/>
            <w:vAlign w:val="center"/>
          </w:tcPr>
          <w:p w14:paraId="05E56AAC">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综合部分（</w:t>
            </w:r>
            <w:r>
              <w:rPr>
                <w:rFonts w:hint="eastAsia" w:ascii="宋体" w:hAnsi="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lang w:val="en-US" w:eastAsia="zh-CN"/>
              </w:rPr>
              <w:t>分</w:t>
            </w:r>
            <w:r>
              <w:rPr>
                <w:rFonts w:hint="eastAsia" w:ascii="宋体" w:hAnsi="宋体" w:eastAsia="宋体" w:cs="宋体"/>
                <w:b/>
                <w:bCs/>
                <w:color w:val="auto"/>
                <w:kern w:val="0"/>
                <w:sz w:val="21"/>
                <w:szCs w:val="21"/>
                <w:highlight w:val="none"/>
                <w:lang w:eastAsia="zh-CN"/>
              </w:rPr>
              <w:t>）</w:t>
            </w:r>
          </w:p>
        </w:tc>
        <w:tc>
          <w:tcPr>
            <w:tcW w:w="1121" w:type="dxa"/>
            <w:noWrap w:val="0"/>
            <w:vAlign w:val="center"/>
          </w:tcPr>
          <w:p w14:paraId="07D07814">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类似业绩（</w:t>
            </w:r>
            <w:r>
              <w:rPr>
                <w:rFonts w:hint="eastAsia" w:ascii="宋体" w:hAnsi="宋体" w:cs="宋体"/>
                <w:b w:val="0"/>
                <w:bCs w:val="0"/>
                <w:color w:val="auto"/>
                <w:kern w:val="0"/>
                <w:sz w:val="21"/>
                <w:szCs w:val="21"/>
                <w:highlight w:val="none"/>
                <w:lang w:val="en-US" w:eastAsia="zh-CN"/>
              </w:rPr>
              <w:t>10</w:t>
            </w:r>
            <w:r>
              <w:rPr>
                <w:rFonts w:hint="eastAsia" w:ascii="宋体" w:hAnsi="宋体" w:eastAsia="宋体" w:cs="宋体"/>
                <w:b w:val="0"/>
                <w:bCs w:val="0"/>
                <w:color w:val="auto"/>
                <w:kern w:val="0"/>
                <w:sz w:val="21"/>
                <w:szCs w:val="21"/>
                <w:highlight w:val="none"/>
                <w:lang w:val="en-US" w:eastAsia="zh-CN"/>
              </w:rPr>
              <w:t>分</w:t>
            </w:r>
            <w:r>
              <w:rPr>
                <w:rFonts w:hint="eastAsia" w:ascii="宋体" w:hAnsi="宋体" w:eastAsia="宋体" w:cs="宋体"/>
                <w:b w:val="0"/>
                <w:bCs w:val="0"/>
                <w:color w:val="auto"/>
                <w:kern w:val="0"/>
                <w:sz w:val="21"/>
                <w:szCs w:val="21"/>
                <w:highlight w:val="none"/>
              </w:rPr>
              <w:t>）</w:t>
            </w:r>
          </w:p>
        </w:tc>
        <w:tc>
          <w:tcPr>
            <w:tcW w:w="6229" w:type="dxa"/>
            <w:noWrap w:val="0"/>
            <w:vAlign w:val="bottom"/>
          </w:tcPr>
          <w:p w14:paraId="1DFCB30A">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202</w:t>
            </w:r>
            <w:r>
              <w:rPr>
                <w:rFonts w:hint="eastAsia" w:ascii="宋体" w:hAnsi="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lang w:val="en-US" w:eastAsia="zh-CN"/>
              </w:rPr>
              <w:t>年</w:t>
            </w:r>
            <w:r>
              <w:rPr>
                <w:rFonts w:hint="eastAsia" w:ascii="宋体" w:hAnsi="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val="en-US" w:eastAsia="zh-CN"/>
              </w:rPr>
              <w:t>月1日以来供应商承担过类似项目</w:t>
            </w:r>
            <w:r>
              <w:rPr>
                <w:rFonts w:hint="eastAsia" w:ascii="宋体" w:hAnsi="宋体" w:cs="宋体"/>
                <w:b w:val="0"/>
                <w:bCs w:val="0"/>
                <w:color w:val="auto"/>
                <w:kern w:val="0"/>
                <w:sz w:val="21"/>
                <w:szCs w:val="21"/>
                <w:highlight w:val="none"/>
                <w:lang w:val="en-US" w:eastAsia="zh-CN"/>
              </w:rPr>
              <w:t>（园林绿化养护、伐林（护林）等林业生产养护）</w:t>
            </w:r>
            <w:r>
              <w:rPr>
                <w:rFonts w:hint="eastAsia" w:ascii="宋体" w:hAnsi="宋体" w:eastAsia="宋体" w:cs="宋体"/>
                <w:b w:val="0"/>
                <w:bCs w:val="0"/>
                <w:color w:val="auto"/>
                <w:kern w:val="0"/>
                <w:sz w:val="21"/>
                <w:szCs w:val="21"/>
                <w:highlight w:val="none"/>
                <w:lang w:val="en-US" w:eastAsia="zh-CN"/>
              </w:rPr>
              <w:t>业绩，每有一项得</w:t>
            </w:r>
            <w:r>
              <w:rPr>
                <w:rFonts w:hint="eastAsia" w:ascii="宋体" w:hAnsi="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lang w:val="en-US" w:eastAsia="zh-CN"/>
              </w:rPr>
              <w:t>分，最高得</w:t>
            </w:r>
            <w:r>
              <w:rPr>
                <w:rFonts w:hint="eastAsia" w:ascii="宋体" w:hAnsi="宋体" w:cs="宋体"/>
                <w:b w:val="0"/>
                <w:bCs w:val="0"/>
                <w:color w:val="auto"/>
                <w:kern w:val="0"/>
                <w:sz w:val="21"/>
                <w:szCs w:val="21"/>
                <w:highlight w:val="none"/>
                <w:lang w:val="en-US" w:eastAsia="zh-CN"/>
              </w:rPr>
              <w:t>10</w:t>
            </w:r>
            <w:r>
              <w:rPr>
                <w:rFonts w:hint="eastAsia" w:ascii="宋体" w:hAnsi="宋体" w:eastAsia="宋体" w:cs="宋体"/>
                <w:b w:val="0"/>
                <w:bCs w:val="0"/>
                <w:color w:val="auto"/>
                <w:kern w:val="0"/>
                <w:sz w:val="21"/>
                <w:szCs w:val="21"/>
                <w:highlight w:val="none"/>
                <w:lang w:val="en-US" w:eastAsia="zh-CN"/>
              </w:rPr>
              <w:t>分。（提供合同</w:t>
            </w:r>
            <w:r>
              <w:rPr>
                <w:rFonts w:hint="eastAsia" w:ascii="宋体" w:hAnsi="宋体" w:cs="宋体"/>
                <w:b w:val="0"/>
                <w:bCs w:val="0"/>
                <w:color w:val="auto"/>
                <w:kern w:val="0"/>
                <w:sz w:val="21"/>
                <w:szCs w:val="21"/>
                <w:highlight w:val="none"/>
                <w:lang w:val="en-US" w:eastAsia="zh-CN"/>
              </w:rPr>
              <w:t>或协议书</w:t>
            </w:r>
            <w:r>
              <w:rPr>
                <w:rFonts w:hint="eastAsia" w:ascii="宋体" w:hAnsi="宋体" w:eastAsia="宋体" w:cs="宋体"/>
                <w:b w:val="0"/>
                <w:bCs w:val="0"/>
                <w:color w:val="auto"/>
                <w:kern w:val="0"/>
                <w:sz w:val="21"/>
                <w:szCs w:val="21"/>
                <w:highlight w:val="none"/>
                <w:lang w:val="en-US" w:eastAsia="zh-CN"/>
              </w:rPr>
              <w:t>扫描件</w:t>
            </w:r>
            <w:r>
              <w:rPr>
                <w:rFonts w:hint="eastAsia" w:ascii="宋体" w:hAnsi="宋体" w:cs="宋体"/>
                <w:b w:val="0"/>
                <w:bCs w:val="0"/>
                <w:color w:val="auto"/>
                <w:kern w:val="0"/>
                <w:sz w:val="21"/>
                <w:szCs w:val="21"/>
                <w:highlight w:val="none"/>
                <w:lang w:val="en-US" w:eastAsia="zh-CN"/>
              </w:rPr>
              <w:t>，以合同签订时间为准</w:t>
            </w:r>
            <w:r>
              <w:rPr>
                <w:rFonts w:hint="eastAsia" w:ascii="宋体" w:hAnsi="宋体" w:eastAsia="宋体" w:cs="宋体"/>
                <w:b w:val="0"/>
                <w:bCs w:val="0"/>
                <w:color w:val="auto"/>
                <w:kern w:val="0"/>
                <w:sz w:val="21"/>
                <w:szCs w:val="21"/>
                <w:highlight w:val="none"/>
                <w:lang w:val="en-US" w:eastAsia="zh-CN"/>
              </w:rPr>
              <w:t>）</w:t>
            </w:r>
          </w:p>
        </w:tc>
      </w:tr>
      <w:tr w14:paraId="462F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Merge w:val="continue"/>
            <w:noWrap w:val="0"/>
            <w:vAlign w:val="center"/>
          </w:tcPr>
          <w:p w14:paraId="5157B843">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p>
        </w:tc>
        <w:tc>
          <w:tcPr>
            <w:tcW w:w="1209" w:type="dxa"/>
            <w:vMerge w:val="continue"/>
            <w:noWrap w:val="0"/>
            <w:vAlign w:val="center"/>
          </w:tcPr>
          <w:p w14:paraId="31CE5461">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center"/>
              <w:rPr>
                <w:rFonts w:hint="eastAsia" w:ascii="宋体" w:hAnsi="宋体" w:eastAsia="宋体" w:cs="宋体"/>
                <w:color w:val="auto"/>
                <w:kern w:val="0"/>
                <w:sz w:val="21"/>
                <w:szCs w:val="21"/>
                <w:highlight w:val="none"/>
              </w:rPr>
            </w:pPr>
          </w:p>
        </w:tc>
        <w:tc>
          <w:tcPr>
            <w:tcW w:w="1121" w:type="dxa"/>
            <w:noWrap w:val="0"/>
            <w:vAlign w:val="center"/>
          </w:tcPr>
          <w:p w14:paraId="4FF96908">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服务承诺</w:t>
            </w:r>
          </w:p>
          <w:p w14:paraId="1B881C3C">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jc w:val="center"/>
              <w:textAlignment w:val="top"/>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w:t>
            </w:r>
            <w:r>
              <w:rPr>
                <w:rFonts w:hint="eastAsia" w:ascii="宋体" w:hAnsi="宋体" w:cs="宋体"/>
                <w:b w:val="0"/>
                <w:bCs w:val="0"/>
                <w:color w:val="auto"/>
                <w:kern w:val="0"/>
                <w:sz w:val="21"/>
                <w:szCs w:val="21"/>
                <w:highlight w:val="none"/>
                <w:lang w:val="en-US" w:eastAsia="zh-CN"/>
              </w:rPr>
              <w:t>20</w:t>
            </w:r>
            <w:r>
              <w:rPr>
                <w:rFonts w:hint="eastAsia" w:ascii="宋体" w:hAnsi="宋体" w:eastAsia="宋体" w:cs="宋体"/>
                <w:b w:val="0"/>
                <w:bCs w:val="0"/>
                <w:color w:val="auto"/>
                <w:kern w:val="0"/>
                <w:sz w:val="21"/>
                <w:szCs w:val="21"/>
                <w:highlight w:val="none"/>
              </w:rPr>
              <w:t>分）</w:t>
            </w:r>
          </w:p>
        </w:tc>
        <w:tc>
          <w:tcPr>
            <w:tcW w:w="6229" w:type="dxa"/>
            <w:noWrap w:val="0"/>
            <w:vAlign w:val="center"/>
          </w:tcPr>
          <w:p w14:paraId="6B886E93">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Cs w:val="21"/>
              </w:rPr>
            </w:pPr>
            <w:r>
              <w:rPr>
                <w:rFonts w:hint="eastAsia" w:ascii="宋体" w:hAnsi="宋体" w:eastAsia="宋体" w:cs="宋体"/>
                <w:b w:val="0"/>
                <w:bCs w:val="0"/>
                <w:color w:val="auto"/>
                <w:kern w:val="0"/>
                <w:szCs w:val="21"/>
                <w:lang w:val="en-US" w:eastAsia="zh-CN"/>
              </w:rPr>
              <w:t>1、</w:t>
            </w:r>
            <w:r>
              <w:rPr>
                <w:rFonts w:hint="eastAsia" w:ascii="宋体" w:hAnsi="宋体" w:eastAsia="宋体" w:cs="宋体"/>
                <w:b w:val="0"/>
                <w:bCs w:val="0"/>
                <w:color w:val="auto"/>
                <w:kern w:val="0"/>
                <w:szCs w:val="21"/>
              </w:rPr>
              <w:t>承诺自用工之日起与</w:t>
            </w:r>
            <w:r>
              <w:rPr>
                <w:rFonts w:hint="eastAsia" w:ascii="宋体" w:hAnsi="宋体" w:cs="宋体"/>
                <w:b w:val="0"/>
                <w:bCs w:val="0"/>
                <w:color w:val="auto"/>
                <w:kern w:val="0"/>
                <w:szCs w:val="21"/>
                <w:lang w:val="en-US" w:eastAsia="zh-CN"/>
              </w:rPr>
              <w:t>劳务</w:t>
            </w:r>
            <w:r>
              <w:rPr>
                <w:rFonts w:hint="eastAsia" w:ascii="宋体" w:hAnsi="宋体" w:eastAsia="宋体" w:cs="宋体"/>
                <w:b w:val="0"/>
                <w:bCs w:val="0"/>
                <w:color w:val="auto"/>
                <w:kern w:val="0"/>
                <w:szCs w:val="21"/>
              </w:rPr>
              <w:t>人员签订</w:t>
            </w:r>
            <w:r>
              <w:rPr>
                <w:rFonts w:hint="eastAsia" w:ascii="宋体" w:hAnsi="宋体" w:cs="宋体"/>
                <w:b w:val="0"/>
                <w:bCs w:val="0"/>
                <w:color w:val="auto"/>
                <w:kern w:val="0"/>
                <w:szCs w:val="21"/>
                <w:lang w:val="en-US" w:eastAsia="zh-CN"/>
              </w:rPr>
              <w:t>劳务</w:t>
            </w:r>
            <w:r>
              <w:rPr>
                <w:rFonts w:hint="eastAsia" w:ascii="宋体" w:hAnsi="宋体" w:eastAsia="宋体" w:cs="宋体"/>
                <w:b w:val="0"/>
                <w:bCs w:val="0"/>
                <w:color w:val="auto"/>
                <w:kern w:val="0"/>
                <w:szCs w:val="21"/>
              </w:rPr>
              <w:t>合同，为其缴纳人身意外伤害保险的得</w:t>
            </w:r>
            <w:r>
              <w:rPr>
                <w:rFonts w:hint="eastAsia" w:ascii="宋体" w:hAnsi="宋体" w:eastAsia="宋体" w:cs="宋体"/>
                <w:b w:val="0"/>
                <w:bCs w:val="0"/>
                <w:color w:val="auto"/>
                <w:kern w:val="0"/>
                <w:szCs w:val="21"/>
                <w:lang w:val="en-US" w:eastAsia="zh-CN"/>
              </w:rPr>
              <w:t>5</w:t>
            </w:r>
            <w:r>
              <w:rPr>
                <w:rFonts w:hint="eastAsia" w:ascii="宋体" w:hAnsi="宋体" w:eastAsia="宋体" w:cs="宋体"/>
                <w:b w:val="0"/>
                <w:bCs w:val="0"/>
                <w:color w:val="auto"/>
                <w:kern w:val="0"/>
                <w:szCs w:val="21"/>
              </w:rPr>
              <w:t>分，否则不得分。</w:t>
            </w:r>
          </w:p>
          <w:p w14:paraId="164EEA7B">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default" w:ascii="宋体" w:hAnsi="宋体" w:eastAsia="宋体" w:cs="宋体"/>
                <w:b w:val="0"/>
                <w:bCs w:val="0"/>
                <w:color w:val="auto"/>
                <w:kern w:val="0"/>
                <w:szCs w:val="21"/>
                <w:lang w:val="en-US" w:eastAsia="zh-CN"/>
              </w:rPr>
            </w:pPr>
            <w:r>
              <w:rPr>
                <w:rFonts w:hint="eastAsia" w:ascii="宋体" w:hAnsi="宋体" w:eastAsia="宋体" w:cs="宋体"/>
                <w:b w:val="0"/>
                <w:bCs w:val="0"/>
                <w:color w:val="auto"/>
                <w:kern w:val="0"/>
                <w:szCs w:val="21"/>
                <w:lang w:val="en-US" w:eastAsia="zh-CN"/>
              </w:rPr>
              <w:t>2、</w:t>
            </w:r>
            <w:r>
              <w:rPr>
                <w:rFonts w:hint="eastAsia" w:ascii="宋体" w:hAnsi="宋体" w:cs="宋体"/>
                <w:b w:val="0"/>
                <w:bCs w:val="0"/>
                <w:color w:val="auto"/>
                <w:kern w:val="0"/>
                <w:szCs w:val="21"/>
                <w:lang w:val="en-US" w:eastAsia="zh-CN"/>
              </w:rPr>
              <w:t>承诺保证作业连续性及不拖欠农民工工资的得5分，</w:t>
            </w:r>
            <w:r>
              <w:rPr>
                <w:rFonts w:hint="eastAsia" w:ascii="宋体" w:hAnsi="宋体" w:eastAsia="宋体" w:cs="宋体"/>
                <w:b w:val="0"/>
                <w:bCs w:val="0"/>
                <w:color w:val="auto"/>
                <w:kern w:val="0"/>
                <w:szCs w:val="21"/>
              </w:rPr>
              <w:t>否则不得分。</w:t>
            </w:r>
          </w:p>
          <w:p w14:paraId="27B19F1E">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Cs w:val="21"/>
              </w:rPr>
            </w:pPr>
            <w:r>
              <w:rPr>
                <w:rFonts w:hint="eastAsia" w:ascii="宋体" w:hAnsi="宋体" w:eastAsia="宋体" w:cs="宋体"/>
                <w:b w:val="0"/>
                <w:bCs w:val="0"/>
                <w:color w:val="auto"/>
                <w:kern w:val="0"/>
                <w:szCs w:val="21"/>
                <w:lang w:val="en-US" w:eastAsia="zh-CN"/>
              </w:rPr>
              <w:t>3、</w:t>
            </w:r>
            <w:r>
              <w:rPr>
                <w:rFonts w:hint="eastAsia" w:ascii="宋体" w:hAnsi="宋体" w:eastAsia="宋体" w:cs="宋体"/>
                <w:b w:val="0"/>
                <w:bCs w:val="0"/>
                <w:color w:val="auto"/>
                <w:kern w:val="0"/>
                <w:szCs w:val="21"/>
              </w:rPr>
              <w:t>承诺若发生意外，全权负责意外伤害赔偿及善后工作处理的得</w:t>
            </w:r>
            <w:r>
              <w:rPr>
                <w:rFonts w:hint="eastAsia" w:ascii="宋体" w:hAnsi="宋体" w:eastAsia="宋体" w:cs="宋体"/>
                <w:b w:val="0"/>
                <w:bCs w:val="0"/>
                <w:color w:val="auto"/>
                <w:kern w:val="0"/>
                <w:szCs w:val="21"/>
                <w:lang w:val="en-US" w:eastAsia="zh-CN"/>
              </w:rPr>
              <w:t>5</w:t>
            </w:r>
            <w:r>
              <w:rPr>
                <w:rFonts w:hint="eastAsia" w:ascii="宋体" w:hAnsi="宋体" w:eastAsia="宋体" w:cs="宋体"/>
                <w:b w:val="0"/>
                <w:bCs w:val="0"/>
                <w:color w:val="auto"/>
                <w:kern w:val="0"/>
                <w:szCs w:val="21"/>
              </w:rPr>
              <w:t>分，否则不得分。</w:t>
            </w:r>
          </w:p>
          <w:p w14:paraId="76D02C38">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eastAsia" w:ascii="宋体" w:hAnsi="宋体" w:eastAsia="宋体" w:cs="宋体"/>
                <w:b w:val="0"/>
                <w:bCs w:val="0"/>
                <w:color w:val="auto"/>
                <w:kern w:val="0"/>
                <w:szCs w:val="21"/>
              </w:rPr>
            </w:pPr>
            <w:r>
              <w:rPr>
                <w:rFonts w:hint="eastAsia" w:ascii="宋体" w:hAnsi="宋体" w:eastAsia="宋体" w:cs="宋体"/>
                <w:b w:val="0"/>
                <w:bCs w:val="0"/>
                <w:color w:val="auto"/>
                <w:kern w:val="0"/>
                <w:szCs w:val="21"/>
                <w:lang w:val="en-US" w:eastAsia="zh-CN"/>
              </w:rPr>
              <w:t>4、</w:t>
            </w:r>
            <w:r>
              <w:rPr>
                <w:rFonts w:hint="eastAsia" w:ascii="宋体" w:hAnsi="宋体" w:eastAsia="宋体" w:cs="宋体"/>
                <w:b w:val="0"/>
                <w:bCs w:val="0"/>
                <w:color w:val="auto"/>
                <w:kern w:val="0"/>
                <w:szCs w:val="21"/>
              </w:rPr>
              <w:t>承诺用工</w:t>
            </w:r>
            <w:r>
              <w:rPr>
                <w:rFonts w:hint="eastAsia" w:ascii="宋体" w:hAnsi="宋体" w:cs="宋体"/>
                <w:b w:val="0"/>
                <w:bCs w:val="0"/>
                <w:color w:val="auto"/>
                <w:kern w:val="0"/>
                <w:szCs w:val="21"/>
                <w:lang w:val="en-US" w:eastAsia="zh-CN"/>
              </w:rPr>
              <w:t>人员</w:t>
            </w:r>
            <w:r>
              <w:rPr>
                <w:rFonts w:hint="eastAsia" w:ascii="宋体" w:hAnsi="宋体" w:eastAsia="宋体" w:cs="宋体"/>
                <w:b w:val="0"/>
                <w:bCs w:val="0"/>
                <w:color w:val="auto"/>
                <w:kern w:val="0"/>
                <w:szCs w:val="21"/>
              </w:rPr>
              <w:t>具备履行职责的身体条件得</w:t>
            </w:r>
            <w:r>
              <w:rPr>
                <w:rFonts w:hint="eastAsia" w:ascii="宋体" w:hAnsi="宋体" w:eastAsia="宋体" w:cs="宋体"/>
                <w:b w:val="0"/>
                <w:bCs w:val="0"/>
                <w:color w:val="auto"/>
                <w:kern w:val="0"/>
                <w:szCs w:val="21"/>
                <w:lang w:val="en-US" w:eastAsia="zh-CN"/>
              </w:rPr>
              <w:t>5</w:t>
            </w:r>
            <w:r>
              <w:rPr>
                <w:rFonts w:hint="eastAsia" w:ascii="宋体" w:hAnsi="宋体" w:eastAsia="宋体" w:cs="宋体"/>
                <w:b w:val="0"/>
                <w:bCs w:val="0"/>
                <w:color w:val="auto"/>
                <w:kern w:val="0"/>
                <w:szCs w:val="21"/>
              </w:rPr>
              <w:t>分，否则不得分。</w:t>
            </w:r>
          </w:p>
          <w:p w14:paraId="136ED444">
            <w:pPr>
              <w:keepNext w:val="0"/>
              <w:keepLines w:val="0"/>
              <w:pageBreakBefore w:val="0"/>
              <w:suppressLineNumbers w:val="0"/>
              <w:kinsoku/>
              <w:wordWrap w:val="0"/>
              <w:overflowPunct/>
              <w:bidi w:val="0"/>
              <w:spacing w:before="72" w:beforeLines="30" w:beforeAutospacing="0" w:after="0" w:afterAutospacing="0" w:line="240" w:lineRule="auto"/>
              <w:ind w:left="21" w:leftChars="10" w:right="21" w:rightChars="10"/>
              <w:textAlignment w:val="top"/>
              <w:rPr>
                <w:rFonts w:hint="default" w:ascii="宋体" w:hAnsi="宋体" w:cs="宋体"/>
                <w:b w:val="0"/>
                <w:bCs w:val="0"/>
                <w:color w:val="auto"/>
                <w:kern w:val="0"/>
                <w:sz w:val="21"/>
                <w:szCs w:val="21"/>
                <w:highlight w:val="none"/>
                <w:lang w:val="en-US" w:eastAsia="zh-CN"/>
              </w:rPr>
            </w:pPr>
            <w:r>
              <w:rPr>
                <w:rFonts w:hint="eastAsia" w:ascii="宋体" w:hAnsi="宋体" w:cs="宋体"/>
                <w:b/>
                <w:bCs/>
                <w:color w:val="auto"/>
                <w:kern w:val="0"/>
                <w:szCs w:val="21"/>
                <w:lang w:val="en-US" w:eastAsia="zh-CN"/>
              </w:rPr>
              <w:t>注：以上承诺格式自拟。承诺内容在中标签订合同后一个月，甲方检查落实情况，若有隐瞒、不实内容，甲方有权解除合同，并追偿由此造成的损失。</w:t>
            </w:r>
          </w:p>
        </w:tc>
      </w:tr>
    </w:tbl>
    <w:p w14:paraId="54CABDD0">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评审方法</w:t>
      </w:r>
      <w:bookmarkEnd w:id="746"/>
      <w:bookmarkEnd w:id="747"/>
    </w:p>
    <w:p w14:paraId="3CE4441A">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1.1 本次评审采用综合评分法。磋商小组对满足竞争性磋商文件实质性要求的响应文件，按照本章规定的评分标准进行打分，并按得分由高到低顺序推荐成交候选人，综合评分相等时，以报价得分高的优先；报价得分相等的，由采购人自行确定。</w:t>
      </w:r>
      <w:bookmarkStart w:id="749" w:name="_Toc24936"/>
      <w:bookmarkStart w:id="750" w:name="_Toc466298140"/>
      <w:bookmarkStart w:id="751" w:name="_Toc6612"/>
      <w:bookmarkStart w:id="752" w:name="_Toc152042378"/>
      <w:bookmarkStart w:id="753" w:name="_Toc455867817"/>
      <w:bookmarkStart w:id="754" w:name="_Toc29362"/>
      <w:bookmarkStart w:id="755" w:name="_Toc144974568"/>
      <w:bookmarkStart w:id="756" w:name="_Toc26131"/>
      <w:bookmarkStart w:id="757" w:name="_Toc20837"/>
      <w:bookmarkStart w:id="758" w:name="_Toc318450723"/>
      <w:bookmarkStart w:id="759" w:name="_Toc490667876"/>
      <w:bookmarkStart w:id="760" w:name="_Toc281405529"/>
      <w:bookmarkStart w:id="761" w:name="_Toc152045601"/>
      <w:bookmarkStart w:id="762" w:name="_Toc455080157"/>
    </w:p>
    <w:p w14:paraId="4321068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 磋商小组初步评审后有效投标不足3个的，</w:t>
      </w:r>
      <w:r>
        <w:rPr>
          <w:rFonts w:hint="eastAsia" w:ascii="宋体" w:hAnsi="宋体" w:cs="宋体"/>
          <w:color w:val="auto"/>
          <w:szCs w:val="21"/>
          <w:lang w:val="en-US" w:eastAsia="zh-CN"/>
        </w:rPr>
        <w:t>依据财政部关于政府采购竞争性磋商采购方式管理暂行办法有关问题的补充通知（财库【2015】124号），采用竞争磋商采购方式采购的政府购买服务项目，采购过程中符合要求的供应商只有2家的，竞争性磋商采购活动可以继续进行。</w:t>
      </w:r>
    </w:p>
    <w:p w14:paraId="76BCBA90">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763" w:name="_Toc14678"/>
      <w:bookmarkStart w:id="764" w:name="_Toc15287"/>
      <w:r>
        <w:rPr>
          <w:rFonts w:hint="eastAsia" w:ascii="宋体" w:hAnsi="宋体" w:eastAsia="宋体" w:cs="宋体"/>
          <w:color w:val="auto"/>
          <w:szCs w:val="21"/>
        </w:rPr>
        <w:t>2. 评审标准</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Start w:id="765" w:name="_Toc19934"/>
      <w:bookmarkStart w:id="766" w:name="_Toc281405530"/>
      <w:bookmarkStart w:id="767" w:name="_Toc15813"/>
      <w:bookmarkStart w:id="768" w:name="_Toc2867"/>
      <w:bookmarkStart w:id="769" w:name="_Toc466298141"/>
      <w:bookmarkStart w:id="770" w:name="_Toc21120"/>
      <w:bookmarkStart w:id="771" w:name="_Toc152045602"/>
      <w:bookmarkStart w:id="772" w:name="_Toc25637"/>
      <w:bookmarkStart w:id="773" w:name="_Toc318450724"/>
      <w:bookmarkStart w:id="774" w:name="_Toc490667877"/>
      <w:bookmarkStart w:id="775" w:name="_Toc455080158"/>
      <w:bookmarkStart w:id="776" w:name="_Toc6711"/>
      <w:bookmarkStart w:id="777" w:name="_Toc152042379"/>
      <w:bookmarkStart w:id="778" w:name="_Toc24558"/>
      <w:bookmarkStart w:id="779" w:name="_Toc11223"/>
      <w:bookmarkStart w:id="780" w:name="_Toc455867818"/>
      <w:bookmarkStart w:id="781" w:name="_Toc31037"/>
      <w:bookmarkStart w:id="782" w:name="_Toc144974569"/>
    </w:p>
    <w:p w14:paraId="1AEB1AB7">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783" w:name="_Toc26567"/>
      <w:r>
        <w:rPr>
          <w:rFonts w:hint="eastAsia" w:ascii="宋体" w:hAnsi="宋体" w:eastAsia="宋体" w:cs="宋体"/>
          <w:color w:val="auto"/>
          <w:szCs w:val="21"/>
        </w:rPr>
        <w:t>2.1 初步评审标准</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0404702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2.1.1 资格检查评审标准：见评审办法前附表。</w:t>
      </w:r>
    </w:p>
    <w:p w14:paraId="2F560C33">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2.1.2 符合性检查评审标准：见评审办法前附表。</w:t>
      </w:r>
    </w:p>
    <w:p w14:paraId="63B7D9BD">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784" w:name="_Toc26179"/>
      <w:bookmarkStart w:id="785" w:name="_Toc144974570"/>
      <w:bookmarkStart w:id="786" w:name="_Toc30189"/>
      <w:bookmarkStart w:id="787" w:name="_Toc455867819"/>
      <w:bookmarkStart w:id="788" w:name="_Toc490667878"/>
      <w:bookmarkStart w:id="789" w:name="_Toc12013"/>
      <w:bookmarkStart w:id="790" w:name="_Toc24825"/>
      <w:bookmarkStart w:id="791" w:name="_Toc7284"/>
      <w:bookmarkStart w:id="792" w:name="_Toc22439"/>
      <w:bookmarkStart w:id="793" w:name="_Toc466298142"/>
      <w:bookmarkStart w:id="794" w:name="_Toc152042380"/>
      <w:bookmarkStart w:id="795" w:name="_Toc152045603"/>
      <w:bookmarkStart w:id="796" w:name="_Toc455080159"/>
      <w:bookmarkStart w:id="797" w:name="_Toc11061"/>
      <w:bookmarkStart w:id="798" w:name="_Toc28765"/>
      <w:bookmarkStart w:id="799" w:name="_Toc25492"/>
      <w:bookmarkStart w:id="800" w:name="_Toc281405531"/>
      <w:bookmarkStart w:id="801" w:name="_Toc318450725"/>
      <w:bookmarkStart w:id="802" w:name="_Toc21970"/>
      <w:r>
        <w:rPr>
          <w:rFonts w:hint="eastAsia" w:ascii="宋体" w:hAnsi="宋体" w:eastAsia="宋体" w:cs="宋体"/>
          <w:color w:val="auto"/>
          <w:szCs w:val="21"/>
        </w:rPr>
        <w:t>2.2 分值构成与评分标准</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0733FF68">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（1）商务标：见评审办法前附表；</w:t>
      </w:r>
    </w:p>
    <w:p w14:paraId="2E975BAE">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（2）技术标：见评审办法前附表；</w:t>
      </w:r>
    </w:p>
    <w:p w14:paraId="15744C31">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（3）综合标：见评审办法前附表。</w:t>
      </w:r>
    </w:p>
    <w:p w14:paraId="63E47F23">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803" w:name="_Toc27018"/>
      <w:bookmarkStart w:id="804" w:name="_Toc318450726"/>
      <w:bookmarkStart w:id="805" w:name="_Toc32314"/>
      <w:bookmarkStart w:id="806" w:name="_Toc17308"/>
      <w:bookmarkStart w:id="807" w:name="_Toc29882"/>
      <w:bookmarkStart w:id="808" w:name="_Toc455867820"/>
      <w:bookmarkStart w:id="809" w:name="_Toc29297"/>
      <w:bookmarkStart w:id="810" w:name="_Toc281405532"/>
      <w:bookmarkStart w:id="811" w:name="_Toc16479"/>
      <w:bookmarkStart w:id="812" w:name="_Toc18127"/>
      <w:bookmarkStart w:id="813" w:name="_Toc490667879"/>
      <w:bookmarkStart w:id="814" w:name="_Toc466298143"/>
      <w:bookmarkStart w:id="815" w:name="_Toc455080160"/>
      <w:r>
        <w:rPr>
          <w:rFonts w:hint="eastAsia" w:ascii="宋体" w:hAnsi="宋体" w:eastAsia="宋体" w:cs="宋体"/>
          <w:color w:val="auto"/>
          <w:szCs w:val="21"/>
        </w:rPr>
        <w:t>3. 评审程序</w:t>
      </w:r>
      <w:bookmarkEnd w:id="803"/>
      <w:bookmarkEnd w:id="804"/>
      <w:bookmarkEnd w:id="805"/>
      <w:bookmarkEnd w:id="806"/>
      <w:bookmarkEnd w:id="807"/>
      <w:bookmarkEnd w:id="808"/>
      <w:bookmarkEnd w:id="809"/>
      <w:bookmarkEnd w:id="810"/>
      <w:bookmarkEnd w:id="811"/>
      <w:bookmarkEnd w:id="812"/>
      <w:bookmarkEnd w:id="813"/>
      <w:bookmarkEnd w:id="814"/>
      <w:bookmarkEnd w:id="815"/>
    </w:p>
    <w:p w14:paraId="2DE3BC7F">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816" w:name="_Toc318450727"/>
      <w:bookmarkStart w:id="817" w:name="_Toc5427"/>
      <w:bookmarkStart w:id="818" w:name="_Toc466298144"/>
      <w:bookmarkStart w:id="819" w:name="_Toc14633"/>
      <w:bookmarkStart w:id="820" w:name="_Toc32763"/>
      <w:bookmarkStart w:id="821" w:name="_Toc18886"/>
      <w:bookmarkStart w:id="822" w:name="_Toc29092"/>
      <w:bookmarkStart w:id="823" w:name="_Toc490667880"/>
      <w:bookmarkStart w:id="824" w:name="_Toc9433"/>
      <w:bookmarkStart w:id="825" w:name="_Toc30986"/>
      <w:bookmarkStart w:id="826" w:name="_Toc29614"/>
      <w:bookmarkStart w:id="827" w:name="_Toc455080161"/>
      <w:bookmarkStart w:id="828" w:name="_Toc455867821"/>
      <w:bookmarkStart w:id="829" w:name="_Toc16892"/>
      <w:bookmarkStart w:id="830" w:name="_Toc2410"/>
      <w:bookmarkStart w:id="831" w:name="_Toc7272"/>
      <w:bookmarkStart w:id="832" w:name="_Toc281405533"/>
      <w:r>
        <w:rPr>
          <w:rFonts w:hint="eastAsia" w:ascii="宋体" w:hAnsi="宋体" w:eastAsia="宋体" w:cs="宋体"/>
          <w:color w:val="auto"/>
          <w:szCs w:val="21"/>
        </w:rPr>
        <w:t>3.1 初步评审</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1EBAB708">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833" w:name="_Toc490667881"/>
      <w:bookmarkStart w:id="834" w:name="_Toc22101"/>
      <w:bookmarkStart w:id="835" w:name="_Toc13386"/>
      <w:bookmarkStart w:id="836" w:name="_Toc10692"/>
      <w:bookmarkStart w:id="837" w:name="_Toc318450728"/>
      <w:bookmarkStart w:id="838" w:name="_Toc455080162"/>
      <w:bookmarkStart w:id="839" w:name="_Toc12406"/>
      <w:bookmarkStart w:id="840" w:name="_Toc26049"/>
      <w:bookmarkStart w:id="841" w:name="_Toc21032"/>
      <w:bookmarkStart w:id="842" w:name="_Toc7121"/>
      <w:bookmarkStart w:id="843" w:name="_Toc281405534"/>
      <w:bookmarkStart w:id="844" w:name="_Toc26280"/>
      <w:bookmarkStart w:id="845" w:name="_Toc455867822"/>
      <w:bookmarkStart w:id="846" w:name="_Toc16964"/>
      <w:bookmarkStart w:id="847" w:name="_Toc466298145"/>
      <w:bookmarkStart w:id="848" w:name="_Toc21570"/>
      <w:r>
        <w:rPr>
          <w:rFonts w:hint="eastAsia" w:ascii="宋体" w:hAnsi="宋体" w:eastAsia="宋体" w:cs="宋体"/>
          <w:color w:val="auto"/>
          <w:szCs w:val="21"/>
        </w:rPr>
        <w:t>3.1.1 只有通过资格审查的供应商才能进入符合性评审。磋商小组依据2.1.2规定的内容和标准对响应文件进行符合性审查。有一项不符合评审标准的，其相应文件做无效处理，不得进入详细评审。</w:t>
      </w:r>
    </w:p>
    <w:p w14:paraId="1504E07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3.1.2 供应商有以下情形之一的，其响应文件作无效处理：</w:t>
      </w:r>
    </w:p>
    <w:p w14:paraId="6A782C0D">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（1）串通或弄虚作假或有其他违法行为的；</w:t>
      </w:r>
    </w:p>
    <w:p w14:paraId="0037B7BC">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（2）不按磋商小组要求澄清、说明或补正的；</w:t>
      </w:r>
    </w:p>
    <w:p w14:paraId="3B146BF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（3）未按规定格式填写、内容不全或关键字迹模糊、无法辨认的；</w:t>
      </w:r>
    </w:p>
    <w:p w14:paraId="12F21C5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（4）响应文件附有采购人不能接受的条件；</w:t>
      </w:r>
    </w:p>
    <w:p w14:paraId="3F8B334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（5）不符合竞争性磋商文件规定的其他实质性要求。</w:t>
      </w:r>
    </w:p>
    <w:p w14:paraId="681A7A12">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849" w:name="_Toc32028"/>
      <w:r>
        <w:rPr>
          <w:rFonts w:hint="eastAsia" w:ascii="宋体" w:hAnsi="宋体" w:eastAsia="宋体" w:cs="宋体"/>
          <w:color w:val="auto"/>
          <w:szCs w:val="21"/>
        </w:rPr>
        <w:t>3.2 详细评审</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5D460DD1">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3.2.1 磋商小组按本章第2.2款规定的量化因素和分值进行打分，并计算出综合评分得分。</w:t>
      </w:r>
    </w:p>
    <w:p w14:paraId="771A29D9">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3.2.2 评分分值计算保留小数点后两位，小数点后第三位“四舍五入”。</w:t>
      </w:r>
    </w:p>
    <w:p w14:paraId="657E82A2">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3.2.3 供应商的最终得分以全部小组成员打分的算术平均值为准，作为该供应商的最终得分。</w:t>
      </w:r>
    </w:p>
    <w:p w14:paraId="23694F21">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3.2.4 在磋商过程中，凡遇到竞争性磋商文件中无界定或界定不清、前后不一致使磋商小组意见有分歧且又难以协商一致的问题，均由磋商小组予以表决，获半数以上同意的即为通过，未获半数同意的即为否决。</w:t>
      </w:r>
    </w:p>
    <w:p w14:paraId="07F48427">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850" w:name="_Toc12374"/>
      <w:bookmarkStart w:id="851" w:name="_Toc24862"/>
      <w:bookmarkStart w:id="852" w:name="_Toc11958"/>
      <w:bookmarkStart w:id="853" w:name="_Toc331"/>
      <w:bookmarkStart w:id="854" w:name="_Toc466298146"/>
      <w:bookmarkStart w:id="855" w:name="_Toc2657"/>
      <w:bookmarkStart w:id="856" w:name="_Toc455867823"/>
      <w:bookmarkStart w:id="857" w:name="_Toc12603"/>
      <w:bookmarkStart w:id="858" w:name="_Toc8813"/>
      <w:bookmarkStart w:id="859" w:name="_Toc281405535"/>
      <w:bookmarkStart w:id="860" w:name="_Toc8342"/>
      <w:bookmarkStart w:id="861" w:name="_Toc10153"/>
      <w:bookmarkStart w:id="862" w:name="_Toc28633"/>
      <w:bookmarkStart w:id="863" w:name="_Toc490667882"/>
      <w:bookmarkStart w:id="864" w:name="_Toc455080163"/>
      <w:bookmarkStart w:id="865" w:name="_Toc22084"/>
      <w:bookmarkStart w:id="866" w:name="_Toc318450729"/>
      <w:r>
        <w:rPr>
          <w:rFonts w:hint="eastAsia" w:ascii="宋体" w:hAnsi="宋体" w:eastAsia="宋体" w:cs="宋体"/>
          <w:color w:val="auto"/>
          <w:szCs w:val="21"/>
        </w:rPr>
        <w:t>3.3 响应文件的澄清和补正</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49C80E7F">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3.3.1 在磋商过程中，磋商小组可以书面形式要求供应商对所提交的响应文件中不明确的内容进行书面澄清或说明，或者对细微偏离进行补正。磋商小组不接受供应商主动提出的澄清、说明或补正。</w:t>
      </w:r>
    </w:p>
    <w:p w14:paraId="087277B7">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3.3.2 澄清、说明和补正不得超出响应文件的范围或者改变响应文件的实质性内容（算术性错误修正的除外）。供应商的书面澄清、说明和补正属于响应文件的组成部分。</w:t>
      </w:r>
    </w:p>
    <w:p w14:paraId="01B8EC6B">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3.3.3 磋商小组对供应商提交的澄清、说明或补正有疑问的，可以要求供应商进一步澄清、说明或补正，直至满足磋商小组的要求。</w:t>
      </w:r>
    </w:p>
    <w:p w14:paraId="6CF99C7B">
      <w:pPr>
        <w:pageBreakBefore w:val="0"/>
        <w:kinsoku/>
        <w:wordWrap w:val="0"/>
        <w:overflowPunct/>
        <w:bidi w:val="0"/>
        <w:spacing w:line="360" w:lineRule="auto"/>
        <w:ind w:firstLine="420" w:firstLineChars="200"/>
        <w:rPr>
          <w:rFonts w:hint="eastAsia" w:ascii="宋体" w:hAnsi="宋体" w:eastAsia="宋体" w:cs="宋体"/>
          <w:color w:val="auto"/>
          <w:szCs w:val="21"/>
        </w:rPr>
      </w:pPr>
      <w:bookmarkStart w:id="867" w:name="_Toc490667883"/>
      <w:bookmarkStart w:id="868" w:name="_Toc19938"/>
      <w:bookmarkStart w:id="869" w:name="_Toc318450730"/>
      <w:bookmarkStart w:id="870" w:name="_Toc1857"/>
      <w:bookmarkStart w:id="871" w:name="_Toc22049"/>
      <w:bookmarkStart w:id="872" w:name="_Toc466298147"/>
      <w:bookmarkStart w:id="873" w:name="_Toc26894"/>
      <w:bookmarkStart w:id="874" w:name="_Toc14789"/>
      <w:bookmarkStart w:id="875" w:name="_Toc22682"/>
      <w:bookmarkStart w:id="876" w:name="_Toc455867824"/>
      <w:bookmarkStart w:id="877" w:name="_Toc455080164"/>
      <w:bookmarkStart w:id="878" w:name="_Toc30053"/>
      <w:bookmarkStart w:id="879" w:name="_Toc5903"/>
      <w:bookmarkStart w:id="880" w:name="_Toc22986"/>
      <w:bookmarkStart w:id="881" w:name="_Toc281405536"/>
      <w:bookmarkStart w:id="882" w:name="_Toc19453"/>
      <w:bookmarkStart w:id="883" w:name="_Toc32183"/>
      <w:r>
        <w:rPr>
          <w:rFonts w:hint="eastAsia" w:ascii="宋体" w:hAnsi="宋体" w:eastAsia="宋体" w:cs="宋体"/>
          <w:color w:val="auto"/>
          <w:szCs w:val="21"/>
        </w:rPr>
        <w:t>3.4 评审结果</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7B6A3524">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3.4.1 除第二章“供应商须知”前附表授权直接确定成交人外，磋商小组按照得分由高到低的顺序推荐成交候选人。</w:t>
      </w:r>
    </w:p>
    <w:p w14:paraId="216B2235">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3.4.2 磋商小组完成评审后，应当向采购人提交书面评审报告。</w:t>
      </w:r>
    </w:p>
    <w:p w14:paraId="790D1E11">
      <w:pPr>
        <w:pageBreakBefore w:val="0"/>
        <w:kinsoku/>
        <w:wordWrap w:val="0"/>
        <w:overflowPunct/>
        <w:bidi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3.4.3评标结果在发布招标公告的同一媒介上公示。</w:t>
      </w:r>
      <w:bookmarkStart w:id="884" w:name="_Toc30580"/>
    </w:p>
    <w:p w14:paraId="06C14E64">
      <w:pPr>
        <w:rPr>
          <w:rFonts w:hint="eastAsia"/>
          <w:b/>
          <w:bCs/>
          <w:color w:val="auto"/>
          <w:sz w:val="28"/>
          <w:szCs w:val="36"/>
        </w:rPr>
      </w:pPr>
      <w:bookmarkStart w:id="885" w:name="_Toc18565"/>
      <w:bookmarkStart w:id="886" w:name="_Toc14521"/>
      <w:bookmarkStart w:id="887" w:name="_Toc11613"/>
      <w:bookmarkStart w:id="888" w:name="_Toc25046"/>
      <w:bookmarkStart w:id="889" w:name="_Toc16109"/>
      <w:r>
        <w:rPr>
          <w:rFonts w:hint="eastAsia"/>
          <w:b/>
          <w:bCs/>
          <w:color w:val="auto"/>
          <w:sz w:val="28"/>
          <w:szCs w:val="36"/>
        </w:rPr>
        <w:br w:type="page"/>
      </w:r>
    </w:p>
    <w:p w14:paraId="08E925AE">
      <w:pPr>
        <w:rPr>
          <w:rFonts w:hint="eastAsia"/>
          <w:b/>
          <w:bCs/>
          <w:color w:val="auto"/>
          <w:sz w:val="28"/>
          <w:szCs w:val="36"/>
        </w:rPr>
      </w:pPr>
      <w:r>
        <w:rPr>
          <w:rFonts w:hint="eastAsia"/>
          <w:b/>
          <w:bCs/>
          <w:color w:val="auto"/>
          <w:sz w:val="28"/>
          <w:szCs w:val="36"/>
        </w:rPr>
        <w:t>附件：废标条件</w:t>
      </w:r>
      <w:bookmarkEnd w:id="884"/>
      <w:bookmarkEnd w:id="885"/>
      <w:bookmarkEnd w:id="886"/>
      <w:bookmarkEnd w:id="887"/>
      <w:bookmarkEnd w:id="888"/>
      <w:bookmarkEnd w:id="889"/>
    </w:p>
    <w:p w14:paraId="24BB23EA">
      <w:pPr>
        <w:pageBreakBefore w:val="0"/>
        <w:kinsoku/>
        <w:wordWrap w:val="0"/>
        <w:overflowPunct/>
        <w:bidi w:val="0"/>
        <w:spacing w:line="360" w:lineRule="auto"/>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本附件所集中列示的废标条件，是本章“评标办法”的组成部分，是对第二章“供应商须知”和本章正文部分所规定的废标条件的总结和补充，如果出现相互矛盾的情况，以第二章“供应商须知”和本章正文部分的规定为准。</w:t>
      </w:r>
    </w:p>
    <w:p w14:paraId="507C8FFF">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1.未通过第三章评标办法资格评审、符合性评审的；</w:t>
      </w:r>
    </w:p>
    <w:p w14:paraId="18ECEF67">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2.不按磋商小组要求澄清、说明或补正的；</w:t>
      </w:r>
    </w:p>
    <w:p w14:paraId="42E506DF">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3.磋商报价有算术性错误，供应商不接受修正价格的；</w:t>
      </w:r>
    </w:p>
    <w:p w14:paraId="0C347283">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4.以他人的名义投标、以行贿手段谋取中标或者以其他弄虚作假方式投标的；</w:t>
      </w:r>
    </w:p>
    <w:p w14:paraId="77B8A075">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5.属于串（围）标行为的；</w:t>
      </w:r>
    </w:p>
    <w:p w14:paraId="48198D2D">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6.评标委员会认定供应商以低于成本报价竞标的；</w:t>
      </w:r>
    </w:p>
    <w:p w14:paraId="5CF6316F">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7.明显不符合技术规格、技术标准的要求；</w:t>
      </w:r>
    </w:p>
    <w:p w14:paraId="3545B122">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8.文件制作机器码、文件创建标识码有相同的；</w:t>
      </w:r>
    </w:p>
    <w:p w14:paraId="2D9AC7E7">
      <w:pPr>
        <w:pageBreakBefore w:val="0"/>
        <w:tabs>
          <w:tab w:val="left" w:pos="709"/>
        </w:tabs>
        <w:kinsoku/>
        <w:wordWrap w:val="0"/>
        <w:overflowPunct/>
        <w:autoSpaceDE w:val="0"/>
        <w:autoSpaceDN w:val="0"/>
        <w:bidi w:val="0"/>
        <w:adjustRightInd w:val="0"/>
        <w:snapToGrid w:val="0"/>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rPr>
        <w:t>9.不符合竞争性磋商文件规定的其他实质性要求及相关法律、法规或规章规定可以废标的其他情形；</w:t>
      </w:r>
    </w:p>
    <w:p w14:paraId="63E3C81B">
      <w:pPr>
        <w:pageBreakBefore w:val="0"/>
        <w:tabs>
          <w:tab w:val="left" w:pos="709"/>
        </w:tabs>
        <w:kinsoku/>
        <w:wordWrap w:val="0"/>
        <w:overflowPunct/>
        <w:autoSpaceDE w:val="0"/>
        <w:autoSpaceDN w:val="0"/>
        <w:bidi w:val="0"/>
        <w:adjustRightInd w:val="0"/>
        <w:snapToGrid w:val="0"/>
        <w:spacing w:after="120" w:afterLines="50"/>
        <w:jc w:val="center"/>
        <w:rPr>
          <w:rFonts w:hint="eastAsia" w:ascii="宋体" w:hAnsi="宋体" w:eastAsia="宋体" w:cs="宋体"/>
          <w:b/>
          <w:color w:val="auto"/>
          <w:szCs w:val="21"/>
        </w:rPr>
      </w:pPr>
      <w:r>
        <w:rPr>
          <w:rFonts w:hint="eastAsia" w:ascii="宋体" w:hAnsi="宋体" w:eastAsia="宋体" w:cs="宋体"/>
          <w:b/>
          <w:color w:val="auto"/>
          <w:szCs w:val="21"/>
        </w:rPr>
        <w:br w:type="page"/>
      </w:r>
      <w:bookmarkEnd w:id="748"/>
      <w:bookmarkStart w:id="890" w:name="_Toc26853"/>
      <w:bookmarkStart w:id="891" w:name="_Toc2311"/>
    </w:p>
    <w:p w14:paraId="363A8270">
      <w:pPr>
        <w:pageBreakBefore w:val="0"/>
        <w:numPr>
          <w:ilvl w:val="0"/>
          <w:numId w:val="1"/>
        </w:numPr>
        <w:kinsoku/>
        <w:wordWrap w:val="0"/>
        <w:overflowPunct/>
        <w:autoSpaceDE w:val="0"/>
        <w:autoSpaceDN w:val="0"/>
        <w:bidi w:val="0"/>
        <w:adjustRightInd w:val="0"/>
        <w:snapToGrid w:val="0"/>
        <w:spacing w:after="120" w:afterLines="50"/>
        <w:ind w:left="0" w:leftChars="0" w:firstLine="0" w:firstLineChars="0"/>
        <w:jc w:val="center"/>
        <w:outlineLvl w:val="0"/>
        <w:rPr>
          <w:rFonts w:hint="eastAsia" w:ascii="宋体" w:hAnsi="宋体" w:eastAsia="宋体" w:cs="宋体"/>
          <w:b/>
          <w:bCs/>
          <w:color w:val="auto"/>
          <w:kern w:val="44"/>
          <w:sz w:val="44"/>
          <w:szCs w:val="44"/>
        </w:rPr>
      </w:pPr>
      <w:bookmarkStart w:id="892" w:name="_Toc19439"/>
      <w:r>
        <w:rPr>
          <w:rFonts w:hint="eastAsia" w:ascii="宋体" w:hAnsi="宋体" w:eastAsia="宋体" w:cs="宋体"/>
          <w:b/>
          <w:bCs/>
          <w:color w:val="auto"/>
          <w:kern w:val="44"/>
          <w:sz w:val="44"/>
          <w:szCs w:val="44"/>
        </w:rPr>
        <w:t>河南省政府采购合同</w:t>
      </w:r>
    </w:p>
    <w:bookmarkEnd w:id="890"/>
    <w:bookmarkEnd w:id="891"/>
    <w:bookmarkEnd w:id="892"/>
    <w:p w14:paraId="1F5D7592">
      <w:pPr>
        <w:pageBreakBefore w:val="0"/>
        <w:wordWrap w:val="0"/>
        <w:autoSpaceDE w:val="0"/>
        <w:autoSpaceDN w:val="0"/>
        <w:bidi w:val="0"/>
        <w:adjustRightInd w:val="0"/>
        <w:spacing w:line="360" w:lineRule="auto"/>
        <w:ind w:firstLine="420"/>
        <w:jc w:val="center"/>
        <w:textAlignment w:val="auto"/>
        <w:rPr>
          <w:rFonts w:hint="eastAsia" w:ascii="宋体" w:hAnsi="宋体" w:eastAsia="宋体" w:cs="宋体"/>
          <w:b/>
          <w:bCs/>
          <w:color w:val="auto"/>
          <w:kern w:val="0"/>
          <w:sz w:val="22"/>
          <w:szCs w:val="22"/>
          <w:lang w:val="en-US" w:eastAsia="zh-CN"/>
        </w:rPr>
      </w:pPr>
      <w:bookmarkStart w:id="893" w:name="_Toc486587369"/>
      <w:r>
        <w:rPr>
          <w:rFonts w:hint="eastAsia" w:ascii="宋体" w:hAnsi="宋体" w:eastAsia="宋体" w:cs="宋体"/>
          <w:b/>
          <w:bCs/>
          <w:color w:val="auto"/>
          <w:kern w:val="0"/>
          <w:sz w:val="22"/>
          <w:szCs w:val="22"/>
          <w:lang w:val="en-US" w:eastAsia="zh-CN"/>
        </w:rPr>
        <w:t>（参考格式，以实际签订合同为准）</w:t>
      </w:r>
    </w:p>
    <w:p w14:paraId="0A5C4464">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p>
    <w:p w14:paraId="487526A9">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采购人（甲方）：                          供应商（乙方）：</w:t>
      </w:r>
    </w:p>
    <w:p w14:paraId="63671E0C">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签订地点：</w:t>
      </w:r>
    </w:p>
    <w:p w14:paraId="402F9B83">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项目名称：                               项目编号：</w:t>
      </w:r>
    </w:p>
    <w:p w14:paraId="3BD64C9E">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 xml:space="preserve">本项目经批准采用 </w:t>
      </w:r>
      <w:r>
        <w:rPr>
          <w:rFonts w:hint="eastAsia" w:ascii="宋体" w:hAnsi="宋体" w:eastAsia="宋体" w:cs="宋体"/>
          <w:color w:val="auto"/>
          <w:kern w:val="2"/>
          <w:sz w:val="22"/>
          <w:szCs w:val="22"/>
          <w:u w:val="single"/>
          <w:lang w:val="en-US" w:eastAsia="zh-CN" w:bidi="ar-SA"/>
          <w14:ligatures w14:val="none"/>
        </w:rPr>
        <w:t xml:space="preserve">          </w:t>
      </w:r>
      <w:r>
        <w:rPr>
          <w:rFonts w:hint="eastAsia" w:ascii="宋体" w:hAnsi="宋体" w:eastAsia="宋体" w:cs="宋体"/>
          <w:color w:val="auto"/>
          <w:kern w:val="2"/>
          <w:sz w:val="22"/>
          <w:szCs w:val="22"/>
          <w:lang w:val="en-US" w:eastAsia="zh-CN" w:bidi="ar-SA"/>
          <w14:ligatures w14:val="none"/>
        </w:rPr>
        <w:t>采购方式，经本项目评审委员会认真评审，决定将采购合同授予乙方。为进一步明确双方的责任，确保合同的顺利履行，根据《中华人民共和国政府采购法》、《中华人民共和国合同法》之规定，经甲乙双方充分协商，特订立本合同，以便共同遵守。</w:t>
      </w:r>
    </w:p>
    <w:p w14:paraId="47FEF254">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第一条 服务的内容、标准、数量和价格：</w:t>
      </w:r>
    </w:p>
    <w:tbl>
      <w:tblPr>
        <w:tblStyle w:val="5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1"/>
        <w:gridCol w:w="1704"/>
        <w:gridCol w:w="947"/>
        <w:gridCol w:w="947"/>
        <w:gridCol w:w="1125"/>
        <w:gridCol w:w="1312"/>
        <w:gridCol w:w="1164"/>
      </w:tblGrid>
      <w:tr w14:paraId="7DC4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122" w:type="pct"/>
            <w:noWrap w:val="0"/>
            <w:vAlign w:val="top"/>
          </w:tcPr>
          <w:p w14:paraId="1CA1D55A">
            <w:pPr>
              <w:keepNext w:val="0"/>
              <w:keepLines w:val="0"/>
              <w:pageBreakBefore w:val="0"/>
              <w:suppressLineNumbers w:val="0"/>
              <w:wordWrap w:val="0"/>
              <w:bidi w:val="0"/>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服务内容</w:t>
            </w:r>
          </w:p>
        </w:tc>
        <w:tc>
          <w:tcPr>
            <w:tcW w:w="918" w:type="pct"/>
            <w:noWrap w:val="0"/>
            <w:vAlign w:val="top"/>
          </w:tcPr>
          <w:p w14:paraId="1D64352F">
            <w:pPr>
              <w:keepNext w:val="0"/>
              <w:keepLines w:val="0"/>
              <w:pageBreakBefore w:val="0"/>
              <w:suppressLineNumbers w:val="0"/>
              <w:wordWrap w:val="0"/>
              <w:bidi w:val="0"/>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标准水平</w:t>
            </w:r>
          </w:p>
        </w:tc>
        <w:tc>
          <w:tcPr>
            <w:tcW w:w="510" w:type="pct"/>
            <w:noWrap w:val="0"/>
            <w:vAlign w:val="top"/>
          </w:tcPr>
          <w:p w14:paraId="26203731">
            <w:pPr>
              <w:keepNext w:val="0"/>
              <w:keepLines w:val="0"/>
              <w:pageBreakBefore w:val="0"/>
              <w:suppressLineNumbers w:val="0"/>
              <w:wordWrap w:val="0"/>
              <w:bidi w:val="0"/>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单位</w:t>
            </w:r>
          </w:p>
        </w:tc>
        <w:tc>
          <w:tcPr>
            <w:tcW w:w="510" w:type="pct"/>
            <w:noWrap w:val="0"/>
            <w:vAlign w:val="top"/>
          </w:tcPr>
          <w:p w14:paraId="0B3EC5D8">
            <w:pPr>
              <w:keepNext w:val="0"/>
              <w:keepLines w:val="0"/>
              <w:pageBreakBefore w:val="0"/>
              <w:suppressLineNumbers w:val="0"/>
              <w:wordWrap w:val="0"/>
              <w:bidi w:val="0"/>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数量</w:t>
            </w:r>
          </w:p>
        </w:tc>
        <w:tc>
          <w:tcPr>
            <w:tcW w:w="606" w:type="pct"/>
            <w:noWrap w:val="0"/>
            <w:vAlign w:val="top"/>
          </w:tcPr>
          <w:p w14:paraId="1E8892F0">
            <w:pPr>
              <w:keepNext w:val="0"/>
              <w:keepLines w:val="0"/>
              <w:pageBreakBefore w:val="0"/>
              <w:suppressLineNumbers w:val="0"/>
              <w:wordWrap w:val="0"/>
              <w:bidi w:val="0"/>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单价</w:t>
            </w:r>
          </w:p>
        </w:tc>
        <w:tc>
          <w:tcPr>
            <w:tcW w:w="707" w:type="pct"/>
            <w:noWrap w:val="0"/>
            <w:vAlign w:val="top"/>
          </w:tcPr>
          <w:p w14:paraId="0A1930EF">
            <w:pPr>
              <w:keepNext w:val="0"/>
              <w:keepLines w:val="0"/>
              <w:pageBreakBefore w:val="0"/>
              <w:suppressLineNumbers w:val="0"/>
              <w:wordWrap w:val="0"/>
              <w:bidi w:val="0"/>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小计</w:t>
            </w:r>
          </w:p>
        </w:tc>
        <w:tc>
          <w:tcPr>
            <w:tcW w:w="625" w:type="pct"/>
            <w:noWrap w:val="0"/>
            <w:vAlign w:val="top"/>
          </w:tcPr>
          <w:p w14:paraId="51C9F9C9">
            <w:pPr>
              <w:keepNext w:val="0"/>
              <w:keepLines w:val="0"/>
              <w:pageBreakBefore w:val="0"/>
              <w:suppressLineNumbers w:val="0"/>
              <w:wordWrap w:val="0"/>
              <w:bidi w:val="0"/>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备注</w:t>
            </w:r>
          </w:p>
        </w:tc>
      </w:tr>
      <w:tr w14:paraId="3F0A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122" w:type="pct"/>
            <w:noWrap w:val="0"/>
            <w:vAlign w:val="top"/>
          </w:tcPr>
          <w:p w14:paraId="0A09EA7B">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918" w:type="pct"/>
            <w:noWrap w:val="0"/>
            <w:vAlign w:val="top"/>
          </w:tcPr>
          <w:p w14:paraId="0E273094">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510" w:type="pct"/>
            <w:noWrap w:val="0"/>
            <w:vAlign w:val="top"/>
          </w:tcPr>
          <w:p w14:paraId="19D589D9">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510" w:type="pct"/>
            <w:noWrap w:val="0"/>
            <w:vAlign w:val="top"/>
          </w:tcPr>
          <w:p w14:paraId="6FEA5B11">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606" w:type="pct"/>
            <w:noWrap w:val="0"/>
            <w:vAlign w:val="top"/>
          </w:tcPr>
          <w:p w14:paraId="5E8011B2">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707" w:type="pct"/>
            <w:noWrap w:val="0"/>
            <w:vAlign w:val="top"/>
          </w:tcPr>
          <w:p w14:paraId="7EB8F893">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625" w:type="pct"/>
            <w:noWrap w:val="0"/>
            <w:vAlign w:val="top"/>
          </w:tcPr>
          <w:p w14:paraId="7103BDBE">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r>
      <w:tr w14:paraId="5214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122" w:type="pct"/>
            <w:noWrap w:val="0"/>
            <w:vAlign w:val="top"/>
          </w:tcPr>
          <w:p w14:paraId="2BD5E821">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918" w:type="pct"/>
            <w:noWrap w:val="0"/>
            <w:vAlign w:val="top"/>
          </w:tcPr>
          <w:p w14:paraId="2C4CD522">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510" w:type="pct"/>
            <w:noWrap w:val="0"/>
            <w:vAlign w:val="top"/>
          </w:tcPr>
          <w:p w14:paraId="37BD41F0">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510" w:type="pct"/>
            <w:noWrap w:val="0"/>
            <w:vAlign w:val="top"/>
          </w:tcPr>
          <w:p w14:paraId="34F3D53A">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606" w:type="pct"/>
            <w:noWrap w:val="0"/>
            <w:vAlign w:val="top"/>
          </w:tcPr>
          <w:p w14:paraId="15F086ED">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707" w:type="pct"/>
            <w:noWrap w:val="0"/>
            <w:vAlign w:val="top"/>
          </w:tcPr>
          <w:p w14:paraId="5AE6AD6D">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625" w:type="pct"/>
            <w:noWrap w:val="0"/>
            <w:vAlign w:val="top"/>
          </w:tcPr>
          <w:p w14:paraId="048E7FAA">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r>
      <w:tr w14:paraId="0D62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122" w:type="pct"/>
            <w:noWrap w:val="0"/>
            <w:vAlign w:val="top"/>
          </w:tcPr>
          <w:p w14:paraId="234519F9">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918" w:type="pct"/>
            <w:noWrap w:val="0"/>
            <w:vAlign w:val="top"/>
          </w:tcPr>
          <w:p w14:paraId="5AE9D1DD">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510" w:type="pct"/>
            <w:noWrap w:val="0"/>
            <w:vAlign w:val="top"/>
          </w:tcPr>
          <w:p w14:paraId="7F5E2205">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510" w:type="pct"/>
            <w:noWrap w:val="0"/>
            <w:vAlign w:val="top"/>
          </w:tcPr>
          <w:p w14:paraId="6ABD4E14">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606" w:type="pct"/>
            <w:noWrap w:val="0"/>
            <w:vAlign w:val="top"/>
          </w:tcPr>
          <w:p w14:paraId="1BE7AFC9">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707" w:type="pct"/>
            <w:noWrap w:val="0"/>
            <w:vAlign w:val="top"/>
          </w:tcPr>
          <w:p w14:paraId="685100F8">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c>
          <w:tcPr>
            <w:tcW w:w="625" w:type="pct"/>
            <w:noWrap w:val="0"/>
            <w:vAlign w:val="top"/>
          </w:tcPr>
          <w:p w14:paraId="5A106FBC">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p>
        </w:tc>
      </w:tr>
      <w:tr w14:paraId="7DDE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000" w:type="pct"/>
            <w:gridSpan w:val="7"/>
            <w:noWrap w:val="0"/>
            <w:vAlign w:val="top"/>
          </w:tcPr>
          <w:p w14:paraId="1CA53E7B">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合同总价款（大小写）：</w:t>
            </w:r>
          </w:p>
          <w:p w14:paraId="2B2EE9A6">
            <w:pPr>
              <w:keepNext w:val="0"/>
              <w:keepLines w:val="0"/>
              <w:pageBreakBefore w:val="0"/>
              <w:suppressLineNumbers w:val="0"/>
              <w:wordWrap w:val="0"/>
              <w:bidi w:val="0"/>
              <w:spacing w:before="0" w:beforeAutospacing="0" w:after="0" w:afterAutospacing="0" w:line="360" w:lineRule="auto"/>
              <w:ind w:left="0" w:right="0"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备注：上述</w:t>
            </w:r>
            <w:r>
              <w:rPr>
                <w:rFonts w:hint="eastAsia" w:ascii="宋体" w:hAnsi="宋体" w:cs="宋体"/>
                <w:color w:val="auto"/>
                <w:kern w:val="2"/>
                <w:sz w:val="22"/>
                <w:szCs w:val="22"/>
                <w:lang w:val="en-US" w:eastAsia="zh-CN" w:bidi="ar-SA"/>
                <w14:ligatures w14:val="none"/>
              </w:rPr>
              <w:t>费用</w:t>
            </w:r>
            <w:r>
              <w:rPr>
                <w:rFonts w:hint="eastAsia" w:ascii="宋体" w:hAnsi="宋体" w:eastAsia="宋体" w:cs="宋体"/>
                <w:color w:val="auto"/>
                <w:kern w:val="2"/>
                <w:sz w:val="22"/>
                <w:szCs w:val="22"/>
                <w:lang w:val="en-US" w:eastAsia="zh-CN" w:bidi="ar-SA"/>
                <w14:ligatures w14:val="none"/>
              </w:rPr>
              <w:t>包含相关</w:t>
            </w:r>
            <w:r>
              <w:rPr>
                <w:rFonts w:hint="eastAsia" w:ascii="宋体" w:hAnsi="宋体" w:cs="宋体"/>
                <w:color w:val="auto"/>
                <w:kern w:val="2"/>
                <w:sz w:val="22"/>
                <w:szCs w:val="22"/>
                <w:lang w:val="en-US" w:eastAsia="zh-CN" w:bidi="ar-SA"/>
                <w14:ligatures w14:val="none"/>
              </w:rPr>
              <w:t>完成服务内容</w:t>
            </w:r>
            <w:r>
              <w:rPr>
                <w:rFonts w:hint="eastAsia" w:ascii="宋体" w:hAnsi="宋体" w:eastAsia="宋体" w:cs="宋体"/>
                <w:color w:val="auto"/>
                <w:kern w:val="2"/>
                <w:sz w:val="22"/>
                <w:szCs w:val="22"/>
                <w:lang w:val="en-US" w:eastAsia="zh-CN" w:bidi="ar-SA"/>
                <w14:ligatures w14:val="none"/>
              </w:rPr>
              <w:t>等所有费用。</w:t>
            </w:r>
          </w:p>
        </w:tc>
      </w:tr>
    </w:tbl>
    <w:p w14:paraId="6C4A627B">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第二条  服务标准（包括达到的水平要求），按下列第（ ）项执行：</w:t>
      </w:r>
    </w:p>
    <w:p w14:paraId="2368CB11">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①按国家标准执行；②按部颁标准执行；③若无以上标准，则应不低于同行业服务标准；④有特殊要求的，按甲乙双方在合同中商定的要求执行；</w:t>
      </w:r>
    </w:p>
    <w:p w14:paraId="709252D2">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乙方提供的服务标准和水平应与招标采购文件规定的标准和水平相一致。</w:t>
      </w:r>
    </w:p>
    <w:p w14:paraId="68F34E96">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第三条  服务的方式、方法、、地点和期限</w:t>
      </w:r>
    </w:p>
    <w:p w14:paraId="4BF1875E">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1、服务方式：</w:t>
      </w:r>
    </w:p>
    <w:p w14:paraId="21EDF419">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2、服务方法：</w:t>
      </w:r>
    </w:p>
    <w:p w14:paraId="41A61A3D">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2、服务地点：</w:t>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r>
        <w:rPr>
          <w:rFonts w:hint="eastAsia" w:ascii="宋体" w:hAnsi="宋体" w:eastAsia="宋体" w:cs="宋体"/>
          <w:color w:val="auto"/>
          <w:kern w:val="2"/>
          <w:sz w:val="22"/>
          <w:szCs w:val="22"/>
          <w:lang w:val="en-US" w:eastAsia="zh-CN" w:bidi="ar-SA"/>
          <w14:ligatures w14:val="none"/>
        </w:rPr>
        <w:softHyphen/>
      </w:r>
    </w:p>
    <w:p w14:paraId="3B6F48CB">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3、服务期限：</w:t>
      </w:r>
    </w:p>
    <w:p w14:paraId="5A584CD6">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第四条  费用及支付方式</w:t>
      </w:r>
    </w:p>
    <w:p w14:paraId="7CB88200">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（一）本项目费用有以下组成：</w:t>
      </w:r>
    </w:p>
    <w:p w14:paraId="381A2DB5">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1、XX 万元；</w:t>
      </w:r>
    </w:p>
    <w:p w14:paraId="25389D76">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2、XX 万元；</w:t>
      </w:r>
    </w:p>
    <w:p w14:paraId="1785DA22">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w:t>
      </w:r>
    </w:p>
    <w:p w14:paraId="411D1A26">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（二）费用支付方式：</w:t>
      </w:r>
    </w:p>
    <w:p w14:paraId="13CC4F75">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1、XXXX；</w:t>
      </w:r>
    </w:p>
    <w:p w14:paraId="3B0E22CF">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2、XXXX；</w:t>
      </w:r>
    </w:p>
    <w:p w14:paraId="1C10C25F">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3、在支付前甲方对乙方的服务进行考核或验收，合格的支付相应款项。乙方须向甲方出具合法有效完整的完税发票及凭证资料进行支付结算。</w:t>
      </w:r>
    </w:p>
    <w:p w14:paraId="100E870E">
      <w:pPr>
        <w:pStyle w:val="23"/>
        <w:pageBreakBefore w:val="0"/>
        <w:kinsoku w:val="0"/>
        <w:wordWrap w:val="0"/>
        <w:overflowPunct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 xml:space="preserve">第五条  付款条件                  </w:t>
      </w:r>
    </w:p>
    <w:p w14:paraId="2BC9B9F1">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本合同以人民币付款。</w:t>
      </w:r>
    </w:p>
    <w:p w14:paraId="4B1A9AC4">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该项目是否实行预付款：</w:t>
      </w:r>
    </w:p>
    <w:p w14:paraId="0F3BC3C5">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实行预付款的条件和比例：</w:t>
      </w:r>
    </w:p>
    <w:p w14:paraId="1FD4E317">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 xml:space="preserve">合同款项结算方式和支付比例：   </w:t>
      </w:r>
    </w:p>
    <w:p w14:paraId="42BA25D7">
      <w:pPr>
        <w:pStyle w:val="135"/>
        <w:pageBreakBefore w:val="0"/>
        <w:numPr>
          <w:ilvl w:val="0"/>
          <w:numId w:val="2"/>
        </w:numPr>
        <w:wordWrap w:val="0"/>
        <w:bidi w:val="0"/>
        <w:spacing w:beforeLines="0" w:afterLines="0" w:line="360" w:lineRule="auto"/>
        <w:ind w:left="0" w:leftChars="0" w:firstLine="0" w:firstLineChars="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验收方法</w:t>
      </w:r>
    </w:p>
    <w:p w14:paraId="14AD9621">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1.甲、乙双方应严格履行合同有关条款，如果验收过程中发现乙方在没有征得采购人同意的情况下擅自变更合同服务内容，将拒绝通过验收，由此引起的一切后果及损失由乙方承担。</w:t>
      </w:r>
    </w:p>
    <w:p w14:paraId="0DD29162">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甲方应承担项目验收的主体责任。项目验收时，应成立三人以上（由甲、乙双方、管理人员、技术人员、纪检等相关人员组成）验收小组，明确责任，严格依照采购文件、中标（成交）通知书、政府采购合同及相关验收规范进行核对、验收、签字形成验收结论，并出具书面验收报告。验收人员有不同意见的，按少数服从多数的原则，但在验收报告上应注明不同意见的内容。</w:t>
      </w:r>
    </w:p>
    <w:p w14:paraId="69F37AE7">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3、甲方视情况可以邀请参加本项目的其他投标人或者第三方机构参与验收，参与验收的投标人或者第三方机构的意见作为验收书的参考资料一并存档。</w:t>
      </w:r>
    </w:p>
    <w:p w14:paraId="0406ADC0">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4、涉及安全、消防、环保等其他需要由质检或行业主管部门进行验收的项目，必须邀请相关部门或相关专家参与验收。涉及社会化服务的项目，甲方将要求社会公众人员参与验收。</w:t>
      </w:r>
    </w:p>
    <w:p w14:paraId="2EA34278">
      <w:pPr>
        <w:pStyle w:val="23"/>
        <w:pageBreakBefore w:val="0"/>
        <w:kinsoku w:val="0"/>
        <w:wordWrap w:val="0"/>
        <w:overflowPunct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第七条  知识产权</w:t>
      </w:r>
    </w:p>
    <w:p w14:paraId="18AB4914">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乙方应保证所提供的服务或其任何一部分均不会侵犯任何第三方的专利权、商标权或著作权。</w:t>
      </w:r>
    </w:p>
    <w:p w14:paraId="6ABD03AC">
      <w:pPr>
        <w:pStyle w:val="23"/>
        <w:pageBreakBefore w:val="0"/>
        <w:kinsoku w:val="0"/>
        <w:wordWrap w:val="0"/>
        <w:overflowPunct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第八条  无产权瑕疵条款</w:t>
      </w:r>
    </w:p>
    <w:p w14:paraId="69C9679D">
      <w:pPr>
        <w:pStyle w:val="23"/>
        <w:pageBreakBefore w:val="0"/>
        <w:widowControl w:val="0"/>
        <w:kinsoku w:val="0"/>
        <w:wordWrap w:val="0"/>
        <w:overflowPunct w:val="0"/>
        <w:topLinePunct w:val="0"/>
        <w:autoSpaceDE/>
        <w:autoSpaceDN/>
        <w:bidi w:val="0"/>
        <w:adjustRightInd/>
        <w:snapToGrid/>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乙方保证所提供的服务的所有权完全属于乙方且无任何抵押、查封等产权瑕疵。如有产权瑕疵的，视为乙方违约。乙方应负担由此而产生的一切损失。</w:t>
      </w:r>
    </w:p>
    <w:p w14:paraId="3DF84705">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第九条  履约（或质量）保证金</w:t>
      </w:r>
    </w:p>
    <w:p w14:paraId="49528DF4">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1.本项目不收取履约保证金。</w:t>
      </w:r>
    </w:p>
    <w:p w14:paraId="408616F1">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第十条  甲方的权利和义务</w:t>
      </w:r>
    </w:p>
    <w:p w14:paraId="7AB03994">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1、甲方有权对合同规定范围内乙方的行为进行监督和检查，拥有监管权。有权定期核对乙方提供服务所配备的人员数量。对甲方认为不合理的部分有权下达整改通知书，并要求乙方限期整改。</w:t>
      </w:r>
    </w:p>
    <w:p w14:paraId="6D2E2256">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2、甲方有权依据双方签订的考评办法对乙方提供的服务进行定期考评。当考评结果未达到标准时，有权依据考评办法约定的数额扣除履约保证金。</w:t>
      </w:r>
    </w:p>
    <w:p w14:paraId="662BFB03">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3、负责检查监督乙方管理工作的实施及制度的执行情况。</w:t>
      </w:r>
    </w:p>
    <w:p w14:paraId="750B7854">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4、根据本合同规定，按时向乙方支付应付服务费用。</w:t>
      </w:r>
    </w:p>
    <w:p w14:paraId="6FA4AA73">
      <w:pPr>
        <w:pStyle w:val="46"/>
        <w:pageBreakBefore w:val="0"/>
        <w:widowControl w:val="0"/>
        <w:kinsoku w:val="0"/>
        <w:wordWrap w:val="0"/>
        <w:bidi w:val="0"/>
        <w:spacing w:before="0" w:beforeAutospacing="0" w:after="0" w:afterAutospacing="0" w:line="360" w:lineRule="auto"/>
        <w:ind w:firstLine="440" w:firstLineChars="200"/>
        <w:jc w:val="left"/>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5、国家法律、法规所规定由甲方承担的其他责任。</w:t>
      </w:r>
    </w:p>
    <w:p w14:paraId="26AAD4C6">
      <w:pPr>
        <w:pStyle w:val="23"/>
        <w:pageBreakBefore w:val="0"/>
        <w:kinsoku w:val="0"/>
        <w:wordWrap w:val="0"/>
        <w:overflowPunct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 xml:space="preserve"> 第十一条  乙方的权利和义务</w:t>
      </w:r>
    </w:p>
    <w:p w14:paraId="15BC50EF">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1、对本合同规定的委托服务范围内的项目享有管理权及服务义务。</w:t>
      </w:r>
    </w:p>
    <w:p w14:paraId="2620044F">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2、根据本合同的规定向甲方收取相关服务费用，并有权在本项目管理范围内管理及合理使用。</w:t>
      </w:r>
    </w:p>
    <w:p w14:paraId="5DC530AC">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3、及时向甲方通告本项目服务范围内有关服务的重大事项，及时配合处理投诉。</w:t>
      </w:r>
    </w:p>
    <w:p w14:paraId="22D565F8">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4、接受项目行业管理部门及政府有关部门的指导，接受甲方的监督。</w:t>
      </w:r>
    </w:p>
    <w:p w14:paraId="0E50F7C1">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5、国家法律、法规所规定由乙方承担的其它责任。</w:t>
      </w:r>
    </w:p>
    <w:p w14:paraId="40A28B8A">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第十二条  违约责任</w:t>
      </w:r>
    </w:p>
    <w:p w14:paraId="1CAA5B92">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1、甲乙双方必须遵守本合同并执行合同中的各项规定，保证本合同的正常履行。</w:t>
      </w:r>
    </w:p>
    <w:p w14:paraId="03D68D32">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2、甲方逾期付款的，除应及时付足款项外，应向乙方偿付欠款总额万分之 /天的违约金；逾期付款超过 天的，乙方有权终止合同。</w:t>
      </w:r>
    </w:p>
    <w:p w14:paraId="1B3C4404">
      <w:pPr>
        <w:pStyle w:val="46"/>
        <w:pageBreakBefore w:val="0"/>
        <w:widowControl w:val="0"/>
        <w:kinsoku w:val="0"/>
        <w:wordWrap w:val="0"/>
        <w:bidi w:val="0"/>
        <w:spacing w:before="0" w:beforeAutospacing="0" w:after="0" w:afterAutospacing="0" w:line="360" w:lineRule="auto"/>
        <w:ind w:firstLine="440" w:firstLineChars="200"/>
        <w:jc w:val="left"/>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3、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252AF9A0">
      <w:pPr>
        <w:pStyle w:val="23"/>
        <w:pageBreakBefore w:val="0"/>
        <w:kinsoku w:val="0"/>
        <w:wordWrap w:val="0"/>
        <w:overflowPunct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4、变更、中止或者终止合同，有过错的一方应当承担赔偿责任，双方都有过错的，各自承担相应的责任。</w:t>
      </w:r>
    </w:p>
    <w:p w14:paraId="67D3C7CB">
      <w:pPr>
        <w:pageBreakBefore w:val="0"/>
        <w:wordWrap w:val="0"/>
        <w:bidi w:val="0"/>
        <w:spacing w:line="360" w:lineRule="auto"/>
        <w:ind w:firstLine="220" w:firstLineChars="1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第十三条  转让与分包</w:t>
      </w:r>
    </w:p>
    <w:p w14:paraId="75D30B6D">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1.除甲方事先书面同意外，乙方不得部分转让或全部转让其应履行的合同义务。</w:t>
      </w:r>
    </w:p>
    <w:p w14:paraId="186DAF74">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2.乙方应在投标文件中或以其他书面形式对甲方确认本合同项下所授予的所有分包合同。但该确认不解除乙方承担的本合同下的任何责任或义务。意即在本合同项下，乙方对甲方负总责。</w:t>
      </w:r>
    </w:p>
    <w:p w14:paraId="5613B376">
      <w:pPr>
        <w:pageBreakBefore w:val="0"/>
        <w:wordWrap w:val="0"/>
        <w:bidi w:val="0"/>
        <w:spacing w:line="360" w:lineRule="auto"/>
        <w:ind w:firstLine="220" w:firstLineChars="1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第十四条  合同文件及资料的使用</w:t>
      </w:r>
    </w:p>
    <w:p w14:paraId="609FCFE2">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1.乙方在未经甲方同意的情况下，不得将合同、合同中的规定、有关计划、图纸、样本或甲方为上述内容向乙方提供的资料透露给任何人。</w:t>
      </w:r>
    </w:p>
    <w:p w14:paraId="7293D2E3">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2.除非执行合同需要，在事先未得到甲方同意的情况下，乙方不得使用前款所列的任何文件和资料。</w:t>
      </w:r>
    </w:p>
    <w:p w14:paraId="527848C1">
      <w:pPr>
        <w:pageBreakBefore w:val="0"/>
        <w:wordWrap w:val="0"/>
        <w:bidi w:val="0"/>
        <w:spacing w:line="360" w:lineRule="auto"/>
        <w:ind w:firstLine="220" w:firstLineChars="1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第十五条  不可抗力事件处理</w:t>
      </w:r>
    </w:p>
    <w:p w14:paraId="341F3052">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14:paraId="7EC5495F">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甲乙双方的任何一方由于不可抗力的原因不能履行合同时，应及时向对方通报不能履行或不能完全履行的理由，在取得有关部门证明以后，允许延期履行、部分履行或者不履行合同，并根据情况可部分或全部免予承担违约责任。</w:t>
      </w:r>
    </w:p>
    <w:p w14:paraId="40C74ABF">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第十六条  合同纠纷调处</w:t>
      </w:r>
    </w:p>
    <w:p w14:paraId="6AE5B186">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1.按本合同规定应该偿付的违约金、赔偿金、保管保养费和各种经济损失，应当在明确责任后10天内，按银行规定的结算办法付清，否则按逾期付款处理。</w:t>
      </w:r>
    </w:p>
    <w:p w14:paraId="3E99BA1A">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2.本合同如发生纠纷，当事人双方应当及时协商解决，协商不成时，任何一方均可请本项目政府采购监督管理部门调解，调解不成，按以下第（ ）项方式处理：①根据《中华人民共和国仲裁法》的规定向信阳市裁委员会申请仲裁。②向合同签订地有级别管辖权的人民法院起诉。</w:t>
      </w:r>
    </w:p>
    <w:p w14:paraId="171194FC">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3、甲、乙双方均有权利向本项目具有监管职能的政府采购监督管理部门举报反映对方在合同履约中的违法违纪行为。</w:t>
      </w:r>
    </w:p>
    <w:p w14:paraId="2FA1B8B8">
      <w:pPr>
        <w:pageBreakBefore w:val="0"/>
        <w:wordWrap w:val="0"/>
        <w:bidi w:val="0"/>
        <w:spacing w:line="360" w:lineRule="auto"/>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第十七条 其他</w:t>
      </w:r>
    </w:p>
    <w:p w14:paraId="5492EC0F">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 xml:space="preserve"> 采购文件及有关附件是本合同不可分割的组成部分，与本合同具有同等法律效力，这些文件包括但不限于：①招标文件；②乙方提供的投标文件；③服务承诺；④甲乙双方商定的其他文件。</w:t>
      </w:r>
    </w:p>
    <w:p w14:paraId="1F6332D7">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 xml:space="preserve"> 本合同一式   份，甲乙双方各执   份，自双方当事人签字盖章之日起生效。</w:t>
      </w:r>
    </w:p>
    <w:p w14:paraId="054D129A">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 xml:space="preserve">采购人（甲方）：    （公章）         供货人（乙方）：     （公章）  </w:t>
      </w:r>
    </w:p>
    <w:p w14:paraId="199762E7">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地址：                               地址：</w:t>
      </w:r>
    </w:p>
    <w:p w14:paraId="5233D60C">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法定代表人：                         法定代表人：</w:t>
      </w:r>
    </w:p>
    <w:p w14:paraId="2C9CAC2D">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委托代理人：                         委托代理人：</w:t>
      </w:r>
    </w:p>
    <w:p w14:paraId="782AD9A8">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开户银行：                           开户银行：</w:t>
      </w:r>
    </w:p>
    <w:p w14:paraId="1695FFB3">
      <w:pPr>
        <w:pageBreakBefore w:val="0"/>
        <w:wordWrap w:val="0"/>
        <w:bidi w:val="0"/>
        <w:spacing w:line="360" w:lineRule="auto"/>
        <w:ind w:firstLine="440" w:firstLineChars="200"/>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账号：                               账号：</w:t>
      </w:r>
    </w:p>
    <w:p w14:paraId="20B04461">
      <w:pPr>
        <w:pageBreakBefore w:val="0"/>
        <w:wordWrap w:val="0"/>
        <w:bidi w:val="0"/>
        <w:spacing w:line="360" w:lineRule="auto"/>
        <w:ind w:firstLine="880" w:firstLineChars="400"/>
        <w:jc w:val="both"/>
        <w:textAlignment w:val="auto"/>
        <w:rPr>
          <w:rFonts w:hint="eastAsia" w:ascii="宋体" w:hAnsi="宋体" w:eastAsia="宋体" w:cs="宋体"/>
          <w:color w:val="auto"/>
          <w:kern w:val="2"/>
          <w:sz w:val="22"/>
          <w:szCs w:val="22"/>
          <w:lang w:val="en-US" w:eastAsia="zh-CN" w:bidi="ar-SA"/>
          <w14:ligatures w14:val="none"/>
        </w:rPr>
      </w:pPr>
      <w:r>
        <w:rPr>
          <w:rFonts w:hint="eastAsia" w:ascii="宋体" w:hAnsi="宋体" w:eastAsia="宋体" w:cs="宋体"/>
          <w:color w:val="auto"/>
          <w:kern w:val="2"/>
          <w:sz w:val="22"/>
          <w:szCs w:val="22"/>
          <w:lang w:val="en-US" w:eastAsia="zh-CN" w:bidi="ar-SA"/>
          <w14:ligatures w14:val="none"/>
        </w:rPr>
        <w:t>年    月    日               年    月    日</w:t>
      </w:r>
    </w:p>
    <w:p w14:paraId="5535ED0B">
      <w:pPr>
        <w:pStyle w:val="49"/>
        <w:pageBreakBefore w:val="0"/>
        <w:wordWrap w:val="0"/>
        <w:bidi w:val="0"/>
        <w:spacing w:line="360" w:lineRule="auto"/>
        <w:textAlignment w:val="auto"/>
        <w:rPr>
          <w:rFonts w:hint="eastAsia" w:ascii="宋体" w:hAnsi="宋体" w:eastAsia="宋体" w:cs="宋体"/>
          <w:color w:val="auto"/>
          <w:kern w:val="2"/>
          <w:sz w:val="22"/>
          <w:szCs w:val="22"/>
          <w:lang w:val="en-US" w:eastAsia="zh-CN" w:bidi="ar-SA"/>
        </w:rPr>
      </w:pPr>
    </w:p>
    <w:p w14:paraId="6C9B16FF">
      <w:pPr>
        <w:pStyle w:val="50"/>
        <w:pageBreakBefore w:val="0"/>
        <w:tabs>
          <w:tab w:val="left" w:pos="180"/>
          <w:tab w:val="clear" w:pos="945"/>
          <w:tab w:val="clear" w:pos="1155"/>
        </w:tabs>
        <w:wordWrap w:val="0"/>
        <w:bidi w:val="0"/>
        <w:spacing w:line="360" w:lineRule="auto"/>
        <w:ind w:left="0" w:leftChars="0"/>
        <w:jc w:val="left"/>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合同融资注意事项：1）供应商预进行合同融资的，在签订合同时，供应商的合同账号需为合同融资行指定的账户和账号。2）预进行合同融资的合同，采购人在合同备案时，需将备案系统中供应商默认账户和账号修改为合同融资行指定的账户和账号，然后再提交合同备案。</w:t>
      </w:r>
    </w:p>
    <w:p w14:paraId="6D58154C">
      <w:pPr>
        <w:pStyle w:val="2"/>
        <w:pageBreakBefore w:val="0"/>
        <w:numPr>
          <w:ilvl w:val="0"/>
          <w:numId w:val="3"/>
        </w:numPr>
        <w:kinsoku/>
        <w:wordWrap w:val="0"/>
        <w:overflowPunct/>
        <w:bidi w:val="0"/>
        <w:rPr>
          <w:rFonts w:hint="eastAsia" w:ascii="宋体" w:hAnsi="宋体" w:eastAsia="宋体" w:cs="宋体"/>
          <w:color w:val="auto"/>
        </w:rPr>
      </w:pPr>
      <w:r>
        <w:rPr>
          <w:rFonts w:hint="eastAsia" w:ascii="宋体" w:hAnsi="宋体" w:eastAsia="宋体" w:cs="宋体"/>
          <w:color w:val="auto"/>
          <w:kern w:val="0"/>
          <w:sz w:val="24"/>
        </w:rPr>
        <w:br w:type="page"/>
      </w:r>
      <w:bookmarkEnd w:id="893"/>
      <w:bookmarkStart w:id="894" w:name="_Toc27917"/>
      <w:bookmarkStart w:id="895" w:name="_Toc26470"/>
      <w:r>
        <w:rPr>
          <w:rFonts w:hint="eastAsia" w:ascii="宋体" w:hAnsi="宋体" w:eastAsia="宋体" w:cs="宋体"/>
          <w:color w:val="auto"/>
        </w:rPr>
        <w:t>采购需求</w:t>
      </w:r>
      <w:bookmarkEnd w:id="894"/>
      <w:bookmarkEnd w:id="895"/>
      <w:bookmarkStart w:id="896" w:name="_Toc493506288"/>
      <w:bookmarkStart w:id="897" w:name="_Toc9535"/>
    </w:p>
    <w:p w14:paraId="6BDF41EA">
      <w:pP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一、采购内容</w:t>
      </w:r>
    </w:p>
    <w:p w14:paraId="5448E3A8">
      <w:pPr>
        <w:pStyle w:val="4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宋体" w:hAnsi="宋体" w:eastAsia="宋体" w:cs="宋体"/>
          <w:b/>
          <w:bCs/>
          <w:color w:val="auto"/>
          <w:sz w:val="28"/>
          <w:szCs w:val="28"/>
          <w:lang w:val="en-US" w:eastAsia="zh-CN"/>
        </w:rPr>
      </w:pPr>
      <w:r>
        <w:rPr>
          <w:rFonts w:hint="default" w:ascii="宋体" w:hAnsi="宋体" w:eastAsia="宋体" w:cs="宋体"/>
          <w:b/>
          <w:bCs/>
          <w:color w:val="auto"/>
          <w:sz w:val="28"/>
          <w:szCs w:val="28"/>
          <w:lang w:val="en-US" w:eastAsia="zh-CN"/>
        </w:rPr>
        <w:drawing>
          <wp:inline distT="0" distB="0" distL="114300" distR="114300">
            <wp:extent cx="5846445" cy="7232015"/>
            <wp:effectExtent l="0" t="0" r="8255" b="6985"/>
            <wp:docPr id="71" name="图片 71" descr="2025-09-03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5-09-03_002(1)"/>
                    <pic:cNvPicPr>
                      <a:picLocks noChangeAspect="1"/>
                    </pic:cNvPicPr>
                  </pic:nvPicPr>
                  <pic:blipFill>
                    <a:blip r:embed="rId15"/>
                    <a:srcRect l="6645" t="11435" r="4205" b="8351"/>
                    <a:stretch>
                      <a:fillRect/>
                    </a:stretch>
                  </pic:blipFill>
                  <pic:spPr>
                    <a:xfrm>
                      <a:off x="0" y="0"/>
                      <a:ext cx="5846445" cy="7232015"/>
                    </a:xfrm>
                    <a:prstGeom prst="rect">
                      <a:avLst/>
                    </a:prstGeom>
                  </pic:spPr>
                </pic:pic>
              </a:graphicData>
            </a:graphic>
          </wp:inline>
        </w:drawing>
      </w:r>
      <w:r>
        <w:rPr>
          <w:rFonts w:hint="default" w:ascii="宋体" w:hAnsi="宋体" w:eastAsia="宋体" w:cs="宋体"/>
          <w:b/>
          <w:bCs/>
          <w:color w:val="auto"/>
          <w:sz w:val="28"/>
          <w:szCs w:val="28"/>
          <w:lang w:val="en-US" w:eastAsia="zh-CN"/>
        </w:rPr>
        <w:drawing>
          <wp:inline distT="0" distB="0" distL="114300" distR="114300">
            <wp:extent cx="5870575" cy="8564880"/>
            <wp:effectExtent l="0" t="0" r="9525" b="7620"/>
            <wp:docPr id="72" name="图片 72" descr="2025-09-03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025-09-03_003(1)"/>
                    <pic:cNvPicPr>
                      <a:picLocks noChangeAspect="1"/>
                    </pic:cNvPicPr>
                  </pic:nvPicPr>
                  <pic:blipFill>
                    <a:blip r:embed="rId16"/>
                    <a:srcRect t="10920" r="16049"/>
                    <a:stretch>
                      <a:fillRect/>
                    </a:stretch>
                  </pic:blipFill>
                  <pic:spPr>
                    <a:xfrm>
                      <a:off x="0" y="0"/>
                      <a:ext cx="5870575" cy="8564880"/>
                    </a:xfrm>
                    <a:prstGeom prst="rect">
                      <a:avLst/>
                    </a:prstGeom>
                  </pic:spPr>
                </pic:pic>
              </a:graphicData>
            </a:graphic>
          </wp:inline>
        </w:drawing>
      </w:r>
    </w:p>
    <w:p w14:paraId="0BF2D4ED">
      <w:pPr>
        <w:spacing w:line="360" w:lineRule="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二、技术标准与要求</w:t>
      </w:r>
    </w:p>
    <w:bookmarkEnd w:id="896"/>
    <w:bookmarkEnd w:id="897"/>
    <w:p w14:paraId="2314F8BC">
      <w:pPr>
        <w:spacing w:line="360" w:lineRule="auto"/>
        <w:ind w:firstLine="440" w:firstLineChars="200"/>
        <w:rPr>
          <w:rFonts w:ascii="黑体" w:hAnsi="黑体" w:eastAsia="黑体" w:cs="宋体"/>
          <w:sz w:val="22"/>
          <w:szCs w:val="22"/>
        </w:rPr>
      </w:pPr>
      <w:bookmarkStart w:id="898" w:name="_Toc24289"/>
      <w:bookmarkStart w:id="899" w:name="_Toc23712"/>
      <w:r>
        <w:rPr>
          <w:rFonts w:hint="eastAsia" w:ascii="黑体" w:hAnsi="黑体" w:eastAsia="黑体" w:cs="宋体"/>
          <w:sz w:val="22"/>
          <w:szCs w:val="22"/>
        </w:rPr>
        <w:t>技术措施设计</w:t>
      </w:r>
    </w:p>
    <w:p w14:paraId="177B4988">
      <w:pPr>
        <w:spacing w:line="360" w:lineRule="auto"/>
        <w:ind w:firstLine="440" w:firstLineChars="200"/>
        <w:rPr>
          <w:rFonts w:ascii="仿宋_GB2312" w:hAnsi="仿宋" w:eastAsia="仿宋_GB2312" w:cs="仿宋"/>
          <w:sz w:val="22"/>
          <w:szCs w:val="22"/>
        </w:rPr>
      </w:pPr>
      <w:r>
        <w:rPr>
          <w:rFonts w:hint="eastAsia" w:ascii="仿宋_GB2312" w:hAnsi="仿宋" w:eastAsia="仿宋_GB2312" w:cs="仿宋"/>
          <w:sz w:val="22"/>
          <w:szCs w:val="22"/>
        </w:rPr>
        <w:t>根据上级下达森林可持续经营试点项目任务，结合国家林草局和省林业局试点任务相关要求，国有固始林场2025年森林可持续经营试点项目经营模式为中龄林生长伐和疏伐。</w:t>
      </w:r>
    </w:p>
    <w:p w14:paraId="15E941FF">
      <w:pPr>
        <w:pStyle w:val="50"/>
        <w:spacing w:after="0" w:line="360" w:lineRule="auto"/>
        <w:ind w:left="0" w:leftChars="0" w:firstLine="600"/>
        <w:rPr>
          <w:rFonts w:ascii="黑体" w:hAnsi="黑体" w:eastAsia="黑体"/>
          <w:sz w:val="22"/>
          <w:szCs w:val="22"/>
        </w:rPr>
      </w:pPr>
      <w:r>
        <w:rPr>
          <w:rFonts w:hint="eastAsia" w:ascii="黑体" w:hAnsi="黑体" w:eastAsia="黑体"/>
          <w:sz w:val="22"/>
          <w:szCs w:val="22"/>
        </w:rPr>
        <w:t>抚育间伐</w:t>
      </w:r>
    </w:p>
    <w:p w14:paraId="138649B0">
      <w:pPr>
        <w:autoSpaceDE w:val="0"/>
        <w:autoSpaceDN w:val="0"/>
        <w:spacing w:line="360" w:lineRule="auto"/>
        <w:ind w:firstLine="440" w:firstLineChars="200"/>
        <w:rPr>
          <w:rFonts w:hint="eastAsia" w:ascii="仿宋_GB2312" w:hAnsi="仿宋_GB2312" w:eastAsia="仿宋_GB2312" w:cs="仿宋_GB2312"/>
          <w:color w:val="000000"/>
          <w:spacing w:val="-1"/>
          <w:sz w:val="22"/>
          <w:szCs w:val="22"/>
        </w:rPr>
      </w:pPr>
      <w:r>
        <w:rPr>
          <w:rFonts w:hint="eastAsia" w:ascii="仿宋_GB2312" w:hAnsi="仿宋_GB2312" w:eastAsia="仿宋_GB2312" w:cs="仿宋_GB2312"/>
          <w:sz w:val="22"/>
          <w:szCs w:val="22"/>
        </w:rPr>
        <w:t>抚育间伐是从幼林到成熟前的这段时期，定期而重复地伐除部分林木，为保留的经济价值较高的林木创造更好的生长环境，促使它们更快更好的生长，更加符合人们的培育目标和需要。此次设计疏伐在</w:t>
      </w:r>
      <w:r>
        <w:rPr>
          <w:rFonts w:hint="eastAsia" w:ascii="仿宋_GB2312" w:eastAsia="仿宋_GB2312"/>
          <w:sz w:val="22"/>
          <w:szCs w:val="20"/>
        </w:rPr>
        <w:t>王店林区4林班1、2、3、5、7、8、9、10、11、12、13小班和7林班5、7、8、9小班面积为3092亩；生长伐在王店林区4林班4、6小班和7林班6、9小班面积为1108亩。</w:t>
      </w:r>
      <w:r>
        <w:rPr>
          <w:rFonts w:hint="eastAsia" w:ascii="仿宋_GB2312" w:hAnsi="仿宋_GB2312" w:eastAsia="仿宋_GB2312" w:cs="仿宋_GB2312"/>
          <w:color w:val="000000"/>
          <w:spacing w:val="-1"/>
          <w:sz w:val="22"/>
          <w:szCs w:val="22"/>
        </w:rPr>
        <w:t>施工区域为山地，地形相对复杂，林地内落差较大，所有木材采伐后切割为1米段再由人工搬运到林道边，然后三轮车运送到距离约3-5公里左右木材堆积楞场。</w:t>
      </w:r>
    </w:p>
    <w:p w14:paraId="520A75B4">
      <w:pPr>
        <w:pStyle w:val="50"/>
        <w:spacing w:after="0" w:line="360" w:lineRule="auto"/>
        <w:ind w:left="0" w:leftChars="0" w:firstLine="550" w:firstLineChars="250"/>
        <w:rPr>
          <w:rFonts w:hint="eastAsia" w:ascii="黑体" w:hAnsi="黑体" w:eastAsia="黑体" w:cs="黑体"/>
          <w:bCs/>
          <w:sz w:val="22"/>
          <w:szCs w:val="22"/>
        </w:rPr>
      </w:pPr>
      <w:r>
        <w:rPr>
          <w:rFonts w:hint="eastAsia" w:ascii="黑体" w:hAnsi="黑体" w:eastAsia="黑体" w:cs="黑体"/>
          <w:bCs/>
          <w:sz w:val="22"/>
          <w:szCs w:val="22"/>
        </w:rPr>
        <w:t>设计区林分现状</w:t>
      </w:r>
    </w:p>
    <w:p w14:paraId="119DDB21">
      <w:pPr>
        <w:spacing w:line="360" w:lineRule="auto"/>
        <w:ind w:firstLine="525" w:firstLineChars="250"/>
        <w:rPr>
          <w:rFonts w:ascii="黑体" w:hAnsi="黑体" w:eastAsia="黑体"/>
          <w:sz w:val="21"/>
          <w:szCs w:val="21"/>
        </w:rPr>
      </w:pPr>
      <w:r>
        <w:rPr>
          <w:rFonts w:hint="eastAsia" w:ascii="黑体" w:hAnsi="黑体" w:eastAsia="黑体"/>
          <w:sz w:val="21"/>
          <w:szCs w:val="21"/>
        </w:rPr>
        <w:t>幼龄林林分现状及作业方式选择</w:t>
      </w:r>
    </w:p>
    <w:p w14:paraId="2D722404">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作业区为王店林区4林班11、12、13小班幼龄林，面积共计300亩，林分密度过大、通透性差、卫生条件差、抵御自然灾害能力弱，作业方式为疏伐。</w:t>
      </w:r>
    </w:p>
    <w:p w14:paraId="546CE00E">
      <w:pPr>
        <w:spacing w:line="360" w:lineRule="auto"/>
        <w:ind w:firstLine="543" w:firstLineChars="246"/>
        <w:rPr>
          <w:rFonts w:hint="eastAsia" w:ascii="仿宋_GB2312" w:eastAsia="仿宋_GB2312"/>
          <w:b/>
          <w:sz w:val="22"/>
          <w:szCs w:val="22"/>
        </w:rPr>
      </w:pPr>
      <w:r>
        <w:rPr>
          <w:rFonts w:hint="eastAsia" w:ascii="仿宋_GB2312" w:eastAsia="仿宋_GB2312"/>
          <w:b/>
          <w:sz w:val="22"/>
          <w:szCs w:val="22"/>
        </w:rPr>
        <w:t>林分现状</w:t>
      </w:r>
    </w:p>
    <w:p w14:paraId="6A443763">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4林班11小班，面积225亩，起源为人工林，林种为防护林，树种为3松7栎，树龄8年，土壤为黄棕壤，土壤厚度为60厘米，海拔70米，位于山地阳坡，坡位在下部，坡度3-5度，坡向西南，林分密度60-75株/亩，平均胸径10.9厘米，平均树高4.5-6米，林分郁闭度为0.9，灌木盖度30%，草本盖度20%。</w:t>
      </w:r>
    </w:p>
    <w:p w14:paraId="072AE05D">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2）4林班12小班，面积50亩，起源为人工林，林种为防护林，树种为枫香纯林，树龄8年，土壤为黄棕壤，土壤厚度为60厘米，海拔60米，位于山地阴坡，坡位在下部，坡度3-5度，坡向西北，林分密度65-75株/亩，平均胸径10.6厘米，平均树高4.5-6米，林分郁闭度为0.9，灌木盖度30%，草本盖度15%。</w:t>
      </w:r>
    </w:p>
    <w:p w14:paraId="71D863CD">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3）4林班13小班，面积25亩，起源为人工林，林种为防护林，树种为枫香纯林，树龄8年，土壤为黄棕壤，土壤厚度为60厘米，海拔60米，位于山地阴坡，坡位在下部，坡度3-5度，坡向北，林分密度60-75株/亩，平均胸径9.8厘米，平均树高4.5-6米，林分郁闭度为0.9，灌木盖度30%，草本盖度10%。</w:t>
      </w:r>
    </w:p>
    <w:p w14:paraId="5C1D165E">
      <w:pPr>
        <w:spacing w:line="360" w:lineRule="auto"/>
        <w:ind w:firstLine="433" w:firstLineChars="196"/>
        <w:rPr>
          <w:rFonts w:hint="eastAsia" w:ascii="仿宋_GB2312" w:eastAsia="仿宋_GB2312"/>
          <w:b/>
          <w:sz w:val="22"/>
          <w:szCs w:val="22"/>
        </w:rPr>
      </w:pPr>
      <w:r>
        <w:rPr>
          <w:rFonts w:hint="eastAsia" w:ascii="仿宋_GB2312" w:eastAsia="仿宋_GB2312"/>
          <w:b/>
          <w:sz w:val="22"/>
          <w:szCs w:val="22"/>
        </w:rPr>
        <w:t>疏伐技术要求</w:t>
      </w:r>
    </w:p>
    <w:p w14:paraId="00C366F9">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在人工同龄单层林分郁闭后的幼龄林后期或中龄林阶段，当林分过密时，林木间关系从互利生长开始向互抑、互害竞争转变后进行的抚育采伐。适用于郁闭度0.8以上的中龄林和幼龄林，林木间对光、空间等开始产生比较激烈的竞争林分。</w:t>
      </w:r>
    </w:p>
    <w:p w14:paraId="08D27704">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（1）按以下标准，将小班内林木分为5级。</w:t>
      </w:r>
    </w:p>
    <w:p w14:paraId="07439E4E">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Ⅰ级木：又称优势木，林木的直径最大，树高最高，树冠处于林冠上部，占用空间最大，受光最多，几乎不受挤压。</w:t>
      </w:r>
    </w:p>
    <w:p w14:paraId="4B34B71E">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Ⅱ级木：又称亚优势木，直径、树高仅次于优势木，树冠稍高于林冠层的平均高度，侧方稍受挤压。</w:t>
      </w:r>
    </w:p>
    <w:p w14:paraId="4AA7A50E">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Ⅲ级木：又称中等木，直径、树高均为中等大小，树冠构成林冠主体，侧方受一定挤压。</w:t>
      </w:r>
    </w:p>
    <w:p w14:paraId="3434B40B">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Ⅳ级木：又称被压木，树干纤细，树冠窄小且偏冠，树冠处于林冠层平均高度以下，通常对光、营养的需求不足。</w:t>
      </w:r>
    </w:p>
    <w:p w14:paraId="08908F3E">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Ⅴ级木：又称濒死木、枯死木，处于林冠层以下，接受不到正常的光照，生长衰弱，接近死亡或已经死亡。</w:t>
      </w:r>
    </w:p>
    <w:p w14:paraId="73933B72">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（2）采取疏伐抚育后的林分应达到以下要求：林分郁闭度不低于 0.6；在容易遭受风倒雪压危害的地段，或第一次疏伐时，郁闭度降低不超过0.2；目的树种和辅助树种的林木株数所占林分总株数的比例不减少；目的树种平均胸径不低于采伐前平均胸径；林木分布均匀，不造成林窗、林中空地等；采伐后保留株数不少于该森林类型、生长发育阶段、立地条件的最低保留株数；疏伐作业株数强度25％～35％之间，蓄积强度10％～15％之间，作业后林分保留株数为每公顷550-650株。</w:t>
      </w:r>
    </w:p>
    <w:p w14:paraId="1DFB0B8D">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（3）作业步骤</w:t>
      </w:r>
    </w:p>
    <w:p w14:paraId="0C3AD5BF">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林木分级后，对采伐木进行标记，先打号、后采伐。按以下顺序确定保留木、采伐木：保留木顺序为：Ⅰ级木、Ⅱ级木、Ⅲ级木；采伐木顺序为：Ⅴ级木、Ⅳ级木、Ⅲ级木（部分过密的），避免错伐、漏伐、越界采伐和超额采伐。</w:t>
      </w:r>
    </w:p>
    <w:p w14:paraId="7CF01D60">
      <w:pPr>
        <w:spacing w:line="360" w:lineRule="auto"/>
        <w:ind w:firstLine="433" w:firstLineChars="196"/>
        <w:rPr>
          <w:rFonts w:hint="eastAsia" w:ascii="仿宋_GB2312" w:eastAsia="仿宋_GB2312"/>
          <w:b/>
          <w:sz w:val="22"/>
          <w:szCs w:val="22"/>
        </w:rPr>
      </w:pPr>
      <w:r>
        <w:rPr>
          <w:rFonts w:hint="eastAsia" w:ascii="仿宋_GB2312" w:eastAsia="仿宋_GB2312"/>
          <w:b/>
          <w:sz w:val="22"/>
          <w:szCs w:val="22"/>
        </w:rPr>
        <w:t>中龄林林分现状及作业方式选择</w:t>
      </w:r>
    </w:p>
    <w:p w14:paraId="17B34004">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中龄林林分现状</w:t>
      </w:r>
    </w:p>
    <w:p w14:paraId="7C47F810">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4林班1小班，面积291亩，起源为人工林，林种为防护林，树种为7松3栎，树龄37年，土壤为黄棕壤，土壤厚度为60厘米，海拔70米，位于山地阴坡，坡位在下部，坡度3-5度，坡向北，林分密度45-55株/亩，平均胸径22.3厘米，平均树高11.8米，林分郁闭度为0.8，林下实生幼苗幼树种类为栎类、硬阔、马尾松等株数为8株/亩，灌木盖度40%，草本盖度30%。</w:t>
      </w:r>
    </w:p>
    <w:p w14:paraId="5DD99D19">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2）4林班2小班，面积259亩，起源为人工林，林种为防护林，树种为1松9栎，树龄37年，土壤为黄棕壤，土壤厚度为60厘米，海拔70米，位于山地阴坡，坡位在下部，坡度3-5度，坡向北，林分密度40-55株/亩，平均胸径2</w:t>
      </w:r>
      <w:r>
        <w:rPr>
          <w:rFonts w:hint="eastAsia" w:ascii="仿宋_GB2312" w:eastAsia="仿宋_GB2312"/>
          <w:sz w:val="22"/>
          <w:szCs w:val="22"/>
          <w:lang w:eastAsia="zh-CN"/>
        </w:rPr>
        <w:t>1.1</w:t>
      </w:r>
      <w:r>
        <w:rPr>
          <w:rFonts w:hint="eastAsia" w:ascii="仿宋_GB2312" w:eastAsia="仿宋_GB2312"/>
          <w:sz w:val="22"/>
          <w:szCs w:val="22"/>
        </w:rPr>
        <w:t>厘米，平均树高12.1米，林分郁闭度为0.8，林下实生幼苗幼树种类为栎类、硬阔、马尾松等株数为7株/亩，灌木盖度40%，草本盖度20%。</w:t>
      </w:r>
    </w:p>
    <w:p w14:paraId="4F98BD7E">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3）4林班3小班，面积105亩，起源为人工林，林种为防护林，树种为9栎1松，树龄28年，土壤为黄棕壤，土壤厚度为60厘米，海拔70米，位于山地阴坡，坡位在下部，坡度3-5度，坡向北，林分密度40-55株/亩，平均胸径2</w:t>
      </w:r>
      <w:r>
        <w:rPr>
          <w:rFonts w:hint="eastAsia" w:ascii="仿宋_GB2312" w:eastAsia="仿宋_GB2312"/>
          <w:sz w:val="22"/>
          <w:szCs w:val="22"/>
          <w:lang w:eastAsia="zh-CN"/>
        </w:rPr>
        <w:t>1.1</w:t>
      </w:r>
      <w:r>
        <w:rPr>
          <w:rFonts w:hint="eastAsia" w:ascii="仿宋_GB2312" w:eastAsia="仿宋_GB2312"/>
          <w:sz w:val="22"/>
          <w:szCs w:val="22"/>
        </w:rPr>
        <w:t>厘米，平均树高12.5米，林分郁闭度为0.8，林下实生幼苗幼树种类为栎类、硬阔、马尾松等株数为9株/亩，灌木盖度30%，草本盖度20%。</w:t>
      </w:r>
    </w:p>
    <w:p w14:paraId="2447C3A0">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4）4林班4小班，面积280亩，起源为人工林，林种为防护林，树种为6松4栎，树龄38年，土壤为黄棕壤，土壤厚度为60厘米，海拔120米，位于山地阴坡，坡位在下部，坡度6-12度，坡向北，林分密度45-55株/亩，平均胸径19.8厘米，平均树高12.8米，林分郁闭度为0.8，林下实生幼苗幼树种类为栎类、硬阔、马尾松等株数为10株/亩，灌木盖度50%，草本盖度30%。</w:t>
      </w:r>
    </w:p>
    <w:p w14:paraId="0D95E998">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5）4林班5小班，面积292亩，起源为人工林，林种为防护林，树种为松树纯林，树龄38年，土壤为黄棕壤，土壤厚度为60厘米，海拔80米，位于山地阴坡，坡位在下部，坡度3-5度，坡向北，林分密度40-55株/亩，平均胸径21.6厘米，平均树高12.3米，林分郁闭度为0.8，林下实生幼苗幼树种类为栎类、硬阔、马尾松等株数为7株/亩，灌木盖度40%，草本盖度30%。</w:t>
      </w:r>
    </w:p>
    <w:p w14:paraId="52A4A63E">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6）4林班6小班，面积287亩，起源为人工林，林种为防护林，树种为5松5栎，树龄38年，土壤为黄棕壤，土壤厚度为60厘米，海拔110米，位于山地阴坡，坡位在中部，坡度7-15度，坡向西，林分密度40-50株/亩，平均胸径22.2厘米，平均树高12.5米，林分郁闭度为0.8，林下实生幼苗幼树种类为栎类、硬阔、马尾松等株数为11株/亩，灌木盖度50%，草本盖度30%。</w:t>
      </w:r>
    </w:p>
    <w:p w14:paraId="1F8E46F1">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7）4林班7小班，面积304亩，起源为人工林，林种为防护林，树种为8松2栎，树龄38年，土壤为黄棕壤，土壤厚度为60厘米，海拔80米，位于山地阴坡，坡位在中部，坡度5-10度，坡向北，林分密度40-55株/亩，平均胸径22.3厘米，平均树高11.8米，林分郁闭度为0.8，林下实生幼苗幼树种类为栎类、硬阔、马尾松等株数为10株/亩，灌木盖度50%，草本盖度30%。</w:t>
      </w:r>
    </w:p>
    <w:p w14:paraId="01E64844">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8）4林班8小班，面积286亩，起源为人工林，林种为防护林，树种为松树纯林，树龄38年，土壤为黄棕壤，土壤厚度为60厘米，海拔80米，位于山地阳坡，坡位在下部，坡度3-5度，坡向北，林分密度45-55株/亩，平均胸径24.6厘米，平均树高12.5米，林分郁闭度为0.8，林下实生幼苗幼树种类为栎类、硬阔、马尾松等株数为11株/亩，灌木盖度50%，草本盖度30%。</w:t>
      </w:r>
    </w:p>
    <w:p w14:paraId="7690A232">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9）4林班9小班，面积296亩，起源为人工林，林种为防护林，树种为松树纯林，树龄38年，土壤为黄棕壤，土壤厚度为60厘米，海拔70米，位于山地阳坡，坡位在下部，坡度3-5度，坡向东，林分密度50-55株/亩，平均胸径22.9厘米，平均树高12.3米，林分郁闭度为0.8，林下实生幼苗幼树种类为栎类、硬阔、马尾松等株数为9株/亩，灌木盖度40%，草本盖度25%。</w:t>
      </w:r>
    </w:p>
    <w:p w14:paraId="764593CF">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10）7林班5小班，面积249亩，起源为人工林，林种为防护林，树种为松树纯林，树龄37年，土壤为黄棕壤，土壤厚度为60厘米，海拔80米，位于山地阳坡，坡位在下部，坡度5-8度，坡向西南，林分密度45-55株/亩，平均胸径22.7厘米，平均树高12.5米，林分郁闭度为0.8，林下实生幼苗幼树种类为栎类、硬阔、马尾松等株数为10株/亩，灌木盖度50%，草本盖度20%。</w:t>
      </w:r>
    </w:p>
    <w:p w14:paraId="4F494543">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11）7林班6小班，面积289亩，起源为人工林，林种为防护林，树种为5松5栎，树龄38年，土壤为黄棕壤，土壤厚度为60厘米，海拔250米，位于山地阳坡，坡位在中部，坡度15-20，坡向南，林分密度50-60株/亩，平均胸径19.8厘米，平均树高11.7米，林分郁闭度为0.8，林下实生幼苗幼树种类为栎类、硬阔、马尾松等株数为8株/亩，灌木盖度50%，草本盖度20%。</w:t>
      </w:r>
    </w:p>
    <w:p w14:paraId="5C0B4CB6">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12）7林班7小班，面积299亩，起源为人工林，林种为防护林，树种为8松2栎，树龄38年，土壤为黄棕壤，土壤厚度为60厘米，海拔120米，位于山地阳坡，坡位在下部，坡度5-12度，坡向南，林分密度50-55株/亩，平均胸径23厘米，平均树高12.9米，林分郁闭度为0.8，林下实生幼苗幼树种类为栎类、硬阔、马尾松等株数为12株/亩，灌木盖度45%，草本盖度20%。</w:t>
      </w:r>
    </w:p>
    <w:p w14:paraId="362C89DA">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13）7林班8小班，面积211亩，起源为人工林，林种为防护林，树种为9栎1松，树龄38年，土壤为黄棕壤，土壤厚度为60厘米，海拔70米，位于山地阴坡，坡位在下部，坡度7-14度，坡向北，林分密度50-55株/亩，平均胸径21.9厘米，平均树高12.1米，林分郁闭度为0.8，林下实生幼苗幼树种类为栎类、硬阔、马尾松等株数为9株/亩，灌木盖度50%，草本盖度30%。</w:t>
      </w:r>
    </w:p>
    <w:p w14:paraId="757F3DF0">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14）7林班9小班，面积252亩，起源为人工林，林种为防护林，树种为5松5栎，树龄38年，土壤为黄棕壤，土壤厚度为60厘米，海拔210米，位于山地阳坡，坡位在中部，坡度17-21度，坡向东，林分密度45-55株/亩，平均胸径21.6厘米，平均树高11.3米，林分郁闭度为0.8，林下实生幼苗幼树种类为栎类、硬阔、马尾松等株数为10株/亩，灌木盖度50%，草本盖度20%。</w:t>
      </w:r>
    </w:p>
    <w:p w14:paraId="4C423226">
      <w:pPr>
        <w:spacing w:line="360" w:lineRule="auto"/>
        <w:ind w:firstLine="433" w:firstLineChars="196"/>
        <w:rPr>
          <w:rFonts w:hint="eastAsia" w:ascii="仿宋_GB2312" w:eastAsia="仿宋_GB2312"/>
          <w:b/>
          <w:sz w:val="22"/>
          <w:szCs w:val="22"/>
        </w:rPr>
      </w:pPr>
      <w:r>
        <w:rPr>
          <w:rFonts w:hint="eastAsia" w:ascii="仿宋_GB2312" w:eastAsia="仿宋_GB2312"/>
          <w:b/>
          <w:sz w:val="22"/>
          <w:szCs w:val="22"/>
        </w:rPr>
        <w:t>中龄林作业方式选择</w:t>
      </w:r>
    </w:p>
    <w:p w14:paraId="7A82D808">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（1）疏伐＋人工促进天然更新</w:t>
      </w:r>
    </w:p>
    <w:p w14:paraId="705CED1E">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作业区为王店林区4林班1、2、3、5、7、8、9小班7林班5、7、8小班面积共计2592亩为中龄林，作业方式为疏伐＋人工促进天然更新。</w:t>
      </w:r>
    </w:p>
    <w:p w14:paraId="182FEAAE">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①疏伐作业同幼龄林作业方式相同。</w:t>
      </w:r>
    </w:p>
    <w:p w14:paraId="7B534947">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②人工促进天然更新</w:t>
      </w:r>
    </w:p>
    <w:p w14:paraId="50FC8FD3">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清除干形弯曲以及发生病虫害的疫木，清除影响树木生长的藤蔓植物；开展林下清理，采用点状清理的方式，重点对天然更新幼苗幼树周围的杂灌进行清理，为更新苗保留生长空间。对于更新幼苗幼树，不分种类，均应能保尽保并标记和保护好珍贵实生幼树。</w:t>
      </w:r>
    </w:p>
    <w:p w14:paraId="67918846">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目的树种天然更新等级为中等以下、幼苗幼树株数占林分幼苗幼树总株数的50％以上，且依靠其自然生长发育难以达到成林标准的，采用人工促进天然更新。通过割灌和对林下天然更新幼苗扩穴、松土除草、除蘖间苗等措施促进目的树种幼苗幼树生长发育，优化林分密度，改善林分结构，增加林分稳定性。割灌时只清除距林下幼苗1m以内的灌草，以免造成水土流失和破坏生物多样性。</w:t>
      </w:r>
    </w:p>
    <w:p w14:paraId="36FFA3E1">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（2）生长伐＋人工促进天然更新</w:t>
      </w:r>
    </w:p>
    <w:p w14:paraId="176A9486">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作业区为王店林区4林班4、6小班7林班6、9小班面积共计1108亩，作业方式为生长伐＋人工促进天然更新，小班内林分结构大致相同，均为中龄林，部分树木具有一定的生长潜力，保留林分内长势好、质量好、价值高，发挥生产性和稳定性功能。根据林木个体生长各异，分布特点和培育目标合理确定目标树，实行定株管理，伐除影响到目标树生长的干扰林木，选择间伐株数强度为15%-20%之间，蓄积强度10%-15%之间。通过间伐后保留目标树每公顷600-750株左右，伐后林分胸径不低于伐前平均胸径、伐后林分郁闭度不低于0.6。</w:t>
      </w:r>
    </w:p>
    <w:p w14:paraId="3ADEAF7B">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①生长伐作业</w:t>
      </w:r>
    </w:p>
    <w:p w14:paraId="0C279420">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生长伐是在中龄林阶段，当林分胸径连年生长量明显下降，目的树种或保留木生长受到明显影响时进行的抚育采伐。根据林木个体生长差异、分布特点和培育目标合理确定目标树，实行定株管理，伐除影响到目标树生长的林木，保留乡土阔叶小树、幼树，劈除杂草，对目标树进行修枝培育。</w:t>
      </w:r>
    </w:p>
    <w:p w14:paraId="17439C71">
      <w:pPr>
        <w:spacing w:line="360" w:lineRule="auto"/>
        <w:ind w:firstLine="440" w:firstLineChars="200"/>
        <w:rPr>
          <w:rFonts w:hint="eastAsia" w:ascii="仿宋_GB2312" w:hAnsi="黑体" w:eastAsia="仿宋_GB2312"/>
          <w:sz w:val="22"/>
          <w:szCs w:val="22"/>
        </w:rPr>
      </w:pPr>
      <w:r>
        <w:rPr>
          <w:rFonts w:hint="eastAsia" w:ascii="仿宋_GB2312" w:hAnsi="黑体" w:eastAsia="仿宋_GB2312"/>
          <w:sz w:val="22"/>
          <w:szCs w:val="22"/>
        </w:rPr>
        <w:t>技术要求：</w:t>
      </w:r>
    </w:p>
    <w:p w14:paraId="78CD82EB">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a）进行林木分类，将小班内所有林木分为4类，分别为目标树、干扰树、辅助树和其它树木。</w:t>
      </w:r>
    </w:p>
    <w:p w14:paraId="1FD9D5CF">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首先选择目标树。按以下标准选择目标树：1.首先是目的树种，尽可能选择乡土树种、经济价值高的树种；</w:t>
      </w:r>
      <w:r>
        <w:rPr>
          <w:rFonts w:hint="eastAsia" w:ascii="仿宋_GB2312" w:hAnsi="仿宋" w:eastAsia="仿宋_GB2312"/>
          <w:sz w:val="22"/>
          <w:szCs w:val="22"/>
        </w:rPr>
        <w:t>2.</w:t>
      </w:r>
      <w:r>
        <w:rPr>
          <w:rFonts w:hint="eastAsia" w:ascii="仿宋_GB2312" w:eastAsia="仿宋_GB2312"/>
          <w:sz w:val="22"/>
          <w:szCs w:val="22"/>
        </w:rPr>
        <w:t>生活力强，树干通直圆满，树冠大而致密，树冠占到干高的1/2-1/3，最低不低于1/4；</w:t>
      </w:r>
      <w:r>
        <w:rPr>
          <w:rFonts w:hint="eastAsia" w:ascii="仿宋_GB2312" w:hAnsi="仿宋" w:eastAsia="仿宋_GB2312"/>
          <w:sz w:val="22"/>
          <w:szCs w:val="22"/>
        </w:rPr>
        <w:t>3.</w:t>
      </w:r>
      <w:r>
        <w:rPr>
          <w:rFonts w:hint="eastAsia" w:ascii="仿宋_GB2312" w:eastAsia="仿宋_GB2312"/>
          <w:sz w:val="22"/>
          <w:szCs w:val="22"/>
        </w:rPr>
        <w:t>干材质量好，树干通直，分枝少，无弯曲或者稍微弯曲，无二分叉或至少主干5米以内无二分叉，</w:t>
      </w:r>
      <w:r>
        <w:rPr>
          <w:rFonts w:hint="eastAsia" w:ascii="仿宋_GB2312" w:hAnsi="仿宋" w:eastAsia="仿宋_GB2312"/>
          <w:sz w:val="22"/>
          <w:szCs w:val="22"/>
        </w:rPr>
        <w:t>4.</w:t>
      </w:r>
      <w:r>
        <w:rPr>
          <w:rFonts w:hint="eastAsia" w:ascii="仿宋_GB2312" w:eastAsia="仿宋_GB2312"/>
          <w:sz w:val="22"/>
          <w:szCs w:val="22"/>
        </w:rPr>
        <w:t>树干没有损伤至少基部没有损伤，</w:t>
      </w:r>
      <w:r>
        <w:rPr>
          <w:rFonts w:hint="eastAsia" w:ascii="仿宋_GB2312" w:hAnsi="仿宋" w:eastAsia="仿宋_GB2312"/>
          <w:sz w:val="22"/>
          <w:szCs w:val="22"/>
        </w:rPr>
        <w:t>5.</w:t>
      </w:r>
      <w:r>
        <w:rPr>
          <w:rFonts w:hint="eastAsia" w:ascii="仿宋_GB2312" w:eastAsia="仿宋_GB2312"/>
          <w:sz w:val="22"/>
          <w:szCs w:val="22"/>
        </w:rPr>
        <w:t>实生起源。按照1-5的顺序去选目标树，不能反过来选，也不能打乱顺序选。第一棵目标树选好后，选择第二棵目标树。根据本林分立地条件、林种、树种、萌生起源等实际情况，栎类、马尾松目标径级定为40公分，按照目标胸径的25倍左右来确定目标树之间的距离，两棵目标树间距保持在10米左右；马尾松目标径级定为30公分，两棵目标树间距保持在7米左右。</w:t>
      </w:r>
    </w:p>
    <w:p w14:paraId="044EB8F1">
      <w:pPr>
        <w:overflowPunct w:val="0"/>
        <w:spacing w:line="360" w:lineRule="auto"/>
        <w:ind w:firstLine="440" w:firstLineChars="200"/>
        <w:jc w:val="left"/>
        <w:rPr>
          <w:rFonts w:hint="eastAsia" w:ascii="仿宋_GB2312" w:eastAsia="仿宋_GB2312"/>
          <w:sz w:val="22"/>
          <w:szCs w:val="22"/>
        </w:rPr>
      </w:pPr>
      <w:r>
        <w:rPr>
          <w:rFonts w:hint="eastAsia" w:ascii="仿宋_GB2312" w:eastAsia="仿宋_GB2312"/>
          <w:bCs/>
          <w:sz w:val="22"/>
          <w:szCs w:val="22"/>
        </w:rPr>
        <w:t>第二步选择干扰树。</w:t>
      </w:r>
      <w:r>
        <w:rPr>
          <w:rFonts w:hint="eastAsia" w:ascii="仿宋_GB2312" w:eastAsia="仿宋_GB2312"/>
          <w:sz w:val="22"/>
          <w:szCs w:val="22"/>
        </w:rPr>
        <w:t>选定了目标树后，选择干扰树。只要是树冠与目标树相交，影响目标树树冠自由生长的，就称为干扰树（如下图）。一般伐除1-2棵干扰树，最多东、西、南、北四个方向选择4棵干扰树。其次是伐除一些劣质木，瘦弱木，弯曲木，断头木和质量不高的树；第三是伐除病腐木。病腐木伐除后清除出林分，采取焚烧或者掩埋的方式处理。</w:t>
      </w:r>
    </w:p>
    <w:p w14:paraId="7B0F7DB7">
      <w:pPr>
        <w:pStyle w:val="50"/>
        <w:spacing w:line="360" w:lineRule="auto"/>
        <w:ind w:firstLine="560"/>
        <w:rPr>
          <w:sz w:val="22"/>
          <w:szCs w:val="20"/>
        </w:rPr>
      </w:pPr>
      <w:r>
        <w:rPr>
          <w:rFonts w:ascii="仿宋" w:hAnsi="仿宋" w:eastAsia="仿宋" w:cs="仿宋"/>
          <w:sz w:val="21"/>
          <w:szCs w:val="21"/>
        </w:rPr>
        <w:drawing>
          <wp:inline distT="0" distB="0" distL="114300" distR="114300">
            <wp:extent cx="3896360" cy="2922905"/>
            <wp:effectExtent l="0" t="0" r="2540" b="10795"/>
            <wp:docPr id="41" name="图片 1" descr="C:\Users\ADMINI~1\AppData\Local\Temp\WeChat Files\9986ab0647157bda8eab94e649bef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ADMINI~1\AppData\Local\Temp\WeChat Files\9986ab0647157bda8eab94e649befb9.png"/>
                    <pic:cNvPicPr>
                      <a:picLocks noChangeAspect="1"/>
                    </pic:cNvPicPr>
                  </pic:nvPicPr>
                  <pic:blipFill>
                    <a:blip r:embed="rId17"/>
                    <a:stretch>
                      <a:fillRect/>
                    </a:stretch>
                  </pic:blipFill>
                  <pic:spPr>
                    <a:xfrm>
                      <a:off x="0" y="0"/>
                      <a:ext cx="3896360" cy="2922905"/>
                    </a:xfrm>
                    <a:prstGeom prst="rect">
                      <a:avLst/>
                    </a:prstGeom>
                    <a:noFill/>
                    <a:ln>
                      <a:noFill/>
                    </a:ln>
                  </pic:spPr>
                </pic:pic>
              </a:graphicData>
            </a:graphic>
          </wp:inline>
        </w:drawing>
      </w:r>
    </w:p>
    <w:p w14:paraId="3992692A">
      <w:pPr>
        <w:spacing w:line="360" w:lineRule="auto"/>
        <w:rPr>
          <w:rFonts w:hint="eastAsia" w:ascii="仿宋_GB2312" w:eastAsia="仿宋_GB2312"/>
          <w:sz w:val="22"/>
          <w:szCs w:val="22"/>
        </w:rPr>
      </w:pPr>
      <w:r>
        <w:rPr>
          <w:rFonts w:hint="eastAsia" w:ascii="仿宋_GB2312" w:eastAsia="仿宋_GB2312"/>
          <w:sz w:val="22"/>
          <w:szCs w:val="22"/>
        </w:rPr>
        <w:t>第三步选择和保护辅助树，又称“生态目标树”，是有利于提高森林的生物多样性、保护珍稀濒危物种、改善森林空间结构、保护和改良土壤等功能的林木。包括能为鸟类或其他动物提供栖息场所的、有蜂窝的、珍稀频危的等林木，可选择为辅助树加以保护。同时对林下更新的幼苗幼树进行标记和重点保护。</w:t>
      </w:r>
    </w:p>
    <w:p w14:paraId="4A3840F0">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第四步选择其它树，即以上三种树之外的树木。有利于促进优良木天然整枝和形成良好干形的，对土壤有保护和改良作用的及伐除后可能出现林窗或林中空地的林木；对其它树不作特别标记，特殊情况下可在抚育过程中，按需要采伐利用一定数量，以满足林场用材需求。</w:t>
      </w:r>
    </w:p>
    <w:p w14:paraId="3ADE5679">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b)作业步骤:坚持先打号、后采伐。按以下顺序采伐作业：分别选择和标记目标树、干扰树，采伐干扰树和部分的其它树，保留目标树、辅助树、其它树。避免错伐、漏伐、越界采伐和超额采伐。</w:t>
      </w:r>
    </w:p>
    <w:p w14:paraId="454D0B47">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c）生长伐在进行间伐时应做到保留目标树、伐后林分的平均胸径不低于伐前林分平均胸径、伐后郁闭度应保留到0.6以上。</w:t>
      </w:r>
    </w:p>
    <w:p w14:paraId="10A99BDB">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②人工促进天然更新</w:t>
      </w:r>
    </w:p>
    <w:p w14:paraId="5AAA1DC3">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人工促进天然更新作业方式同上。</w:t>
      </w:r>
    </w:p>
    <w:p w14:paraId="3349126F">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低质低效林改造（中龄林）林分现状</w:t>
      </w:r>
    </w:p>
    <w:p w14:paraId="2866A78D">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4林班10小班，面积200亩，起源为人工林，林种为防护林，树种为9松1栎，树龄38年，土壤为黄棕壤，土壤厚度为60厘米，海拔250米，位于山地阳坡，坡位在上部，坡度17-23度，坡向南，林分密度45-50株/亩，平均胸径2</w:t>
      </w:r>
      <w:r>
        <w:rPr>
          <w:rFonts w:hint="eastAsia" w:ascii="仿宋_GB2312" w:eastAsia="仿宋_GB2312"/>
          <w:sz w:val="22"/>
          <w:szCs w:val="22"/>
          <w:lang w:eastAsia="zh-CN"/>
        </w:rPr>
        <w:t>1.1</w:t>
      </w:r>
      <w:r>
        <w:rPr>
          <w:rFonts w:hint="eastAsia" w:ascii="仿宋_GB2312" w:eastAsia="仿宋_GB2312"/>
          <w:sz w:val="22"/>
          <w:szCs w:val="22"/>
        </w:rPr>
        <w:t>厘米，平均树高12.5米，林分郁闭度为0.8，林下实生幼苗幼树种类为栎类、硬阔等株数为7株/亩，灌木盖度60%，草本盖度50%。</w:t>
      </w:r>
    </w:p>
    <w:p w14:paraId="24FCF2DA">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该小班是原因生态功能显著低于同类立地条件下林分平均水平，蓄积量负增长，生态功能下降，不符合培育目标，为低质低效林。通过对针叶林抽针补阔的方式保留生态功能强的植株，伐除生长不良，弱木及濒死木。间伐改造后补植树种，提高林分的经济效益和生态效益使之成为高效林分。</w:t>
      </w:r>
    </w:p>
    <w:p w14:paraId="05D7FDF8">
      <w:pPr>
        <w:spacing w:line="360" w:lineRule="auto"/>
        <w:rPr>
          <w:rFonts w:hint="eastAsia" w:ascii="仿宋_GB2312" w:eastAsia="仿宋_GB2312"/>
          <w:sz w:val="22"/>
          <w:szCs w:val="22"/>
        </w:rPr>
      </w:pPr>
      <w:r>
        <w:rPr>
          <w:rFonts w:hint="eastAsia" w:ascii="仿宋_GB2312" w:eastAsia="仿宋_GB2312"/>
          <w:sz w:val="22"/>
          <w:szCs w:val="22"/>
        </w:rPr>
        <w:t>低质低效林改造4林班10小班作业方式为疏伐＋补植，选择间伐株数强度为20%-30%之间，蓄积强度10%-15%之间，作业后林木保留株数株每公顷250-300株。通过补植措施改变树种组成结构，培育复层、异龄混交林。</w:t>
      </w:r>
    </w:p>
    <w:p w14:paraId="60609D49">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低质低效林作业方式</w:t>
      </w:r>
    </w:p>
    <w:p w14:paraId="75A70E85">
      <w:pPr>
        <w:spacing w:line="360" w:lineRule="auto"/>
        <w:ind w:firstLine="330" w:firstLineChars="150"/>
        <w:rPr>
          <w:rFonts w:hint="eastAsia" w:ascii="仿宋_GB2312" w:eastAsia="仿宋_GB2312"/>
          <w:sz w:val="22"/>
          <w:szCs w:val="22"/>
        </w:rPr>
      </w:pPr>
      <w:bookmarkStart w:id="900" w:name="OLE_LINK9"/>
      <w:bookmarkStart w:id="901" w:name="OLE_LINK8"/>
      <w:r>
        <w:rPr>
          <w:rFonts w:hint="eastAsia" w:ascii="仿宋_GB2312" w:eastAsia="仿宋_GB2312"/>
          <w:sz w:val="22"/>
          <w:szCs w:val="22"/>
        </w:rPr>
        <w:t>（1）</w:t>
      </w:r>
      <w:bookmarkEnd w:id="900"/>
      <w:bookmarkEnd w:id="901"/>
      <w:r>
        <w:rPr>
          <w:rFonts w:hint="eastAsia" w:ascii="仿宋_GB2312" w:eastAsia="仿宋_GB2312"/>
          <w:sz w:val="22"/>
          <w:szCs w:val="22"/>
        </w:rPr>
        <w:t>疏伐作业</w:t>
      </w:r>
    </w:p>
    <w:p w14:paraId="009B72F5">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疏伐作业方式同上。</w:t>
      </w:r>
    </w:p>
    <w:p w14:paraId="48B4280F">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整地</w:t>
      </w:r>
    </w:p>
    <w:p w14:paraId="207D387C">
      <w:pPr>
        <w:spacing w:line="360" w:lineRule="auto"/>
        <w:ind w:firstLine="440" w:firstLineChars="200"/>
        <w:rPr>
          <w:rFonts w:hint="eastAsia" w:ascii="黑体" w:hAnsi="黑体" w:eastAsia="黑体"/>
          <w:sz w:val="21"/>
          <w:szCs w:val="21"/>
        </w:rPr>
      </w:pPr>
      <w:r>
        <w:rPr>
          <w:rFonts w:hint="eastAsia" w:ascii="仿宋_GB2312" w:eastAsia="仿宋_GB2312"/>
          <w:sz w:val="22"/>
          <w:szCs w:val="22"/>
        </w:rPr>
        <w:t>作业区4林班10小班地块为低质低效林，小班林分内杂灌较多，作业前需先清理杂灌，然后在进行机械全面整地处理，林地挖掘深度为50cm。</w:t>
      </w:r>
    </w:p>
    <w:p w14:paraId="622735F2">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补植方法</w:t>
      </w:r>
    </w:p>
    <w:p w14:paraId="7C9E802A">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根据地类立地条件，以枫香和栎类为主，在林中空地及林窗较多的林地采用群团状补植，按照5～7棵一个团，每亩地补助5～7个群，重点补植在林窗、林隙、林种空地上，方便在抚育间伐时，容易选择采伐木的倒向，不至于伤害到次林层和林下更新幼苗幼树。</w:t>
      </w:r>
    </w:p>
    <w:p w14:paraId="2FB89737">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种源及苗木</w:t>
      </w:r>
    </w:p>
    <w:p w14:paraId="4DE7FA3C">
      <w:pPr>
        <w:spacing w:line="360" w:lineRule="auto"/>
        <w:ind w:firstLine="440" w:firstLineChars="200"/>
        <w:rPr>
          <w:rFonts w:hint="eastAsia" w:ascii="仿宋_GB2312" w:eastAsia="仿宋_GB2312"/>
          <w:sz w:val="22"/>
          <w:szCs w:val="22"/>
        </w:rPr>
      </w:pPr>
      <w:r>
        <w:rPr>
          <w:rFonts w:hint="eastAsia" w:ascii="仿宋_GB2312" w:eastAsia="仿宋_GB2312"/>
          <w:sz w:val="22"/>
          <w:szCs w:val="22"/>
        </w:rPr>
        <w:t>补植树种的种苗必须是优良种源，苗木等级需要满足《主要造林树种苗木质量分级》（GB6000-1999）标准中Ⅰ级苗木规格的要求，造林时苗木的苗龄为1年以上Ⅰ级良种壮苗。栽植前将根系蘸上稀稠适当的泥浆；在病虫危害严重的地段补植补造，采用化学剂蘸根；对于栽植后恢复期较长树种的苗木，采用生根粉处理。</w:t>
      </w:r>
    </w:p>
    <w:p w14:paraId="6A81A218">
      <w:pPr>
        <w:spacing w:line="360" w:lineRule="auto"/>
        <w:jc w:val="center"/>
        <w:rPr>
          <w:rFonts w:hint="eastAsia" w:ascii="仿宋_GB2312" w:eastAsia="仿宋_GB2312"/>
          <w:sz w:val="22"/>
          <w:szCs w:val="22"/>
        </w:rPr>
      </w:pPr>
      <w:r>
        <w:rPr>
          <w:rFonts w:hint="eastAsia" w:ascii="仿宋_GB2312" w:eastAsia="仿宋_GB2312"/>
          <w:sz w:val="22"/>
          <w:szCs w:val="22"/>
        </w:rPr>
        <w:t>表4-5-3补植补造苗木来源规格表</w:t>
      </w:r>
    </w:p>
    <w:tbl>
      <w:tblPr>
        <w:tblStyle w:val="51"/>
        <w:tblW w:w="4661" w:type="pct"/>
        <w:jc w:val="center"/>
        <w:tblLayout w:type="autofit"/>
        <w:tblCellMar>
          <w:top w:w="0" w:type="dxa"/>
          <w:left w:w="108" w:type="dxa"/>
          <w:bottom w:w="0" w:type="dxa"/>
          <w:right w:w="108" w:type="dxa"/>
        </w:tblCellMar>
      </w:tblPr>
      <w:tblGrid>
        <w:gridCol w:w="1286"/>
        <w:gridCol w:w="3151"/>
        <w:gridCol w:w="1081"/>
        <w:gridCol w:w="1545"/>
        <w:gridCol w:w="1593"/>
      </w:tblGrid>
      <w:tr w14:paraId="585CF215">
        <w:tblPrEx>
          <w:tblCellMar>
            <w:top w:w="0" w:type="dxa"/>
            <w:left w:w="108" w:type="dxa"/>
            <w:bottom w:w="0" w:type="dxa"/>
            <w:right w:w="108" w:type="dxa"/>
          </w:tblCellMar>
        </w:tblPrEx>
        <w:trPr>
          <w:trHeight w:val="320" w:hRule="atLeast"/>
          <w:jc w:val="center"/>
        </w:trPr>
        <w:tc>
          <w:tcPr>
            <w:tcW w:w="1180" w:type="dxa"/>
            <w:vMerge w:val="restart"/>
            <w:tcBorders>
              <w:top w:val="single" w:color="auto" w:sz="4" w:space="0"/>
              <w:left w:val="single" w:color="auto" w:sz="4" w:space="0"/>
              <w:bottom w:val="single" w:color="auto" w:sz="4" w:space="0"/>
              <w:right w:val="single" w:color="auto" w:sz="4" w:space="0"/>
            </w:tcBorders>
            <w:noWrap w:val="0"/>
            <w:vAlign w:val="center"/>
          </w:tcPr>
          <w:p w14:paraId="65E490A0">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树种名称</w:t>
            </w:r>
          </w:p>
        </w:tc>
        <w:tc>
          <w:tcPr>
            <w:tcW w:w="2892" w:type="dxa"/>
            <w:vMerge w:val="restart"/>
            <w:tcBorders>
              <w:top w:val="single" w:color="auto" w:sz="4" w:space="0"/>
              <w:left w:val="single" w:color="auto" w:sz="4" w:space="0"/>
              <w:bottom w:val="single" w:color="auto" w:sz="4" w:space="0"/>
              <w:right w:val="single" w:color="auto" w:sz="4" w:space="0"/>
            </w:tcBorders>
            <w:noWrap w:val="0"/>
            <w:vAlign w:val="center"/>
          </w:tcPr>
          <w:p w14:paraId="37527D07">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苗木类型</w:t>
            </w:r>
          </w:p>
        </w:tc>
        <w:tc>
          <w:tcPr>
            <w:tcW w:w="992" w:type="dxa"/>
            <w:vMerge w:val="restart"/>
            <w:tcBorders>
              <w:top w:val="single" w:color="auto" w:sz="4" w:space="0"/>
              <w:left w:val="single" w:color="auto" w:sz="4" w:space="0"/>
              <w:bottom w:val="single" w:color="auto" w:sz="4" w:space="0"/>
              <w:right w:val="single" w:color="auto" w:sz="4" w:space="0"/>
            </w:tcBorders>
            <w:noWrap w:val="0"/>
            <w:vAlign w:val="center"/>
          </w:tcPr>
          <w:p w14:paraId="458DE11D">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苗龄</w:t>
            </w:r>
          </w:p>
        </w:tc>
        <w:tc>
          <w:tcPr>
            <w:tcW w:w="2880" w:type="dxa"/>
            <w:gridSpan w:val="2"/>
            <w:tcBorders>
              <w:top w:val="single" w:color="auto" w:sz="4" w:space="0"/>
              <w:left w:val="nil"/>
              <w:bottom w:val="single" w:color="auto" w:sz="4" w:space="0"/>
              <w:right w:val="single" w:color="auto" w:sz="4" w:space="0"/>
            </w:tcBorders>
            <w:noWrap w:val="0"/>
            <w:vAlign w:val="center"/>
          </w:tcPr>
          <w:p w14:paraId="5798DEBF">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一级苗标准</w:t>
            </w:r>
          </w:p>
        </w:tc>
      </w:tr>
      <w:tr w14:paraId="3003C7A8">
        <w:tblPrEx>
          <w:tblCellMar>
            <w:top w:w="0" w:type="dxa"/>
            <w:left w:w="108" w:type="dxa"/>
            <w:bottom w:w="0" w:type="dxa"/>
            <w:right w:w="108" w:type="dxa"/>
          </w:tblCellMar>
        </w:tblPrEx>
        <w:trPr>
          <w:trHeight w:val="268" w:hRule="atLeast"/>
          <w:jc w:val="center"/>
        </w:trPr>
        <w:tc>
          <w:tcPr>
            <w:tcW w:w="1180" w:type="dxa"/>
            <w:vMerge w:val="continue"/>
            <w:tcBorders>
              <w:top w:val="single" w:color="auto" w:sz="4" w:space="0"/>
              <w:left w:val="single" w:color="auto" w:sz="4" w:space="0"/>
              <w:bottom w:val="single" w:color="auto" w:sz="4" w:space="0"/>
              <w:right w:val="single" w:color="auto" w:sz="4" w:space="0"/>
            </w:tcBorders>
            <w:noWrap w:val="0"/>
            <w:vAlign w:val="center"/>
          </w:tcPr>
          <w:p w14:paraId="641F00A3">
            <w:pPr>
              <w:keepNext w:val="0"/>
              <w:keepLines w:val="0"/>
              <w:suppressLineNumbers w:val="0"/>
              <w:spacing w:before="0" w:beforeAutospacing="0" w:after="0" w:afterAutospacing="0" w:line="360" w:lineRule="auto"/>
              <w:ind w:left="0" w:right="0"/>
              <w:rPr>
                <w:rFonts w:hint="eastAsia" w:ascii="仿宋_GB2312" w:eastAsia="仿宋_GB2312"/>
                <w:sz w:val="20"/>
                <w:szCs w:val="20"/>
              </w:rPr>
            </w:pPr>
          </w:p>
        </w:tc>
        <w:tc>
          <w:tcPr>
            <w:tcW w:w="2892" w:type="dxa"/>
            <w:vMerge w:val="continue"/>
            <w:tcBorders>
              <w:top w:val="single" w:color="auto" w:sz="4" w:space="0"/>
              <w:left w:val="single" w:color="auto" w:sz="4" w:space="0"/>
              <w:bottom w:val="single" w:color="auto" w:sz="4" w:space="0"/>
              <w:right w:val="single" w:color="auto" w:sz="4" w:space="0"/>
            </w:tcBorders>
            <w:noWrap w:val="0"/>
            <w:vAlign w:val="center"/>
          </w:tcPr>
          <w:p w14:paraId="1D336B1E">
            <w:pPr>
              <w:keepNext w:val="0"/>
              <w:keepLines w:val="0"/>
              <w:suppressLineNumbers w:val="0"/>
              <w:spacing w:before="0" w:beforeAutospacing="0" w:after="0" w:afterAutospacing="0" w:line="360" w:lineRule="auto"/>
              <w:ind w:left="0" w:right="0"/>
              <w:rPr>
                <w:rFonts w:hint="eastAsia" w:ascii="仿宋_GB2312" w:eastAsia="仿宋_GB2312"/>
                <w:sz w:val="20"/>
                <w:szCs w:val="20"/>
              </w:rPr>
            </w:pPr>
          </w:p>
        </w:tc>
        <w:tc>
          <w:tcPr>
            <w:tcW w:w="992" w:type="dxa"/>
            <w:vMerge w:val="continue"/>
            <w:tcBorders>
              <w:top w:val="single" w:color="auto" w:sz="4" w:space="0"/>
              <w:left w:val="single" w:color="auto" w:sz="4" w:space="0"/>
              <w:bottom w:val="single" w:color="auto" w:sz="4" w:space="0"/>
              <w:right w:val="single" w:color="auto" w:sz="4" w:space="0"/>
            </w:tcBorders>
            <w:noWrap w:val="0"/>
            <w:vAlign w:val="center"/>
          </w:tcPr>
          <w:p w14:paraId="345D84A2">
            <w:pPr>
              <w:keepNext w:val="0"/>
              <w:keepLines w:val="0"/>
              <w:suppressLineNumbers w:val="0"/>
              <w:spacing w:before="0" w:beforeAutospacing="0" w:after="0" w:afterAutospacing="0" w:line="360" w:lineRule="auto"/>
              <w:ind w:left="0" w:right="0"/>
              <w:rPr>
                <w:rFonts w:hint="eastAsia" w:ascii="仿宋_GB2312" w:eastAsia="仿宋_GB2312"/>
                <w:sz w:val="20"/>
                <w:szCs w:val="20"/>
              </w:rPr>
            </w:pPr>
          </w:p>
        </w:tc>
        <w:tc>
          <w:tcPr>
            <w:tcW w:w="1418" w:type="dxa"/>
            <w:tcBorders>
              <w:top w:val="nil"/>
              <w:left w:val="single" w:color="auto" w:sz="4" w:space="0"/>
              <w:bottom w:val="single" w:color="auto" w:sz="4" w:space="0"/>
              <w:right w:val="single" w:color="auto" w:sz="4" w:space="0"/>
            </w:tcBorders>
            <w:noWrap w:val="0"/>
            <w:vAlign w:val="center"/>
          </w:tcPr>
          <w:p w14:paraId="145C66C5">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地径厘米</w:t>
            </w:r>
          </w:p>
        </w:tc>
        <w:tc>
          <w:tcPr>
            <w:tcW w:w="1462" w:type="dxa"/>
            <w:tcBorders>
              <w:top w:val="nil"/>
              <w:left w:val="single" w:color="auto" w:sz="4" w:space="0"/>
              <w:bottom w:val="single" w:color="auto" w:sz="4" w:space="0"/>
              <w:right w:val="single" w:color="auto" w:sz="4" w:space="0"/>
            </w:tcBorders>
            <w:noWrap w:val="0"/>
            <w:vAlign w:val="center"/>
          </w:tcPr>
          <w:p w14:paraId="68A0A49E">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苗高（杆高）</w:t>
            </w:r>
          </w:p>
          <w:p w14:paraId="0D08103E">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厘米</w:t>
            </w:r>
          </w:p>
        </w:tc>
      </w:tr>
      <w:tr w14:paraId="7E72D281">
        <w:tblPrEx>
          <w:tblCellMar>
            <w:top w:w="0" w:type="dxa"/>
            <w:left w:w="108" w:type="dxa"/>
            <w:bottom w:w="0" w:type="dxa"/>
            <w:right w:w="108" w:type="dxa"/>
          </w:tblCellMar>
        </w:tblPrEx>
        <w:trPr>
          <w:trHeight w:val="244" w:hRule="atLeast"/>
          <w:jc w:val="center"/>
        </w:trPr>
        <w:tc>
          <w:tcPr>
            <w:tcW w:w="1180" w:type="dxa"/>
            <w:tcBorders>
              <w:top w:val="nil"/>
              <w:left w:val="single" w:color="auto" w:sz="4" w:space="0"/>
              <w:bottom w:val="single" w:color="auto" w:sz="4" w:space="0"/>
              <w:right w:val="single" w:color="auto" w:sz="4" w:space="0"/>
            </w:tcBorders>
            <w:noWrap w:val="0"/>
            <w:vAlign w:val="center"/>
          </w:tcPr>
          <w:p w14:paraId="12BD93F3">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枫香</w:t>
            </w:r>
          </w:p>
        </w:tc>
        <w:tc>
          <w:tcPr>
            <w:tcW w:w="2892" w:type="dxa"/>
            <w:tcBorders>
              <w:top w:val="nil"/>
              <w:left w:val="nil"/>
              <w:bottom w:val="single" w:color="auto" w:sz="4" w:space="0"/>
              <w:right w:val="single" w:color="auto" w:sz="4" w:space="0"/>
            </w:tcBorders>
            <w:noWrap w:val="0"/>
            <w:vAlign w:val="center"/>
          </w:tcPr>
          <w:p w14:paraId="643F00DF">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省级以上认定的一级苗</w:t>
            </w:r>
          </w:p>
        </w:tc>
        <w:tc>
          <w:tcPr>
            <w:tcW w:w="992" w:type="dxa"/>
            <w:tcBorders>
              <w:top w:val="nil"/>
              <w:left w:val="nil"/>
              <w:bottom w:val="single" w:color="auto" w:sz="4" w:space="0"/>
              <w:right w:val="single" w:color="auto" w:sz="4" w:space="0"/>
            </w:tcBorders>
            <w:noWrap w:val="0"/>
            <w:vAlign w:val="center"/>
          </w:tcPr>
          <w:p w14:paraId="08B69E27">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1</w:t>
            </w:r>
          </w:p>
        </w:tc>
        <w:tc>
          <w:tcPr>
            <w:tcW w:w="1418" w:type="dxa"/>
            <w:tcBorders>
              <w:top w:val="nil"/>
              <w:left w:val="nil"/>
              <w:bottom w:val="single" w:color="auto" w:sz="4" w:space="0"/>
              <w:right w:val="single" w:color="auto" w:sz="4" w:space="0"/>
            </w:tcBorders>
            <w:noWrap w:val="0"/>
            <w:vAlign w:val="center"/>
          </w:tcPr>
          <w:p w14:paraId="401C1954">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1.00</w:t>
            </w:r>
          </w:p>
        </w:tc>
        <w:tc>
          <w:tcPr>
            <w:tcW w:w="1462" w:type="dxa"/>
            <w:tcBorders>
              <w:top w:val="nil"/>
              <w:left w:val="nil"/>
              <w:bottom w:val="single" w:color="auto" w:sz="4" w:space="0"/>
              <w:right w:val="single" w:color="auto" w:sz="4" w:space="0"/>
            </w:tcBorders>
            <w:noWrap w:val="0"/>
            <w:vAlign w:val="center"/>
          </w:tcPr>
          <w:p w14:paraId="1234AE2E">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100</w:t>
            </w:r>
          </w:p>
        </w:tc>
      </w:tr>
      <w:tr w14:paraId="08750D63">
        <w:tblPrEx>
          <w:tblCellMar>
            <w:top w:w="0" w:type="dxa"/>
            <w:left w:w="108" w:type="dxa"/>
            <w:bottom w:w="0" w:type="dxa"/>
            <w:right w:w="108" w:type="dxa"/>
          </w:tblCellMar>
        </w:tblPrEx>
        <w:trPr>
          <w:trHeight w:val="191" w:hRule="atLeast"/>
          <w:jc w:val="center"/>
        </w:trPr>
        <w:tc>
          <w:tcPr>
            <w:tcW w:w="1180" w:type="dxa"/>
            <w:tcBorders>
              <w:top w:val="nil"/>
              <w:left w:val="single" w:color="auto" w:sz="4" w:space="0"/>
              <w:bottom w:val="single" w:color="auto" w:sz="4" w:space="0"/>
              <w:right w:val="single" w:color="auto" w:sz="4" w:space="0"/>
            </w:tcBorders>
            <w:noWrap w:val="0"/>
            <w:vAlign w:val="center"/>
          </w:tcPr>
          <w:p w14:paraId="47BDD0E4">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栎类</w:t>
            </w:r>
          </w:p>
        </w:tc>
        <w:tc>
          <w:tcPr>
            <w:tcW w:w="2892" w:type="dxa"/>
            <w:tcBorders>
              <w:top w:val="nil"/>
              <w:left w:val="nil"/>
              <w:bottom w:val="single" w:color="auto" w:sz="4" w:space="0"/>
              <w:right w:val="single" w:color="auto" w:sz="4" w:space="0"/>
            </w:tcBorders>
            <w:noWrap w:val="0"/>
            <w:vAlign w:val="center"/>
          </w:tcPr>
          <w:p w14:paraId="100DD443">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省级以上认定的一级苗</w:t>
            </w:r>
          </w:p>
        </w:tc>
        <w:tc>
          <w:tcPr>
            <w:tcW w:w="992" w:type="dxa"/>
            <w:tcBorders>
              <w:top w:val="nil"/>
              <w:left w:val="nil"/>
              <w:bottom w:val="single" w:color="auto" w:sz="4" w:space="0"/>
              <w:right w:val="single" w:color="auto" w:sz="4" w:space="0"/>
            </w:tcBorders>
            <w:noWrap w:val="0"/>
            <w:vAlign w:val="center"/>
          </w:tcPr>
          <w:p w14:paraId="711B4DA3">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1</w:t>
            </w:r>
          </w:p>
        </w:tc>
        <w:tc>
          <w:tcPr>
            <w:tcW w:w="1418" w:type="dxa"/>
            <w:tcBorders>
              <w:top w:val="nil"/>
              <w:left w:val="nil"/>
              <w:bottom w:val="single" w:color="auto" w:sz="4" w:space="0"/>
              <w:right w:val="single" w:color="auto" w:sz="4" w:space="0"/>
            </w:tcBorders>
            <w:noWrap w:val="0"/>
            <w:vAlign w:val="center"/>
          </w:tcPr>
          <w:p w14:paraId="65C92616">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1.00</w:t>
            </w:r>
          </w:p>
        </w:tc>
        <w:tc>
          <w:tcPr>
            <w:tcW w:w="1462" w:type="dxa"/>
            <w:tcBorders>
              <w:top w:val="nil"/>
              <w:left w:val="nil"/>
              <w:bottom w:val="single" w:color="auto" w:sz="4" w:space="0"/>
              <w:right w:val="single" w:color="auto" w:sz="4" w:space="0"/>
            </w:tcBorders>
            <w:noWrap w:val="0"/>
            <w:vAlign w:val="center"/>
          </w:tcPr>
          <w:p w14:paraId="7970EBDB">
            <w:pPr>
              <w:keepNext w:val="0"/>
              <w:keepLines w:val="0"/>
              <w:suppressLineNumbers w:val="0"/>
              <w:spacing w:before="0" w:beforeAutospacing="0" w:after="0" w:afterAutospacing="0" w:line="360" w:lineRule="auto"/>
              <w:ind w:left="0" w:right="0"/>
              <w:rPr>
                <w:rFonts w:hint="eastAsia" w:ascii="仿宋_GB2312" w:eastAsia="仿宋_GB2312"/>
                <w:sz w:val="20"/>
                <w:szCs w:val="20"/>
              </w:rPr>
            </w:pPr>
            <w:r>
              <w:rPr>
                <w:rFonts w:hint="eastAsia" w:ascii="仿宋_GB2312" w:eastAsia="仿宋_GB2312"/>
                <w:sz w:val="20"/>
                <w:szCs w:val="20"/>
              </w:rPr>
              <w:t>100</w:t>
            </w:r>
          </w:p>
        </w:tc>
      </w:tr>
    </w:tbl>
    <w:p w14:paraId="6C876068">
      <w:pPr>
        <w:spacing w:line="360" w:lineRule="auto"/>
        <w:ind w:firstLine="525" w:firstLineChars="250"/>
        <w:rPr>
          <w:rFonts w:hint="eastAsia" w:ascii="黑体" w:hAnsi="黑体" w:eastAsia="黑体"/>
          <w:sz w:val="21"/>
          <w:szCs w:val="21"/>
        </w:rPr>
      </w:pPr>
      <w:r>
        <w:rPr>
          <w:rFonts w:hint="eastAsia" w:ascii="黑体" w:hAnsi="黑体" w:eastAsia="黑体"/>
          <w:sz w:val="21"/>
          <w:szCs w:val="21"/>
        </w:rPr>
        <w:t>造林模式配置</w:t>
      </w:r>
    </w:p>
    <w:p w14:paraId="10DF782B">
      <w:pPr>
        <w:overflowPunct w:val="0"/>
        <w:spacing w:line="360" w:lineRule="auto"/>
        <w:ind w:firstLine="440" w:firstLineChars="200"/>
        <w:jc w:val="left"/>
        <w:rPr>
          <w:rFonts w:eastAsia="仿宋_GB2312"/>
          <w:color w:val="FF0000"/>
          <w:sz w:val="22"/>
          <w:szCs w:val="22"/>
        </w:rPr>
      </w:pPr>
      <w:r>
        <w:rPr>
          <w:rFonts w:hint="eastAsia" w:eastAsia="仿宋_GB2312"/>
          <w:bCs/>
          <w:sz w:val="22"/>
          <w:szCs w:val="22"/>
        </w:rPr>
        <w:t>造林模式配置。</w:t>
      </w:r>
      <w:r>
        <w:rPr>
          <w:rFonts w:hint="eastAsia" w:eastAsia="仿宋_GB2312"/>
          <w:sz w:val="22"/>
          <w:szCs w:val="22"/>
        </w:rPr>
        <w:t>结合林地条件，采取枫香和栎类两个树种的群团状混交、块状混交，每亩栽植密度125株。</w:t>
      </w:r>
    </w:p>
    <w:p w14:paraId="404818FD">
      <w:pPr>
        <w:overflowPunct w:val="0"/>
        <w:spacing w:line="360" w:lineRule="auto"/>
        <w:rPr>
          <w:rFonts w:hint="eastAsia" w:ascii="仿宋_GB2312" w:hAnsi="仿宋" w:eastAsia="仿宋_GB2312" w:cs="仿宋"/>
          <w:bCs/>
          <w:color w:val="000000"/>
          <w:kern w:val="0"/>
          <w:sz w:val="21"/>
          <w:szCs w:val="21"/>
        </w:rPr>
      </w:pPr>
    </w:p>
    <w:p w14:paraId="66A1D3E9">
      <w:pPr>
        <w:overflowPunct w:val="0"/>
        <w:spacing w:line="360" w:lineRule="auto"/>
        <w:rPr>
          <w:rFonts w:hint="eastAsia" w:ascii="仿宋_GB2312" w:hAnsi="仿宋" w:eastAsia="仿宋_GB2312" w:cs="仿宋"/>
          <w:bCs/>
          <w:color w:val="000000"/>
          <w:kern w:val="0"/>
          <w:sz w:val="21"/>
          <w:szCs w:val="21"/>
        </w:rPr>
      </w:pPr>
    </w:p>
    <w:p w14:paraId="3D0A5C69">
      <w:pPr>
        <w:overflowPunct w:val="0"/>
        <w:spacing w:line="360" w:lineRule="auto"/>
        <w:rPr>
          <w:rFonts w:hint="eastAsia" w:ascii="仿宋_GB2312" w:hAnsi="仿宋" w:eastAsia="仿宋_GB2312" w:cs="仿宋"/>
          <w:bCs/>
          <w:color w:val="000000"/>
          <w:kern w:val="0"/>
          <w:sz w:val="21"/>
          <w:szCs w:val="21"/>
        </w:rPr>
      </w:pPr>
    </w:p>
    <w:p w14:paraId="7A6E4024">
      <w:pPr>
        <w:overflowPunct w:val="0"/>
        <w:spacing w:line="360" w:lineRule="auto"/>
        <w:rPr>
          <w:rFonts w:ascii="仿宋_GB2312" w:hAnsi="仿宋" w:eastAsia="仿宋_GB2312" w:cs="仿宋"/>
          <w:sz w:val="21"/>
          <w:szCs w:val="21"/>
        </w:rPr>
      </w:pPr>
      <w:r>
        <w:rPr>
          <w:rFonts w:hint="eastAsia" w:ascii="仿宋_GB2312" w:hAnsi="仿宋" w:eastAsia="仿宋_GB2312" w:cs="仿宋"/>
          <w:bCs/>
          <w:color w:val="000000"/>
          <w:kern w:val="0"/>
          <w:sz w:val="21"/>
          <w:szCs w:val="21"/>
        </w:rPr>
        <w:t>附图2：低效林改造混交</w:t>
      </w:r>
      <w:r>
        <w:rPr>
          <w:rFonts w:hint="eastAsia" w:ascii="仿宋_GB2312" w:hAnsi="仿宋" w:eastAsia="仿宋_GB2312" w:cs="仿宋"/>
          <w:sz w:val="21"/>
          <w:szCs w:val="21"/>
        </w:rPr>
        <w:t>造林图式</w:t>
      </w:r>
    </w:p>
    <w:p w14:paraId="54813366">
      <w:pPr>
        <w:widowControl/>
        <w:spacing w:line="200" w:lineRule="exact"/>
        <w:ind w:firstLine="1000" w:firstLineChars="500"/>
        <w:jc w:val="left"/>
        <w:rPr>
          <w:rFonts w:cs="Arial"/>
          <w:kern w:val="0"/>
          <w:sz w:val="20"/>
          <w:szCs w:val="20"/>
        </w:rPr>
      </w:pPr>
      <w:r>
        <w:rPr>
          <w:rFonts w:hint="eastAsia" w:cs="Arial"/>
          <w:kern w:val="0"/>
          <w:sz w:val="20"/>
          <w:szCs w:val="20"/>
        </w:rPr>
        <w:t>块状混交                                                  群团状混交</w:t>
      </w:r>
    </w:p>
    <w:p w14:paraId="338375B1">
      <w:pPr>
        <w:widowControl/>
        <w:spacing w:line="200" w:lineRule="exact"/>
        <w:jc w:val="left"/>
        <w:rPr>
          <w:rFonts w:eastAsia="Times New Roman" w:cs="Arial"/>
          <w:kern w:val="0"/>
          <w:sz w:val="24"/>
        </w:rPr>
      </w:pPr>
    </w:p>
    <w:p w14:paraId="7A6BB5EE">
      <w:pPr>
        <w:widowControl/>
        <w:spacing w:line="200" w:lineRule="exact"/>
        <w:jc w:val="left"/>
        <w:rPr>
          <w:rFonts w:eastAsia="Times New Roman" w:cs="Arial"/>
          <w:kern w:val="0"/>
          <w:sz w:val="20"/>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66432" behindDoc="0" locked="0" layoutInCell="1" allowOverlap="1">
                <wp:simplePos x="0" y="0"/>
                <wp:positionH relativeFrom="column">
                  <wp:posOffset>4467225</wp:posOffset>
                </wp:positionH>
                <wp:positionV relativeFrom="paragraph">
                  <wp:posOffset>90170</wp:posOffset>
                </wp:positionV>
                <wp:extent cx="113030" cy="121920"/>
                <wp:effectExtent l="22225" t="28575" r="29845" b="27305"/>
                <wp:wrapNone/>
                <wp:docPr id="43" name="任意多边形 43"/>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51.75pt;margin-top:7.1pt;height:9.6pt;width:8.9pt;z-index:251666432;mso-width-relative:page;mso-height-relative:page;" fillcolor="#BBD5F0" filled="t" stroked="t" coordsize="113030,121920" o:gfxdata="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c2DGOtoAAAAJAQAADwAAAAAAAAABACAAAAAiAAAAZHJzL2Rvd25yZXYueG1sUEsBAhQAFAAAAAgA&#10;h07iQJsUZcBAAwAA5gcAAA4AAAAAAAAAAQAgAAAAKQEAAGRycy9lMm9Eb2MueG1sUEsFBgAAAAAG&#10;AAYAWQEAANsGA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20"/>
          <w:szCs w:val="20"/>
        </w:rPr>
        <mc:AlternateContent>
          <mc:Choice Requires="wps">
            <w:drawing>
              <wp:anchor distT="0" distB="0" distL="114300" distR="114300" simplePos="0" relativeHeight="251663360" behindDoc="0" locked="0" layoutInCell="1" allowOverlap="1">
                <wp:simplePos x="0" y="0"/>
                <wp:positionH relativeFrom="column">
                  <wp:posOffset>4751070</wp:posOffset>
                </wp:positionH>
                <wp:positionV relativeFrom="paragraph">
                  <wp:posOffset>105410</wp:posOffset>
                </wp:positionV>
                <wp:extent cx="113030" cy="121920"/>
                <wp:effectExtent l="22225" t="28575" r="29845" b="27305"/>
                <wp:wrapNone/>
                <wp:docPr id="37" name="任意多边形 37"/>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74.1pt;margin-top:8.3pt;height:9.6pt;width:8.9pt;z-index:251663360;mso-width-relative:page;mso-height-relative:page;" fillcolor="#BBD5F0" filled="t" stroked="t" coordsize="113030,121920" o:gfxdata="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B5z7yN2QAA&#10;AAkBAAAPAAAAAAAAAAEAIAAAACIAAABkcnMvZG93bnJldi54bWxQSwECFAAUAAAACACHTuJAiq9H&#10;gToDAADmBwAADgAAAAAAAAABACAAAAAoAQAAZHJzL2Uyb0RvYy54bWxQSwUGAAAAAAYABgBZAQAA&#10;1AY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p>
    <w:p w14:paraId="28174C33">
      <w:pPr>
        <w:widowControl/>
        <w:spacing w:line="200" w:lineRule="exact"/>
        <w:jc w:val="left"/>
        <w:rPr>
          <w:rFonts w:ascii="Calibri" w:hAnsi="Calibri" w:cs="Arial"/>
          <w:kern w:val="0"/>
          <w:sz w:val="6"/>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62336" behindDoc="0" locked="0" layoutInCell="1" allowOverlap="1">
                <wp:simplePos x="0" y="0"/>
                <wp:positionH relativeFrom="column">
                  <wp:posOffset>4980305</wp:posOffset>
                </wp:positionH>
                <wp:positionV relativeFrom="paragraph">
                  <wp:posOffset>77470</wp:posOffset>
                </wp:positionV>
                <wp:extent cx="113030" cy="121920"/>
                <wp:effectExtent l="22225" t="28575" r="29845" b="27305"/>
                <wp:wrapNone/>
                <wp:docPr id="38" name="任意多边形 38"/>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92.15pt;margin-top:6.1pt;height:9.6pt;width:8.9pt;z-index:251662336;mso-width-relative:page;mso-height-relative:page;" fillcolor="#BBD5F0" filled="t" stroked="t" coordsize="113030,121920" o:gfxdata="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28gJuNkA&#10;AAAJAQAADwAAAAAAAAABACAAAAAiAAAAZHJzL2Rvd25yZXYueG1sUEsBAhQAFAAAAAgAh07iQKzz&#10;LP07AwAA5gcAAA4AAAAAAAAAAQAgAAAAKAEAAGRycy9lMm9Eb2MueG1sUEsFBgAAAAAGAAYAWQEA&#10;ANUGA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88960" behindDoc="0" locked="0" layoutInCell="1" allowOverlap="1">
                <wp:simplePos x="0" y="0"/>
                <wp:positionH relativeFrom="column">
                  <wp:posOffset>4255770</wp:posOffset>
                </wp:positionH>
                <wp:positionV relativeFrom="paragraph">
                  <wp:posOffset>37465</wp:posOffset>
                </wp:positionV>
                <wp:extent cx="113030" cy="121920"/>
                <wp:effectExtent l="22225" t="28575" r="29845" b="27305"/>
                <wp:wrapNone/>
                <wp:docPr id="39" name="任意多边形 39"/>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35.1pt;margin-top:2.95pt;height:9.6pt;width:8.9pt;z-index:251688960;mso-width-relative:page;mso-height-relative:page;" fillcolor="#BBD5F0" filled="t" stroked="t" coordsize="113030,121920" o:gfxdata="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Lg5vS/Z&#10;AAAACAEAAA8AAAAAAAAAAQAgAAAAIgAAAGRycy9kb3ducmV2LnhtbFBLAQIUABQAAAAIAIdO4kCA&#10;MMu8PAMAAOYHAAAOAAAAAAAAAAEAIAAAACgBAABkcnMvZTJvRG9jLnhtbFBLBQYAAAAABgAGAFkB&#10;AADWBg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9744" behindDoc="0" locked="0" layoutInCell="1" allowOverlap="1">
                <wp:simplePos x="0" y="0"/>
                <wp:positionH relativeFrom="column">
                  <wp:posOffset>1265555</wp:posOffset>
                </wp:positionH>
                <wp:positionV relativeFrom="paragraph">
                  <wp:posOffset>79375</wp:posOffset>
                </wp:positionV>
                <wp:extent cx="113030" cy="121920"/>
                <wp:effectExtent l="7620" t="7620" r="19050" b="10160"/>
                <wp:wrapNone/>
                <wp:docPr id="40" name="椭圆 40"/>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99.65pt;margin-top:6.25pt;height:9.6pt;width:8.9pt;z-index:251679744;mso-width-relative:page;mso-height-relative:page;" fillcolor="#BBD5F0" filled="t" stroked="t" coordsize="21600,21600" o:gfxdata="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bhLHLZAAAACQEA&#10;AA8AAAAAAAAAAQAgAAAAIgAAAGRycy9kb3ducmV2LnhtbFBLAQIUABQAAAAIAIdO4kDqTpYlUgIA&#10;AMIEAAAOAAAAAAAAAAEAIAAAACgBAABkcnMvZTJvRG9jLnhtbFBLBQYAAAAABgAGAFkBAADsBQAA&#10;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60288" behindDoc="0" locked="0" layoutInCell="1" allowOverlap="1">
                <wp:simplePos x="0" y="0"/>
                <wp:positionH relativeFrom="column">
                  <wp:posOffset>1007110</wp:posOffset>
                </wp:positionH>
                <wp:positionV relativeFrom="paragraph">
                  <wp:posOffset>74930</wp:posOffset>
                </wp:positionV>
                <wp:extent cx="113030" cy="121920"/>
                <wp:effectExtent l="7620" t="7620" r="19050" b="10160"/>
                <wp:wrapNone/>
                <wp:docPr id="22" name="椭圆 22"/>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79.3pt;margin-top:5.9pt;height:9.6pt;width:8.9pt;z-index:251660288;mso-width-relative:page;mso-height-relative:page;" fillcolor="#BBD5F0" filled="t" stroked="t" coordsize="21600,21600" o:gfxdata="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oWawp1wAAAAkBAAAPAAAA&#10;AAAAAAEAIAAAACIAAABkcnMvZG93bnJldi54bWxQSwECFAAUAAAACACHTuJAFewpeE8CAADCBAAA&#10;DgAAAAAAAAABACAAAAAmAQAAZHJzL2Uyb0RvYy54bWxQSwUGAAAAAAYABgBZAQAA5wU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59264" behindDoc="0" locked="0" layoutInCell="1" allowOverlap="1">
                <wp:simplePos x="0" y="0"/>
                <wp:positionH relativeFrom="column">
                  <wp:posOffset>683895</wp:posOffset>
                </wp:positionH>
                <wp:positionV relativeFrom="paragraph">
                  <wp:posOffset>62230</wp:posOffset>
                </wp:positionV>
                <wp:extent cx="113030" cy="121920"/>
                <wp:effectExtent l="22225" t="28575" r="29845" b="27305"/>
                <wp:wrapNone/>
                <wp:docPr id="36" name="任意多边形 36"/>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53.85pt;margin-top:4.9pt;height:9.6pt;width:8.9pt;z-index:251659264;mso-width-relative:page;mso-height-relative:page;" fillcolor="#BBD5F0" filled="t" stroked="t" coordsize="113030,121920" o:gfxdata="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rnfl+tcAAAAI&#10;AQAADwAAAAAAAAABACAAAAAiAAAAZHJzL2Rvd25yZXYueG1sUEsBAhQAFAAAAAgAh07iQKZsoMA6&#10;AwAA5gcAAA4AAAAAAAAAAQAgAAAAJgEAAGRycy9lMm9Eb2MueG1sUEsFBgAAAAAGAAYAWQEAANIG&#10;A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rPr>
        <mc:AlternateContent>
          <mc:Choice Requires="wps">
            <w:drawing>
              <wp:anchor distT="0" distB="0" distL="114300" distR="114300" simplePos="0" relativeHeight="251664384" behindDoc="0" locked="0" layoutInCell="1" allowOverlap="1">
                <wp:simplePos x="0" y="0"/>
                <wp:positionH relativeFrom="column">
                  <wp:posOffset>369570</wp:posOffset>
                </wp:positionH>
                <wp:positionV relativeFrom="paragraph">
                  <wp:posOffset>64135</wp:posOffset>
                </wp:positionV>
                <wp:extent cx="113030" cy="121920"/>
                <wp:effectExtent l="22225" t="28575" r="29845" b="27305"/>
                <wp:wrapNone/>
                <wp:docPr id="33" name="任意多边形 33"/>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29.1pt;margin-top:5.05pt;height:9.6pt;width:8.9pt;z-index:251664384;mso-width-relative:page;mso-height-relative:page;" fillcolor="#BBD5F0" filled="t" stroked="t" coordsize="113030,121920" o:gfxdata="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2p&#10;fSnXAAAABwEAAA8AAAAAAAAAAQAgAAAAIgAAAGRycy9kb3ducmV2LnhtbFBLAQIUABQAAAAIAIdO&#10;4kB7paldQQMAAOYHAAAOAAAAAAAAAAEAIAAAACYBAABkcnMvZTJvRG9jLnhtbFBLBQYAAAAABgAG&#10;AFkBAADZBg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p>
    <w:p w14:paraId="612D8EE3">
      <w:pPr>
        <w:widowControl/>
        <w:spacing w:line="200" w:lineRule="exact"/>
        <w:jc w:val="left"/>
        <w:rPr>
          <w:rFonts w:ascii="Calibri" w:hAnsi="Calibri" w:cs="Arial"/>
          <w:kern w:val="0"/>
          <w:sz w:val="6"/>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92032" behindDoc="0" locked="0" layoutInCell="1" allowOverlap="1">
                <wp:simplePos x="0" y="0"/>
                <wp:positionH relativeFrom="column">
                  <wp:posOffset>5046345</wp:posOffset>
                </wp:positionH>
                <wp:positionV relativeFrom="paragraph">
                  <wp:posOffset>100965</wp:posOffset>
                </wp:positionV>
                <wp:extent cx="113030" cy="121920"/>
                <wp:effectExtent l="22225" t="28575" r="29845" b="27305"/>
                <wp:wrapNone/>
                <wp:docPr id="45" name="任意多边形 45"/>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97.35pt;margin-top:7.95pt;height:9.6pt;width:8.9pt;z-index:251692032;mso-width-relative:page;mso-height-relative:page;" fillcolor="#BBD5F0" filled="t" stroked="t" coordsize="113030,121920" o:gfxdata="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BNxTM92gAA&#10;AAkBAAAPAAAAAAAAAAEAIAAAACIAAABkcnMvZG93bnJldi54bWxQSwECFAAUAAAACACHTuJAMphE&#10;nzkDAADmBwAADgAAAAAAAAABACAAAAApAQAAZHJzL2Uyb0RvYy54bWxQSwUGAAAAAAYABgBZAQAA&#10;1AY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93056" behindDoc="0" locked="0" layoutInCell="1" allowOverlap="1">
                <wp:simplePos x="0" y="0"/>
                <wp:positionH relativeFrom="column">
                  <wp:posOffset>4770120</wp:posOffset>
                </wp:positionH>
                <wp:positionV relativeFrom="paragraph">
                  <wp:posOffset>110490</wp:posOffset>
                </wp:positionV>
                <wp:extent cx="113030" cy="121920"/>
                <wp:effectExtent l="22225" t="28575" r="29845" b="27305"/>
                <wp:wrapNone/>
                <wp:docPr id="34" name="任意多边形 34"/>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75.6pt;margin-top:8.7pt;height:9.6pt;width:8.9pt;z-index:251693056;mso-width-relative:page;mso-height-relative:page;" fillcolor="#BBD5F0" filled="t" stroked="t" coordsize="113030,121920" o:gfxdata="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S1RcO2QAA&#10;AAkBAAAPAAAAAAAAAAEAIAAAACIAAABkcnMvZG93bnJldi54bWxQSwECFAAUAAAACACHTuJA/upv&#10;QzoDAADmBwAADgAAAAAAAAABACAAAAAoAQAAZHJzL2Uyb0RvYy54bWxQSwUGAAAAAAYABgBZAQAA&#10;1AY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p>
    <w:p w14:paraId="021C912B">
      <w:pPr>
        <w:widowControl/>
        <w:spacing w:line="200" w:lineRule="exact"/>
        <w:jc w:val="left"/>
        <w:rPr>
          <w:rFonts w:ascii="Calibri" w:hAnsi="Calibri" w:cs="Arial"/>
          <w:kern w:val="0"/>
          <w:sz w:val="6"/>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89984" behindDoc="0" locked="0" layoutInCell="1" allowOverlap="1">
                <wp:simplePos x="0" y="0"/>
                <wp:positionH relativeFrom="column">
                  <wp:posOffset>4960620</wp:posOffset>
                </wp:positionH>
                <wp:positionV relativeFrom="paragraph">
                  <wp:posOffset>116840</wp:posOffset>
                </wp:positionV>
                <wp:extent cx="113030" cy="121920"/>
                <wp:effectExtent l="22225" t="28575" r="29845" b="27305"/>
                <wp:wrapNone/>
                <wp:docPr id="47" name="任意多边形 47"/>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90.6pt;margin-top:9.2pt;height:9.6pt;width:8.9pt;z-index:251689984;mso-width-relative:page;mso-height-relative:page;" fillcolor="#BBD5F0" filled="t" stroked="t" coordsize="113030,121920" o:gfxdata="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7sVuzNkA&#10;AAAJAQAADwAAAAAAAAABACAAAAAiAAAAZHJzL2Rvd25yZXYueG1sUEsBAhQAFAAAAAgAh07iQGoe&#10;ixw7AwAA5gcAAA4AAAAAAAAAAQAgAAAAKAEAAGRycy9lMm9Eb2MueG1sUEsFBgAAAAAGAAYAWQEA&#10;ANUGA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67456" behindDoc="0" locked="0" layoutInCell="1" allowOverlap="1">
                <wp:simplePos x="0" y="0"/>
                <wp:positionH relativeFrom="column">
                  <wp:posOffset>4474845</wp:posOffset>
                </wp:positionH>
                <wp:positionV relativeFrom="paragraph">
                  <wp:posOffset>12065</wp:posOffset>
                </wp:positionV>
                <wp:extent cx="113030" cy="121920"/>
                <wp:effectExtent l="22225" t="28575" r="29845" b="27305"/>
                <wp:wrapNone/>
                <wp:docPr id="42" name="任意多边形 42"/>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52.35pt;margin-top:0.95pt;height:9.6pt;width:8.9pt;z-index:251667456;mso-width-relative:page;mso-height-relative:page;" fillcolor="#BBD5F0" filled="t" stroked="t" coordsize="113030,121920" o:gfxdata="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EH2/dHY&#10;AAAACAEAAA8AAAAAAAAAAQAgAAAAIgAAAGRycy9kb3ducmV2LnhtbFBLAQIUABQAAAAIAIdO4kC3&#10;14KBPQMAAOYHAAAOAAAAAAAAAAEAIAAAACcBAABkcnMvZTJvRG9jLnhtbFBLBQYAAAAABgAGAFkB&#10;AADWBg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0528" behindDoc="0" locked="0" layoutInCell="1" allowOverlap="1">
                <wp:simplePos x="0" y="0"/>
                <wp:positionH relativeFrom="column">
                  <wp:posOffset>716280</wp:posOffset>
                </wp:positionH>
                <wp:positionV relativeFrom="paragraph">
                  <wp:posOffset>127000</wp:posOffset>
                </wp:positionV>
                <wp:extent cx="113030" cy="121920"/>
                <wp:effectExtent l="22225" t="28575" r="29845" b="27305"/>
                <wp:wrapNone/>
                <wp:docPr id="35" name="任意多边形 35"/>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56.4pt;margin-top:10pt;height:9.6pt;width:8.9pt;z-index:251670528;mso-width-relative:page;mso-height-relative:page;" fillcolor="#BBD5F0" filled="t" stroked="t" coordsize="113030,121920" o:gfxdata="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Ju+mb7YAAAA&#10;CQEAAA8AAAAAAAAAAQAgAAAAIgAAAGRycy9kb3ducmV2LnhtbFBLAQIUABQAAAAIAIdO4kDSKYgC&#10;OgMAAOYHAAAOAAAAAAAAAAEAIAAAACcBAABkcnMvZTJvRG9jLnhtbFBLBQYAAAAABgAGAFkBAADT&#10;Bg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6672" behindDoc="0" locked="0" layoutInCell="1" allowOverlap="1">
                <wp:simplePos x="0" y="0"/>
                <wp:positionH relativeFrom="column">
                  <wp:posOffset>4194175</wp:posOffset>
                </wp:positionH>
                <wp:positionV relativeFrom="paragraph">
                  <wp:posOffset>33020</wp:posOffset>
                </wp:positionV>
                <wp:extent cx="113030" cy="121920"/>
                <wp:effectExtent l="22225" t="28575" r="29845" b="27305"/>
                <wp:wrapNone/>
                <wp:docPr id="48" name="任意多边形 48"/>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30.25pt;margin-top:2.6pt;height:9.6pt;width:8.9pt;z-index:251676672;mso-width-relative:page;mso-height-relative:page;" fillcolor="#BBD5F0" filled="t" stroked="t" coordsize="113030,121920" o:gfxdata="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kSqIi2QAA&#10;AAgBAAAPAAAAAAAAAAEAIAAAACIAAABkcnMvZG93bnJldi54bWxQSwECFAAUAAAACACHTuJATELg&#10;YDoDAADmBwAADgAAAAAAAAABACAAAAAoAQAAZHJzL2Uyb0RvYy54bWxQSwUGAAAAAAYABgBZAQAA&#10;1AY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1552" behindDoc="0" locked="0" layoutInCell="1" allowOverlap="1">
                <wp:simplePos x="0" y="0"/>
                <wp:positionH relativeFrom="column">
                  <wp:posOffset>1278890</wp:posOffset>
                </wp:positionH>
                <wp:positionV relativeFrom="paragraph">
                  <wp:posOffset>93345</wp:posOffset>
                </wp:positionV>
                <wp:extent cx="113030" cy="121920"/>
                <wp:effectExtent l="7620" t="7620" r="19050" b="10160"/>
                <wp:wrapNone/>
                <wp:docPr id="44" name="椭圆 44"/>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100.7pt;margin-top:7.35pt;height:9.6pt;width:8.9pt;z-index:251671552;mso-width-relative:page;mso-height-relative:page;" fillcolor="#BBD5F0" filled="t" stroked="t" coordsize="21600,21600" o:gfxdata="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01mJTYAAAACQEAAA8A&#10;AAAAAAAAAQAgAAAAIgAAAGRycy9kb3ducmV2LnhtbFBLAQIUABQAAAAIAIdO4kDLpeNK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68480" behindDoc="0" locked="0" layoutInCell="1" allowOverlap="1">
                <wp:simplePos x="0" y="0"/>
                <wp:positionH relativeFrom="column">
                  <wp:posOffset>1008380</wp:posOffset>
                </wp:positionH>
                <wp:positionV relativeFrom="paragraph">
                  <wp:posOffset>92075</wp:posOffset>
                </wp:positionV>
                <wp:extent cx="113030" cy="121920"/>
                <wp:effectExtent l="7620" t="7620" r="19050" b="10160"/>
                <wp:wrapNone/>
                <wp:docPr id="31" name="椭圆 31"/>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79.4pt;margin-top:7.25pt;height:9.6pt;width:8.9pt;z-index:251668480;mso-width-relative:page;mso-height-relative:page;" fillcolor="#BBD5F0" filled="t" stroked="t" coordsize="21600,21600" o:gfxdata="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8uqcx2QAAAAkBAAAP&#10;AAAAAAAAAAEAIAAAACIAAABkcnMvZG93bnJldi54bWxQSwECFAAUAAAACACHTuJAAHn3qlACAADC&#10;BAAADgAAAAAAAAABACAAAAAoAQAAZHJzL2Uyb0RvYy54bWxQSwUGAAAAAAYABgBZAQAA6gUAAAAA&#10;">
                <v:fill type="gradient" on="t" color2="#9CBEE0" focus="100%" focussize="0,0">
                  <o:fill type="gradientUnscaled" v:ext="backwardCompatible"/>
                </v:fill>
                <v:stroke weight="1.25pt" color="#739CC3" joinstyle="round"/>
                <v:imagedata o:title=""/>
                <o:lock v:ext="edit" aspectratio="f"/>
              </v:shape>
            </w:pict>
          </mc:Fallback>
        </mc:AlternateContent>
      </w:r>
    </w:p>
    <w:p w14:paraId="06650CFF">
      <w:pPr>
        <w:widowControl/>
        <w:spacing w:line="200" w:lineRule="exact"/>
        <w:jc w:val="left"/>
        <w:rPr>
          <w:rFonts w:eastAsia="Times New Roman" w:cs="Arial"/>
          <w:kern w:val="0"/>
          <w:sz w:val="20"/>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94080" behindDoc="0" locked="0" layoutInCell="1" allowOverlap="1">
                <wp:simplePos x="0" y="0"/>
                <wp:positionH relativeFrom="column">
                  <wp:posOffset>4408805</wp:posOffset>
                </wp:positionH>
                <wp:positionV relativeFrom="paragraph">
                  <wp:posOffset>48895</wp:posOffset>
                </wp:positionV>
                <wp:extent cx="113030" cy="121920"/>
                <wp:effectExtent l="22225" t="28575" r="29845" b="27305"/>
                <wp:wrapNone/>
                <wp:docPr id="46" name="任意多边形 46"/>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47.15pt;margin-top:3.85pt;height:9.6pt;width:8.9pt;z-index:251694080;mso-width-relative:page;mso-height-relative:page;" fillcolor="#BBD5F0" filled="t" stroked="t" coordsize="113030,121920" o:gfxdata="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uUp099gAAAAI&#10;AQAADwAAAAAAAAABACAAAAAiAAAAZHJzL2Rvd25yZXYueG1sUEsBAhQAFAAAAAgAh07iQEbdbF05&#10;AwAA5gcAAA4AAAAAAAAAAQAgAAAAJwEAAGRycy9lMm9Eb2MueG1sUEsFBgAAAAAGAAYAWQEAANIG&#10;A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69504" behindDoc="0" locked="0" layoutInCell="1" allowOverlap="1">
                <wp:simplePos x="0" y="0"/>
                <wp:positionH relativeFrom="column">
                  <wp:posOffset>356870</wp:posOffset>
                </wp:positionH>
                <wp:positionV relativeFrom="paragraph">
                  <wp:posOffset>1905</wp:posOffset>
                </wp:positionV>
                <wp:extent cx="113030" cy="121920"/>
                <wp:effectExtent l="22225" t="28575" r="29845" b="27305"/>
                <wp:wrapNone/>
                <wp:docPr id="49" name="任意多边形 49"/>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28.1pt;margin-top:0.15pt;height:9.6pt;width:8.9pt;z-index:251669504;mso-width-relative:page;mso-height-relative:page;" fillcolor="#BBD5F0" filled="t" stroked="t" coordsize="113030,121920" o:gfxdata="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CQfTUjWAAAA&#10;BQEAAA8AAAAAAAAAAQAgAAAAIgAAAGRycy9kb3ducmV2LnhtbFBLAQIUABQAAAAIAIdO4kBggQch&#10;PAMAAOYHAAAOAAAAAAAAAAEAIAAAACUBAABkcnMvZTJvRG9jLnhtbFBLBQYAAAAABgAGAFkBAADT&#10;Bg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p>
    <w:p w14:paraId="2C5FC4DA">
      <w:pPr>
        <w:widowControl/>
        <w:spacing w:line="200" w:lineRule="exact"/>
        <w:jc w:val="left"/>
        <w:rPr>
          <w:rFonts w:eastAsia="Times New Roman" w:cs="Arial"/>
          <w:kern w:val="0"/>
          <w:sz w:val="20"/>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91008" behindDoc="0" locked="0" layoutInCell="1" allowOverlap="1">
                <wp:simplePos x="0" y="0"/>
                <wp:positionH relativeFrom="column">
                  <wp:posOffset>5013960</wp:posOffset>
                </wp:positionH>
                <wp:positionV relativeFrom="paragraph">
                  <wp:posOffset>63500</wp:posOffset>
                </wp:positionV>
                <wp:extent cx="113030" cy="121920"/>
                <wp:effectExtent l="7620" t="7620" r="19050" b="10160"/>
                <wp:wrapNone/>
                <wp:docPr id="52" name="椭圆 52"/>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94.8pt;margin-top:5pt;height:9.6pt;width:8.9pt;z-index:251691008;mso-width-relative:page;mso-height-relative:page;" fillcolor="#BBD5F0" filled="t" stroked="t" coordsize="21600,21600" o:gfxdata="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qTTUTYAAAACQEAAA8A&#10;AAAAAAAAAQAgAAAAIgAAAGRycy9kb3ducmV2LnhtbFBLAQIUABQAAAAIAIdO4kCn4Ema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95104" behindDoc="0" locked="0" layoutInCell="1" allowOverlap="1">
                <wp:simplePos x="0" y="0"/>
                <wp:positionH relativeFrom="column">
                  <wp:posOffset>4693920</wp:posOffset>
                </wp:positionH>
                <wp:positionV relativeFrom="paragraph">
                  <wp:posOffset>58420</wp:posOffset>
                </wp:positionV>
                <wp:extent cx="113030" cy="121920"/>
                <wp:effectExtent l="7620" t="7620" r="19050" b="10160"/>
                <wp:wrapNone/>
                <wp:docPr id="56" name="椭圆 56"/>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69.6pt;margin-top:4.6pt;height:9.6pt;width:8.9pt;z-index:251695104;mso-width-relative:page;mso-height-relative:page;" fillcolor="#BBD5F0" filled="t" stroked="t" coordsize="21600,21600" o:gfxdata="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6+3/LYAAAACAEAAA8A&#10;AAAAAAAAAQAgAAAAIgAAAGRycy9kb3ducmV2LnhtbFBLAQIUABQAAAAIAIdO4kCGCzz1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65408" behindDoc="0" locked="0" layoutInCell="1" allowOverlap="1">
                <wp:simplePos x="0" y="0"/>
                <wp:positionH relativeFrom="column">
                  <wp:posOffset>4194810</wp:posOffset>
                </wp:positionH>
                <wp:positionV relativeFrom="paragraph">
                  <wp:posOffset>36195</wp:posOffset>
                </wp:positionV>
                <wp:extent cx="113030" cy="121920"/>
                <wp:effectExtent l="7620" t="7620" r="19050" b="10160"/>
                <wp:wrapNone/>
                <wp:docPr id="28" name="椭圆 28"/>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30.3pt;margin-top:2.85pt;height:9.6pt;width:8.9pt;z-index:251665408;mso-width-relative:page;mso-height-relative:page;" fillcolor="#BBD5F0" filled="t" stroked="t" coordsize="21600,21600" o:gfxdata="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V9LcPYAAAACAEAAA8A&#10;AAAAAAAAAQAgAAAAIgAAAGRycy9kb3ducmV2LnhtbFBLAQIUABQAAAAIAIdO4kDnTMB8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87936" behindDoc="0" locked="0" layoutInCell="1" allowOverlap="1">
                <wp:simplePos x="0" y="0"/>
                <wp:positionH relativeFrom="column">
                  <wp:posOffset>1021080</wp:posOffset>
                </wp:positionH>
                <wp:positionV relativeFrom="paragraph">
                  <wp:posOffset>73025</wp:posOffset>
                </wp:positionV>
                <wp:extent cx="113030" cy="121920"/>
                <wp:effectExtent l="22225" t="28575" r="29845" b="27305"/>
                <wp:wrapNone/>
                <wp:docPr id="50" name="任意多边形 50"/>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80.4pt;margin-top:5.75pt;height:9.6pt;width:8.9pt;z-index:251687936;mso-width-relative:page;mso-height-relative:page;" fillcolor="#BBD5F0" filled="t" stroked="t" coordsize="113030,121920" o:gfxdata="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3XQZ62AAAAAkB&#10;AAAPAAAAAAAAAAEAIAAAACIAAABkcnMvZG93bnJldi54bWxQSwECFAAUAAAACACHTuJAz9rUMDgD&#10;AADmBwAADgAAAAAAAAABACAAAAAnAQAAZHJzL2Uyb0RvYy54bWxQSwUGAAAAAAYABgBZAQAA0QYA&#10;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85888" behindDoc="0" locked="0" layoutInCell="1" allowOverlap="1">
                <wp:simplePos x="0" y="0"/>
                <wp:positionH relativeFrom="column">
                  <wp:posOffset>1278255</wp:posOffset>
                </wp:positionH>
                <wp:positionV relativeFrom="paragraph">
                  <wp:posOffset>63500</wp:posOffset>
                </wp:positionV>
                <wp:extent cx="113030" cy="121920"/>
                <wp:effectExtent l="22225" t="28575" r="29845" b="27305"/>
                <wp:wrapNone/>
                <wp:docPr id="63" name="任意多边形 63"/>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100.65pt;margin-top:5pt;height:9.6pt;width:8.9pt;z-index:251685888;mso-width-relative:page;mso-height-relative:page;" fillcolor="#BBD5F0" filled="t" stroked="t" coordsize="113030,121920" o:gfxdata="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f&#10;jAs/2AAAAAkBAAAPAAAAAAAAAAEAIAAAACIAAABkcnMvZG93bnJldi54bWxQSwECFAAUAAAACACH&#10;TuJA2wJWpUEDAADmBwAADgAAAAAAAAABACAAAAAnAQAAZHJzL2Uyb0RvYy54bWxQSwUGAAAAAAYA&#10;BgBZAQAA2gY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83840" behindDoc="0" locked="0" layoutInCell="1" allowOverlap="1">
                <wp:simplePos x="0" y="0"/>
                <wp:positionH relativeFrom="column">
                  <wp:posOffset>705485</wp:posOffset>
                </wp:positionH>
                <wp:positionV relativeFrom="paragraph">
                  <wp:posOffset>96520</wp:posOffset>
                </wp:positionV>
                <wp:extent cx="113030" cy="121920"/>
                <wp:effectExtent l="7620" t="7620" r="19050" b="10160"/>
                <wp:wrapNone/>
                <wp:docPr id="62" name="椭圆 62"/>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55.55pt;margin-top:7.6pt;height:9.6pt;width:8.9pt;z-index:251683840;mso-width-relative:page;mso-height-relative:page;" fillcolor="#BBD5F0" filled="t" stroked="t" coordsize="21600,21600" o:gfxdata="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qP57jYAAAACQEAAA8A&#10;AAAAAAAAAQAgAAAAIgAAAGRycy9kb3ducmV2LnhtbFBLAQIUABQAAAAIAIdO4kCgiS80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81792" behindDoc="0" locked="0" layoutInCell="1" allowOverlap="1">
                <wp:simplePos x="0" y="0"/>
                <wp:positionH relativeFrom="column">
                  <wp:posOffset>381635</wp:posOffset>
                </wp:positionH>
                <wp:positionV relativeFrom="paragraph">
                  <wp:posOffset>125095</wp:posOffset>
                </wp:positionV>
                <wp:extent cx="113030" cy="121920"/>
                <wp:effectExtent l="7620" t="7620" r="19050" b="10160"/>
                <wp:wrapNone/>
                <wp:docPr id="53" name="椭圆 53"/>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0.05pt;margin-top:9.85pt;height:9.6pt;width:8.9pt;z-index:251681792;mso-width-relative:page;mso-height-relative:page;" fillcolor="#BBD5F0" filled="t" stroked="t" coordsize="21600,21600" o:gfxdata="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Vdeg9YAAAAHAQAADwAA&#10;AAAAAAABACAAAAAiAAAAZHJzL2Rvd25yZXYueG1sUEsBAhQAFAAAAAgAh07iQP/bSPdRAgAAwgQA&#10;AA4AAAAAAAAAAQAgAAAAJQEAAGRycy9lMm9Eb2MueG1sUEsFBgAAAAAGAAYAWQEAAOgFAAAAAA==&#10;">
                <v:fill type="gradient" on="t" color2="#9CBEE0" focus="100%" focussize="0,0">
                  <o:fill type="gradientUnscaled" v:ext="backwardCompatible"/>
                </v:fill>
                <v:stroke weight="1.25pt" color="#739CC3" joinstyle="round"/>
                <v:imagedata o:title=""/>
                <o:lock v:ext="edit" aspectratio="f"/>
              </v:shape>
            </w:pict>
          </mc:Fallback>
        </mc:AlternateContent>
      </w:r>
    </w:p>
    <w:p w14:paraId="4CD14207">
      <w:pPr>
        <w:widowControl/>
        <w:spacing w:line="200" w:lineRule="exact"/>
        <w:jc w:val="left"/>
        <w:rPr>
          <w:rFonts w:eastAsia="Times New Roman" w:cs="Arial"/>
          <w:kern w:val="0"/>
          <w:sz w:val="20"/>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74624" behindDoc="0" locked="0" layoutInCell="1" allowOverlap="1">
                <wp:simplePos x="0" y="0"/>
                <wp:positionH relativeFrom="column">
                  <wp:posOffset>4457065</wp:posOffset>
                </wp:positionH>
                <wp:positionV relativeFrom="paragraph">
                  <wp:posOffset>46355</wp:posOffset>
                </wp:positionV>
                <wp:extent cx="113030" cy="121920"/>
                <wp:effectExtent l="7620" t="7620" r="19050" b="10160"/>
                <wp:wrapNone/>
                <wp:docPr id="60" name="椭圆 60"/>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50.95pt;margin-top:3.65pt;height:9.6pt;width:8.9pt;z-index:251674624;mso-width-relative:page;mso-height-relative:page;" fillcolor="#BBD5F0" filled="t" stroked="t" coordsize="21600,21600" o:gfxdata="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a26ZdgAAAAIAQAA&#10;DwAAAAAAAAABACAAAAAiAAAAZHJzL2Rvd25yZXYueG1sUEsBAhQAFAAAAAgAh07iQBD/Le5SAgAA&#10;wgQAAA4AAAAAAAAAAQAgAAAAJwEAAGRycy9lMm9Eb2MueG1sUEsFBgAAAAAGAAYAWQEAAOsFAAAA&#10;AA==&#10;">
                <v:fill type="gradient" on="t" color2="#9CBEE0" focus="100%" focussize="0,0">
                  <o:fill type="gradientUnscaled" v:ext="backwardCompatible"/>
                </v:fill>
                <v:stroke weight="1.25pt" color="#739CC3" joinstyle="round"/>
                <v:imagedata o:title=""/>
                <o:lock v:ext="edit" aspectratio="f"/>
              </v:shape>
            </w:pict>
          </mc:Fallback>
        </mc:AlternateContent>
      </w:r>
    </w:p>
    <w:p w14:paraId="3ADB4F71">
      <w:pPr>
        <w:widowControl/>
        <w:spacing w:line="200" w:lineRule="exact"/>
        <w:jc w:val="left"/>
        <w:rPr>
          <w:rFonts w:eastAsia="Times New Roman" w:cs="Arial"/>
          <w:kern w:val="0"/>
          <w:sz w:val="20"/>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84864" behindDoc="0" locked="0" layoutInCell="1" allowOverlap="1">
                <wp:simplePos x="0" y="0"/>
                <wp:positionH relativeFrom="column">
                  <wp:posOffset>5043805</wp:posOffset>
                </wp:positionH>
                <wp:positionV relativeFrom="paragraph">
                  <wp:posOffset>18415</wp:posOffset>
                </wp:positionV>
                <wp:extent cx="113030" cy="121920"/>
                <wp:effectExtent l="7620" t="7620" r="19050" b="10160"/>
                <wp:wrapNone/>
                <wp:docPr id="58" name="椭圆 58"/>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97.15pt;margin-top:1.45pt;height:9.6pt;width:8.9pt;z-index:251684864;mso-width-relative:page;mso-height-relative:page;" fillcolor="#BBD5F0" filled="t" stroked="t" coordsize="21600,21600" o:gfxdata="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rhA3XYAAAACAEAAA8A&#10;AAAAAAAAAQAgAAAAIgAAAGRycy9kb3ducmV2LnhtbFBLAQIUABQAAAAIAIdO4kBVQKCe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5648" behindDoc="0" locked="0" layoutInCell="1" allowOverlap="1">
                <wp:simplePos x="0" y="0"/>
                <wp:positionH relativeFrom="column">
                  <wp:posOffset>4844415</wp:posOffset>
                </wp:positionH>
                <wp:positionV relativeFrom="paragraph">
                  <wp:posOffset>20320</wp:posOffset>
                </wp:positionV>
                <wp:extent cx="113030" cy="121920"/>
                <wp:effectExtent l="7620" t="7620" r="19050" b="10160"/>
                <wp:wrapNone/>
                <wp:docPr id="23" name="椭圆 23"/>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81.45pt;margin-top:1.6pt;height:9.6pt;width:8.9pt;z-index:251675648;mso-width-relative:page;mso-height-relative:page;" fillcolor="#BBD5F0" filled="t" stroked="t" coordsize="21600,21600" o:gfxdata="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LnH2AAAAAgBAAAP&#10;AAAAAAAAAAEAIAAAACIAAABkcnMvZG93bnJldi54bWxQSwECFAAUAAAACACHTuJATdcoFVECAADC&#10;BAAADgAAAAAAAAABACAAAAAnAQAAZHJzL2Uyb0RvYy54bWxQSwUGAAAAAAYABgBZAQAA6gU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80768" behindDoc="0" locked="0" layoutInCell="1" allowOverlap="1">
                <wp:simplePos x="0" y="0"/>
                <wp:positionH relativeFrom="column">
                  <wp:posOffset>4633595</wp:posOffset>
                </wp:positionH>
                <wp:positionV relativeFrom="paragraph">
                  <wp:posOffset>67310</wp:posOffset>
                </wp:positionV>
                <wp:extent cx="113030" cy="121920"/>
                <wp:effectExtent l="7620" t="7620" r="19050" b="10160"/>
                <wp:wrapNone/>
                <wp:docPr id="54" name="椭圆 54"/>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64.85pt;margin-top:5.3pt;height:9.6pt;width:8.9pt;z-index:251680768;mso-width-relative:page;mso-height-relative:page;" fillcolor="#BBD5F0" filled="t" stroked="t" coordsize="21600,21600" o:gfxdata="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bjvZ2QAAAAkBAAAP&#10;AAAAAAAAAAEAIAAAACIAAABkcnMvZG93bnJldi54bWxQSwECFAAUAAAACACHTuJANn0+L1ACAADC&#10;BAAADgAAAAAAAAABACAAAAAoAQAAZHJzL2Uyb0RvYy54bWxQSwUGAAAAAAYABgBZAQAA6gU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61312" behindDoc="0" locked="0" layoutInCell="1" allowOverlap="1">
                <wp:simplePos x="0" y="0"/>
                <wp:positionH relativeFrom="column">
                  <wp:posOffset>4176395</wp:posOffset>
                </wp:positionH>
                <wp:positionV relativeFrom="paragraph">
                  <wp:posOffset>10160</wp:posOffset>
                </wp:positionV>
                <wp:extent cx="113030" cy="121920"/>
                <wp:effectExtent l="7620" t="7620" r="19050" b="10160"/>
                <wp:wrapNone/>
                <wp:docPr id="24" name="椭圆 24"/>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28.85pt;margin-top:0.8pt;height:9.6pt;width:8.9pt;z-index:251661312;mso-width-relative:page;mso-height-relative:page;" fillcolor="#BBD5F0" filled="t" stroked="t" coordsize="21600,21600" o:gfxdata="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5PQGvYAAAACAEAAA8A&#10;AAAAAAAAAQAgAAAAIgAAAGRycy9kb3ducmV2LnhtbFBLAQIUABQAAAAIAIdO4kCEcV7N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86912" behindDoc="0" locked="0" layoutInCell="1" allowOverlap="1">
                <wp:simplePos x="0" y="0"/>
                <wp:positionH relativeFrom="column">
                  <wp:posOffset>1040130</wp:posOffset>
                </wp:positionH>
                <wp:positionV relativeFrom="paragraph">
                  <wp:posOffset>95250</wp:posOffset>
                </wp:positionV>
                <wp:extent cx="113030" cy="121920"/>
                <wp:effectExtent l="22225" t="28575" r="29845" b="27305"/>
                <wp:wrapNone/>
                <wp:docPr id="51" name="任意多边形 51"/>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81.9pt;margin-top:7.5pt;height:9.6pt;width:8.9pt;z-index:251686912;mso-width-relative:page;mso-height-relative:page;" fillcolor="#BBD5F0" filled="t" stroked="t" coordsize="113030,121920" o:gfxdata="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DWRnmm2QAA&#10;AAkBAAAPAAAAAAAAAAEAIAAAACIAAABkcnMvZG93bnJldi54bWxQSwECFAAUAAAACACHTuJA4xkz&#10;cToDAADmBwAADgAAAAAAAAABACAAAAAoAQAAZHJzL2Uyb0RvYy54bWxQSwUGAAAAAAYABgBZAQAA&#10;1AY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2576" behindDoc="0" locked="0" layoutInCell="1" allowOverlap="1">
                <wp:simplePos x="0" y="0"/>
                <wp:positionH relativeFrom="column">
                  <wp:posOffset>717550</wp:posOffset>
                </wp:positionH>
                <wp:positionV relativeFrom="paragraph">
                  <wp:posOffset>111125</wp:posOffset>
                </wp:positionV>
                <wp:extent cx="113030" cy="121920"/>
                <wp:effectExtent l="7620" t="7620" r="19050" b="10160"/>
                <wp:wrapNone/>
                <wp:docPr id="57" name="椭圆 57"/>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56.5pt;margin-top:8.75pt;height:9.6pt;width:8.9pt;z-index:251672576;mso-width-relative:page;mso-height-relative:page;" fillcolor="#BBD5F0" filled="t" stroked="t" coordsize="21600,21600" o:gfxdata="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zAP4dgAAAAJAQAADwAA&#10;AAAAAAABACAAAAAiAAAAZHJzL2Rvd25yZXYueG1sUEsBAhQAFAAAAAgAh07iQN4wPZhPAgAAwgQA&#10;AA4AAAAAAAAAAQAgAAAAJwEAAGRycy9lMm9Eb2MueG1sUEsFBgAAAAAGAAYAWQEAAOgFAAAAAA==&#10;">
                <v:fill type="gradient" on="t" color2="#9CBEE0" focus="100%" focussize="0,0">
                  <o:fill type="gradientUnscaled" v:ext="backwardCompatible"/>
                </v:fill>
                <v:stroke weight="1.25pt" color="#739CC3" joinstyle="round"/>
                <v:imagedata o:title=""/>
                <o:lock v:ext="edit" aspectratio="f"/>
              </v:shape>
            </w:pict>
          </mc:Fallback>
        </mc:AlternateContent>
      </w:r>
    </w:p>
    <w:p w14:paraId="57244C3E">
      <w:pPr>
        <w:widowControl/>
        <w:spacing w:line="200" w:lineRule="exact"/>
        <w:jc w:val="left"/>
        <w:rPr>
          <w:rFonts w:eastAsia="Times New Roman" w:cs="Arial"/>
          <w:kern w:val="0"/>
          <w:sz w:val="20"/>
          <w:szCs w:val="20"/>
          <w:shd w:val="clear" w:color="FFFFFF" w:fill="D9D9D9"/>
        </w:rPr>
      </w:pPr>
      <w:r>
        <w:rPr>
          <w:rFonts w:ascii="Calibri" w:hAnsi="Calibri" w:cs="Arial"/>
          <w:kern w:val="0"/>
          <w:sz w:val="6"/>
          <w:szCs w:val="20"/>
          <w:shd w:val="clear" w:color="FFFFFF" w:fill="D9D9D9"/>
        </w:rPr>
        <mc:AlternateContent>
          <mc:Choice Requires="wps">
            <w:drawing>
              <wp:anchor distT="0" distB="0" distL="114300" distR="114300" simplePos="0" relativeHeight="251682816" behindDoc="0" locked="0" layoutInCell="1" allowOverlap="1">
                <wp:simplePos x="0" y="0"/>
                <wp:positionH relativeFrom="column">
                  <wp:posOffset>4784090</wp:posOffset>
                </wp:positionH>
                <wp:positionV relativeFrom="paragraph">
                  <wp:posOffset>61595</wp:posOffset>
                </wp:positionV>
                <wp:extent cx="113030" cy="121920"/>
                <wp:effectExtent l="7620" t="7620" r="19050" b="10160"/>
                <wp:wrapNone/>
                <wp:docPr id="61" name="椭圆 61"/>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76.7pt;margin-top:4.85pt;height:9.6pt;width:8.9pt;z-index:251682816;mso-width-relative:page;mso-height-relative:page;" fillcolor="#BBD5F0" filled="t" stroked="t" coordsize="21600,21600" o:gfxdata="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1CQntkAAAAIAQAA&#10;DwAAAAAAAAABACAAAAAiAAAAZHJzL2Rvd25yZXYueG1sUEsBAhQAFAAAAAgAh07iQEjELINRAgAA&#10;wgQAAA4AAAAAAAAAAQAgAAAAKAEAAGRycy9lMm9Eb2MueG1sUEsFBgAAAAAGAAYAWQEAAOsFAAAA&#10;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3600" behindDoc="0" locked="0" layoutInCell="1" allowOverlap="1">
                <wp:simplePos x="0" y="0"/>
                <wp:positionH relativeFrom="column">
                  <wp:posOffset>4439920</wp:posOffset>
                </wp:positionH>
                <wp:positionV relativeFrom="paragraph">
                  <wp:posOffset>59055</wp:posOffset>
                </wp:positionV>
                <wp:extent cx="113030" cy="121920"/>
                <wp:effectExtent l="7620" t="7620" r="19050" b="10160"/>
                <wp:wrapNone/>
                <wp:docPr id="20" name="椭圆 20"/>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49.6pt;margin-top:4.65pt;height:9.6pt;width:8.9pt;z-index:251673600;mso-width-relative:page;mso-height-relative:page;" fillcolor="#BBD5F0" filled="t" stroked="t" coordsize="21600,21600" o:gfxdata="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8UURjYAAAACAEAAA8A&#10;AAAAAAAAAQAgAAAAIgAAAGRycy9kb3ducmV2LnhtbFBLAQIUABQAAAAIAIdO4kClmiuiUAIAAMIE&#10;AAAOAAAAAAAAAAEAIAAAACcBAABkcnMvZTJvRG9jLnhtbFBLBQYAAAAABgAGAFkBAADpBQAAAAA=&#10;">
                <v:fill type="gradient" on="t" color2="#9CBEE0" focus="100%" focussize="0,0">
                  <o:fill type="gradientUnscaled" v:ext="backwardCompatible"/>
                </v:fill>
                <v:stroke weight="1.25pt" color="#739CC3" joinstyle="round"/>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8720" behindDoc="0" locked="0" layoutInCell="1" allowOverlap="1">
                <wp:simplePos x="0" y="0"/>
                <wp:positionH relativeFrom="column">
                  <wp:posOffset>1278255</wp:posOffset>
                </wp:positionH>
                <wp:positionV relativeFrom="paragraph">
                  <wp:posOffset>6350</wp:posOffset>
                </wp:positionV>
                <wp:extent cx="113030" cy="121920"/>
                <wp:effectExtent l="22225" t="28575" r="29845" b="27305"/>
                <wp:wrapNone/>
                <wp:docPr id="59" name="任意多边形 59"/>
                <wp:cNvGraphicFramePr/>
                <a:graphic xmlns:a="http://schemas.openxmlformats.org/drawingml/2006/main">
                  <a:graphicData uri="http://schemas.microsoft.com/office/word/2010/wordprocessingShape">
                    <wps:wsp>
                      <wps:cNvSpPr/>
                      <wps:spPr>
                        <a:xfrm>
                          <a:off x="0" y="0"/>
                          <a:ext cx="113030" cy="121920"/>
                        </a:xfrm>
                        <a:custGeom>
                          <a:avLst/>
                          <a:gdLst/>
                          <a:ahLst/>
                          <a:cxnLst>
                            <a:cxn ang="16187392">
                              <a:pos x="56515" y="0"/>
                            </a:cxn>
                            <a:cxn ang="10747904">
                              <a:pos x="0" y="46569"/>
                            </a:cxn>
                            <a:cxn ang="5373952">
                              <a:pos x="21586" y="121919"/>
                            </a:cxn>
                            <a:cxn ang="5373952">
                              <a:pos x="91443" y="121919"/>
                            </a:cxn>
                            <a:cxn ang="0">
                              <a:pos x="113029" y="46569"/>
                            </a:cxn>
                          </a:cxnLst>
                          <a:pathLst>
                            <a:path w="113030" h="121920">
                              <a:moveTo>
                                <a:pt x="0" y="46569"/>
                              </a:moveTo>
                              <a:lnTo>
                                <a:pt x="43173" y="46569"/>
                              </a:lnTo>
                              <a:lnTo>
                                <a:pt x="56515" y="0"/>
                              </a:lnTo>
                              <a:lnTo>
                                <a:pt x="69856" y="46569"/>
                              </a:lnTo>
                              <a:lnTo>
                                <a:pt x="113029" y="46569"/>
                              </a:lnTo>
                              <a:lnTo>
                                <a:pt x="78101" y="75350"/>
                              </a:lnTo>
                              <a:lnTo>
                                <a:pt x="91443" y="121919"/>
                              </a:lnTo>
                              <a:lnTo>
                                <a:pt x="56515" y="93137"/>
                              </a:lnTo>
                              <a:lnTo>
                                <a:pt x="21586" y="121919"/>
                              </a:lnTo>
                              <a:lnTo>
                                <a:pt x="34928" y="7535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100.65pt;margin-top:0.5pt;height:9.6pt;width:8.9pt;z-index:251678720;mso-width-relative:page;mso-height-relative:page;" fillcolor="#BBD5F0" filled="t" stroked="t" coordsize="113030,121920" o:gfxdata="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AJZ7+rWAAAA&#10;CAEAAA8AAAAAAAAAAQAgAAAAIgAAAGRycy9kb3ducmV2LnhtbFBLAQIUABQAAAAIAIdO4kBACp4T&#10;PAMAAOYHAAAOAAAAAAAAAAEAIAAAACUBAABkcnMvZTJvRG9jLnhtbFBLBQYAAAAABgAGAFkBAADT&#10;BgAAAAA=&#10;" path="m0,46569l43173,46569,56515,0,69856,46569,113029,46569,78101,75350,91443,121919,56515,93137,21586,121919,34928,75350xe">
                <v:path o:connectlocs="56515,0;0,46569;21586,121919;91443,121919;113029,46569" o:connectangles="247,164,82,82,0"/>
                <v:fill type="gradient" on="t" color2="#9CBEE0" focus="100%" focussize="0,0">
                  <o:fill type="gradientUnscaled" v:ext="backwardCompatible"/>
                </v:fill>
                <v:stroke weight="1.25pt" color="#739CC3" joinstyle="miter"/>
                <v:imagedata o:title=""/>
                <o:lock v:ext="edit" aspectratio="f"/>
              </v:shape>
            </w:pict>
          </mc:Fallback>
        </mc:AlternateContent>
      </w:r>
      <w:r>
        <w:rPr>
          <w:rFonts w:ascii="Calibri" w:hAnsi="Calibri" w:cs="Arial"/>
          <w:kern w:val="0"/>
          <w:sz w:val="6"/>
          <w:szCs w:val="20"/>
          <w:shd w:val="clear" w:color="FFFFFF" w:fill="D9D9D9"/>
        </w:rPr>
        <mc:AlternateContent>
          <mc:Choice Requires="wps">
            <w:drawing>
              <wp:anchor distT="0" distB="0" distL="114300" distR="114300" simplePos="0" relativeHeight="251677696" behindDoc="0" locked="0" layoutInCell="1" allowOverlap="1">
                <wp:simplePos x="0" y="0"/>
                <wp:positionH relativeFrom="column">
                  <wp:posOffset>400685</wp:posOffset>
                </wp:positionH>
                <wp:positionV relativeFrom="paragraph">
                  <wp:posOffset>1270</wp:posOffset>
                </wp:positionV>
                <wp:extent cx="113030" cy="121920"/>
                <wp:effectExtent l="7620" t="7620" r="19050" b="10160"/>
                <wp:wrapNone/>
                <wp:docPr id="55" name="椭圆 55"/>
                <wp:cNvGraphicFramePr/>
                <a:graphic xmlns:a="http://schemas.openxmlformats.org/drawingml/2006/main">
                  <a:graphicData uri="http://schemas.microsoft.com/office/word/2010/wordprocessingShape">
                    <wps:wsp>
                      <wps:cNvSpPr/>
                      <wps:spPr>
                        <a:xfrm>
                          <a:off x="0" y="0"/>
                          <a:ext cx="113030" cy="121920"/>
                        </a:xfrm>
                        <a:prstGeom prst="ellipse">
                          <a:avLst/>
                        </a:prstGeom>
                        <a:gradFill rotWithShape="0">
                          <a:gsLst>
                            <a:gs pos="0">
                              <a:srgbClr val="BBD5F0"/>
                            </a:gs>
                            <a:gs pos="100000">
                              <a:srgbClr val="9CBEE0"/>
                            </a:gs>
                          </a:gsLst>
                          <a:lin ang="5400000"/>
                          <a:tileRect/>
                        </a:gradFill>
                        <a:ln w="15875" cap="flat" cmpd="sng">
                          <a:solidFill>
                            <a:srgbClr val="739CC3"/>
                          </a:solidFill>
                          <a:prstDash val="solid"/>
                          <a:headEnd type="none" w="med" len="med"/>
                          <a:tailEnd type="none" w="med" len="med"/>
                        </a:ln>
                        <a:effectLst/>
                      </wps:spPr>
                      <wps:bodyPr wrap="square" upright="1"/>
                    </wps:wsp>
                  </a:graphicData>
                </a:graphic>
              </wp:anchor>
            </w:drawing>
          </mc:Choice>
          <mc:Fallback>
            <w:pict>
              <v:shape id="_x0000_s1026" o:spid="_x0000_s1026" o:spt="3" type="#_x0000_t3" style="position:absolute;left:0pt;margin-left:31.55pt;margin-top:0.1pt;height:9.6pt;width:8.9pt;z-index:251677696;mso-width-relative:page;mso-height-relative:page;" fillcolor="#BBD5F0" filled="t" stroked="t" coordsize="21600,21600" o:gfxdata="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NI4hdUAAAAFAQAADwAAAAAA&#10;AAABACAAAAAiAAAAZHJzL2Rvd25yZXYueG1sUEsBAhQAFAAAAAgAh07iQG5GP0JPAgAAwgQAAA4A&#10;AAAAAAAAAQAgAAAAJAEAAGRycy9lMm9Eb2MueG1sUEsFBgAAAAAGAAYAWQEAAOUFAAAAAA==&#10;">
                <v:fill type="gradient" on="t" color2="#9CBEE0" focus="100%" focussize="0,0">
                  <o:fill type="gradientUnscaled" v:ext="backwardCompatible"/>
                </v:fill>
                <v:stroke weight="1.25pt" color="#739CC3" joinstyle="round"/>
                <v:imagedata o:title=""/>
                <o:lock v:ext="edit" aspectratio="f"/>
              </v:shape>
            </w:pict>
          </mc:Fallback>
        </mc:AlternateContent>
      </w:r>
    </w:p>
    <w:p w14:paraId="4AFE52A2">
      <w:pPr>
        <w:widowControl/>
        <w:spacing w:line="200" w:lineRule="exact"/>
        <w:jc w:val="left"/>
        <w:rPr>
          <w:rFonts w:eastAsia="Times New Roman" w:cs="Arial"/>
          <w:kern w:val="0"/>
          <w:sz w:val="20"/>
          <w:szCs w:val="20"/>
          <w:shd w:val="clear" w:color="FFFFFF" w:fill="D9D9D9"/>
        </w:rPr>
      </w:pPr>
    </w:p>
    <w:p w14:paraId="4A67D336">
      <w:pPr>
        <w:overflowPunct w:val="0"/>
        <w:spacing w:line="360" w:lineRule="auto"/>
        <w:rPr>
          <w:rFonts w:hint="eastAsia" w:ascii="仿宋_GB2312" w:hAnsi="仿宋" w:eastAsia="仿宋_GB2312" w:cs="仿宋"/>
          <w:bCs/>
          <w:color w:val="000000"/>
          <w:kern w:val="0"/>
          <w:sz w:val="21"/>
          <w:szCs w:val="21"/>
        </w:rPr>
      </w:pPr>
    </w:p>
    <w:p w14:paraId="4E966CDB">
      <w:pPr>
        <w:overflowPunct w:val="0"/>
        <w:spacing w:line="360" w:lineRule="auto"/>
        <w:ind w:firstLine="420" w:firstLineChars="200"/>
        <w:jc w:val="left"/>
        <w:rPr>
          <w:rFonts w:ascii="黑体" w:hAnsi="黑体" w:eastAsia="黑体"/>
          <w:bCs/>
          <w:sz w:val="21"/>
          <w:szCs w:val="21"/>
        </w:rPr>
      </w:pPr>
      <w:r>
        <w:rPr>
          <w:rFonts w:hint="eastAsia" w:ascii="黑体" w:hAnsi="黑体" w:eastAsia="黑体"/>
          <w:bCs/>
          <w:sz w:val="21"/>
          <w:szCs w:val="21"/>
        </w:rPr>
        <w:t>施工设计</w:t>
      </w:r>
    </w:p>
    <w:p w14:paraId="09DB9DAA">
      <w:pPr>
        <w:spacing w:line="360" w:lineRule="auto"/>
        <w:ind w:firstLine="440" w:firstLineChars="200"/>
        <w:rPr>
          <w:rFonts w:hint="eastAsia" w:ascii="黑体" w:hAnsi="黑体" w:eastAsia="黑体"/>
          <w:sz w:val="21"/>
          <w:szCs w:val="21"/>
        </w:rPr>
      </w:pPr>
      <w:r>
        <w:rPr>
          <w:rFonts w:hint="eastAsia" w:eastAsia="仿宋_GB2312"/>
          <w:sz w:val="22"/>
          <w:szCs w:val="22"/>
        </w:rPr>
        <w:t>（1）挖穴方式：</w:t>
      </w:r>
    </w:p>
    <w:p w14:paraId="16E86C80">
      <w:pPr>
        <w:overflowPunct w:val="0"/>
        <w:spacing w:line="360" w:lineRule="auto"/>
        <w:ind w:firstLine="440" w:firstLineChars="200"/>
        <w:jc w:val="left"/>
        <w:rPr>
          <w:rFonts w:hint="eastAsia" w:eastAsia="仿宋_GB2312"/>
          <w:sz w:val="22"/>
          <w:szCs w:val="22"/>
        </w:rPr>
      </w:pPr>
      <w:r>
        <w:rPr>
          <w:rFonts w:hint="eastAsia" w:eastAsia="仿宋_GB2312"/>
          <w:sz w:val="22"/>
          <w:szCs w:val="22"/>
        </w:rPr>
        <w:t>机械整地后进行人工挖穴，人工挖穴规格均为50厘米×50厘米×50厘米，整成里低外高的反坡形状。整地时尽量减少原生植被的破坏，以保护生物的多样性，不造成新的水土流失。</w:t>
      </w:r>
    </w:p>
    <w:p w14:paraId="41CA70DF">
      <w:pPr>
        <w:spacing w:line="360" w:lineRule="auto"/>
        <w:ind w:firstLine="440" w:firstLineChars="200"/>
        <w:rPr>
          <w:rFonts w:eastAsia="仿宋_GB2312"/>
          <w:sz w:val="22"/>
          <w:szCs w:val="22"/>
        </w:rPr>
      </w:pPr>
      <w:r>
        <w:rPr>
          <w:rFonts w:hint="eastAsia" w:eastAsia="仿宋_GB2312"/>
          <w:sz w:val="22"/>
          <w:szCs w:val="22"/>
        </w:rPr>
        <w:t>附图1：     低效林改造整地挖穴图式</w:t>
      </w:r>
    </w:p>
    <w:p w14:paraId="30E71841">
      <w:pPr>
        <w:spacing w:line="360" w:lineRule="auto"/>
        <w:ind w:firstLine="440" w:firstLineChars="200"/>
        <w:rPr>
          <w:rFonts w:eastAsia="仿宋_GB2312"/>
          <w:sz w:val="22"/>
          <w:szCs w:val="22"/>
        </w:rPr>
      </w:pPr>
      <w:r>
        <w:rPr>
          <w:rFonts w:hint="eastAsia" w:eastAsia="仿宋_GB2312"/>
          <w:sz w:val="22"/>
          <w:szCs w:val="22"/>
        </w:rPr>
        <w:t>Ⅰ断面                       Ⅱ平面</w:t>
      </w:r>
    </w:p>
    <w:p w14:paraId="745CD1A2">
      <w:pPr>
        <w:overflowPunct w:val="0"/>
        <w:ind w:firstLine="525" w:firstLineChars="250"/>
        <w:rPr>
          <w:rFonts w:ascii="仿宋" w:hAnsi="仿宋" w:eastAsia="仿宋" w:cs="仿宋"/>
          <w:sz w:val="28"/>
          <w:szCs w:val="28"/>
        </w:rPr>
      </w:pPr>
      <w:r>
        <w:rPr>
          <w:rFonts w:ascii="仿宋_GB2312" w:eastAsia="仿宋_GB2312"/>
        </w:rPr>
        <mc:AlternateContent>
          <mc:Choice Requires="wpg">
            <w:drawing>
              <wp:anchor distT="0" distB="0" distL="114300" distR="114300" simplePos="0" relativeHeight="251697152" behindDoc="0" locked="0" layoutInCell="1" allowOverlap="1">
                <wp:simplePos x="0" y="0"/>
                <wp:positionH relativeFrom="column">
                  <wp:posOffset>3134360</wp:posOffset>
                </wp:positionH>
                <wp:positionV relativeFrom="paragraph">
                  <wp:posOffset>176530</wp:posOffset>
                </wp:positionV>
                <wp:extent cx="1348105" cy="1480820"/>
                <wp:effectExtent l="0" t="9525" r="10795" b="8255"/>
                <wp:wrapNone/>
                <wp:docPr id="19" name="组合 19"/>
                <wp:cNvGraphicFramePr/>
                <a:graphic xmlns:a="http://schemas.openxmlformats.org/drawingml/2006/main">
                  <a:graphicData uri="http://schemas.microsoft.com/office/word/2010/wordprocessingGroup">
                    <wpg:wgp>
                      <wpg:cNvGrpSpPr/>
                      <wpg:grpSpPr>
                        <a:xfrm>
                          <a:off x="0" y="0"/>
                          <a:ext cx="1348105" cy="1480820"/>
                          <a:chOff x="0" y="0"/>
                          <a:chExt cx="2412" cy="2964"/>
                        </a:xfrm>
                        <a:effectLst/>
                      </wpg:grpSpPr>
                      <wps:wsp>
                        <wps:cNvPr id="64" name="直线 22"/>
                        <wps:cNvCnPr/>
                        <wps:spPr>
                          <a:xfrm>
                            <a:off x="732" y="780"/>
                            <a:ext cx="0" cy="780"/>
                          </a:xfrm>
                          <a:prstGeom prst="line">
                            <a:avLst/>
                          </a:prstGeom>
                          <a:ln w="9525" cap="flat" cmpd="sng">
                            <a:solidFill>
                              <a:srgbClr val="000000"/>
                            </a:solidFill>
                            <a:prstDash val="dash"/>
                            <a:headEnd type="none" w="med" len="med"/>
                            <a:tailEnd type="none" w="med" len="med"/>
                          </a:ln>
                          <a:effectLst/>
                        </wps:spPr>
                        <wps:bodyPr/>
                      </wps:wsp>
                      <wps:wsp>
                        <wps:cNvPr id="65" name="直线 23"/>
                        <wps:cNvCnPr/>
                        <wps:spPr>
                          <a:xfrm>
                            <a:off x="1677" y="780"/>
                            <a:ext cx="0" cy="780"/>
                          </a:xfrm>
                          <a:prstGeom prst="line">
                            <a:avLst/>
                          </a:prstGeom>
                          <a:ln w="9525" cap="flat" cmpd="sng">
                            <a:solidFill>
                              <a:srgbClr val="000000"/>
                            </a:solidFill>
                            <a:prstDash val="dash"/>
                            <a:headEnd type="none" w="med" len="med"/>
                            <a:tailEnd type="none" w="med" len="med"/>
                          </a:ln>
                          <a:effectLst/>
                        </wps:spPr>
                        <wps:bodyPr/>
                      </wps:wsp>
                      <wpg:grpSp>
                        <wpg:cNvPr id="18" name="组合 24"/>
                        <wpg:cNvGrpSpPr/>
                        <wpg:grpSpPr>
                          <a:xfrm>
                            <a:off x="0" y="0"/>
                            <a:ext cx="2412" cy="2964"/>
                            <a:chOff x="0" y="0"/>
                            <a:chExt cx="2412" cy="2964"/>
                          </a:xfrm>
                          <a:effectLst/>
                        </wpg:grpSpPr>
                        <wps:wsp>
                          <wps:cNvPr id="66" name="直线 25"/>
                          <wps:cNvCnPr/>
                          <wps:spPr>
                            <a:xfrm>
                              <a:off x="0" y="0"/>
                              <a:ext cx="630" cy="0"/>
                            </a:xfrm>
                            <a:prstGeom prst="line">
                              <a:avLst/>
                            </a:prstGeom>
                            <a:ln w="19050" cap="flat" cmpd="sng">
                              <a:solidFill>
                                <a:srgbClr val="000000"/>
                              </a:solidFill>
                              <a:prstDash val="solid"/>
                              <a:headEnd type="none" w="med" len="med"/>
                              <a:tailEnd type="none" w="med" len="med"/>
                            </a:ln>
                            <a:effectLst/>
                          </wps:spPr>
                          <wps:bodyPr/>
                        </wps:wsp>
                        <wps:wsp>
                          <wps:cNvPr id="67" name="直线 26"/>
                          <wps:cNvCnPr/>
                          <wps:spPr>
                            <a:xfrm>
                              <a:off x="1782" y="0"/>
                              <a:ext cx="630" cy="0"/>
                            </a:xfrm>
                            <a:prstGeom prst="line">
                              <a:avLst/>
                            </a:prstGeom>
                            <a:ln w="19050" cap="flat" cmpd="sng">
                              <a:solidFill>
                                <a:srgbClr val="000000"/>
                              </a:solidFill>
                              <a:prstDash val="solid"/>
                              <a:headEnd type="none" w="med" len="med"/>
                              <a:tailEnd type="none" w="med" len="med"/>
                            </a:ln>
                            <a:effectLst/>
                          </wps:spPr>
                          <wps:bodyPr/>
                        </wps:wsp>
                        <wps:wsp>
                          <wps:cNvPr id="68" name="直线 27"/>
                          <wps:cNvCnPr/>
                          <wps:spPr>
                            <a:xfrm>
                              <a:off x="627" y="0"/>
                              <a:ext cx="105" cy="780"/>
                            </a:xfrm>
                            <a:prstGeom prst="line">
                              <a:avLst/>
                            </a:prstGeom>
                            <a:ln w="38100" cap="flat" cmpd="sng">
                              <a:solidFill>
                                <a:srgbClr val="000000"/>
                              </a:solidFill>
                              <a:prstDash val="solid"/>
                              <a:headEnd type="none" w="med" len="med"/>
                              <a:tailEnd type="none" w="med" len="med"/>
                            </a:ln>
                            <a:effectLst/>
                          </wps:spPr>
                          <wps:bodyPr/>
                        </wps:wsp>
                        <wps:wsp>
                          <wps:cNvPr id="69" name="直线 28"/>
                          <wps:cNvCnPr/>
                          <wps:spPr>
                            <a:xfrm flipH="1">
                              <a:off x="1677" y="0"/>
                              <a:ext cx="105" cy="780"/>
                            </a:xfrm>
                            <a:prstGeom prst="line">
                              <a:avLst/>
                            </a:prstGeom>
                            <a:ln w="38100" cap="flat" cmpd="sng">
                              <a:solidFill>
                                <a:srgbClr val="000000"/>
                              </a:solidFill>
                              <a:prstDash val="solid"/>
                              <a:headEnd type="none" w="med" len="med"/>
                              <a:tailEnd type="none" w="med" len="med"/>
                            </a:ln>
                            <a:effectLst/>
                          </wps:spPr>
                          <wps:bodyPr/>
                        </wps:wsp>
                        <wps:wsp>
                          <wps:cNvPr id="8" name="直线 29"/>
                          <wps:cNvCnPr/>
                          <wps:spPr>
                            <a:xfrm>
                              <a:off x="732" y="780"/>
                              <a:ext cx="945" cy="0"/>
                            </a:xfrm>
                            <a:prstGeom prst="line">
                              <a:avLst/>
                            </a:prstGeom>
                            <a:ln w="38100" cap="flat" cmpd="sng">
                              <a:solidFill>
                                <a:srgbClr val="000000"/>
                              </a:solidFill>
                              <a:prstDash val="solid"/>
                              <a:headEnd type="none" w="med" len="med"/>
                              <a:tailEnd type="none" w="med" len="med"/>
                            </a:ln>
                            <a:effectLst/>
                          </wps:spPr>
                          <wps:bodyPr/>
                        </wps:wsp>
                        <wps:wsp>
                          <wps:cNvPr id="9" name="矩形 30"/>
                          <wps:cNvSpPr/>
                          <wps:spPr>
                            <a:xfrm>
                              <a:off x="732" y="1560"/>
                              <a:ext cx="945" cy="936"/>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upright="1"/>
                        </wps:wsp>
                        <wps:wsp>
                          <wps:cNvPr id="10" name="直线 31"/>
                          <wps:cNvCnPr/>
                          <wps:spPr>
                            <a:xfrm>
                              <a:off x="2202" y="0"/>
                              <a:ext cx="0" cy="780"/>
                            </a:xfrm>
                            <a:prstGeom prst="line">
                              <a:avLst/>
                            </a:prstGeom>
                            <a:ln w="9525" cap="flat" cmpd="sng">
                              <a:solidFill>
                                <a:srgbClr val="000000"/>
                              </a:solidFill>
                              <a:prstDash val="solid"/>
                              <a:headEnd type="triangle" w="med" len="med"/>
                              <a:tailEnd type="triangle" w="med" len="med"/>
                            </a:ln>
                            <a:effectLst/>
                          </wps:spPr>
                          <wps:bodyPr/>
                        </wps:wsp>
                        <wps:wsp>
                          <wps:cNvPr id="11" name="直线 32"/>
                          <wps:cNvCnPr/>
                          <wps:spPr>
                            <a:xfrm>
                              <a:off x="2097" y="780"/>
                              <a:ext cx="210" cy="0"/>
                            </a:xfrm>
                            <a:prstGeom prst="line">
                              <a:avLst/>
                            </a:prstGeom>
                            <a:ln w="9525" cap="flat" cmpd="sng">
                              <a:solidFill>
                                <a:srgbClr val="000000"/>
                              </a:solidFill>
                              <a:prstDash val="solid"/>
                              <a:headEnd type="none" w="med" len="med"/>
                              <a:tailEnd type="none" w="med" len="med"/>
                            </a:ln>
                            <a:effectLst/>
                          </wps:spPr>
                          <wps:bodyPr/>
                        </wps:wsp>
                        <wps:wsp>
                          <wps:cNvPr id="12" name="直线 33"/>
                          <wps:cNvCnPr/>
                          <wps:spPr>
                            <a:xfrm>
                              <a:off x="1992" y="1560"/>
                              <a:ext cx="210" cy="0"/>
                            </a:xfrm>
                            <a:prstGeom prst="line">
                              <a:avLst/>
                            </a:prstGeom>
                            <a:ln w="9525" cap="flat" cmpd="sng">
                              <a:solidFill>
                                <a:srgbClr val="000000"/>
                              </a:solidFill>
                              <a:prstDash val="solid"/>
                              <a:headEnd type="none" w="med" len="med"/>
                              <a:tailEnd type="none" w="med" len="med"/>
                            </a:ln>
                            <a:effectLst/>
                          </wps:spPr>
                          <wps:bodyPr/>
                        </wps:wsp>
                        <wps:wsp>
                          <wps:cNvPr id="13" name="直线 34"/>
                          <wps:cNvCnPr/>
                          <wps:spPr>
                            <a:xfrm>
                              <a:off x="1992" y="2496"/>
                              <a:ext cx="210" cy="0"/>
                            </a:xfrm>
                            <a:prstGeom prst="line">
                              <a:avLst/>
                            </a:prstGeom>
                            <a:ln w="9525" cap="flat" cmpd="sng">
                              <a:solidFill>
                                <a:srgbClr val="000000"/>
                              </a:solidFill>
                              <a:prstDash val="solid"/>
                              <a:headEnd type="none" w="med" len="med"/>
                              <a:tailEnd type="none" w="med" len="med"/>
                            </a:ln>
                            <a:effectLst/>
                          </wps:spPr>
                          <wps:bodyPr/>
                        </wps:wsp>
                        <wps:wsp>
                          <wps:cNvPr id="14" name="直线 35"/>
                          <wps:cNvCnPr/>
                          <wps:spPr>
                            <a:xfrm rot="5400000" flipH="1" flipV="1">
                              <a:off x="1521" y="2808"/>
                              <a:ext cx="312" cy="0"/>
                            </a:xfrm>
                            <a:prstGeom prst="line">
                              <a:avLst/>
                            </a:prstGeom>
                            <a:ln w="9525" cap="flat" cmpd="sng">
                              <a:solidFill>
                                <a:srgbClr val="000000"/>
                              </a:solidFill>
                              <a:prstDash val="solid"/>
                              <a:headEnd type="none" w="med" len="med"/>
                              <a:tailEnd type="none" w="med" len="med"/>
                            </a:ln>
                            <a:effectLst/>
                          </wps:spPr>
                          <wps:bodyPr/>
                        </wps:wsp>
                        <wps:wsp>
                          <wps:cNvPr id="15" name="直线 36"/>
                          <wps:cNvCnPr/>
                          <wps:spPr>
                            <a:xfrm rot="5400000">
                              <a:off x="576" y="2808"/>
                              <a:ext cx="312" cy="0"/>
                            </a:xfrm>
                            <a:prstGeom prst="line">
                              <a:avLst/>
                            </a:prstGeom>
                            <a:ln w="9525" cap="flat" cmpd="sng">
                              <a:solidFill>
                                <a:srgbClr val="000000"/>
                              </a:solidFill>
                              <a:prstDash val="solid"/>
                              <a:headEnd type="none" w="med" len="med"/>
                              <a:tailEnd type="none" w="med" len="med"/>
                            </a:ln>
                            <a:effectLst/>
                          </wps:spPr>
                          <wps:bodyPr/>
                        </wps:wsp>
                        <wps:wsp>
                          <wps:cNvPr id="16" name="直线 37"/>
                          <wps:cNvCnPr/>
                          <wps:spPr>
                            <a:xfrm>
                              <a:off x="2097" y="1560"/>
                              <a:ext cx="0" cy="936"/>
                            </a:xfrm>
                            <a:prstGeom prst="line">
                              <a:avLst/>
                            </a:prstGeom>
                            <a:ln w="9525" cap="flat" cmpd="sng">
                              <a:solidFill>
                                <a:srgbClr val="000000"/>
                              </a:solidFill>
                              <a:prstDash val="solid"/>
                              <a:headEnd type="triangle" w="med" len="med"/>
                              <a:tailEnd type="triangle" w="med" len="med"/>
                            </a:ln>
                            <a:effectLst/>
                          </wps:spPr>
                          <wps:bodyPr/>
                        </wps:wsp>
                        <wps:wsp>
                          <wps:cNvPr id="17" name="直线 38"/>
                          <wps:cNvCnPr/>
                          <wps:spPr>
                            <a:xfrm>
                              <a:off x="732" y="2808"/>
                              <a:ext cx="945" cy="0"/>
                            </a:xfrm>
                            <a:prstGeom prst="line">
                              <a:avLst/>
                            </a:prstGeom>
                            <a:ln w="9525" cap="flat" cmpd="sng">
                              <a:solidFill>
                                <a:srgbClr val="000000"/>
                              </a:solidFill>
                              <a:prstDash val="solid"/>
                              <a:headEnd type="triangle" w="med" len="med"/>
                              <a:tailEnd type="triangle" w="med" len="med"/>
                            </a:ln>
                            <a:effectLst/>
                          </wps:spPr>
                          <wps:bodyPr/>
                        </wps:wsp>
                      </wpg:grpSp>
                    </wpg:wgp>
                  </a:graphicData>
                </a:graphic>
              </wp:anchor>
            </w:drawing>
          </mc:Choice>
          <mc:Fallback>
            <w:pict>
              <v:group id="_x0000_s1026" o:spid="_x0000_s1026" o:spt="203" style="position:absolute;left:0pt;margin-left:246.8pt;margin-top:13.9pt;height:116.6pt;width:106.15pt;z-index:251697152;mso-width-relative:page;mso-height-relative:page;" coordsize="2412,2964" o:gfxdata="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FAnCUnaAAAACgEAAA8AAAAAAAAAAQAgAAAAIgAAAGRycy9k&#10;b3ducmV2LnhtbFBLAQIUABQAAAAIAIdO4kDxJmiSrAQAABclAAAOAAAAAAAAAAEAIAAAACkBAABk&#10;cnMvZTJvRG9jLnhtbFBLBQYAAAAABgAGAFkBAABHCAAAAAA=&#10;">
                <o:lock v:ext="edit" aspectratio="f"/>
                <v:line id="直线 22" o:spid="_x0000_s1026" o:spt="20" style="position:absolute;left:732;top:780;height:780;width:0;" filled="f" stroked="t" coordsize="21600,21600" o:gfxdata="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wTuq/&#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直线 23" o:spid="_x0000_s1026" o:spt="20" style="position:absolute;left:1677;top:780;height:780;width:0;" filled="f" stroked="t" coordsize="21600,21600" o:gfxdata="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zrc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group id="组合 24" o:spid="_x0000_s1026" o:spt="203" style="position:absolute;left:0;top:0;height:2964;width:2412;" coordsize="2412,2964"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line id="直线 25" o:spid="_x0000_s1026" o:spt="20" style="position:absolute;left:0;top:0;height:0;width:630;" filled="f" stroked="t" coordsize="21600,21600" o:gfxdata="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TmcugAAANs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直线 26" o:spid="_x0000_s1026" o:spt="20" style="position:absolute;left:1782;top:0;height:0;width:630;" filled="f" stroked="t" coordsize="21600,21600" o:gfxdata="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mcB7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直线 27" o:spid="_x0000_s1026" o:spt="20" style="position:absolute;left:627;top:0;height:780;width:105;" filled="f" stroked="t" coordsize="21600,21600" o:gfxdata="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sbMGe5AAAA2wAA&#10;AA8AAAAAAAAAAQAgAAAAIgAAAGRycy9kb3ducmV2LnhtbFBLAQIUABQAAAAIAIdO4kAzLwWeOwAA&#10;ADkAAAAQAAAAAAAAAAEAIAAAAAgBAABkcnMvc2hhcGV4bWwueG1sUEsFBgAAAAAGAAYAWwEAALID&#10;AAAAAA==&#10;">
                    <v:fill on="f" focussize="0,0"/>
                    <v:stroke weight="3pt" color="#000000" joinstyle="round"/>
                    <v:imagedata o:title=""/>
                    <o:lock v:ext="edit" aspectratio="f"/>
                  </v:line>
                  <v:line id="直线 28" o:spid="_x0000_s1026" o:spt="20" style="position:absolute;left:1677;top:0;flip:x;height:780;width:105;" filled="f" stroked="t" coordsize="21600,21600" o:gfxdata="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pfKErgAAADbAAAA&#10;DwAAAAAAAAABACAAAAAiAAAAZHJzL2Rvd25yZXYueG1sUEsBAhQAFAAAAAgAh07iQDMvBZ47AAAA&#10;OQAAABAAAAAAAAAAAQAgAAAABwEAAGRycy9zaGFwZXhtbC54bWxQSwUGAAAAAAYABgBbAQAAsQMA&#10;AAAA&#10;">
                    <v:fill on="f" focussize="0,0"/>
                    <v:stroke weight="3pt" color="#000000" joinstyle="round"/>
                    <v:imagedata o:title=""/>
                    <o:lock v:ext="edit" aspectratio="f"/>
                  </v:line>
                  <v:line id="直线 29" o:spid="_x0000_s1026" o:spt="20" style="position:absolute;left:732;top:780;height:0;width:945;" filled="f" stroked="t" coordsize="21600,21600" o:gfxdata="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ofPjbgAAADaAAAA&#10;DwAAAAAAAAABACAAAAAiAAAAZHJzL2Rvd25yZXYueG1sUEsBAhQAFAAAAAgAh07iQDMvBZ47AAAA&#10;OQAAABAAAAAAAAAAAQAgAAAABwEAAGRycy9zaGFwZXhtbC54bWxQSwUGAAAAAAYABgBbAQAAsQMA&#10;AAAA&#10;">
                    <v:fill on="f" focussize="0,0"/>
                    <v:stroke weight="3pt" color="#000000" joinstyle="round"/>
                    <v:imagedata o:title=""/>
                    <o:lock v:ext="edit" aspectratio="f"/>
                  </v:line>
                  <v:rect id="矩形 30" o:spid="_x0000_s1026" o:spt="1" style="position:absolute;left:732;top:1560;height:936;width:945;"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rect>
                  <v:line id="直线 31" o:spid="_x0000_s1026" o:spt="20" style="position:absolute;left:2202;top:0;height:780;width:0;"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直线 32" o:spid="_x0000_s1026" o:spt="20" style="position:absolute;left:2097;top:780;height:0;width:210;" filled="f" stroked="t" coordsize="21600,21600"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1992;top:1560;height:0;width:210;"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4" o:spid="_x0000_s1026" o:spt="20" style="position:absolute;left:1992;top:2496;height:0;width:210;"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5" o:spid="_x0000_s1026" o:spt="20" style="position:absolute;left:1521;top:2808;flip:x y;height:0;width:312;rotation:5898240f;" filled="f" stroked="t" coordsize="21600,21600" o:gfxdata="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22Ac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6" o:spid="_x0000_s1026" o:spt="20" style="position:absolute;left:576;top:2808;height:0;width:312;rotation:5898240f;" filled="f" stroked="t" coordsize="21600,21600" o:gfxdata="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nOMJ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直线 37" o:spid="_x0000_s1026" o:spt="20" style="position:absolute;left:2097;top:1560;height:936;width:0;" filled="f" stroked="t" coordsize="21600,21600" o:gfxdata="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mLlytwAAANsAAAAP&#10;AAAAAAAAAAEAIAAAACIAAABkcnMvZG93bnJldi54bWxQSwECFAAUAAAACACHTuJAMy8FnjsAAAA5&#10;AAAAEAAAAAAAAAABACAAAAAGAQAAZHJzL3NoYXBleG1sLnhtbFBLBQYAAAAABgAGAFsBAACwAwAA&#10;AAA=&#10;">
                    <v:fill on="f" focussize="0,0"/>
                    <v:stroke color="#000000" joinstyle="round" startarrow="block" endarrow="block"/>
                    <v:imagedata o:title=""/>
                    <o:lock v:ext="edit" aspectratio="f"/>
                  </v:line>
                  <v:line id="直线 38" o:spid="_x0000_s1026" o:spt="20" style="position:absolute;left:732;top:2808;height:0;width:945;" filled="f" stroked="t" coordsize="21600,21600" o:gfxdata="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Qc6b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group>
              </v:group>
            </w:pict>
          </mc:Fallback>
        </mc:AlternateContent>
      </w:r>
      <w:r>
        <w:rPr>
          <w:rFonts w:hint="eastAsia" w:ascii="宋体" w:hAnsi="Courier New" w:eastAsia="仿宋_GB2312" w:cs="Courier New"/>
          <w:sz w:val="24"/>
          <w:szCs w:val="21"/>
        </w:rPr>
        <w:drawing>
          <wp:anchor distT="0" distB="0" distL="114300" distR="114300" simplePos="0" relativeHeight="251696128" behindDoc="1" locked="0" layoutInCell="0" allowOverlap="1">
            <wp:simplePos x="0" y="0"/>
            <wp:positionH relativeFrom="column">
              <wp:posOffset>598170</wp:posOffset>
            </wp:positionH>
            <wp:positionV relativeFrom="paragraph">
              <wp:posOffset>46990</wp:posOffset>
            </wp:positionV>
            <wp:extent cx="1813560" cy="1663065"/>
            <wp:effectExtent l="0" t="0" r="2540" b="635"/>
            <wp:wrapNone/>
            <wp:docPr id="70" name="Picture 57" descr="291744841141748052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7" descr="2917448411417480527718"/>
                    <pic:cNvPicPr>
                      <a:picLocks noChangeAspect="1"/>
                    </pic:cNvPicPr>
                  </pic:nvPicPr>
                  <pic:blipFill>
                    <a:blip r:embed="rId18"/>
                    <a:stretch>
                      <a:fillRect/>
                    </a:stretch>
                  </pic:blipFill>
                  <pic:spPr>
                    <a:xfrm>
                      <a:off x="0" y="0"/>
                      <a:ext cx="1813560" cy="1663065"/>
                    </a:xfrm>
                    <a:prstGeom prst="rect">
                      <a:avLst/>
                    </a:prstGeom>
                    <a:noFill/>
                    <a:ln>
                      <a:noFill/>
                    </a:ln>
                  </pic:spPr>
                </pic:pic>
              </a:graphicData>
            </a:graphic>
          </wp:anchor>
        </w:drawing>
      </w:r>
    </w:p>
    <w:p w14:paraId="58340BF2">
      <w:pPr>
        <w:ind w:firstLine="7040" w:firstLineChars="2200"/>
        <w:rPr>
          <w:rFonts w:ascii="宋体" w:eastAsia="仿宋_GB2312"/>
          <w:sz w:val="24"/>
        </w:rPr>
      </w:pPr>
      <w:r>
        <w:rPr>
          <w:rFonts w:hint="eastAsia" w:eastAsia="仿宋_GB2312"/>
          <w:sz w:val="32"/>
          <w:szCs w:val="32"/>
        </w:rPr>
        <w:t>深50cm</w:t>
      </w:r>
    </w:p>
    <w:tbl>
      <w:tblPr>
        <w:tblStyle w:val="51"/>
        <w:tblpPr w:leftFromText="180" w:rightFromText="180" w:vertAnchor="text" w:horzAnchor="page" w:tblpX="2774" w:tblpY="380"/>
        <w:tblOverlap w:val="never"/>
        <w:tblW w:w="0" w:type="auto"/>
        <w:tblInd w:w="0" w:type="dxa"/>
        <w:tblLayout w:type="fixed"/>
        <w:tblCellMar>
          <w:top w:w="0" w:type="dxa"/>
          <w:left w:w="0" w:type="dxa"/>
          <w:bottom w:w="0" w:type="dxa"/>
          <w:right w:w="0" w:type="dxa"/>
        </w:tblCellMar>
      </w:tblPr>
      <w:tblGrid>
        <w:gridCol w:w="604"/>
        <w:gridCol w:w="635"/>
      </w:tblGrid>
      <w:tr w14:paraId="66287CFA">
        <w:tblPrEx>
          <w:tblCellMar>
            <w:top w:w="0" w:type="dxa"/>
            <w:left w:w="0" w:type="dxa"/>
            <w:bottom w:w="0" w:type="dxa"/>
            <w:right w:w="0" w:type="dxa"/>
          </w:tblCellMar>
        </w:tblPrEx>
        <w:trPr>
          <w:trHeight w:val="287" w:hRule="atLeast"/>
        </w:trPr>
        <w:tc>
          <w:tcPr>
            <w:tcW w:w="604" w:type="dxa"/>
            <w:vMerge w:val="restart"/>
            <w:tcBorders>
              <w:top w:val="nil"/>
              <w:left w:val="nil"/>
              <w:bottom w:val="nil"/>
              <w:right w:val="nil"/>
            </w:tcBorders>
            <w:noWrap w:val="0"/>
            <w:vAlign w:val="bottom"/>
          </w:tcPr>
          <w:p w14:paraId="6EE58CBB">
            <w:pPr>
              <w:keepNext w:val="0"/>
              <w:keepLines w:val="0"/>
              <w:suppressLineNumbers w:val="0"/>
              <w:spacing w:before="0" w:beforeAutospacing="0" w:after="0" w:afterAutospacing="0" w:line="0" w:lineRule="atLeast"/>
              <w:ind w:left="0" w:right="0"/>
              <w:rPr>
                <w:rFonts w:hint="default" w:ascii="仿宋" w:hAnsi="仿宋" w:eastAsia="仿宋" w:cs="仿宋"/>
                <w:w w:val="99"/>
                <w:sz w:val="30"/>
                <w:szCs w:val="30"/>
              </w:rPr>
            </w:pPr>
            <w:r>
              <w:rPr>
                <w:rFonts w:hint="eastAsia" w:ascii="仿宋" w:hAnsi="仿宋" w:eastAsia="仿宋" w:cs="仿宋"/>
                <w:w w:val="99"/>
                <w:sz w:val="30"/>
                <w:szCs w:val="30"/>
              </w:rPr>
              <w:t>2米</w:t>
            </w:r>
          </w:p>
        </w:tc>
        <w:tc>
          <w:tcPr>
            <w:tcW w:w="635" w:type="dxa"/>
            <w:tcBorders>
              <w:top w:val="nil"/>
              <w:left w:val="nil"/>
              <w:bottom w:val="nil"/>
              <w:right w:val="nil"/>
            </w:tcBorders>
            <w:noWrap w:val="0"/>
            <w:vAlign w:val="bottom"/>
          </w:tcPr>
          <w:p w14:paraId="16728C3F">
            <w:pPr>
              <w:keepNext w:val="0"/>
              <w:keepLines w:val="0"/>
              <w:suppressLineNumbers w:val="0"/>
              <w:spacing w:before="0" w:beforeAutospacing="0" w:after="0" w:afterAutospacing="0" w:line="0" w:lineRule="atLeast"/>
              <w:ind w:left="260" w:right="0"/>
              <w:rPr>
                <w:rFonts w:hint="default" w:ascii="仿宋" w:hAnsi="仿宋" w:eastAsia="仿宋" w:cs="仿宋"/>
                <w:w w:val="99"/>
                <w:sz w:val="30"/>
                <w:szCs w:val="30"/>
              </w:rPr>
            </w:pPr>
          </w:p>
        </w:tc>
      </w:tr>
      <w:tr w14:paraId="421D8B60">
        <w:tblPrEx>
          <w:tblCellMar>
            <w:top w:w="0" w:type="dxa"/>
            <w:left w:w="0" w:type="dxa"/>
            <w:bottom w:w="0" w:type="dxa"/>
            <w:right w:w="0" w:type="dxa"/>
          </w:tblCellMar>
        </w:tblPrEx>
        <w:trPr>
          <w:trHeight w:val="140" w:hRule="atLeast"/>
        </w:trPr>
        <w:tc>
          <w:tcPr>
            <w:tcW w:w="604" w:type="dxa"/>
            <w:vMerge w:val="continue"/>
            <w:tcBorders>
              <w:top w:val="nil"/>
              <w:left w:val="nil"/>
              <w:bottom w:val="nil"/>
              <w:right w:val="nil"/>
            </w:tcBorders>
            <w:noWrap w:val="0"/>
            <w:vAlign w:val="bottom"/>
          </w:tcPr>
          <w:p w14:paraId="37DB5526">
            <w:pPr>
              <w:keepNext w:val="0"/>
              <w:keepLines w:val="0"/>
              <w:suppressLineNumbers w:val="0"/>
              <w:spacing w:before="0" w:beforeAutospacing="0" w:after="0" w:afterAutospacing="0"/>
              <w:ind w:left="0" w:right="0"/>
              <w:rPr>
                <w:rFonts w:hint="default" w:ascii="仿宋" w:hAnsi="仿宋" w:eastAsia="仿宋" w:cs="仿宋"/>
                <w:sz w:val="30"/>
                <w:szCs w:val="30"/>
              </w:rPr>
            </w:pPr>
          </w:p>
        </w:tc>
        <w:tc>
          <w:tcPr>
            <w:tcW w:w="635" w:type="dxa"/>
            <w:tcBorders>
              <w:top w:val="nil"/>
              <w:left w:val="nil"/>
              <w:bottom w:val="nil"/>
              <w:right w:val="nil"/>
            </w:tcBorders>
            <w:noWrap w:val="0"/>
            <w:vAlign w:val="bottom"/>
          </w:tcPr>
          <w:p w14:paraId="3650BA1A">
            <w:pPr>
              <w:keepNext w:val="0"/>
              <w:keepLines w:val="0"/>
              <w:suppressLineNumbers w:val="0"/>
              <w:spacing w:before="0" w:beforeAutospacing="0" w:after="0" w:afterAutospacing="0" w:line="0" w:lineRule="atLeast"/>
              <w:ind w:left="0" w:right="0"/>
              <w:rPr>
                <w:rFonts w:hint="default" w:ascii="仿宋" w:hAnsi="仿宋" w:eastAsia="仿宋" w:cs="仿宋"/>
                <w:sz w:val="30"/>
                <w:szCs w:val="30"/>
              </w:rPr>
            </w:pPr>
            <w:r>
              <w:rPr>
                <w:rFonts w:hint="eastAsia" w:ascii="仿宋" w:hAnsi="仿宋" w:eastAsia="仿宋" w:cs="仿宋"/>
                <w:sz w:val="30"/>
                <w:szCs w:val="30"/>
              </w:rPr>
              <w:t>3米</w:t>
            </w:r>
          </w:p>
        </w:tc>
      </w:tr>
      <w:tr w14:paraId="33865D58">
        <w:tblPrEx>
          <w:tblCellMar>
            <w:top w:w="0" w:type="dxa"/>
            <w:left w:w="0" w:type="dxa"/>
            <w:bottom w:w="0" w:type="dxa"/>
            <w:right w:w="0" w:type="dxa"/>
          </w:tblCellMar>
        </w:tblPrEx>
        <w:trPr>
          <w:trHeight w:val="432" w:hRule="atLeast"/>
        </w:trPr>
        <w:tc>
          <w:tcPr>
            <w:tcW w:w="604" w:type="dxa"/>
            <w:tcBorders>
              <w:top w:val="nil"/>
              <w:left w:val="nil"/>
              <w:bottom w:val="nil"/>
              <w:right w:val="nil"/>
            </w:tcBorders>
            <w:noWrap w:val="0"/>
            <w:vAlign w:val="bottom"/>
          </w:tcPr>
          <w:p w14:paraId="278900ED">
            <w:pPr>
              <w:keepNext w:val="0"/>
              <w:keepLines w:val="0"/>
              <w:suppressLineNumbers w:val="0"/>
              <w:spacing w:before="0" w:beforeAutospacing="0" w:after="0" w:afterAutospacing="0"/>
              <w:ind w:left="0" w:right="0"/>
              <w:rPr>
                <w:rFonts w:hint="default" w:ascii="仿宋" w:hAnsi="仿宋" w:eastAsia="仿宋" w:cs="仿宋"/>
                <w:sz w:val="30"/>
                <w:szCs w:val="30"/>
              </w:rPr>
            </w:pPr>
          </w:p>
        </w:tc>
        <w:tc>
          <w:tcPr>
            <w:tcW w:w="635" w:type="dxa"/>
            <w:tcBorders>
              <w:top w:val="nil"/>
              <w:left w:val="nil"/>
              <w:bottom w:val="nil"/>
              <w:right w:val="nil"/>
            </w:tcBorders>
            <w:noWrap w:val="0"/>
            <w:vAlign w:val="bottom"/>
          </w:tcPr>
          <w:p w14:paraId="7566D098">
            <w:pPr>
              <w:keepNext w:val="0"/>
              <w:keepLines w:val="0"/>
              <w:suppressLineNumbers w:val="0"/>
              <w:spacing w:before="0" w:beforeAutospacing="0" w:after="0" w:afterAutospacing="0" w:line="0" w:lineRule="atLeast"/>
              <w:ind w:left="0" w:right="0"/>
              <w:rPr>
                <w:rFonts w:hint="default" w:ascii="仿宋" w:hAnsi="仿宋" w:eastAsia="仿宋" w:cs="仿宋"/>
                <w:sz w:val="30"/>
                <w:szCs w:val="30"/>
              </w:rPr>
            </w:pPr>
          </w:p>
        </w:tc>
      </w:tr>
    </w:tbl>
    <w:p w14:paraId="38F5AB88">
      <w:pPr>
        <w:ind w:firstLine="1760" w:firstLineChars="550"/>
        <w:rPr>
          <w:rFonts w:ascii="仿宋" w:hAnsi="仿宋" w:eastAsia="仿宋" w:cs="仿宋"/>
          <w:sz w:val="28"/>
          <w:szCs w:val="28"/>
        </w:rPr>
      </w:pPr>
      <w:r>
        <w:rPr>
          <w:rFonts w:hint="eastAsia" w:eastAsia="仿宋_GB2312"/>
          <w:sz w:val="32"/>
          <w:szCs w:val="32"/>
        </w:rPr>
        <w:t xml:space="preserve">宽50cm   </w:t>
      </w:r>
    </w:p>
    <w:p w14:paraId="3F03F7DC">
      <w:pPr>
        <w:ind w:firstLine="1120" w:firstLineChars="400"/>
        <w:rPr>
          <w:rFonts w:ascii="仿宋" w:hAnsi="仿宋" w:eastAsia="仿宋" w:cs="仿宋"/>
          <w:sz w:val="28"/>
          <w:szCs w:val="28"/>
        </w:rPr>
      </w:pPr>
    </w:p>
    <w:p w14:paraId="1C377575">
      <w:pPr>
        <w:ind w:firstLine="3040" w:firstLineChars="950"/>
        <w:rPr>
          <w:rFonts w:ascii="黑体" w:hAnsi="黑体" w:eastAsia="黑体" w:cs="黑体"/>
          <w:sz w:val="28"/>
          <w:szCs w:val="28"/>
        </w:rPr>
      </w:pPr>
      <w:r>
        <w:rPr>
          <w:rFonts w:hint="eastAsia" w:eastAsia="仿宋_GB2312"/>
          <w:sz w:val="32"/>
          <w:szCs w:val="32"/>
        </w:rPr>
        <w:t>长50cm</w:t>
      </w:r>
    </w:p>
    <w:p w14:paraId="689E732A">
      <w:pPr>
        <w:overflowPunct w:val="0"/>
        <w:spacing w:line="360" w:lineRule="auto"/>
        <w:ind w:firstLine="330" w:firstLineChars="150"/>
        <w:jc w:val="left"/>
        <w:rPr>
          <w:rFonts w:hint="eastAsia" w:eastAsia="仿宋_GB2312"/>
          <w:sz w:val="22"/>
          <w:szCs w:val="22"/>
        </w:rPr>
      </w:pPr>
    </w:p>
    <w:p w14:paraId="478D25BB">
      <w:pPr>
        <w:overflowPunct w:val="0"/>
        <w:spacing w:line="360" w:lineRule="auto"/>
        <w:ind w:firstLine="330" w:firstLineChars="150"/>
        <w:jc w:val="left"/>
        <w:rPr>
          <w:rFonts w:hint="eastAsia" w:eastAsia="仿宋_GB2312"/>
          <w:sz w:val="22"/>
          <w:szCs w:val="22"/>
        </w:rPr>
      </w:pPr>
    </w:p>
    <w:p w14:paraId="569E57AF">
      <w:pPr>
        <w:overflowPunct w:val="0"/>
        <w:spacing w:line="360" w:lineRule="auto"/>
        <w:ind w:firstLine="330" w:firstLineChars="150"/>
        <w:jc w:val="left"/>
        <w:rPr>
          <w:rFonts w:hint="eastAsia" w:eastAsia="仿宋_GB2312"/>
          <w:sz w:val="22"/>
          <w:szCs w:val="22"/>
        </w:rPr>
      </w:pPr>
    </w:p>
    <w:p w14:paraId="577259CF">
      <w:pPr>
        <w:overflowPunct w:val="0"/>
        <w:spacing w:line="360" w:lineRule="auto"/>
        <w:ind w:firstLine="330" w:firstLineChars="150"/>
        <w:jc w:val="left"/>
        <w:rPr>
          <w:rFonts w:eastAsia="仿宋_GB2312"/>
          <w:sz w:val="22"/>
          <w:szCs w:val="22"/>
        </w:rPr>
      </w:pPr>
      <w:r>
        <w:rPr>
          <w:rFonts w:hint="eastAsia" w:eastAsia="仿宋_GB2312"/>
          <w:sz w:val="22"/>
          <w:szCs w:val="22"/>
        </w:rPr>
        <w:t>（2）整地时间：为了促进土壤的熟化，改善土壤团粒结构，利于蓄水保墒，提高苗木抗旱能力，整地时间在2025年10月进行。</w:t>
      </w:r>
    </w:p>
    <w:p w14:paraId="66EB2AD0">
      <w:pPr>
        <w:overflowPunct w:val="0"/>
        <w:spacing w:line="360" w:lineRule="auto"/>
        <w:ind w:firstLine="440" w:firstLineChars="200"/>
        <w:jc w:val="left"/>
        <w:rPr>
          <w:rFonts w:eastAsia="仿宋_GB2312"/>
          <w:sz w:val="22"/>
          <w:szCs w:val="22"/>
        </w:rPr>
      </w:pPr>
      <w:r>
        <w:rPr>
          <w:rFonts w:hint="eastAsia" w:ascii="仿宋" w:hAnsi="仿宋" w:eastAsia="仿宋"/>
          <w:sz w:val="22"/>
          <w:szCs w:val="22"/>
        </w:rPr>
        <w:t>（3）</w:t>
      </w:r>
      <w:r>
        <w:rPr>
          <w:rFonts w:hint="eastAsia" w:eastAsia="仿宋_GB2312"/>
          <w:sz w:val="22"/>
          <w:szCs w:val="22"/>
        </w:rPr>
        <w:t>造林方法和时间：植苗造林；造林时间2025年11月进行，截止12月底前结束。</w:t>
      </w:r>
    </w:p>
    <w:p w14:paraId="31ED4B3B">
      <w:pPr>
        <w:overflowPunct w:val="0"/>
        <w:spacing w:line="360" w:lineRule="auto"/>
        <w:ind w:firstLine="440" w:firstLineChars="200"/>
        <w:jc w:val="left"/>
        <w:rPr>
          <w:rFonts w:eastAsia="仿宋_GB2312"/>
          <w:sz w:val="22"/>
          <w:szCs w:val="22"/>
        </w:rPr>
      </w:pPr>
      <w:r>
        <w:rPr>
          <w:rFonts w:hint="eastAsia" w:ascii="仿宋" w:hAnsi="仿宋" w:eastAsia="仿宋"/>
          <w:sz w:val="22"/>
          <w:szCs w:val="22"/>
        </w:rPr>
        <w:t>（4）</w:t>
      </w:r>
      <w:r>
        <w:rPr>
          <w:rFonts w:hint="eastAsia" w:eastAsia="仿宋_GB2312"/>
          <w:sz w:val="22"/>
          <w:szCs w:val="22"/>
        </w:rPr>
        <w:t>栽植方法</w:t>
      </w:r>
    </w:p>
    <w:p w14:paraId="4B7E9714">
      <w:pPr>
        <w:overflowPunct w:val="0"/>
        <w:spacing w:line="360" w:lineRule="auto"/>
        <w:ind w:firstLine="440" w:firstLineChars="200"/>
        <w:jc w:val="left"/>
        <w:rPr>
          <w:rFonts w:eastAsia="仿宋_GB2312"/>
          <w:sz w:val="22"/>
          <w:szCs w:val="22"/>
        </w:rPr>
      </w:pPr>
      <w:r>
        <w:rPr>
          <w:rFonts w:hint="eastAsia" w:eastAsia="仿宋_GB2312"/>
          <w:sz w:val="22"/>
          <w:szCs w:val="22"/>
        </w:rPr>
        <w:t>植苗造林采用实生株、营养钵苗。栽植前先去掉营养钵，以免影响以后苗木根系发育，然后把表土放入穴中，达到一定深度后，把苗木放入穴中央，再将底土填入穴中，填到2/3时将苗木轻轻上提，使苗根舒展，并使苗木达到一定栽植深度，踩实后把剩土填上继续踩实，然后浇水，最后覆上松土，防止水分蒸发，</w:t>
      </w:r>
    </w:p>
    <w:p w14:paraId="22963E11">
      <w:pPr>
        <w:overflowPunct w:val="0"/>
        <w:spacing w:line="360" w:lineRule="auto"/>
        <w:ind w:firstLine="440" w:firstLineChars="200"/>
        <w:jc w:val="left"/>
        <w:rPr>
          <w:rFonts w:eastAsia="仿宋_GB2312"/>
          <w:sz w:val="22"/>
          <w:szCs w:val="22"/>
        </w:rPr>
      </w:pPr>
      <w:r>
        <w:rPr>
          <w:rFonts w:hint="eastAsia" w:eastAsia="仿宋_GB2312"/>
          <w:sz w:val="22"/>
          <w:szCs w:val="22"/>
        </w:rPr>
        <w:t>种苗组织</w:t>
      </w:r>
    </w:p>
    <w:p w14:paraId="78FBB5E8">
      <w:pPr>
        <w:overflowPunct w:val="0"/>
        <w:spacing w:line="360" w:lineRule="auto"/>
        <w:ind w:firstLine="440" w:firstLineChars="200"/>
        <w:jc w:val="left"/>
        <w:rPr>
          <w:rFonts w:hint="eastAsia" w:eastAsia="仿宋_GB2312"/>
          <w:sz w:val="22"/>
          <w:szCs w:val="22"/>
        </w:rPr>
      </w:pPr>
      <w:r>
        <w:rPr>
          <w:rFonts w:hint="eastAsia" w:eastAsia="仿宋_GB2312"/>
          <w:sz w:val="22"/>
          <w:szCs w:val="22"/>
        </w:rPr>
        <w:t>种苗量测算。根据本年度作业设计规划面积200亩，每亩125株，共需枫香、栎类种苗25000株。</w:t>
      </w:r>
    </w:p>
    <w:p w14:paraId="7D2FD549">
      <w:pPr>
        <w:overflowPunct w:val="0"/>
        <w:spacing w:line="360" w:lineRule="auto"/>
        <w:ind w:firstLine="440" w:firstLineChars="200"/>
        <w:jc w:val="left"/>
        <w:rPr>
          <w:sz w:val="16"/>
          <w:szCs w:val="20"/>
        </w:rPr>
      </w:pPr>
      <w:r>
        <w:rPr>
          <w:rFonts w:hint="eastAsia" w:ascii="黑体" w:hAnsi="黑体" w:eastAsia="黑体"/>
          <w:sz w:val="22"/>
          <w:szCs w:val="22"/>
        </w:rPr>
        <w:t>割灌</w:t>
      </w:r>
    </w:p>
    <w:p w14:paraId="78D1C748">
      <w:pPr>
        <w:autoSpaceDE w:val="0"/>
        <w:autoSpaceDN w:val="0"/>
        <w:spacing w:line="360" w:lineRule="auto"/>
        <w:ind w:firstLine="436" w:firstLineChars="200"/>
        <w:rPr>
          <w:rFonts w:hint="eastAsia" w:ascii="仿宋_GB2312" w:hAnsi="仿宋_GB2312" w:eastAsia="仿宋_GB2312" w:cs="仿宋_GB2312"/>
          <w:color w:val="000000"/>
          <w:spacing w:val="-1"/>
          <w:sz w:val="22"/>
          <w:szCs w:val="22"/>
        </w:rPr>
      </w:pPr>
      <w:r>
        <w:rPr>
          <w:rFonts w:hint="eastAsia" w:ascii="仿宋_GB2312" w:hAnsi="仿宋_GB2312" w:eastAsia="仿宋_GB2312" w:cs="仿宋_GB2312"/>
          <w:color w:val="000000"/>
          <w:spacing w:val="-1"/>
          <w:sz w:val="22"/>
          <w:szCs w:val="22"/>
        </w:rPr>
        <w:t>林地割灌主要清除林地内的灌木、藤本等主要改善林木生长，减少灌木与林木竞争氧份、光照；降低火灾风险，减少火灾隐患，提升林地通透性。</w:t>
      </w:r>
    </w:p>
    <w:p w14:paraId="32DC7391">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割灌原则</w:t>
      </w:r>
    </w:p>
    <w:p w14:paraId="1365AEDF">
      <w:pPr>
        <w:spacing w:line="360" w:lineRule="auto"/>
        <w:rPr>
          <w:rFonts w:hint="eastAsia" w:ascii="仿宋_GB2312" w:eastAsia="仿宋_GB2312"/>
          <w:sz w:val="22"/>
          <w:szCs w:val="22"/>
        </w:rPr>
      </w:pPr>
      <w:r>
        <w:rPr>
          <w:rFonts w:hint="eastAsia" w:ascii="仿宋_GB2312" w:eastAsia="仿宋_GB2312"/>
          <w:sz w:val="22"/>
          <w:szCs w:val="22"/>
        </w:rPr>
        <w:t xml:space="preserve">   （1）保留有益植被：保留固氮植物、蜜源植物或抑制杂草的地被植物。</w:t>
      </w:r>
    </w:p>
    <w:p w14:paraId="22FC36D0">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（2）控制留茬高度：灌木留茬≤10厘米，杂草贴近地面割除，避免萌发。</w:t>
      </w:r>
    </w:p>
    <w:p w14:paraId="4BD9F956">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操作要点</w:t>
      </w:r>
    </w:p>
    <w:p w14:paraId="21EC123E">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（1）从边缘向中心推进，避免遗漏。</w:t>
      </w:r>
    </w:p>
    <w:p w14:paraId="3D16E7D4">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（2）陡坡、洼地等危险区域采用人工砍伐，禁止机械作业。</w:t>
      </w:r>
    </w:p>
    <w:p w14:paraId="2F056A32">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（3）切割后的植被及时清运或堆腐还林，避免堆积引发病虫害。</w:t>
      </w:r>
    </w:p>
    <w:p w14:paraId="2F9696B3">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割灌面积</w:t>
      </w:r>
    </w:p>
    <w:p w14:paraId="59045A90">
      <w:pPr>
        <w:spacing w:line="360" w:lineRule="auto"/>
        <w:ind w:firstLine="330" w:firstLineChars="150"/>
        <w:rPr>
          <w:rFonts w:hint="eastAsia" w:ascii="仿宋_GB2312" w:hAnsi="黑体" w:eastAsia="仿宋_GB2312"/>
          <w:sz w:val="22"/>
          <w:szCs w:val="22"/>
        </w:rPr>
      </w:pPr>
      <w:r>
        <w:rPr>
          <w:rFonts w:hint="eastAsia" w:ascii="仿宋_GB2312" w:hAnsi="黑体" w:eastAsia="仿宋_GB2312"/>
          <w:sz w:val="22"/>
          <w:szCs w:val="22"/>
        </w:rPr>
        <w:t>本次割灌面积为4200亩。</w:t>
      </w:r>
    </w:p>
    <w:p w14:paraId="4FDBE309">
      <w:pPr>
        <w:overflowPunct w:val="0"/>
        <w:spacing w:line="360" w:lineRule="auto"/>
        <w:ind w:firstLine="440" w:firstLineChars="200"/>
        <w:jc w:val="left"/>
        <w:rPr>
          <w:sz w:val="16"/>
          <w:szCs w:val="20"/>
        </w:rPr>
      </w:pPr>
      <w:r>
        <w:rPr>
          <w:rFonts w:hint="eastAsia" w:ascii="黑体" w:hAnsi="黑体" w:eastAsia="黑体"/>
          <w:sz w:val="22"/>
          <w:szCs w:val="22"/>
        </w:rPr>
        <w:t>修枝</w:t>
      </w:r>
    </w:p>
    <w:p w14:paraId="10398488">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修枝类型与方法</w:t>
      </w:r>
    </w:p>
    <w:p w14:paraId="6128B51A">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（1）透光修枝（幼林）：</w:t>
      </w:r>
    </w:p>
    <w:p w14:paraId="1908A714">
      <w:pPr>
        <w:spacing w:line="360" w:lineRule="auto"/>
        <w:rPr>
          <w:rFonts w:hint="eastAsia" w:ascii="仿宋_GB2312" w:eastAsia="仿宋_GB2312"/>
          <w:sz w:val="22"/>
          <w:szCs w:val="22"/>
        </w:rPr>
      </w:pPr>
      <w:r>
        <w:rPr>
          <w:rFonts w:hint="eastAsia" w:ascii="仿宋_GB2312" w:eastAsia="仿宋_GB2312"/>
          <w:sz w:val="22"/>
          <w:szCs w:val="22"/>
        </w:rPr>
        <w:t xml:space="preserve">    剪除主干1/3以下的侧枝，保留健壮主梢，清除竞争枝（与主干夹角小、生长旺盛的枝条）。</w:t>
      </w:r>
    </w:p>
    <w:p w14:paraId="38E75B4B">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（2）卫生修枝（全林）：</w:t>
      </w:r>
    </w:p>
    <w:p w14:paraId="69540AD7">
      <w:pPr>
        <w:spacing w:line="360" w:lineRule="auto"/>
        <w:rPr>
          <w:rFonts w:hint="eastAsia" w:ascii="仿宋_GB2312" w:eastAsia="仿宋_GB2312"/>
          <w:sz w:val="22"/>
          <w:szCs w:val="22"/>
        </w:rPr>
      </w:pPr>
      <w:r>
        <w:rPr>
          <w:rFonts w:hint="eastAsia" w:ascii="仿宋_GB2312" w:eastAsia="仿宋_GB2312"/>
          <w:sz w:val="22"/>
          <w:szCs w:val="22"/>
        </w:rPr>
        <w:t xml:space="preserve">   清除枯死枝、病虫枝、重叠枝、内膛枝，改善林内卫生状况。</w:t>
      </w:r>
    </w:p>
    <w:p w14:paraId="78495679">
      <w:pPr>
        <w:spacing w:line="360" w:lineRule="auto"/>
        <w:ind w:firstLine="525" w:firstLineChars="250"/>
        <w:rPr>
          <w:rFonts w:hint="eastAsia" w:ascii="黑体" w:hAnsi="黑体" w:eastAsia="黑体"/>
          <w:sz w:val="21"/>
          <w:szCs w:val="21"/>
        </w:rPr>
      </w:pPr>
      <w:r>
        <w:rPr>
          <w:rFonts w:hint="eastAsia" w:ascii="黑体" w:hAnsi="黑体" w:eastAsia="黑体"/>
          <w:sz w:val="21"/>
          <w:szCs w:val="21"/>
        </w:rPr>
        <w:t>修剪操作规范</w:t>
      </w:r>
    </w:p>
    <w:p w14:paraId="76B401E1">
      <w:pPr>
        <w:spacing w:line="360" w:lineRule="auto"/>
        <w:ind w:firstLine="330" w:firstLineChars="150"/>
        <w:rPr>
          <w:rFonts w:hint="eastAsia" w:ascii="仿宋_GB2312" w:eastAsia="仿宋_GB2312"/>
          <w:sz w:val="22"/>
          <w:szCs w:val="22"/>
        </w:rPr>
      </w:pPr>
      <w:r>
        <w:rPr>
          <w:rFonts w:hint="eastAsia" w:ascii="仿宋_GB2312" w:eastAsia="仿宋_GB2312"/>
          <w:sz w:val="22"/>
          <w:szCs w:val="22"/>
        </w:rPr>
        <w:t>（1）切口处理：</w:t>
      </w:r>
    </w:p>
    <w:p w14:paraId="12EE4D98">
      <w:pPr>
        <w:spacing w:line="360" w:lineRule="auto"/>
        <w:rPr>
          <w:rFonts w:hint="eastAsia" w:ascii="仿宋_GB2312" w:eastAsia="仿宋_GB2312"/>
          <w:sz w:val="22"/>
          <w:szCs w:val="22"/>
        </w:rPr>
      </w:pPr>
      <w:r>
        <w:rPr>
          <w:rFonts w:hint="eastAsia" w:ascii="仿宋_GB2312" w:eastAsia="仿宋_GB2312"/>
          <w:sz w:val="22"/>
          <w:szCs w:val="22"/>
        </w:rPr>
        <w:t xml:space="preserve">    贴近枝条基部修剪，留“马蹄口”（斜面与芽点方向一致），直径＞5cm的伤口需涂抹保护剂防病菌侵入。</w:t>
      </w:r>
    </w:p>
    <w:p w14:paraId="18C9FFF4">
      <w:pPr>
        <w:spacing w:line="360" w:lineRule="auto"/>
        <w:ind w:firstLine="220" w:firstLineChars="100"/>
        <w:rPr>
          <w:rFonts w:hint="eastAsia" w:ascii="仿宋_GB2312" w:eastAsia="仿宋_GB2312"/>
          <w:sz w:val="22"/>
          <w:szCs w:val="22"/>
        </w:rPr>
      </w:pPr>
      <w:r>
        <w:rPr>
          <w:rFonts w:hint="eastAsia" w:ascii="仿宋_GB2312" w:eastAsia="仿宋_GB2312"/>
          <w:sz w:val="22"/>
          <w:szCs w:val="22"/>
        </w:rPr>
        <w:t>（2）修剪顺序：</w:t>
      </w:r>
    </w:p>
    <w:p w14:paraId="0EF4B7CE">
      <w:pPr>
        <w:spacing w:line="360" w:lineRule="auto"/>
        <w:ind w:firstLine="110" w:firstLineChars="50"/>
        <w:rPr>
          <w:rFonts w:hint="eastAsia" w:ascii="仿宋_GB2312" w:eastAsia="仿宋_GB2312"/>
          <w:sz w:val="22"/>
          <w:szCs w:val="22"/>
        </w:rPr>
      </w:pPr>
      <w:r>
        <w:rPr>
          <w:rFonts w:hint="eastAsia" w:ascii="仿宋_GB2312" w:eastAsia="仿宋_GB2312"/>
          <w:sz w:val="22"/>
          <w:szCs w:val="22"/>
        </w:rPr>
        <w:t xml:space="preserve">   先剪下部枝，再剪上部枝；先剪内膛枝，再剪外围枝，避免枝条坠落损伤树体。活枝修剪不留桩，死枝修剪可留1-2cm短桩（避免病菌从伤口侵入）。</w:t>
      </w:r>
    </w:p>
    <w:p w14:paraId="1E4AA784">
      <w:pPr>
        <w:spacing w:line="360" w:lineRule="auto"/>
        <w:ind w:firstLine="420" w:firstLineChars="200"/>
        <w:rPr>
          <w:rFonts w:hint="eastAsia" w:ascii="黑体" w:hAnsi="黑体" w:eastAsia="黑体"/>
          <w:sz w:val="21"/>
          <w:szCs w:val="21"/>
        </w:rPr>
      </w:pPr>
      <w:r>
        <w:rPr>
          <w:rFonts w:hint="eastAsia" w:ascii="黑体" w:hAnsi="黑体" w:eastAsia="黑体"/>
          <w:sz w:val="21"/>
          <w:szCs w:val="21"/>
        </w:rPr>
        <w:t>修枝面积</w:t>
      </w:r>
    </w:p>
    <w:p w14:paraId="7D0FC3C5">
      <w:pPr>
        <w:spacing w:line="360" w:lineRule="auto"/>
        <w:ind w:firstLine="330" w:firstLineChars="150"/>
        <w:rPr>
          <w:rFonts w:hint="eastAsia" w:ascii="仿宋_GB2312" w:hAnsi="黑体" w:eastAsia="仿宋_GB2312"/>
          <w:sz w:val="22"/>
          <w:szCs w:val="22"/>
        </w:rPr>
      </w:pPr>
      <w:r>
        <w:rPr>
          <w:rFonts w:hint="eastAsia" w:ascii="仿宋_GB2312" w:hAnsi="黑体" w:eastAsia="仿宋_GB2312"/>
          <w:sz w:val="22"/>
          <w:szCs w:val="22"/>
        </w:rPr>
        <w:t>本次采用全面修枝的方式，即修枝面积为4200亩。</w:t>
      </w:r>
    </w:p>
    <w:p w14:paraId="11916E41">
      <w:pPr>
        <w:autoSpaceDE w:val="0"/>
        <w:autoSpaceDN w:val="0"/>
        <w:spacing w:line="360" w:lineRule="auto"/>
        <w:ind w:firstLine="436" w:firstLineChars="200"/>
        <w:rPr>
          <w:rFonts w:hint="eastAsia" w:ascii="黑体" w:hAnsi="黑体" w:eastAsia="黑体" w:cs="仿宋_GB2312"/>
          <w:color w:val="000000"/>
          <w:spacing w:val="-1"/>
          <w:sz w:val="22"/>
          <w:szCs w:val="22"/>
        </w:rPr>
      </w:pPr>
      <w:r>
        <w:rPr>
          <w:rFonts w:hint="eastAsia" w:ascii="黑体" w:hAnsi="黑体" w:eastAsia="黑体" w:cs="仿宋_GB2312"/>
          <w:color w:val="000000"/>
          <w:spacing w:val="-1"/>
          <w:sz w:val="22"/>
          <w:szCs w:val="22"/>
        </w:rPr>
        <w:t>林地剩余物清理</w:t>
      </w:r>
    </w:p>
    <w:p w14:paraId="381E0EE1">
      <w:pPr>
        <w:spacing w:line="360" w:lineRule="auto"/>
        <w:ind w:firstLine="327" w:firstLineChars="150"/>
        <w:rPr>
          <w:rFonts w:hint="eastAsia" w:ascii="仿宋_GB2312" w:hAnsi="黑体" w:eastAsia="仿宋_GB2312"/>
          <w:sz w:val="22"/>
          <w:szCs w:val="22"/>
        </w:rPr>
      </w:pPr>
      <w:r>
        <w:rPr>
          <w:rFonts w:hint="eastAsia" w:ascii="仿宋_GB2312" w:hAnsi="黑体" w:eastAsia="仿宋_GB2312" w:cs="仿宋_GB2312"/>
          <w:color w:val="000000"/>
          <w:spacing w:val="-1"/>
          <w:sz w:val="22"/>
          <w:szCs w:val="22"/>
        </w:rPr>
        <w:t>伐除后应及时将林木枝丫材运出林地内，可采取人工收集在道路边，然后由运输车辆木材采伐楞场。</w:t>
      </w:r>
      <w:r>
        <w:rPr>
          <w:rFonts w:hint="eastAsia" w:ascii="仿宋_GB2312" w:hAnsi="黑体" w:eastAsia="仿宋_GB2312"/>
          <w:sz w:val="22"/>
          <w:szCs w:val="22"/>
        </w:rPr>
        <w:t>本次采用全面林地剩余物清理的方式，即剩余物清理面积为4200亩。</w:t>
      </w:r>
    </w:p>
    <w:p w14:paraId="24B41C70">
      <w:pPr>
        <w:spacing w:line="360" w:lineRule="auto"/>
        <w:rPr>
          <w:sz w:val="16"/>
          <w:szCs w:val="20"/>
        </w:rPr>
      </w:pPr>
    </w:p>
    <w:p w14:paraId="74F4FF94">
      <w:pPr>
        <w:rPr>
          <w:rFonts w:hint="eastAsia" w:ascii="宋体" w:hAnsi="宋体" w:eastAsia="宋体" w:cs="宋体"/>
          <w:b/>
          <w:bCs/>
          <w:color w:val="auto"/>
          <w:kern w:val="44"/>
          <w:sz w:val="44"/>
          <w:szCs w:val="44"/>
          <w:lang w:val="en-US" w:eastAsia="zh-CN" w:bidi="ar-SA"/>
        </w:rPr>
      </w:pPr>
    </w:p>
    <w:p w14:paraId="20E28D3D">
      <w:pPr>
        <w:rPr>
          <w:rFonts w:hint="eastAsia" w:ascii="宋体" w:hAnsi="宋体" w:eastAsia="宋体" w:cs="宋体"/>
          <w:b/>
          <w:bCs/>
          <w:color w:val="auto"/>
          <w:kern w:val="44"/>
          <w:sz w:val="44"/>
          <w:szCs w:val="44"/>
          <w:lang w:val="en-US" w:eastAsia="zh-CN" w:bidi="ar-SA"/>
        </w:rPr>
      </w:pPr>
      <w:r>
        <w:rPr>
          <w:rFonts w:hint="eastAsia" w:ascii="宋体" w:hAnsi="宋体" w:eastAsia="宋体" w:cs="宋体"/>
          <w:b/>
          <w:bCs/>
          <w:color w:val="auto"/>
          <w:kern w:val="44"/>
          <w:sz w:val="44"/>
          <w:szCs w:val="44"/>
          <w:lang w:val="en-US" w:eastAsia="zh-CN" w:bidi="ar-SA"/>
        </w:rPr>
        <w:br w:type="page"/>
      </w:r>
    </w:p>
    <w:p w14:paraId="78CCF14D">
      <w:pPr>
        <w:spacing w:line="360" w:lineRule="auto"/>
        <w:ind w:left="0" w:leftChars="0" w:firstLine="0" w:firstLineChars="0"/>
        <w:jc w:val="center"/>
        <w:rPr>
          <w:rFonts w:hint="eastAsia" w:ascii="宋体" w:hAnsi="宋体" w:eastAsia="宋体" w:cs="宋体"/>
          <w:b/>
          <w:bCs/>
          <w:color w:val="auto"/>
          <w:kern w:val="44"/>
          <w:sz w:val="44"/>
          <w:szCs w:val="44"/>
          <w:lang w:val="en-US" w:eastAsia="zh-CN" w:bidi="ar-SA"/>
        </w:rPr>
      </w:pPr>
      <w:r>
        <w:rPr>
          <w:rFonts w:hint="eastAsia" w:ascii="宋体" w:hAnsi="宋体" w:eastAsia="宋体" w:cs="宋体"/>
          <w:b/>
          <w:bCs/>
          <w:color w:val="auto"/>
          <w:kern w:val="44"/>
          <w:sz w:val="44"/>
          <w:szCs w:val="44"/>
          <w:lang w:val="en-US" w:eastAsia="zh-CN" w:bidi="ar-SA"/>
        </w:rPr>
        <w:t>第六章 响应文件格式</w:t>
      </w:r>
      <w:bookmarkEnd w:id="898"/>
      <w:bookmarkEnd w:id="899"/>
    </w:p>
    <w:p w14:paraId="128DBE7E">
      <w:pPr>
        <w:pageBreakBefore w:val="0"/>
        <w:kinsoku/>
        <w:wordWrap w:val="0"/>
        <w:overflowPunct/>
        <w:bidi w:val="0"/>
        <w:snapToGrid w:val="0"/>
        <w:spacing w:after="120" w:afterLines="50"/>
        <w:rPr>
          <w:rFonts w:hint="eastAsia" w:ascii="宋体" w:hAnsi="宋体" w:eastAsia="宋体" w:cs="宋体"/>
          <w:color w:val="auto"/>
        </w:rPr>
      </w:pPr>
    </w:p>
    <w:p w14:paraId="3D881DE3">
      <w:pPr>
        <w:pageBreakBefore w:val="0"/>
        <w:kinsoku/>
        <w:wordWrap w:val="0"/>
        <w:overflowPunct/>
        <w:bidi w:val="0"/>
        <w:snapToGrid w:val="0"/>
        <w:spacing w:line="420" w:lineRule="exact"/>
        <w:ind w:firstLine="1446" w:firstLineChars="450"/>
        <w:rPr>
          <w:rFonts w:hint="eastAsia" w:ascii="宋体" w:hAnsi="宋体" w:eastAsia="宋体" w:cs="宋体"/>
          <w:b/>
          <w:bCs/>
          <w:color w:val="auto"/>
          <w:sz w:val="32"/>
          <w:szCs w:val="32"/>
          <w:u w:val="single"/>
        </w:rPr>
      </w:pPr>
      <w:bookmarkStart w:id="902" w:name="_A1_投标书"/>
      <w:bookmarkEnd w:id="902"/>
      <w:bookmarkStart w:id="903" w:name="_Toc179091096"/>
      <w:bookmarkStart w:id="904" w:name="_Toc372807484"/>
      <w:bookmarkStart w:id="905" w:name="_Toc410631173"/>
      <w:bookmarkStart w:id="906" w:name="_Toc128455956"/>
      <w:bookmarkStart w:id="907" w:name="_Toc192127127"/>
      <w:bookmarkStart w:id="908" w:name="_Toc23340"/>
      <w:bookmarkStart w:id="909" w:name="_Toc176663528"/>
      <w:bookmarkStart w:id="910" w:name="_Toc162669084"/>
      <w:bookmarkStart w:id="911" w:name="_Toc192127128"/>
      <w:bookmarkStart w:id="912" w:name="_Toc181038076"/>
      <w:bookmarkStart w:id="913" w:name="_Toc414445764"/>
      <w:bookmarkStart w:id="914" w:name="_Toc416103814"/>
    </w:p>
    <w:p w14:paraId="4F82D042">
      <w:pPr>
        <w:pageBreakBefore w:val="0"/>
        <w:kinsoku/>
        <w:wordWrap w:val="0"/>
        <w:overflowPunct/>
        <w:bidi w:val="0"/>
        <w:snapToGrid w:val="0"/>
        <w:spacing w:line="420" w:lineRule="exact"/>
        <w:ind w:firstLine="1446" w:firstLineChars="450"/>
        <w:rPr>
          <w:rFonts w:hint="eastAsia" w:ascii="宋体" w:hAnsi="宋体" w:eastAsia="宋体" w:cs="宋体"/>
          <w:b/>
          <w:bCs/>
          <w:color w:val="auto"/>
          <w:sz w:val="32"/>
          <w:szCs w:val="32"/>
          <w:u w:val="single"/>
        </w:rPr>
      </w:pPr>
    </w:p>
    <w:p w14:paraId="0C0AEC54">
      <w:pPr>
        <w:pageBreakBefore w:val="0"/>
        <w:kinsoku/>
        <w:wordWrap w:val="0"/>
        <w:overflowPunct/>
        <w:bidi w:val="0"/>
        <w:snapToGrid w:val="0"/>
        <w:spacing w:line="420" w:lineRule="exact"/>
        <w:jc w:val="center"/>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u w:val="single"/>
        </w:rPr>
        <w:t xml:space="preserve">国有固始林场2025年森林可持续经营试点任务资金项目 </w:t>
      </w:r>
      <w:bookmarkStart w:id="915" w:name="_Toc6392"/>
      <w:bookmarkStart w:id="916" w:name="_Toc16795_WPSOffice_Level1"/>
      <w:bookmarkStart w:id="917" w:name="_Toc13474"/>
      <w:bookmarkStart w:id="918" w:name="_Toc4484"/>
      <w:bookmarkStart w:id="919" w:name="_Toc22805_WPSOffice_Level1"/>
      <w:bookmarkStart w:id="920" w:name="_Toc8245_WPSOffice_Level1"/>
      <w:bookmarkStart w:id="921" w:name="_Toc3967_WPSOffice_Level1"/>
      <w:bookmarkStart w:id="922" w:name="_Toc25632"/>
    </w:p>
    <w:p w14:paraId="1A04B85C">
      <w:pPr>
        <w:pageBreakBefore w:val="0"/>
        <w:kinsoku/>
        <w:wordWrap w:val="0"/>
        <w:overflowPunct/>
        <w:bidi w:val="0"/>
        <w:snapToGrid w:val="0"/>
        <w:spacing w:line="420" w:lineRule="exact"/>
        <w:jc w:val="center"/>
        <w:rPr>
          <w:rFonts w:hint="eastAsia" w:ascii="宋体" w:hAnsi="宋体" w:eastAsia="宋体" w:cs="宋体"/>
          <w:color w:val="auto"/>
          <w:sz w:val="32"/>
          <w:szCs w:val="32"/>
        </w:rPr>
      </w:pPr>
      <w:r>
        <w:rPr>
          <w:rFonts w:hint="eastAsia" w:ascii="宋体" w:hAnsi="宋体" w:eastAsia="宋体" w:cs="宋体"/>
          <w:b/>
          <w:bCs/>
          <w:color w:val="auto"/>
          <w:sz w:val="32"/>
          <w:szCs w:val="32"/>
        </w:rPr>
        <w:t>（</w:t>
      </w:r>
      <w:r>
        <w:rPr>
          <w:rFonts w:hint="eastAsia" w:ascii="宋体" w:hAnsi="宋体" w:cs="宋体"/>
          <w:b/>
          <w:bCs/>
          <w:color w:val="auto"/>
          <w:sz w:val="32"/>
          <w:szCs w:val="32"/>
          <w:lang w:val="en-US" w:eastAsia="zh-CN"/>
        </w:rPr>
        <w:t>包</w:t>
      </w:r>
      <w:r>
        <w:rPr>
          <w:rFonts w:hint="eastAsia" w:ascii="宋体" w:hAnsi="宋体" w:eastAsia="宋体" w:cs="宋体"/>
          <w:b/>
          <w:bCs/>
          <w:color w:val="auto"/>
          <w:sz w:val="32"/>
          <w:szCs w:val="32"/>
        </w:rPr>
        <w:t>名称）</w:t>
      </w:r>
      <w:bookmarkEnd w:id="915"/>
      <w:bookmarkEnd w:id="916"/>
      <w:bookmarkEnd w:id="917"/>
      <w:bookmarkEnd w:id="918"/>
      <w:bookmarkEnd w:id="919"/>
      <w:bookmarkEnd w:id="920"/>
      <w:bookmarkEnd w:id="921"/>
      <w:bookmarkEnd w:id="922"/>
      <w:r>
        <w:rPr>
          <w:rFonts w:hint="eastAsia" w:ascii="宋体" w:hAnsi="宋体" w:eastAsia="宋体" w:cs="宋体"/>
          <w:b/>
          <w:bCs/>
          <w:color w:val="auto"/>
          <w:sz w:val="32"/>
          <w:szCs w:val="32"/>
        </w:rPr>
        <w:t>竞争性磋商</w:t>
      </w:r>
    </w:p>
    <w:p w14:paraId="472AF30B">
      <w:pPr>
        <w:pageBreakBefore w:val="0"/>
        <w:kinsoku/>
        <w:wordWrap w:val="0"/>
        <w:overflowPunct/>
        <w:bidi w:val="0"/>
        <w:spacing w:line="1000" w:lineRule="exact"/>
        <w:jc w:val="center"/>
        <w:rPr>
          <w:rFonts w:hint="eastAsia" w:ascii="宋体" w:hAnsi="宋体" w:eastAsia="宋体" w:cs="宋体"/>
          <w:b/>
          <w:bCs/>
          <w:color w:val="auto"/>
          <w:sz w:val="84"/>
          <w:szCs w:val="84"/>
        </w:rPr>
      </w:pPr>
    </w:p>
    <w:p w14:paraId="408C1448">
      <w:pPr>
        <w:pageBreakBefore w:val="0"/>
        <w:kinsoku/>
        <w:wordWrap w:val="0"/>
        <w:overflowPunct/>
        <w:bidi w:val="0"/>
        <w:spacing w:line="1000" w:lineRule="exact"/>
        <w:jc w:val="center"/>
        <w:rPr>
          <w:rFonts w:hint="eastAsia" w:ascii="宋体" w:hAnsi="宋体" w:eastAsia="宋体" w:cs="宋体"/>
          <w:color w:val="auto"/>
          <w:sz w:val="52"/>
          <w:szCs w:val="52"/>
        </w:rPr>
      </w:pPr>
      <w:r>
        <w:rPr>
          <w:rFonts w:hint="eastAsia" w:ascii="宋体" w:hAnsi="宋体" w:eastAsia="宋体" w:cs="宋体"/>
          <w:b/>
          <w:bCs/>
          <w:color w:val="auto"/>
          <w:sz w:val="84"/>
          <w:szCs w:val="84"/>
        </w:rPr>
        <w:t>响 应 文 件</w:t>
      </w:r>
    </w:p>
    <w:p w14:paraId="4E83A02C">
      <w:pPr>
        <w:pageBreakBefore w:val="0"/>
        <w:kinsoku/>
        <w:wordWrap w:val="0"/>
        <w:overflowPunct/>
        <w:bidi w:val="0"/>
        <w:spacing w:before="240" w:beforeLines="100"/>
        <w:ind w:firstLine="3840" w:firstLineChars="1200"/>
        <w:rPr>
          <w:rFonts w:hint="eastAsia" w:ascii="宋体" w:hAnsi="宋体" w:eastAsia="宋体" w:cs="宋体"/>
          <w:color w:val="auto"/>
          <w:sz w:val="32"/>
          <w:szCs w:val="32"/>
        </w:rPr>
      </w:pPr>
    </w:p>
    <w:p w14:paraId="197D5661">
      <w:pPr>
        <w:pageBreakBefore w:val="0"/>
        <w:kinsoku/>
        <w:wordWrap w:val="0"/>
        <w:overflowPunct/>
        <w:bidi w:val="0"/>
        <w:spacing w:before="240" w:beforeLines="100"/>
        <w:ind w:firstLine="3840" w:firstLineChars="1200"/>
        <w:rPr>
          <w:rFonts w:hint="eastAsia" w:ascii="宋体" w:hAnsi="宋体" w:eastAsia="宋体" w:cs="宋体"/>
          <w:color w:val="auto"/>
          <w:sz w:val="32"/>
          <w:szCs w:val="32"/>
        </w:rPr>
      </w:pPr>
      <w:r>
        <w:rPr>
          <w:rFonts w:hint="eastAsia" w:ascii="宋体" w:hAnsi="宋体" w:cs="宋体"/>
          <w:color w:val="auto"/>
          <w:sz w:val="32"/>
          <w:szCs w:val="32"/>
          <w:lang w:val="en-US" w:eastAsia="zh-CN"/>
        </w:rPr>
        <w:t>包</w:t>
      </w:r>
      <w:r>
        <w:rPr>
          <w:rFonts w:hint="eastAsia" w:ascii="宋体" w:hAnsi="宋体" w:eastAsia="宋体" w:cs="宋体"/>
          <w:color w:val="auto"/>
          <w:sz w:val="32"/>
          <w:szCs w:val="32"/>
        </w:rPr>
        <w:t>号：</w:t>
      </w:r>
    </w:p>
    <w:p w14:paraId="024A7879">
      <w:pPr>
        <w:pageBreakBefore w:val="0"/>
        <w:kinsoku/>
        <w:wordWrap w:val="0"/>
        <w:overflowPunct/>
        <w:bidi w:val="0"/>
        <w:jc w:val="center"/>
        <w:rPr>
          <w:rFonts w:hint="eastAsia" w:ascii="宋体" w:hAnsi="宋体" w:eastAsia="宋体" w:cs="宋体"/>
          <w:color w:val="auto"/>
          <w:sz w:val="32"/>
          <w:szCs w:val="32"/>
        </w:rPr>
      </w:pPr>
    </w:p>
    <w:p w14:paraId="2DE00CF0">
      <w:pPr>
        <w:pageBreakBefore w:val="0"/>
        <w:kinsoku/>
        <w:wordWrap w:val="0"/>
        <w:overflowPunct/>
        <w:bidi w:val="0"/>
        <w:jc w:val="center"/>
        <w:rPr>
          <w:rFonts w:hint="eastAsia" w:ascii="宋体" w:hAnsi="宋体" w:eastAsia="宋体" w:cs="宋体"/>
          <w:color w:val="auto"/>
          <w:sz w:val="32"/>
          <w:szCs w:val="32"/>
        </w:rPr>
      </w:pPr>
    </w:p>
    <w:p w14:paraId="5F37BA7B">
      <w:pPr>
        <w:pageBreakBefore w:val="0"/>
        <w:kinsoku/>
        <w:wordWrap w:val="0"/>
        <w:overflowPunct/>
        <w:bidi w:val="0"/>
        <w:jc w:val="center"/>
        <w:rPr>
          <w:rFonts w:hint="eastAsia" w:ascii="宋体" w:hAnsi="宋体" w:eastAsia="宋体" w:cs="宋体"/>
          <w:color w:val="auto"/>
          <w:sz w:val="32"/>
          <w:szCs w:val="32"/>
        </w:rPr>
      </w:pPr>
    </w:p>
    <w:p w14:paraId="7CBCD4E4">
      <w:pPr>
        <w:pageBreakBefore w:val="0"/>
        <w:kinsoku/>
        <w:wordWrap w:val="0"/>
        <w:overflowPunct/>
        <w:bidi w:val="0"/>
        <w:jc w:val="center"/>
        <w:rPr>
          <w:rFonts w:hint="eastAsia" w:ascii="宋体" w:hAnsi="宋体" w:eastAsia="宋体" w:cs="宋体"/>
          <w:color w:val="auto"/>
          <w:sz w:val="32"/>
          <w:szCs w:val="32"/>
        </w:rPr>
      </w:pPr>
    </w:p>
    <w:p w14:paraId="461C49DE">
      <w:pPr>
        <w:pageBreakBefore w:val="0"/>
        <w:kinsoku/>
        <w:wordWrap w:val="0"/>
        <w:overflowPunct/>
        <w:bidi w:val="0"/>
        <w:jc w:val="center"/>
        <w:rPr>
          <w:rFonts w:hint="eastAsia" w:ascii="宋体" w:hAnsi="宋体" w:eastAsia="宋体" w:cs="宋体"/>
          <w:color w:val="auto"/>
          <w:sz w:val="32"/>
          <w:szCs w:val="32"/>
        </w:rPr>
      </w:pPr>
    </w:p>
    <w:p w14:paraId="0D73A28B">
      <w:pPr>
        <w:pageBreakBefore w:val="0"/>
        <w:kinsoku/>
        <w:wordWrap w:val="0"/>
        <w:overflowPunct/>
        <w:bidi w:val="0"/>
        <w:jc w:val="center"/>
        <w:rPr>
          <w:rFonts w:hint="eastAsia" w:ascii="宋体" w:hAnsi="宋体" w:eastAsia="宋体" w:cs="宋体"/>
          <w:color w:val="auto"/>
          <w:sz w:val="32"/>
          <w:szCs w:val="32"/>
        </w:rPr>
      </w:pPr>
    </w:p>
    <w:p w14:paraId="2AAACF80">
      <w:pPr>
        <w:pageBreakBefore w:val="0"/>
        <w:kinsoku/>
        <w:wordWrap w:val="0"/>
        <w:overflowPunct/>
        <w:bidi w:val="0"/>
        <w:jc w:val="center"/>
        <w:rPr>
          <w:rFonts w:hint="eastAsia" w:ascii="宋体" w:hAnsi="宋体" w:eastAsia="宋体" w:cs="宋体"/>
          <w:color w:val="auto"/>
          <w:sz w:val="32"/>
          <w:szCs w:val="32"/>
        </w:rPr>
      </w:pPr>
    </w:p>
    <w:p w14:paraId="6D7391EE">
      <w:pPr>
        <w:pageBreakBefore w:val="0"/>
        <w:kinsoku/>
        <w:wordWrap w:val="0"/>
        <w:overflowPunct/>
        <w:bidi w:val="0"/>
        <w:jc w:val="center"/>
        <w:rPr>
          <w:rFonts w:hint="eastAsia" w:ascii="宋体" w:hAnsi="宋体" w:eastAsia="宋体" w:cs="宋体"/>
          <w:color w:val="auto"/>
          <w:sz w:val="32"/>
          <w:szCs w:val="32"/>
        </w:rPr>
      </w:pPr>
    </w:p>
    <w:p w14:paraId="13E7FFAF">
      <w:pPr>
        <w:pageBreakBefore w:val="0"/>
        <w:kinsoku/>
        <w:wordWrap w:val="0"/>
        <w:overflowPunct/>
        <w:bidi w:val="0"/>
        <w:rPr>
          <w:rFonts w:hint="eastAsia" w:ascii="宋体" w:hAnsi="宋体" w:eastAsia="宋体" w:cs="宋体"/>
          <w:color w:val="auto"/>
          <w:sz w:val="32"/>
          <w:szCs w:val="32"/>
        </w:rPr>
      </w:pPr>
    </w:p>
    <w:p w14:paraId="02FCD396">
      <w:pPr>
        <w:pageBreakBefore w:val="0"/>
        <w:kinsoku/>
        <w:wordWrap w:val="0"/>
        <w:overflowPunct/>
        <w:bidi w:val="0"/>
        <w:jc w:val="center"/>
        <w:rPr>
          <w:rFonts w:hint="eastAsia" w:ascii="宋体" w:hAnsi="宋体" w:eastAsia="宋体" w:cs="宋体"/>
          <w:color w:val="auto"/>
          <w:sz w:val="32"/>
          <w:szCs w:val="32"/>
        </w:rPr>
      </w:pPr>
    </w:p>
    <w:p w14:paraId="4248515F">
      <w:pPr>
        <w:pageBreakBefore w:val="0"/>
        <w:kinsoku/>
        <w:wordWrap w:val="0"/>
        <w:overflowPunct/>
        <w:bidi w:val="0"/>
        <w:spacing w:line="360" w:lineRule="auto"/>
        <w:jc w:val="center"/>
        <w:rPr>
          <w:rFonts w:hint="eastAsia" w:ascii="宋体" w:hAnsi="宋体" w:eastAsia="宋体" w:cs="宋体"/>
          <w:color w:val="auto"/>
          <w:sz w:val="32"/>
          <w:szCs w:val="32"/>
        </w:rPr>
      </w:pPr>
    </w:p>
    <w:p w14:paraId="413926B7">
      <w:pPr>
        <w:pageBreakBefore w:val="0"/>
        <w:kinsoku/>
        <w:wordWrap w:val="0"/>
        <w:overflowPunct/>
        <w:bidi w:val="0"/>
        <w:spacing w:line="420" w:lineRule="exact"/>
        <w:jc w:val="center"/>
        <w:rPr>
          <w:rFonts w:hint="eastAsia" w:ascii="宋体" w:hAnsi="宋体" w:eastAsia="宋体" w:cs="宋体"/>
          <w:b/>
          <w:bCs/>
          <w:color w:val="auto"/>
          <w:sz w:val="28"/>
          <w:szCs w:val="28"/>
        </w:rPr>
      </w:pPr>
      <w:bookmarkStart w:id="923" w:name="_Toc16044"/>
      <w:bookmarkStart w:id="924" w:name="_Toc7378"/>
      <w:bookmarkStart w:id="925" w:name="_Toc18652_WPSOffice_Level1"/>
      <w:bookmarkStart w:id="926" w:name="_Toc14451_WPSOffice_Level1"/>
      <w:bookmarkStart w:id="927" w:name="_Toc22812_WPSOffice_Level1"/>
      <w:bookmarkStart w:id="928" w:name="_Toc7391"/>
      <w:bookmarkStart w:id="929" w:name="_Toc14463_WPSOffice_Level1"/>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（单位电子签章）</w:t>
      </w:r>
      <w:bookmarkEnd w:id="923"/>
      <w:bookmarkEnd w:id="924"/>
      <w:bookmarkEnd w:id="925"/>
      <w:bookmarkEnd w:id="926"/>
      <w:bookmarkEnd w:id="927"/>
      <w:bookmarkEnd w:id="928"/>
      <w:bookmarkEnd w:id="929"/>
    </w:p>
    <w:p w14:paraId="1430D81C">
      <w:pPr>
        <w:pageBreakBefore w:val="0"/>
        <w:kinsoku/>
        <w:wordWrap w:val="0"/>
        <w:overflowPunct/>
        <w:bidi w:val="0"/>
        <w:spacing w:line="42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法定代表人或其委托代理人</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（电子签名或盖章）</w:t>
      </w:r>
    </w:p>
    <w:p w14:paraId="7692D1E0">
      <w:pPr>
        <w:pageBreakBefore w:val="0"/>
        <w:kinsoku/>
        <w:wordWrap w:val="0"/>
        <w:overflowPunct/>
        <w:bidi w:val="0"/>
        <w:spacing w:line="360" w:lineRule="auto"/>
        <w:ind w:firstLine="1687" w:firstLineChars="600"/>
        <w:jc w:val="left"/>
        <w:rPr>
          <w:rFonts w:hint="eastAsia" w:ascii="宋体" w:hAnsi="宋体" w:eastAsia="宋体" w:cs="宋体"/>
          <w:color w:val="auto"/>
          <w:sz w:val="28"/>
          <w:szCs w:val="28"/>
        </w:rPr>
        <w:sectPr>
          <w:pgSz w:w="11906" w:h="16838"/>
          <w:pgMar w:top="1418" w:right="1418" w:bottom="1418" w:left="1418" w:header="851" w:footer="850" w:gutter="0"/>
          <w:cols w:space="720" w:num="1"/>
          <w:docGrid w:linePitch="312" w:charSpace="0"/>
        </w:sectPr>
      </w:pPr>
      <w:bookmarkStart w:id="930" w:name="_Toc31848_WPSOffice_Level1"/>
      <w:bookmarkStart w:id="931" w:name="_Toc31395"/>
      <w:bookmarkStart w:id="932" w:name="_Toc27351_WPSOffice_Level1"/>
      <w:bookmarkStart w:id="933" w:name="_Toc16649"/>
      <w:bookmarkStart w:id="934" w:name="_Toc3607_WPSOffice_Level1"/>
      <w:bookmarkStart w:id="935" w:name="_Toc21015_WPSOffice_Level1"/>
      <w:bookmarkStart w:id="936" w:name="_Toc20450"/>
      <w:bookmarkStart w:id="937" w:name="_Toc12941"/>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年</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月</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日</w:t>
      </w:r>
      <w:bookmarkEnd w:id="930"/>
      <w:bookmarkEnd w:id="931"/>
      <w:bookmarkEnd w:id="932"/>
      <w:bookmarkEnd w:id="933"/>
      <w:bookmarkEnd w:id="934"/>
      <w:bookmarkEnd w:id="935"/>
      <w:bookmarkEnd w:id="936"/>
      <w:bookmarkEnd w:id="937"/>
    </w:p>
    <w:p w14:paraId="15FB5E2B">
      <w:pPr>
        <w:pageBreakBefore w:val="0"/>
        <w:kinsoku/>
        <w:wordWrap w:val="0"/>
        <w:overflowPunct/>
        <w:bidi w:val="0"/>
        <w:spacing w:line="46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目录</w:t>
      </w:r>
    </w:p>
    <w:p w14:paraId="6093FEF4">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rPr>
      </w:pPr>
      <w:r>
        <w:rPr>
          <w:rFonts w:hint="eastAsia" w:ascii="宋体" w:hAnsi="宋体" w:eastAsia="宋体" w:cs="宋体"/>
          <w:color w:val="auto"/>
          <w:szCs w:val="21"/>
        </w:rPr>
        <w:t>一、响应函及响应函附录</w:t>
      </w:r>
    </w:p>
    <w:p w14:paraId="36CFEE20">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lang w:eastAsia="zh-CN"/>
        </w:rPr>
      </w:pPr>
      <w:r>
        <w:rPr>
          <w:rFonts w:hint="eastAsia" w:ascii="宋体" w:hAnsi="宋体" w:eastAsia="宋体" w:cs="宋体"/>
          <w:color w:val="auto"/>
          <w:szCs w:val="21"/>
        </w:rPr>
        <w:t>二、法定代表人（单位负责人）身份证明</w:t>
      </w:r>
    </w:p>
    <w:p w14:paraId="0E5CF8A3">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lang w:eastAsia="zh-CN"/>
        </w:rPr>
      </w:pPr>
      <w:r>
        <w:rPr>
          <w:rFonts w:hint="eastAsia" w:ascii="宋体" w:hAnsi="宋体" w:eastAsia="宋体" w:cs="宋体"/>
          <w:color w:val="auto"/>
          <w:szCs w:val="21"/>
        </w:rPr>
        <w:t>三、授权委托书</w:t>
      </w:r>
    </w:p>
    <w:p w14:paraId="0AEA4905">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lang w:eastAsia="zh-CN"/>
        </w:rPr>
      </w:pPr>
      <w:r>
        <w:rPr>
          <w:rFonts w:hint="eastAsia" w:ascii="宋体" w:hAnsi="宋体" w:eastAsia="宋体" w:cs="宋体"/>
          <w:color w:val="auto"/>
          <w:szCs w:val="21"/>
        </w:rPr>
        <w:t>四、</w:t>
      </w:r>
      <w:r>
        <w:rPr>
          <w:rFonts w:hint="eastAsia" w:ascii="宋体" w:hAnsi="宋体" w:cs="宋体"/>
          <w:color w:val="auto"/>
          <w:szCs w:val="21"/>
          <w:lang w:eastAsia="zh-CN"/>
        </w:rPr>
        <w:t>技术方案</w:t>
      </w:r>
    </w:p>
    <w:p w14:paraId="0217E090">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lang w:eastAsia="zh-CN"/>
        </w:rPr>
      </w:pPr>
      <w:r>
        <w:rPr>
          <w:rFonts w:hint="eastAsia" w:ascii="宋体" w:hAnsi="宋体" w:eastAsia="宋体" w:cs="宋体"/>
          <w:color w:val="auto"/>
          <w:szCs w:val="21"/>
        </w:rPr>
        <w:t>五、</w:t>
      </w:r>
      <w:r>
        <w:rPr>
          <w:rFonts w:hint="eastAsia" w:ascii="宋体" w:hAnsi="宋体" w:cs="宋体"/>
          <w:color w:val="auto"/>
          <w:szCs w:val="21"/>
          <w:lang w:eastAsia="zh-CN"/>
        </w:rPr>
        <w:t>综合材料</w:t>
      </w:r>
    </w:p>
    <w:p w14:paraId="77670B5E">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rPr>
      </w:pPr>
      <w:r>
        <w:rPr>
          <w:rFonts w:hint="eastAsia" w:ascii="宋体" w:hAnsi="宋体" w:eastAsia="宋体" w:cs="宋体"/>
          <w:color w:val="auto"/>
          <w:szCs w:val="21"/>
        </w:rPr>
        <w:t>六、资格证明材料</w:t>
      </w:r>
    </w:p>
    <w:p w14:paraId="210F0E0E">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lang w:eastAsia="zh-CN"/>
        </w:rPr>
      </w:pPr>
      <w:r>
        <w:rPr>
          <w:rFonts w:hint="eastAsia" w:ascii="宋体" w:hAnsi="宋体" w:eastAsia="宋体" w:cs="宋体"/>
          <w:color w:val="auto"/>
          <w:szCs w:val="21"/>
        </w:rPr>
        <w:t>七、</w:t>
      </w:r>
      <w:r>
        <w:rPr>
          <w:rFonts w:hint="eastAsia" w:ascii="宋体" w:hAnsi="宋体" w:cs="宋体"/>
          <w:color w:val="auto"/>
          <w:szCs w:val="21"/>
          <w:lang w:eastAsia="zh-CN"/>
        </w:rPr>
        <w:t>投标人认为应该提交的资料</w:t>
      </w:r>
    </w:p>
    <w:p w14:paraId="5ACED4C8">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rPr>
      </w:pPr>
      <w:r>
        <w:rPr>
          <w:rFonts w:hint="eastAsia" w:ascii="宋体" w:hAnsi="宋体" w:eastAsia="宋体" w:cs="宋体"/>
          <w:color w:val="auto"/>
          <w:szCs w:val="21"/>
        </w:rPr>
        <w:t>八、中小企业声明函</w:t>
      </w:r>
    </w:p>
    <w:p w14:paraId="6456F06A">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rPr>
      </w:pPr>
      <w:r>
        <w:rPr>
          <w:rFonts w:hint="eastAsia" w:ascii="宋体" w:hAnsi="宋体" w:eastAsia="宋体" w:cs="宋体"/>
          <w:color w:val="auto"/>
          <w:szCs w:val="21"/>
        </w:rPr>
        <w:t>九、残疾人福利性单位声明函(如有)</w:t>
      </w:r>
    </w:p>
    <w:p w14:paraId="12D7E015">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rPr>
      </w:pPr>
      <w:r>
        <w:rPr>
          <w:rFonts w:hint="eastAsia" w:ascii="宋体" w:hAnsi="宋体" w:eastAsia="宋体" w:cs="宋体"/>
          <w:color w:val="auto"/>
          <w:szCs w:val="21"/>
        </w:rPr>
        <w:t>十、监狱企业证明文件（如有）</w:t>
      </w:r>
    </w:p>
    <w:p w14:paraId="01035684">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rPr>
      </w:pPr>
      <w:r>
        <w:rPr>
          <w:rFonts w:hint="eastAsia" w:ascii="宋体" w:hAnsi="宋体" w:eastAsia="宋体" w:cs="宋体"/>
          <w:color w:val="auto"/>
          <w:szCs w:val="21"/>
        </w:rPr>
        <w:t>十一、反商业贿赂承诺书</w:t>
      </w:r>
    </w:p>
    <w:p w14:paraId="3447EB7E">
      <w:pPr>
        <w:pageBreakBefore w:val="0"/>
        <w:kinsoku/>
        <w:wordWrap w:val="0"/>
        <w:overflowPunct/>
        <w:bidi w:val="0"/>
        <w:spacing w:line="460" w:lineRule="exact"/>
        <w:ind w:left="0" w:leftChars="0" w:firstLine="218" w:firstLineChars="104"/>
        <w:rPr>
          <w:rFonts w:hint="eastAsia" w:ascii="宋体" w:hAnsi="宋体" w:eastAsia="宋体" w:cs="宋体"/>
          <w:color w:val="auto"/>
          <w:szCs w:val="21"/>
        </w:rPr>
      </w:pPr>
      <w:r>
        <w:rPr>
          <w:rFonts w:hint="eastAsia" w:ascii="宋体" w:hAnsi="宋体" w:eastAsia="宋体" w:cs="宋体"/>
          <w:color w:val="auto"/>
          <w:szCs w:val="21"/>
        </w:rPr>
        <w:t>十二、其他材料</w:t>
      </w:r>
    </w:p>
    <w:p w14:paraId="483BFB29">
      <w:pPr>
        <w:pageBreakBefore w:val="0"/>
        <w:kinsoku/>
        <w:wordWrap w:val="0"/>
        <w:overflowPunct/>
        <w:bidi w:val="0"/>
        <w:spacing w:line="420" w:lineRule="exact"/>
        <w:jc w:val="center"/>
        <w:outlineLvl w:val="1"/>
        <w:rPr>
          <w:rFonts w:hint="eastAsia" w:ascii="宋体" w:hAnsi="宋体" w:eastAsia="宋体" w:cs="宋体"/>
          <w:b/>
          <w:bCs/>
          <w:color w:val="auto"/>
          <w:sz w:val="28"/>
          <w:szCs w:val="28"/>
        </w:rPr>
      </w:pPr>
      <w:r>
        <w:rPr>
          <w:rFonts w:hint="eastAsia" w:ascii="宋体" w:hAnsi="宋体" w:eastAsia="宋体" w:cs="宋体"/>
          <w:b/>
          <w:bCs/>
          <w:color w:val="auto"/>
          <w:sz w:val="32"/>
          <w:szCs w:val="32"/>
        </w:rPr>
        <w:br w:type="page"/>
      </w:r>
      <w:bookmarkEnd w:id="903"/>
      <w:bookmarkEnd w:id="904"/>
      <w:bookmarkEnd w:id="905"/>
      <w:bookmarkEnd w:id="906"/>
      <w:bookmarkEnd w:id="907"/>
      <w:bookmarkEnd w:id="908"/>
      <w:bookmarkEnd w:id="909"/>
      <w:bookmarkEnd w:id="910"/>
      <w:bookmarkEnd w:id="911"/>
      <w:bookmarkEnd w:id="912"/>
      <w:bookmarkEnd w:id="913"/>
      <w:bookmarkEnd w:id="914"/>
      <w:bookmarkStart w:id="938" w:name="_Toc11511"/>
      <w:bookmarkStart w:id="939" w:name="_Toc3645"/>
      <w:bookmarkStart w:id="940" w:name="_Toc19981"/>
      <w:bookmarkStart w:id="941" w:name="_Toc195922057"/>
      <w:bookmarkStart w:id="942" w:name="_Toc192127131"/>
      <w:r>
        <w:rPr>
          <w:rFonts w:hint="eastAsia" w:ascii="宋体" w:hAnsi="宋体" w:eastAsia="宋体" w:cs="宋体"/>
          <w:b/>
          <w:bCs/>
          <w:color w:val="auto"/>
          <w:sz w:val="28"/>
          <w:szCs w:val="28"/>
        </w:rPr>
        <w:t>一、响应函及响应函附录</w:t>
      </w:r>
      <w:bookmarkEnd w:id="938"/>
      <w:bookmarkEnd w:id="939"/>
    </w:p>
    <w:p w14:paraId="0F30BFC3">
      <w:pPr>
        <w:pageBreakBefore w:val="0"/>
        <w:kinsoku/>
        <w:wordWrap w:val="0"/>
        <w:overflowPunct/>
        <w:bidi w:val="0"/>
        <w:spacing w:line="420" w:lineRule="exact"/>
        <w:jc w:val="center"/>
        <w:outlineLvl w:val="2"/>
        <w:rPr>
          <w:rFonts w:hint="eastAsia" w:ascii="宋体" w:hAnsi="宋体" w:eastAsia="宋体" w:cs="宋体"/>
          <w:b/>
          <w:color w:val="auto"/>
          <w:sz w:val="28"/>
          <w:szCs w:val="28"/>
        </w:rPr>
      </w:pPr>
      <w:bookmarkStart w:id="943" w:name="_Toc24700"/>
      <w:r>
        <w:rPr>
          <w:rFonts w:hint="eastAsia" w:ascii="宋体" w:hAnsi="宋体" w:eastAsia="宋体" w:cs="宋体"/>
          <w:b/>
          <w:color w:val="auto"/>
          <w:sz w:val="28"/>
          <w:szCs w:val="28"/>
        </w:rPr>
        <w:t>（一）响应函</w:t>
      </w:r>
      <w:bookmarkEnd w:id="943"/>
    </w:p>
    <w:p w14:paraId="41D53BC0">
      <w:pPr>
        <w:pStyle w:val="25"/>
        <w:pageBreakBefore w:val="0"/>
        <w:kinsoku/>
        <w:wordWrap w:val="0"/>
        <w:overflowPunct/>
        <w:bidi w:val="0"/>
        <w:spacing w:line="420" w:lineRule="exact"/>
        <w:ind w:left="98" w:leftChars="0" w:hanging="98" w:hangingChars="47"/>
        <w:rPr>
          <w:rFonts w:hint="eastAsia" w:ascii="宋体" w:hAnsi="宋体" w:eastAsia="宋体" w:cs="宋体"/>
          <w:color w:val="auto"/>
          <w:szCs w:val="21"/>
        </w:rPr>
      </w:pPr>
      <w:r>
        <w:rPr>
          <w:rFonts w:hint="eastAsia" w:ascii="宋体" w:hAnsi="宋体" w:eastAsia="宋体" w:cs="宋体"/>
          <w:color w:val="auto"/>
          <w:szCs w:val="21"/>
        </w:rPr>
        <w:t>致：</w:t>
      </w:r>
      <w:r>
        <w:rPr>
          <w:rFonts w:hint="eastAsia" w:ascii="宋体" w:hAnsi="宋体" w:eastAsia="宋体" w:cs="宋体"/>
          <w:color w:val="auto"/>
          <w:szCs w:val="21"/>
          <w:u w:val="single"/>
        </w:rPr>
        <w:t>（采购人）</w:t>
      </w:r>
    </w:p>
    <w:p w14:paraId="228DE087">
      <w:pPr>
        <w:pStyle w:val="25"/>
        <w:pageBreakBefore w:val="0"/>
        <w:kinsoku/>
        <w:wordWrap w:val="0"/>
        <w:overflowPunct/>
        <w:bidi w:val="0"/>
        <w:spacing w:line="420" w:lineRule="exact"/>
        <w:ind w:left="0"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1．根据已收到的</w:t>
      </w:r>
      <w:r>
        <w:rPr>
          <w:rFonts w:hint="eastAsia" w:ascii="宋体" w:hAnsi="宋体" w:eastAsia="宋体" w:cs="宋体"/>
          <w:color w:val="auto"/>
          <w:szCs w:val="21"/>
          <w:u w:val="single"/>
        </w:rPr>
        <w:t xml:space="preserve">  国有固始林场2025年森林可持续经营试点任务资金项目（</w:t>
      </w:r>
      <w:r>
        <w:rPr>
          <w:rFonts w:hint="eastAsia" w:ascii="宋体" w:hAnsi="宋体" w:cs="宋体"/>
          <w:color w:val="auto"/>
          <w:szCs w:val="21"/>
          <w:u w:val="single"/>
          <w:lang w:eastAsia="zh-CN"/>
        </w:rPr>
        <w:t>包名称</w:t>
      </w:r>
      <w:r>
        <w:rPr>
          <w:rFonts w:hint="eastAsia" w:ascii="宋体" w:hAnsi="宋体" w:eastAsia="宋体" w:cs="宋体"/>
          <w:color w:val="auto"/>
          <w:szCs w:val="21"/>
          <w:u w:val="single"/>
        </w:rPr>
        <w:t>）</w:t>
      </w:r>
      <w:r>
        <w:rPr>
          <w:rFonts w:hint="eastAsia" w:ascii="宋体" w:hAnsi="宋体" w:eastAsia="宋体" w:cs="宋体"/>
          <w:color w:val="auto"/>
          <w:szCs w:val="21"/>
        </w:rPr>
        <w:t>的竞争性磋商文件，遵照《中华人民共和国政府采购法》等有关规定，经考察和认真研究本项目竞争性磋商文件及其它有关文件后，愿以人民币（大写）</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）的磋商总报价作为第一次磋商报价，按合同约定实施和完成本项目，并承担其任何质量缺陷等问题所造成的任何损失。</w:t>
      </w:r>
    </w:p>
    <w:p w14:paraId="1DB76A4D">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2．我方已详细检查全部竞争性磋商文件包括澄清文件、补充通知（如有的话）及有关附件，并完全理解我方必须放弃提出含糊不清或误解的权力，愿按照竞争性磋商文件中的条款和要求按最后一次的报价</w:t>
      </w:r>
      <w:r>
        <w:rPr>
          <w:rFonts w:hint="eastAsia" w:ascii="宋体" w:hAnsi="宋体" w:cs="宋体"/>
          <w:color w:val="auto"/>
          <w:szCs w:val="21"/>
          <w:lang w:eastAsia="zh-CN"/>
        </w:rPr>
        <w:t>作为最后</w:t>
      </w:r>
      <w:r>
        <w:rPr>
          <w:rFonts w:hint="eastAsia" w:ascii="宋体" w:hAnsi="宋体" w:eastAsia="宋体" w:cs="宋体"/>
          <w:color w:val="auto"/>
          <w:szCs w:val="21"/>
        </w:rPr>
        <w:t>报价。</w:t>
      </w:r>
    </w:p>
    <w:p w14:paraId="3DC9C9F6">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3．我方在此承诺，我方若能成交，保证在服务期限内，全面履行竞争性磋商文件中规定的职责和义务。</w:t>
      </w:r>
    </w:p>
    <w:p w14:paraId="7D7A5BD7">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4．如果我方成交，我方保证按合同条款中规定的内容执行；我方保证质量达到国家及行业现行标准规范规定的合格要求，并按竞争性磋商文件和有关规定提交一切资料。</w:t>
      </w:r>
    </w:p>
    <w:p w14:paraId="03A024D7">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5．我方同意从响应文件递交截止日期起</w:t>
      </w:r>
      <w:r>
        <w:rPr>
          <w:rFonts w:hint="eastAsia" w:ascii="宋体" w:hAnsi="宋体" w:eastAsia="宋体" w:cs="宋体"/>
          <w:color w:val="auto"/>
          <w:szCs w:val="21"/>
          <w:u w:val="single"/>
        </w:rPr>
        <w:t xml:space="preserve"> 60 </w:t>
      </w:r>
      <w:r>
        <w:rPr>
          <w:rFonts w:hint="eastAsia" w:ascii="宋体" w:hAnsi="宋体" w:eastAsia="宋体" w:cs="宋体"/>
          <w:color w:val="auto"/>
          <w:szCs w:val="21"/>
        </w:rPr>
        <w:t>日历天内保持响应文件有效，在此有效期内，我方将严格遵守响应文件的承诺，本响应文件对我方具有约束力，并可随时被接受成交。</w:t>
      </w:r>
    </w:p>
    <w:p w14:paraId="5AFC2F9B">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6．除响应文件所提交的资料外，我方同意随时接受贵方的检查、询问，并根据磋商需要补充贵方要求提交的资料。</w:t>
      </w:r>
    </w:p>
    <w:p w14:paraId="07BFB3E7">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7．如果我方成交后，我方没有任何正当理由而拒签合同，同时我方愿意补偿该项工作因我方延误所造成的经济损失。</w:t>
      </w:r>
    </w:p>
    <w:p w14:paraId="569696DE">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8．我方愿接受合同条款中规定的合同价款计算和调整方式。</w:t>
      </w:r>
    </w:p>
    <w:p w14:paraId="1DE632B6">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9．除非另外达成协议并生效，贵方的成交通知书和本响应文件将成为约束我方的合同文件组成部分。</w:t>
      </w:r>
    </w:p>
    <w:p w14:paraId="084B1779">
      <w:pPr>
        <w:pStyle w:val="25"/>
        <w:pageBreakBefore w:val="0"/>
        <w:kinsoku/>
        <w:wordWrap w:val="0"/>
        <w:overflowPunct/>
        <w:bidi w:val="0"/>
        <w:spacing w:line="420" w:lineRule="exact"/>
        <w:ind w:left="0" w:leftChars="0" w:firstLine="0" w:firstLineChars="0"/>
        <w:rPr>
          <w:rFonts w:hint="eastAsia" w:ascii="宋体" w:hAnsi="宋体" w:eastAsia="宋体" w:cs="宋体"/>
          <w:color w:val="auto"/>
          <w:szCs w:val="21"/>
        </w:rPr>
      </w:pPr>
    </w:p>
    <w:p w14:paraId="5B18291D">
      <w:pPr>
        <w:pStyle w:val="25"/>
        <w:pageBreakBefore w:val="0"/>
        <w:kinsoku/>
        <w:wordWrap w:val="0"/>
        <w:overflowPunct/>
        <w:bidi w:val="0"/>
        <w:spacing w:line="420" w:lineRule="exact"/>
        <w:ind w:left="0" w:leftChars="0" w:firstLine="0" w:firstLineChars="0"/>
        <w:rPr>
          <w:rFonts w:hint="eastAsia" w:ascii="宋体" w:hAnsi="宋体" w:eastAsia="宋体" w:cs="宋体"/>
          <w:color w:val="auto"/>
          <w:szCs w:val="21"/>
        </w:rPr>
      </w:pPr>
    </w:p>
    <w:p w14:paraId="3DD7B8C9">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供应商：</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（单位电子签章）</w:t>
      </w:r>
    </w:p>
    <w:p w14:paraId="779426B5">
      <w:pPr>
        <w:pStyle w:val="25"/>
        <w:pageBreakBefore w:val="0"/>
        <w:kinsoku/>
        <w:wordWrap w:val="0"/>
        <w:overflowPunct/>
        <w:bidi w:val="0"/>
        <w:spacing w:line="420" w:lineRule="exact"/>
        <w:ind w:left="1" w:leftChars="0" w:firstLine="420" w:firstLineChars="200"/>
        <w:rPr>
          <w:rFonts w:hint="eastAsia" w:ascii="宋体" w:hAnsi="宋体" w:eastAsia="宋体" w:cs="宋体"/>
          <w:color w:val="auto"/>
          <w:szCs w:val="21"/>
        </w:rPr>
      </w:pPr>
      <w:r>
        <w:rPr>
          <w:rFonts w:hint="eastAsia" w:ascii="宋体" w:hAnsi="宋体" w:eastAsia="宋体" w:cs="宋体"/>
          <w:color w:val="auto"/>
          <w:szCs w:val="21"/>
        </w:rPr>
        <w:t>法定代表人或其委托代理人：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（电子签名或盖章）</w:t>
      </w:r>
    </w:p>
    <w:p w14:paraId="40461414">
      <w:pPr>
        <w:pStyle w:val="25"/>
        <w:pageBreakBefore w:val="0"/>
        <w:kinsoku/>
        <w:wordWrap w:val="0"/>
        <w:overflowPunct/>
        <w:bidi w:val="0"/>
        <w:spacing w:line="420" w:lineRule="exact"/>
        <w:ind w:left="1" w:leftChars="0" w:firstLine="420" w:firstLineChars="200"/>
        <w:rPr>
          <w:rFonts w:hint="eastAsia" w:ascii="宋体" w:hAnsi="宋体" w:eastAsia="宋体" w:cs="宋体"/>
          <w:b/>
          <w:color w:val="auto"/>
          <w:kern w:val="0"/>
          <w:szCs w:val="21"/>
        </w:rPr>
      </w:pPr>
      <w:r>
        <w:rPr>
          <w:rFonts w:hint="eastAsia" w:ascii="宋体" w:hAnsi="宋体" w:eastAsia="宋体" w:cs="宋体"/>
          <w:color w:val="auto"/>
          <w:szCs w:val="21"/>
        </w:rPr>
        <w:t>日期：</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7C8CCEB2">
      <w:pPr>
        <w:pageBreakBefore w:val="0"/>
        <w:kinsoku/>
        <w:wordWrap w:val="0"/>
        <w:overflowPunct/>
        <w:autoSpaceDE w:val="0"/>
        <w:autoSpaceDN w:val="0"/>
        <w:bidi w:val="0"/>
        <w:adjustRightInd w:val="0"/>
        <w:snapToGrid w:val="0"/>
        <w:spacing w:line="360" w:lineRule="auto"/>
        <w:ind w:firstLine="3780" w:firstLineChars="1800"/>
        <w:jc w:val="left"/>
        <w:rPr>
          <w:rFonts w:hint="eastAsia" w:ascii="宋体" w:hAnsi="宋体" w:eastAsia="宋体" w:cs="宋体"/>
          <w:color w:val="auto"/>
          <w:kern w:val="0"/>
          <w:szCs w:val="21"/>
        </w:rPr>
        <w:sectPr>
          <w:footerReference r:id="rId12" w:type="default"/>
          <w:pgSz w:w="11906" w:h="16838"/>
          <w:pgMar w:top="1418" w:right="1418" w:bottom="1418" w:left="1418" w:header="851" w:footer="850" w:gutter="0"/>
          <w:cols w:space="720" w:num="1"/>
          <w:docGrid w:linePitch="312" w:charSpace="0"/>
        </w:sectPr>
      </w:pPr>
    </w:p>
    <w:bookmarkEnd w:id="940"/>
    <w:p w14:paraId="7FD6577F">
      <w:pPr>
        <w:pageBreakBefore w:val="0"/>
        <w:kinsoku/>
        <w:wordWrap w:val="0"/>
        <w:overflowPunct/>
        <w:bidi w:val="0"/>
        <w:spacing w:line="420" w:lineRule="exact"/>
        <w:jc w:val="center"/>
        <w:outlineLvl w:val="2"/>
        <w:rPr>
          <w:rFonts w:hint="eastAsia" w:ascii="宋体" w:hAnsi="宋体" w:eastAsia="宋体" w:cs="宋体"/>
          <w:b/>
          <w:bCs/>
          <w:color w:val="auto"/>
          <w:sz w:val="28"/>
          <w:szCs w:val="28"/>
        </w:rPr>
      </w:pPr>
      <w:bookmarkStart w:id="944" w:name="_Toc8862"/>
      <w:bookmarkStart w:id="945" w:name="_Toc11398"/>
      <w:bookmarkStart w:id="946" w:name="_Toc28667"/>
      <w:r>
        <w:rPr>
          <w:rFonts w:hint="eastAsia" w:ascii="宋体" w:hAnsi="宋体" w:eastAsia="宋体" w:cs="宋体"/>
          <w:b/>
          <w:bCs/>
          <w:color w:val="auto"/>
          <w:sz w:val="28"/>
          <w:szCs w:val="28"/>
        </w:rPr>
        <w:t>（二）响应函附录</w:t>
      </w:r>
      <w:bookmarkEnd w:id="944"/>
      <w:bookmarkEnd w:id="945"/>
    </w:p>
    <w:tbl>
      <w:tblPr>
        <w:tblStyle w:val="51"/>
        <w:tblpPr w:leftFromText="180" w:rightFromText="180" w:vertAnchor="text" w:horzAnchor="page" w:tblpXSpec="center" w:tblpY="568"/>
        <w:tblOverlap w:val="never"/>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gridCol w:w="3019"/>
        <w:gridCol w:w="3227"/>
      </w:tblGrid>
      <w:tr w14:paraId="0545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tcBorders>
              <w:top w:val="single" w:color="auto" w:sz="4" w:space="0"/>
              <w:left w:val="single" w:color="auto" w:sz="4" w:space="0"/>
              <w:bottom w:val="single" w:color="auto" w:sz="4" w:space="0"/>
              <w:right w:val="single" w:color="auto" w:sz="4" w:space="0"/>
            </w:tcBorders>
            <w:noWrap w:val="0"/>
            <w:vAlign w:val="center"/>
          </w:tcPr>
          <w:p w14:paraId="7690EE6B">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lang w:eastAsia="zh-CN"/>
              </w:rPr>
            </w:pPr>
            <w:r>
              <w:rPr>
                <w:rFonts w:hint="eastAsia" w:ascii="宋体" w:hAnsi="宋体" w:cs="宋体"/>
                <w:color w:val="auto"/>
                <w:szCs w:val="21"/>
                <w:lang w:eastAsia="zh-CN"/>
              </w:rPr>
              <w:t>包名称</w:t>
            </w:r>
          </w:p>
        </w:tc>
        <w:tc>
          <w:tcPr>
            <w:tcW w:w="6246" w:type="dxa"/>
            <w:gridSpan w:val="2"/>
            <w:tcBorders>
              <w:top w:val="single" w:color="auto" w:sz="4" w:space="0"/>
              <w:left w:val="single" w:color="auto" w:sz="4" w:space="0"/>
              <w:bottom w:val="single" w:color="auto" w:sz="4" w:space="0"/>
              <w:right w:val="single" w:color="auto" w:sz="4" w:space="0"/>
            </w:tcBorders>
            <w:noWrap w:val="0"/>
            <w:vAlign w:val="center"/>
          </w:tcPr>
          <w:p w14:paraId="44121CFD">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r>
              <w:rPr>
                <w:rFonts w:hint="eastAsia" w:ascii="宋体" w:hAnsi="宋体" w:eastAsia="宋体" w:cs="宋体"/>
                <w:color w:val="auto"/>
                <w:szCs w:val="21"/>
              </w:rPr>
              <w:t>国有固始林场2025年森林可持续经营试点任务资金项目</w:t>
            </w:r>
          </w:p>
        </w:tc>
      </w:tr>
      <w:tr w14:paraId="2E80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tcBorders>
              <w:top w:val="single" w:color="auto" w:sz="4" w:space="0"/>
              <w:left w:val="single" w:color="auto" w:sz="4" w:space="0"/>
              <w:bottom w:val="single" w:color="auto" w:sz="4" w:space="0"/>
              <w:right w:val="single" w:color="auto" w:sz="4" w:space="0"/>
            </w:tcBorders>
            <w:noWrap w:val="0"/>
            <w:vAlign w:val="center"/>
          </w:tcPr>
          <w:p w14:paraId="17649CD0">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供应商名称</w:t>
            </w:r>
          </w:p>
        </w:tc>
        <w:tc>
          <w:tcPr>
            <w:tcW w:w="6246" w:type="dxa"/>
            <w:gridSpan w:val="2"/>
            <w:tcBorders>
              <w:top w:val="single" w:color="auto" w:sz="4" w:space="0"/>
              <w:left w:val="single" w:color="auto" w:sz="4" w:space="0"/>
              <w:bottom w:val="single" w:color="auto" w:sz="4" w:space="0"/>
              <w:right w:val="single" w:color="auto" w:sz="4" w:space="0"/>
            </w:tcBorders>
            <w:noWrap w:val="0"/>
            <w:vAlign w:val="center"/>
          </w:tcPr>
          <w:p w14:paraId="646DF7A1">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p>
        </w:tc>
      </w:tr>
      <w:tr w14:paraId="6DE3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vMerge w:val="restart"/>
            <w:tcBorders>
              <w:top w:val="single" w:color="auto" w:sz="4" w:space="0"/>
              <w:left w:val="single" w:color="auto" w:sz="4" w:space="0"/>
              <w:right w:val="single" w:color="auto" w:sz="4" w:space="0"/>
            </w:tcBorders>
            <w:noWrap w:val="0"/>
            <w:vAlign w:val="center"/>
          </w:tcPr>
          <w:p w14:paraId="7D2E6BFB">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磋商报价（元）</w:t>
            </w:r>
          </w:p>
        </w:tc>
        <w:tc>
          <w:tcPr>
            <w:tcW w:w="3019" w:type="dxa"/>
            <w:tcBorders>
              <w:top w:val="single" w:color="auto" w:sz="4" w:space="0"/>
              <w:left w:val="single" w:color="auto" w:sz="4" w:space="0"/>
              <w:bottom w:val="single" w:color="auto" w:sz="4" w:space="0"/>
              <w:right w:val="single" w:color="auto" w:sz="4" w:space="0"/>
            </w:tcBorders>
            <w:noWrap w:val="0"/>
            <w:vAlign w:val="center"/>
          </w:tcPr>
          <w:p w14:paraId="293849AA">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r>
              <w:rPr>
                <w:rFonts w:hint="eastAsia" w:ascii="宋体" w:hAnsi="宋体" w:eastAsia="宋体" w:cs="宋体"/>
                <w:color w:val="auto"/>
                <w:szCs w:val="21"/>
              </w:rPr>
              <w:t>（大写）</w:t>
            </w:r>
          </w:p>
        </w:tc>
        <w:tc>
          <w:tcPr>
            <w:tcW w:w="3227" w:type="dxa"/>
            <w:tcBorders>
              <w:top w:val="single" w:color="auto" w:sz="4" w:space="0"/>
              <w:left w:val="single" w:color="auto" w:sz="4" w:space="0"/>
              <w:bottom w:val="single" w:color="auto" w:sz="4" w:space="0"/>
              <w:right w:val="single" w:color="auto" w:sz="4" w:space="0"/>
            </w:tcBorders>
            <w:noWrap w:val="0"/>
            <w:vAlign w:val="center"/>
          </w:tcPr>
          <w:p w14:paraId="546C35C1">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r>
              <w:rPr>
                <w:rFonts w:hint="eastAsia" w:ascii="宋体" w:hAnsi="宋体" w:eastAsia="宋体" w:cs="宋体"/>
                <w:color w:val="auto"/>
                <w:szCs w:val="21"/>
              </w:rPr>
              <w:t>（小写）</w:t>
            </w:r>
          </w:p>
        </w:tc>
      </w:tr>
      <w:tr w14:paraId="65C1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vMerge w:val="continue"/>
            <w:tcBorders>
              <w:left w:val="single" w:color="auto" w:sz="4" w:space="0"/>
              <w:bottom w:val="single" w:color="auto" w:sz="4" w:space="0"/>
              <w:right w:val="single" w:color="auto" w:sz="4" w:space="0"/>
            </w:tcBorders>
            <w:noWrap w:val="0"/>
            <w:vAlign w:val="center"/>
          </w:tcPr>
          <w:p w14:paraId="395C8FD4">
            <w:pPr>
              <w:keepNext w:val="0"/>
              <w:keepLines w:val="0"/>
              <w:pageBreakBefore w:val="0"/>
              <w:suppressLineNumbers w:val="0"/>
              <w:kinsoku/>
              <w:wordWrap w:val="0"/>
              <w:overflowPunct/>
              <w:bidi w:val="0"/>
              <w:spacing w:before="0" w:beforeAutospacing="0" w:after="0" w:afterAutospacing="0"/>
              <w:ind w:left="0" w:right="0" w:firstLine="480"/>
              <w:jc w:val="center"/>
              <w:rPr>
                <w:rFonts w:hint="eastAsia" w:ascii="宋体" w:hAnsi="宋体" w:eastAsia="宋体" w:cs="宋体"/>
                <w:color w:val="auto"/>
                <w:szCs w:val="21"/>
              </w:rPr>
            </w:pPr>
          </w:p>
        </w:tc>
        <w:tc>
          <w:tcPr>
            <w:tcW w:w="6246" w:type="dxa"/>
            <w:gridSpan w:val="2"/>
            <w:tcBorders>
              <w:top w:val="single" w:color="auto" w:sz="4" w:space="0"/>
              <w:left w:val="single" w:color="auto" w:sz="4" w:space="0"/>
              <w:bottom w:val="single" w:color="auto" w:sz="4" w:space="0"/>
              <w:right w:val="single" w:color="auto" w:sz="4" w:space="0"/>
            </w:tcBorders>
            <w:noWrap w:val="0"/>
            <w:vAlign w:val="center"/>
          </w:tcPr>
          <w:p w14:paraId="5BC5663E">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r>
              <w:rPr>
                <w:rFonts w:hint="eastAsia" w:ascii="宋体" w:hAnsi="宋体" w:eastAsia="宋体" w:cs="宋体"/>
                <w:color w:val="auto"/>
                <w:szCs w:val="21"/>
              </w:rPr>
              <w:t>（供应商应在此填列第一次报价，但以供应商最后一次的磋商报价为成交价）</w:t>
            </w:r>
          </w:p>
        </w:tc>
      </w:tr>
      <w:tr w14:paraId="1051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tcBorders>
              <w:top w:val="single" w:color="auto" w:sz="4" w:space="0"/>
              <w:left w:val="single" w:color="auto" w:sz="4" w:space="0"/>
              <w:bottom w:val="single" w:color="auto" w:sz="4" w:space="0"/>
              <w:right w:val="single" w:color="auto" w:sz="4" w:space="0"/>
            </w:tcBorders>
            <w:noWrap w:val="0"/>
            <w:vAlign w:val="center"/>
          </w:tcPr>
          <w:p w14:paraId="557B6162">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服务期限</w:t>
            </w:r>
          </w:p>
        </w:tc>
        <w:tc>
          <w:tcPr>
            <w:tcW w:w="6246" w:type="dxa"/>
            <w:gridSpan w:val="2"/>
            <w:tcBorders>
              <w:top w:val="single" w:color="auto" w:sz="4" w:space="0"/>
              <w:left w:val="single" w:color="auto" w:sz="4" w:space="0"/>
              <w:bottom w:val="single" w:color="auto" w:sz="4" w:space="0"/>
              <w:right w:val="single" w:color="auto" w:sz="4" w:space="0"/>
            </w:tcBorders>
            <w:noWrap w:val="0"/>
            <w:vAlign w:val="center"/>
          </w:tcPr>
          <w:p w14:paraId="52429E60">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p>
        </w:tc>
      </w:tr>
      <w:tr w14:paraId="1BF6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tcBorders>
              <w:top w:val="single" w:color="auto" w:sz="4" w:space="0"/>
              <w:left w:val="single" w:color="auto" w:sz="4" w:space="0"/>
              <w:bottom w:val="single" w:color="auto" w:sz="4" w:space="0"/>
              <w:right w:val="single" w:color="auto" w:sz="4" w:space="0"/>
            </w:tcBorders>
            <w:noWrap w:val="0"/>
            <w:vAlign w:val="center"/>
          </w:tcPr>
          <w:p w14:paraId="5F2AD404">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服务要求</w:t>
            </w:r>
          </w:p>
        </w:tc>
        <w:tc>
          <w:tcPr>
            <w:tcW w:w="6246" w:type="dxa"/>
            <w:gridSpan w:val="2"/>
            <w:tcBorders>
              <w:top w:val="single" w:color="auto" w:sz="4" w:space="0"/>
              <w:left w:val="single" w:color="auto" w:sz="4" w:space="0"/>
              <w:bottom w:val="single" w:color="auto" w:sz="4" w:space="0"/>
              <w:right w:val="single" w:color="auto" w:sz="4" w:space="0"/>
            </w:tcBorders>
            <w:noWrap w:val="0"/>
            <w:vAlign w:val="center"/>
          </w:tcPr>
          <w:p w14:paraId="3FB78115">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p>
        </w:tc>
      </w:tr>
      <w:tr w14:paraId="3079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tcBorders>
              <w:top w:val="single" w:color="auto" w:sz="4" w:space="0"/>
              <w:left w:val="single" w:color="auto" w:sz="4" w:space="0"/>
              <w:bottom w:val="single" w:color="auto" w:sz="4" w:space="0"/>
              <w:right w:val="single" w:color="auto" w:sz="4" w:space="0"/>
            </w:tcBorders>
            <w:noWrap w:val="0"/>
            <w:vAlign w:val="center"/>
          </w:tcPr>
          <w:p w14:paraId="622185FA">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磋商有效期</w:t>
            </w:r>
          </w:p>
        </w:tc>
        <w:tc>
          <w:tcPr>
            <w:tcW w:w="6246" w:type="dxa"/>
            <w:gridSpan w:val="2"/>
            <w:tcBorders>
              <w:top w:val="single" w:color="auto" w:sz="4" w:space="0"/>
              <w:left w:val="single" w:color="auto" w:sz="4" w:space="0"/>
              <w:bottom w:val="single" w:color="auto" w:sz="4" w:space="0"/>
              <w:right w:val="single" w:color="auto" w:sz="4" w:space="0"/>
            </w:tcBorders>
            <w:noWrap w:val="0"/>
            <w:vAlign w:val="center"/>
          </w:tcPr>
          <w:p w14:paraId="7304D973">
            <w:pPr>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color w:val="auto"/>
                <w:szCs w:val="21"/>
              </w:rPr>
            </w:pPr>
          </w:p>
        </w:tc>
      </w:tr>
      <w:tr w14:paraId="3A97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60" w:type="dxa"/>
            <w:tcBorders>
              <w:top w:val="single" w:color="auto" w:sz="4" w:space="0"/>
              <w:left w:val="single" w:color="auto" w:sz="4" w:space="0"/>
              <w:bottom w:val="single" w:color="auto" w:sz="4" w:space="0"/>
              <w:right w:val="single" w:color="auto" w:sz="4" w:space="0"/>
            </w:tcBorders>
            <w:noWrap w:val="0"/>
            <w:vAlign w:val="center"/>
          </w:tcPr>
          <w:p w14:paraId="2AB16584">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备注</w:t>
            </w:r>
          </w:p>
        </w:tc>
        <w:tc>
          <w:tcPr>
            <w:tcW w:w="6246" w:type="dxa"/>
            <w:gridSpan w:val="2"/>
            <w:tcBorders>
              <w:top w:val="single" w:color="auto" w:sz="4" w:space="0"/>
              <w:left w:val="single" w:color="auto" w:sz="4" w:space="0"/>
              <w:bottom w:val="single" w:color="auto" w:sz="4" w:space="0"/>
              <w:right w:val="single" w:color="auto" w:sz="4" w:space="0"/>
            </w:tcBorders>
            <w:noWrap w:val="0"/>
            <w:vAlign w:val="center"/>
          </w:tcPr>
          <w:p w14:paraId="237E96E6">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lang w:val="ru-RU"/>
              </w:rPr>
            </w:pPr>
          </w:p>
        </w:tc>
      </w:tr>
    </w:tbl>
    <w:p w14:paraId="4E104713">
      <w:pPr>
        <w:pageBreakBefore w:val="0"/>
        <w:kinsoku/>
        <w:wordWrap w:val="0"/>
        <w:overflowPunct/>
        <w:bidi w:val="0"/>
        <w:spacing w:line="420" w:lineRule="exact"/>
        <w:rPr>
          <w:rFonts w:hint="eastAsia" w:ascii="宋体" w:hAnsi="宋体" w:eastAsia="宋体" w:cs="宋体"/>
          <w:color w:val="auto"/>
          <w:sz w:val="24"/>
        </w:rPr>
      </w:pPr>
    </w:p>
    <w:p w14:paraId="03D3E47B">
      <w:pPr>
        <w:pageBreakBefore w:val="0"/>
        <w:kinsoku/>
        <w:wordWrap w:val="0"/>
        <w:overflowPunct/>
        <w:bidi w:val="0"/>
        <w:spacing w:line="420" w:lineRule="exact"/>
        <w:rPr>
          <w:rFonts w:hint="eastAsia" w:ascii="宋体" w:hAnsi="宋体" w:eastAsia="宋体" w:cs="宋体"/>
          <w:color w:val="auto"/>
          <w:sz w:val="24"/>
        </w:rPr>
      </w:pPr>
    </w:p>
    <w:p w14:paraId="1A2EC027">
      <w:pPr>
        <w:pageBreakBefore w:val="0"/>
        <w:kinsoku/>
        <w:wordWrap w:val="0"/>
        <w:overflowPunct/>
        <w:bidi w:val="0"/>
        <w:spacing w:line="420" w:lineRule="exact"/>
        <w:rPr>
          <w:rFonts w:hint="eastAsia" w:ascii="宋体" w:hAnsi="宋体" w:eastAsia="宋体" w:cs="宋体"/>
          <w:color w:val="auto"/>
          <w:sz w:val="24"/>
        </w:rPr>
      </w:pPr>
    </w:p>
    <w:p w14:paraId="6BC60D74">
      <w:pPr>
        <w:pageBreakBefore w:val="0"/>
        <w:kinsoku/>
        <w:wordWrap w:val="0"/>
        <w:overflowPunct/>
        <w:bidi w:val="0"/>
        <w:spacing w:line="420" w:lineRule="exact"/>
        <w:rPr>
          <w:rFonts w:hint="eastAsia" w:ascii="宋体" w:hAnsi="宋体" w:eastAsia="宋体" w:cs="宋体"/>
          <w:color w:val="auto"/>
          <w:szCs w:val="21"/>
        </w:rPr>
      </w:pPr>
      <w:r>
        <w:rPr>
          <w:rFonts w:hint="eastAsia" w:ascii="宋体" w:hAnsi="宋体" w:eastAsia="宋体" w:cs="宋体"/>
          <w:color w:val="auto"/>
          <w:szCs w:val="21"/>
        </w:rPr>
        <w:t>供应商法定代表人或其授权委托人(电子签名或盖章)</w:t>
      </w:r>
      <w:r>
        <w:rPr>
          <w:rFonts w:hint="eastAsia" w:ascii="宋体" w:hAnsi="宋体" w:eastAsia="宋体" w:cs="宋体"/>
          <w:color w:val="auto"/>
          <w:szCs w:val="21"/>
          <w:u w:val="single"/>
        </w:rPr>
        <w:t xml:space="preserve">                  </w:t>
      </w:r>
    </w:p>
    <w:p w14:paraId="360CE7D7">
      <w:pPr>
        <w:pageBreakBefore w:val="0"/>
        <w:kinsoku/>
        <w:wordWrap w:val="0"/>
        <w:overflowPunct/>
        <w:bidi w:val="0"/>
        <w:spacing w:line="420" w:lineRule="exact"/>
        <w:rPr>
          <w:rFonts w:hint="eastAsia" w:ascii="宋体" w:hAnsi="宋体" w:eastAsia="宋体" w:cs="宋体"/>
          <w:color w:val="auto"/>
          <w:szCs w:val="21"/>
        </w:rPr>
      </w:pPr>
      <w:r>
        <w:rPr>
          <w:rFonts w:hint="eastAsia" w:ascii="宋体" w:hAnsi="宋体" w:eastAsia="宋体" w:cs="宋体"/>
          <w:color w:val="auto"/>
          <w:szCs w:val="21"/>
        </w:rPr>
        <w:t>供应商(单位电子签章)：</w:t>
      </w:r>
      <w:r>
        <w:rPr>
          <w:rFonts w:hint="eastAsia" w:ascii="宋体" w:hAnsi="宋体" w:eastAsia="宋体" w:cs="宋体"/>
          <w:color w:val="auto"/>
          <w:szCs w:val="21"/>
          <w:u w:val="single"/>
        </w:rPr>
        <w:t xml:space="preserve">                  </w:t>
      </w:r>
    </w:p>
    <w:p w14:paraId="05CE6DC0">
      <w:pPr>
        <w:pageBreakBefore w:val="0"/>
        <w:kinsoku/>
        <w:wordWrap w:val="0"/>
        <w:overflowPunct/>
        <w:bidi w:val="0"/>
        <w:spacing w:line="420" w:lineRule="exact"/>
        <w:rPr>
          <w:rFonts w:hint="eastAsia" w:ascii="宋体" w:hAnsi="宋体" w:eastAsia="宋体" w:cs="宋体"/>
          <w:b/>
          <w:color w:val="auto"/>
          <w:kern w:val="0"/>
          <w:szCs w:val="21"/>
        </w:rPr>
      </w:pP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1D25D10D">
      <w:pPr>
        <w:pageBreakBefore w:val="0"/>
        <w:kinsoku/>
        <w:wordWrap w:val="0"/>
        <w:overflowPunct/>
        <w:bidi w:val="0"/>
        <w:ind w:firstLine="420"/>
        <w:rPr>
          <w:rFonts w:hint="eastAsia" w:ascii="宋体" w:hAnsi="宋体" w:eastAsia="宋体" w:cs="宋体"/>
          <w:color w:val="auto"/>
        </w:rPr>
      </w:pPr>
      <w:r>
        <w:rPr>
          <w:rFonts w:hint="eastAsia" w:ascii="宋体" w:hAnsi="宋体" w:eastAsia="宋体" w:cs="宋体"/>
          <w:color w:val="auto"/>
        </w:rPr>
        <w:br w:type="page"/>
      </w:r>
    </w:p>
    <w:p w14:paraId="1EA10ECC">
      <w:pPr>
        <w:pStyle w:val="379"/>
        <w:pageBreakBefore w:val="0"/>
        <w:kinsoku/>
        <w:wordWrap w:val="0"/>
        <w:overflowPunct/>
        <w:bidi w:val="0"/>
        <w:ind w:firstLine="0" w:firstLineChars="0"/>
        <w:jc w:val="center"/>
        <w:rPr>
          <w:rFonts w:hint="eastAsia" w:ascii="宋体" w:hAnsi="宋体" w:eastAsia="宋体" w:cs="宋体"/>
          <w:b/>
          <w:color w:val="auto"/>
          <w:szCs w:val="28"/>
        </w:rPr>
      </w:pPr>
      <w:bookmarkStart w:id="947" w:name="_Toc31033"/>
      <w:bookmarkStart w:id="948" w:name="_Toc466298161"/>
      <w:bookmarkStart w:id="949" w:name="_Toc2481"/>
      <w:bookmarkStart w:id="950" w:name="_Toc918"/>
      <w:bookmarkStart w:id="951" w:name="_Toc8120"/>
      <w:r>
        <w:rPr>
          <w:rFonts w:hint="eastAsia" w:ascii="宋体" w:hAnsi="宋体" w:eastAsia="宋体" w:cs="宋体"/>
          <w:b/>
          <w:color w:val="auto"/>
          <w:szCs w:val="28"/>
        </w:rPr>
        <w:t>二、</w:t>
      </w:r>
      <w:bookmarkEnd w:id="947"/>
      <w:bookmarkEnd w:id="948"/>
      <w:bookmarkEnd w:id="949"/>
      <w:bookmarkEnd w:id="950"/>
      <w:r>
        <w:rPr>
          <w:rFonts w:hint="eastAsia" w:ascii="宋体" w:hAnsi="宋体" w:eastAsia="宋体" w:cs="宋体"/>
          <w:b/>
          <w:color w:val="auto"/>
          <w:szCs w:val="28"/>
        </w:rPr>
        <w:t>法定代表人（单位负责人）身份证明</w:t>
      </w:r>
      <w:bookmarkEnd w:id="951"/>
    </w:p>
    <w:p w14:paraId="2EC83AF6">
      <w:pPr>
        <w:pageBreakBefore w:val="0"/>
        <w:kinsoku/>
        <w:wordWrap w:val="0"/>
        <w:overflowPunct/>
        <w:bidi w:val="0"/>
        <w:spacing w:line="440" w:lineRule="exact"/>
        <w:ind w:firstLine="420"/>
        <w:jc w:val="center"/>
        <w:rPr>
          <w:rFonts w:hint="eastAsia" w:ascii="宋体" w:hAnsi="宋体" w:eastAsia="宋体" w:cs="宋体"/>
          <w:color w:val="auto"/>
          <w:szCs w:val="21"/>
        </w:rPr>
      </w:pPr>
    </w:p>
    <w:p w14:paraId="74A58934">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供应商名称：</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14:paraId="696EA673">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单位性质：</w:t>
      </w:r>
      <w:r>
        <w:rPr>
          <w:rFonts w:hint="eastAsia" w:ascii="宋体" w:hAnsi="宋体" w:eastAsia="宋体" w:cs="宋体"/>
          <w:color w:val="auto"/>
          <w:szCs w:val="21"/>
          <w:u w:val="single"/>
        </w:rPr>
        <w:t xml:space="preserve">                               </w:t>
      </w:r>
    </w:p>
    <w:p w14:paraId="22978F5B">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地址：</w:t>
      </w:r>
      <w:r>
        <w:rPr>
          <w:rFonts w:hint="eastAsia" w:ascii="宋体" w:hAnsi="宋体" w:eastAsia="宋体" w:cs="宋体"/>
          <w:color w:val="auto"/>
          <w:szCs w:val="21"/>
          <w:u w:val="single"/>
        </w:rPr>
        <w:t xml:space="preserve">                                   </w:t>
      </w:r>
    </w:p>
    <w:p w14:paraId="76514272">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成立时间：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日</w:t>
      </w:r>
    </w:p>
    <w:p w14:paraId="775BE65C">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经营期限：</w:t>
      </w:r>
      <w:r>
        <w:rPr>
          <w:rFonts w:hint="eastAsia" w:ascii="宋体" w:hAnsi="宋体" w:eastAsia="宋体" w:cs="宋体"/>
          <w:color w:val="auto"/>
          <w:szCs w:val="21"/>
          <w:u w:val="single"/>
        </w:rPr>
        <w:t xml:space="preserve">                               </w:t>
      </w:r>
    </w:p>
    <w:p w14:paraId="3DF9B951">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姓名：</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性别：</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年龄：</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职务：</w:t>
      </w:r>
      <w:r>
        <w:rPr>
          <w:rFonts w:hint="eastAsia" w:ascii="宋体" w:hAnsi="宋体" w:eastAsia="宋体" w:cs="宋体"/>
          <w:color w:val="auto"/>
          <w:szCs w:val="21"/>
          <w:u w:val="single"/>
        </w:rPr>
        <w:t xml:space="preserve">        </w:t>
      </w:r>
    </w:p>
    <w:p w14:paraId="70103EA4">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系</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（供应商名称）的法定代表人。</w:t>
      </w:r>
    </w:p>
    <w:p w14:paraId="034DD62E">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特此证明。</w:t>
      </w:r>
    </w:p>
    <w:p w14:paraId="381BECCD">
      <w:pPr>
        <w:pageBreakBefore w:val="0"/>
        <w:kinsoku/>
        <w:wordWrap w:val="0"/>
        <w:overflowPunct/>
        <w:bidi w:val="0"/>
        <w:spacing w:line="420" w:lineRule="exact"/>
        <w:ind w:firstLine="480"/>
        <w:rPr>
          <w:rFonts w:hint="eastAsia" w:ascii="宋体" w:hAnsi="宋体" w:eastAsia="宋体" w:cs="宋体"/>
          <w:color w:val="auto"/>
          <w:szCs w:val="21"/>
        </w:rPr>
      </w:pPr>
    </w:p>
    <w:p w14:paraId="0A15895B">
      <w:pPr>
        <w:pageBreakBefore w:val="0"/>
        <w:kinsoku/>
        <w:wordWrap w:val="0"/>
        <w:overflowPunct/>
        <w:bidi w:val="0"/>
        <w:spacing w:line="420" w:lineRule="exact"/>
        <w:ind w:firstLine="480"/>
        <w:rPr>
          <w:rFonts w:hint="eastAsia" w:ascii="宋体" w:hAnsi="宋体" w:eastAsia="宋体" w:cs="宋体"/>
          <w:color w:val="auto"/>
          <w:szCs w:val="21"/>
        </w:rPr>
      </w:pPr>
    </w:p>
    <w:p w14:paraId="03FC0199">
      <w:pPr>
        <w:pageBreakBefore w:val="0"/>
        <w:kinsoku/>
        <w:wordWrap w:val="0"/>
        <w:overflowPunct/>
        <w:bidi w:val="0"/>
        <w:spacing w:line="420" w:lineRule="exact"/>
        <w:ind w:firstLine="480"/>
        <w:jc w:val="right"/>
        <w:rPr>
          <w:rFonts w:hint="eastAsia" w:ascii="宋体" w:hAnsi="宋体" w:eastAsia="宋体" w:cs="宋体"/>
          <w:color w:val="auto"/>
          <w:szCs w:val="21"/>
        </w:rPr>
      </w:pPr>
      <w:r>
        <w:rPr>
          <w:rFonts w:hint="eastAsia" w:ascii="宋体" w:hAnsi="宋体" w:eastAsia="宋体" w:cs="宋体"/>
          <w:color w:val="auto"/>
          <w:szCs w:val="21"/>
        </w:rPr>
        <w:t>供应商：</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（单位电子签章）</w:t>
      </w:r>
    </w:p>
    <w:p w14:paraId="4C032143">
      <w:pPr>
        <w:pageBreakBefore w:val="0"/>
        <w:kinsoku/>
        <w:wordWrap w:val="0"/>
        <w:overflowPunct/>
        <w:bidi w:val="0"/>
        <w:spacing w:line="420" w:lineRule="exact"/>
        <w:ind w:firstLine="480"/>
        <w:jc w:val="right"/>
        <w:rPr>
          <w:rFonts w:hint="eastAsia" w:ascii="宋体" w:hAnsi="宋体" w:eastAsia="宋体" w:cs="宋体"/>
          <w:color w:val="auto"/>
          <w:szCs w:val="21"/>
        </w:rPr>
      </w:pP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127A9DC0">
      <w:pPr>
        <w:pageBreakBefore w:val="0"/>
        <w:kinsoku/>
        <w:wordWrap w:val="0"/>
        <w:overflowPunct/>
        <w:bidi w:val="0"/>
        <w:spacing w:line="440" w:lineRule="exact"/>
        <w:rPr>
          <w:rFonts w:hint="eastAsia" w:ascii="宋体" w:hAnsi="宋体" w:eastAsia="宋体" w:cs="宋体"/>
          <w:color w:val="auto"/>
          <w:szCs w:val="21"/>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2FE9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1" w:hRule="atLeast"/>
          <w:jc w:val="center"/>
        </w:trPr>
        <w:tc>
          <w:tcPr>
            <w:tcW w:w="9638" w:type="dxa"/>
            <w:noWrap w:val="0"/>
            <w:vAlign w:val="center"/>
          </w:tcPr>
          <w:p w14:paraId="3D2307E5">
            <w:pPr>
              <w:keepNext w:val="0"/>
              <w:keepLines w:val="0"/>
              <w:pageBreakBefore w:val="0"/>
              <w:suppressLineNumbers w:val="0"/>
              <w:kinsoku/>
              <w:wordWrap w:val="0"/>
              <w:overflowPunct/>
              <w:bidi w:val="0"/>
              <w:spacing w:before="0" w:beforeAutospacing="0" w:after="0" w:afterAutospacing="0" w:line="44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法定代表人身份证扫描件</w:t>
            </w:r>
          </w:p>
          <w:p w14:paraId="4E281005">
            <w:pPr>
              <w:keepNext w:val="0"/>
              <w:keepLines w:val="0"/>
              <w:pageBreakBefore w:val="0"/>
              <w:suppressLineNumbers w:val="0"/>
              <w:kinsoku/>
              <w:wordWrap w:val="0"/>
              <w:overflowPunct/>
              <w:bidi w:val="0"/>
              <w:spacing w:before="0" w:beforeAutospacing="0" w:after="0" w:afterAutospacing="0" w:line="440" w:lineRule="exact"/>
              <w:ind w:left="0" w:right="0"/>
              <w:jc w:val="center"/>
              <w:rPr>
                <w:rFonts w:hint="eastAsia" w:ascii="宋体" w:hAnsi="宋体" w:eastAsia="宋体" w:cs="宋体"/>
                <w:color w:val="auto"/>
                <w:szCs w:val="21"/>
              </w:rPr>
            </w:pPr>
          </w:p>
        </w:tc>
      </w:tr>
    </w:tbl>
    <w:p w14:paraId="52A96E70">
      <w:pPr>
        <w:pageBreakBefore w:val="0"/>
        <w:kinsoku/>
        <w:wordWrap w:val="0"/>
        <w:overflowPunct/>
        <w:bidi w:val="0"/>
        <w:ind w:firstLine="420"/>
        <w:rPr>
          <w:rFonts w:hint="eastAsia" w:ascii="宋体" w:hAnsi="宋体" w:eastAsia="宋体" w:cs="宋体"/>
          <w:color w:val="auto"/>
        </w:rPr>
      </w:pPr>
      <w:r>
        <w:rPr>
          <w:rFonts w:hint="eastAsia" w:ascii="宋体" w:hAnsi="宋体" w:eastAsia="宋体" w:cs="宋体"/>
          <w:color w:val="auto"/>
        </w:rPr>
        <w:br w:type="page"/>
      </w:r>
    </w:p>
    <w:p w14:paraId="7DB24DDE">
      <w:pPr>
        <w:pStyle w:val="3"/>
        <w:pageBreakBefore w:val="0"/>
        <w:numPr>
          <w:ilvl w:val="1"/>
          <w:numId w:val="0"/>
        </w:numPr>
        <w:kinsoku/>
        <w:wordWrap w:val="0"/>
        <w:overflowPunct/>
        <w:bidi w:val="0"/>
        <w:spacing w:line="420" w:lineRule="exact"/>
        <w:jc w:val="center"/>
        <w:rPr>
          <w:rFonts w:hint="eastAsia" w:ascii="宋体" w:hAnsi="宋体" w:eastAsia="宋体" w:cs="宋体"/>
          <w:color w:val="auto"/>
          <w:szCs w:val="24"/>
        </w:rPr>
      </w:pPr>
      <w:bookmarkStart w:id="952" w:name="_Toc10913"/>
      <w:r>
        <w:rPr>
          <w:rFonts w:hint="eastAsia" w:ascii="宋体" w:hAnsi="宋体" w:eastAsia="宋体" w:cs="宋体"/>
          <w:color w:val="auto"/>
          <w:sz w:val="28"/>
          <w:szCs w:val="28"/>
        </w:rPr>
        <w:t>三、授权委托书</w:t>
      </w:r>
      <w:bookmarkEnd w:id="952"/>
    </w:p>
    <w:p w14:paraId="10CBA551">
      <w:pPr>
        <w:pageBreakBefore w:val="0"/>
        <w:kinsoku/>
        <w:wordWrap w:val="0"/>
        <w:overflowPunct/>
        <w:topLine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本人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（姓名）系</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（供应商名称）的法定代表人，现委托</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（姓名）为我方代理人。代理人根据授权，以我方名义签署、澄清、说明、补正、递交、撤回、修改</w:t>
      </w:r>
      <w:r>
        <w:rPr>
          <w:rFonts w:hint="eastAsia" w:ascii="宋体" w:hAnsi="宋体" w:eastAsia="宋体" w:cs="宋体"/>
          <w:color w:val="auto"/>
          <w:szCs w:val="21"/>
          <w:u w:val="single"/>
        </w:rPr>
        <w:t xml:space="preserve"> 国有固始林场2025年森林可持续经营试点任务资金项目 </w:t>
      </w:r>
      <w:r>
        <w:rPr>
          <w:rFonts w:hint="eastAsia" w:ascii="宋体" w:hAnsi="宋体" w:eastAsia="宋体" w:cs="宋体"/>
          <w:color w:val="auto"/>
          <w:szCs w:val="21"/>
        </w:rPr>
        <w:t>（</w:t>
      </w:r>
      <w:r>
        <w:rPr>
          <w:rFonts w:hint="eastAsia" w:ascii="宋体" w:hAnsi="宋体" w:cs="宋体"/>
          <w:color w:val="auto"/>
          <w:szCs w:val="21"/>
          <w:lang w:eastAsia="zh-CN"/>
        </w:rPr>
        <w:t>包名称</w:t>
      </w:r>
      <w:r>
        <w:rPr>
          <w:rFonts w:hint="eastAsia" w:ascii="宋体" w:hAnsi="宋体" w:eastAsia="宋体" w:cs="宋体"/>
          <w:color w:val="auto"/>
          <w:szCs w:val="21"/>
        </w:rPr>
        <w:t>）响应文件、签订合同和处理有关事宜，其法律后果由我方承担。</w:t>
      </w:r>
    </w:p>
    <w:p w14:paraId="00E0BBF8">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委托期限：</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w:t>
      </w:r>
    </w:p>
    <w:p w14:paraId="06DD4EC1">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代理人无转委托权。</w:t>
      </w:r>
    </w:p>
    <w:p w14:paraId="39759D45">
      <w:pPr>
        <w:pageBreakBefore w:val="0"/>
        <w:kinsoku/>
        <w:wordWrap w:val="0"/>
        <w:overflowPunct/>
        <w:bidi w:val="0"/>
        <w:spacing w:line="420" w:lineRule="exact"/>
        <w:ind w:firstLine="480"/>
        <w:rPr>
          <w:rFonts w:hint="eastAsia" w:ascii="宋体" w:hAnsi="宋体" w:eastAsia="宋体" w:cs="宋体"/>
          <w:color w:val="auto"/>
          <w:szCs w:val="21"/>
        </w:rPr>
      </w:pPr>
    </w:p>
    <w:p w14:paraId="0F6707BA">
      <w:pPr>
        <w:pageBreakBefore w:val="0"/>
        <w:kinsoku/>
        <w:wordWrap w:val="0"/>
        <w:overflowPunct/>
        <w:bidi w:val="0"/>
        <w:spacing w:line="420" w:lineRule="exact"/>
        <w:rPr>
          <w:rFonts w:hint="eastAsia" w:ascii="宋体" w:hAnsi="宋体" w:eastAsia="宋体" w:cs="宋体"/>
          <w:color w:val="auto"/>
          <w:szCs w:val="21"/>
        </w:rPr>
      </w:pPr>
    </w:p>
    <w:p w14:paraId="69DF2ADD">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供应商：</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（单位电子签章）</w:t>
      </w:r>
    </w:p>
    <w:p w14:paraId="18778EAC">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法定代表人：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（电子签名或盖章）</w:t>
      </w:r>
    </w:p>
    <w:p w14:paraId="7D4EB10E">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身份证号码：</w:t>
      </w:r>
      <w:r>
        <w:rPr>
          <w:rFonts w:hint="eastAsia" w:ascii="宋体" w:hAnsi="宋体" w:eastAsia="宋体" w:cs="宋体"/>
          <w:color w:val="auto"/>
          <w:szCs w:val="21"/>
          <w:u w:val="single"/>
        </w:rPr>
        <w:t xml:space="preserve">                                         </w:t>
      </w:r>
    </w:p>
    <w:p w14:paraId="13792121">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委托代理人：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w:t>
      </w:r>
      <w:r>
        <w:rPr>
          <w:rFonts w:hint="eastAsia" w:ascii="宋体" w:hAnsi="宋体" w:cs="宋体"/>
          <w:color w:val="auto"/>
          <w:szCs w:val="21"/>
          <w:lang w:val="en-US" w:eastAsia="zh-CN"/>
        </w:rPr>
        <w:t>签字</w:t>
      </w:r>
      <w:r>
        <w:rPr>
          <w:rFonts w:hint="eastAsia" w:ascii="宋体" w:hAnsi="宋体" w:eastAsia="宋体" w:cs="宋体"/>
          <w:color w:val="auto"/>
          <w:szCs w:val="21"/>
        </w:rPr>
        <w:t>）</w:t>
      </w:r>
    </w:p>
    <w:p w14:paraId="2ED49ADB">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身份证号码：</w:t>
      </w:r>
      <w:r>
        <w:rPr>
          <w:rFonts w:hint="eastAsia" w:ascii="宋体" w:hAnsi="宋体" w:eastAsia="宋体" w:cs="宋体"/>
          <w:color w:val="auto"/>
          <w:szCs w:val="21"/>
          <w:u w:val="single"/>
        </w:rPr>
        <w:t xml:space="preserve">                                         </w:t>
      </w:r>
    </w:p>
    <w:p w14:paraId="5C524B54">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450F14F5">
      <w:pPr>
        <w:pStyle w:val="23"/>
        <w:pageBreakBefore w:val="0"/>
        <w:kinsoku/>
        <w:wordWrap w:val="0"/>
        <w:overflowPunct/>
        <w:bidi w:val="0"/>
        <w:rPr>
          <w:rFonts w:hint="eastAsia" w:ascii="宋体" w:hAnsi="宋体" w:eastAsia="宋体" w:cs="宋体"/>
          <w:color w:val="auto"/>
          <w:szCs w:val="21"/>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3D80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jc w:val="center"/>
        </w:trPr>
        <w:tc>
          <w:tcPr>
            <w:tcW w:w="9638" w:type="dxa"/>
            <w:noWrap w:val="0"/>
            <w:vAlign w:val="center"/>
          </w:tcPr>
          <w:p w14:paraId="38BD88A5">
            <w:pPr>
              <w:keepNext w:val="0"/>
              <w:keepLines w:val="0"/>
              <w:pageBreakBefore w:val="0"/>
              <w:suppressLineNumbers w:val="0"/>
              <w:kinsoku/>
              <w:wordWrap w:val="0"/>
              <w:overflowPunct/>
              <w:bidi w:val="0"/>
              <w:spacing w:before="0" w:beforeAutospacing="0" w:after="0" w:afterAutospacing="0" w:line="44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委托代理人身份证扫描件</w:t>
            </w:r>
          </w:p>
          <w:p w14:paraId="5A569BA7">
            <w:pPr>
              <w:keepNext w:val="0"/>
              <w:keepLines w:val="0"/>
              <w:pageBreakBefore w:val="0"/>
              <w:suppressLineNumbers w:val="0"/>
              <w:kinsoku/>
              <w:wordWrap w:val="0"/>
              <w:overflowPunct/>
              <w:bidi w:val="0"/>
              <w:spacing w:before="0" w:beforeAutospacing="0" w:after="0" w:afterAutospacing="0" w:line="440" w:lineRule="exact"/>
              <w:ind w:left="0" w:right="0" w:firstLine="480"/>
              <w:jc w:val="center"/>
              <w:rPr>
                <w:rFonts w:hint="eastAsia" w:ascii="宋体" w:hAnsi="宋体" w:eastAsia="宋体" w:cs="宋体"/>
                <w:color w:val="auto"/>
                <w:szCs w:val="21"/>
              </w:rPr>
            </w:pPr>
          </w:p>
        </w:tc>
      </w:tr>
    </w:tbl>
    <w:p w14:paraId="14FE4BEC">
      <w:pPr>
        <w:pageBreakBefore w:val="0"/>
        <w:kinsoku/>
        <w:wordWrap w:val="0"/>
        <w:overflowPunct/>
        <w:bidi w:val="0"/>
        <w:spacing w:line="360" w:lineRule="auto"/>
        <w:outlineLvl w:val="1"/>
        <w:rPr>
          <w:rFonts w:hint="eastAsia" w:ascii="宋体" w:hAnsi="宋体" w:eastAsia="宋体" w:cs="宋体"/>
          <w:b/>
          <w:color w:val="auto"/>
          <w:szCs w:val="21"/>
        </w:rPr>
      </w:pPr>
    </w:p>
    <w:p w14:paraId="40439EDF">
      <w:pPr>
        <w:pStyle w:val="50"/>
        <w:pageBreakBefore w:val="0"/>
        <w:kinsoku/>
        <w:wordWrap w:val="0"/>
        <w:overflowPunct/>
        <w:bidi w:val="0"/>
        <w:ind w:firstLine="480"/>
        <w:rPr>
          <w:rFonts w:hint="eastAsia" w:ascii="宋体" w:hAnsi="宋体" w:eastAsia="宋体" w:cs="宋体"/>
          <w:color w:val="auto"/>
        </w:rPr>
      </w:pPr>
      <w:r>
        <w:rPr>
          <w:rFonts w:hint="eastAsia" w:ascii="宋体" w:hAnsi="宋体" w:eastAsia="宋体" w:cs="宋体"/>
          <w:color w:val="auto"/>
        </w:rPr>
        <w:br w:type="page"/>
      </w:r>
    </w:p>
    <w:bookmarkEnd w:id="941"/>
    <w:bookmarkEnd w:id="942"/>
    <w:bookmarkEnd w:id="946"/>
    <w:p w14:paraId="0DCC1D3E">
      <w:pPr>
        <w:pageBreakBefore w:val="0"/>
        <w:kinsoku/>
        <w:wordWrap w:val="0"/>
        <w:overflowPunct/>
        <w:bidi w:val="0"/>
        <w:spacing w:line="420" w:lineRule="exact"/>
        <w:jc w:val="center"/>
        <w:outlineLvl w:val="1"/>
        <w:rPr>
          <w:rFonts w:hint="eastAsia" w:ascii="宋体" w:hAnsi="宋体" w:eastAsia="宋体" w:cs="宋体"/>
          <w:b/>
          <w:bCs/>
          <w:color w:val="auto"/>
          <w:sz w:val="28"/>
          <w:szCs w:val="28"/>
          <w:lang w:eastAsia="zh-CN"/>
        </w:rPr>
      </w:pPr>
      <w:bookmarkStart w:id="953" w:name="_Toc28834"/>
      <w:bookmarkStart w:id="954" w:name="_Toc19918"/>
      <w:r>
        <w:rPr>
          <w:rFonts w:hint="eastAsia" w:ascii="宋体" w:hAnsi="宋体" w:eastAsia="宋体" w:cs="宋体"/>
          <w:b/>
          <w:bCs/>
          <w:color w:val="auto"/>
          <w:sz w:val="28"/>
          <w:szCs w:val="28"/>
        </w:rPr>
        <w:t>四、</w:t>
      </w:r>
      <w:bookmarkEnd w:id="953"/>
      <w:bookmarkEnd w:id="954"/>
      <w:r>
        <w:rPr>
          <w:rFonts w:hint="eastAsia" w:ascii="宋体" w:hAnsi="宋体" w:cs="宋体"/>
          <w:b/>
          <w:bCs/>
          <w:color w:val="auto"/>
          <w:sz w:val="28"/>
          <w:szCs w:val="28"/>
          <w:lang w:eastAsia="zh-CN"/>
        </w:rPr>
        <w:t>技术方案</w:t>
      </w:r>
    </w:p>
    <w:p w14:paraId="6FD7D9A3">
      <w:pPr>
        <w:pageBreakBefore w:val="0"/>
        <w:kinsoku/>
        <w:wordWrap w:val="0"/>
        <w:overflowPunct/>
        <w:bidi w:val="0"/>
        <w:spacing w:line="420" w:lineRule="exact"/>
        <w:jc w:val="center"/>
        <w:rPr>
          <w:rFonts w:hint="eastAsia" w:ascii="宋体" w:hAnsi="宋体" w:eastAsia="宋体" w:cs="宋体"/>
          <w:color w:val="auto"/>
        </w:rPr>
      </w:pPr>
      <w:r>
        <w:rPr>
          <w:rFonts w:hint="eastAsia" w:ascii="宋体" w:hAnsi="宋体" w:eastAsia="宋体" w:cs="宋体"/>
          <w:b/>
          <w:bCs/>
          <w:color w:val="auto"/>
          <w:sz w:val="28"/>
          <w:szCs w:val="28"/>
        </w:rPr>
        <w:t>（内容及格式由供应商自拟）</w:t>
      </w:r>
    </w:p>
    <w:p w14:paraId="7DEC8834">
      <w:pPr>
        <w:pageBreakBefore w:val="0"/>
        <w:kinsoku/>
        <w:wordWrap w:val="0"/>
        <w:overflowPunct/>
        <w:bidi w:val="0"/>
        <w:ind w:firstLine="420"/>
        <w:rPr>
          <w:rFonts w:hint="eastAsia" w:ascii="宋体" w:hAnsi="宋体" w:eastAsia="宋体" w:cs="宋体"/>
          <w:color w:val="auto"/>
        </w:rPr>
      </w:pPr>
      <w:r>
        <w:rPr>
          <w:rFonts w:hint="eastAsia" w:ascii="宋体" w:hAnsi="宋体" w:eastAsia="宋体" w:cs="宋体"/>
          <w:color w:val="auto"/>
        </w:rPr>
        <w:br w:type="page"/>
      </w:r>
    </w:p>
    <w:p w14:paraId="0D939A8E">
      <w:pPr>
        <w:pageBreakBefore w:val="0"/>
        <w:kinsoku/>
        <w:wordWrap w:val="0"/>
        <w:overflowPunct/>
        <w:bidi w:val="0"/>
        <w:spacing w:line="420" w:lineRule="exact"/>
        <w:jc w:val="center"/>
        <w:outlineLvl w:val="1"/>
        <w:rPr>
          <w:rFonts w:hint="eastAsia" w:ascii="宋体" w:hAnsi="宋体" w:eastAsia="宋体" w:cs="宋体"/>
          <w:color w:val="auto"/>
          <w:lang w:eastAsia="zh-CN"/>
        </w:rPr>
      </w:pPr>
      <w:bookmarkStart w:id="955" w:name="_Toc21182"/>
      <w:bookmarkStart w:id="956" w:name="_Toc2441"/>
      <w:r>
        <w:rPr>
          <w:rFonts w:hint="eastAsia" w:ascii="宋体" w:hAnsi="宋体" w:eastAsia="宋体" w:cs="宋体"/>
          <w:b/>
          <w:bCs/>
          <w:color w:val="auto"/>
          <w:sz w:val="28"/>
          <w:szCs w:val="28"/>
        </w:rPr>
        <w:t>五、</w:t>
      </w:r>
      <w:bookmarkEnd w:id="955"/>
      <w:bookmarkEnd w:id="956"/>
      <w:r>
        <w:rPr>
          <w:rFonts w:hint="eastAsia" w:ascii="宋体" w:hAnsi="宋体" w:cs="宋体"/>
          <w:b/>
          <w:bCs/>
          <w:color w:val="auto"/>
          <w:sz w:val="28"/>
          <w:szCs w:val="28"/>
          <w:lang w:eastAsia="zh-CN"/>
        </w:rPr>
        <w:t>综合材料</w:t>
      </w:r>
    </w:p>
    <w:p w14:paraId="0C2AA00A">
      <w:pPr>
        <w:pageBreakBefore w:val="0"/>
        <w:kinsoku/>
        <w:wordWrap w:val="0"/>
        <w:overflowPunct/>
        <w:bidi w:val="0"/>
        <w:spacing w:line="420" w:lineRule="exact"/>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（依据综合部分评标办法</w:t>
      </w:r>
      <w:r>
        <w:rPr>
          <w:rFonts w:hint="eastAsia" w:ascii="宋体" w:hAnsi="宋体" w:eastAsia="宋体" w:cs="宋体"/>
          <w:b/>
          <w:bCs/>
          <w:color w:val="auto"/>
          <w:sz w:val="28"/>
          <w:szCs w:val="28"/>
        </w:rPr>
        <w:t>自拟</w:t>
      </w:r>
      <w:r>
        <w:rPr>
          <w:rFonts w:hint="eastAsia" w:ascii="宋体" w:hAnsi="宋体" w:eastAsia="宋体" w:cs="宋体"/>
          <w:b/>
          <w:bCs/>
          <w:color w:val="auto"/>
          <w:sz w:val="28"/>
          <w:szCs w:val="28"/>
          <w:lang w:val="en-US" w:eastAsia="zh-CN"/>
        </w:rPr>
        <w:t>）</w:t>
      </w:r>
    </w:p>
    <w:p w14:paraId="64337E9C">
      <w:pPr>
        <w:pageBreakBefore w:val="0"/>
        <w:kinsoku/>
        <w:wordWrap w:val="0"/>
        <w:overflowPunct/>
        <w:bidi w:val="0"/>
        <w:spacing w:line="420" w:lineRule="exact"/>
        <w:jc w:val="center"/>
        <w:outlineLvl w:val="1"/>
        <w:rPr>
          <w:rFonts w:hint="eastAsia" w:ascii="宋体" w:hAnsi="宋体" w:cs="宋体"/>
          <w:b/>
          <w:bCs/>
          <w:color w:val="auto"/>
          <w:sz w:val="28"/>
          <w:szCs w:val="28"/>
          <w:lang w:eastAsia="zh-CN"/>
        </w:rPr>
      </w:pPr>
      <w:r>
        <w:rPr>
          <w:rFonts w:hint="eastAsia" w:ascii="宋体" w:hAnsi="宋体" w:eastAsia="宋体" w:cs="宋体"/>
          <w:color w:val="auto"/>
        </w:rPr>
        <w:br w:type="page"/>
      </w:r>
      <w:bookmarkStart w:id="957" w:name="_Toc11835"/>
      <w:bookmarkStart w:id="958" w:name="_Toc20896"/>
      <w:bookmarkStart w:id="959" w:name="_Toc2557"/>
      <w:bookmarkStart w:id="960" w:name="_Toc414445769"/>
      <w:bookmarkStart w:id="961" w:name="_Toc416103819"/>
      <w:bookmarkStart w:id="962" w:name="_Toc410631178"/>
      <w:bookmarkStart w:id="963" w:name="_Toc143577473"/>
      <w:bookmarkStart w:id="964" w:name="_Toc468781351"/>
      <w:r>
        <w:rPr>
          <w:rFonts w:hint="eastAsia" w:ascii="宋体" w:hAnsi="宋体" w:cs="宋体"/>
          <w:b/>
          <w:bCs/>
          <w:color w:val="auto"/>
          <w:sz w:val="28"/>
          <w:szCs w:val="28"/>
          <w:lang w:eastAsia="zh-CN"/>
        </w:rPr>
        <w:t>六、资格证明材料</w:t>
      </w:r>
      <w:bookmarkEnd w:id="957"/>
      <w:bookmarkEnd w:id="958"/>
      <w:bookmarkEnd w:id="959"/>
    </w:p>
    <w:p w14:paraId="13DDCE9F">
      <w:pPr>
        <w:pageBreakBefore w:val="0"/>
        <w:kinsoku/>
        <w:wordWrap w:val="0"/>
        <w:overflowPunct/>
        <w:bidi w:val="0"/>
        <w:spacing w:line="420" w:lineRule="exact"/>
        <w:jc w:val="center"/>
        <w:rPr>
          <w:rFonts w:hint="eastAsia" w:ascii="宋体" w:hAnsi="宋体" w:eastAsia="宋体" w:cs="宋体"/>
          <w:b/>
          <w:bCs/>
          <w:color w:val="auto"/>
          <w:sz w:val="24"/>
          <w:szCs w:val="24"/>
        </w:rPr>
      </w:pPr>
      <w:bookmarkStart w:id="965" w:name="_Toc9513"/>
      <w:bookmarkStart w:id="966" w:name="_Toc456185719"/>
      <w:r>
        <w:rPr>
          <w:rFonts w:hint="eastAsia" w:ascii="宋体" w:hAnsi="宋体" w:eastAsia="宋体" w:cs="宋体"/>
          <w:b/>
          <w:bCs/>
          <w:color w:val="auto"/>
          <w:sz w:val="24"/>
          <w:szCs w:val="24"/>
        </w:rPr>
        <w:t>供应商基本情况表</w:t>
      </w:r>
      <w:bookmarkEnd w:id="965"/>
      <w:bookmarkEnd w:id="966"/>
    </w:p>
    <w:tbl>
      <w:tblPr>
        <w:tblStyle w:val="5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014"/>
        <w:gridCol w:w="1623"/>
        <w:gridCol w:w="1203"/>
        <w:gridCol w:w="1411"/>
        <w:gridCol w:w="293"/>
        <w:gridCol w:w="802"/>
        <w:gridCol w:w="1610"/>
      </w:tblGrid>
      <w:tr w14:paraId="3597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noWrap w:val="0"/>
            <w:vAlign w:val="center"/>
          </w:tcPr>
          <w:p w14:paraId="69F6D87D">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供应商名称</w:t>
            </w:r>
          </w:p>
        </w:tc>
        <w:tc>
          <w:tcPr>
            <w:tcW w:w="7956" w:type="dxa"/>
            <w:gridSpan w:val="7"/>
            <w:noWrap w:val="0"/>
            <w:vAlign w:val="center"/>
          </w:tcPr>
          <w:p w14:paraId="6096A4EC">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r>
      <w:tr w14:paraId="17E9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noWrap w:val="0"/>
            <w:vAlign w:val="center"/>
          </w:tcPr>
          <w:p w14:paraId="75DB9285">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注册地址</w:t>
            </w:r>
          </w:p>
        </w:tc>
        <w:tc>
          <w:tcPr>
            <w:tcW w:w="3840" w:type="dxa"/>
            <w:gridSpan w:val="3"/>
            <w:noWrap w:val="0"/>
            <w:vAlign w:val="center"/>
          </w:tcPr>
          <w:p w14:paraId="59DA90A3">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1411" w:type="dxa"/>
            <w:noWrap w:val="0"/>
            <w:vAlign w:val="center"/>
          </w:tcPr>
          <w:p w14:paraId="3B6066E2">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邮政编码</w:t>
            </w:r>
          </w:p>
        </w:tc>
        <w:tc>
          <w:tcPr>
            <w:tcW w:w="2705" w:type="dxa"/>
            <w:gridSpan w:val="3"/>
            <w:noWrap w:val="0"/>
            <w:vAlign w:val="center"/>
          </w:tcPr>
          <w:p w14:paraId="333B6FB9">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r>
      <w:tr w14:paraId="1D6A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vMerge w:val="restart"/>
            <w:noWrap w:val="0"/>
            <w:vAlign w:val="center"/>
          </w:tcPr>
          <w:p w14:paraId="76549511">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联系方式</w:t>
            </w:r>
          </w:p>
        </w:tc>
        <w:tc>
          <w:tcPr>
            <w:tcW w:w="1014" w:type="dxa"/>
            <w:noWrap w:val="0"/>
            <w:vAlign w:val="center"/>
          </w:tcPr>
          <w:p w14:paraId="25900FB3">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联系人</w:t>
            </w:r>
          </w:p>
        </w:tc>
        <w:tc>
          <w:tcPr>
            <w:tcW w:w="2826" w:type="dxa"/>
            <w:gridSpan w:val="2"/>
            <w:noWrap w:val="0"/>
            <w:vAlign w:val="center"/>
          </w:tcPr>
          <w:p w14:paraId="15CB269A">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1411" w:type="dxa"/>
            <w:noWrap w:val="0"/>
            <w:vAlign w:val="center"/>
          </w:tcPr>
          <w:p w14:paraId="0B35FAC0">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电  话</w:t>
            </w:r>
          </w:p>
        </w:tc>
        <w:tc>
          <w:tcPr>
            <w:tcW w:w="2705" w:type="dxa"/>
            <w:gridSpan w:val="3"/>
            <w:noWrap w:val="0"/>
            <w:vAlign w:val="center"/>
          </w:tcPr>
          <w:p w14:paraId="140E7362">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r>
      <w:tr w14:paraId="4100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vMerge w:val="continue"/>
            <w:noWrap w:val="0"/>
            <w:vAlign w:val="center"/>
          </w:tcPr>
          <w:p w14:paraId="45E3DC55">
            <w:pPr>
              <w:keepNext w:val="0"/>
              <w:keepLines w:val="0"/>
              <w:pageBreakBefore w:val="0"/>
              <w:suppressLineNumbers w:val="0"/>
              <w:kinsoku/>
              <w:wordWrap w:val="0"/>
              <w:overflowPunct/>
              <w:bidi w:val="0"/>
              <w:spacing w:before="0" w:beforeAutospacing="0" w:after="0" w:afterAutospacing="0"/>
              <w:ind w:left="0" w:right="0" w:firstLine="480"/>
              <w:jc w:val="center"/>
              <w:rPr>
                <w:rFonts w:hint="eastAsia" w:ascii="宋体" w:hAnsi="宋体" w:eastAsia="宋体" w:cs="宋体"/>
                <w:color w:val="auto"/>
                <w:szCs w:val="21"/>
              </w:rPr>
            </w:pPr>
          </w:p>
        </w:tc>
        <w:tc>
          <w:tcPr>
            <w:tcW w:w="1014" w:type="dxa"/>
            <w:noWrap w:val="0"/>
            <w:vAlign w:val="center"/>
          </w:tcPr>
          <w:p w14:paraId="40327D5A">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传  真</w:t>
            </w:r>
          </w:p>
        </w:tc>
        <w:tc>
          <w:tcPr>
            <w:tcW w:w="2826" w:type="dxa"/>
            <w:gridSpan w:val="2"/>
            <w:noWrap w:val="0"/>
            <w:vAlign w:val="center"/>
          </w:tcPr>
          <w:p w14:paraId="28D168F2">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1411" w:type="dxa"/>
            <w:noWrap w:val="0"/>
            <w:vAlign w:val="center"/>
          </w:tcPr>
          <w:p w14:paraId="58CACCB4">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网  址</w:t>
            </w:r>
          </w:p>
        </w:tc>
        <w:tc>
          <w:tcPr>
            <w:tcW w:w="2705" w:type="dxa"/>
            <w:gridSpan w:val="3"/>
            <w:noWrap w:val="0"/>
            <w:vAlign w:val="center"/>
          </w:tcPr>
          <w:p w14:paraId="42568841">
            <w:pPr>
              <w:keepNext w:val="0"/>
              <w:keepLines w:val="0"/>
              <w:pageBreakBefore w:val="0"/>
              <w:suppressLineNumbers w:val="0"/>
              <w:kinsoku/>
              <w:wordWrap w:val="0"/>
              <w:overflowPunct/>
              <w:bidi w:val="0"/>
              <w:spacing w:before="0" w:beforeAutospacing="0" w:after="0" w:afterAutospacing="0"/>
              <w:ind w:left="0" w:right="0" w:firstLine="480"/>
              <w:jc w:val="center"/>
              <w:rPr>
                <w:rFonts w:hint="eastAsia" w:ascii="宋体" w:hAnsi="宋体" w:eastAsia="宋体" w:cs="宋体"/>
                <w:color w:val="auto"/>
                <w:szCs w:val="21"/>
              </w:rPr>
            </w:pPr>
          </w:p>
        </w:tc>
      </w:tr>
      <w:tr w14:paraId="60BA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noWrap w:val="0"/>
            <w:vAlign w:val="center"/>
          </w:tcPr>
          <w:p w14:paraId="64C6CCBD">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法定代表人</w:t>
            </w:r>
          </w:p>
        </w:tc>
        <w:tc>
          <w:tcPr>
            <w:tcW w:w="1014" w:type="dxa"/>
            <w:noWrap w:val="0"/>
            <w:vAlign w:val="center"/>
          </w:tcPr>
          <w:p w14:paraId="466FC46A">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姓名</w:t>
            </w:r>
          </w:p>
        </w:tc>
        <w:tc>
          <w:tcPr>
            <w:tcW w:w="1623" w:type="dxa"/>
            <w:noWrap w:val="0"/>
            <w:vAlign w:val="center"/>
          </w:tcPr>
          <w:p w14:paraId="3446B8FA">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1203" w:type="dxa"/>
            <w:noWrap w:val="0"/>
            <w:vAlign w:val="center"/>
          </w:tcPr>
          <w:p w14:paraId="061C3C5B">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职务</w:t>
            </w:r>
          </w:p>
        </w:tc>
        <w:tc>
          <w:tcPr>
            <w:tcW w:w="1704" w:type="dxa"/>
            <w:gridSpan w:val="2"/>
            <w:noWrap w:val="0"/>
            <w:vAlign w:val="center"/>
          </w:tcPr>
          <w:p w14:paraId="727FDFDA">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802" w:type="dxa"/>
            <w:noWrap w:val="0"/>
            <w:vAlign w:val="center"/>
          </w:tcPr>
          <w:p w14:paraId="1C3A8F62">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电话</w:t>
            </w:r>
          </w:p>
        </w:tc>
        <w:tc>
          <w:tcPr>
            <w:tcW w:w="1610" w:type="dxa"/>
            <w:noWrap w:val="0"/>
            <w:vAlign w:val="center"/>
          </w:tcPr>
          <w:p w14:paraId="78E758A6">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r>
      <w:tr w14:paraId="54AE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noWrap w:val="0"/>
            <w:vAlign w:val="center"/>
          </w:tcPr>
          <w:p w14:paraId="0EE15F35">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项目负责人</w:t>
            </w:r>
          </w:p>
        </w:tc>
        <w:tc>
          <w:tcPr>
            <w:tcW w:w="1014" w:type="dxa"/>
            <w:noWrap w:val="0"/>
            <w:vAlign w:val="center"/>
          </w:tcPr>
          <w:p w14:paraId="75ACA378">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姓名</w:t>
            </w:r>
          </w:p>
        </w:tc>
        <w:tc>
          <w:tcPr>
            <w:tcW w:w="1623" w:type="dxa"/>
            <w:noWrap w:val="0"/>
            <w:vAlign w:val="center"/>
          </w:tcPr>
          <w:p w14:paraId="27CE4766">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1203" w:type="dxa"/>
            <w:noWrap w:val="0"/>
            <w:vAlign w:val="center"/>
          </w:tcPr>
          <w:p w14:paraId="79925322">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职务</w:t>
            </w:r>
          </w:p>
        </w:tc>
        <w:tc>
          <w:tcPr>
            <w:tcW w:w="1704" w:type="dxa"/>
            <w:gridSpan w:val="2"/>
            <w:noWrap w:val="0"/>
            <w:vAlign w:val="center"/>
          </w:tcPr>
          <w:p w14:paraId="7234E363">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802" w:type="dxa"/>
            <w:noWrap w:val="0"/>
            <w:vAlign w:val="center"/>
          </w:tcPr>
          <w:p w14:paraId="6360133F">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电话</w:t>
            </w:r>
          </w:p>
        </w:tc>
        <w:tc>
          <w:tcPr>
            <w:tcW w:w="1610" w:type="dxa"/>
            <w:noWrap w:val="0"/>
            <w:vAlign w:val="center"/>
          </w:tcPr>
          <w:p w14:paraId="051FBE1E">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r>
      <w:tr w14:paraId="36F6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noWrap w:val="0"/>
            <w:vAlign w:val="center"/>
          </w:tcPr>
          <w:p w14:paraId="0F5753F1">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成立时间</w:t>
            </w:r>
          </w:p>
        </w:tc>
        <w:tc>
          <w:tcPr>
            <w:tcW w:w="2637" w:type="dxa"/>
            <w:gridSpan w:val="2"/>
            <w:noWrap w:val="0"/>
            <w:vAlign w:val="center"/>
          </w:tcPr>
          <w:p w14:paraId="0AE0928C">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p>
        </w:tc>
        <w:tc>
          <w:tcPr>
            <w:tcW w:w="5319" w:type="dxa"/>
            <w:gridSpan w:val="5"/>
            <w:noWrap w:val="0"/>
            <w:vAlign w:val="center"/>
          </w:tcPr>
          <w:p w14:paraId="5C859E36">
            <w:pPr>
              <w:keepNext w:val="0"/>
              <w:keepLines w:val="0"/>
              <w:pageBreakBefore w:val="0"/>
              <w:suppressLineNumbers w:val="0"/>
              <w:kinsoku/>
              <w:wordWrap w:val="0"/>
              <w:overflowPunct/>
              <w:bidi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员工总人数：</w:t>
            </w:r>
          </w:p>
        </w:tc>
      </w:tr>
      <w:tr w14:paraId="1B3D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1682" w:type="dxa"/>
            <w:noWrap w:val="0"/>
            <w:vAlign w:val="center"/>
          </w:tcPr>
          <w:p w14:paraId="51063703">
            <w:pPr>
              <w:keepNext w:val="0"/>
              <w:keepLines w:val="0"/>
              <w:pageBreakBefore w:val="0"/>
              <w:suppressLineNumbers w:val="0"/>
              <w:kinsoku/>
              <w:wordWrap w:val="0"/>
              <w:overflowPunct/>
              <w:bidi w:val="0"/>
              <w:spacing w:before="0" w:beforeAutospacing="0" w:after="0" w:afterAutospacing="0" w:line="42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经营范围</w:t>
            </w:r>
          </w:p>
        </w:tc>
        <w:tc>
          <w:tcPr>
            <w:tcW w:w="7956" w:type="dxa"/>
            <w:gridSpan w:val="7"/>
            <w:noWrap w:val="0"/>
            <w:vAlign w:val="center"/>
          </w:tcPr>
          <w:p w14:paraId="79873BB6">
            <w:pPr>
              <w:keepNext w:val="0"/>
              <w:keepLines w:val="0"/>
              <w:pageBreakBefore w:val="0"/>
              <w:suppressLineNumbers w:val="0"/>
              <w:kinsoku/>
              <w:wordWrap w:val="0"/>
              <w:overflowPunct/>
              <w:bidi w:val="0"/>
              <w:spacing w:before="0" w:beforeAutospacing="0" w:after="0" w:afterAutospacing="0" w:line="420" w:lineRule="exact"/>
              <w:ind w:left="0" w:right="0"/>
              <w:rPr>
                <w:rFonts w:hint="eastAsia" w:ascii="宋体" w:hAnsi="宋体" w:eastAsia="宋体" w:cs="宋体"/>
                <w:color w:val="auto"/>
                <w:szCs w:val="21"/>
              </w:rPr>
            </w:pPr>
          </w:p>
        </w:tc>
      </w:tr>
      <w:tr w14:paraId="3456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2" w:type="dxa"/>
            <w:noWrap w:val="0"/>
            <w:vAlign w:val="center"/>
          </w:tcPr>
          <w:p w14:paraId="4F38CDDC">
            <w:pPr>
              <w:keepNext w:val="0"/>
              <w:keepLines w:val="0"/>
              <w:pageBreakBefore w:val="0"/>
              <w:suppressLineNumbers w:val="0"/>
              <w:kinsoku/>
              <w:wordWrap w:val="0"/>
              <w:overflowPunct/>
              <w:bidi w:val="0"/>
              <w:spacing w:before="0" w:beforeAutospacing="0" w:after="0" w:afterAutospacing="0" w:line="42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备注</w:t>
            </w:r>
          </w:p>
        </w:tc>
        <w:tc>
          <w:tcPr>
            <w:tcW w:w="7956" w:type="dxa"/>
            <w:gridSpan w:val="7"/>
            <w:noWrap w:val="0"/>
            <w:vAlign w:val="center"/>
          </w:tcPr>
          <w:p w14:paraId="28F18FA9">
            <w:pPr>
              <w:keepNext w:val="0"/>
              <w:keepLines w:val="0"/>
              <w:pageBreakBefore w:val="0"/>
              <w:suppressLineNumbers w:val="0"/>
              <w:kinsoku/>
              <w:wordWrap w:val="0"/>
              <w:overflowPunct/>
              <w:bidi w:val="0"/>
              <w:spacing w:before="0" w:beforeAutospacing="0" w:after="0" w:afterAutospacing="0" w:line="420" w:lineRule="exact"/>
              <w:ind w:left="0" w:right="0"/>
              <w:jc w:val="center"/>
              <w:rPr>
                <w:rFonts w:hint="eastAsia" w:ascii="宋体" w:hAnsi="宋体" w:eastAsia="宋体" w:cs="宋体"/>
                <w:color w:val="auto"/>
                <w:szCs w:val="21"/>
              </w:rPr>
            </w:pPr>
          </w:p>
        </w:tc>
      </w:tr>
    </w:tbl>
    <w:p w14:paraId="4A2DF974">
      <w:pPr>
        <w:pageBreakBefore w:val="0"/>
        <w:kinsoku/>
        <w:wordWrap w:val="0"/>
        <w:overflowPunct/>
        <w:bidi w:val="0"/>
        <w:spacing w:line="420" w:lineRule="exact"/>
        <w:rPr>
          <w:rFonts w:hint="eastAsia" w:ascii="宋体" w:hAnsi="宋体" w:eastAsia="宋体" w:cs="宋体"/>
          <w:color w:val="auto"/>
          <w:szCs w:val="21"/>
        </w:rPr>
      </w:pPr>
    </w:p>
    <w:p w14:paraId="01545B0C">
      <w:pPr>
        <w:pageBreakBefore w:val="0"/>
        <w:kinsoku/>
        <w:wordWrap w:val="0"/>
        <w:overflowPunct/>
        <w:bidi w:val="0"/>
        <w:spacing w:line="420" w:lineRule="exact"/>
        <w:rPr>
          <w:rFonts w:hint="default" w:ascii="宋体" w:hAnsi="宋体" w:eastAsia="宋体" w:cs="宋体"/>
          <w:color w:val="auto"/>
          <w:szCs w:val="21"/>
          <w:lang w:val="en-US" w:eastAsia="zh-CN"/>
        </w:rPr>
      </w:pPr>
      <w:r>
        <w:rPr>
          <w:rFonts w:hint="eastAsia" w:ascii="宋体" w:hAnsi="宋体" w:eastAsia="宋体" w:cs="宋体"/>
          <w:color w:val="auto"/>
          <w:szCs w:val="21"/>
        </w:rPr>
        <w:t>注：</w:t>
      </w:r>
      <w:r>
        <w:rPr>
          <w:rFonts w:hint="eastAsia" w:ascii="宋体" w:hAnsi="宋体" w:cs="宋体"/>
          <w:color w:val="auto"/>
          <w:szCs w:val="21"/>
          <w:highlight w:val="none"/>
        </w:rPr>
        <w:t>1.根据供应商须知前附表第1.4.1项的要求在本表后附供应商证明材料或“固始县政府采购供应商信用承诺函”。</w:t>
      </w:r>
    </w:p>
    <w:p w14:paraId="73BCD059">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2.本项目的特定资格要求（如有）：需提供相应的证明材料。</w:t>
      </w:r>
    </w:p>
    <w:bookmarkEnd w:id="960"/>
    <w:bookmarkEnd w:id="961"/>
    <w:bookmarkEnd w:id="962"/>
    <w:p w14:paraId="662F7AC3">
      <w:pPr>
        <w:rPr>
          <w:rFonts w:hint="eastAsia" w:ascii="宋体" w:hAnsi="宋体" w:eastAsia="宋体" w:cs="宋体"/>
          <w:color w:val="auto"/>
          <w:szCs w:val="21"/>
        </w:rPr>
      </w:pPr>
      <w:bookmarkStart w:id="967" w:name="_Toc18442"/>
      <w:bookmarkStart w:id="968" w:name="_Toc15604"/>
      <w:bookmarkStart w:id="969" w:name="_Toc24549"/>
      <w:r>
        <w:rPr>
          <w:rFonts w:hint="eastAsia" w:ascii="宋体" w:hAnsi="宋体" w:eastAsia="宋体" w:cs="宋体"/>
          <w:color w:val="auto"/>
          <w:szCs w:val="21"/>
        </w:rPr>
        <w:br w:type="page"/>
      </w:r>
    </w:p>
    <w:p w14:paraId="405E36D9">
      <w:pPr>
        <w:spacing w:line="420" w:lineRule="exact"/>
        <w:jc w:val="center"/>
        <w:rPr>
          <w:rFonts w:hint="eastAsia" w:ascii="宋体" w:hAnsi="宋体" w:eastAsia="宋体" w:cs="宋体"/>
          <w:b/>
          <w:i w:val="0"/>
          <w:iCs w:val="0"/>
          <w:color w:val="auto"/>
          <w:sz w:val="28"/>
          <w:szCs w:val="28"/>
        </w:rPr>
      </w:pPr>
      <w:r>
        <w:rPr>
          <w:rFonts w:hint="eastAsia" w:ascii="宋体" w:hAnsi="宋体" w:eastAsia="宋体" w:cs="宋体"/>
          <w:b/>
          <w:i w:val="0"/>
          <w:iCs w:val="0"/>
          <w:color w:val="auto"/>
          <w:sz w:val="28"/>
          <w:szCs w:val="28"/>
          <w:lang w:eastAsia="zh-CN"/>
        </w:rPr>
        <w:t>固始县</w:t>
      </w:r>
      <w:r>
        <w:rPr>
          <w:rFonts w:hint="eastAsia" w:ascii="宋体" w:hAnsi="宋体" w:eastAsia="宋体" w:cs="宋体"/>
          <w:b/>
          <w:i w:val="0"/>
          <w:iCs w:val="0"/>
          <w:color w:val="auto"/>
          <w:sz w:val="28"/>
          <w:szCs w:val="28"/>
        </w:rPr>
        <w:t>政府采购供应商信用承诺函</w:t>
      </w:r>
    </w:p>
    <w:p w14:paraId="0B48CEF7">
      <w:pPr>
        <w:pageBreakBefore w:val="0"/>
        <w:widowControl/>
        <w:kinsoku/>
        <w:wordWrap w:val="0"/>
        <w:overflowPunct/>
        <w:bidi w:val="0"/>
        <w:spacing w:line="400" w:lineRule="exact"/>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致</w:t>
      </w:r>
      <w:r>
        <w:rPr>
          <w:rFonts w:hint="eastAsia" w:ascii="宋体" w:hAnsi="宋体" w:eastAsia="宋体" w:cs="宋体"/>
          <w:snapToGrid w:val="0"/>
          <w:color w:val="auto"/>
          <w:kern w:val="0"/>
          <w:szCs w:val="21"/>
          <w:highlight w:val="none"/>
          <w:u w:val="single"/>
        </w:rPr>
        <w:t xml:space="preserve">（采购人或采购代理机构）：         </w:t>
      </w:r>
      <w:r>
        <w:rPr>
          <w:rFonts w:hint="eastAsia" w:ascii="宋体" w:hAnsi="宋体" w:eastAsia="宋体" w:cs="宋体"/>
          <w:snapToGrid w:val="0"/>
          <w:color w:val="auto"/>
          <w:kern w:val="0"/>
          <w:szCs w:val="21"/>
          <w:highlight w:val="none"/>
        </w:rPr>
        <w:t xml:space="preserve">      </w:t>
      </w:r>
    </w:p>
    <w:p w14:paraId="2226FA72">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lang w:val="en-US" w:eastAsia="zh-CN"/>
        </w:rPr>
      </w:pPr>
      <w:r>
        <w:rPr>
          <w:rFonts w:hint="eastAsia" w:ascii="宋体" w:hAnsi="宋体" w:eastAsia="宋体" w:cs="宋体"/>
          <w:snapToGrid w:val="0"/>
          <w:color w:val="auto"/>
          <w:kern w:val="0"/>
          <w:szCs w:val="21"/>
          <w:highlight w:val="none"/>
        </w:rPr>
        <w:t>单位名称（自然人姓名）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p>
    <w:p w14:paraId="7A3CA3B3">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lang w:val="en-US" w:eastAsia="zh-CN"/>
        </w:rPr>
      </w:pPr>
      <w:r>
        <w:rPr>
          <w:rFonts w:hint="eastAsia" w:ascii="宋体" w:hAnsi="宋体" w:eastAsia="宋体" w:cs="宋体"/>
          <w:snapToGrid w:val="0"/>
          <w:color w:val="auto"/>
          <w:kern w:val="0"/>
          <w:szCs w:val="21"/>
          <w:highlight w:val="none"/>
        </w:rPr>
        <w:t>统一社会信用代码（身份证号码）</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p>
    <w:p w14:paraId="3E43719F">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lang w:val="en-US" w:eastAsia="zh-CN"/>
        </w:rPr>
      </w:pPr>
      <w:r>
        <w:rPr>
          <w:rFonts w:hint="eastAsia" w:ascii="宋体" w:hAnsi="宋体" w:eastAsia="宋体" w:cs="宋体"/>
          <w:snapToGrid w:val="0"/>
          <w:color w:val="auto"/>
          <w:kern w:val="0"/>
          <w:szCs w:val="21"/>
          <w:highlight w:val="none"/>
        </w:rPr>
        <w:t>法定代表人（负责人）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p>
    <w:p w14:paraId="158160AC">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联系地址和电话</w:t>
      </w:r>
      <w:r>
        <w:rPr>
          <w:rFonts w:hint="eastAsia" w:ascii="宋体" w:hAnsi="宋体" w:eastAsia="宋体" w:cs="宋体"/>
          <w:snapToGrid w:val="0"/>
          <w:color w:val="auto"/>
          <w:kern w:val="0"/>
          <w:szCs w:val="21"/>
          <w:highlight w:val="none"/>
          <w:u w:val="single"/>
        </w:rPr>
        <w:t xml:space="preserve">：              </w:t>
      </w:r>
    </w:p>
    <w:p w14:paraId="74251B30">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为维护公平、公正、公开的政府采购市场秩序，树立诚实守信的政府采购供应商形象，我单位（本人）自愿作出以下承诺：</w:t>
      </w:r>
    </w:p>
    <w:p w14:paraId="1615DCC1">
      <w:pPr>
        <w:pageBreakBefore w:val="0"/>
        <w:widowControl/>
        <w:numPr>
          <w:ilvl w:val="0"/>
          <w:numId w:val="4"/>
        </w:numPr>
        <w:kinsoku/>
        <w:wordWrap w:val="0"/>
        <w:overflowPunct/>
        <w:bidi w:val="0"/>
        <w:spacing w:line="400" w:lineRule="exact"/>
        <w:ind w:firstLine="42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665385D3">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具有独立承担民事责任的能力；</w:t>
      </w:r>
    </w:p>
    <w:p w14:paraId="448BDA02">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具有良好的商业信誉和健全的财务会计制度； </w:t>
      </w:r>
    </w:p>
    <w:p w14:paraId="2E717781">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具有履行合同所必需的设备和专业技术能力；</w:t>
      </w:r>
    </w:p>
    <w:p w14:paraId="32EFF29B">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有依法缴纳税收和社会保障资金的良好记录； </w:t>
      </w:r>
    </w:p>
    <w:p w14:paraId="1F13D080">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参加政府采购活动前三年内，在经营活动中没有重大违法记录； </w:t>
      </w:r>
    </w:p>
    <w:p w14:paraId="1DD84B85">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未被列入经营异常名录或者严重违法失信名单、失信被执行人、重大税收违法案件当事人名单、政府采购严重违法失信行为记录名单；</w:t>
      </w:r>
    </w:p>
    <w:p w14:paraId="150DE15A">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未被相关监管部门作出行政处罚且尚在处罚有效期内； </w:t>
      </w:r>
    </w:p>
    <w:p w14:paraId="40F78116">
      <w:pPr>
        <w:pageBreakBefore w:val="0"/>
        <w:widowControl/>
        <w:numPr>
          <w:ilvl w:val="0"/>
          <w:numId w:val="5"/>
        </w:numPr>
        <w:kinsoku/>
        <w:wordWrap w:val="0"/>
        <w:overflowPunct/>
        <w:bidi w:val="0"/>
        <w:spacing w:line="400" w:lineRule="exact"/>
        <w:ind w:left="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未曾做出虚假采购承诺； </w:t>
      </w:r>
    </w:p>
    <w:p w14:paraId="096BD3BB">
      <w:pPr>
        <w:pageBreakBefore w:val="0"/>
        <w:widowControl/>
        <w:kinsoku/>
        <w:wordWrap w:val="0"/>
        <w:overflowPunct/>
        <w:bidi w:val="0"/>
        <w:spacing w:line="400" w:lineRule="exact"/>
        <w:ind w:firstLine="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（九）符合法律、行政法规规定的其他条件。</w:t>
      </w:r>
    </w:p>
    <w:p w14:paraId="79C6D96E">
      <w:pPr>
        <w:pageBreakBefore w:val="0"/>
        <w:widowControl/>
        <w:numPr>
          <w:ilvl w:val="0"/>
          <w:numId w:val="4"/>
        </w:numPr>
        <w:kinsoku/>
        <w:wordWrap w:val="0"/>
        <w:overflowPunct/>
        <w:bidi w:val="0"/>
        <w:spacing w:line="400" w:lineRule="exact"/>
        <w:ind w:firstLine="42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62F12D51">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供应商（单位电子签章）：</w:t>
      </w:r>
    </w:p>
    <w:p w14:paraId="0B7CAAB3">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法定代表人、负责人、本人或授权代表（电子签名或盖章）：</w:t>
      </w:r>
    </w:p>
    <w:p w14:paraId="77006FF2">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日期：  年  月  日</w:t>
      </w:r>
    </w:p>
    <w:p w14:paraId="01512236">
      <w:pPr>
        <w:keepNext w:val="0"/>
        <w:keepLines w:val="0"/>
        <w:pageBreakBefore w:val="0"/>
        <w:widowControl/>
        <w:kinsoku/>
        <w:wordWrap w:val="0"/>
        <w:overflowPunct/>
        <w:topLinePunct w:val="0"/>
        <w:autoSpaceDE/>
        <w:autoSpaceDN/>
        <w:bidi w:val="0"/>
        <w:adjustRightInd/>
        <w:snapToGrid/>
        <w:spacing w:line="288" w:lineRule="auto"/>
        <w:ind w:firstLine="210" w:firstLineChars="100"/>
        <w:jc w:val="left"/>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注：1、供应商须在响应文件中按此模板提供承诺函，未提供视为未实质性响应招标文件要求，按无效投标处理。</w:t>
      </w:r>
    </w:p>
    <w:p w14:paraId="21F5D31D">
      <w:pPr>
        <w:keepNext w:val="0"/>
        <w:keepLines w:val="0"/>
        <w:pageBreakBefore w:val="0"/>
        <w:widowControl/>
        <w:kinsoku/>
        <w:wordWrap w:val="0"/>
        <w:overflowPunct/>
        <w:topLinePunct w:val="0"/>
        <w:autoSpaceDE/>
        <w:autoSpaceDN/>
        <w:bidi w:val="0"/>
        <w:adjustRightInd/>
        <w:snapToGrid/>
        <w:spacing w:line="288" w:lineRule="auto"/>
        <w:ind w:firstLine="210" w:firstLineChars="100"/>
        <w:jc w:val="left"/>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2、供应商的法定代表人或者授权代表的签字或盖章应真实、有效，如由授权代表签字或盖章的，应提供“法定代表人授权书”。</w:t>
      </w:r>
    </w:p>
    <w:p w14:paraId="3A32CC29">
      <w:pPr>
        <w:pageBreakBefore w:val="0"/>
        <w:kinsoku/>
        <w:wordWrap w:val="0"/>
        <w:overflowPunct/>
        <w:bidi w:val="0"/>
        <w:spacing w:line="420" w:lineRule="exact"/>
        <w:jc w:val="center"/>
        <w:outlineLvl w:val="1"/>
        <w:rPr>
          <w:rFonts w:hint="eastAsia" w:ascii="宋体" w:hAnsi="宋体" w:eastAsia="宋体" w:cs="宋体"/>
          <w:color w:val="auto"/>
          <w:szCs w:val="21"/>
        </w:rPr>
      </w:pPr>
      <w:r>
        <w:rPr>
          <w:rFonts w:hint="eastAsia" w:ascii="宋体" w:hAnsi="宋体" w:eastAsia="宋体" w:cs="宋体"/>
          <w:color w:val="auto"/>
          <w:szCs w:val="21"/>
        </w:rPr>
        <w:br w:type="page"/>
      </w:r>
      <w:bookmarkEnd w:id="963"/>
      <w:bookmarkEnd w:id="964"/>
      <w:bookmarkEnd w:id="967"/>
      <w:bookmarkEnd w:id="968"/>
      <w:bookmarkEnd w:id="969"/>
      <w:bookmarkStart w:id="970" w:name="_Toc21211"/>
      <w:bookmarkStart w:id="971" w:name="_Toc20467"/>
      <w:r>
        <w:rPr>
          <w:rFonts w:hint="eastAsia" w:ascii="宋体" w:hAnsi="宋体" w:eastAsia="宋体" w:cs="宋体"/>
          <w:b/>
          <w:bCs/>
          <w:color w:val="auto"/>
          <w:sz w:val="28"/>
          <w:szCs w:val="28"/>
          <w:lang w:eastAsia="zh-CN"/>
        </w:rPr>
        <w:t>七、</w:t>
      </w:r>
      <w:bookmarkEnd w:id="970"/>
      <w:bookmarkEnd w:id="971"/>
      <w:r>
        <w:rPr>
          <w:rFonts w:hint="eastAsia" w:ascii="宋体" w:hAnsi="宋体" w:eastAsia="宋体" w:cs="宋体"/>
          <w:b/>
          <w:bCs/>
          <w:color w:val="auto"/>
          <w:sz w:val="28"/>
          <w:szCs w:val="28"/>
          <w:lang w:eastAsia="zh-CN"/>
        </w:rPr>
        <w:t>投标人认为应该提交的资料</w:t>
      </w:r>
    </w:p>
    <w:p w14:paraId="6AFE37BE">
      <w:pPr>
        <w:pageBreakBefore w:val="0"/>
        <w:kinsoku/>
        <w:wordWrap w:val="0"/>
        <w:overflowPunct/>
        <w:bidi w:val="0"/>
        <w:spacing w:line="420" w:lineRule="exact"/>
        <w:rPr>
          <w:rFonts w:hint="eastAsia" w:ascii="宋体" w:hAnsi="宋体" w:eastAsia="宋体" w:cs="宋体"/>
          <w:b/>
          <w:bCs/>
          <w:color w:val="auto"/>
          <w:szCs w:val="21"/>
        </w:rPr>
      </w:pPr>
    </w:p>
    <w:p w14:paraId="7E59E02C">
      <w:pPr>
        <w:pageBreakBefore w:val="0"/>
        <w:numPr>
          <w:ilvl w:val="0"/>
          <w:numId w:val="0"/>
        </w:numPr>
        <w:kinsoku/>
        <w:wordWrap w:val="0"/>
        <w:overflowPunct/>
        <w:bidi w:val="0"/>
        <w:spacing w:line="420" w:lineRule="exact"/>
        <w:jc w:val="center"/>
        <w:rPr>
          <w:rFonts w:hint="eastAsia"/>
          <w:color w:val="auto"/>
          <w:lang w:eastAsia="zh-CN"/>
        </w:rPr>
      </w:pPr>
      <w:bookmarkStart w:id="972" w:name="_Toc19083"/>
      <w:bookmarkStart w:id="973" w:name="_Toc19333"/>
      <w:r>
        <w:rPr>
          <w:rFonts w:hint="eastAsia" w:ascii="宋体" w:hAnsi="宋体" w:eastAsia="宋体" w:cs="宋体"/>
          <w:b/>
          <w:bCs/>
          <w:color w:val="auto"/>
          <w:sz w:val="28"/>
          <w:szCs w:val="28"/>
        </w:rPr>
        <w:br w:type="page"/>
      </w:r>
      <w:bookmarkEnd w:id="972"/>
      <w:bookmarkEnd w:id="973"/>
      <w:bookmarkStart w:id="974" w:name="_Toc26741"/>
      <w:bookmarkStart w:id="975" w:name="_Toc7700"/>
      <w:r>
        <w:rPr>
          <w:rFonts w:hint="eastAsia" w:ascii="宋体" w:hAnsi="宋体" w:cs="宋体"/>
          <w:b/>
          <w:bCs/>
          <w:color w:val="auto"/>
          <w:sz w:val="28"/>
          <w:szCs w:val="28"/>
          <w:lang w:val="en-US" w:eastAsia="zh-CN"/>
        </w:rPr>
        <w:t>八、</w:t>
      </w:r>
      <w:r>
        <w:rPr>
          <w:rFonts w:hint="eastAsia" w:ascii="宋体" w:hAnsi="宋体" w:eastAsia="宋体" w:cs="宋体"/>
          <w:b/>
          <w:bCs/>
          <w:color w:val="auto"/>
          <w:sz w:val="28"/>
          <w:szCs w:val="28"/>
        </w:rPr>
        <w:t>中小企业声明函</w:t>
      </w:r>
      <w:bookmarkEnd w:id="974"/>
      <w:bookmarkEnd w:id="975"/>
      <w:r>
        <w:rPr>
          <w:rFonts w:hint="eastAsia" w:ascii="宋体" w:hAnsi="宋体" w:cs="宋体"/>
          <w:b/>
          <w:bCs/>
          <w:color w:val="auto"/>
          <w:sz w:val="28"/>
          <w:szCs w:val="28"/>
          <w:lang w:eastAsia="zh-CN"/>
        </w:rPr>
        <w:t>（</w:t>
      </w:r>
      <w:r>
        <w:rPr>
          <w:rFonts w:hint="eastAsia" w:ascii="宋体" w:hAnsi="宋体" w:cs="宋体"/>
          <w:b/>
          <w:bCs/>
          <w:color w:val="auto"/>
          <w:sz w:val="28"/>
          <w:szCs w:val="28"/>
          <w:lang w:val="en-US" w:eastAsia="zh-CN"/>
        </w:rPr>
        <w:t>服务）</w:t>
      </w:r>
    </w:p>
    <w:p w14:paraId="2B7D0CE5">
      <w:pPr>
        <w:pStyle w:val="40"/>
        <w:pageBreakBefore w:val="0"/>
        <w:kinsoku/>
        <w:wordWrap w:val="0"/>
        <w:overflowPunct/>
        <w:bidi w:val="0"/>
        <w:ind w:firstLine="420"/>
        <w:rPr>
          <w:rFonts w:hint="eastAsia" w:ascii="宋体" w:hAnsi="宋体" w:eastAsia="宋体" w:cs="宋体"/>
          <w:color w:val="auto"/>
        </w:rPr>
      </w:pPr>
    </w:p>
    <w:p w14:paraId="0A8A1B40">
      <w:pPr>
        <w:pageBreakBefore w:val="0"/>
        <w:widowControl/>
        <w:kinsoku/>
        <w:wordWrap w:val="0"/>
        <w:overflowPunct/>
        <w:bidi w:val="0"/>
        <w:spacing w:line="420" w:lineRule="exact"/>
        <w:ind w:firstLine="480"/>
        <w:jc w:val="left"/>
        <w:rPr>
          <w:rFonts w:hint="eastAsia" w:ascii="宋体" w:hAnsi="宋体" w:eastAsia="宋体" w:cs="宋体"/>
          <w:i w:val="0"/>
          <w:iCs w:val="0"/>
          <w:color w:val="auto"/>
          <w:sz w:val="24"/>
        </w:rPr>
      </w:pPr>
      <w:r>
        <w:rPr>
          <w:rFonts w:hint="eastAsia" w:ascii="宋体" w:hAnsi="宋体" w:eastAsia="宋体" w:cs="宋体"/>
          <w:i w:val="0"/>
          <w:iCs w:val="0"/>
          <w:color w:val="auto"/>
          <w:kern w:val="0"/>
          <w:sz w:val="24"/>
          <w:lang w:bidi="ar"/>
        </w:rPr>
        <w:t>本公司（联合体）郑重声明，根据《政府采购促进中小企业发展管理办法》（财库﹝2020﹞46 号）的规定，本公司（联合体）参加</w:t>
      </w:r>
      <w:r>
        <w:rPr>
          <w:rFonts w:hint="eastAsia" w:ascii="宋体" w:hAnsi="宋体" w:eastAsia="宋体" w:cs="宋体"/>
          <w:i w:val="0"/>
          <w:iCs w:val="0"/>
          <w:color w:val="auto"/>
          <w:kern w:val="0"/>
          <w:sz w:val="24"/>
          <w:u w:val="single"/>
          <w:lang w:bidi="ar"/>
        </w:rPr>
        <w:t>（单位名称）</w:t>
      </w:r>
      <w:r>
        <w:rPr>
          <w:rFonts w:hint="eastAsia" w:ascii="宋体" w:hAnsi="宋体" w:eastAsia="宋体" w:cs="宋体"/>
          <w:i w:val="0"/>
          <w:iCs w:val="0"/>
          <w:color w:val="auto"/>
          <w:kern w:val="0"/>
          <w:sz w:val="24"/>
          <w:lang w:bidi="ar"/>
        </w:rPr>
        <w:t>的</w:t>
      </w:r>
      <w:r>
        <w:rPr>
          <w:rFonts w:hint="eastAsia" w:ascii="宋体" w:hAnsi="宋体" w:eastAsia="宋体" w:cs="宋体"/>
          <w:i w:val="0"/>
          <w:iCs w:val="0"/>
          <w:color w:val="auto"/>
          <w:kern w:val="0"/>
          <w:sz w:val="24"/>
          <w:u w:val="single"/>
          <w:lang w:bidi="ar"/>
        </w:rPr>
        <w:t>国有固始林场2025年森林可持续经营试点任务资金项目（</w:t>
      </w:r>
      <w:r>
        <w:rPr>
          <w:rFonts w:hint="eastAsia" w:ascii="宋体" w:hAnsi="宋体" w:cs="宋体"/>
          <w:i w:val="0"/>
          <w:iCs w:val="0"/>
          <w:color w:val="auto"/>
          <w:kern w:val="0"/>
          <w:sz w:val="24"/>
          <w:u w:val="single"/>
          <w:lang w:eastAsia="zh-CN" w:bidi="ar"/>
        </w:rPr>
        <w:t>包名称</w:t>
      </w:r>
      <w:r>
        <w:rPr>
          <w:rFonts w:hint="eastAsia" w:ascii="宋体" w:hAnsi="宋体" w:eastAsia="宋体" w:cs="宋体"/>
          <w:i w:val="0"/>
          <w:iCs w:val="0"/>
          <w:color w:val="auto"/>
          <w:kern w:val="0"/>
          <w:sz w:val="24"/>
          <w:u w:val="single"/>
          <w:lang w:bidi="ar"/>
        </w:rPr>
        <w:t>）</w:t>
      </w:r>
      <w:r>
        <w:rPr>
          <w:rFonts w:hint="eastAsia" w:ascii="宋体" w:hAnsi="宋体" w:eastAsia="宋体" w:cs="宋体"/>
          <w:i w:val="0"/>
          <w:iCs w:val="0"/>
          <w:color w:val="auto"/>
          <w:kern w:val="0"/>
          <w:sz w:val="24"/>
          <w:lang w:bidi="ar"/>
        </w:rPr>
        <w:t>采购活动，工程的</w:t>
      </w:r>
      <w:r>
        <w:rPr>
          <w:rFonts w:hint="eastAsia" w:ascii="宋体" w:hAnsi="宋体" w:cs="宋体"/>
          <w:i w:val="0"/>
          <w:iCs w:val="0"/>
          <w:color w:val="auto"/>
          <w:kern w:val="0"/>
          <w:sz w:val="24"/>
          <w:lang w:val="en-US" w:eastAsia="zh-CN" w:bidi="ar"/>
        </w:rPr>
        <w:t>实施</w:t>
      </w:r>
      <w:r>
        <w:rPr>
          <w:rFonts w:hint="eastAsia" w:ascii="宋体" w:hAnsi="宋体" w:eastAsia="宋体" w:cs="宋体"/>
          <w:i w:val="0"/>
          <w:iCs w:val="0"/>
          <w:color w:val="auto"/>
          <w:kern w:val="0"/>
          <w:sz w:val="24"/>
          <w:lang w:bidi="ar"/>
        </w:rPr>
        <w:t>单位全部为符合政策要求的中小企业（或者：服务全部由符合政策要求的中小企业承接）。相关企业（含联合体中的中小企业、签订分包意向协议的中小企业）的具体情况如下：</w:t>
      </w:r>
    </w:p>
    <w:p w14:paraId="44328C96">
      <w:pPr>
        <w:pageBreakBefore w:val="0"/>
        <w:widowControl/>
        <w:kinsoku/>
        <w:wordWrap w:val="0"/>
        <w:overflowPunct/>
        <w:bidi w:val="0"/>
        <w:spacing w:line="420" w:lineRule="exact"/>
        <w:ind w:firstLine="480"/>
        <w:jc w:val="left"/>
        <w:rPr>
          <w:rFonts w:hint="eastAsia" w:ascii="宋体" w:hAnsi="宋体" w:eastAsia="宋体" w:cs="宋体"/>
          <w:i w:val="0"/>
          <w:iCs w:val="0"/>
          <w:color w:val="auto"/>
          <w:sz w:val="24"/>
        </w:rPr>
      </w:pPr>
      <w:r>
        <w:rPr>
          <w:rFonts w:hint="eastAsia" w:ascii="宋体" w:hAnsi="宋体" w:eastAsia="宋体" w:cs="宋体"/>
          <w:i w:val="0"/>
          <w:iCs w:val="0"/>
          <w:color w:val="auto"/>
          <w:kern w:val="0"/>
          <w:sz w:val="24"/>
          <w:lang w:bidi="ar"/>
        </w:rPr>
        <w:t>1.</w:t>
      </w:r>
      <w:r>
        <w:rPr>
          <w:rFonts w:hint="eastAsia" w:ascii="宋体" w:hAnsi="宋体" w:eastAsia="宋体" w:cs="宋体"/>
          <w:i w:val="0"/>
          <w:iCs w:val="0"/>
          <w:color w:val="auto"/>
          <w:kern w:val="0"/>
          <w:sz w:val="24"/>
          <w:u w:val="single"/>
          <w:lang w:bidi="ar"/>
        </w:rPr>
        <w:t>（标的名称）</w:t>
      </w:r>
      <w:r>
        <w:rPr>
          <w:rFonts w:hint="eastAsia" w:ascii="宋体" w:hAnsi="宋体" w:eastAsia="宋体" w:cs="宋体"/>
          <w:i w:val="0"/>
          <w:iCs w:val="0"/>
          <w:color w:val="auto"/>
          <w:kern w:val="0"/>
          <w:sz w:val="24"/>
          <w:lang w:bidi="ar"/>
        </w:rPr>
        <w:t>，属于</w:t>
      </w:r>
      <w:r>
        <w:rPr>
          <w:rFonts w:hint="eastAsia" w:ascii="宋体" w:hAnsi="宋体" w:eastAsia="宋体" w:cs="宋体"/>
          <w:i w:val="0"/>
          <w:iCs w:val="0"/>
          <w:color w:val="auto"/>
          <w:kern w:val="0"/>
          <w:sz w:val="24"/>
          <w:u w:val="single"/>
          <w:lang w:bidi="ar"/>
        </w:rPr>
        <w:t>（采购文件中明确的所属行业）</w:t>
      </w:r>
      <w:r>
        <w:rPr>
          <w:rFonts w:hint="eastAsia" w:ascii="宋体" w:hAnsi="宋体" w:eastAsia="宋体" w:cs="宋体"/>
          <w:i w:val="0"/>
          <w:iCs w:val="0"/>
          <w:color w:val="auto"/>
          <w:kern w:val="0"/>
          <w:sz w:val="24"/>
          <w:lang w:bidi="ar"/>
        </w:rPr>
        <w:t>；承建（承接）企业为</w:t>
      </w:r>
      <w:r>
        <w:rPr>
          <w:rFonts w:hint="eastAsia" w:ascii="宋体" w:hAnsi="宋体" w:eastAsia="宋体" w:cs="宋体"/>
          <w:i w:val="0"/>
          <w:iCs w:val="0"/>
          <w:color w:val="auto"/>
          <w:kern w:val="0"/>
          <w:sz w:val="24"/>
          <w:u w:val="single"/>
          <w:lang w:bidi="ar"/>
        </w:rPr>
        <w:t>（企业名称）</w:t>
      </w:r>
      <w:r>
        <w:rPr>
          <w:rFonts w:hint="eastAsia" w:ascii="宋体" w:hAnsi="宋体" w:eastAsia="宋体" w:cs="宋体"/>
          <w:i w:val="0"/>
          <w:iCs w:val="0"/>
          <w:color w:val="auto"/>
          <w:kern w:val="0"/>
          <w:sz w:val="24"/>
          <w:lang w:bidi="ar"/>
        </w:rPr>
        <w:t>，从业人员</w:t>
      </w:r>
      <w:r>
        <w:rPr>
          <w:rFonts w:hint="eastAsia" w:ascii="宋体" w:hAnsi="宋体" w:eastAsia="宋体" w:cs="宋体"/>
          <w:i w:val="0"/>
          <w:iCs w:val="0"/>
          <w:color w:val="auto"/>
          <w:kern w:val="0"/>
          <w:sz w:val="24"/>
          <w:u w:val="single"/>
          <w:lang w:bidi="ar"/>
        </w:rPr>
        <w:t xml:space="preserve">  </w:t>
      </w:r>
      <w:r>
        <w:rPr>
          <w:rFonts w:hint="eastAsia" w:ascii="宋体" w:hAnsi="宋体" w:eastAsia="宋体" w:cs="宋体"/>
          <w:i w:val="0"/>
          <w:iCs w:val="0"/>
          <w:color w:val="auto"/>
          <w:kern w:val="0"/>
          <w:sz w:val="24"/>
          <w:lang w:bidi="ar"/>
        </w:rPr>
        <w:t>人，营业收入为</w:t>
      </w:r>
      <w:r>
        <w:rPr>
          <w:rFonts w:hint="eastAsia" w:ascii="宋体" w:hAnsi="宋体" w:eastAsia="宋体" w:cs="宋体"/>
          <w:i w:val="0"/>
          <w:iCs w:val="0"/>
          <w:color w:val="auto"/>
          <w:kern w:val="0"/>
          <w:sz w:val="24"/>
          <w:u w:val="single"/>
          <w:lang w:bidi="ar"/>
        </w:rPr>
        <w:t xml:space="preserve">  </w:t>
      </w:r>
      <w:r>
        <w:rPr>
          <w:rFonts w:hint="eastAsia" w:ascii="宋体" w:hAnsi="宋体" w:eastAsia="宋体" w:cs="宋体"/>
          <w:i w:val="0"/>
          <w:iCs w:val="0"/>
          <w:color w:val="auto"/>
          <w:kern w:val="0"/>
          <w:sz w:val="24"/>
          <w:lang w:bidi="ar"/>
        </w:rPr>
        <w:t>万元，资产总额为</w:t>
      </w:r>
      <w:r>
        <w:rPr>
          <w:rFonts w:hint="eastAsia" w:ascii="宋体" w:hAnsi="宋体" w:eastAsia="宋体" w:cs="宋体"/>
          <w:i w:val="0"/>
          <w:iCs w:val="0"/>
          <w:color w:val="auto"/>
          <w:kern w:val="0"/>
          <w:sz w:val="24"/>
          <w:u w:val="single"/>
          <w:lang w:bidi="ar"/>
        </w:rPr>
        <w:t xml:space="preserve">   </w:t>
      </w:r>
      <w:r>
        <w:rPr>
          <w:rFonts w:hint="eastAsia" w:ascii="宋体" w:hAnsi="宋体" w:eastAsia="宋体" w:cs="宋体"/>
          <w:i w:val="0"/>
          <w:iCs w:val="0"/>
          <w:color w:val="auto"/>
          <w:kern w:val="0"/>
          <w:sz w:val="24"/>
          <w:lang w:bidi="ar"/>
        </w:rPr>
        <w:t>万元，属于</w:t>
      </w:r>
      <w:r>
        <w:rPr>
          <w:rFonts w:hint="eastAsia" w:ascii="宋体" w:hAnsi="宋体" w:eastAsia="宋体" w:cs="宋体"/>
          <w:i w:val="0"/>
          <w:iCs w:val="0"/>
          <w:color w:val="auto"/>
          <w:kern w:val="0"/>
          <w:sz w:val="24"/>
          <w:u w:val="single"/>
          <w:lang w:bidi="ar"/>
        </w:rPr>
        <w:t>（中型企业、小型企业、微型企业）</w:t>
      </w:r>
      <w:r>
        <w:rPr>
          <w:rFonts w:hint="eastAsia" w:ascii="宋体" w:hAnsi="宋体" w:eastAsia="宋体" w:cs="宋体"/>
          <w:i w:val="0"/>
          <w:iCs w:val="0"/>
          <w:color w:val="auto"/>
          <w:kern w:val="0"/>
          <w:sz w:val="24"/>
          <w:lang w:bidi="ar"/>
        </w:rPr>
        <w:t>；</w:t>
      </w:r>
    </w:p>
    <w:p w14:paraId="6BD5B019">
      <w:pPr>
        <w:pageBreakBefore w:val="0"/>
        <w:widowControl/>
        <w:kinsoku/>
        <w:wordWrap w:val="0"/>
        <w:overflowPunct/>
        <w:bidi w:val="0"/>
        <w:spacing w:line="420" w:lineRule="exact"/>
        <w:ind w:firstLine="480"/>
        <w:jc w:val="left"/>
        <w:rPr>
          <w:rFonts w:hint="eastAsia" w:ascii="宋体" w:hAnsi="宋体" w:eastAsia="宋体" w:cs="宋体"/>
          <w:i w:val="0"/>
          <w:iCs w:val="0"/>
          <w:color w:val="auto"/>
          <w:sz w:val="24"/>
        </w:rPr>
      </w:pPr>
      <w:r>
        <w:rPr>
          <w:rFonts w:hint="eastAsia" w:ascii="宋体" w:hAnsi="宋体" w:eastAsia="宋体" w:cs="宋体"/>
          <w:i w:val="0"/>
          <w:iCs w:val="0"/>
          <w:color w:val="auto"/>
          <w:kern w:val="0"/>
          <w:sz w:val="24"/>
          <w:lang w:bidi="ar"/>
        </w:rPr>
        <w:t>2.</w:t>
      </w:r>
      <w:r>
        <w:rPr>
          <w:rFonts w:hint="eastAsia" w:ascii="宋体" w:hAnsi="宋体" w:eastAsia="宋体" w:cs="宋体"/>
          <w:i w:val="0"/>
          <w:iCs w:val="0"/>
          <w:color w:val="auto"/>
          <w:kern w:val="0"/>
          <w:sz w:val="24"/>
          <w:u w:val="single"/>
          <w:lang w:bidi="ar"/>
        </w:rPr>
        <w:t>（标的名称）</w:t>
      </w:r>
      <w:r>
        <w:rPr>
          <w:rFonts w:hint="eastAsia" w:ascii="宋体" w:hAnsi="宋体" w:eastAsia="宋体" w:cs="宋体"/>
          <w:i w:val="0"/>
          <w:iCs w:val="0"/>
          <w:color w:val="auto"/>
          <w:kern w:val="0"/>
          <w:sz w:val="24"/>
          <w:lang w:bidi="ar"/>
        </w:rPr>
        <w:t>，属于</w:t>
      </w:r>
      <w:r>
        <w:rPr>
          <w:rFonts w:hint="eastAsia" w:ascii="宋体" w:hAnsi="宋体" w:eastAsia="宋体" w:cs="宋体"/>
          <w:i w:val="0"/>
          <w:iCs w:val="0"/>
          <w:color w:val="auto"/>
          <w:kern w:val="0"/>
          <w:sz w:val="24"/>
          <w:u w:val="single"/>
          <w:lang w:bidi="ar"/>
        </w:rPr>
        <w:t>（采购文件中明确的所属行业）</w:t>
      </w:r>
      <w:r>
        <w:rPr>
          <w:rFonts w:hint="eastAsia" w:ascii="宋体" w:hAnsi="宋体" w:eastAsia="宋体" w:cs="宋体"/>
          <w:i w:val="0"/>
          <w:iCs w:val="0"/>
          <w:color w:val="auto"/>
          <w:kern w:val="0"/>
          <w:sz w:val="24"/>
          <w:lang w:bidi="ar"/>
        </w:rPr>
        <w:t>；承建（承接）企业为（企业名称），从业人员</w:t>
      </w:r>
      <w:r>
        <w:rPr>
          <w:rFonts w:hint="eastAsia" w:ascii="宋体" w:hAnsi="宋体" w:eastAsia="宋体" w:cs="宋体"/>
          <w:i w:val="0"/>
          <w:iCs w:val="0"/>
          <w:color w:val="auto"/>
          <w:kern w:val="0"/>
          <w:sz w:val="24"/>
          <w:u w:val="single"/>
          <w:lang w:bidi="ar"/>
        </w:rPr>
        <w:t xml:space="preserve">   </w:t>
      </w:r>
      <w:r>
        <w:rPr>
          <w:rFonts w:hint="eastAsia" w:ascii="宋体" w:hAnsi="宋体" w:eastAsia="宋体" w:cs="宋体"/>
          <w:i w:val="0"/>
          <w:iCs w:val="0"/>
          <w:color w:val="auto"/>
          <w:kern w:val="0"/>
          <w:sz w:val="24"/>
          <w:lang w:bidi="ar"/>
        </w:rPr>
        <w:t>人，营业收入为</w:t>
      </w:r>
      <w:r>
        <w:rPr>
          <w:rFonts w:hint="eastAsia" w:ascii="宋体" w:hAnsi="宋体" w:eastAsia="宋体" w:cs="宋体"/>
          <w:i w:val="0"/>
          <w:iCs w:val="0"/>
          <w:color w:val="auto"/>
          <w:kern w:val="0"/>
          <w:sz w:val="24"/>
          <w:u w:val="single"/>
          <w:lang w:bidi="ar"/>
        </w:rPr>
        <w:t xml:space="preserve">  </w:t>
      </w:r>
      <w:r>
        <w:rPr>
          <w:rFonts w:hint="eastAsia" w:ascii="宋体" w:hAnsi="宋体" w:eastAsia="宋体" w:cs="宋体"/>
          <w:i w:val="0"/>
          <w:iCs w:val="0"/>
          <w:color w:val="auto"/>
          <w:kern w:val="0"/>
          <w:sz w:val="24"/>
          <w:lang w:bidi="ar"/>
        </w:rPr>
        <w:t>万元，资产总额为万元，属于</w:t>
      </w:r>
      <w:r>
        <w:rPr>
          <w:rFonts w:hint="eastAsia" w:ascii="宋体" w:hAnsi="宋体" w:eastAsia="宋体" w:cs="宋体"/>
          <w:i w:val="0"/>
          <w:iCs w:val="0"/>
          <w:color w:val="auto"/>
          <w:kern w:val="0"/>
          <w:sz w:val="24"/>
          <w:u w:val="single"/>
          <w:lang w:bidi="ar"/>
        </w:rPr>
        <w:t>（中型企业、小型企业、微型企业）</w:t>
      </w:r>
      <w:r>
        <w:rPr>
          <w:rFonts w:hint="eastAsia" w:ascii="宋体" w:hAnsi="宋体" w:eastAsia="宋体" w:cs="宋体"/>
          <w:i w:val="0"/>
          <w:iCs w:val="0"/>
          <w:color w:val="auto"/>
          <w:kern w:val="0"/>
          <w:sz w:val="24"/>
          <w:lang w:bidi="ar"/>
        </w:rPr>
        <w:t>；</w:t>
      </w:r>
    </w:p>
    <w:p w14:paraId="414C67BF">
      <w:pPr>
        <w:pageBreakBefore w:val="0"/>
        <w:widowControl/>
        <w:kinsoku/>
        <w:wordWrap w:val="0"/>
        <w:overflowPunct/>
        <w:bidi w:val="0"/>
        <w:spacing w:line="420" w:lineRule="exact"/>
        <w:ind w:firstLine="480"/>
        <w:jc w:val="left"/>
        <w:rPr>
          <w:rFonts w:hint="eastAsia" w:ascii="宋体" w:hAnsi="宋体" w:eastAsia="宋体" w:cs="宋体"/>
          <w:color w:val="auto"/>
          <w:sz w:val="24"/>
        </w:rPr>
      </w:pPr>
      <w:r>
        <w:rPr>
          <w:rFonts w:hint="eastAsia" w:ascii="宋体" w:hAnsi="宋体" w:eastAsia="宋体" w:cs="宋体"/>
          <w:color w:val="auto"/>
          <w:kern w:val="0"/>
          <w:sz w:val="24"/>
          <w:lang w:bidi="ar"/>
        </w:rPr>
        <w:t>……</w:t>
      </w:r>
    </w:p>
    <w:p w14:paraId="206982AF">
      <w:pPr>
        <w:pageBreakBefore w:val="0"/>
        <w:widowControl/>
        <w:kinsoku/>
        <w:wordWrap w:val="0"/>
        <w:overflowPunct/>
        <w:bidi w:val="0"/>
        <w:spacing w:line="420" w:lineRule="exact"/>
        <w:ind w:firstLine="480"/>
        <w:jc w:val="left"/>
        <w:rPr>
          <w:rFonts w:hint="eastAsia" w:ascii="宋体" w:hAnsi="宋体" w:eastAsia="宋体" w:cs="宋体"/>
          <w:color w:val="auto"/>
          <w:sz w:val="24"/>
        </w:rPr>
      </w:pPr>
      <w:r>
        <w:rPr>
          <w:rFonts w:hint="eastAsia" w:ascii="宋体" w:hAnsi="宋体" w:eastAsia="宋体" w:cs="宋体"/>
          <w:color w:val="auto"/>
          <w:kern w:val="0"/>
          <w:sz w:val="24"/>
          <w:lang w:bidi="ar"/>
        </w:rPr>
        <w:t>以上企业，不属于大企业的分支机构，不存在控股股东为大企业的情形，也不存在与大企业的负责人为同一人的情形。</w:t>
      </w:r>
    </w:p>
    <w:p w14:paraId="66A1C0DC">
      <w:pPr>
        <w:pageBreakBefore w:val="0"/>
        <w:widowControl/>
        <w:kinsoku/>
        <w:wordWrap w:val="0"/>
        <w:overflowPunct/>
        <w:bidi w:val="0"/>
        <w:spacing w:line="420" w:lineRule="exact"/>
        <w:ind w:firstLine="480"/>
        <w:jc w:val="left"/>
        <w:rPr>
          <w:rFonts w:hint="eastAsia" w:ascii="宋体" w:hAnsi="宋体" w:eastAsia="宋体" w:cs="宋体"/>
          <w:color w:val="auto"/>
          <w:sz w:val="24"/>
        </w:rPr>
      </w:pPr>
      <w:r>
        <w:rPr>
          <w:rFonts w:hint="eastAsia" w:ascii="宋体" w:hAnsi="宋体" w:eastAsia="宋体" w:cs="宋体"/>
          <w:color w:val="auto"/>
          <w:kern w:val="0"/>
          <w:sz w:val="24"/>
          <w:lang w:bidi="ar"/>
        </w:rPr>
        <w:t>本企业对上述声明内容的真实性负责。如有虚假，将依法承担相应责任。</w:t>
      </w:r>
    </w:p>
    <w:p w14:paraId="71482CA9">
      <w:pPr>
        <w:pageBreakBefore w:val="0"/>
        <w:widowControl/>
        <w:kinsoku/>
        <w:wordWrap w:val="0"/>
        <w:overflowPunct/>
        <w:bidi w:val="0"/>
        <w:spacing w:line="420" w:lineRule="exact"/>
        <w:ind w:firstLine="480"/>
        <w:jc w:val="right"/>
        <w:rPr>
          <w:rFonts w:hint="eastAsia" w:ascii="宋体" w:hAnsi="宋体" w:eastAsia="宋体" w:cs="宋体"/>
          <w:color w:val="auto"/>
          <w:kern w:val="0"/>
          <w:sz w:val="24"/>
          <w:lang w:bidi="ar"/>
        </w:rPr>
      </w:pPr>
    </w:p>
    <w:p w14:paraId="7DFE0B77">
      <w:pPr>
        <w:pageBreakBefore w:val="0"/>
        <w:widowControl/>
        <w:kinsoku/>
        <w:wordWrap w:val="0"/>
        <w:overflowPunct/>
        <w:bidi w:val="0"/>
        <w:spacing w:line="420" w:lineRule="exact"/>
        <w:ind w:firstLine="480"/>
        <w:jc w:val="center"/>
        <w:rPr>
          <w:rFonts w:hint="eastAsia" w:ascii="宋体" w:hAnsi="宋体" w:eastAsia="宋体" w:cs="宋体"/>
          <w:color w:val="auto"/>
          <w:sz w:val="24"/>
        </w:rPr>
      </w:pPr>
      <w:r>
        <w:rPr>
          <w:rFonts w:hint="eastAsia" w:ascii="宋体" w:hAnsi="宋体" w:eastAsia="宋体" w:cs="宋体"/>
          <w:color w:val="auto"/>
          <w:kern w:val="0"/>
          <w:sz w:val="24"/>
          <w:lang w:bidi="ar"/>
        </w:rPr>
        <w:t xml:space="preserve">                                         企业名称（盖章）：</w:t>
      </w:r>
    </w:p>
    <w:p w14:paraId="26D3053A">
      <w:pPr>
        <w:pageBreakBefore w:val="0"/>
        <w:widowControl/>
        <w:kinsoku/>
        <w:wordWrap w:val="0"/>
        <w:overflowPunct/>
        <w:bidi w:val="0"/>
        <w:spacing w:line="420" w:lineRule="exact"/>
        <w:ind w:firstLine="6480" w:firstLineChars="2700"/>
        <w:jc w:val="left"/>
        <w:rPr>
          <w:rFonts w:hint="eastAsia" w:ascii="宋体" w:hAnsi="宋体" w:eastAsia="宋体" w:cs="宋体"/>
          <w:color w:val="auto"/>
          <w:sz w:val="24"/>
        </w:rPr>
      </w:pPr>
      <w:r>
        <w:rPr>
          <w:rFonts w:hint="eastAsia" w:ascii="宋体" w:hAnsi="宋体" w:eastAsia="宋体" w:cs="宋体"/>
          <w:color w:val="auto"/>
          <w:kern w:val="0"/>
          <w:sz w:val="24"/>
          <w:lang w:bidi="ar"/>
        </w:rPr>
        <w:t>日 期：</w:t>
      </w:r>
    </w:p>
    <w:p w14:paraId="15A3AA09">
      <w:pPr>
        <w:pageBreakBefore w:val="0"/>
        <w:widowControl/>
        <w:kinsoku/>
        <w:wordWrap w:val="0"/>
        <w:overflowPunct/>
        <w:bidi w:val="0"/>
        <w:spacing w:line="420" w:lineRule="exact"/>
        <w:ind w:firstLine="480"/>
        <w:jc w:val="left"/>
        <w:rPr>
          <w:rFonts w:hint="eastAsia" w:ascii="宋体" w:hAnsi="宋体" w:eastAsia="宋体" w:cs="宋体"/>
          <w:color w:val="auto"/>
          <w:sz w:val="24"/>
        </w:rPr>
      </w:pPr>
      <w:r>
        <w:rPr>
          <w:rFonts w:hint="eastAsia" w:ascii="宋体" w:hAnsi="宋体" w:eastAsia="宋体" w:cs="宋体"/>
          <w:color w:val="auto"/>
          <w:kern w:val="0"/>
          <w:sz w:val="24"/>
          <w:lang w:bidi="ar"/>
        </w:rPr>
        <w:t>从业人员、营业收入、资产总额填报上一年度数据，无上一年度数据的新成立企业可不填报。</w:t>
      </w:r>
    </w:p>
    <w:p w14:paraId="5F7271FC">
      <w:pPr>
        <w:pageBreakBefore w:val="0"/>
        <w:widowControl/>
        <w:kinsoku/>
        <w:wordWrap w:val="0"/>
        <w:overflowPunct/>
        <w:bidi w:val="0"/>
        <w:spacing w:line="420" w:lineRule="exact"/>
        <w:ind w:firstLine="480"/>
        <w:jc w:val="left"/>
        <w:rPr>
          <w:rFonts w:hint="default" w:ascii="宋体" w:hAnsi="宋体" w:eastAsia="宋体" w:cs="宋体"/>
          <w:color w:val="auto"/>
          <w:kern w:val="0"/>
          <w:sz w:val="24"/>
          <w:lang w:val="en-US" w:eastAsia="zh-CN" w:bidi="ar"/>
        </w:rPr>
      </w:pPr>
      <w:r>
        <w:rPr>
          <w:rFonts w:hint="eastAsia" w:ascii="宋体" w:hAnsi="宋体" w:eastAsia="宋体" w:cs="宋体"/>
          <w:color w:val="auto"/>
          <w:kern w:val="0"/>
          <w:sz w:val="24"/>
          <w:lang w:val="en-US" w:eastAsia="zh-CN" w:bidi="ar"/>
        </w:rPr>
        <w:t>本项目专门面向中小企业，供应商需按要求填写，否则视为实质不响应。</w:t>
      </w:r>
    </w:p>
    <w:p w14:paraId="661FEEBC">
      <w:pPr>
        <w:pageBreakBefore w:val="0"/>
        <w:kinsoku/>
        <w:wordWrap w:val="0"/>
        <w:overflowPunct/>
        <w:bidi w:val="0"/>
        <w:ind w:left="0" w:leftChars="0" w:firstLine="0" w:firstLineChars="0"/>
        <w:jc w:val="center"/>
        <w:rPr>
          <w:rFonts w:hint="eastAsia" w:ascii="宋体" w:hAnsi="宋体" w:eastAsia="宋体" w:cs="宋体"/>
          <w:b/>
          <w:bCs/>
          <w:color w:val="auto"/>
          <w:sz w:val="28"/>
          <w:szCs w:val="28"/>
        </w:rPr>
      </w:pPr>
      <w:r>
        <w:rPr>
          <w:rFonts w:hint="eastAsia" w:ascii="宋体" w:hAnsi="宋体" w:eastAsia="宋体" w:cs="宋体"/>
          <w:color w:val="auto"/>
        </w:rPr>
        <w:drawing>
          <wp:inline distT="0" distB="0" distL="114300" distR="114300">
            <wp:extent cx="6010275" cy="7877175"/>
            <wp:effectExtent l="0" t="0" r="9525" b="9525"/>
            <wp:docPr id="2" name="图片 5" descr="小微企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小微企业01"/>
                    <pic:cNvPicPr>
                      <a:picLocks noChangeAspect="1"/>
                    </pic:cNvPicPr>
                  </pic:nvPicPr>
                  <pic:blipFill>
                    <a:blip r:embed="rId19"/>
                    <a:stretch>
                      <a:fillRect/>
                    </a:stretch>
                  </pic:blipFill>
                  <pic:spPr>
                    <a:xfrm>
                      <a:off x="0" y="0"/>
                      <a:ext cx="6010275" cy="7877175"/>
                    </a:xfrm>
                    <a:prstGeom prst="rect">
                      <a:avLst/>
                    </a:prstGeom>
                    <a:noFill/>
                    <a:ln>
                      <a:noFill/>
                    </a:ln>
                  </pic:spPr>
                </pic:pic>
              </a:graphicData>
            </a:graphic>
          </wp:inline>
        </w:drawing>
      </w:r>
      <w:r>
        <w:rPr>
          <w:rFonts w:hint="eastAsia" w:ascii="宋体" w:hAnsi="宋体" w:eastAsia="宋体" w:cs="宋体"/>
          <w:b/>
          <w:bCs/>
          <w:color w:val="auto"/>
          <w:sz w:val="28"/>
          <w:szCs w:val="28"/>
        </w:rPr>
        <w:br w:type="page"/>
      </w:r>
    </w:p>
    <w:p w14:paraId="4E70FA92">
      <w:pPr>
        <w:pageBreakBefore w:val="0"/>
        <w:kinsoku/>
        <w:wordWrap w:val="0"/>
        <w:overflowPunct/>
        <w:bidi w:val="0"/>
        <w:jc w:val="center"/>
        <w:outlineLvl w:val="1"/>
        <w:rPr>
          <w:rFonts w:hint="eastAsia" w:ascii="宋体" w:hAnsi="宋体" w:eastAsia="宋体" w:cs="宋体"/>
          <w:color w:val="auto"/>
        </w:rPr>
      </w:pPr>
      <w:r>
        <w:rPr>
          <w:rFonts w:hint="eastAsia" w:ascii="宋体" w:hAnsi="宋体" w:eastAsia="宋体" w:cs="宋体"/>
          <w:color w:val="auto"/>
        </w:rPr>
        <w:drawing>
          <wp:inline distT="0" distB="0" distL="114300" distR="114300">
            <wp:extent cx="5972175" cy="7829550"/>
            <wp:effectExtent l="0" t="0" r="9525" b="0"/>
            <wp:docPr id="3" name="图片 7" descr="小微企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小微企业02"/>
                    <pic:cNvPicPr>
                      <a:picLocks noChangeAspect="1"/>
                    </pic:cNvPicPr>
                  </pic:nvPicPr>
                  <pic:blipFill>
                    <a:blip r:embed="rId20"/>
                    <a:stretch>
                      <a:fillRect/>
                    </a:stretch>
                  </pic:blipFill>
                  <pic:spPr>
                    <a:xfrm>
                      <a:off x="0" y="0"/>
                      <a:ext cx="5972175" cy="7829550"/>
                    </a:xfrm>
                    <a:prstGeom prst="rect">
                      <a:avLst/>
                    </a:prstGeom>
                    <a:noFill/>
                    <a:ln>
                      <a:noFill/>
                    </a:ln>
                  </pic:spPr>
                </pic:pic>
              </a:graphicData>
            </a:graphic>
          </wp:inline>
        </w:drawing>
      </w:r>
      <w:bookmarkStart w:id="976" w:name="_Toc9073"/>
      <w:bookmarkStart w:id="977" w:name="_Toc19860"/>
    </w:p>
    <w:p w14:paraId="7F4DDA43">
      <w:pPr>
        <w:pageBreakBefore w:val="0"/>
        <w:kinsoku/>
        <w:wordWrap w:val="0"/>
        <w:overflowPunct/>
        <w:bidi w:val="0"/>
        <w:jc w:val="center"/>
        <w:outlineLvl w:val="1"/>
        <w:rPr>
          <w:rFonts w:hint="eastAsia" w:ascii="宋体" w:hAnsi="宋体" w:eastAsia="宋体" w:cs="宋体"/>
          <w:color w:val="auto"/>
        </w:rPr>
      </w:pPr>
    </w:p>
    <w:p w14:paraId="6FF0ED37">
      <w:pPr>
        <w:pageBreakBefore w:val="0"/>
        <w:kinsoku/>
        <w:wordWrap w:val="0"/>
        <w:overflowPunct/>
        <w:bidi w:val="0"/>
        <w:jc w:val="center"/>
        <w:outlineLvl w:val="1"/>
        <w:rPr>
          <w:rFonts w:hint="eastAsia" w:ascii="宋体" w:hAnsi="宋体" w:eastAsia="宋体" w:cs="宋体"/>
          <w:color w:val="auto"/>
        </w:rPr>
      </w:pPr>
    </w:p>
    <w:p w14:paraId="41309764">
      <w:pPr>
        <w:pageBreakBefore w:val="0"/>
        <w:kinsoku/>
        <w:wordWrap w:val="0"/>
        <w:overflowPunct/>
        <w:bidi w:val="0"/>
        <w:jc w:val="center"/>
        <w:outlineLvl w:val="1"/>
        <w:rPr>
          <w:rFonts w:hint="eastAsia" w:ascii="宋体" w:hAnsi="宋体" w:eastAsia="宋体" w:cs="宋体"/>
          <w:color w:val="auto"/>
        </w:rPr>
      </w:pPr>
    </w:p>
    <w:p w14:paraId="3278AFC4">
      <w:pPr>
        <w:pageBreakBefore w:val="0"/>
        <w:kinsoku/>
        <w:wordWrap w:val="0"/>
        <w:overflowPunct/>
        <w:bidi w:val="0"/>
        <w:jc w:val="center"/>
        <w:outlineLvl w:val="1"/>
        <w:rPr>
          <w:rFonts w:hint="eastAsia" w:ascii="宋体" w:hAnsi="宋体" w:eastAsia="宋体" w:cs="宋体"/>
          <w:color w:val="auto"/>
        </w:rPr>
      </w:pPr>
    </w:p>
    <w:p w14:paraId="45A6A5F2">
      <w:pPr>
        <w:pageBreakBefore w:val="0"/>
        <w:kinsoku/>
        <w:wordWrap w:val="0"/>
        <w:overflowPunct/>
        <w:bidi w:val="0"/>
        <w:jc w:val="center"/>
        <w:outlineLvl w:val="1"/>
        <w:rPr>
          <w:rFonts w:hint="eastAsia" w:ascii="宋体" w:hAnsi="宋体" w:eastAsia="宋体" w:cs="宋体"/>
          <w:color w:val="auto"/>
        </w:rPr>
      </w:pPr>
    </w:p>
    <w:p w14:paraId="120A20BA">
      <w:pPr>
        <w:pageBreakBefore w:val="0"/>
        <w:kinsoku/>
        <w:wordWrap w:val="0"/>
        <w:overflowPunct/>
        <w:bidi w:val="0"/>
        <w:jc w:val="center"/>
        <w:outlineLvl w:val="1"/>
        <w:rPr>
          <w:rFonts w:hint="eastAsia" w:ascii="宋体" w:hAnsi="宋体" w:eastAsia="宋体" w:cs="宋体"/>
          <w:color w:val="auto"/>
        </w:rPr>
      </w:pPr>
      <w:r>
        <w:rPr>
          <w:rFonts w:hint="eastAsia" w:ascii="宋体" w:hAnsi="宋体" w:eastAsia="宋体" w:cs="宋体"/>
          <w:b/>
          <w:bCs/>
          <w:color w:val="auto"/>
          <w:sz w:val="28"/>
          <w:szCs w:val="28"/>
        </w:rPr>
        <w:t>九、残疾人福利性单位声明函（如有）</w:t>
      </w:r>
      <w:bookmarkEnd w:id="976"/>
      <w:bookmarkEnd w:id="977"/>
    </w:p>
    <w:p w14:paraId="2110B667">
      <w:pPr>
        <w:pStyle w:val="49"/>
        <w:pageBreakBefore w:val="0"/>
        <w:kinsoku/>
        <w:wordWrap w:val="0"/>
        <w:overflowPunct/>
        <w:bidi w:val="0"/>
        <w:spacing w:line="420" w:lineRule="exact"/>
        <w:ind w:firstLine="0" w:firstLineChars="0"/>
        <w:rPr>
          <w:rFonts w:hint="eastAsia" w:ascii="宋体" w:hAnsi="宋体" w:eastAsia="宋体" w:cs="宋体"/>
          <w:color w:val="auto"/>
          <w:sz w:val="24"/>
        </w:rPr>
      </w:pPr>
    </w:p>
    <w:p w14:paraId="1893F673">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单位的</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项目采购活动提供本单位制造的货物（由本单位承担工程/提供服务），或者提供其他残疾人福利性单位制造的货物（不包括使用非残疾人福利性单位注册商标的货物）。</w:t>
      </w:r>
    </w:p>
    <w:p w14:paraId="1A0A081F">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本单位对上述声明的真实性负责。如有虚假，将依法承担相应责任。</w:t>
      </w:r>
    </w:p>
    <w:p w14:paraId="74C0347A">
      <w:pPr>
        <w:pageBreakBefore w:val="0"/>
        <w:kinsoku/>
        <w:wordWrap w:val="0"/>
        <w:overflowPunct/>
        <w:bidi w:val="0"/>
        <w:spacing w:line="420" w:lineRule="exact"/>
        <w:ind w:firstLine="480"/>
        <w:rPr>
          <w:rFonts w:hint="eastAsia" w:ascii="宋体" w:hAnsi="宋体" w:eastAsia="宋体" w:cs="宋体"/>
          <w:color w:val="auto"/>
          <w:szCs w:val="21"/>
        </w:rPr>
      </w:pPr>
    </w:p>
    <w:p w14:paraId="1DF90FBD">
      <w:pPr>
        <w:pageBreakBefore w:val="0"/>
        <w:tabs>
          <w:tab w:val="left" w:pos="4860"/>
        </w:tabs>
        <w:kinsoku/>
        <w:wordWrap w:val="0"/>
        <w:overflowPunct/>
        <w:bidi w:val="0"/>
        <w:spacing w:line="420" w:lineRule="exact"/>
        <w:ind w:right="1560" w:firstLine="480"/>
        <w:rPr>
          <w:rFonts w:hint="eastAsia" w:ascii="宋体" w:hAnsi="宋体" w:eastAsia="宋体" w:cs="宋体"/>
          <w:color w:val="auto"/>
          <w:szCs w:val="21"/>
        </w:rPr>
      </w:pPr>
      <w:r>
        <w:rPr>
          <w:rFonts w:hint="eastAsia" w:ascii="宋体" w:hAnsi="宋体" w:eastAsia="宋体" w:cs="宋体"/>
          <w:color w:val="auto"/>
          <w:szCs w:val="21"/>
        </w:rPr>
        <w:t>单位名称（盖章）：</w:t>
      </w:r>
    </w:p>
    <w:p w14:paraId="64699087">
      <w:pPr>
        <w:pageBreakBefore w:val="0"/>
        <w:tabs>
          <w:tab w:val="left" w:pos="4860"/>
        </w:tabs>
        <w:kinsoku/>
        <w:wordWrap w:val="0"/>
        <w:overflowPunct/>
        <w:bidi w:val="0"/>
        <w:spacing w:line="420" w:lineRule="exact"/>
        <w:ind w:right="1560" w:firstLine="480"/>
        <w:rPr>
          <w:rFonts w:hint="eastAsia" w:ascii="宋体" w:hAnsi="宋体" w:eastAsia="宋体" w:cs="宋体"/>
          <w:color w:val="auto"/>
          <w:szCs w:val="21"/>
        </w:rPr>
      </w:pPr>
      <w:r>
        <w:rPr>
          <w:rFonts w:hint="eastAsia" w:ascii="宋体" w:hAnsi="宋体" w:eastAsia="宋体" w:cs="宋体"/>
          <w:color w:val="auto"/>
          <w:szCs w:val="21"/>
        </w:rPr>
        <w:t>日  期：</w:t>
      </w:r>
    </w:p>
    <w:p w14:paraId="69641723">
      <w:pPr>
        <w:pageBreakBefore w:val="0"/>
        <w:widowControl/>
        <w:kinsoku/>
        <w:wordWrap w:val="0"/>
        <w:overflowPunct/>
        <w:bidi w:val="0"/>
        <w:spacing w:line="420" w:lineRule="exact"/>
        <w:ind w:firstLine="480"/>
        <w:rPr>
          <w:rFonts w:hint="eastAsia" w:ascii="宋体" w:hAnsi="宋体" w:eastAsia="宋体" w:cs="宋体"/>
          <w:color w:val="auto"/>
          <w:szCs w:val="21"/>
        </w:rPr>
      </w:pPr>
    </w:p>
    <w:p w14:paraId="6DD0EA6A">
      <w:pPr>
        <w:pageBreakBefore w:val="0"/>
        <w:widowControl/>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（提醒：如果供应商不是残疾人福利性单位，则不需要提供《残疾人福利性单位声明函》。否则，因此导致虚假投标的后果由供应商自行承担。）</w:t>
      </w:r>
    </w:p>
    <w:p w14:paraId="71275070">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《财政部民政部中国残疾人联合会关于促进残疾人就业政府采购政策的通知》（财库（2017〔141〕号）的规定：</w:t>
      </w:r>
    </w:p>
    <w:p w14:paraId="6D91EDB4">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1.享受政府采购支持政策的残疾人福利性单位应当同时满足以下条件：</w:t>
      </w:r>
    </w:p>
    <w:p w14:paraId="14B91BE3">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（1）安置的残疾人占本单位在职职工人数的比例不低于25%（含25%），并且安置的残疾人人数不少于10人（含10人）；</w:t>
      </w:r>
    </w:p>
    <w:p w14:paraId="49BED33D">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（2）依法与安置的每位残疾人签订了一年以上（含一年）的劳动合同或服务协议；</w:t>
      </w:r>
    </w:p>
    <w:p w14:paraId="53AE9650">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（3）为安置的每位残疾人按月足额缴纳了基本养老保险、基本医疗保险、失业保险、工伤保险和生育保险等社会保险费；</w:t>
      </w:r>
    </w:p>
    <w:p w14:paraId="10CBB525">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（4）通过银行等金融机构向安置的每位残疾人，按月支付了不低于单位所在区县适用的经省级人民政府批准的月最低工资标准的工资；</w:t>
      </w:r>
    </w:p>
    <w:p w14:paraId="451605D9">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（5）提供本单位制造的货物、承担的工程或者服务（以下简称产品），或者提供其他残疾人福利性单位制造的货物（不包括使用非残疾人福利性单位注册商标的货物）。</w:t>
      </w:r>
    </w:p>
    <w:p w14:paraId="626F0633">
      <w:pPr>
        <w:pageBreakBefore w:val="0"/>
        <w:kinsoku/>
        <w:wordWrap w:val="0"/>
        <w:overflowPunct/>
        <w:autoSpaceDE w:val="0"/>
        <w:autoSpaceDN w:val="0"/>
        <w:bidi w:val="0"/>
        <w:adjustRightInd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2.成交人为残疾人福利性单位的，采购人或者其委托的采购代理机构应当随成交、成交结果同时公告其《残疾人福利性单位声明函》，接受社会监督，一旦发现弄虚作假提供虚假信息的，承担相应的法律责任。</w:t>
      </w:r>
    </w:p>
    <w:p w14:paraId="352E7B80">
      <w:pPr>
        <w:pageBreakBefore w:val="0"/>
        <w:kinsoku/>
        <w:wordWrap w:val="0"/>
        <w:overflowPunct/>
        <w:bidi w:val="0"/>
        <w:spacing w:line="420" w:lineRule="exact"/>
        <w:ind w:firstLine="420"/>
        <w:jc w:val="center"/>
        <w:rPr>
          <w:rFonts w:hint="eastAsia" w:ascii="宋体" w:hAnsi="宋体" w:eastAsia="宋体" w:cs="宋体"/>
          <w:color w:val="auto"/>
          <w:sz w:val="24"/>
        </w:rPr>
      </w:pPr>
      <w:r>
        <w:rPr>
          <w:rFonts w:hint="eastAsia" w:ascii="宋体" w:hAnsi="宋体" w:eastAsia="宋体" w:cs="宋体"/>
          <w:color w:val="auto"/>
        </w:rPr>
        <w:br w:type="page"/>
      </w:r>
      <w:bookmarkStart w:id="978" w:name="_Toc2835"/>
      <w:bookmarkStart w:id="979" w:name="_Toc17455"/>
      <w:r>
        <w:rPr>
          <w:rFonts w:hint="eastAsia" w:ascii="宋体" w:hAnsi="宋体" w:eastAsia="宋体" w:cs="宋体"/>
          <w:b/>
          <w:bCs/>
          <w:color w:val="auto"/>
          <w:sz w:val="28"/>
          <w:szCs w:val="28"/>
        </w:rPr>
        <w:t>十、监狱企业证明文件（如有）</w:t>
      </w:r>
      <w:bookmarkEnd w:id="978"/>
      <w:bookmarkEnd w:id="979"/>
    </w:p>
    <w:p w14:paraId="76A9ACC6">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15%的价格扣除，但必须提供由省级以上监狱管理局、戒毒管理局（含新疆生产建设兵团）出具的属于监狱企业的证明文件，否则评审时不予价格扣除优惠。</w:t>
      </w:r>
    </w:p>
    <w:p w14:paraId="7D3CBF5A">
      <w:pPr>
        <w:pageBreakBefore w:val="0"/>
        <w:kinsoku/>
        <w:wordWrap w:val="0"/>
        <w:overflowPunct/>
        <w:bidi w:val="0"/>
        <w:spacing w:line="420" w:lineRule="exact"/>
        <w:rPr>
          <w:rFonts w:hint="eastAsia" w:ascii="宋体" w:hAnsi="宋体" w:eastAsia="宋体" w:cs="宋体"/>
          <w:color w:val="auto"/>
          <w:szCs w:val="21"/>
        </w:rPr>
      </w:pPr>
    </w:p>
    <w:p w14:paraId="63225A86">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注：在响应文件中附扫描件。</w:t>
      </w:r>
    </w:p>
    <w:p w14:paraId="565FCDCF">
      <w:pPr>
        <w:pageBreakBefore w:val="0"/>
        <w:kinsoku/>
        <w:wordWrap w:val="0"/>
        <w:overflowPunct/>
        <w:bidi w:val="0"/>
        <w:spacing w:line="420" w:lineRule="exact"/>
        <w:jc w:val="center"/>
        <w:rPr>
          <w:rFonts w:hint="eastAsia" w:ascii="宋体" w:hAnsi="宋体" w:eastAsia="宋体" w:cs="宋体"/>
          <w:b/>
          <w:bCs/>
          <w:color w:val="auto"/>
          <w:sz w:val="28"/>
          <w:szCs w:val="28"/>
        </w:rPr>
      </w:pPr>
      <w:r>
        <w:rPr>
          <w:rFonts w:hint="eastAsia" w:ascii="宋体" w:hAnsi="宋体" w:eastAsia="宋体" w:cs="宋体"/>
          <w:color w:val="auto"/>
        </w:rPr>
        <w:br w:type="page"/>
      </w:r>
      <w:bookmarkStart w:id="980" w:name="_Toc6055"/>
      <w:bookmarkStart w:id="981" w:name="_Toc20398"/>
      <w:r>
        <w:rPr>
          <w:rFonts w:hint="eastAsia" w:ascii="宋体" w:hAnsi="宋体" w:eastAsia="宋体" w:cs="宋体"/>
          <w:b/>
          <w:bCs/>
          <w:color w:val="auto"/>
          <w:sz w:val="28"/>
          <w:szCs w:val="28"/>
        </w:rPr>
        <w:t>十一、反商业贿赂承诺书</w:t>
      </w:r>
      <w:bookmarkEnd w:id="980"/>
      <w:bookmarkEnd w:id="981"/>
    </w:p>
    <w:p w14:paraId="71A1F2A8">
      <w:pPr>
        <w:pageBreakBefore w:val="0"/>
        <w:kinsoku/>
        <w:wordWrap w:val="0"/>
        <w:overflowPunct/>
        <w:autoSpaceDE w:val="0"/>
        <w:autoSpaceDN w:val="0"/>
        <w:bidi w:val="0"/>
        <w:adjustRightInd w:val="0"/>
        <w:spacing w:line="420" w:lineRule="exact"/>
        <w:ind w:firstLine="630" w:firstLineChars="300"/>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我方承诺：</w:t>
      </w:r>
    </w:p>
    <w:p w14:paraId="2BC05E5F">
      <w:pPr>
        <w:pageBreakBefore w:val="0"/>
        <w:kinsoku/>
        <w:wordWrap w:val="0"/>
        <w:overflowPunct/>
        <w:autoSpaceDE w:val="0"/>
        <w:autoSpaceDN w:val="0"/>
        <w:bidi w:val="0"/>
        <w:adjustRightInd w:val="0"/>
        <w:spacing w:line="420" w:lineRule="exact"/>
        <w:ind w:firstLine="630" w:firstLineChars="300"/>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在</w:t>
      </w:r>
      <w:r>
        <w:rPr>
          <w:rFonts w:hint="eastAsia" w:ascii="宋体" w:hAnsi="宋体" w:eastAsia="宋体" w:cs="宋体"/>
          <w:color w:val="auto"/>
          <w:szCs w:val="21"/>
          <w:u w:val="single"/>
        </w:rPr>
        <w:t xml:space="preserve"> 国有固始林场2025年森林可持续经营试点任务资金项目</w:t>
      </w:r>
      <w:r>
        <w:rPr>
          <w:rFonts w:hint="eastAsia" w:ascii="宋体" w:hAnsi="宋体" w:eastAsia="宋体" w:cs="宋体"/>
          <w:color w:val="auto"/>
          <w:szCs w:val="21"/>
          <w:u w:val="single"/>
          <w:lang w:val="zh-CN"/>
        </w:rPr>
        <w:t>（</w:t>
      </w:r>
      <w:r>
        <w:rPr>
          <w:rFonts w:hint="eastAsia" w:ascii="宋体" w:hAnsi="宋体" w:cs="宋体"/>
          <w:color w:val="auto"/>
          <w:szCs w:val="21"/>
          <w:u w:val="single"/>
          <w:lang w:val="zh-CN"/>
        </w:rPr>
        <w:t>包名称</w:t>
      </w:r>
      <w:r>
        <w:rPr>
          <w:rFonts w:hint="eastAsia" w:ascii="宋体" w:hAnsi="宋体" w:eastAsia="宋体" w:cs="宋体"/>
          <w:color w:val="auto"/>
          <w:szCs w:val="21"/>
          <w:u w:val="single"/>
          <w:lang w:val="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zh-CN"/>
        </w:rPr>
        <w:t>（</w:t>
      </w:r>
      <w:r>
        <w:rPr>
          <w:rFonts w:hint="eastAsia" w:ascii="宋体" w:hAnsi="宋体" w:cs="宋体"/>
          <w:color w:val="auto"/>
          <w:szCs w:val="21"/>
          <w:u w:val="single"/>
          <w:lang w:val="zh-CN"/>
        </w:rPr>
        <w:t>包号</w:t>
      </w:r>
      <w:r>
        <w:rPr>
          <w:rFonts w:hint="eastAsia" w:ascii="宋体" w:hAnsi="宋体" w:eastAsia="宋体" w:cs="宋体"/>
          <w:color w:val="auto"/>
          <w:szCs w:val="21"/>
          <w:u w:val="single"/>
          <w:lang w:val="zh-CN"/>
        </w:rPr>
        <w:t>：  ）</w:t>
      </w:r>
      <w:r>
        <w:rPr>
          <w:rFonts w:hint="eastAsia" w:ascii="宋体" w:hAnsi="宋体" w:eastAsia="宋体" w:cs="宋体"/>
          <w:color w:val="auto"/>
          <w:szCs w:val="21"/>
          <w:lang w:val="zh-CN"/>
        </w:rPr>
        <w:t>投标活动中，我方保证做到：</w:t>
      </w:r>
    </w:p>
    <w:p w14:paraId="46D05D45">
      <w:pPr>
        <w:pageBreakBefore w:val="0"/>
        <w:kinsoku/>
        <w:wordWrap w:val="0"/>
        <w:overflowPunct/>
        <w:autoSpaceDE w:val="0"/>
        <w:autoSpaceDN w:val="0"/>
        <w:bidi w:val="0"/>
        <w:adjustRightInd w:val="0"/>
        <w:spacing w:line="420" w:lineRule="exact"/>
        <w:ind w:firstLine="630" w:firstLineChars="300"/>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一、公平竞争参加本次公开采购活动。</w:t>
      </w:r>
    </w:p>
    <w:p w14:paraId="5379619F">
      <w:pPr>
        <w:pageBreakBefore w:val="0"/>
        <w:kinsoku/>
        <w:wordWrap w:val="0"/>
        <w:overflowPunct/>
        <w:autoSpaceDE w:val="0"/>
        <w:autoSpaceDN w:val="0"/>
        <w:bidi w:val="0"/>
        <w:adjustRightInd w:val="0"/>
        <w:spacing w:line="420" w:lineRule="exact"/>
        <w:ind w:firstLine="630" w:firstLineChars="300"/>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AFBE4C1">
      <w:pPr>
        <w:pageBreakBefore w:val="0"/>
        <w:kinsoku/>
        <w:wordWrap w:val="0"/>
        <w:overflowPunct/>
        <w:autoSpaceDE w:val="0"/>
        <w:autoSpaceDN w:val="0"/>
        <w:bidi w:val="0"/>
        <w:adjustRightInd w:val="0"/>
        <w:spacing w:line="420" w:lineRule="exact"/>
        <w:ind w:firstLine="630" w:firstLineChars="300"/>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三、若出现上述行为，我方及参与投标的工作人员愿意接受按照国家法律法规等有关规定给予的处罚。</w:t>
      </w:r>
    </w:p>
    <w:p w14:paraId="34D41B70">
      <w:pPr>
        <w:pageBreakBefore w:val="0"/>
        <w:kinsoku/>
        <w:wordWrap w:val="0"/>
        <w:overflowPunct/>
        <w:bidi w:val="0"/>
        <w:spacing w:line="420" w:lineRule="exact"/>
        <w:rPr>
          <w:rFonts w:hint="eastAsia" w:ascii="宋体" w:hAnsi="宋体" w:eastAsia="宋体" w:cs="宋体"/>
          <w:color w:val="auto"/>
          <w:szCs w:val="21"/>
        </w:rPr>
      </w:pPr>
    </w:p>
    <w:p w14:paraId="70B0A022">
      <w:pPr>
        <w:pageBreakBefore w:val="0"/>
        <w:kinsoku/>
        <w:wordWrap w:val="0"/>
        <w:overflowPunct/>
        <w:bidi w:val="0"/>
        <w:spacing w:line="420" w:lineRule="exact"/>
        <w:rPr>
          <w:rFonts w:hint="eastAsia" w:ascii="宋体" w:hAnsi="宋体" w:eastAsia="宋体" w:cs="宋体"/>
          <w:color w:val="auto"/>
          <w:szCs w:val="21"/>
        </w:rPr>
      </w:pPr>
    </w:p>
    <w:p w14:paraId="14779F86">
      <w:pPr>
        <w:pageBreakBefore w:val="0"/>
        <w:kinsoku/>
        <w:wordWrap w:val="0"/>
        <w:overflowPunct/>
        <w:bidi w:val="0"/>
        <w:spacing w:line="420" w:lineRule="exact"/>
        <w:rPr>
          <w:rFonts w:hint="eastAsia" w:ascii="宋体" w:hAnsi="宋体" w:eastAsia="宋体" w:cs="宋体"/>
          <w:color w:val="auto"/>
          <w:szCs w:val="21"/>
        </w:rPr>
      </w:pPr>
    </w:p>
    <w:p w14:paraId="3BF57A8E">
      <w:pPr>
        <w:pageBreakBefore w:val="0"/>
        <w:kinsoku/>
        <w:wordWrap w:val="0"/>
        <w:overflowPunct/>
        <w:bidi w:val="0"/>
        <w:spacing w:line="420" w:lineRule="exact"/>
        <w:rPr>
          <w:rFonts w:hint="eastAsia" w:ascii="宋体" w:hAnsi="宋体" w:eastAsia="宋体" w:cs="宋体"/>
          <w:color w:val="auto"/>
          <w:szCs w:val="21"/>
        </w:rPr>
      </w:pPr>
    </w:p>
    <w:p w14:paraId="492A5103">
      <w:pPr>
        <w:pageBreakBefore w:val="0"/>
        <w:kinsoku/>
        <w:wordWrap w:val="0"/>
        <w:overflowPunct/>
        <w:bidi w:val="0"/>
        <w:spacing w:line="420" w:lineRule="exact"/>
        <w:rPr>
          <w:rFonts w:hint="eastAsia" w:ascii="宋体" w:hAnsi="宋体" w:eastAsia="宋体" w:cs="宋体"/>
          <w:color w:val="auto"/>
          <w:szCs w:val="21"/>
        </w:rPr>
      </w:pPr>
    </w:p>
    <w:p w14:paraId="7921D493">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供应商（单位电子签章）：</w:t>
      </w:r>
    </w:p>
    <w:p w14:paraId="6D919543">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法定代表人或授权代表（电子签名或盖章）：</w:t>
      </w:r>
    </w:p>
    <w:p w14:paraId="5D965E30">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日期：    年    月    日</w:t>
      </w:r>
    </w:p>
    <w:p w14:paraId="373347F8">
      <w:pPr>
        <w:pageBreakBefore w:val="0"/>
        <w:widowControl/>
        <w:kinsoku/>
        <w:wordWrap w:val="0"/>
        <w:overflowPunct/>
        <w:bidi w:val="0"/>
        <w:spacing w:line="360" w:lineRule="auto"/>
        <w:ind w:firstLine="420" w:firstLineChars="200"/>
        <w:jc w:val="left"/>
        <w:rPr>
          <w:rFonts w:hint="eastAsia" w:ascii="宋体" w:hAnsi="宋体" w:eastAsia="宋体" w:cs="宋体"/>
          <w:color w:val="auto"/>
          <w:kern w:val="0"/>
          <w:szCs w:val="21"/>
        </w:rPr>
      </w:pPr>
    </w:p>
    <w:p w14:paraId="369BC558">
      <w:pPr>
        <w:pageBreakBefore w:val="0"/>
        <w:kinsoku/>
        <w:wordWrap w:val="0"/>
        <w:overflowPunct/>
        <w:bidi w:val="0"/>
        <w:spacing w:line="420" w:lineRule="exact"/>
        <w:jc w:val="center"/>
        <w:outlineLvl w:val="1"/>
        <w:rPr>
          <w:rFonts w:hint="eastAsia" w:ascii="宋体" w:hAnsi="宋体" w:eastAsia="宋体" w:cs="宋体"/>
          <w:b/>
          <w:bCs/>
          <w:color w:val="auto"/>
          <w:sz w:val="28"/>
          <w:szCs w:val="28"/>
        </w:rPr>
      </w:pPr>
      <w:bookmarkStart w:id="982" w:name="_Toc25493"/>
      <w:bookmarkStart w:id="983" w:name="_Toc32643"/>
      <w:r>
        <w:rPr>
          <w:rFonts w:hint="eastAsia" w:ascii="宋体" w:hAnsi="宋体" w:eastAsia="宋体" w:cs="宋体"/>
          <w:b/>
          <w:bCs/>
          <w:iCs/>
          <w:caps/>
          <w:color w:val="auto"/>
          <w:kern w:val="0"/>
          <w:sz w:val="36"/>
          <w:szCs w:val="21"/>
        </w:rPr>
        <w:br w:type="page"/>
      </w:r>
      <w:r>
        <w:rPr>
          <w:rFonts w:hint="eastAsia" w:ascii="宋体" w:hAnsi="宋体" w:eastAsia="宋体" w:cs="宋体"/>
          <w:b/>
          <w:bCs/>
          <w:color w:val="auto"/>
          <w:sz w:val="28"/>
          <w:szCs w:val="28"/>
        </w:rPr>
        <w:t>十二、其他材料</w:t>
      </w:r>
      <w:bookmarkEnd w:id="982"/>
      <w:bookmarkEnd w:id="983"/>
    </w:p>
    <w:p w14:paraId="3AF98F71">
      <w:pPr>
        <w:pageBreakBefore w:val="0"/>
        <w:kinsoku/>
        <w:wordWrap w:val="0"/>
        <w:overflowPunct/>
        <w:bidi w:val="0"/>
        <w:spacing w:line="420" w:lineRule="exact"/>
        <w:jc w:val="center"/>
        <w:outlineLvl w:val="1"/>
        <w:rPr>
          <w:rFonts w:hint="eastAsia" w:ascii="宋体" w:hAnsi="宋体" w:eastAsia="宋体" w:cs="宋体"/>
          <w:b/>
          <w:bCs/>
          <w:color w:val="auto"/>
          <w:sz w:val="28"/>
          <w:szCs w:val="28"/>
        </w:rPr>
      </w:pPr>
      <w:bookmarkStart w:id="984" w:name="_Toc25790"/>
      <w:r>
        <w:rPr>
          <w:rFonts w:hint="eastAsia" w:ascii="宋体" w:hAnsi="宋体" w:eastAsia="宋体" w:cs="宋体"/>
          <w:b/>
          <w:bCs/>
          <w:color w:val="auto"/>
          <w:sz w:val="28"/>
          <w:szCs w:val="28"/>
        </w:rPr>
        <w:t>招标文件内容确认书</w:t>
      </w:r>
    </w:p>
    <w:p w14:paraId="1C104665">
      <w:pPr>
        <w:pStyle w:val="23"/>
        <w:wordWrap w:val="0"/>
        <w:spacing w:before="7" w:line="360" w:lineRule="auto"/>
        <w:ind w:firstLine="442"/>
        <w:rPr>
          <w:rFonts w:ascii="宋体" w:hAnsi="宋体" w:cs="宋体"/>
          <w:b/>
          <w:color w:val="auto"/>
          <w:sz w:val="22"/>
          <w:highlight w:val="none"/>
        </w:rPr>
      </w:pPr>
    </w:p>
    <w:p w14:paraId="5EA18D61">
      <w:pPr>
        <w:tabs>
          <w:tab w:val="left" w:pos="2226"/>
        </w:tabs>
        <w:wordWrap w:val="0"/>
        <w:spacing w:line="360" w:lineRule="auto"/>
        <w:ind w:firstLine="440"/>
        <w:rPr>
          <w:rFonts w:ascii="宋体" w:hAnsi="宋体" w:cs="宋体"/>
          <w:color w:val="auto"/>
          <w:sz w:val="22"/>
          <w:highlight w:val="none"/>
        </w:rPr>
      </w:pPr>
      <w:r>
        <w:rPr>
          <w:rFonts w:hint="eastAsia" w:ascii="宋体" w:hAnsi="宋体" w:cs="宋体"/>
          <w:color w:val="auto"/>
          <w:sz w:val="22"/>
          <w:highlight w:val="none"/>
        </w:rPr>
        <w:t>致</w:t>
      </w:r>
      <w:r>
        <w:rPr>
          <w:rFonts w:hint="eastAsia" w:ascii="宋体" w:hAnsi="宋体" w:cs="宋体"/>
          <w:color w:val="auto"/>
          <w:sz w:val="22"/>
          <w:highlight w:val="none"/>
          <w:u w:val="single"/>
        </w:rPr>
        <w:t>（采购人</w:t>
      </w:r>
      <w:r>
        <w:rPr>
          <w:rFonts w:hint="eastAsia" w:ascii="宋体" w:hAnsi="宋体" w:cs="宋体"/>
          <w:color w:val="auto"/>
          <w:sz w:val="22"/>
          <w:highlight w:val="none"/>
          <w:u w:val="single"/>
          <w:lang w:val="en-US" w:eastAsia="zh-CN"/>
        </w:rPr>
        <w:t>及</w:t>
      </w:r>
      <w:r>
        <w:rPr>
          <w:rFonts w:hint="eastAsia" w:ascii="宋体" w:hAnsi="宋体" w:cs="宋体"/>
          <w:color w:val="auto"/>
          <w:sz w:val="22"/>
          <w:highlight w:val="none"/>
          <w:u w:val="single"/>
        </w:rPr>
        <w:t>代理机构）</w:t>
      </w:r>
      <w:r>
        <w:rPr>
          <w:rFonts w:hint="eastAsia" w:ascii="宋体" w:hAnsi="宋体" w:cs="宋体"/>
          <w:color w:val="auto"/>
          <w:sz w:val="22"/>
          <w:highlight w:val="none"/>
          <w:u w:val="single"/>
        </w:rPr>
        <w:tab/>
      </w:r>
      <w:r>
        <w:rPr>
          <w:rFonts w:hint="eastAsia" w:ascii="宋体" w:hAnsi="宋体" w:cs="宋体"/>
          <w:color w:val="auto"/>
          <w:sz w:val="22"/>
          <w:highlight w:val="none"/>
        </w:rPr>
        <w:t>：</w:t>
      </w:r>
    </w:p>
    <w:p w14:paraId="713717A3">
      <w:pPr>
        <w:pStyle w:val="23"/>
        <w:wordWrap w:val="0"/>
        <w:spacing w:before="161" w:line="360" w:lineRule="auto"/>
        <w:ind w:left="180" w:right="146" w:firstLine="440"/>
        <w:rPr>
          <w:rFonts w:ascii="宋体" w:hAnsi="宋体" w:cs="宋体"/>
          <w:color w:val="auto"/>
          <w:sz w:val="22"/>
          <w:highlight w:val="none"/>
        </w:rPr>
      </w:pPr>
      <w:r>
        <w:rPr>
          <w:rFonts w:hint="eastAsia" w:ascii="宋体" w:hAnsi="宋体" w:cs="宋体"/>
          <w:color w:val="auto"/>
          <w:sz w:val="22"/>
          <w:highlight w:val="none"/>
        </w:rPr>
        <w:t>我方已经详细阅读整个招标文件的内容，对本招标文件的内容没有任何异议，全部同意并接受。且我方保证在开评标活动结束后不对本招标文件的任何内容提出异议。</w:t>
      </w:r>
    </w:p>
    <w:p w14:paraId="30F122EE">
      <w:pPr>
        <w:pStyle w:val="69"/>
        <w:ind w:firstLine="440"/>
        <w:rPr>
          <w:rFonts w:hAnsi="宋体"/>
          <w:color w:val="auto"/>
          <w:sz w:val="22"/>
          <w:szCs w:val="22"/>
          <w:highlight w:val="none"/>
        </w:rPr>
      </w:pPr>
    </w:p>
    <w:p w14:paraId="461CF84E">
      <w:pPr>
        <w:pStyle w:val="339"/>
        <w:rPr>
          <w:rFonts w:ascii="宋体" w:hAnsi="宋体" w:eastAsia="宋体" w:cs="宋体"/>
          <w:color w:val="auto"/>
          <w:sz w:val="22"/>
          <w:szCs w:val="22"/>
          <w:highlight w:val="none"/>
        </w:rPr>
      </w:pPr>
    </w:p>
    <w:p w14:paraId="55C661CA">
      <w:pPr>
        <w:pStyle w:val="339"/>
        <w:rPr>
          <w:rFonts w:ascii="宋体" w:hAnsi="宋体" w:eastAsia="宋体" w:cs="宋体"/>
          <w:color w:val="auto"/>
          <w:sz w:val="22"/>
          <w:szCs w:val="22"/>
          <w:highlight w:val="none"/>
        </w:rPr>
      </w:pPr>
    </w:p>
    <w:p w14:paraId="45DB5C0E">
      <w:pPr>
        <w:pStyle w:val="339"/>
        <w:rPr>
          <w:rFonts w:ascii="宋体" w:hAnsi="宋体" w:eastAsia="宋体" w:cs="宋体"/>
          <w:color w:val="auto"/>
          <w:sz w:val="22"/>
          <w:szCs w:val="22"/>
          <w:highlight w:val="none"/>
        </w:rPr>
      </w:pPr>
    </w:p>
    <w:p w14:paraId="35EA6368">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供应商（单位电子签章）：</w:t>
      </w:r>
    </w:p>
    <w:p w14:paraId="0C37688E">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法定代表人或授权代表（电子签名或盖章）：</w:t>
      </w:r>
    </w:p>
    <w:p w14:paraId="223F8B31">
      <w:pPr>
        <w:pageBreakBefore w:val="0"/>
        <w:kinsoku/>
        <w:wordWrap w:val="0"/>
        <w:overflowPunct/>
        <w:bidi w:val="0"/>
        <w:spacing w:line="420" w:lineRule="exact"/>
        <w:ind w:firstLine="480"/>
        <w:rPr>
          <w:rFonts w:hint="eastAsia" w:ascii="宋体" w:hAnsi="宋体" w:eastAsia="宋体" w:cs="宋体"/>
          <w:color w:val="auto"/>
          <w:szCs w:val="21"/>
        </w:rPr>
      </w:pPr>
      <w:r>
        <w:rPr>
          <w:rFonts w:hint="eastAsia" w:ascii="宋体" w:hAnsi="宋体" w:eastAsia="宋体" w:cs="宋体"/>
          <w:color w:val="auto"/>
          <w:szCs w:val="21"/>
        </w:rPr>
        <w:t>日期：    年    月    日</w:t>
      </w:r>
    </w:p>
    <w:p w14:paraId="127C6107">
      <w:pPr>
        <w:wordWrap w:val="0"/>
        <w:ind w:firstLine="422"/>
        <w:jc w:val="center"/>
        <w:rPr>
          <w:rFonts w:hint="eastAsia" w:ascii="宋体" w:hAnsi="宋体" w:cs="宋体"/>
          <w:b/>
          <w:color w:val="auto"/>
          <w:szCs w:val="21"/>
          <w:highlight w:val="none"/>
          <w:lang w:val="en-US" w:eastAsia="zh-CN"/>
        </w:rPr>
      </w:pPr>
    </w:p>
    <w:p w14:paraId="3EA9B734">
      <w:pPr>
        <w:wordWrap w:val="0"/>
        <w:ind w:firstLine="422"/>
        <w:jc w:val="center"/>
        <w:rPr>
          <w:rFonts w:hint="eastAsia" w:ascii="宋体" w:hAnsi="宋体" w:cs="宋体"/>
          <w:b/>
          <w:color w:val="auto"/>
          <w:szCs w:val="21"/>
          <w:highlight w:val="none"/>
          <w:lang w:val="en-US" w:eastAsia="zh-CN"/>
        </w:rPr>
      </w:pPr>
    </w:p>
    <w:p w14:paraId="1234E1E2">
      <w:pPr>
        <w:wordWrap w:val="0"/>
        <w:ind w:firstLine="422"/>
        <w:jc w:val="center"/>
        <w:rPr>
          <w:rFonts w:hint="eastAsia" w:ascii="宋体" w:hAnsi="宋体" w:cs="宋体"/>
          <w:b/>
          <w:color w:val="auto"/>
          <w:szCs w:val="21"/>
          <w:highlight w:val="none"/>
          <w:lang w:val="en-US" w:eastAsia="zh-CN"/>
        </w:rPr>
      </w:pPr>
    </w:p>
    <w:p w14:paraId="3FA13326">
      <w:pPr>
        <w:wordWrap w:val="0"/>
        <w:ind w:firstLine="422"/>
        <w:jc w:val="center"/>
        <w:rPr>
          <w:rFonts w:hint="eastAsia" w:ascii="宋体" w:hAnsi="宋体" w:cs="宋体"/>
          <w:b/>
          <w:color w:val="auto"/>
          <w:szCs w:val="21"/>
          <w:highlight w:val="none"/>
          <w:lang w:val="en-US" w:eastAsia="zh-CN"/>
        </w:rPr>
      </w:pPr>
    </w:p>
    <w:p w14:paraId="197F23E4">
      <w:pPr>
        <w:wordWrap w:val="0"/>
        <w:ind w:firstLine="422"/>
        <w:jc w:val="center"/>
        <w:rPr>
          <w:rFonts w:hint="eastAsia" w:ascii="宋体" w:hAnsi="宋体" w:cs="宋体"/>
          <w:b/>
          <w:color w:val="auto"/>
          <w:szCs w:val="21"/>
          <w:highlight w:val="none"/>
          <w:lang w:val="en-US" w:eastAsia="zh-CN"/>
        </w:rPr>
      </w:pPr>
    </w:p>
    <w:p w14:paraId="06358937">
      <w:pPr>
        <w:wordWrap w:val="0"/>
        <w:ind w:firstLine="422"/>
        <w:jc w:val="center"/>
        <w:rPr>
          <w:rFonts w:hint="eastAsia" w:ascii="宋体" w:hAnsi="宋体" w:cs="宋体"/>
          <w:b/>
          <w:color w:val="auto"/>
          <w:szCs w:val="21"/>
          <w:highlight w:val="none"/>
          <w:lang w:val="en-US" w:eastAsia="zh-CN"/>
        </w:rPr>
      </w:pPr>
    </w:p>
    <w:p w14:paraId="30D754E8">
      <w:pPr>
        <w:wordWrap w:val="0"/>
        <w:ind w:firstLine="422"/>
        <w:jc w:val="center"/>
        <w:rPr>
          <w:rFonts w:hint="eastAsia" w:ascii="宋体" w:hAnsi="宋体" w:cs="宋体"/>
          <w:b/>
          <w:color w:val="auto"/>
          <w:szCs w:val="21"/>
          <w:highlight w:val="none"/>
          <w:lang w:val="en-US" w:eastAsia="zh-CN"/>
        </w:rPr>
      </w:pPr>
    </w:p>
    <w:p w14:paraId="538DF9D5">
      <w:pPr>
        <w:wordWrap w:val="0"/>
        <w:ind w:firstLine="422"/>
        <w:jc w:val="center"/>
        <w:rPr>
          <w:rFonts w:hint="eastAsia" w:ascii="宋体" w:hAnsi="宋体" w:cs="宋体"/>
          <w:b/>
          <w:color w:val="auto"/>
          <w:szCs w:val="21"/>
          <w:highlight w:val="none"/>
          <w:lang w:val="en-US" w:eastAsia="zh-CN"/>
        </w:rPr>
      </w:pPr>
    </w:p>
    <w:p w14:paraId="45095745">
      <w:pPr>
        <w:wordWrap w:val="0"/>
        <w:ind w:firstLine="422"/>
        <w:jc w:val="center"/>
        <w:rPr>
          <w:rFonts w:hint="eastAsia" w:ascii="宋体" w:hAnsi="宋体" w:cs="宋体"/>
          <w:b/>
          <w:color w:val="auto"/>
          <w:szCs w:val="21"/>
          <w:highlight w:val="none"/>
          <w:lang w:val="en-US" w:eastAsia="zh-CN"/>
        </w:rPr>
      </w:pPr>
    </w:p>
    <w:p w14:paraId="7A98A35D">
      <w:pPr>
        <w:pStyle w:val="69"/>
        <w:rPr>
          <w:rFonts w:hint="eastAsia" w:ascii="宋体" w:hAnsi="宋体" w:cs="宋体"/>
          <w:b/>
          <w:color w:val="auto"/>
          <w:szCs w:val="21"/>
          <w:highlight w:val="none"/>
          <w:lang w:val="en-US" w:eastAsia="zh-CN"/>
        </w:rPr>
      </w:pPr>
    </w:p>
    <w:p w14:paraId="0FA8294A">
      <w:pPr>
        <w:pStyle w:val="13"/>
        <w:rPr>
          <w:rFonts w:hint="eastAsia" w:ascii="宋体" w:hAnsi="宋体" w:cs="宋体"/>
          <w:b/>
          <w:color w:val="auto"/>
          <w:szCs w:val="21"/>
          <w:highlight w:val="none"/>
          <w:lang w:val="en-US" w:eastAsia="zh-CN"/>
        </w:rPr>
      </w:pPr>
    </w:p>
    <w:p w14:paraId="45624BEA">
      <w:pPr>
        <w:rPr>
          <w:rFonts w:hint="eastAsia" w:ascii="宋体" w:hAnsi="宋体" w:cs="宋体"/>
          <w:b/>
          <w:color w:val="auto"/>
          <w:szCs w:val="21"/>
          <w:highlight w:val="none"/>
          <w:lang w:val="en-US" w:eastAsia="zh-CN"/>
        </w:rPr>
      </w:pPr>
    </w:p>
    <w:p w14:paraId="71E8EF98">
      <w:pPr>
        <w:pStyle w:val="69"/>
        <w:rPr>
          <w:rFonts w:hint="eastAsia" w:ascii="宋体" w:hAnsi="宋体" w:cs="宋体"/>
          <w:b/>
          <w:color w:val="auto"/>
          <w:szCs w:val="21"/>
          <w:highlight w:val="none"/>
          <w:lang w:val="en-US" w:eastAsia="zh-CN"/>
        </w:rPr>
      </w:pPr>
    </w:p>
    <w:p w14:paraId="33C65730">
      <w:pPr>
        <w:pStyle w:val="13"/>
        <w:rPr>
          <w:rFonts w:hint="eastAsia" w:ascii="宋体" w:hAnsi="宋体" w:cs="宋体"/>
          <w:b/>
          <w:color w:val="auto"/>
          <w:szCs w:val="21"/>
          <w:highlight w:val="none"/>
          <w:lang w:val="en-US" w:eastAsia="zh-CN"/>
        </w:rPr>
      </w:pPr>
    </w:p>
    <w:p w14:paraId="223C3182">
      <w:pPr>
        <w:rPr>
          <w:rFonts w:hint="eastAsia" w:ascii="宋体" w:hAnsi="宋体" w:cs="宋体"/>
          <w:b/>
          <w:color w:val="auto"/>
          <w:szCs w:val="21"/>
          <w:highlight w:val="none"/>
          <w:lang w:val="en-US" w:eastAsia="zh-CN"/>
        </w:rPr>
      </w:pPr>
    </w:p>
    <w:p w14:paraId="4603AF1B">
      <w:pPr>
        <w:pStyle w:val="69"/>
        <w:rPr>
          <w:rFonts w:hint="eastAsia" w:ascii="宋体" w:hAnsi="宋体" w:cs="宋体"/>
          <w:b/>
          <w:color w:val="auto"/>
          <w:szCs w:val="21"/>
          <w:highlight w:val="none"/>
          <w:lang w:val="en-US" w:eastAsia="zh-CN"/>
        </w:rPr>
      </w:pPr>
    </w:p>
    <w:p w14:paraId="341BAF26">
      <w:pPr>
        <w:pStyle w:val="13"/>
        <w:rPr>
          <w:rFonts w:hint="eastAsia" w:ascii="宋体" w:hAnsi="宋体" w:cs="宋体"/>
          <w:b/>
          <w:color w:val="auto"/>
          <w:szCs w:val="21"/>
          <w:highlight w:val="none"/>
          <w:lang w:val="en-US" w:eastAsia="zh-CN"/>
        </w:rPr>
      </w:pPr>
    </w:p>
    <w:p w14:paraId="33255BA5">
      <w:pPr>
        <w:rPr>
          <w:rFonts w:hint="eastAsia" w:ascii="宋体" w:hAnsi="宋体" w:cs="宋体"/>
          <w:b/>
          <w:color w:val="auto"/>
          <w:szCs w:val="21"/>
          <w:highlight w:val="none"/>
          <w:lang w:val="en-US" w:eastAsia="zh-CN"/>
        </w:rPr>
      </w:pPr>
    </w:p>
    <w:p w14:paraId="6C40FF05">
      <w:pPr>
        <w:pStyle w:val="69"/>
        <w:rPr>
          <w:rFonts w:hint="eastAsia" w:ascii="宋体" w:hAnsi="宋体" w:cs="宋体"/>
          <w:b/>
          <w:color w:val="auto"/>
          <w:szCs w:val="21"/>
          <w:highlight w:val="none"/>
          <w:lang w:val="en-US" w:eastAsia="zh-CN"/>
        </w:rPr>
      </w:pPr>
    </w:p>
    <w:p w14:paraId="7E0D717B">
      <w:pPr>
        <w:pStyle w:val="13"/>
        <w:rPr>
          <w:rFonts w:hint="eastAsia" w:ascii="宋体" w:hAnsi="宋体" w:cs="宋体"/>
          <w:b/>
          <w:color w:val="auto"/>
          <w:szCs w:val="21"/>
          <w:highlight w:val="none"/>
          <w:lang w:val="en-US" w:eastAsia="zh-CN"/>
        </w:rPr>
      </w:pPr>
    </w:p>
    <w:p w14:paraId="12FECC0C">
      <w:pPr>
        <w:rPr>
          <w:rFonts w:hint="eastAsia" w:ascii="宋体" w:hAnsi="宋体" w:cs="宋体"/>
          <w:b/>
          <w:color w:val="auto"/>
          <w:szCs w:val="21"/>
          <w:highlight w:val="none"/>
          <w:lang w:val="en-US" w:eastAsia="zh-CN"/>
        </w:rPr>
      </w:pPr>
    </w:p>
    <w:p w14:paraId="58C2B739">
      <w:pPr>
        <w:pStyle w:val="69"/>
        <w:rPr>
          <w:rFonts w:hint="eastAsia" w:ascii="宋体" w:hAnsi="宋体" w:cs="宋体"/>
          <w:b/>
          <w:color w:val="auto"/>
          <w:szCs w:val="21"/>
          <w:highlight w:val="none"/>
          <w:lang w:val="en-US" w:eastAsia="zh-CN"/>
        </w:rPr>
      </w:pPr>
    </w:p>
    <w:p w14:paraId="601FD9F7">
      <w:pPr>
        <w:pStyle w:val="13"/>
        <w:rPr>
          <w:rFonts w:hint="eastAsia" w:ascii="宋体" w:hAnsi="宋体" w:cs="宋体"/>
          <w:b/>
          <w:color w:val="auto"/>
          <w:szCs w:val="21"/>
          <w:highlight w:val="none"/>
          <w:lang w:val="en-US" w:eastAsia="zh-CN"/>
        </w:rPr>
      </w:pPr>
    </w:p>
    <w:p w14:paraId="5D090F26">
      <w:pPr>
        <w:rPr>
          <w:rFonts w:hint="eastAsia" w:ascii="宋体" w:hAnsi="宋体" w:cs="宋体"/>
          <w:b/>
          <w:color w:val="auto"/>
          <w:szCs w:val="21"/>
          <w:highlight w:val="none"/>
          <w:lang w:val="en-US" w:eastAsia="zh-CN"/>
        </w:rPr>
      </w:pPr>
    </w:p>
    <w:p w14:paraId="03BA804F">
      <w:pPr>
        <w:pStyle w:val="69"/>
        <w:rPr>
          <w:rFonts w:hint="eastAsia" w:ascii="宋体" w:hAnsi="宋体" w:cs="宋体"/>
          <w:b/>
          <w:color w:val="auto"/>
          <w:szCs w:val="21"/>
          <w:highlight w:val="none"/>
          <w:lang w:val="en-US" w:eastAsia="zh-CN"/>
        </w:rPr>
      </w:pPr>
    </w:p>
    <w:p w14:paraId="50A4853A">
      <w:pPr>
        <w:pStyle w:val="13"/>
        <w:rPr>
          <w:rFonts w:hint="eastAsia" w:ascii="宋体" w:hAnsi="宋体" w:cs="宋体"/>
          <w:b/>
          <w:color w:val="auto"/>
          <w:szCs w:val="21"/>
          <w:highlight w:val="none"/>
          <w:lang w:val="en-US" w:eastAsia="zh-CN"/>
        </w:rPr>
      </w:pPr>
    </w:p>
    <w:p w14:paraId="039167CD">
      <w:pPr>
        <w:rPr>
          <w:rFonts w:hint="eastAsia" w:ascii="宋体" w:hAnsi="宋体" w:cs="宋体"/>
          <w:b/>
          <w:color w:val="auto"/>
          <w:szCs w:val="21"/>
          <w:highlight w:val="none"/>
          <w:lang w:val="en-US" w:eastAsia="zh-CN"/>
        </w:rPr>
      </w:pPr>
    </w:p>
    <w:p w14:paraId="5CE55D24">
      <w:pPr>
        <w:pStyle w:val="69"/>
        <w:rPr>
          <w:rFonts w:hint="eastAsia" w:ascii="宋体" w:hAnsi="宋体" w:cs="宋体"/>
          <w:b/>
          <w:color w:val="auto"/>
          <w:szCs w:val="21"/>
          <w:highlight w:val="none"/>
          <w:lang w:val="en-US" w:eastAsia="zh-CN"/>
        </w:rPr>
      </w:pPr>
    </w:p>
    <w:p w14:paraId="196079DE">
      <w:pPr>
        <w:pStyle w:val="13"/>
        <w:rPr>
          <w:rFonts w:hint="eastAsia" w:ascii="宋体" w:hAnsi="宋体" w:cs="宋体"/>
          <w:b/>
          <w:color w:val="auto"/>
          <w:szCs w:val="21"/>
          <w:highlight w:val="none"/>
          <w:lang w:val="en-US" w:eastAsia="zh-CN"/>
        </w:rPr>
      </w:pPr>
    </w:p>
    <w:p w14:paraId="5F53E0F1">
      <w:pPr>
        <w:rPr>
          <w:rFonts w:hint="eastAsia"/>
          <w:color w:val="auto"/>
          <w:lang w:val="en-US" w:eastAsia="zh-CN"/>
        </w:rPr>
      </w:pPr>
    </w:p>
    <w:p w14:paraId="514A08F5">
      <w:pPr>
        <w:wordWrap w:val="0"/>
        <w:ind w:firstLine="422"/>
        <w:jc w:val="center"/>
        <w:rPr>
          <w:rFonts w:hint="eastAsia" w:ascii="宋体" w:hAnsi="宋体" w:cs="宋体"/>
          <w:b/>
          <w:color w:val="auto"/>
          <w:szCs w:val="21"/>
          <w:highlight w:val="none"/>
          <w:lang w:val="en-US" w:eastAsia="zh-CN"/>
        </w:rPr>
      </w:pPr>
    </w:p>
    <w:p w14:paraId="76B7318E">
      <w:pPr>
        <w:pageBreakBefore w:val="0"/>
        <w:kinsoku/>
        <w:wordWrap w:val="0"/>
        <w:overflowPunct/>
        <w:bidi w:val="0"/>
        <w:spacing w:line="420" w:lineRule="exact"/>
        <w:jc w:val="center"/>
        <w:outlineLvl w:val="2"/>
        <w:rPr>
          <w:rFonts w:hint="eastAsia" w:ascii="宋体" w:hAnsi="宋体" w:eastAsia="宋体" w:cs="宋体"/>
          <w:color w:val="auto"/>
        </w:rPr>
      </w:pPr>
      <w:r>
        <w:rPr>
          <w:rFonts w:hint="eastAsia" w:ascii="宋体" w:hAnsi="宋体" w:eastAsia="宋体" w:cs="宋体"/>
          <w:b/>
          <w:bCs/>
          <w:color w:val="auto"/>
          <w:sz w:val="28"/>
          <w:szCs w:val="28"/>
        </w:rPr>
        <w:br w:type="page"/>
      </w:r>
      <w:bookmarkEnd w:id="984"/>
    </w:p>
    <w:p w14:paraId="49A86509">
      <w:pPr>
        <w:pStyle w:val="69"/>
        <w:pageBreakBefore w:val="0"/>
        <w:kinsoku/>
        <w:wordWrap w:val="0"/>
        <w:overflowPunct/>
        <w:topLinePunct w:val="0"/>
        <w:bidi w:val="0"/>
        <w:jc w:val="center"/>
        <w:rPr>
          <w:rFonts w:hint="eastAsia" w:ascii="宋体" w:hAnsi="宋体" w:eastAsia="宋体" w:cs="宋体"/>
          <w:b/>
          <w:bCs/>
          <w:color w:val="auto"/>
        </w:rPr>
      </w:pPr>
      <w:r>
        <w:rPr>
          <w:rFonts w:hint="eastAsia" w:ascii="宋体" w:hAnsi="宋体" w:eastAsia="宋体" w:cs="宋体"/>
          <w:b/>
          <w:color w:val="auto"/>
          <w:sz w:val="36"/>
          <w:szCs w:val="36"/>
        </w:rPr>
        <w:t>河南省政府采购合同融资政策告知函</w:t>
      </w:r>
    </w:p>
    <w:p w14:paraId="0FE3BB10">
      <w:pPr>
        <w:pStyle w:val="23"/>
        <w:keepNext w:val="0"/>
        <w:keepLines w:val="0"/>
        <w:pageBreakBefore w:val="0"/>
        <w:widowControl w:val="0"/>
        <w:kinsoku/>
        <w:wordWrap w:val="0"/>
        <w:overflowPunct/>
        <w:topLinePunct w:val="0"/>
        <w:autoSpaceDE/>
        <w:autoSpaceDN/>
        <w:bidi w:val="0"/>
        <w:adjustRightInd/>
        <w:snapToGrid/>
        <w:spacing w:after="0" w:line="242" w:lineRule="auto"/>
        <w:ind w:left="0" w:right="0"/>
        <w:textAlignment w:val="auto"/>
        <w:rPr>
          <w:rFonts w:hint="eastAsia" w:ascii="宋体" w:hAnsi="宋体" w:eastAsia="宋体" w:cs="宋体"/>
          <w:color w:val="auto"/>
          <w:sz w:val="21"/>
        </w:rPr>
      </w:pPr>
    </w:p>
    <w:p w14:paraId="28557D6C">
      <w:pPr>
        <w:pStyle w:val="482"/>
        <w:pageBreakBefore w:val="0"/>
        <w:kinsoku/>
        <w:wordWrap w:val="0"/>
        <w:overflowPunct/>
        <w:topLinePunct w:val="0"/>
        <w:bidi w:val="0"/>
        <w:spacing w:line="607" w:lineRule="exact"/>
        <w:ind w:left="0" w:leftChars="0"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各供应商：</w:t>
      </w:r>
    </w:p>
    <w:p w14:paraId="0ABC57A5">
      <w:pPr>
        <w:pStyle w:val="482"/>
        <w:pageBreakBefore w:val="0"/>
        <w:kinsoku/>
        <w:wordWrap w:val="0"/>
        <w:overflowPunct/>
        <w:topLinePunct w:val="0"/>
        <w:bidi w:val="0"/>
        <w:spacing w:line="607" w:lineRule="exact"/>
        <w:ind w:left="0" w:leftChars="0"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欢迎贵公司参与河南省政府采购活动！</w:t>
      </w:r>
    </w:p>
    <w:p w14:paraId="50AA6B0D">
      <w:pPr>
        <w:pStyle w:val="482"/>
        <w:pageBreakBefore w:val="0"/>
        <w:kinsoku/>
        <w:wordWrap w:val="0"/>
        <w:overflowPunct/>
        <w:topLinePunct w:val="0"/>
        <w:bidi w:val="0"/>
        <w:spacing w:line="607" w:lineRule="exact"/>
        <w:ind w:firstLine="620"/>
        <w:jc w:val="left"/>
        <w:rPr>
          <w:rFonts w:hint="eastAsia" w:ascii="宋体" w:hAnsi="宋体" w:eastAsia="宋体" w:cs="宋体"/>
          <w:color w:val="auto"/>
          <w:sz w:val="28"/>
          <w:szCs w:val="28"/>
        </w:rPr>
      </w:pPr>
      <w:r>
        <w:rPr>
          <w:rFonts w:hint="eastAsia" w:ascii="宋体" w:hAnsi="宋体" w:eastAsia="宋体" w:cs="宋体"/>
          <w:color w:val="auto"/>
          <w:sz w:val="28"/>
          <w:szCs w:val="28"/>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7EA2FDD1">
      <w:pPr>
        <w:pStyle w:val="482"/>
        <w:pageBreakBefore w:val="0"/>
        <w:kinsoku/>
        <w:wordWrap w:val="0"/>
        <w:overflowPunct/>
        <w:topLinePunct w:val="0"/>
        <w:bidi w:val="0"/>
        <w:spacing w:after="580" w:line="607" w:lineRule="exact"/>
        <w:ind w:firstLine="620"/>
        <w:jc w:val="left"/>
        <w:rPr>
          <w:rFonts w:hint="eastAsia" w:ascii="宋体" w:hAnsi="宋体" w:eastAsia="宋体" w:cs="宋体"/>
          <w:color w:val="auto"/>
          <w:sz w:val="28"/>
          <w:szCs w:val="28"/>
        </w:rPr>
      </w:pPr>
      <w:r>
        <w:rPr>
          <w:rFonts w:hint="eastAsia" w:ascii="宋体" w:hAnsi="宋体" w:eastAsia="宋体" w:cs="宋体"/>
          <w:color w:val="auto"/>
          <w:sz w:val="28"/>
          <w:szCs w:val="28"/>
        </w:rPr>
        <w:t>贷款渠道和提供贷款的金融机构，可在河南省政府采购网</w:t>
      </w:r>
      <w:r>
        <w:rPr>
          <w:rFonts w:hint="eastAsia" w:ascii="宋体" w:hAnsi="宋体" w:eastAsia="宋体" w:cs="宋体"/>
          <w:color w:val="auto"/>
          <w:sz w:val="28"/>
          <w:szCs w:val="28"/>
          <w:lang w:val="zh-CN" w:eastAsia="zh-CN" w:bidi="zh-CN"/>
        </w:rPr>
        <w:t>“河南</w:t>
      </w:r>
      <w:r>
        <w:rPr>
          <w:rFonts w:hint="eastAsia" w:ascii="宋体" w:hAnsi="宋体" w:eastAsia="宋体" w:cs="宋体"/>
          <w:color w:val="auto"/>
          <w:sz w:val="28"/>
          <w:szCs w:val="28"/>
        </w:rPr>
        <w:t>省政府采购合同融资平台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查询联系。</w:t>
      </w:r>
    </w:p>
    <w:p w14:paraId="432A70EC">
      <w:pPr>
        <w:pStyle w:val="482"/>
        <w:pageBreakBefore w:val="0"/>
        <w:kinsoku/>
        <w:wordWrap w:val="0"/>
        <w:overflowPunct/>
        <w:topLinePunct w:val="0"/>
        <w:bidi w:val="0"/>
        <w:spacing w:after="580" w:line="607" w:lineRule="exact"/>
        <w:ind w:firstLine="620"/>
        <w:jc w:val="left"/>
        <w:rPr>
          <w:rFonts w:hint="eastAsia" w:ascii="宋体" w:hAnsi="宋体" w:eastAsia="宋体" w:cs="宋体"/>
          <w:color w:val="auto"/>
        </w:rPr>
      </w:pPr>
      <w:r>
        <w:rPr>
          <w:rFonts w:hint="eastAsia" w:ascii="宋体" w:hAnsi="宋体" w:eastAsia="宋体" w:cs="宋体"/>
          <w:color w:val="auto"/>
        </w:rPr>
        <w:t>我县合作融资平台为</w:t>
      </w:r>
      <w:r>
        <w:rPr>
          <w:rFonts w:hint="eastAsia" w:ascii="宋体" w:hAnsi="宋体" w:eastAsia="宋体" w:cs="宋体"/>
          <w:color w:val="auto"/>
          <w:lang w:val="en-US" w:eastAsia="zh-CN"/>
        </w:rPr>
        <w:t>1、</w:t>
      </w:r>
      <w:r>
        <w:rPr>
          <w:rFonts w:hint="eastAsia" w:ascii="宋体" w:hAnsi="宋体" w:eastAsia="宋体" w:cs="宋体"/>
          <w:color w:val="auto"/>
        </w:rPr>
        <w:t>中原银行固始支行，联系人：吴宵 联系方式：13526070966</w:t>
      </w:r>
      <w:r>
        <w:rPr>
          <w:rFonts w:hint="eastAsia" w:ascii="宋体" w:hAnsi="宋体" w:eastAsia="宋体" w:cs="宋体"/>
          <w:color w:val="auto"/>
          <w:lang w:eastAsia="zh-CN"/>
        </w:rPr>
        <w:t>；</w:t>
      </w:r>
      <w:r>
        <w:rPr>
          <w:rFonts w:hint="eastAsia" w:ascii="宋体" w:hAnsi="宋体" w:eastAsia="宋体" w:cs="宋体"/>
          <w:color w:val="auto"/>
        </w:rPr>
        <w:t>2、中国农业银行固始县支行，联系人：姚玉烛 联系方式：18037601233。</w:t>
      </w:r>
    </w:p>
    <w:p w14:paraId="469F6DD4">
      <w:pPr>
        <w:pageBreakBefore w:val="0"/>
        <w:kinsoku/>
        <w:wordWrap w:val="0"/>
        <w:overflowPunct/>
        <w:bidi w:val="0"/>
        <w:spacing w:line="420" w:lineRule="exact"/>
        <w:rPr>
          <w:rFonts w:hint="default" w:ascii="宋体" w:hAnsi="宋体" w:eastAsia="宋体" w:cs="宋体"/>
          <w:color w:val="auto"/>
          <w:szCs w:val="21"/>
          <w:lang w:val="en-US" w:eastAsia="zh-CN"/>
        </w:rPr>
      </w:pPr>
      <w:r>
        <w:rPr>
          <w:rFonts w:hint="eastAsia" w:ascii="宋体" w:hAnsi="宋体" w:cs="宋体"/>
          <w:color w:val="auto"/>
          <w:szCs w:val="21"/>
          <w:lang w:val="en-US" w:eastAsia="zh-CN"/>
        </w:rPr>
        <w:t>此项仅为告知，无需附进响应文件。</w:t>
      </w:r>
    </w:p>
    <w:p w14:paraId="0CAE4D40">
      <w:pPr>
        <w:pageBreakBefore w:val="0"/>
        <w:kinsoku/>
        <w:wordWrap w:val="0"/>
        <w:overflowPunct/>
        <w:bidi w:val="0"/>
        <w:rPr>
          <w:rFonts w:hint="eastAsia" w:ascii="宋体" w:hAnsi="宋体" w:eastAsia="宋体" w:cs="宋体"/>
          <w:color w:val="auto"/>
        </w:rPr>
      </w:pPr>
    </w:p>
    <w:p w14:paraId="0ADB68B3">
      <w:pPr>
        <w:pageBreakBefore w:val="0"/>
        <w:kinsoku/>
        <w:wordWrap w:val="0"/>
        <w:overflowPunct/>
        <w:bidi w:val="0"/>
        <w:rPr>
          <w:rFonts w:hint="eastAsia" w:ascii="宋体" w:hAnsi="宋体" w:eastAsia="宋体" w:cs="宋体"/>
          <w:color w:val="auto"/>
        </w:rPr>
      </w:pPr>
    </w:p>
    <w:sectPr>
      <w:footerReference r:id="rId13" w:type="default"/>
      <w:pgSz w:w="11906" w:h="16838"/>
      <w:pgMar w:top="1418" w:right="1418" w:bottom="1418" w:left="1418" w:header="851"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auto"/>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Gothic">
    <w:panose1 w:val="020B0609070205080204"/>
    <w:charset w:val="80"/>
    <w:family w:val="modern"/>
    <w:pitch w:val="default"/>
    <w:sig w:usb0="E00002FF" w:usb1="6AC7FDFB" w:usb2="08000012" w:usb3="00000000" w:csb0="4002009F" w:csb1="DFD70000"/>
  </w:font>
  <w:font w:name="Arial Unicode MS">
    <w:altName w:val="宋体"/>
    <w:panose1 w:val="020B0604020202020204"/>
    <w:charset w:val="86"/>
    <w:family w:val="swiss"/>
    <w:pitch w:val="default"/>
    <w:sig w:usb0="00000000" w:usb1="00000000" w:usb2="0000003F" w:usb3="00000000" w:csb0="603F01FF" w:csb1="FFFF0000"/>
  </w:font>
  <w:font w:name="Univers">
    <w:altName w:val="Arial"/>
    <w:panose1 w:val="00000000000000000000"/>
    <w:charset w:val="00"/>
    <w:family w:val="auto"/>
    <w:pitch w:val="default"/>
    <w:sig w:usb0="00000000" w:usb1="00000000" w:usb2="00000000" w:usb3="00000000" w:csb0="00000093" w:csb1="00000000"/>
  </w:font>
  <w:font w:name="Adobe 宋体 Std L">
    <w:altName w:val="宋体"/>
    <w:panose1 w:val="02020300000000000000"/>
    <w:charset w:val="86"/>
    <w:family w:val="roman"/>
    <w:pitch w:val="default"/>
    <w:sig w:usb0="00000000" w:usb1="00000000" w:usb2="00000016" w:usb3="00000000" w:csb0="00060007"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B554">
    <w:pPr>
      <w:pStyle w:val="3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6C48F">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5E5D">
    <w:pPr>
      <w:pStyle w:val="3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ABA23">
    <w:pPr>
      <w:pStyle w:val="3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FF6DAC">
                          <w:pPr>
                            <w:pStyle w:val="3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14:paraId="6EFF6DAC">
                    <w:pPr>
                      <w:pStyle w:val="36"/>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F161C">
    <w:pPr>
      <w:pStyle w:val="3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509D58">
                          <w:pPr>
                            <w:pStyle w:val="36"/>
                          </w:pPr>
                          <w:r>
                            <w:fldChar w:fldCharType="begin"/>
                          </w:r>
                          <w:r>
                            <w:instrText xml:space="preserve"> PAGE  \* MERGEFORMAT </w:instrText>
                          </w:r>
                          <w:r>
                            <w:fldChar w:fldCharType="separate"/>
                          </w:r>
                          <w:r>
                            <w:t>35</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bUckBAACZ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4ptRyQEAAJkDAAAOAAAAAAAAAAEAIAAAAB4BAABkcnMvZTJvRG9j&#10;LnhtbFBLBQYAAAAABgAGAFkBAABZBQAAAAA=&#10;">
              <v:fill on="f" focussize="0,0"/>
              <v:stroke on="f"/>
              <v:imagedata o:title=""/>
              <o:lock v:ext="edit" aspectratio="f"/>
              <v:textbox inset="0mm,0mm,0mm,0mm" style="mso-fit-shape-to-text:t;">
                <w:txbxContent>
                  <w:p w14:paraId="79509D58">
                    <w:pPr>
                      <w:pStyle w:val="3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FB1A2">
    <w:pPr>
      <w:pStyle w:val="36"/>
      <w:ind w:firstLine="90" w:firstLineChars="5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50E96A">
                          <w:pPr>
                            <w:pStyle w:val="36"/>
                          </w:pPr>
                          <w:r>
                            <w:fldChar w:fldCharType="begin"/>
                          </w:r>
                          <w:r>
                            <w:instrText xml:space="preserve"> PAGE  \* MERGEFORMAT </w:instrText>
                          </w:r>
                          <w:r>
                            <w:fldChar w:fldCharType="separate"/>
                          </w:r>
                          <w:r>
                            <w:t>55</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PkP8kBAACZ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xw+Q/yQEAAJkDAAAOAAAAAAAAAAEAIAAAAB4BAABkcnMvZTJvRG9j&#10;LnhtbFBLBQYAAAAABgAGAFkBAABZBQAAAAA=&#10;">
              <v:fill on="f" focussize="0,0"/>
              <v:stroke on="f"/>
              <v:imagedata o:title=""/>
              <o:lock v:ext="edit" aspectratio="f"/>
              <v:textbox inset="0mm,0mm,0mm,0mm" style="mso-fit-shape-to-text:t;">
                <w:txbxContent>
                  <w:p w14:paraId="0F50E96A">
                    <w:pPr>
                      <w:pStyle w:val="3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09B74">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90FE8">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0CA86">
    <w:pPr>
      <w:pStyle w:val="3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71100">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5FD06">
    <w:pPr>
      <w:pStyle w:val="37"/>
      <w:pBdr>
        <w:bottom w:val="none" w:color="auto" w:sz="0" w:space="1"/>
      </w:pBdr>
      <w:bidi w:val="0"/>
      <w:jc w:val="right"/>
      <w:rPr>
        <w:rFonts w:hint="eastAsia" w:ascii="宋体" w:hAnsi="宋体" w:eastAsia="宋体" w:cs="宋体"/>
        <w:i/>
        <w:iCs/>
        <w:color w:val="0000FF"/>
        <w:sz w:val="18"/>
        <w:szCs w:val="18"/>
        <w:lang w:val="en-US" w:eastAsia="zh-CN"/>
      </w:rPr>
    </w:pPr>
    <w:r>
      <w:rPr>
        <w:rFonts w:hint="eastAsia" w:ascii="宋体" w:hAnsi="宋体"/>
        <w:i/>
        <w:iCs/>
        <w:color w:val="0000FF"/>
        <w:sz w:val="18"/>
        <w:szCs w:val="18"/>
        <w:lang w:val="en-US" w:eastAsia="zh-CN"/>
      </w:rPr>
      <w:t xml:space="preserve"> </w:t>
    </w:r>
    <w:r>
      <w:rPr>
        <w:rFonts w:hint="eastAsia" w:ascii="宋体" w:hAnsi="宋体" w:eastAsia="宋体" w:cs="宋体"/>
        <w:i/>
        <w:iCs/>
        <w:color w:val="0000FF"/>
        <w:sz w:val="18"/>
        <w:szCs w:val="18"/>
        <w:lang w:val="en-US" w:eastAsia="zh-CN"/>
      </w:rPr>
      <w:t xml:space="preserve"> </w:t>
    </w:r>
  </w:p>
  <w:p w14:paraId="3A74BF90">
    <w:pPr>
      <w:pStyle w:val="37"/>
      <w:pBdr>
        <w:bottom w:val="none" w:color="auto" w:sz="0" w:space="1"/>
      </w:pBdr>
      <w:bidi w:val="0"/>
      <w:jc w:val="right"/>
      <w:rPr>
        <w:rFonts w:hint="eastAsia" w:ascii="黑体" w:eastAsia="黑体"/>
        <w:color w:val="0000FF"/>
        <w:sz w:val="20"/>
      </w:rPr>
    </w:pPr>
    <w:r>
      <w:rPr>
        <w:rFonts w:hint="eastAsia" w:ascii="宋体" w:hAnsi="宋体"/>
        <w:sz w:val="15"/>
        <w:szCs w:val="15"/>
      </w:rPr>
      <w:t xml:space="preserve">                                     </w:t>
    </w:r>
    <w:r>
      <w:rPr>
        <w:rFonts w:hint="eastAsia" w:ascii="宋体" w:hAnsi="宋体"/>
        <w:i/>
        <w:iCs/>
        <w:color w:val="0000FF"/>
        <w:sz w:val="18"/>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F3C7A"/>
    <w:multiLevelType w:val="singleLevel"/>
    <w:tmpl w:val="98EF3C7A"/>
    <w:lvl w:ilvl="0" w:tentative="0">
      <w:start w:val="2"/>
      <w:numFmt w:val="chineseCounting"/>
      <w:suff w:val="space"/>
      <w:lvlText w:val="第%1章"/>
      <w:lvlJc w:val="left"/>
      <w:rPr>
        <w:rFonts w:hint="eastAsia"/>
      </w:rPr>
    </w:lvl>
  </w:abstractNum>
  <w:abstractNum w:abstractNumId="1">
    <w:nsid w:val="00000002"/>
    <w:multiLevelType w:val="singleLevel"/>
    <w:tmpl w:val="00000002"/>
    <w:lvl w:ilvl="0" w:tentative="0">
      <w:start w:val="1"/>
      <w:numFmt w:val="chineseCounting"/>
      <w:suff w:val="nothing"/>
      <w:lvlText w:val="%1、"/>
      <w:lvlJc w:val="left"/>
      <w:rPr>
        <w:rFonts w:hint="eastAsia"/>
      </w:rPr>
    </w:lvl>
  </w:abstractNum>
  <w:abstractNum w:abstractNumId="2">
    <w:nsid w:val="00000006"/>
    <w:multiLevelType w:val="singleLevel"/>
    <w:tmpl w:val="00000006"/>
    <w:lvl w:ilvl="0" w:tentative="0">
      <w:start w:val="1"/>
      <w:numFmt w:val="chineseCounting"/>
      <w:suff w:val="nothing"/>
      <w:lvlText w:val="（%1）"/>
      <w:lvlJc w:val="left"/>
      <w:pPr>
        <w:ind w:left="315" w:firstLine="0"/>
      </w:pPr>
      <w:rPr>
        <w:rFonts w:hint="eastAsia"/>
      </w:rPr>
    </w:lvl>
  </w:abstractNum>
  <w:abstractNum w:abstractNumId="3">
    <w:nsid w:val="38E26146"/>
    <w:multiLevelType w:val="singleLevel"/>
    <w:tmpl w:val="38E26146"/>
    <w:lvl w:ilvl="0" w:tentative="0">
      <w:start w:val="5"/>
      <w:numFmt w:val="chineseCounting"/>
      <w:suff w:val="space"/>
      <w:lvlText w:val="第%1章"/>
      <w:lvlJc w:val="left"/>
      <w:rPr>
        <w:rFonts w:hint="eastAsia"/>
      </w:rPr>
    </w:lvl>
  </w:abstractNum>
  <w:abstractNum w:abstractNumId="4">
    <w:nsid w:val="7B2F1DA9"/>
    <w:multiLevelType w:val="singleLevel"/>
    <w:tmpl w:val="7B2F1DA9"/>
    <w:lvl w:ilvl="0" w:tentative="0">
      <w:start w:val="6"/>
      <w:numFmt w:val="chineseCounting"/>
      <w:suff w:val="space"/>
      <w:lvlText w:val="第%1条"/>
      <w:lvlJc w:val="left"/>
      <w:rPr>
        <w:rFonts w:hint="eastAsia"/>
        <w:b/>
        <w:bCs/>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00F253E1"/>
    <w:rsid w:val="00000FCB"/>
    <w:rsid w:val="00001C88"/>
    <w:rsid w:val="00001CD3"/>
    <w:rsid w:val="00002712"/>
    <w:rsid w:val="000028EB"/>
    <w:rsid w:val="00003539"/>
    <w:rsid w:val="000056AE"/>
    <w:rsid w:val="00005888"/>
    <w:rsid w:val="000058FB"/>
    <w:rsid w:val="00006D3E"/>
    <w:rsid w:val="00006DCA"/>
    <w:rsid w:val="000075D5"/>
    <w:rsid w:val="00007E45"/>
    <w:rsid w:val="00010500"/>
    <w:rsid w:val="00011100"/>
    <w:rsid w:val="00011EF2"/>
    <w:rsid w:val="00012999"/>
    <w:rsid w:val="000129C7"/>
    <w:rsid w:val="0001394F"/>
    <w:rsid w:val="00014447"/>
    <w:rsid w:val="000159D0"/>
    <w:rsid w:val="00015BE5"/>
    <w:rsid w:val="000160A4"/>
    <w:rsid w:val="00016512"/>
    <w:rsid w:val="0001747F"/>
    <w:rsid w:val="000200A1"/>
    <w:rsid w:val="00020348"/>
    <w:rsid w:val="000205ED"/>
    <w:rsid w:val="000208B8"/>
    <w:rsid w:val="00021627"/>
    <w:rsid w:val="00021E64"/>
    <w:rsid w:val="00022E41"/>
    <w:rsid w:val="0002445D"/>
    <w:rsid w:val="000252A7"/>
    <w:rsid w:val="00026C93"/>
    <w:rsid w:val="00026F71"/>
    <w:rsid w:val="00026FB9"/>
    <w:rsid w:val="00027754"/>
    <w:rsid w:val="0003024A"/>
    <w:rsid w:val="0003073A"/>
    <w:rsid w:val="00030853"/>
    <w:rsid w:val="00030B5C"/>
    <w:rsid w:val="0003268C"/>
    <w:rsid w:val="000328C8"/>
    <w:rsid w:val="00032EC9"/>
    <w:rsid w:val="0003317E"/>
    <w:rsid w:val="0003570B"/>
    <w:rsid w:val="000363A8"/>
    <w:rsid w:val="000401DE"/>
    <w:rsid w:val="0004025D"/>
    <w:rsid w:val="000411C5"/>
    <w:rsid w:val="00042A38"/>
    <w:rsid w:val="00042D21"/>
    <w:rsid w:val="0004338A"/>
    <w:rsid w:val="00043B9F"/>
    <w:rsid w:val="00044162"/>
    <w:rsid w:val="00044463"/>
    <w:rsid w:val="00044580"/>
    <w:rsid w:val="00044929"/>
    <w:rsid w:val="000457FF"/>
    <w:rsid w:val="000463B5"/>
    <w:rsid w:val="0004674D"/>
    <w:rsid w:val="00047983"/>
    <w:rsid w:val="000504DA"/>
    <w:rsid w:val="00051888"/>
    <w:rsid w:val="00053590"/>
    <w:rsid w:val="00053912"/>
    <w:rsid w:val="00053E11"/>
    <w:rsid w:val="00054503"/>
    <w:rsid w:val="00054B64"/>
    <w:rsid w:val="00054C2B"/>
    <w:rsid w:val="0005507A"/>
    <w:rsid w:val="0005578B"/>
    <w:rsid w:val="000566A6"/>
    <w:rsid w:val="00056E3B"/>
    <w:rsid w:val="000578F1"/>
    <w:rsid w:val="00060780"/>
    <w:rsid w:val="000624D2"/>
    <w:rsid w:val="0006266F"/>
    <w:rsid w:val="00062AC0"/>
    <w:rsid w:val="00065340"/>
    <w:rsid w:val="000655A2"/>
    <w:rsid w:val="000661AA"/>
    <w:rsid w:val="000665F6"/>
    <w:rsid w:val="00070975"/>
    <w:rsid w:val="0007157B"/>
    <w:rsid w:val="00071D92"/>
    <w:rsid w:val="0007207F"/>
    <w:rsid w:val="00072084"/>
    <w:rsid w:val="000768DD"/>
    <w:rsid w:val="00076AD8"/>
    <w:rsid w:val="00080011"/>
    <w:rsid w:val="00080F56"/>
    <w:rsid w:val="00080F5B"/>
    <w:rsid w:val="000823DA"/>
    <w:rsid w:val="000826A2"/>
    <w:rsid w:val="000828A5"/>
    <w:rsid w:val="00084584"/>
    <w:rsid w:val="000845AC"/>
    <w:rsid w:val="000856F7"/>
    <w:rsid w:val="00085B34"/>
    <w:rsid w:val="00085F44"/>
    <w:rsid w:val="000872AB"/>
    <w:rsid w:val="00090B29"/>
    <w:rsid w:val="000910CD"/>
    <w:rsid w:val="000917A5"/>
    <w:rsid w:val="00091F86"/>
    <w:rsid w:val="00091FD5"/>
    <w:rsid w:val="00092B94"/>
    <w:rsid w:val="00092D6C"/>
    <w:rsid w:val="00092ED2"/>
    <w:rsid w:val="000938CE"/>
    <w:rsid w:val="0009416D"/>
    <w:rsid w:val="0009528D"/>
    <w:rsid w:val="000952EA"/>
    <w:rsid w:val="00095651"/>
    <w:rsid w:val="00095A5F"/>
    <w:rsid w:val="00095E27"/>
    <w:rsid w:val="000973DE"/>
    <w:rsid w:val="000977F1"/>
    <w:rsid w:val="00097BF3"/>
    <w:rsid w:val="00097F21"/>
    <w:rsid w:val="000A0A79"/>
    <w:rsid w:val="000A0C8D"/>
    <w:rsid w:val="000A1087"/>
    <w:rsid w:val="000A1BB6"/>
    <w:rsid w:val="000A2BDD"/>
    <w:rsid w:val="000A2C45"/>
    <w:rsid w:val="000A32F6"/>
    <w:rsid w:val="000A4900"/>
    <w:rsid w:val="000A4C97"/>
    <w:rsid w:val="000A4DF4"/>
    <w:rsid w:val="000A52B1"/>
    <w:rsid w:val="000A6502"/>
    <w:rsid w:val="000A6667"/>
    <w:rsid w:val="000A6A43"/>
    <w:rsid w:val="000B0F4A"/>
    <w:rsid w:val="000B1371"/>
    <w:rsid w:val="000B5CD9"/>
    <w:rsid w:val="000B64DE"/>
    <w:rsid w:val="000B7494"/>
    <w:rsid w:val="000B79D5"/>
    <w:rsid w:val="000C1AE5"/>
    <w:rsid w:val="000C2718"/>
    <w:rsid w:val="000C33CC"/>
    <w:rsid w:val="000C37C0"/>
    <w:rsid w:val="000C3DC8"/>
    <w:rsid w:val="000C4004"/>
    <w:rsid w:val="000C5B69"/>
    <w:rsid w:val="000C615C"/>
    <w:rsid w:val="000C687D"/>
    <w:rsid w:val="000C6D3F"/>
    <w:rsid w:val="000C7FBE"/>
    <w:rsid w:val="000D01D0"/>
    <w:rsid w:val="000D0FE4"/>
    <w:rsid w:val="000D447A"/>
    <w:rsid w:val="000D5082"/>
    <w:rsid w:val="000D5A26"/>
    <w:rsid w:val="000D709A"/>
    <w:rsid w:val="000D79D1"/>
    <w:rsid w:val="000D7C23"/>
    <w:rsid w:val="000E06E6"/>
    <w:rsid w:val="000E150C"/>
    <w:rsid w:val="000E33E7"/>
    <w:rsid w:val="000E4238"/>
    <w:rsid w:val="000E44C0"/>
    <w:rsid w:val="000E47B3"/>
    <w:rsid w:val="000E483E"/>
    <w:rsid w:val="000E4AB9"/>
    <w:rsid w:val="000E4D06"/>
    <w:rsid w:val="000E5786"/>
    <w:rsid w:val="000E5B2A"/>
    <w:rsid w:val="000E6320"/>
    <w:rsid w:val="000E643C"/>
    <w:rsid w:val="000F063D"/>
    <w:rsid w:val="000F2196"/>
    <w:rsid w:val="000F2F01"/>
    <w:rsid w:val="000F3029"/>
    <w:rsid w:val="000F31CE"/>
    <w:rsid w:val="000F392C"/>
    <w:rsid w:val="000F3BBF"/>
    <w:rsid w:val="000F515A"/>
    <w:rsid w:val="000F524B"/>
    <w:rsid w:val="000F5894"/>
    <w:rsid w:val="000F5AEB"/>
    <w:rsid w:val="000F5E9F"/>
    <w:rsid w:val="000F70E9"/>
    <w:rsid w:val="000F712D"/>
    <w:rsid w:val="00101285"/>
    <w:rsid w:val="001023C3"/>
    <w:rsid w:val="00102659"/>
    <w:rsid w:val="00102986"/>
    <w:rsid w:val="001031F3"/>
    <w:rsid w:val="001035CB"/>
    <w:rsid w:val="00103FE0"/>
    <w:rsid w:val="001043B7"/>
    <w:rsid w:val="0010517F"/>
    <w:rsid w:val="00105515"/>
    <w:rsid w:val="001055EE"/>
    <w:rsid w:val="001056A2"/>
    <w:rsid w:val="00106340"/>
    <w:rsid w:val="00106DC5"/>
    <w:rsid w:val="00107616"/>
    <w:rsid w:val="00107DBD"/>
    <w:rsid w:val="00111BC9"/>
    <w:rsid w:val="0011302F"/>
    <w:rsid w:val="001152BF"/>
    <w:rsid w:val="0011639D"/>
    <w:rsid w:val="00116A44"/>
    <w:rsid w:val="00116C83"/>
    <w:rsid w:val="001200BB"/>
    <w:rsid w:val="00121463"/>
    <w:rsid w:val="001217EA"/>
    <w:rsid w:val="00122ED3"/>
    <w:rsid w:val="0012336E"/>
    <w:rsid w:val="00124524"/>
    <w:rsid w:val="00124CC1"/>
    <w:rsid w:val="001273FE"/>
    <w:rsid w:val="00127C33"/>
    <w:rsid w:val="00131C34"/>
    <w:rsid w:val="00132C42"/>
    <w:rsid w:val="001330E1"/>
    <w:rsid w:val="00133281"/>
    <w:rsid w:val="00133F3B"/>
    <w:rsid w:val="00133F3F"/>
    <w:rsid w:val="00134E1B"/>
    <w:rsid w:val="0013698A"/>
    <w:rsid w:val="001377A1"/>
    <w:rsid w:val="00140284"/>
    <w:rsid w:val="001407ED"/>
    <w:rsid w:val="0014160E"/>
    <w:rsid w:val="00142F09"/>
    <w:rsid w:val="00143060"/>
    <w:rsid w:val="0014385E"/>
    <w:rsid w:val="001439BA"/>
    <w:rsid w:val="001441FA"/>
    <w:rsid w:val="0014461D"/>
    <w:rsid w:val="0014498D"/>
    <w:rsid w:val="00144F78"/>
    <w:rsid w:val="001451B3"/>
    <w:rsid w:val="001451C9"/>
    <w:rsid w:val="001452CA"/>
    <w:rsid w:val="00145D75"/>
    <w:rsid w:val="0014675B"/>
    <w:rsid w:val="00146F34"/>
    <w:rsid w:val="00147AD2"/>
    <w:rsid w:val="0015384D"/>
    <w:rsid w:val="00154813"/>
    <w:rsid w:val="00154A53"/>
    <w:rsid w:val="00154DBD"/>
    <w:rsid w:val="00154F24"/>
    <w:rsid w:val="00156248"/>
    <w:rsid w:val="00156611"/>
    <w:rsid w:val="00156A32"/>
    <w:rsid w:val="0015766A"/>
    <w:rsid w:val="0016010F"/>
    <w:rsid w:val="00160C0B"/>
    <w:rsid w:val="00160C6C"/>
    <w:rsid w:val="001611A9"/>
    <w:rsid w:val="001617FA"/>
    <w:rsid w:val="00161AA6"/>
    <w:rsid w:val="00162EEF"/>
    <w:rsid w:val="00163227"/>
    <w:rsid w:val="001633B6"/>
    <w:rsid w:val="00164D88"/>
    <w:rsid w:val="00164E6F"/>
    <w:rsid w:val="0016596C"/>
    <w:rsid w:val="00165CA4"/>
    <w:rsid w:val="0016652C"/>
    <w:rsid w:val="001678AA"/>
    <w:rsid w:val="00167C55"/>
    <w:rsid w:val="00167EC2"/>
    <w:rsid w:val="00170789"/>
    <w:rsid w:val="00170DD0"/>
    <w:rsid w:val="00170F8D"/>
    <w:rsid w:val="00171612"/>
    <w:rsid w:val="0017219C"/>
    <w:rsid w:val="00172607"/>
    <w:rsid w:val="00173384"/>
    <w:rsid w:val="00173B89"/>
    <w:rsid w:val="00174EB5"/>
    <w:rsid w:val="001751D9"/>
    <w:rsid w:val="00176170"/>
    <w:rsid w:val="00176B27"/>
    <w:rsid w:val="001773EB"/>
    <w:rsid w:val="001778BA"/>
    <w:rsid w:val="00177B3E"/>
    <w:rsid w:val="00180A43"/>
    <w:rsid w:val="00183ACA"/>
    <w:rsid w:val="00184892"/>
    <w:rsid w:val="00184DEE"/>
    <w:rsid w:val="00185080"/>
    <w:rsid w:val="00185941"/>
    <w:rsid w:val="00185BAB"/>
    <w:rsid w:val="001867D6"/>
    <w:rsid w:val="001868D7"/>
    <w:rsid w:val="00186A44"/>
    <w:rsid w:val="00187485"/>
    <w:rsid w:val="00190143"/>
    <w:rsid w:val="00190236"/>
    <w:rsid w:val="001915CB"/>
    <w:rsid w:val="00191A61"/>
    <w:rsid w:val="00192246"/>
    <w:rsid w:val="00196B7C"/>
    <w:rsid w:val="00196D64"/>
    <w:rsid w:val="001977CE"/>
    <w:rsid w:val="001A024C"/>
    <w:rsid w:val="001A10DC"/>
    <w:rsid w:val="001A1840"/>
    <w:rsid w:val="001A1D3D"/>
    <w:rsid w:val="001A2D3A"/>
    <w:rsid w:val="001A3C39"/>
    <w:rsid w:val="001A4F89"/>
    <w:rsid w:val="001A673A"/>
    <w:rsid w:val="001A76E9"/>
    <w:rsid w:val="001B228C"/>
    <w:rsid w:val="001B322D"/>
    <w:rsid w:val="001B3335"/>
    <w:rsid w:val="001B3ABB"/>
    <w:rsid w:val="001B3B93"/>
    <w:rsid w:val="001B4A67"/>
    <w:rsid w:val="001B4B0E"/>
    <w:rsid w:val="001B4EA3"/>
    <w:rsid w:val="001B575A"/>
    <w:rsid w:val="001B57B3"/>
    <w:rsid w:val="001B5D90"/>
    <w:rsid w:val="001C006E"/>
    <w:rsid w:val="001C008E"/>
    <w:rsid w:val="001C03DF"/>
    <w:rsid w:val="001C1008"/>
    <w:rsid w:val="001C1F02"/>
    <w:rsid w:val="001C40E9"/>
    <w:rsid w:val="001C4A0A"/>
    <w:rsid w:val="001C75FB"/>
    <w:rsid w:val="001D013D"/>
    <w:rsid w:val="001D129B"/>
    <w:rsid w:val="001D1DBB"/>
    <w:rsid w:val="001D2512"/>
    <w:rsid w:val="001D2812"/>
    <w:rsid w:val="001D2BF1"/>
    <w:rsid w:val="001D32C3"/>
    <w:rsid w:val="001D3527"/>
    <w:rsid w:val="001D66AD"/>
    <w:rsid w:val="001D6F3B"/>
    <w:rsid w:val="001D756B"/>
    <w:rsid w:val="001E24BF"/>
    <w:rsid w:val="001E2BEE"/>
    <w:rsid w:val="001E30C1"/>
    <w:rsid w:val="001E59E3"/>
    <w:rsid w:val="001E6567"/>
    <w:rsid w:val="001E6E9D"/>
    <w:rsid w:val="001E72C4"/>
    <w:rsid w:val="001E77CF"/>
    <w:rsid w:val="001F070D"/>
    <w:rsid w:val="001F09F5"/>
    <w:rsid w:val="001F113B"/>
    <w:rsid w:val="001F127A"/>
    <w:rsid w:val="001F2BAB"/>
    <w:rsid w:val="001F36AD"/>
    <w:rsid w:val="001F3AC0"/>
    <w:rsid w:val="001F3EB4"/>
    <w:rsid w:val="001F4095"/>
    <w:rsid w:val="001F52D4"/>
    <w:rsid w:val="001F5684"/>
    <w:rsid w:val="001F58C7"/>
    <w:rsid w:val="001F5C5A"/>
    <w:rsid w:val="001F68E8"/>
    <w:rsid w:val="001F6AD0"/>
    <w:rsid w:val="001F7FA5"/>
    <w:rsid w:val="0020019C"/>
    <w:rsid w:val="0020040A"/>
    <w:rsid w:val="00200477"/>
    <w:rsid w:val="00200839"/>
    <w:rsid w:val="00200919"/>
    <w:rsid w:val="00200E51"/>
    <w:rsid w:val="00202A5B"/>
    <w:rsid w:val="00202A7C"/>
    <w:rsid w:val="00203CD5"/>
    <w:rsid w:val="00206485"/>
    <w:rsid w:val="00207DE5"/>
    <w:rsid w:val="0021021A"/>
    <w:rsid w:val="00211C56"/>
    <w:rsid w:val="00213653"/>
    <w:rsid w:val="0021383C"/>
    <w:rsid w:val="002149FD"/>
    <w:rsid w:val="00215092"/>
    <w:rsid w:val="00215690"/>
    <w:rsid w:val="002173D0"/>
    <w:rsid w:val="002178B1"/>
    <w:rsid w:val="002225DC"/>
    <w:rsid w:val="00222EBB"/>
    <w:rsid w:val="0022312F"/>
    <w:rsid w:val="00224951"/>
    <w:rsid w:val="0022496F"/>
    <w:rsid w:val="00226545"/>
    <w:rsid w:val="002268BD"/>
    <w:rsid w:val="002268D7"/>
    <w:rsid w:val="00227030"/>
    <w:rsid w:val="002275F9"/>
    <w:rsid w:val="00227CD7"/>
    <w:rsid w:val="002307CA"/>
    <w:rsid w:val="00231AB9"/>
    <w:rsid w:val="00231CAE"/>
    <w:rsid w:val="00231F4F"/>
    <w:rsid w:val="00232C03"/>
    <w:rsid w:val="002332F2"/>
    <w:rsid w:val="0023355D"/>
    <w:rsid w:val="00233F81"/>
    <w:rsid w:val="002356C5"/>
    <w:rsid w:val="00235913"/>
    <w:rsid w:val="00235C78"/>
    <w:rsid w:val="002371B9"/>
    <w:rsid w:val="002374C8"/>
    <w:rsid w:val="0024027A"/>
    <w:rsid w:val="00240DB9"/>
    <w:rsid w:val="0024166E"/>
    <w:rsid w:val="002417A8"/>
    <w:rsid w:val="00242853"/>
    <w:rsid w:val="00243C5A"/>
    <w:rsid w:val="00244223"/>
    <w:rsid w:val="0024441A"/>
    <w:rsid w:val="00244513"/>
    <w:rsid w:val="00244E0B"/>
    <w:rsid w:val="00244E52"/>
    <w:rsid w:val="0024507A"/>
    <w:rsid w:val="00246FEC"/>
    <w:rsid w:val="00247693"/>
    <w:rsid w:val="0025029E"/>
    <w:rsid w:val="002517F8"/>
    <w:rsid w:val="00251ECF"/>
    <w:rsid w:val="00253137"/>
    <w:rsid w:val="0025390D"/>
    <w:rsid w:val="00255086"/>
    <w:rsid w:val="00255615"/>
    <w:rsid w:val="0025625F"/>
    <w:rsid w:val="00256F90"/>
    <w:rsid w:val="0025756A"/>
    <w:rsid w:val="00257AA3"/>
    <w:rsid w:val="00263518"/>
    <w:rsid w:val="0026408E"/>
    <w:rsid w:val="0026415F"/>
    <w:rsid w:val="00264555"/>
    <w:rsid w:val="002645A3"/>
    <w:rsid w:val="00264D48"/>
    <w:rsid w:val="002657D6"/>
    <w:rsid w:val="00265845"/>
    <w:rsid w:val="00266312"/>
    <w:rsid w:val="00267DC1"/>
    <w:rsid w:val="00272A25"/>
    <w:rsid w:val="00272B37"/>
    <w:rsid w:val="00273582"/>
    <w:rsid w:val="00274A8A"/>
    <w:rsid w:val="002825DD"/>
    <w:rsid w:val="00282C84"/>
    <w:rsid w:val="002838A0"/>
    <w:rsid w:val="00283A4B"/>
    <w:rsid w:val="002849DC"/>
    <w:rsid w:val="00284B83"/>
    <w:rsid w:val="00284D23"/>
    <w:rsid w:val="002866C9"/>
    <w:rsid w:val="00287BA2"/>
    <w:rsid w:val="00287FD4"/>
    <w:rsid w:val="00292279"/>
    <w:rsid w:val="00293F2A"/>
    <w:rsid w:val="00294003"/>
    <w:rsid w:val="002945E5"/>
    <w:rsid w:val="002960ED"/>
    <w:rsid w:val="00296736"/>
    <w:rsid w:val="002972C3"/>
    <w:rsid w:val="0029749C"/>
    <w:rsid w:val="00297535"/>
    <w:rsid w:val="00297FA1"/>
    <w:rsid w:val="002A003F"/>
    <w:rsid w:val="002A0C86"/>
    <w:rsid w:val="002A1FF3"/>
    <w:rsid w:val="002A49ED"/>
    <w:rsid w:val="002A4CA6"/>
    <w:rsid w:val="002A5921"/>
    <w:rsid w:val="002A62E6"/>
    <w:rsid w:val="002A79B1"/>
    <w:rsid w:val="002B00BE"/>
    <w:rsid w:val="002B0957"/>
    <w:rsid w:val="002B25C4"/>
    <w:rsid w:val="002B3D95"/>
    <w:rsid w:val="002B5C9F"/>
    <w:rsid w:val="002B7868"/>
    <w:rsid w:val="002B7F80"/>
    <w:rsid w:val="002C0679"/>
    <w:rsid w:val="002C19AA"/>
    <w:rsid w:val="002C34CA"/>
    <w:rsid w:val="002C3730"/>
    <w:rsid w:val="002C4612"/>
    <w:rsid w:val="002C4B06"/>
    <w:rsid w:val="002C5B17"/>
    <w:rsid w:val="002C6251"/>
    <w:rsid w:val="002C7FE0"/>
    <w:rsid w:val="002D3D8A"/>
    <w:rsid w:val="002D4475"/>
    <w:rsid w:val="002D466A"/>
    <w:rsid w:val="002D5045"/>
    <w:rsid w:val="002D524F"/>
    <w:rsid w:val="002D5656"/>
    <w:rsid w:val="002E1288"/>
    <w:rsid w:val="002E13CD"/>
    <w:rsid w:val="002E1674"/>
    <w:rsid w:val="002E1E86"/>
    <w:rsid w:val="002E337B"/>
    <w:rsid w:val="002E486E"/>
    <w:rsid w:val="002E4C10"/>
    <w:rsid w:val="002E52A9"/>
    <w:rsid w:val="002E66E1"/>
    <w:rsid w:val="002E69F4"/>
    <w:rsid w:val="002E6C23"/>
    <w:rsid w:val="002E74DD"/>
    <w:rsid w:val="002E7595"/>
    <w:rsid w:val="002E75BF"/>
    <w:rsid w:val="002E76E3"/>
    <w:rsid w:val="002E7BE6"/>
    <w:rsid w:val="002E7ED5"/>
    <w:rsid w:val="002F100D"/>
    <w:rsid w:val="002F15A4"/>
    <w:rsid w:val="002F1D2E"/>
    <w:rsid w:val="002F2E1E"/>
    <w:rsid w:val="002F3134"/>
    <w:rsid w:val="002F360C"/>
    <w:rsid w:val="002F461B"/>
    <w:rsid w:val="002F498A"/>
    <w:rsid w:val="002F527D"/>
    <w:rsid w:val="002F5379"/>
    <w:rsid w:val="002F5F88"/>
    <w:rsid w:val="002F7111"/>
    <w:rsid w:val="00301065"/>
    <w:rsid w:val="00302122"/>
    <w:rsid w:val="00304217"/>
    <w:rsid w:val="00305B80"/>
    <w:rsid w:val="00306120"/>
    <w:rsid w:val="00306631"/>
    <w:rsid w:val="0030694B"/>
    <w:rsid w:val="003072DE"/>
    <w:rsid w:val="00307A48"/>
    <w:rsid w:val="003110CA"/>
    <w:rsid w:val="00313952"/>
    <w:rsid w:val="00317F5F"/>
    <w:rsid w:val="00320945"/>
    <w:rsid w:val="00320A47"/>
    <w:rsid w:val="003212A5"/>
    <w:rsid w:val="0032155C"/>
    <w:rsid w:val="003216A9"/>
    <w:rsid w:val="003218A8"/>
    <w:rsid w:val="00322DB9"/>
    <w:rsid w:val="003239BF"/>
    <w:rsid w:val="00323A73"/>
    <w:rsid w:val="00324B08"/>
    <w:rsid w:val="00324BA0"/>
    <w:rsid w:val="003253AE"/>
    <w:rsid w:val="00325EAF"/>
    <w:rsid w:val="003269E2"/>
    <w:rsid w:val="00326FDC"/>
    <w:rsid w:val="003310F5"/>
    <w:rsid w:val="003311B2"/>
    <w:rsid w:val="003316B2"/>
    <w:rsid w:val="0033188D"/>
    <w:rsid w:val="0033261D"/>
    <w:rsid w:val="00332B3E"/>
    <w:rsid w:val="00333353"/>
    <w:rsid w:val="00333723"/>
    <w:rsid w:val="00334426"/>
    <w:rsid w:val="0033584E"/>
    <w:rsid w:val="00335BDB"/>
    <w:rsid w:val="003365AD"/>
    <w:rsid w:val="00337C49"/>
    <w:rsid w:val="00337D2B"/>
    <w:rsid w:val="00341028"/>
    <w:rsid w:val="00341804"/>
    <w:rsid w:val="00341CAB"/>
    <w:rsid w:val="00344232"/>
    <w:rsid w:val="00344ECA"/>
    <w:rsid w:val="00344F76"/>
    <w:rsid w:val="00345AAB"/>
    <w:rsid w:val="0034604D"/>
    <w:rsid w:val="003464C6"/>
    <w:rsid w:val="00347194"/>
    <w:rsid w:val="00347EDC"/>
    <w:rsid w:val="00351A98"/>
    <w:rsid w:val="00351AA9"/>
    <w:rsid w:val="00352576"/>
    <w:rsid w:val="00355463"/>
    <w:rsid w:val="0035548C"/>
    <w:rsid w:val="0035673A"/>
    <w:rsid w:val="0035702B"/>
    <w:rsid w:val="003574EA"/>
    <w:rsid w:val="00360C2C"/>
    <w:rsid w:val="003614A4"/>
    <w:rsid w:val="00361605"/>
    <w:rsid w:val="00363F69"/>
    <w:rsid w:val="003643AB"/>
    <w:rsid w:val="00364923"/>
    <w:rsid w:val="00364B1D"/>
    <w:rsid w:val="003651DF"/>
    <w:rsid w:val="003656B8"/>
    <w:rsid w:val="0036653C"/>
    <w:rsid w:val="00366D76"/>
    <w:rsid w:val="0036738E"/>
    <w:rsid w:val="00371083"/>
    <w:rsid w:val="00371805"/>
    <w:rsid w:val="003719F5"/>
    <w:rsid w:val="00371E7D"/>
    <w:rsid w:val="00372298"/>
    <w:rsid w:val="0037631D"/>
    <w:rsid w:val="003770FF"/>
    <w:rsid w:val="00377E48"/>
    <w:rsid w:val="00380084"/>
    <w:rsid w:val="003801A3"/>
    <w:rsid w:val="00380AB4"/>
    <w:rsid w:val="00381A6F"/>
    <w:rsid w:val="00382142"/>
    <w:rsid w:val="003827AD"/>
    <w:rsid w:val="00382CD8"/>
    <w:rsid w:val="00383AF7"/>
    <w:rsid w:val="003845F0"/>
    <w:rsid w:val="0038471F"/>
    <w:rsid w:val="00384BD0"/>
    <w:rsid w:val="00384DE4"/>
    <w:rsid w:val="003858B1"/>
    <w:rsid w:val="00385952"/>
    <w:rsid w:val="0038632A"/>
    <w:rsid w:val="00387F74"/>
    <w:rsid w:val="00390A55"/>
    <w:rsid w:val="0039179D"/>
    <w:rsid w:val="003917F0"/>
    <w:rsid w:val="00391C56"/>
    <w:rsid w:val="00392082"/>
    <w:rsid w:val="00392BAC"/>
    <w:rsid w:val="00392CA3"/>
    <w:rsid w:val="00394184"/>
    <w:rsid w:val="00394665"/>
    <w:rsid w:val="0039584F"/>
    <w:rsid w:val="00396C68"/>
    <w:rsid w:val="003972AB"/>
    <w:rsid w:val="003A1004"/>
    <w:rsid w:val="003A1EFE"/>
    <w:rsid w:val="003A24ED"/>
    <w:rsid w:val="003A2BFE"/>
    <w:rsid w:val="003A4265"/>
    <w:rsid w:val="003A4C14"/>
    <w:rsid w:val="003A4FD3"/>
    <w:rsid w:val="003A68A1"/>
    <w:rsid w:val="003A7AA7"/>
    <w:rsid w:val="003A7E65"/>
    <w:rsid w:val="003B0573"/>
    <w:rsid w:val="003B0641"/>
    <w:rsid w:val="003B10D1"/>
    <w:rsid w:val="003B1725"/>
    <w:rsid w:val="003B29B2"/>
    <w:rsid w:val="003B3131"/>
    <w:rsid w:val="003B38CA"/>
    <w:rsid w:val="003B3CF2"/>
    <w:rsid w:val="003B3D0B"/>
    <w:rsid w:val="003B6F19"/>
    <w:rsid w:val="003B7406"/>
    <w:rsid w:val="003B795A"/>
    <w:rsid w:val="003C0F9E"/>
    <w:rsid w:val="003C12DB"/>
    <w:rsid w:val="003C1E38"/>
    <w:rsid w:val="003C2802"/>
    <w:rsid w:val="003C28D8"/>
    <w:rsid w:val="003C2BCE"/>
    <w:rsid w:val="003C37B4"/>
    <w:rsid w:val="003C4E57"/>
    <w:rsid w:val="003C5364"/>
    <w:rsid w:val="003C54C8"/>
    <w:rsid w:val="003C65A3"/>
    <w:rsid w:val="003C782E"/>
    <w:rsid w:val="003D0409"/>
    <w:rsid w:val="003D11EE"/>
    <w:rsid w:val="003D1AF2"/>
    <w:rsid w:val="003D1FFE"/>
    <w:rsid w:val="003D2A59"/>
    <w:rsid w:val="003D2B44"/>
    <w:rsid w:val="003D4295"/>
    <w:rsid w:val="003D4854"/>
    <w:rsid w:val="003D4A95"/>
    <w:rsid w:val="003D50FE"/>
    <w:rsid w:val="003D5C11"/>
    <w:rsid w:val="003D66BD"/>
    <w:rsid w:val="003D6E75"/>
    <w:rsid w:val="003E0225"/>
    <w:rsid w:val="003E0996"/>
    <w:rsid w:val="003E0D5D"/>
    <w:rsid w:val="003E28D5"/>
    <w:rsid w:val="003E31A2"/>
    <w:rsid w:val="003E3846"/>
    <w:rsid w:val="003E408B"/>
    <w:rsid w:val="003E41BA"/>
    <w:rsid w:val="003E42BA"/>
    <w:rsid w:val="003E5ED0"/>
    <w:rsid w:val="003E71C9"/>
    <w:rsid w:val="003E740E"/>
    <w:rsid w:val="003E7967"/>
    <w:rsid w:val="003E7E64"/>
    <w:rsid w:val="003F284A"/>
    <w:rsid w:val="003F33A0"/>
    <w:rsid w:val="003F3B34"/>
    <w:rsid w:val="003F493B"/>
    <w:rsid w:val="003F6583"/>
    <w:rsid w:val="003F672F"/>
    <w:rsid w:val="003F69DC"/>
    <w:rsid w:val="003F6A0B"/>
    <w:rsid w:val="003F7009"/>
    <w:rsid w:val="003F761C"/>
    <w:rsid w:val="003F77AC"/>
    <w:rsid w:val="003F7DEA"/>
    <w:rsid w:val="00401842"/>
    <w:rsid w:val="0040213B"/>
    <w:rsid w:val="00402F84"/>
    <w:rsid w:val="00403099"/>
    <w:rsid w:val="00403408"/>
    <w:rsid w:val="004043E5"/>
    <w:rsid w:val="004045AB"/>
    <w:rsid w:val="00405703"/>
    <w:rsid w:val="004061FB"/>
    <w:rsid w:val="0040650A"/>
    <w:rsid w:val="00407D60"/>
    <w:rsid w:val="004115BD"/>
    <w:rsid w:val="0041185C"/>
    <w:rsid w:val="00412EC9"/>
    <w:rsid w:val="00414105"/>
    <w:rsid w:val="00414E09"/>
    <w:rsid w:val="00414FA4"/>
    <w:rsid w:val="00415AFF"/>
    <w:rsid w:val="00415D08"/>
    <w:rsid w:val="00415D3A"/>
    <w:rsid w:val="00420F9B"/>
    <w:rsid w:val="00421032"/>
    <w:rsid w:val="00422820"/>
    <w:rsid w:val="0042302B"/>
    <w:rsid w:val="0042468B"/>
    <w:rsid w:val="00425BAB"/>
    <w:rsid w:val="00426ADD"/>
    <w:rsid w:val="004276B1"/>
    <w:rsid w:val="00427B50"/>
    <w:rsid w:val="004309AC"/>
    <w:rsid w:val="004325C0"/>
    <w:rsid w:val="004340F4"/>
    <w:rsid w:val="00435993"/>
    <w:rsid w:val="00435DE8"/>
    <w:rsid w:val="00436990"/>
    <w:rsid w:val="00440973"/>
    <w:rsid w:val="00442615"/>
    <w:rsid w:val="00442F76"/>
    <w:rsid w:val="00443782"/>
    <w:rsid w:val="00444305"/>
    <w:rsid w:val="00445B30"/>
    <w:rsid w:val="004461AE"/>
    <w:rsid w:val="00446A84"/>
    <w:rsid w:val="004500E7"/>
    <w:rsid w:val="004504B4"/>
    <w:rsid w:val="004508C1"/>
    <w:rsid w:val="00450F3A"/>
    <w:rsid w:val="00452750"/>
    <w:rsid w:val="004533F2"/>
    <w:rsid w:val="00455A2F"/>
    <w:rsid w:val="00463B54"/>
    <w:rsid w:val="00464547"/>
    <w:rsid w:val="004652C2"/>
    <w:rsid w:val="004653AA"/>
    <w:rsid w:val="0046668A"/>
    <w:rsid w:val="004675CD"/>
    <w:rsid w:val="00467884"/>
    <w:rsid w:val="0047091E"/>
    <w:rsid w:val="00472924"/>
    <w:rsid w:val="00473523"/>
    <w:rsid w:val="00473D36"/>
    <w:rsid w:val="00473F26"/>
    <w:rsid w:val="00475B8A"/>
    <w:rsid w:val="0047617F"/>
    <w:rsid w:val="0047635D"/>
    <w:rsid w:val="004764DC"/>
    <w:rsid w:val="00476A68"/>
    <w:rsid w:val="00476C2E"/>
    <w:rsid w:val="00477055"/>
    <w:rsid w:val="00480787"/>
    <w:rsid w:val="00480CBE"/>
    <w:rsid w:val="004810B8"/>
    <w:rsid w:val="004811E4"/>
    <w:rsid w:val="00481B16"/>
    <w:rsid w:val="00481FF1"/>
    <w:rsid w:val="00482A30"/>
    <w:rsid w:val="00483DE4"/>
    <w:rsid w:val="00484A84"/>
    <w:rsid w:val="004850CB"/>
    <w:rsid w:val="00485499"/>
    <w:rsid w:val="00485938"/>
    <w:rsid w:val="00485D46"/>
    <w:rsid w:val="00486B83"/>
    <w:rsid w:val="0049019C"/>
    <w:rsid w:val="00490B66"/>
    <w:rsid w:val="00490CBD"/>
    <w:rsid w:val="00491281"/>
    <w:rsid w:val="00491916"/>
    <w:rsid w:val="00492362"/>
    <w:rsid w:val="00492F49"/>
    <w:rsid w:val="004930C2"/>
    <w:rsid w:val="00493C90"/>
    <w:rsid w:val="00494F99"/>
    <w:rsid w:val="004A017B"/>
    <w:rsid w:val="004A09BD"/>
    <w:rsid w:val="004A131B"/>
    <w:rsid w:val="004A16AC"/>
    <w:rsid w:val="004A1875"/>
    <w:rsid w:val="004A218F"/>
    <w:rsid w:val="004A2BF9"/>
    <w:rsid w:val="004A36E5"/>
    <w:rsid w:val="004A40C7"/>
    <w:rsid w:val="004A5167"/>
    <w:rsid w:val="004A522D"/>
    <w:rsid w:val="004A625D"/>
    <w:rsid w:val="004B16F0"/>
    <w:rsid w:val="004B1752"/>
    <w:rsid w:val="004B186F"/>
    <w:rsid w:val="004B45C6"/>
    <w:rsid w:val="004B45D2"/>
    <w:rsid w:val="004B5EB0"/>
    <w:rsid w:val="004B71D3"/>
    <w:rsid w:val="004B79D0"/>
    <w:rsid w:val="004C0426"/>
    <w:rsid w:val="004C095A"/>
    <w:rsid w:val="004C09BF"/>
    <w:rsid w:val="004C0EE1"/>
    <w:rsid w:val="004C1857"/>
    <w:rsid w:val="004C191A"/>
    <w:rsid w:val="004C215F"/>
    <w:rsid w:val="004C2270"/>
    <w:rsid w:val="004C2686"/>
    <w:rsid w:val="004C2E93"/>
    <w:rsid w:val="004C420F"/>
    <w:rsid w:val="004C7D31"/>
    <w:rsid w:val="004C7DB4"/>
    <w:rsid w:val="004D02A3"/>
    <w:rsid w:val="004D04DD"/>
    <w:rsid w:val="004D12B7"/>
    <w:rsid w:val="004D18D5"/>
    <w:rsid w:val="004D1A35"/>
    <w:rsid w:val="004D2993"/>
    <w:rsid w:val="004D2F10"/>
    <w:rsid w:val="004D41D2"/>
    <w:rsid w:val="004D44F5"/>
    <w:rsid w:val="004D51F0"/>
    <w:rsid w:val="004D575C"/>
    <w:rsid w:val="004D6D1E"/>
    <w:rsid w:val="004E1A0A"/>
    <w:rsid w:val="004E1C94"/>
    <w:rsid w:val="004E1EAC"/>
    <w:rsid w:val="004E30B3"/>
    <w:rsid w:val="004E40F4"/>
    <w:rsid w:val="004E5B64"/>
    <w:rsid w:val="004E6C74"/>
    <w:rsid w:val="004E7396"/>
    <w:rsid w:val="004F0476"/>
    <w:rsid w:val="004F0D64"/>
    <w:rsid w:val="004F104B"/>
    <w:rsid w:val="004F1A8E"/>
    <w:rsid w:val="004F2333"/>
    <w:rsid w:val="004F3119"/>
    <w:rsid w:val="004F3121"/>
    <w:rsid w:val="004F544C"/>
    <w:rsid w:val="004F5BEF"/>
    <w:rsid w:val="004F6389"/>
    <w:rsid w:val="00501E75"/>
    <w:rsid w:val="005020E1"/>
    <w:rsid w:val="00502787"/>
    <w:rsid w:val="00502D4A"/>
    <w:rsid w:val="00503FAF"/>
    <w:rsid w:val="00504F51"/>
    <w:rsid w:val="0050596A"/>
    <w:rsid w:val="00505A7B"/>
    <w:rsid w:val="00506114"/>
    <w:rsid w:val="00506FEF"/>
    <w:rsid w:val="0050786B"/>
    <w:rsid w:val="005078AE"/>
    <w:rsid w:val="00507EA4"/>
    <w:rsid w:val="005103DE"/>
    <w:rsid w:val="005118A7"/>
    <w:rsid w:val="00511C6E"/>
    <w:rsid w:val="005122DE"/>
    <w:rsid w:val="0051339D"/>
    <w:rsid w:val="00514588"/>
    <w:rsid w:val="005156B9"/>
    <w:rsid w:val="00516BDC"/>
    <w:rsid w:val="00520F92"/>
    <w:rsid w:val="0052393D"/>
    <w:rsid w:val="00525AA9"/>
    <w:rsid w:val="00525D84"/>
    <w:rsid w:val="0052662F"/>
    <w:rsid w:val="0052754C"/>
    <w:rsid w:val="00527685"/>
    <w:rsid w:val="00527A1D"/>
    <w:rsid w:val="00530BB8"/>
    <w:rsid w:val="00532053"/>
    <w:rsid w:val="00532697"/>
    <w:rsid w:val="005326B0"/>
    <w:rsid w:val="00533234"/>
    <w:rsid w:val="00533B02"/>
    <w:rsid w:val="0053408F"/>
    <w:rsid w:val="00534237"/>
    <w:rsid w:val="00534332"/>
    <w:rsid w:val="00535290"/>
    <w:rsid w:val="00537C2A"/>
    <w:rsid w:val="00541DFE"/>
    <w:rsid w:val="00542135"/>
    <w:rsid w:val="005422D2"/>
    <w:rsid w:val="00546A93"/>
    <w:rsid w:val="0054734C"/>
    <w:rsid w:val="0054777D"/>
    <w:rsid w:val="00547CE9"/>
    <w:rsid w:val="005502C5"/>
    <w:rsid w:val="00550833"/>
    <w:rsid w:val="00550F94"/>
    <w:rsid w:val="0055147D"/>
    <w:rsid w:val="00552032"/>
    <w:rsid w:val="0055514E"/>
    <w:rsid w:val="0055554B"/>
    <w:rsid w:val="0055666A"/>
    <w:rsid w:val="00556992"/>
    <w:rsid w:val="00556A04"/>
    <w:rsid w:val="00557C31"/>
    <w:rsid w:val="0056079D"/>
    <w:rsid w:val="00561FC9"/>
    <w:rsid w:val="00562038"/>
    <w:rsid w:val="00564C04"/>
    <w:rsid w:val="0056629A"/>
    <w:rsid w:val="005663E5"/>
    <w:rsid w:val="00566F44"/>
    <w:rsid w:val="00566F58"/>
    <w:rsid w:val="00567154"/>
    <w:rsid w:val="00567F9D"/>
    <w:rsid w:val="00570BFA"/>
    <w:rsid w:val="00571925"/>
    <w:rsid w:val="00572168"/>
    <w:rsid w:val="00572844"/>
    <w:rsid w:val="0057295B"/>
    <w:rsid w:val="00572A6B"/>
    <w:rsid w:val="005734A6"/>
    <w:rsid w:val="0057375B"/>
    <w:rsid w:val="00573DE0"/>
    <w:rsid w:val="0057439E"/>
    <w:rsid w:val="00575775"/>
    <w:rsid w:val="005758C7"/>
    <w:rsid w:val="005770DB"/>
    <w:rsid w:val="00577B51"/>
    <w:rsid w:val="00581857"/>
    <w:rsid w:val="005827CE"/>
    <w:rsid w:val="00582BE1"/>
    <w:rsid w:val="00583541"/>
    <w:rsid w:val="005835D4"/>
    <w:rsid w:val="005836BE"/>
    <w:rsid w:val="00583AF3"/>
    <w:rsid w:val="00583E20"/>
    <w:rsid w:val="00585066"/>
    <w:rsid w:val="00586551"/>
    <w:rsid w:val="00586E8F"/>
    <w:rsid w:val="00587511"/>
    <w:rsid w:val="00587A6D"/>
    <w:rsid w:val="00590596"/>
    <w:rsid w:val="00590D4A"/>
    <w:rsid w:val="005912C8"/>
    <w:rsid w:val="005923E4"/>
    <w:rsid w:val="00592750"/>
    <w:rsid w:val="00592FBE"/>
    <w:rsid w:val="005953E1"/>
    <w:rsid w:val="00595C06"/>
    <w:rsid w:val="00595C67"/>
    <w:rsid w:val="00596151"/>
    <w:rsid w:val="005968E3"/>
    <w:rsid w:val="0059697B"/>
    <w:rsid w:val="005A0635"/>
    <w:rsid w:val="005A1E73"/>
    <w:rsid w:val="005A21E3"/>
    <w:rsid w:val="005A299E"/>
    <w:rsid w:val="005A2B5C"/>
    <w:rsid w:val="005A42D6"/>
    <w:rsid w:val="005A6550"/>
    <w:rsid w:val="005A659E"/>
    <w:rsid w:val="005A761F"/>
    <w:rsid w:val="005A77BE"/>
    <w:rsid w:val="005B0F77"/>
    <w:rsid w:val="005B107D"/>
    <w:rsid w:val="005B10F4"/>
    <w:rsid w:val="005B1A52"/>
    <w:rsid w:val="005B1E4D"/>
    <w:rsid w:val="005B362E"/>
    <w:rsid w:val="005B38E9"/>
    <w:rsid w:val="005B445C"/>
    <w:rsid w:val="005B4AD7"/>
    <w:rsid w:val="005B4F01"/>
    <w:rsid w:val="005B5EEB"/>
    <w:rsid w:val="005B6709"/>
    <w:rsid w:val="005B6E97"/>
    <w:rsid w:val="005B70FC"/>
    <w:rsid w:val="005B7759"/>
    <w:rsid w:val="005C122B"/>
    <w:rsid w:val="005C1893"/>
    <w:rsid w:val="005C5B0F"/>
    <w:rsid w:val="005C5F99"/>
    <w:rsid w:val="005C6735"/>
    <w:rsid w:val="005D0276"/>
    <w:rsid w:val="005D1166"/>
    <w:rsid w:val="005D187C"/>
    <w:rsid w:val="005D3882"/>
    <w:rsid w:val="005D5196"/>
    <w:rsid w:val="005D5815"/>
    <w:rsid w:val="005D58F9"/>
    <w:rsid w:val="005D627C"/>
    <w:rsid w:val="005D670E"/>
    <w:rsid w:val="005D775B"/>
    <w:rsid w:val="005E0019"/>
    <w:rsid w:val="005E025C"/>
    <w:rsid w:val="005E13E8"/>
    <w:rsid w:val="005E2920"/>
    <w:rsid w:val="005E32CB"/>
    <w:rsid w:val="005E39BE"/>
    <w:rsid w:val="005E3A0A"/>
    <w:rsid w:val="005E48D1"/>
    <w:rsid w:val="005E4C07"/>
    <w:rsid w:val="005E5CD7"/>
    <w:rsid w:val="005E6453"/>
    <w:rsid w:val="005E6B2C"/>
    <w:rsid w:val="005E746D"/>
    <w:rsid w:val="005E7986"/>
    <w:rsid w:val="005E7C85"/>
    <w:rsid w:val="005F002C"/>
    <w:rsid w:val="005F0DCA"/>
    <w:rsid w:val="005F148D"/>
    <w:rsid w:val="005F1895"/>
    <w:rsid w:val="005F22FF"/>
    <w:rsid w:val="005F233C"/>
    <w:rsid w:val="005F2798"/>
    <w:rsid w:val="005F2824"/>
    <w:rsid w:val="005F2BFF"/>
    <w:rsid w:val="005F46CA"/>
    <w:rsid w:val="005F4E50"/>
    <w:rsid w:val="005F688B"/>
    <w:rsid w:val="005F753E"/>
    <w:rsid w:val="005F7D17"/>
    <w:rsid w:val="00600598"/>
    <w:rsid w:val="006027E9"/>
    <w:rsid w:val="006040D4"/>
    <w:rsid w:val="00604645"/>
    <w:rsid w:val="0060493C"/>
    <w:rsid w:val="006052D6"/>
    <w:rsid w:val="00605BFC"/>
    <w:rsid w:val="00605E9D"/>
    <w:rsid w:val="006109D4"/>
    <w:rsid w:val="006118C9"/>
    <w:rsid w:val="00612111"/>
    <w:rsid w:val="00612355"/>
    <w:rsid w:val="00612B80"/>
    <w:rsid w:val="00612E44"/>
    <w:rsid w:val="0061445C"/>
    <w:rsid w:val="00614522"/>
    <w:rsid w:val="00614D12"/>
    <w:rsid w:val="0061592B"/>
    <w:rsid w:val="0061641C"/>
    <w:rsid w:val="006167C5"/>
    <w:rsid w:val="00616E2A"/>
    <w:rsid w:val="00617510"/>
    <w:rsid w:val="00617F3E"/>
    <w:rsid w:val="00620246"/>
    <w:rsid w:val="00621014"/>
    <w:rsid w:val="00622540"/>
    <w:rsid w:val="00622786"/>
    <w:rsid w:val="00622BF9"/>
    <w:rsid w:val="006233FF"/>
    <w:rsid w:val="00623D97"/>
    <w:rsid w:val="00625E5A"/>
    <w:rsid w:val="00626B4D"/>
    <w:rsid w:val="00626E3C"/>
    <w:rsid w:val="00630247"/>
    <w:rsid w:val="00631000"/>
    <w:rsid w:val="00634576"/>
    <w:rsid w:val="0063472E"/>
    <w:rsid w:val="0063676E"/>
    <w:rsid w:val="00636B58"/>
    <w:rsid w:val="00636CA3"/>
    <w:rsid w:val="006401B1"/>
    <w:rsid w:val="00640AFD"/>
    <w:rsid w:val="00642CFE"/>
    <w:rsid w:val="00642E53"/>
    <w:rsid w:val="00645589"/>
    <w:rsid w:val="00645C1A"/>
    <w:rsid w:val="006503CB"/>
    <w:rsid w:val="006504BB"/>
    <w:rsid w:val="00650607"/>
    <w:rsid w:val="00650A9B"/>
    <w:rsid w:val="006526C3"/>
    <w:rsid w:val="00654561"/>
    <w:rsid w:val="0065470B"/>
    <w:rsid w:val="00654BA1"/>
    <w:rsid w:val="00654E67"/>
    <w:rsid w:val="006557A7"/>
    <w:rsid w:val="00655DDC"/>
    <w:rsid w:val="006570CF"/>
    <w:rsid w:val="00660414"/>
    <w:rsid w:val="00661869"/>
    <w:rsid w:val="00661F58"/>
    <w:rsid w:val="00663B3C"/>
    <w:rsid w:val="00664CFA"/>
    <w:rsid w:val="00666403"/>
    <w:rsid w:val="00670264"/>
    <w:rsid w:val="0067029F"/>
    <w:rsid w:val="00671308"/>
    <w:rsid w:val="0067284D"/>
    <w:rsid w:val="00673340"/>
    <w:rsid w:val="006733F0"/>
    <w:rsid w:val="006739DC"/>
    <w:rsid w:val="00673D97"/>
    <w:rsid w:val="006740EB"/>
    <w:rsid w:val="00674C9A"/>
    <w:rsid w:val="00674E0A"/>
    <w:rsid w:val="00675F4D"/>
    <w:rsid w:val="00676768"/>
    <w:rsid w:val="00676D70"/>
    <w:rsid w:val="00677042"/>
    <w:rsid w:val="0067727B"/>
    <w:rsid w:val="006803A1"/>
    <w:rsid w:val="00681026"/>
    <w:rsid w:val="006818BE"/>
    <w:rsid w:val="00681B6B"/>
    <w:rsid w:val="00681B71"/>
    <w:rsid w:val="00681CE6"/>
    <w:rsid w:val="006824C2"/>
    <w:rsid w:val="00683756"/>
    <w:rsid w:val="00685E25"/>
    <w:rsid w:val="00686065"/>
    <w:rsid w:val="0068651E"/>
    <w:rsid w:val="006867FC"/>
    <w:rsid w:val="00687493"/>
    <w:rsid w:val="006877EC"/>
    <w:rsid w:val="00690A9A"/>
    <w:rsid w:val="00691650"/>
    <w:rsid w:val="0069200E"/>
    <w:rsid w:val="00693061"/>
    <w:rsid w:val="00693D9D"/>
    <w:rsid w:val="00694CA3"/>
    <w:rsid w:val="00694F40"/>
    <w:rsid w:val="006952F5"/>
    <w:rsid w:val="006954F4"/>
    <w:rsid w:val="006956FE"/>
    <w:rsid w:val="00696093"/>
    <w:rsid w:val="00697259"/>
    <w:rsid w:val="006A1457"/>
    <w:rsid w:val="006A2223"/>
    <w:rsid w:val="006A32E2"/>
    <w:rsid w:val="006A37A7"/>
    <w:rsid w:val="006A384E"/>
    <w:rsid w:val="006A4BC9"/>
    <w:rsid w:val="006A52D6"/>
    <w:rsid w:val="006A65C1"/>
    <w:rsid w:val="006A70CA"/>
    <w:rsid w:val="006B2CC4"/>
    <w:rsid w:val="006B32D7"/>
    <w:rsid w:val="006B364E"/>
    <w:rsid w:val="006B3CF7"/>
    <w:rsid w:val="006B474F"/>
    <w:rsid w:val="006B47DF"/>
    <w:rsid w:val="006B4B3A"/>
    <w:rsid w:val="006B4CF7"/>
    <w:rsid w:val="006B4FE1"/>
    <w:rsid w:val="006B5E11"/>
    <w:rsid w:val="006B65E8"/>
    <w:rsid w:val="006B68F9"/>
    <w:rsid w:val="006C0D0D"/>
    <w:rsid w:val="006C0D42"/>
    <w:rsid w:val="006C2739"/>
    <w:rsid w:val="006C413A"/>
    <w:rsid w:val="006C4E06"/>
    <w:rsid w:val="006C5736"/>
    <w:rsid w:val="006C57B2"/>
    <w:rsid w:val="006C7559"/>
    <w:rsid w:val="006C7BC6"/>
    <w:rsid w:val="006D0FF8"/>
    <w:rsid w:val="006D17B2"/>
    <w:rsid w:val="006D1CC5"/>
    <w:rsid w:val="006D1E96"/>
    <w:rsid w:val="006D32DD"/>
    <w:rsid w:val="006D4C93"/>
    <w:rsid w:val="006D56F9"/>
    <w:rsid w:val="006D6461"/>
    <w:rsid w:val="006E08B7"/>
    <w:rsid w:val="006E0CAC"/>
    <w:rsid w:val="006E2783"/>
    <w:rsid w:val="006E480A"/>
    <w:rsid w:val="006E5151"/>
    <w:rsid w:val="006E5D26"/>
    <w:rsid w:val="006E7B33"/>
    <w:rsid w:val="006F02ED"/>
    <w:rsid w:val="006F07C4"/>
    <w:rsid w:val="006F1D3A"/>
    <w:rsid w:val="006F48E8"/>
    <w:rsid w:val="006F5907"/>
    <w:rsid w:val="006F754C"/>
    <w:rsid w:val="006F77AA"/>
    <w:rsid w:val="007005BC"/>
    <w:rsid w:val="00701EFD"/>
    <w:rsid w:val="00702356"/>
    <w:rsid w:val="00702A4C"/>
    <w:rsid w:val="00702D25"/>
    <w:rsid w:val="007039EB"/>
    <w:rsid w:val="00704336"/>
    <w:rsid w:val="0070486F"/>
    <w:rsid w:val="0070569D"/>
    <w:rsid w:val="0070609E"/>
    <w:rsid w:val="00706CBB"/>
    <w:rsid w:val="0070714A"/>
    <w:rsid w:val="007072D2"/>
    <w:rsid w:val="00710F87"/>
    <w:rsid w:val="007118DC"/>
    <w:rsid w:val="007127C2"/>
    <w:rsid w:val="007138C0"/>
    <w:rsid w:val="00713989"/>
    <w:rsid w:val="00716053"/>
    <w:rsid w:val="0072108A"/>
    <w:rsid w:val="00721178"/>
    <w:rsid w:val="00721F32"/>
    <w:rsid w:val="007226E6"/>
    <w:rsid w:val="0072294B"/>
    <w:rsid w:val="0072471F"/>
    <w:rsid w:val="00725B7F"/>
    <w:rsid w:val="00725F09"/>
    <w:rsid w:val="0073121B"/>
    <w:rsid w:val="00732689"/>
    <w:rsid w:val="007342F5"/>
    <w:rsid w:val="00734A0C"/>
    <w:rsid w:val="007354E1"/>
    <w:rsid w:val="00735A53"/>
    <w:rsid w:val="007361CC"/>
    <w:rsid w:val="00736A9C"/>
    <w:rsid w:val="007371C3"/>
    <w:rsid w:val="00740C94"/>
    <w:rsid w:val="00741C75"/>
    <w:rsid w:val="00744A7B"/>
    <w:rsid w:val="007506AD"/>
    <w:rsid w:val="007513C2"/>
    <w:rsid w:val="00751CDC"/>
    <w:rsid w:val="007534F9"/>
    <w:rsid w:val="00754579"/>
    <w:rsid w:val="00754A20"/>
    <w:rsid w:val="00760479"/>
    <w:rsid w:val="0076207A"/>
    <w:rsid w:val="00762DF3"/>
    <w:rsid w:val="0076317F"/>
    <w:rsid w:val="007631A5"/>
    <w:rsid w:val="00763C50"/>
    <w:rsid w:val="00765887"/>
    <w:rsid w:val="007659F7"/>
    <w:rsid w:val="00767A6E"/>
    <w:rsid w:val="00767F4F"/>
    <w:rsid w:val="00770989"/>
    <w:rsid w:val="00770D87"/>
    <w:rsid w:val="0077134A"/>
    <w:rsid w:val="00771866"/>
    <w:rsid w:val="00771CEE"/>
    <w:rsid w:val="00772816"/>
    <w:rsid w:val="00772F89"/>
    <w:rsid w:val="007734FA"/>
    <w:rsid w:val="00773AE9"/>
    <w:rsid w:val="0077414E"/>
    <w:rsid w:val="0077420E"/>
    <w:rsid w:val="00774716"/>
    <w:rsid w:val="00775CE7"/>
    <w:rsid w:val="00777FC2"/>
    <w:rsid w:val="00780405"/>
    <w:rsid w:val="00782400"/>
    <w:rsid w:val="00782B23"/>
    <w:rsid w:val="00784753"/>
    <w:rsid w:val="00785E22"/>
    <w:rsid w:val="0078698F"/>
    <w:rsid w:val="00786C1A"/>
    <w:rsid w:val="007916CF"/>
    <w:rsid w:val="00793220"/>
    <w:rsid w:val="007936CA"/>
    <w:rsid w:val="0079400A"/>
    <w:rsid w:val="007956E1"/>
    <w:rsid w:val="0079657E"/>
    <w:rsid w:val="00796EED"/>
    <w:rsid w:val="00797269"/>
    <w:rsid w:val="00797762"/>
    <w:rsid w:val="007A0121"/>
    <w:rsid w:val="007A089F"/>
    <w:rsid w:val="007A0B8A"/>
    <w:rsid w:val="007A113D"/>
    <w:rsid w:val="007A28E4"/>
    <w:rsid w:val="007A2AA1"/>
    <w:rsid w:val="007A2E6B"/>
    <w:rsid w:val="007A32C9"/>
    <w:rsid w:val="007A3682"/>
    <w:rsid w:val="007A3AF0"/>
    <w:rsid w:val="007A48B5"/>
    <w:rsid w:val="007A5DF0"/>
    <w:rsid w:val="007A61C1"/>
    <w:rsid w:val="007A6935"/>
    <w:rsid w:val="007A71B8"/>
    <w:rsid w:val="007B0B3C"/>
    <w:rsid w:val="007B0D94"/>
    <w:rsid w:val="007B1993"/>
    <w:rsid w:val="007B3779"/>
    <w:rsid w:val="007B3801"/>
    <w:rsid w:val="007B3D2F"/>
    <w:rsid w:val="007B6B4B"/>
    <w:rsid w:val="007B6FF1"/>
    <w:rsid w:val="007B748A"/>
    <w:rsid w:val="007C006F"/>
    <w:rsid w:val="007C0899"/>
    <w:rsid w:val="007C0BE4"/>
    <w:rsid w:val="007C18FF"/>
    <w:rsid w:val="007C1E11"/>
    <w:rsid w:val="007C3AA4"/>
    <w:rsid w:val="007C3F00"/>
    <w:rsid w:val="007C594D"/>
    <w:rsid w:val="007C729D"/>
    <w:rsid w:val="007D0259"/>
    <w:rsid w:val="007D1062"/>
    <w:rsid w:val="007D280D"/>
    <w:rsid w:val="007D2F11"/>
    <w:rsid w:val="007D4101"/>
    <w:rsid w:val="007D5E72"/>
    <w:rsid w:val="007D61B8"/>
    <w:rsid w:val="007D6207"/>
    <w:rsid w:val="007D6EAB"/>
    <w:rsid w:val="007D7330"/>
    <w:rsid w:val="007D74CF"/>
    <w:rsid w:val="007E0CC4"/>
    <w:rsid w:val="007E2F46"/>
    <w:rsid w:val="007E3122"/>
    <w:rsid w:val="007E44B8"/>
    <w:rsid w:val="007E4CF2"/>
    <w:rsid w:val="007E4E76"/>
    <w:rsid w:val="007E549A"/>
    <w:rsid w:val="007E6653"/>
    <w:rsid w:val="007F0F26"/>
    <w:rsid w:val="007F144E"/>
    <w:rsid w:val="007F25B5"/>
    <w:rsid w:val="007F2B39"/>
    <w:rsid w:val="007F34DE"/>
    <w:rsid w:val="007F3711"/>
    <w:rsid w:val="007F3DC3"/>
    <w:rsid w:val="007F4235"/>
    <w:rsid w:val="007F4F69"/>
    <w:rsid w:val="007F5994"/>
    <w:rsid w:val="007F5FD9"/>
    <w:rsid w:val="007F684E"/>
    <w:rsid w:val="007F6C99"/>
    <w:rsid w:val="007F782B"/>
    <w:rsid w:val="007F7ABA"/>
    <w:rsid w:val="00800F06"/>
    <w:rsid w:val="00801EF5"/>
    <w:rsid w:val="00802350"/>
    <w:rsid w:val="00803BAD"/>
    <w:rsid w:val="00804F3E"/>
    <w:rsid w:val="008056DF"/>
    <w:rsid w:val="00805F86"/>
    <w:rsid w:val="00806606"/>
    <w:rsid w:val="00806850"/>
    <w:rsid w:val="008069B1"/>
    <w:rsid w:val="0080767E"/>
    <w:rsid w:val="00807A49"/>
    <w:rsid w:val="00807AE5"/>
    <w:rsid w:val="00810199"/>
    <w:rsid w:val="00811B86"/>
    <w:rsid w:val="00812D37"/>
    <w:rsid w:val="0081332B"/>
    <w:rsid w:val="00813578"/>
    <w:rsid w:val="0081398C"/>
    <w:rsid w:val="008142A3"/>
    <w:rsid w:val="00815289"/>
    <w:rsid w:val="008166F9"/>
    <w:rsid w:val="0081770F"/>
    <w:rsid w:val="00817B55"/>
    <w:rsid w:val="00817C61"/>
    <w:rsid w:val="008205AF"/>
    <w:rsid w:val="00820C8B"/>
    <w:rsid w:val="0082169E"/>
    <w:rsid w:val="00821D61"/>
    <w:rsid w:val="00822004"/>
    <w:rsid w:val="00822781"/>
    <w:rsid w:val="00822E47"/>
    <w:rsid w:val="00822E8C"/>
    <w:rsid w:val="00824500"/>
    <w:rsid w:val="008257AD"/>
    <w:rsid w:val="00825DC6"/>
    <w:rsid w:val="008271B5"/>
    <w:rsid w:val="008271D3"/>
    <w:rsid w:val="00827256"/>
    <w:rsid w:val="00827555"/>
    <w:rsid w:val="00827608"/>
    <w:rsid w:val="00830411"/>
    <w:rsid w:val="00830D42"/>
    <w:rsid w:val="00833A52"/>
    <w:rsid w:val="0083436B"/>
    <w:rsid w:val="0083712E"/>
    <w:rsid w:val="0084096B"/>
    <w:rsid w:val="00840B60"/>
    <w:rsid w:val="00840D41"/>
    <w:rsid w:val="008414C8"/>
    <w:rsid w:val="00841501"/>
    <w:rsid w:val="0084303E"/>
    <w:rsid w:val="008448A3"/>
    <w:rsid w:val="00845B53"/>
    <w:rsid w:val="008463AD"/>
    <w:rsid w:val="00846626"/>
    <w:rsid w:val="008506E5"/>
    <w:rsid w:val="00851920"/>
    <w:rsid w:val="008520DF"/>
    <w:rsid w:val="00853EB9"/>
    <w:rsid w:val="00854F5A"/>
    <w:rsid w:val="00855F7F"/>
    <w:rsid w:val="0085725B"/>
    <w:rsid w:val="008609B5"/>
    <w:rsid w:val="00860AB1"/>
    <w:rsid w:val="00860B6D"/>
    <w:rsid w:val="0086152E"/>
    <w:rsid w:val="00863886"/>
    <w:rsid w:val="00863A83"/>
    <w:rsid w:val="00863BDF"/>
    <w:rsid w:val="008652D5"/>
    <w:rsid w:val="008664CA"/>
    <w:rsid w:val="00866C0B"/>
    <w:rsid w:val="00867464"/>
    <w:rsid w:val="008675C2"/>
    <w:rsid w:val="0087015A"/>
    <w:rsid w:val="00870A5C"/>
    <w:rsid w:val="008716D5"/>
    <w:rsid w:val="00871A8C"/>
    <w:rsid w:val="00871B67"/>
    <w:rsid w:val="008738F3"/>
    <w:rsid w:val="008742A3"/>
    <w:rsid w:val="00874C61"/>
    <w:rsid w:val="00875095"/>
    <w:rsid w:val="0087550E"/>
    <w:rsid w:val="00875812"/>
    <w:rsid w:val="00875AEB"/>
    <w:rsid w:val="00876CE0"/>
    <w:rsid w:val="00881060"/>
    <w:rsid w:val="00881136"/>
    <w:rsid w:val="00881C90"/>
    <w:rsid w:val="008822F8"/>
    <w:rsid w:val="0088334D"/>
    <w:rsid w:val="0088413C"/>
    <w:rsid w:val="00884162"/>
    <w:rsid w:val="00884DCE"/>
    <w:rsid w:val="008853EC"/>
    <w:rsid w:val="00885599"/>
    <w:rsid w:val="008876D3"/>
    <w:rsid w:val="008877F1"/>
    <w:rsid w:val="00887DA1"/>
    <w:rsid w:val="00887EB2"/>
    <w:rsid w:val="008907E0"/>
    <w:rsid w:val="00890908"/>
    <w:rsid w:val="00892B72"/>
    <w:rsid w:val="008930B7"/>
    <w:rsid w:val="00893A03"/>
    <w:rsid w:val="00893BAA"/>
    <w:rsid w:val="00893EFD"/>
    <w:rsid w:val="008948FA"/>
    <w:rsid w:val="0089622D"/>
    <w:rsid w:val="00896F4D"/>
    <w:rsid w:val="00897290"/>
    <w:rsid w:val="008974E9"/>
    <w:rsid w:val="008A00B2"/>
    <w:rsid w:val="008A07C3"/>
    <w:rsid w:val="008A17F5"/>
    <w:rsid w:val="008A22B2"/>
    <w:rsid w:val="008A2B7B"/>
    <w:rsid w:val="008A2CB4"/>
    <w:rsid w:val="008A3B62"/>
    <w:rsid w:val="008A4CD1"/>
    <w:rsid w:val="008A5778"/>
    <w:rsid w:val="008A5F06"/>
    <w:rsid w:val="008A62CE"/>
    <w:rsid w:val="008A662D"/>
    <w:rsid w:val="008A7088"/>
    <w:rsid w:val="008A719C"/>
    <w:rsid w:val="008B0CAA"/>
    <w:rsid w:val="008B0F78"/>
    <w:rsid w:val="008B14A1"/>
    <w:rsid w:val="008B1838"/>
    <w:rsid w:val="008B2A6A"/>
    <w:rsid w:val="008B2F58"/>
    <w:rsid w:val="008B3189"/>
    <w:rsid w:val="008B3A13"/>
    <w:rsid w:val="008B4D04"/>
    <w:rsid w:val="008B5067"/>
    <w:rsid w:val="008B5113"/>
    <w:rsid w:val="008B65FE"/>
    <w:rsid w:val="008B6CCD"/>
    <w:rsid w:val="008B6DD0"/>
    <w:rsid w:val="008B7B2D"/>
    <w:rsid w:val="008B7D87"/>
    <w:rsid w:val="008C0DBF"/>
    <w:rsid w:val="008C1BB2"/>
    <w:rsid w:val="008C2FBB"/>
    <w:rsid w:val="008C3C71"/>
    <w:rsid w:val="008C4BF7"/>
    <w:rsid w:val="008C5F2A"/>
    <w:rsid w:val="008C7AFC"/>
    <w:rsid w:val="008C7C3B"/>
    <w:rsid w:val="008C7D91"/>
    <w:rsid w:val="008D11E2"/>
    <w:rsid w:val="008D3817"/>
    <w:rsid w:val="008D3DCE"/>
    <w:rsid w:val="008D49AD"/>
    <w:rsid w:val="008D57B6"/>
    <w:rsid w:val="008D598A"/>
    <w:rsid w:val="008D7751"/>
    <w:rsid w:val="008D7D5B"/>
    <w:rsid w:val="008E04A3"/>
    <w:rsid w:val="008E0C52"/>
    <w:rsid w:val="008E11D3"/>
    <w:rsid w:val="008E4996"/>
    <w:rsid w:val="008E5165"/>
    <w:rsid w:val="008E5528"/>
    <w:rsid w:val="008E57F3"/>
    <w:rsid w:val="008E5900"/>
    <w:rsid w:val="008E60DD"/>
    <w:rsid w:val="008E72F4"/>
    <w:rsid w:val="008E7AF6"/>
    <w:rsid w:val="008E7F0D"/>
    <w:rsid w:val="008F02A1"/>
    <w:rsid w:val="008F0813"/>
    <w:rsid w:val="008F2FE9"/>
    <w:rsid w:val="008F31F9"/>
    <w:rsid w:val="008F3C5C"/>
    <w:rsid w:val="008F4712"/>
    <w:rsid w:val="008F522E"/>
    <w:rsid w:val="008F5493"/>
    <w:rsid w:val="008F5EBD"/>
    <w:rsid w:val="008F5FE6"/>
    <w:rsid w:val="008F6EA7"/>
    <w:rsid w:val="008F6FF4"/>
    <w:rsid w:val="008F72F0"/>
    <w:rsid w:val="0090028F"/>
    <w:rsid w:val="00900833"/>
    <w:rsid w:val="009009DC"/>
    <w:rsid w:val="0090179C"/>
    <w:rsid w:val="00901FC1"/>
    <w:rsid w:val="00902A7B"/>
    <w:rsid w:val="00904F11"/>
    <w:rsid w:val="00905AAA"/>
    <w:rsid w:val="0090619B"/>
    <w:rsid w:val="00906B25"/>
    <w:rsid w:val="00907192"/>
    <w:rsid w:val="00910871"/>
    <w:rsid w:val="0091143B"/>
    <w:rsid w:val="0091173D"/>
    <w:rsid w:val="00911E63"/>
    <w:rsid w:val="009126E8"/>
    <w:rsid w:val="00912B7A"/>
    <w:rsid w:val="00914354"/>
    <w:rsid w:val="009158D0"/>
    <w:rsid w:val="00915F5D"/>
    <w:rsid w:val="009160ED"/>
    <w:rsid w:val="009220E3"/>
    <w:rsid w:val="0092313E"/>
    <w:rsid w:val="00924586"/>
    <w:rsid w:val="009245B3"/>
    <w:rsid w:val="0092484D"/>
    <w:rsid w:val="009253B9"/>
    <w:rsid w:val="00926F1A"/>
    <w:rsid w:val="00927196"/>
    <w:rsid w:val="00931A4B"/>
    <w:rsid w:val="00934540"/>
    <w:rsid w:val="00935905"/>
    <w:rsid w:val="00936446"/>
    <w:rsid w:val="0093695F"/>
    <w:rsid w:val="00936A8A"/>
    <w:rsid w:val="0094001B"/>
    <w:rsid w:val="0094023F"/>
    <w:rsid w:val="0094084C"/>
    <w:rsid w:val="00941E9C"/>
    <w:rsid w:val="00944942"/>
    <w:rsid w:val="00945D8B"/>
    <w:rsid w:val="00945E42"/>
    <w:rsid w:val="00946642"/>
    <w:rsid w:val="00946847"/>
    <w:rsid w:val="00946AE4"/>
    <w:rsid w:val="00946FC7"/>
    <w:rsid w:val="00951449"/>
    <w:rsid w:val="00951B1E"/>
    <w:rsid w:val="00952B52"/>
    <w:rsid w:val="00953EEA"/>
    <w:rsid w:val="00954445"/>
    <w:rsid w:val="0095586B"/>
    <w:rsid w:val="00955B35"/>
    <w:rsid w:val="00956675"/>
    <w:rsid w:val="00960732"/>
    <w:rsid w:val="00960EAD"/>
    <w:rsid w:val="009610D8"/>
    <w:rsid w:val="009613CE"/>
    <w:rsid w:val="0096202D"/>
    <w:rsid w:val="00962F2A"/>
    <w:rsid w:val="00963E18"/>
    <w:rsid w:val="00964C04"/>
    <w:rsid w:val="00965929"/>
    <w:rsid w:val="00966208"/>
    <w:rsid w:val="00966614"/>
    <w:rsid w:val="0096764A"/>
    <w:rsid w:val="00967AB9"/>
    <w:rsid w:val="0097116B"/>
    <w:rsid w:val="00971C7D"/>
    <w:rsid w:val="00971F55"/>
    <w:rsid w:val="0097233A"/>
    <w:rsid w:val="00974B3E"/>
    <w:rsid w:val="00975343"/>
    <w:rsid w:val="00975684"/>
    <w:rsid w:val="00975DED"/>
    <w:rsid w:val="009769F0"/>
    <w:rsid w:val="00976D25"/>
    <w:rsid w:val="00976EB2"/>
    <w:rsid w:val="00977126"/>
    <w:rsid w:val="009774BF"/>
    <w:rsid w:val="009815B7"/>
    <w:rsid w:val="009826D5"/>
    <w:rsid w:val="009829DD"/>
    <w:rsid w:val="00984BFF"/>
    <w:rsid w:val="00985320"/>
    <w:rsid w:val="00986064"/>
    <w:rsid w:val="0098712B"/>
    <w:rsid w:val="00990483"/>
    <w:rsid w:val="009907F3"/>
    <w:rsid w:val="00990C9A"/>
    <w:rsid w:val="0099177A"/>
    <w:rsid w:val="00991E70"/>
    <w:rsid w:val="009921B7"/>
    <w:rsid w:val="00992425"/>
    <w:rsid w:val="009928DB"/>
    <w:rsid w:val="00993AFE"/>
    <w:rsid w:val="00993F19"/>
    <w:rsid w:val="0099440A"/>
    <w:rsid w:val="00994509"/>
    <w:rsid w:val="0099484E"/>
    <w:rsid w:val="00994F6C"/>
    <w:rsid w:val="009960E8"/>
    <w:rsid w:val="009A261D"/>
    <w:rsid w:val="009A2941"/>
    <w:rsid w:val="009A2BE6"/>
    <w:rsid w:val="009A3B83"/>
    <w:rsid w:val="009A4BCD"/>
    <w:rsid w:val="009A5169"/>
    <w:rsid w:val="009A58A3"/>
    <w:rsid w:val="009A6C61"/>
    <w:rsid w:val="009B1695"/>
    <w:rsid w:val="009B3167"/>
    <w:rsid w:val="009B3367"/>
    <w:rsid w:val="009B3801"/>
    <w:rsid w:val="009B3BFA"/>
    <w:rsid w:val="009B3DEF"/>
    <w:rsid w:val="009B4638"/>
    <w:rsid w:val="009B540E"/>
    <w:rsid w:val="009C1683"/>
    <w:rsid w:val="009C2059"/>
    <w:rsid w:val="009C27DE"/>
    <w:rsid w:val="009C286B"/>
    <w:rsid w:val="009C4E33"/>
    <w:rsid w:val="009C4E85"/>
    <w:rsid w:val="009C52A1"/>
    <w:rsid w:val="009C56E7"/>
    <w:rsid w:val="009C56F5"/>
    <w:rsid w:val="009C5AF9"/>
    <w:rsid w:val="009C6350"/>
    <w:rsid w:val="009C6CAA"/>
    <w:rsid w:val="009C720A"/>
    <w:rsid w:val="009D03F9"/>
    <w:rsid w:val="009D21A4"/>
    <w:rsid w:val="009D3652"/>
    <w:rsid w:val="009D4E44"/>
    <w:rsid w:val="009D4E6E"/>
    <w:rsid w:val="009D5FEE"/>
    <w:rsid w:val="009D6704"/>
    <w:rsid w:val="009D6B18"/>
    <w:rsid w:val="009D7D19"/>
    <w:rsid w:val="009E0865"/>
    <w:rsid w:val="009E143C"/>
    <w:rsid w:val="009E1B17"/>
    <w:rsid w:val="009E23DE"/>
    <w:rsid w:val="009E4305"/>
    <w:rsid w:val="009E5078"/>
    <w:rsid w:val="009E51FC"/>
    <w:rsid w:val="009E6674"/>
    <w:rsid w:val="009E6AF8"/>
    <w:rsid w:val="009E7AD9"/>
    <w:rsid w:val="009F01EF"/>
    <w:rsid w:val="009F148F"/>
    <w:rsid w:val="009F21CB"/>
    <w:rsid w:val="009F248E"/>
    <w:rsid w:val="009F2A5A"/>
    <w:rsid w:val="009F3511"/>
    <w:rsid w:val="009F3DD4"/>
    <w:rsid w:val="009F4BCF"/>
    <w:rsid w:val="009F5195"/>
    <w:rsid w:val="009F7362"/>
    <w:rsid w:val="009F73E3"/>
    <w:rsid w:val="00A000F5"/>
    <w:rsid w:val="00A00267"/>
    <w:rsid w:val="00A00670"/>
    <w:rsid w:val="00A00994"/>
    <w:rsid w:val="00A00D18"/>
    <w:rsid w:val="00A0107C"/>
    <w:rsid w:val="00A023D0"/>
    <w:rsid w:val="00A024E9"/>
    <w:rsid w:val="00A04CD5"/>
    <w:rsid w:val="00A058D8"/>
    <w:rsid w:val="00A0608A"/>
    <w:rsid w:val="00A11892"/>
    <w:rsid w:val="00A120C7"/>
    <w:rsid w:val="00A12423"/>
    <w:rsid w:val="00A12BD3"/>
    <w:rsid w:val="00A13D03"/>
    <w:rsid w:val="00A14811"/>
    <w:rsid w:val="00A14E13"/>
    <w:rsid w:val="00A17137"/>
    <w:rsid w:val="00A172A3"/>
    <w:rsid w:val="00A2109F"/>
    <w:rsid w:val="00A21876"/>
    <w:rsid w:val="00A219BE"/>
    <w:rsid w:val="00A22791"/>
    <w:rsid w:val="00A22A3B"/>
    <w:rsid w:val="00A22D12"/>
    <w:rsid w:val="00A2388D"/>
    <w:rsid w:val="00A23F4F"/>
    <w:rsid w:val="00A24545"/>
    <w:rsid w:val="00A249DF"/>
    <w:rsid w:val="00A24A8A"/>
    <w:rsid w:val="00A25487"/>
    <w:rsid w:val="00A25BBF"/>
    <w:rsid w:val="00A2679E"/>
    <w:rsid w:val="00A272B6"/>
    <w:rsid w:val="00A278F9"/>
    <w:rsid w:val="00A302E5"/>
    <w:rsid w:val="00A31A92"/>
    <w:rsid w:val="00A32E75"/>
    <w:rsid w:val="00A33BD5"/>
    <w:rsid w:val="00A349B5"/>
    <w:rsid w:val="00A360AA"/>
    <w:rsid w:val="00A36502"/>
    <w:rsid w:val="00A3678F"/>
    <w:rsid w:val="00A377C3"/>
    <w:rsid w:val="00A40AD7"/>
    <w:rsid w:val="00A421C6"/>
    <w:rsid w:val="00A42B99"/>
    <w:rsid w:val="00A42C33"/>
    <w:rsid w:val="00A44228"/>
    <w:rsid w:val="00A44312"/>
    <w:rsid w:val="00A447CE"/>
    <w:rsid w:val="00A4576E"/>
    <w:rsid w:val="00A50672"/>
    <w:rsid w:val="00A51065"/>
    <w:rsid w:val="00A5110F"/>
    <w:rsid w:val="00A5286D"/>
    <w:rsid w:val="00A5288B"/>
    <w:rsid w:val="00A52A82"/>
    <w:rsid w:val="00A52EA7"/>
    <w:rsid w:val="00A52EB1"/>
    <w:rsid w:val="00A53C45"/>
    <w:rsid w:val="00A542E0"/>
    <w:rsid w:val="00A545C4"/>
    <w:rsid w:val="00A55172"/>
    <w:rsid w:val="00A5571A"/>
    <w:rsid w:val="00A56459"/>
    <w:rsid w:val="00A60D5B"/>
    <w:rsid w:val="00A61E5C"/>
    <w:rsid w:val="00A634AA"/>
    <w:rsid w:val="00A63778"/>
    <w:rsid w:val="00A6413A"/>
    <w:rsid w:val="00A64B0D"/>
    <w:rsid w:val="00A64FA9"/>
    <w:rsid w:val="00A650BD"/>
    <w:rsid w:val="00A66526"/>
    <w:rsid w:val="00A6675C"/>
    <w:rsid w:val="00A70DB0"/>
    <w:rsid w:val="00A71405"/>
    <w:rsid w:val="00A74D8D"/>
    <w:rsid w:val="00A77375"/>
    <w:rsid w:val="00A80922"/>
    <w:rsid w:val="00A81780"/>
    <w:rsid w:val="00A82243"/>
    <w:rsid w:val="00A832EA"/>
    <w:rsid w:val="00A83CD9"/>
    <w:rsid w:val="00A842FD"/>
    <w:rsid w:val="00A84CB4"/>
    <w:rsid w:val="00A850E2"/>
    <w:rsid w:val="00A87853"/>
    <w:rsid w:val="00A87D71"/>
    <w:rsid w:val="00A87F06"/>
    <w:rsid w:val="00A91995"/>
    <w:rsid w:val="00A91E19"/>
    <w:rsid w:val="00A93101"/>
    <w:rsid w:val="00A93631"/>
    <w:rsid w:val="00A936DB"/>
    <w:rsid w:val="00A9408C"/>
    <w:rsid w:val="00A95545"/>
    <w:rsid w:val="00A9676C"/>
    <w:rsid w:val="00A96E83"/>
    <w:rsid w:val="00A970C5"/>
    <w:rsid w:val="00A973B7"/>
    <w:rsid w:val="00A97470"/>
    <w:rsid w:val="00A97A31"/>
    <w:rsid w:val="00AA0631"/>
    <w:rsid w:val="00AA0A61"/>
    <w:rsid w:val="00AA10D6"/>
    <w:rsid w:val="00AA20CA"/>
    <w:rsid w:val="00AA238B"/>
    <w:rsid w:val="00AA326C"/>
    <w:rsid w:val="00AA43D6"/>
    <w:rsid w:val="00AA59FE"/>
    <w:rsid w:val="00AA5D6C"/>
    <w:rsid w:val="00AA6AD8"/>
    <w:rsid w:val="00AA7197"/>
    <w:rsid w:val="00AA746A"/>
    <w:rsid w:val="00AB025D"/>
    <w:rsid w:val="00AB04E9"/>
    <w:rsid w:val="00AB14F8"/>
    <w:rsid w:val="00AB1724"/>
    <w:rsid w:val="00AB2309"/>
    <w:rsid w:val="00AB3143"/>
    <w:rsid w:val="00AB33D1"/>
    <w:rsid w:val="00AB3CB0"/>
    <w:rsid w:val="00AB4A86"/>
    <w:rsid w:val="00AB4BE6"/>
    <w:rsid w:val="00AB53B2"/>
    <w:rsid w:val="00AB646B"/>
    <w:rsid w:val="00AB665A"/>
    <w:rsid w:val="00AB6D5A"/>
    <w:rsid w:val="00AC04D9"/>
    <w:rsid w:val="00AC1004"/>
    <w:rsid w:val="00AC1AC5"/>
    <w:rsid w:val="00AC1DA9"/>
    <w:rsid w:val="00AC1EBE"/>
    <w:rsid w:val="00AC2412"/>
    <w:rsid w:val="00AC2BA8"/>
    <w:rsid w:val="00AC42EC"/>
    <w:rsid w:val="00AC4971"/>
    <w:rsid w:val="00AC5CBF"/>
    <w:rsid w:val="00AD02E9"/>
    <w:rsid w:val="00AD0677"/>
    <w:rsid w:val="00AD08CB"/>
    <w:rsid w:val="00AD167D"/>
    <w:rsid w:val="00AD1B66"/>
    <w:rsid w:val="00AD2333"/>
    <w:rsid w:val="00AD2EF5"/>
    <w:rsid w:val="00AD4EAF"/>
    <w:rsid w:val="00AD589F"/>
    <w:rsid w:val="00AD61DE"/>
    <w:rsid w:val="00AD7719"/>
    <w:rsid w:val="00AE05F0"/>
    <w:rsid w:val="00AE0B58"/>
    <w:rsid w:val="00AE3302"/>
    <w:rsid w:val="00AE3686"/>
    <w:rsid w:val="00AE3689"/>
    <w:rsid w:val="00AE3C7E"/>
    <w:rsid w:val="00AE54D7"/>
    <w:rsid w:val="00AE59D7"/>
    <w:rsid w:val="00AE7983"/>
    <w:rsid w:val="00AF0F14"/>
    <w:rsid w:val="00AF0F75"/>
    <w:rsid w:val="00AF1362"/>
    <w:rsid w:val="00AF17FD"/>
    <w:rsid w:val="00AF2951"/>
    <w:rsid w:val="00AF29BD"/>
    <w:rsid w:val="00AF41D2"/>
    <w:rsid w:val="00AF4B9F"/>
    <w:rsid w:val="00AF4BC9"/>
    <w:rsid w:val="00AF580B"/>
    <w:rsid w:val="00AF680E"/>
    <w:rsid w:val="00AF770D"/>
    <w:rsid w:val="00AF7B0F"/>
    <w:rsid w:val="00AF7F15"/>
    <w:rsid w:val="00B0128A"/>
    <w:rsid w:val="00B015C9"/>
    <w:rsid w:val="00B03F0A"/>
    <w:rsid w:val="00B055BF"/>
    <w:rsid w:val="00B06140"/>
    <w:rsid w:val="00B062A9"/>
    <w:rsid w:val="00B06E53"/>
    <w:rsid w:val="00B070E9"/>
    <w:rsid w:val="00B108C1"/>
    <w:rsid w:val="00B11017"/>
    <w:rsid w:val="00B112C1"/>
    <w:rsid w:val="00B11FFD"/>
    <w:rsid w:val="00B12629"/>
    <w:rsid w:val="00B13F36"/>
    <w:rsid w:val="00B1486C"/>
    <w:rsid w:val="00B15352"/>
    <w:rsid w:val="00B154E1"/>
    <w:rsid w:val="00B2005B"/>
    <w:rsid w:val="00B2135D"/>
    <w:rsid w:val="00B227B0"/>
    <w:rsid w:val="00B227CF"/>
    <w:rsid w:val="00B22E5A"/>
    <w:rsid w:val="00B2323E"/>
    <w:rsid w:val="00B23322"/>
    <w:rsid w:val="00B23515"/>
    <w:rsid w:val="00B24FE8"/>
    <w:rsid w:val="00B2555D"/>
    <w:rsid w:val="00B25E66"/>
    <w:rsid w:val="00B26B4D"/>
    <w:rsid w:val="00B270CB"/>
    <w:rsid w:val="00B31443"/>
    <w:rsid w:val="00B33A39"/>
    <w:rsid w:val="00B33C3F"/>
    <w:rsid w:val="00B36424"/>
    <w:rsid w:val="00B36A74"/>
    <w:rsid w:val="00B3734F"/>
    <w:rsid w:val="00B37984"/>
    <w:rsid w:val="00B40B85"/>
    <w:rsid w:val="00B418E6"/>
    <w:rsid w:val="00B44312"/>
    <w:rsid w:val="00B443B8"/>
    <w:rsid w:val="00B502C3"/>
    <w:rsid w:val="00B51E5B"/>
    <w:rsid w:val="00B5200D"/>
    <w:rsid w:val="00B5283F"/>
    <w:rsid w:val="00B54DD8"/>
    <w:rsid w:val="00B554DD"/>
    <w:rsid w:val="00B577DF"/>
    <w:rsid w:val="00B6063F"/>
    <w:rsid w:val="00B61028"/>
    <w:rsid w:val="00B61191"/>
    <w:rsid w:val="00B6157D"/>
    <w:rsid w:val="00B62B55"/>
    <w:rsid w:val="00B640B0"/>
    <w:rsid w:val="00B64A8F"/>
    <w:rsid w:val="00B66096"/>
    <w:rsid w:val="00B66695"/>
    <w:rsid w:val="00B66DB1"/>
    <w:rsid w:val="00B70220"/>
    <w:rsid w:val="00B71349"/>
    <w:rsid w:val="00B71BAC"/>
    <w:rsid w:val="00B71F65"/>
    <w:rsid w:val="00B73CE1"/>
    <w:rsid w:val="00B740BC"/>
    <w:rsid w:val="00B74322"/>
    <w:rsid w:val="00B74377"/>
    <w:rsid w:val="00B74437"/>
    <w:rsid w:val="00B753C1"/>
    <w:rsid w:val="00B76AA8"/>
    <w:rsid w:val="00B77402"/>
    <w:rsid w:val="00B77FA7"/>
    <w:rsid w:val="00B805E0"/>
    <w:rsid w:val="00B81380"/>
    <w:rsid w:val="00B82F5E"/>
    <w:rsid w:val="00B85B6F"/>
    <w:rsid w:val="00B86AC0"/>
    <w:rsid w:val="00B87185"/>
    <w:rsid w:val="00B900E1"/>
    <w:rsid w:val="00B90C90"/>
    <w:rsid w:val="00B9176B"/>
    <w:rsid w:val="00B91BFB"/>
    <w:rsid w:val="00B92A30"/>
    <w:rsid w:val="00B932C7"/>
    <w:rsid w:val="00B93F62"/>
    <w:rsid w:val="00B941C7"/>
    <w:rsid w:val="00B95875"/>
    <w:rsid w:val="00B95A5B"/>
    <w:rsid w:val="00B95CDF"/>
    <w:rsid w:val="00B97679"/>
    <w:rsid w:val="00BA0E3E"/>
    <w:rsid w:val="00BA0EA2"/>
    <w:rsid w:val="00BA160B"/>
    <w:rsid w:val="00BA1B06"/>
    <w:rsid w:val="00BA1ED6"/>
    <w:rsid w:val="00BA31AD"/>
    <w:rsid w:val="00BA45F6"/>
    <w:rsid w:val="00BA64AF"/>
    <w:rsid w:val="00BA74D5"/>
    <w:rsid w:val="00BB03B6"/>
    <w:rsid w:val="00BB0A5E"/>
    <w:rsid w:val="00BB0C2C"/>
    <w:rsid w:val="00BB27C9"/>
    <w:rsid w:val="00BB33CA"/>
    <w:rsid w:val="00BB3B28"/>
    <w:rsid w:val="00BB63AE"/>
    <w:rsid w:val="00BB68AD"/>
    <w:rsid w:val="00BB7575"/>
    <w:rsid w:val="00BB7D56"/>
    <w:rsid w:val="00BB7F50"/>
    <w:rsid w:val="00BC013A"/>
    <w:rsid w:val="00BC0DE4"/>
    <w:rsid w:val="00BC4D62"/>
    <w:rsid w:val="00BC55E4"/>
    <w:rsid w:val="00BC6343"/>
    <w:rsid w:val="00BC6402"/>
    <w:rsid w:val="00BC7311"/>
    <w:rsid w:val="00BD0F2C"/>
    <w:rsid w:val="00BD19C5"/>
    <w:rsid w:val="00BD22F3"/>
    <w:rsid w:val="00BD23A3"/>
    <w:rsid w:val="00BD23D3"/>
    <w:rsid w:val="00BD2451"/>
    <w:rsid w:val="00BD24DF"/>
    <w:rsid w:val="00BD48FF"/>
    <w:rsid w:val="00BD4E11"/>
    <w:rsid w:val="00BD5131"/>
    <w:rsid w:val="00BD52BF"/>
    <w:rsid w:val="00BD5E51"/>
    <w:rsid w:val="00BD62D2"/>
    <w:rsid w:val="00BD6DF3"/>
    <w:rsid w:val="00BD7CCC"/>
    <w:rsid w:val="00BE0843"/>
    <w:rsid w:val="00BE0965"/>
    <w:rsid w:val="00BE0DD7"/>
    <w:rsid w:val="00BE0FA2"/>
    <w:rsid w:val="00BE1EC6"/>
    <w:rsid w:val="00BE2452"/>
    <w:rsid w:val="00BE2E47"/>
    <w:rsid w:val="00BE3E1D"/>
    <w:rsid w:val="00BE55AD"/>
    <w:rsid w:val="00BE5BC1"/>
    <w:rsid w:val="00BE6DCA"/>
    <w:rsid w:val="00BE7922"/>
    <w:rsid w:val="00BF07C3"/>
    <w:rsid w:val="00BF1C91"/>
    <w:rsid w:val="00BF2666"/>
    <w:rsid w:val="00BF3B06"/>
    <w:rsid w:val="00BF44CD"/>
    <w:rsid w:val="00BF4B74"/>
    <w:rsid w:val="00BF532B"/>
    <w:rsid w:val="00C02BE6"/>
    <w:rsid w:val="00C05175"/>
    <w:rsid w:val="00C06430"/>
    <w:rsid w:val="00C069B4"/>
    <w:rsid w:val="00C06B11"/>
    <w:rsid w:val="00C105B7"/>
    <w:rsid w:val="00C10D3B"/>
    <w:rsid w:val="00C1197E"/>
    <w:rsid w:val="00C144D1"/>
    <w:rsid w:val="00C20605"/>
    <w:rsid w:val="00C20942"/>
    <w:rsid w:val="00C20D37"/>
    <w:rsid w:val="00C22423"/>
    <w:rsid w:val="00C23ACA"/>
    <w:rsid w:val="00C24461"/>
    <w:rsid w:val="00C2457A"/>
    <w:rsid w:val="00C26CA5"/>
    <w:rsid w:val="00C274F9"/>
    <w:rsid w:val="00C27C6C"/>
    <w:rsid w:val="00C3097D"/>
    <w:rsid w:val="00C30BAD"/>
    <w:rsid w:val="00C30EBF"/>
    <w:rsid w:val="00C32784"/>
    <w:rsid w:val="00C32ACB"/>
    <w:rsid w:val="00C32F88"/>
    <w:rsid w:val="00C338D6"/>
    <w:rsid w:val="00C33C46"/>
    <w:rsid w:val="00C34DFA"/>
    <w:rsid w:val="00C3536E"/>
    <w:rsid w:val="00C35DC1"/>
    <w:rsid w:val="00C37F0D"/>
    <w:rsid w:val="00C42A80"/>
    <w:rsid w:val="00C43C94"/>
    <w:rsid w:val="00C44E19"/>
    <w:rsid w:val="00C454B7"/>
    <w:rsid w:val="00C46856"/>
    <w:rsid w:val="00C46DA5"/>
    <w:rsid w:val="00C476D8"/>
    <w:rsid w:val="00C47B9F"/>
    <w:rsid w:val="00C52965"/>
    <w:rsid w:val="00C53E2A"/>
    <w:rsid w:val="00C5471F"/>
    <w:rsid w:val="00C548FE"/>
    <w:rsid w:val="00C55C63"/>
    <w:rsid w:val="00C569B4"/>
    <w:rsid w:val="00C56C04"/>
    <w:rsid w:val="00C56DAE"/>
    <w:rsid w:val="00C56F21"/>
    <w:rsid w:val="00C623C2"/>
    <w:rsid w:val="00C63026"/>
    <w:rsid w:val="00C63875"/>
    <w:rsid w:val="00C63B28"/>
    <w:rsid w:val="00C63FB0"/>
    <w:rsid w:val="00C677D0"/>
    <w:rsid w:val="00C6799C"/>
    <w:rsid w:val="00C70B2A"/>
    <w:rsid w:val="00C71AEC"/>
    <w:rsid w:val="00C72BB9"/>
    <w:rsid w:val="00C72CEF"/>
    <w:rsid w:val="00C73475"/>
    <w:rsid w:val="00C74066"/>
    <w:rsid w:val="00C75225"/>
    <w:rsid w:val="00C754A3"/>
    <w:rsid w:val="00C75A95"/>
    <w:rsid w:val="00C762C3"/>
    <w:rsid w:val="00C767BB"/>
    <w:rsid w:val="00C77763"/>
    <w:rsid w:val="00C80D06"/>
    <w:rsid w:val="00C80E7B"/>
    <w:rsid w:val="00C82163"/>
    <w:rsid w:val="00C83384"/>
    <w:rsid w:val="00C835B0"/>
    <w:rsid w:val="00C85106"/>
    <w:rsid w:val="00C85DB5"/>
    <w:rsid w:val="00C86BA8"/>
    <w:rsid w:val="00C87119"/>
    <w:rsid w:val="00C8796E"/>
    <w:rsid w:val="00C90826"/>
    <w:rsid w:val="00C90E22"/>
    <w:rsid w:val="00C92400"/>
    <w:rsid w:val="00C924D3"/>
    <w:rsid w:val="00C926BD"/>
    <w:rsid w:val="00C92CE8"/>
    <w:rsid w:val="00C93735"/>
    <w:rsid w:val="00C93A64"/>
    <w:rsid w:val="00C93AA3"/>
    <w:rsid w:val="00C94148"/>
    <w:rsid w:val="00C95CDC"/>
    <w:rsid w:val="00C960E3"/>
    <w:rsid w:val="00C96E15"/>
    <w:rsid w:val="00C97A07"/>
    <w:rsid w:val="00CA1170"/>
    <w:rsid w:val="00CA21D6"/>
    <w:rsid w:val="00CA28A7"/>
    <w:rsid w:val="00CA2E21"/>
    <w:rsid w:val="00CA2EB4"/>
    <w:rsid w:val="00CA40EC"/>
    <w:rsid w:val="00CA4B31"/>
    <w:rsid w:val="00CA57BC"/>
    <w:rsid w:val="00CB021A"/>
    <w:rsid w:val="00CB1EC0"/>
    <w:rsid w:val="00CB2CD9"/>
    <w:rsid w:val="00CB2F82"/>
    <w:rsid w:val="00CB3937"/>
    <w:rsid w:val="00CB3A14"/>
    <w:rsid w:val="00CB3E85"/>
    <w:rsid w:val="00CB5044"/>
    <w:rsid w:val="00CB53F4"/>
    <w:rsid w:val="00CB6392"/>
    <w:rsid w:val="00CB79F5"/>
    <w:rsid w:val="00CB7D72"/>
    <w:rsid w:val="00CC026F"/>
    <w:rsid w:val="00CC0A6F"/>
    <w:rsid w:val="00CC0F2E"/>
    <w:rsid w:val="00CC3239"/>
    <w:rsid w:val="00CC3CB1"/>
    <w:rsid w:val="00CC416D"/>
    <w:rsid w:val="00CC4529"/>
    <w:rsid w:val="00CC4D12"/>
    <w:rsid w:val="00CC5D38"/>
    <w:rsid w:val="00CC60FF"/>
    <w:rsid w:val="00CC6D57"/>
    <w:rsid w:val="00CC7335"/>
    <w:rsid w:val="00CC74DD"/>
    <w:rsid w:val="00CC7963"/>
    <w:rsid w:val="00CC7BC9"/>
    <w:rsid w:val="00CD1E55"/>
    <w:rsid w:val="00CD21F3"/>
    <w:rsid w:val="00CD540D"/>
    <w:rsid w:val="00CD5C62"/>
    <w:rsid w:val="00CD5CDF"/>
    <w:rsid w:val="00CD6FD1"/>
    <w:rsid w:val="00CD718F"/>
    <w:rsid w:val="00CE0041"/>
    <w:rsid w:val="00CE1DEE"/>
    <w:rsid w:val="00CE2146"/>
    <w:rsid w:val="00CE445F"/>
    <w:rsid w:val="00CE52E5"/>
    <w:rsid w:val="00CE5794"/>
    <w:rsid w:val="00CE6ACC"/>
    <w:rsid w:val="00CE6C1A"/>
    <w:rsid w:val="00CE7D71"/>
    <w:rsid w:val="00CF2321"/>
    <w:rsid w:val="00CF33D7"/>
    <w:rsid w:val="00CF3423"/>
    <w:rsid w:val="00CF3981"/>
    <w:rsid w:val="00CF4071"/>
    <w:rsid w:val="00CF4373"/>
    <w:rsid w:val="00CF62B6"/>
    <w:rsid w:val="00CF65D9"/>
    <w:rsid w:val="00CF66B3"/>
    <w:rsid w:val="00D02CE5"/>
    <w:rsid w:val="00D032A6"/>
    <w:rsid w:val="00D03D29"/>
    <w:rsid w:val="00D05EC1"/>
    <w:rsid w:val="00D10629"/>
    <w:rsid w:val="00D107CD"/>
    <w:rsid w:val="00D12BA7"/>
    <w:rsid w:val="00D13682"/>
    <w:rsid w:val="00D14337"/>
    <w:rsid w:val="00D144EB"/>
    <w:rsid w:val="00D14B3E"/>
    <w:rsid w:val="00D14F47"/>
    <w:rsid w:val="00D15E38"/>
    <w:rsid w:val="00D1641C"/>
    <w:rsid w:val="00D209C2"/>
    <w:rsid w:val="00D2113E"/>
    <w:rsid w:val="00D221C6"/>
    <w:rsid w:val="00D224B9"/>
    <w:rsid w:val="00D238DE"/>
    <w:rsid w:val="00D24052"/>
    <w:rsid w:val="00D258F9"/>
    <w:rsid w:val="00D26018"/>
    <w:rsid w:val="00D261CA"/>
    <w:rsid w:val="00D26719"/>
    <w:rsid w:val="00D30797"/>
    <w:rsid w:val="00D3097E"/>
    <w:rsid w:val="00D30CF1"/>
    <w:rsid w:val="00D35301"/>
    <w:rsid w:val="00D35855"/>
    <w:rsid w:val="00D3680A"/>
    <w:rsid w:val="00D36D28"/>
    <w:rsid w:val="00D378D6"/>
    <w:rsid w:val="00D4083F"/>
    <w:rsid w:val="00D4272B"/>
    <w:rsid w:val="00D428DF"/>
    <w:rsid w:val="00D435A9"/>
    <w:rsid w:val="00D44520"/>
    <w:rsid w:val="00D44899"/>
    <w:rsid w:val="00D4558D"/>
    <w:rsid w:val="00D45CB6"/>
    <w:rsid w:val="00D47C75"/>
    <w:rsid w:val="00D47D71"/>
    <w:rsid w:val="00D51634"/>
    <w:rsid w:val="00D517D7"/>
    <w:rsid w:val="00D52C64"/>
    <w:rsid w:val="00D52DE8"/>
    <w:rsid w:val="00D5303E"/>
    <w:rsid w:val="00D53B41"/>
    <w:rsid w:val="00D53B56"/>
    <w:rsid w:val="00D53DB4"/>
    <w:rsid w:val="00D53E95"/>
    <w:rsid w:val="00D54624"/>
    <w:rsid w:val="00D54701"/>
    <w:rsid w:val="00D55403"/>
    <w:rsid w:val="00D556B6"/>
    <w:rsid w:val="00D56569"/>
    <w:rsid w:val="00D578A5"/>
    <w:rsid w:val="00D603A1"/>
    <w:rsid w:val="00D60EB5"/>
    <w:rsid w:val="00D616F8"/>
    <w:rsid w:val="00D61CDC"/>
    <w:rsid w:val="00D62041"/>
    <w:rsid w:val="00D62977"/>
    <w:rsid w:val="00D63335"/>
    <w:rsid w:val="00D63466"/>
    <w:rsid w:val="00D6357B"/>
    <w:rsid w:val="00D63E40"/>
    <w:rsid w:val="00D6458B"/>
    <w:rsid w:val="00D67003"/>
    <w:rsid w:val="00D67604"/>
    <w:rsid w:val="00D67F00"/>
    <w:rsid w:val="00D70830"/>
    <w:rsid w:val="00D708A6"/>
    <w:rsid w:val="00D70909"/>
    <w:rsid w:val="00D710F3"/>
    <w:rsid w:val="00D714BE"/>
    <w:rsid w:val="00D725C7"/>
    <w:rsid w:val="00D7291B"/>
    <w:rsid w:val="00D72BE3"/>
    <w:rsid w:val="00D732B3"/>
    <w:rsid w:val="00D750B7"/>
    <w:rsid w:val="00D751CA"/>
    <w:rsid w:val="00D761AB"/>
    <w:rsid w:val="00D7751E"/>
    <w:rsid w:val="00D77BFD"/>
    <w:rsid w:val="00D80741"/>
    <w:rsid w:val="00D81214"/>
    <w:rsid w:val="00D81EC9"/>
    <w:rsid w:val="00D81EF0"/>
    <w:rsid w:val="00D82687"/>
    <w:rsid w:val="00D82D65"/>
    <w:rsid w:val="00D83760"/>
    <w:rsid w:val="00D83A06"/>
    <w:rsid w:val="00D841C5"/>
    <w:rsid w:val="00D8581C"/>
    <w:rsid w:val="00D85EE6"/>
    <w:rsid w:val="00D85F4F"/>
    <w:rsid w:val="00D866EC"/>
    <w:rsid w:val="00D867EF"/>
    <w:rsid w:val="00D86B84"/>
    <w:rsid w:val="00D871BF"/>
    <w:rsid w:val="00D90AEE"/>
    <w:rsid w:val="00D90F5F"/>
    <w:rsid w:val="00D91474"/>
    <w:rsid w:val="00D91E8C"/>
    <w:rsid w:val="00D9298A"/>
    <w:rsid w:val="00D96E7E"/>
    <w:rsid w:val="00D96F76"/>
    <w:rsid w:val="00D97223"/>
    <w:rsid w:val="00D972DD"/>
    <w:rsid w:val="00D97CBC"/>
    <w:rsid w:val="00DA02D5"/>
    <w:rsid w:val="00DA15FB"/>
    <w:rsid w:val="00DA1A5B"/>
    <w:rsid w:val="00DA22E2"/>
    <w:rsid w:val="00DA440C"/>
    <w:rsid w:val="00DA4791"/>
    <w:rsid w:val="00DA5EB4"/>
    <w:rsid w:val="00DA62CE"/>
    <w:rsid w:val="00DA69D9"/>
    <w:rsid w:val="00DA6D26"/>
    <w:rsid w:val="00DA706D"/>
    <w:rsid w:val="00DA72F0"/>
    <w:rsid w:val="00DB0764"/>
    <w:rsid w:val="00DB07E5"/>
    <w:rsid w:val="00DB0953"/>
    <w:rsid w:val="00DB26DD"/>
    <w:rsid w:val="00DB444F"/>
    <w:rsid w:val="00DB4FAF"/>
    <w:rsid w:val="00DB515D"/>
    <w:rsid w:val="00DB51FB"/>
    <w:rsid w:val="00DB52BC"/>
    <w:rsid w:val="00DB547A"/>
    <w:rsid w:val="00DB69BF"/>
    <w:rsid w:val="00DB6A11"/>
    <w:rsid w:val="00DB6C77"/>
    <w:rsid w:val="00DB7840"/>
    <w:rsid w:val="00DB7F07"/>
    <w:rsid w:val="00DC02D2"/>
    <w:rsid w:val="00DC06EF"/>
    <w:rsid w:val="00DC1068"/>
    <w:rsid w:val="00DC10A0"/>
    <w:rsid w:val="00DC12E2"/>
    <w:rsid w:val="00DC166E"/>
    <w:rsid w:val="00DC1B84"/>
    <w:rsid w:val="00DC2939"/>
    <w:rsid w:val="00DC29D6"/>
    <w:rsid w:val="00DC2D44"/>
    <w:rsid w:val="00DC3B7C"/>
    <w:rsid w:val="00DC44CA"/>
    <w:rsid w:val="00DC4750"/>
    <w:rsid w:val="00DC4B4E"/>
    <w:rsid w:val="00DC4D7A"/>
    <w:rsid w:val="00DC4E89"/>
    <w:rsid w:val="00DC6802"/>
    <w:rsid w:val="00DC687E"/>
    <w:rsid w:val="00DC7410"/>
    <w:rsid w:val="00DC788F"/>
    <w:rsid w:val="00DC7F94"/>
    <w:rsid w:val="00DD031A"/>
    <w:rsid w:val="00DD0EBA"/>
    <w:rsid w:val="00DD124B"/>
    <w:rsid w:val="00DD1438"/>
    <w:rsid w:val="00DD1C67"/>
    <w:rsid w:val="00DD2EA6"/>
    <w:rsid w:val="00DD4058"/>
    <w:rsid w:val="00DD495E"/>
    <w:rsid w:val="00DD4C8A"/>
    <w:rsid w:val="00DD4D41"/>
    <w:rsid w:val="00DD53EE"/>
    <w:rsid w:val="00DD5623"/>
    <w:rsid w:val="00DD5BDF"/>
    <w:rsid w:val="00DD6974"/>
    <w:rsid w:val="00DD6AF7"/>
    <w:rsid w:val="00DD7AC7"/>
    <w:rsid w:val="00DE1A37"/>
    <w:rsid w:val="00DE1E33"/>
    <w:rsid w:val="00DE27E1"/>
    <w:rsid w:val="00DE35A1"/>
    <w:rsid w:val="00DE3681"/>
    <w:rsid w:val="00DE41B3"/>
    <w:rsid w:val="00DE7F39"/>
    <w:rsid w:val="00DF033F"/>
    <w:rsid w:val="00DF082B"/>
    <w:rsid w:val="00DF1627"/>
    <w:rsid w:val="00DF1B06"/>
    <w:rsid w:val="00DF4E62"/>
    <w:rsid w:val="00DF5052"/>
    <w:rsid w:val="00DF69CE"/>
    <w:rsid w:val="00E0009D"/>
    <w:rsid w:val="00E0056E"/>
    <w:rsid w:val="00E009F4"/>
    <w:rsid w:val="00E02001"/>
    <w:rsid w:val="00E026CF"/>
    <w:rsid w:val="00E02818"/>
    <w:rsid w:val="00E050ED"/>
    <w:rsid w:val="00E05FAA"/>
    <w:rsid w:val="00E064CF"/>
    <w:rsid w:val="00E06770"/>
    <w:rsid w:val="00E06DEB"/>
    <w:rsid w:val="00E06F3E"/>
    <w:rsid w:val="00E07029"/>
    <w:rsid w:val="00E10F43"/>
    <w:rsid w:val="00E116BD"/>
    <w:rsid w:val="00E11DD0"/>
    <w:rsid w:val="00E121FB"/>
    <w:rsid w:val="00E12201"/>
    <w:rsid w:val="00E124DF"/>
    <w:rsid w:val="00E12E77"/>
    <w:rsid w:val="00E14946"/>
    <w:rsid w:val="00E14D84"/>
    <w:rsid w:val="00E15481"/>
    <w:rsid w:val="00E15BB2"/>
    <w:rsid w:val="00E15C42"/>
    <w:rsid w:val="00E16AE4"/>
    <w:rsid w:val="00E20A45"/>
    <w:rsid w:val="00E20A7B"/>
    <w:rsid w:val="00E22C22"/>
    <w:rsid w:val="00E22F39"/>
    <w:rsid w:val="00E243BB"/>
    <w:rsid w:val="00E25206"/>
    <w:rsid w:val="00E25BAE"/>
    <w:rsid w:val="00E25C53"/>
    <w:rsid w:val="00E26283"/>
    <w:rsid w:val="00E27AC7"/>
    <w:rsid w:val="00E27DC8"/>
    <w:rsid w:val="00E30AA9"/>
    <w:rsid w:val="00E30CDB"/>
    <w:rsid w:val="00E32365"/>
    <w:rsid w:val="00E371AA"/>
    <w:rsid w:val="00E37E7D"/>
    <w:rsid w:val="00E40447"/>
    <w:rsid w:val="00E406A2"/>
    <w:rsid w:val="00E4107D"/>
    <w:rsid w:val="00E415FD"/>
    <w:rsid w:val="00E43E77"/>
    <w:rsid w:val="00E4401E"/>
    <w:rsid w:val="00E44D0B"/>
    <w:rsid w:val="00E450B2"/>
    <w:rsid w:val="00E45A02"/>
    <w:rsid w:val="00E45D6A"/>
    <w:rsid w:val="00E46796"/>
    <w:rsid w:val="00E46B46"/>
    <w:rsid w:val="00E46D7F"/>
    <w:rsid w:val="00E5097C"/>
    <w:rsid w:val="00E50B13"/>
    <w:rsid w:val="00E50CAE"/>
    <w:rsid w:val="00E50D15"/>
    <w:rsid w:val="00E5105F"/>
    <w:rsid w:val="00E52DAC"/>
    <w:rsid w:val="00E53C77"/>
    <w:rsid w:val="00E542FE"/>
    <w:rsid w:val="00E554C0"/>
    <w:rsid w:val="00E56CFF"/>
    <w:rsid w:val="00E56D19"/>
    <w:rsid w:val="00E57B49"/>
    <w:rsid w:val="00E57FDD"/>
    <w:rsid w:val="00E60E71"/>
    <w:rsid w:val="00E61493"/>
    <w:rsid w:val="00E62365"/>
    <w:rsid w:val="00E6367C"/>
    <w:rsid w:val="00E63A1E"/>
    <w:rsid w:val="00E65552"/>
    <w:rsid w:val="00E66CDC"/>
    <w:rsid w:val="00E67D1E"/>
    <w:rsid w:val="00E67DE3"/>
    <w:rsid w:val="00E71481"/>
    <w:rsid w:val="00E72139"/>
    <w:rsid w:val="00E726C0"/>
    <w:rsid w:val="00E73214"/>
    <w:rsid w:val="00E74385"/>
    <w:rsid w:val="00E746BA"/>
    <w:rsid w:val="00E74C3C"/>
    <w:rsid w:val="00E75929"/>
    <w:rsid w:val="00E75C1B"/>
    <w:rsid w:val="00E774F8"/>
    <w:rsid w:val="00E779DE"/>
    <w:rsid w:val="00E80336"/>
    <w:rsid w:val="00E80CA2"/>
    <w:rsid w:val="00E81101"/>
    <w:rsid w:val="00E8165A"/>
    <w:rsid w:val="00E82772"/>
    <w:rsid w:val="00E82823"/>
    <w:rsid w:val="00E8284D"/>
    <w:rsid w:val="00E82F8F"/>
    <w:rsid w:val="00E83B10"/>
    <w:rsid w:val="00E85791"/>
    <w:rsid w:val="00E86048"/>
    <w:rsid w:val="00E86221"/>
    <w:rsid w:val="00E86836"/>
    <w:rsid w:val="00E9086B"/>
    <w:rsid w:val="00E90D38"/>
    <w:rsid w:val="00E91533"/>
    <w:rsid w:val="00E91601"/>
    <w:rsid w:val="00E917E2"/>
    <w:rsid w:val="00E919A7"/>
    <w:rsid w:val="00E94190"/>
    <w:rsid w:val="00E94C4C"/>
    <w:rsid w:val="00E955E6"/>
    <w:rsid w:val="00E96C90"/>
    <w:rsid w:val="00EA0603"/>
    <w:rsid w:val="00EA1269"/>
    <w:rsid w:val="00EA1BC1"/>
    <w:rsid w:val="00EA434A"/>
    <w:rsid w:val="00EA51D8"/>
    <w:rsid w:val="00EA5D37"/>
    <w:rsid w:val="00EA5D4E"/>
    <w:rsid w:val="00EA5FD3"/>
    <w:rsid w:val="00EA66CF"/>
    <w:rsid w:val="00EB008A"/>
    <w:rsid w:val="00EB0144"/>
    <w:rsid w:val="00EB07C8"/>
    <w:rsid w:val="00EB0CF8"/>
    <w:rsid w:val="00EB154A"/>
    <w:rsid w:val="00EB1EB9"/>
    <w:rsid w:val="00EB21AE"/>
    <w:rsid w:val="00EB3396"/>
    <w:rsid w:val="00EB3D98"/>
    <w:rsid w:val="00EB4534"/>
    <w:rsid w:val="00EB4A04"/>
    <w:rsid w:val="00EB5635"/>
    <w:rsid w:val="00EB7205"/>
    <w:rsid w:val="00EB78DB"/>
    <w:rsid w:val="00EB7F87"/>
    <w:rsid w:val="00EC0F4D"/>
    <w:rsid w:val="00EC1563"/>
    <w:rsid w:val="00EC342A"/>
    <w:rsid w:val="00EC4EDD"/>
    <w:rsid w:val="00EC5D12"/>
    <w:rsid w:val="00EC6496"/>
    <w:rsid w:val="00ED052D"/>
    <w:rsid w:val="00ED1A67"/>
    <w:rsid w:val="00ED1EF4"/>
    <w:rsid w:val="00ED21D9"/>
    <w:rsid w:val="00ED2320"/>
    <w:rsid w:val="00ED235F"/>
    <w:rsid w:val="00ED3F99"/>
    <w:rsid w:val="00ED431B"/>
    <w:rsid w:val="00ED4AAF"/>
    <w:rsid w:val="00ED509A"/>
    <w:rsid w:val="00ED5A82"/>
    <w:rsid w:val="00ED5ACD"/>
    <w:rsid w:val="00ED6800"/>
    <w:rsid w:val="00ED68E2"/>
    <w:rsid w:val="00ED697C"/>
    <w:rsid w:val="00ED725B"/>
    <w:rsid w:val="00ED72FF"/>
    <w:rsid w:val="00EE00DC"/>
    <w:rsid w:val="00EE0756"/>
    <w:rsid w:val="00EE075C"/>
    <w:rsid w:val="00EE0A18"/>
    <w:rsid w:val="00EE18BD"/>
    <w:rsid w:val="00EE548A"/>
    <w:rsid w:val="00EE5CA1"/>
    <w:rsid w:val="00EE60EF"/>
    <w:rsid w:val="00EE6342"/>
    <w:rsid w:val="00EE7B15"/>
    <w:rsid w:val="00EF2E97"/>
    <w:rsid w:val="00EF317B"/>
    <w:rsid w:val="00EF376B"/>
    <w:rsid w:val="00EF4231"/>
    <w:rsid w:val="00EF51A6"/>
    <w:rsid w:val="00EF6F55"/>
    <w:rsid w:val="00EF7CD8"/>
    <w:rsid w:val="00F00214"/>
    <w:rsid w:val="00F00276"/>
    <w:rsid w:val="00F00BA7"/>
    <w:rsid w:val="00F00BB8"/>
    <w:rsid w:val="00F01DD9"/>
    <w:rsid w:val="00F02900"/>
    <w:rsid w:val="00F03932"/>
    <w:rsid w:val="00F03C2A"/>
    <w:rsid w:val="00F0472A"/>
    <w:rsid w:val="00F05D70"/>
    <w:rsid w:val="00F06EFE"/>
    <w:rsid w:val="00F0730B"/>
    <w:rsid w:val="00F07891"/>
    <w:rsid w:val="00F07920"/>
    <w:rsid w:val="00F10408"/>
    <w:rsid w:val="00F10868"/>
    <w:rsid w:val="00F10E04"/>
    <w:rsid w:val="00F11A8A"/>
    <w:rsid w:val="00F135C6"/>
    <w:rsid w:val="00F137CB"/>
    <w:rsid w:val="00F14F42"/>
    <w:rsid w:val="00F15C54"/>
    <w:rsid w:val="00F16A1E"/>
    <w:rsid w:val="00F16AAE"/>
    <w:rsid w:val="00F16C5D"/>
    <w:rsid w:val="00F16FF7"/>
    <w:rsid w:val="00F17033"/>
    <w:rsid w:val="00F17E0F"/>
    <w:rsid w:val="00F212C0"/>
    <w:rsid w:val="00F23011"/>
    <w:rsid w:val="00F23EE9"/>
    <w:rsid w:val="00F2459D"/>
    <w:rsid w:val="00F24F6C"/>
    <w:rsid w:val="00F253E1"/>
    <w:rsid w:val="00F25622"/>
    <w:rsid w:val="00F269EF"/>
    <w:rsid w:val="00F30632"/>
    <w:rsid w:val="00F316B6"/>
    <w:rsid w:val="00F31E69"/>
    <w:rsid w:val="00F31F20"/>
    <w:rsid w:val="00F32F43"/>
    <w:rsid w:val="00F34D53"/>
    <w:rsid w:val="00F34EDD"/>
    <w:rsid w:val="00F359C6"/>
    <w:rsid w:val="00F35D9E"/>
    <w:rsid w:val="00F35DB9"/>
    <w:rsid w:val="00F36229"/>
    <w:rsid w:val="00F40442"/>
    <w:rsid w:val="00F40471"/>
    <w:rsid w:val="00F42231"/>
    <w:rsid w:val="00F42FF5"/>
    <w:rsid w:val="00F43CB4"/>
    <w:rsid w:val="00F44DE5"/>
    <w:rsid w:val="00F468FD"/>
    <w:rsid w:val="00F478E3"/>
    <w:rsid w:val="00F506FB"/>
    <w:rsid w:val="00F519AA"/>
    <w:rsid w:val="00F51A1F"/>
    <w:rsid w:val="00F5209A"/>
    <w:rsid w:val="00F52D53"/>
    <w:rsid w:val="00F53CDF"/>
    <w:rsid w:val="00F5415B"/>
    <w:rsid w:val="00F54F27"/>
    <w:rsid w:val="00F5571C"/>
    <w:rsid w:val="00F55B8D"/>
    <w:rsid w:val="00F57062"/>
    <w:rsid w:val="00F57771"/>
    <w:rsid w:val="00F60EE5"/>
    <w:rsid w:val="00F611C1"/>
    <w:rsid w:val="00F61C3A"/>
    <w:rsid w:val="00F644FB"/>
    <w:rsid w:val="00F64AD1"/>
    <w:rsid w:val="00F64EB4"/>
    <w:rsid w:val="00F65259"/>
    <w:rsid w:val="00F65541"/>
    <w:rsid w:val="00F6591B"/>
    <w:rsid w:val="00F65A3F"/>
    <w:rsid w:val="00F66F5D"/>
    <w:rsid w:val="00F6732D"/>
    <w:rsid w:val="00F70184"/>
    <w:rsid w:val="00F7098D"/>
    <w:rsid w:val="00F70B2C"/>
    <w:rsid w:val="00F70C1F"/>
    <w:rsid w:val="00F70FB6"/>
    <w:rsid w:val="00F71947"/>
    <w:rsid w:val="00F721A5"/>
    <w:rsid w:val="00F72706"/>
    <w:rsid w:val="00F72EFC"/>
    <w:rsid w:val="00F73C47"/>
    <w:rsid w:val="00F74FAD"/>
    <w:rsid w:val="00F75647"/>
    <w:rsid w:val="00F75677"/>
    <w:rsid w:val="00F758D6"/>
    <w:rsid w:val="00F75912"/>
    <w:rsid w:val="00F75D9B"/>
    <w:rsid w:val="00F763CE"/>
    <w:rsid w:val="00F77840"/>
    <w:rsid w:val="00F80972"/>
    <w:rsid w:val="00F815D1"/>
    <w:rsid w:val="00F8164B"/>
    <w:rsid w:val="00F81683"/>
    <w:rsid w:val="00F8251A"/>
    <w:rsid w:val="00F8260D"/>
    <w:rsid w:val="00F83BB6"/>
    <w:rsid w:val="00F8435D"/>
    <w:rsid w:val="00F8548A"/>
    <w:rsid w:val="00F85875"/>
    <w:rsid w:val="00F87F8D"/>
    <w:rsid w:val="00F90A6C"/>
    <w:rsid w:val="00F916C1"/>
    <w:rsid w:val="00F91BEE"/>
    <w:rsid w:val="00F91FB1"/>
    <w:rsid w:val="00F92D1E"/>
    <w:rsid w:val="00F93149"/>
    <w:rsid w:val="00F94892"/>
    <w:rsid w:val="00F94FCD"/>
    <w:rsid w:val="00F973D1"/>
    <w:rsid w:val="00F975F0"/>
    <w:rsid w:val="00FA1969"/>
    <w:rsid w:val="00FA2098"/>
    <w:rsid w:val="00FA20C2"/>
    <w:rsid w:val="00FA2F57"/>
    <w:rsid w:val="00FA40E8"/>
    <w:rsid w:val="00FA44E3"/>
    <w:rsid w:val="00FA5B48"/>
    <w:rsid w:val="00FA6DEB"/>
    <w:rsid w:val="00FA7A7B"/>
    <w:rsid w:val="00FA7F7C"/>
    <w:rsid w:val="00FB08C5"/>
    <w:rsid w:val="00FB09A6"/>
    <w:rsid w:val="00FB14E7"/>
    <w:rsid w:val="00FB17D7"/>
    <w:rsid w:val="00FB3E18"/>
    <w:rsid w:val="00FB5DCA"/>
    <w:rsid w:val="00FB6423"/>
    <w:rsid w:val="00FC0986"/>
    <w:rsid w:val="00FC204D"/>
    <w:rsid w:val="00FC2D76"/>
    <w:rsid w:val="00FC3C1E"/>
    <w:rsid w:val="00FC4A96"/>
    <w:rsid w:val="00FC4DB7"/>
    <w:rsid w:val="00FC73A9"/>
    <w:rsid w:val="00FC774E"/>
    <w:rsid w:val="00FD0277"/>
    <w:rsid w:val="00FD0636"/>
    <w:rsid w:val="00FD0714"/>
    <w:rsid w:val="00FD0CA8"/>
    <w:rsid w:val="00FD1125"/>
    <w:rsid w:val="00FD3B6A"/>
    <w:rsid w:val="00FD5BE6"/>
    <w:rsid w:val="00FD6C46"/>
    <w:rsid w:val="00FE2710"/>
    <w:rsid w:val="00FE45C9"/>
    <w:rsid w:val="00FE4BF6"/>
    <w:rsid w:val="00FE5344"/>
    <w:rsid w:val="00FE5B0D"/>
    <w:rsid w:val="00FE5C5E"/>
    <w:rsid w:val="00FE5F01"/>
    <w:rsid w:val="00FE616E"/>
    <w:rsid w:val="00FF1561"/>
    <w:rsid w:val="00FF295F"/>
    <w:rsid w:val="00FF320E"/>
    <w:rsid w:val="00FF3D4F"/>
    <w:rsid w:val="00FF4897"/>
    <w:rsid w:val="00FF58A0"/>
    <w:rsid w:val="00FF6229"/>
    <w:rsid w:val="00FF6B29"/>
    <w:rsid w:val="01226A52"/>
    <w:rsid w:val="015D74A7"/>
    <w:rsid w:val="01917B1A"/>
    <w:rsid w:val="028400BA"/>
    <w:rsid w:val="02E85BA8"/>
    <w:rsid w:val="02EC0E79"/>
    <w:rsid w:val="032F515E"/>
    <w:rsid w:val="03597303"/>
    <w:rsid w:val="038D3451"/>
    <w:rsid w:val="03E05C76"/>
    <w:rsid w:val="03FA4C38"/>
    <w:rsid w:val="04CF6A19"/>
    <w:rsid w:val="04F16077"/>
    <w:rsid w:val="068B693D"/>
    <w:rsid w:val="06E51E4D"/>
    <w:rsid w:val="06EE5D38"/>
    <w:rsid w:val="070729B8"/>
    <w:rsid w:val="070752C8"/>
    <w:rsid w:val="071A63D1"/>
    <w:rsid w:val="0754675F"/>
    <w:rsid w:val="07B23486"/>
    <w:rsid w:val="08380E1D"/>
    <w:rsid w:val="083F292D"/>
    <w:rsid w:val="084D75EE"/>
    <w:rsid w:val="0891753F"/>
    <w:rsid w:val="08BB4E14"/>
    <w:rsid w:val="08D81C1B"/>
    <w:rsid w:val="08E47FB5"/>
    <w:rsid w:val="08F50484"/>
    <w:rsid w:val="096369A0"/>
    <w:rsid w:val="0A020CC0"/>
    <w:rsid w:val="0A075D0B"/>
    <w:rsid w:val="0A565785"/>
    <w:rsid w:val="0A801619"/>
    <w:rsid w:val="0AA417AC"/>
    <w:rsid w:val="0AAD7241"/>
    <w:rsid w:val="0B2823DD"/>
    <w:rsid w:val="0BFF75EA"/>
    <w:rsid w:val="0CCE1F45"/>
    <w:rsid w:val="0CD279D5"/>
    <w:rsid w:val="0D0D6A51"/>
    <w:rsid w:val="0D6268D3"/>
    <w:rsid w:val="0D906017"/>
    <w:rsid w:val="0DDC549C"/>
    <w:rsid w:val="0E032C8D"/>
    <w:rsid w:val="0E3B2399"/>
    <w:rsid w:val="0E431840"/>
    <w:rsid w:val="0ECC5CA1"/>
    <w:rsid w:val="0EE505E5"/>
    <w:rsid w:val="107412F0"/>
    <w:rsid w:val="110E7E7D"/>
    <w:rsid w:val="118931E8"/>
    <w:rsid w:val="11932953"/>
    <w:rsid w:val="119A7465"/>
    <w:rsid w:val="11AB6774"/>
    <w:rsid w:val="12416B0D"/>
    <w:rsid w:val="1259447E"/>
    <w:rsid w:val="130B2047"/>
    <w:rsid w:val="13155263"/>
    <w:rsid w:val="133F12C4"/>
    <w:rsid w:val="133F7590"/>
    <w:rsid w:val="13A1610A"/>
    <w:rsid w:val="13AC4ED0"/>
    <w:rsid w:val="13C54541"/>
    <w:rsid w:val="13CF5EB8"/>
    <w:rsid w:val="13E93A34"/>
    <w:rsid w:val="143F0797"/>
    <w:rsid w:val="14440113"/>
    <w:rsid w:val="14965A3A"/>
    <w:rsid w:val="15175270"/>
    <w:rsid w:val="15570834"/>
    <w:rsid w:val="15E8422B"/>
    <w:rsid w:val="160E0103"/>
    <w:rsid w:val="161A5018"/>
    <w:rsid w:val="16541D8D"/>
    <w:rsid w:val="16602195"/>
    <w:rsid w:val="169A7F07"/>
    <w:rsid w:val="16ED6288"/>
    <w:rsid w:val="16FC37C8"/>
    <w:rsid w:val="1788408B"/>
    <w:rsid w:val="17EE0FBD"/>
    <w:rsid w:val="17FF4CF1"/>
    <w:rsid w:val="180F07EA"/>
    <w:rsid w:val="182E143F"/>
    <w:rsid w:val="18CB43A7"/>
    <w:rsid w:val="18D56FD4"/>
    <w:rsid w:val="192B218B"/>
    <w:rsid w:val="1A4D5A24"/>
    <w:rsid w:val="1A692698"/>
    <w:rsid w:val="1A8B4DD7"/>
    <w:rsid w:val="1AC6751C"/>
    <w:rsid w:val="1AFF47DC"/>
    <w:rsid w:val="1B1C0EEA"/>
    <w:rsid w:val="1B2F06B2"/>
    <w:rsid w:val="1B882A24"/>
    <w:rsid w:val="1B8B6070"/>
    <w:rsid w:val="1B935F98"/>
    <w:rsid w:val="1BAB6920"/>
    <w:rsid w:val="1BDE2644"/>
    <w:rsid w:val="1BDF46F6"/>
    <w:rsid w:val="1D07523B"/>
    <w:rsid w:val="1D230EF7"/>
    <w:rsid w:val="1D951E7B"/>
    <w:rsid w:val="1D9660B0"/>
    <w:rsid w:val="1DC51436"/>
    <w:rsid w:val="1DED4DC0"/>
    <w:rsid w:val="1E5A3207"/>
    <w:rsid w:val="1EBA2EF4"/>
    <w:rsid w:val="1ECA3B9F"/>
    <w:rsid w:val="1F047CBC"/>
    <w:rsid w:val="1FFF51C2"/>
    <w:rsid w:val="20796DDF"/>
    <w:rsid w:val="21A70001"/>
    <w:rsid w:val="2200500C"/>
    <w:rsid w:val="22437F3A"/>
    <w:rsid w:val="227635D6"/>
    <w:rsid w:val="22CD67F0"/>
    <w:rsid w:val="23051F2B"/>
    <w:rsid w:val="23482F54"/>
    <w:rsid w:val="24302528"/>
    <w:rsid w:val="24464BDB"/>
    <w:rsid w:val="246C2EE2"/>
    <w:rsid w:val="24850E12"/>
    <w:rsid w:val="24AE4129"/>
    <w:rsid w:val="25A4045A"/>
    <w:rsid w:val="25F807A6"/>
    <w:rsid w:val="260B672B"/>
    <w:rsid w:val="2656156A"/>
    <w:rsid w:val="276A7481"/>
    <w:rsid w:val="286F1155"/>
    <w:rsid w:val="28D9666D"/>
    <w:rsid w:val="291640F4"/>
    <w:rsid w:val="295201CD"/>
    <w:rsid w:val="29B855DE"/>
    <w:rsid w:val="2A20206A"/>
    <w:rsid w:val="2A3A313B"/>
    <w:rsid w:val="2AC140C0"/>
    <w:rsid w:val="2AD11D7F"/>
    <w:rsid w:val="2B0D6167"/>
    <w:rsid w:val="2B964353"/>
    <w:rsid w:val="2BA47406"/>
    <w:rsid w:val="2BA9447C"/>
    <w:rsid w:val="2BC33129"/>
    <w:rsid w:val="2C4E7372"/>
    <w:rsid w:val="2D1E240B"/>
    <w:rsid w:val="2D721A06"/>
    <w:rsid w:val="2D832085"/>
    <w:rsid w:val="2D9B2143"/>
    <w:rsid w:val="2DA21723"/>
    <w:rsid w:val="2E820938"/>
    <w:rsid w:val="2ECE02F6"/>
    <w:rsid w:val="2ED84BF3"/>
    <w:rsid w:val="2EFA733D"/>
    <w:rsid w:val="2F1D6BCC"/>
    <w:rsid w:val="2F6107D2"/>
    <w:rsid w:val="3071362F"/>
    <w:rsid w:val="30967D99"/>
    <w:rsid w:val="30D15355"/>
    <w:rsid w:val="311B38ED"/>
    <w:rsid w:val="31DD5420"/>
    <w:rsid w:val="32480BF5"/>
    <w:rsid w:val="324C39D2"/>
    <w:rsid w:val="32F81DE5"/>
    <w:rsid w:val="340D0F3C"/>
    <w:rsid w:val="343926B5"/>
    <w:rsid w:val="34771336"/>
    <w:rsid w:val="34F30A22"/>
    <w:rsid w:val="350512F4"/>
    <w:rsid w:val="35867B7C"/>
    <w:rsid w:val="35A5088F"/>
    <w:rsid w:val="35F93710"/>
    <w:rsid w:val="36161F1F"/>
    <w:rsid w:val="367D6CAB"/>
    <w:rsid w:val="37803F47"/>
    <w:rsid w:val="37D95D86"/>
    <w:rsid w:val="37F45271"/>
    <w:rsid w:val="387F4D72"/>
    <w:rsid w:val="38CF183A"/>
    <w:rsid w:val="390F1A9A"/>
    <w:rsid w:val="391334D5"/>
    <w:rsid w:val="397877DC"/>
    <w:rsid w:val="398A31B2"/>
    <w:rsid w:val="39D46D7C"/>
    <w:rsid w:val="3A8D72B7"/>
    <w:rsid w:val="3ADF516D"/>
    <w:rsid w:val="3C1423E3"/>
    <w:rsid w:val="3CA67D65"/>
    <w:rsid w:val="3CBB6575"/>
    <w:rsid w:val="3CE75508"/>
    <w:rsid w:val="3D193084"/>
    <w:rsid w:val="3D62170A"/>
    <w:rsid w:val="3DDB3CF0"/>
    <w:rsid w:val="3E0D0AC4"/>
    <w:rsid w:val="3E463B65"/>
    <w:rsid w:val="3E636548"/>
    <w:rsid w:val="3EE677FB"/>
    <w:rsid w:val="3EFA2289"/>
    <w:rsid w:val="3F0062A9"/>
    <w:rsid w:val="3F363AA2"/>
    <w:rsid w:val="3F7647BE"/>
    <w:rsid w:val="3FFD0837"/>
    <w:rsid w:val="406F6832"/>
    <w:rsid w:val="40771A00"/>
    <w:rsid w:val="407E4430"/>
    <w:rsid w:val="40A8087E"/>
    <w:rsid w:val="40FB4811"/>
    <w:rsid w:val="420B31B9"/>
    <w:rsid w:val="425960B7"/>
    <w:rsid w:val="426B250C"/>
    <w:rsid w:val="429B4937"/>
    <w:rsid w:val="42AD6748"/>
    <w:rsid w:val="42AF1CC4"/>
    <w:rsid w:val="43064574"/>
    <w:rsid w:val="43486F01"/>
    <w:rsid w:val="43742D7F"/>
    <w:rsid w:val="440E1469"/>
    <w:rsid w:val="442C18EF"/>
    <w:rsid w:val="44795E62"/>
    <w:rsid w:val="44A10960"/>
    <w:rsid w:val="44A136A1"/>
    <w:rsid w:val="44F20D8A"/>
    <w:rsid w:val="44F854AA"/>
    <w:rsid w:val="45015430"/>
    <w:rsid w:val="45903E27"/>
    <w:rsid w:val="459B4964"/>
    <w:rsid w:val="45F67E46"/>
    <w:rsid w:val="461046E0"/>
    <w:rsid w:val="461E170B"/>
    <w:rsid w:val="46712183"/>
    <w:rsid w:val="470E18C4"/>
    <w:rsid w:val="47A25BB7"/>
    <w:rsid w:val="47EA5D49"/>
    <w:rsid w:val="47EB7590"/>
    <w:rsid w:val="485A15E8"/>
    <w:rsid w:val="48D513AB"/>
    <w:rsid w:val="491C0E0E"/>
    <w:rsid w:val="495F2766"/>
    <w:rsid w:val="49B94735"/>
    <w:rsid w:val="49BD080D"/>
    <w:rsid w:val="49C003AA"/>
    <w:rsid w:val="49CF674B"/>
    <w:rsid w:val="4AAB7B07"/>
    <w:rsid w:val="4B2B29C4"/>
    <w:rsid w:val="4B8B6D84"/>
    <w:rsid w:val="4B963A09"/>
    <w:rsid w:val="4BB02434"/>
    <w:rsid w:val="4BBA5C24"/>
    <w:rsid w:val="4C386633"/>
    <w:rsid w:val="4C687F75"/>
    <w:rsid w:val="4CFA6A2E"/>
    <w:rsid w:val="4D2E777B"/>
    <w:rsid w:val="4DAB40A0"/>
    <w:rsid w:val="4DB841F3"/>
    <w:rsid w:val="4E34533B"/>
    <w:rsid w:val="4E5C1003"/>
    <w:rsid w:val="4EB25691"/>
    <w:rsid w:val="4EB42C0C"/>
    <w:rsid w:val="4ED72330"/>
    <w:rsid w:val="4F837195"/>
    <w:rsid w:val="505A4AE2"/>
    <w:rsid w:val="505C02B1"/>
    <w:rsid w:val="514D7178"/>
    <w:rsid w:val="516A79D5"/>
    <w:rsid w:val="51AA511B"/>
    <w:rsid w:val="520E1CCF"/>
    <w:rsid w:val="525C2520"/>
    <w:rsid w:val="52965D90"/>
    <w:rsid w:val="53476745"/>
    <w:rsid w:val="535F277E"/>
    <w:rsid w:val="536A252F"/>
    <w:rsid w:val="536E5BF5"/>
    <w:rsid w:val="53F65A8A"/>
    <w:rsid w:val="54927B08"/>
    <w:rsid w:val="55375792"/>
    <w:rsid w:val="55536BC9"/>
    <w:rsid w:val="55CC02DF"/>
    <w:rsid w:val="55F10BEA"/>
    <w:rsid w:val="55F54236"/>
    <w:rsid w:val="56211A07"/>
    <w:rsid w:val="564822F4"/>
    <w:rsid w:val="569E48CE"/>
    <w:rsid w:val="56CA197E"/>
    <w:rsid w:val="572B3C93"/>
    <w:rsid w:val="574B7E2C"/>
    <w:rsid w:val="57590F5F"/>
    <w:rsid w:val="576B77EF"/>
    <w:rsid w:val="58D11441"/>
    <w:rsid w:val="58E32A6C"/>
    <w:rsid w:val="58F652A7"/>
    <w:rsid w:val="59C277BF"/>
    <w:rsid w:val="59DB1995"/>
    <w:rsid w:val="5A1524A8"/>
    <w:rsid w:val="5A5C3D11"/>
    <w:rsid w:val="5A640B7E"/>
    <w:rsid w:val="5A97086B"/>
    <w:rsid w:val="5B3C6463"/>
    <w:rsid w:val="5B7D4734"/>
    <w:rsid w:val="5B81031A"/>
    <w:rsid w:val="5C103962"/>
    <w:rsid w:val="5C473312"/>
    <w:rsid w:val="5C523826"/>
    <w:rsid w:val="5D1551BE"/>
    <w:rsid w:val="5D641054"/>
    <w:rsid w:val="5D76200F"/>
    <w:rsid w:val="5D844AE2"/>
    <w:rsid w:val="5D95077A"/>
    <w:rsid w:val="5E05534C"/>
    <w:rsid w:val="5E575F98"/>
    <w:rsid w:val="5E7340B5"/>
    <w:rsid w:val="5ED370DF"/>
    <w:rsid w:val="5EFE74A9"/>
    <w:rsid w:val="5F57386C"/>
    <w:rsid w:val="5F952F3D"/>
    <w:rsid w:val="5FBB0234"/>
    <w:rsid w:val="60681AA9"/>
    <w:rsid w:val="606C113F"/>
    <w:rsid w:val="609A237A"/>
    <w:rsid w:val="60C03693"/>
    <w:rsid w:val="610F0880"/>
    <w:rsid w:val="618810D6"/>
    <w:rsid w:val="61A942E4"/>
    <w:rsid w:val="61E35A38"/>
    <w:rsid w:val="61FA530C"/>
    <w:rsid w:val="62950475"/>
    <w:rsid w:val="62FC777E"/>
    <w:rsid w:val="6311334E"/>
    <w:rsid w:val="63273E9D"/>
    <w:rsid w:val="633155E7"/>
    <w:rsid w:val="633B34A5"/>
    <w:rsid w:val="635F7193"/>
    <w:rsid w:val="636B5241"/>
    <w:rsid w:val="63791C11"/>
    <w:rsid w:val="63EB6B53"/>
    <w:rsid w:val="64252AEB"/>
    <w:rsid w:val="647917CB"/>
    <w:rsid w:val="647F130C"/>
    <w:rsid w:val="661E50E3"/>
    <w:rsid w:val="665147AF"/>
    <w:rsid w:val="665F7340"/>
    <w:rsid w:val="66826A6F"/>
    <w:rsid w:val="66BB6DD6"/>
    <w:rsid w:val="66F85A89"/>
    <w:rsid w:val="673A0F5D"/>
    <w:rsid w:val="67713939"/>
    <w:rsid w:val="67777EDC"/>
    <w:rsid w:val="67954634"/>
    <w:rsid w:val="67D065D6"/>
    <w:rsid w:val="67DD1352"/>
    <w:rsid w:val="68A96F77"/>
    <w:rsid w:val="68C55F71"/>
    <w:rsid w:val="692E4942"/>
    <w:rsid w:val="69354A1B"/>
    <w:rsid w:val="69800377"/>
    <w:rsid w:val="69BF54BD"/>
    <w:rsid w:val="6A753740"/>
    <w:rsid w:val="6AFE1987"/>
    <w:rsid w:val="6B6235CB"/>
    <w:rsid w:val="6B6D2669"/>
    <w:rsid w:val="6B945E48"/>
    <w:rsid w:val="6B9D16B4"/>
    <w:rsid w:val="6BAC07F9"/>
    <w:rsid w:val="6C125ACF"/>
    <w:rsid w:val="6C1D22E3"/>
    <w:rsid w:val="6CE93F71"/>
    <w:rsid w:val="6DB47FE2"/>
    <w:rsid w:val="6DF0691A"/>
    <w:rsid w:val="6E097F2E"/>
    <w:rsid w:val="6ECB7DD2"/>
    <w:rsid w:val="6F112DC6"/>
    <w:rsid w:val="6FD51E2E"/>
    <w:rsid w:val="70560679"/>
    <w:rsid w:val="70640355"/>
    <w:rsid w:val="706C2C8A"/>
    <w:rsid w:val="70787882"/>
    <w:rsid w:val="70CD3A11"/>
    <w:rsid w:val="70F938A5"/>
    <w:rsid w:val="71351220"/>
    <w:rsid w:val="713B033C"/>
    <w:rsid w:val="71AA1F21"/>
    <w:rsid w:val="71CC1D17"/>
    <w:rsid w:val="72CC5EC7"/>
    <w:rsid w:val="731C34F7"/>
    <w:rsid w:val="735D134C"/>
    <w:rsid w:val="73601405"/>
    <w:rsid w:val="737226B2"/>
    <w:rsid w:val="74292DFA"/>
    <w:rsid w:val="749A3101"/>
    <w:rsid w:val="74D168BD"/>
    <w:rsid w:val="74D46FD7"/>
    <w:rsid w:val="750161E9"/>
    <w:rsid w:val="751609B2"/>
    <w:rsid w:val="758D193E"/>
    <w:rsid w:val="75EA3234"/>
    <w:rsid w:val="76271B70"/>
    <w:rsid w:val="776E0C15"/>
    <w:rsid w:val="77E87FBF"/>
    <w:rsid w:val="78C41512"/>
    <w:rsid w:val="79386064"/>
    <w:rsid w:val="79B04BC9"/>
    <w:rsid w:val="79D0629D"/>
    <w:rsid w:val="7A0B0B7A"/>
    <w:rsid w:val="7A3B3DFE"/>
    <w:rsid w:val="7AE2272C"/>
    <w:rsid w:val="7B702515"/>
    <w:rsid w:val="7B8D2FE1"/>
    <w:rsid w:val="7B941E3B"/>
    <w:rsid w:val="7BE61DA8"/>
    <w:rsid w:val="7C0948B9"/>
    <w:rsid w:val="7C762DBD"/>
    <w:rsid w:val="7CE22975"/>
    <w:rsid w:val="7D227955"/>
    <w:rsid w:val="7D45652E"/>
    <w:rsid w:val="7DC1351F"/>
    <w:rsid w:val="7DC85A72"/>
    <w:rsid w:val="7E290F20"/>
    <w:rsid w:val="7E4034E2"/>
    <w:rsid w:val="7FC6631A"/>
    <w:rsid w:val="7FE52F6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6"/>
    <w:qFormat/>
    <w:uiPriority w:val="0"/>
    <w:pPr>
      <w:keepNext/>
      <w:keepLines/>
      <w:tabs>
        <w:tab w:val="left" w:pos="1440"/>
      </w:tabs>
      <w:spacing w:line="240" w:lineRule="auto"/>
      <w:ind w:left="0" w:firstLine="0"/>
      <w:jc w:val="center"/>
      <w:outlineLvl w:val="0"/>
    </w:pPr>
    <w:rPr>
      <w:rFonts w:ascii="Times New Roman" w:hAnsi="Times New Roman" w:eastAsia="宋体"/>
      <w:b/>
      <w:bCs/>
      <w:kern w:val="44"/>
      <w:sz w:val="44"/>
      <w:szCs w:val="44"/>
    </w:rPr>
  </w:style>
  <w:style w:type="paragraph" w:styleId="3">
    <w:name w:val="heading 2"/>
    <w:basedOn w:val="1"/>
    <w:next w:val="1"/>
    <w:link w:val="75"/>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77"/>
    <w:qFormat/>
    <w:uiPriority w:val="0"/>
    <w:pPr>
      <w:keepNext/>
      <w:keepLines/>
      <w:spacing w:before="260" w:after="260" w:line="416" w:lineRule="auto"/>
      <w:outlineLvl w:val="2"/>
    </w:pPr>
    <w:rPr>
      <w:b/>
      <w:bCs/>
      <w:sz w:val="32"/>
      <w:szCs w:val="32"/>
    </w:rPr>
  </w:style>
  <w:style w:type="paragraph" w:styleId="5">
    <w:name w:val="heading 4"/>
    <w:basedOn w:val="1"/>
    <w:next w:val="1"/>
    <w:link w:val="78"/>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79"/>
    <w:qFormat/>
    <w:uiPriority w:val="0"/>
    <w:pPr>
      <w:keepNext/>
      <w:keepLines/>
      <w:tabs>
        <w:tab w:val="left" w:pos="1008"/>
      </w:tabs>
      <w:spacing w:before="280" w:after="290" w:line="372" w:lineRule="auto"/>
      <w:ind w:left="1008" w:hanging="1008"/>
      <w:outlineLvl w:val="4"/>
    </w:pPr>
    <w:rPr>
      <w:b/>
      <w:bCs/>
      <w:sz w:val="28"/>
      <w:szCs w:val="28"/>
    </w:rPr>
  </w:style>
  <w:style w:type="paragraph" w:styleId="7">
    <w:name w:val="heading 6"/>
    <w:basedOn w:val="1"/>
    <w:next w:val="1"/>
    <w:link w:val="80"/>
    <w:qFormat/>
    <w:uiPriority w:val="0"/>
    <w:pPr>
      <w:keepNext/>
      <w:keepLines/>
      <w:tabs>
        <w:tab w:val="left" w:pos="1152"/>
      </w:tabs>
      <w:spacing w:before="240" w:after="64" w:line="317" w:lineRule="auto"/>
      <w:ind w:left="1152" w:hanging="1152"/>
      <w:outlineLvl w:val="5"/>
    </w:pPr>
    <w:rPr>
      <w:rFonts w:ascii="Arial" w:hAnsi="Arial" w:eastAsia="黑体"/>
      <w:b/>
      <w:sz w:val="24"/>
      <w:szCs w:val="20"/>
    </w:rPr>
  </w:style>
  <w:style w:type="paragraph" w:styleId="8">
    <w:name w:val="heading 7"/>
    <w:basedOn w:val="1"/>
    <w:next w:val="1"/>
    <w:link w:val="81"/>
    <w:qFormat/>
    <w:uiPriority w:val="0"/>
    <w:pPr>
      <w:keepNext/>
      <w:keepLines/>
      <w:tabs>
        <w:tab w:val="left" w:pos="1296"/>
      </w:tabs>
      <w:spacing w:before="240" w:after="64" w:line="317" w:lineRule="auto"/>
      <w:ind w:left="1296" w:hanging="1296"/>
      <w:outlineLvl w:val="6"/>
    </w:pPr>
    <w:rPr>
      <w:b/>
      <w:sz w:val="24"/>
      <w:szCs w:val="20"/>
    </w:rPr>
  </w:style>
  <w:style w:type="paragraph" w:styleId="9">
    <w:name w:val="heading 8"/>
    <w:basedOn w:val="1"/>
    <w:next w:val="1"/>
    <w:link w:val="82"/>
    <w:qFormat/>
    <w:uiPriority w:val="0"/>
    <w:pPr>
      <w:keepNext/>
      <w:keepLines/>
      <w:tabs>
        <w:tab w:val="left" w:pos="1440"/>
      </w:tabs>
      <w:spacing w:before="240" w:after="64" w:line="317" w:lineRule="auto"/>
      <w:ind w:left="1440" w:hanging="1440"/>
      <w:outlineLvl w:val="7"/>
    </w:pPr>
    <w:rPr>
      <w:rFonts w:ascii="Arial" w:hAnsi="Arial" w:eastAsia="黑体"/>
      <w:sz w:val="24"/>
      <w:szCs w:val="20"/>
    </w:rPr>
  </w:style>
  <w:style w:type="paragraph" w:styleId="10">
    <w:name w:val="heading 9"/>
    <w:basedOn w:val="1"/>
    <w:next w:val="1"/>
    <w:link w:val="83"/>
    <w:qFormat/>
    <w:uiPriority w:val="0"/>
    <w:pPr>
      <w:keepNext/>
      <w:keepLines/>
      <w:tabs>
        <w:tab w:val="left" w:pos="1584"/>
      </w:tabs>
      <w:spacing w:before="240" w:after="64" w:line="317" w:lineRule="auto"/>
      <w:ind w:left="1584" w:hanging="1584"/>
      <w:outlineLvl w:val="8"/>
    </w:pPr>
    <w:rPr>
      <w:rFonts w:ascii="Arial" w:hAnsi="Arial" w:eastAsia="黑体"/>
      <w:szCs w:val="20"/>
    </w:rPr>
  </w:style>
  <w:style w:type="character" w:default="1" w:styleId="53">
    <w:name w:val="Default Paragraph Font"/>
    <w:unhideWhenUsed/>
    <w:qFormat/>
    <w:uiPriority w:val="1"/>
  </w:style>
  <w:style w:type="table" w:default="1" w:styleId="51">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List Bullet 4"/>
    <w:basedOn w:val="1"/>
    <w:qFormat/>
    <w:uiPriority w:val="0"/>
    <w:pPr>
      <w:tabs>
        <w:tab w:val="left" w:pos="1620"/>
      </w:tabs>
      <w:spacing w:line="360" w:lineRule="auto"/>
      <w:ind w:left="1620" w:hanging="360"/>
      <w:jc w:val="left"/>
    </w:pPr>
    <w:rPr>
      <w:rFonts w:ascii="宋体" w:hAnsi="宋体"/>
      <w:color w:val="7030A0"/>
      <w:sz w:val="24"/>
      <w:szCs w:val="20"/>
    </w:rPr>
  </w:style>
  <w:style w:type="paragraph" w:styleId="13">
    <w:name w:val="index 8"/>
    <w:basedOn w:val="1"/>
    <w:next w:val="1"/>
    <w:unhideWhenUsed/>
    <w:qFormat/>
    <w:uiPriority w:val="99"/>
    <w:pPr>
      <w:ind w:left="1400" w:leftChars="1400"/>
    </w:pPr>
  </w:style>
  <w:style w:type="paragraph" w:styleId="14">
    <w:name w:val="List Number"/>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5">
    <w:name w:val="Normal Indent"/>
    <w:basedOn w:val="1"/>
    <w:link w:val="84"/>
    <w:qFormat/>
    <w:uiPriority w:val="0"/>
    <w:pPr>
      <w:autoSpaceDE w:val="0"/>
      <w:autoSpaceDN w:val="0"/>
      <w:adjustRightInd w:val="0"/>
      <w:ind w:firstLine="420"/>
      <w:jc w:val="left"/>
    </w:pPr>
    <w:rPr>
      <w:rFonts w:ascii="宋体"/>
      <w:kern w:val="0"/>
      <w:sz w:val="24"/>
      <w:szCs w:val="20"/>
    </w:rPr>
  </w:style>
  <w:style w:type="paragraph" w:styleId="16">
    <w:name w:val="caption"/>
    <w:basedOn w:val="1"/>
    <w:next w:val="1"/>
    <w:link w:val="85"/>
    <w:qFormat/>
    <w:uiPriority w:val="0"/>
    <w:pPr>
      <w:ind w:firstLine="6290" w:firstLineChars="2282"/>
    </w:pPr>
    <w:rPr>
      <w:b/>
      <w:bCs/>
      <w:color w:val="000080"/>
      <w:sz w:val="28"/>
    </w:rPr>
  </w:style>
  <w:style w:type="paragraph" w:styleId="17">
    <w:name w:val="List Bullet"/>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8">
    <w:name w:val="Document Map"/>
    <w:basedOn w:val="1"/>
    <w:link w:val="86"/>
    <w:unhideWhenUsed/>
    <w:qFormat/>
    <w:uiPriority w:val="99"/>
    <w:rPr>
      <w:rFonts w:ascii="宋体"/>
      <w:sz w:val="18"/>
      <w:szCs w:val="18"/>
    </w:rPr>
  </w:style>
  <w:style w:type="paragraph" w:styleId="19">
    <w:name w:val="annotation text"/>
    <w:basedOn w:val="1"/>
    <w:link w:val="87"/>
    <w:qFormat/>
    <w:uiPriority w:val="99"/>
    <w:pPr>
      <w:jc w:val="left"/>
    </w:pPr>
    <w:rPr>
      <w:kern w:val="0"/>
      <w:sz w:val="20"/>
    </w:rPr>
  </w:style>
  <w:style w:type="paragraph" w:styleId="20">
    <w:name w:val="Salutation"/>
    <w:basedOn w:val="1"/>
    <w:next w:val="1"/>
    <w:link w:val="88"/>
    <w:qFormat/>
    <w:uiPriority w:val="0"/>
    <w:rPr>
      <w:rFonts w:ascii="宋体" w:hAnsi="宋体"/>
      <w:sz w:val="24"/>
      <w:szCs w:val="20"/>
    </w:rPr>
  </w:style>
  <w:style w:type="paragraph" w:styleId="21">
    <w:name w:val="Body Text 3"/>
    <w:basedOn w:val="1"/>
    <w:link w:val="89"/>
    <w:qFormat/>
    <w:uiPriority w:val="0"/>
    <w:pPr>
      <w:spacing w:line="600" w:lineRule="exact"/>
      <w:ind w:firstLine="200" w:firstLineChars="200"/>
    </w:pPr>
    <w:rPr>
      <w:rFonts w:ascii="Calibri"/>
      <w:kern w:val="0"/>
      <w:sz w:val="24"/>
      <w:szCs w:val="20"/>
    </w:rPr>
  </w:style>
  <w:style w:type="paragraph" w:styleId="22">
    <w:name w:val="List Bullet 3"/>
    <w:basedOn w:val="1"/>
    <w:qFormat/>
    <w:uiPriority w:val="0"/>
    <w:pPr>
      <w:tabs>
        <w:tab w:val="left" w:pos="775"/>
      </w:tabs>
      <w:spacing w:line="360" w:lineRule="auto"/>
      <w:ind w:left="775" w:hanging="360"/>
    </w:pPr>
    <w:rPr>
      <w:kern w:val="0"/>
    </w:rPr>
  </w:style>
  <w:style w:type="paragraph" w:styleId="23">
    <w:name w:val="Body Text"/>
    <w:basedOn w:val="1"/>
    <w:next w:val="1"/>
    <w:link w:val="90"/>
    <w:qFormat/>
    <w:uiPriority w:val="0"/>
    <w:pPr>
      <w:spacing w:line="360" w:lineRule="auto"/>
    </w:pPr>
  </w:style>
  <w:style w:type="paragraph" w:styleId="24">
    <w:name w:val="Body Text Indent"/>
    <w:basedOn w:val="1"/>
    <w:qFormat/>
    <w:uiPriority w:val="0"/>
    <w:pPr>
      <w:widowControl/>
      <w:ind w:left="360"/>
      <w:jc w:val="left"/>
    </w:pPr>
    <w:rPr>
      <w:kern w:val="0"/>
      <w:sz w:val="28"/>
      <w:szCs w:val="20"/>
    </w:rPr>
  </w:style>
  <w:style w:type="paragraph" w:styleId="25">
    <w:name w:val="List 2"/>
    <w:basedOn w:val="1"/>
    <w:qFormat/>
    <w:uiPriority w:val="0"/>
    <w:pPr>
      <w:ind w:left="100" w:leftChars="200" w:hanging="200" w:hangingChars="200"/>
    </w:pPr>
    <w:rPr>
      <w:szCs w:val="24"/>
    </w:rPr>
  </w:style>
  <w:style w:type="paragraph" w:styleId="26">
    <w:name w:val="List Bullet 2"/>
    <w:basedOn w:val="1"/>
    <w:qFormat/>
    <w:uiPriority w:val="0"/>
    <w:pPr>
      <w:tabs>
        <w:tab w:val="left" w:pos="780"/>
      </w:tabs>
      <w:spacing w:line="360" w:lineRule="auto"/>
      <w:ind w:left="780" w:hanging="360"/>
      <w:jc w:val="left"/>
    </w:pPr>
    <w:rPr>
      <w:rFonts w:ascii="宋体" w:hAnsi="宋体"/>
      <w:color w:val="7030A0"/>
      <w:sz w:val="24"/>
      <w:szCs w:val="20"/>
    </w:rPr>
  </w:style>
  <w:style w:type="paragraph" w:styleId="27">
    <w:name w:val="toc 5"/>
    <w:basedOn w:val="1"/>
    <w:next w:val="1"/>
    <w:qFormat/>
    <w:uiPriority w:val="0"/>
    <w:pPr>
      <w:ind w:left="840"/>
      <w:jc w:val="left"/>
    </w:pPr>
    <w:rPr>
      <w:sz w:val="18"/>
      <w:szCs w:val="18"/>
    </w:rPr>
  </w:style>
  <w:style w:type="paragraph" w:styleId="28">
    <w:name w:val="toc 3"/>
    <w:basedOn w:val="1"/>
    <w:next w:val="1"/>
    <w:qFormat/>
    <w:uiPriority w:val="39"/>
    <w:pPr>
      <w:tabs>
        <w:tab w:val="left" w:pos="400"/>
        <w:tab w:val="left" w:pos="576"/>
        <w:tab w:val="right" w:leader="dot" w:pos="8778"/>
      </w:tabs>
      <w:ind w:left="10"/>
      <w:jc w:val="center"/>
    </w:pPr>
    <w:rPr>
      <w:rFonts w:ascii="宋体" w:hAnsi="宋体"/>
      <w:b/>
      <w:iCs/>
      <w:sz w:val="24"/>
    </w:rPr>
  </w:style>
  <w:style w:type="paragraph" w:styleId="29">
    <w:name w:val="Plain Text"/>
    <w:basedOn w:val="1"/>
    <w:next w:val="23"/>
    <w:link w:val="92"/>
    <w:qFormat/>
    <w:uiPriority w:val="0"/>
    <w:rPr>
      <w:rFonts w:ascii="宋体" w:hAnsi="Courier New"/>
      <w:szCs w:val="20"/>
    </w:rPr>
  </w:style>
  <w:style w:type="paragraph" w:styleId="30">
    <w:name w:val="List Bullet 5"/>
    <w:basedOn w:val="1"/>
    <w:qFormat/>
    <w:uiPriority w:val="0"/>
    <w:pPr>
      <w:tabs>
        <w:tab w:val="left" w:pos="2040"/>
      </w:tabs>
      <w:spacing w:line="360" w:lineRule="auto"/>
      <w:ind w:left="2040" w:hanging="360"/>
      <w:jc w:val="left"/>
    </w:pPr>
    <w:rPr>
      <w:rFonts w:ascii="宋体" w:hAnsi="宋体"/>
      <w:color w:val="7030A0"/>
      <w:sz w:val="24"/>
      <w:szCs w:val="20"/>
    </w:rPr>
  </w:style>
  <w:style w:type="paragraph" w:styleId="31">
    <w:name w:val="toc 8"/>
    <w:basedOn w:val="1"/>
    <w:next w:val="1"/>
    <w:qFormat/>
    <w:uiPriority w:val="0"/>
    <w:pPr>
      <w:ind w:left="1470"/>
      <w:jc w:val="left"/>
    </w:pPr>
    <w:rPr>
      <w:sz w:val="18"/>
      <w:szCs w:val="18"/>
    </w:rPr>
  </w:style>
  <w:style w:type="paragraph" w:styleId="32">
    <w:name w:val="Date"/>
    <w:basedOn w:val="1"/>
    <w:next w:val="1"/>
    <w:link w:val="93"/>
    <w:unhideWhenUsed/>
    <w:qFormat/>
    <w:uiPriority w:val="99"/>
    <w:pPr>
      <w:ind w:left="100" w:leftChars="2500"/>
    </w:pPr>
  </w:style>
  <w:style w:type="paragraph" w:styleId="33">
    <w:name w:val="Body Text Indent 2"/>
    <w:basedOn w:val="1"/>
    <w:qFormat/>
    <w:uiPriority w:val="0"/>
    <w:pPr>
      <w:ind w:firstLine="480" w:firstLineChars="200"/>
    </w:pPr>
    <w:rPr>
      <w:rFonts w:ascii="仿宋_GB2312" w:eastAsia="仿宋_GB2312"/>
      <w:sz w:val="24"/>
    </w:rPr>
  </w:style>
  <w:style w:type="paragraph" w:styleId="34">
    <w:name w:val="endnote text"/>
    <w:basedOn w:val="1"/>
    <w:link w:val="94"/>
    <w:qFormat/>
    <w:uiPriority w:val="0"/>
    <w:pPr>
      <w:snapToGrid w:val="0"/>
      <w:spacing w:line="500" w:lineRule="exact"/>
      <w:jc w:val="left"/>
    </w:pPr>
    <w:rPr>
      <w:kern w:val="0"/>
    </w:rPr>
  </w:style>
  <w:style w:type="paragraph" w:styleId="35">
    <w:name w:val="Balloon Text"/>
    <w:basedOn w:val="1"/>
    <w:link w:val="95"/>
    <w:unhideWhenUsed/>
    <w:qFormat/>
    <w:uiPriority w:val="99"/>
    <w:rPr>
      <w:sz w:val="18"/>
      <w:szCs w:val="18"/>
    </w:rPr>
  </w:style>
  <w:style w:type="paragraph" w:styleId="36">
    <w:name w:val="footer"/>
    <w:basedOn w:val="1"/>
    <w:next w:val="37"/>
    <w:link w:val="96"/>
    <w:qFormat/>
    <w:uiPriority w:val="99"/>
    <w:pPr>
      <w:tabs>
        <w:tab w:val="center" w:pos="4153"/>
        <w:tab w:val="right" w:pos="8306"/>
      </w:tabs>
      <w:snapToGrid w:val="0"/>
      <w:jc w:val="left"/>
    </w:pPr>
    <w:rPr>
      <w:sz w:val="18"/>
      <w:szCs w:val="18"/>
    </w:rPr>
  </w:style>
  <w:style w:type="paragraph" w:styleId="37">
    <w:name w:val="header"/>
    <w:basedOn w:val="1"/>
    <w:next w:val="38"/>
    <w:link w:val="97"/>
    <w:qFormat/>
    <w:uiPriority w:val="99"/>
    <w:pPr>
      <w:pBdr>
        <w:bottom w:val="single" w:color="auto" w:sz="6" w:space="1"/>
      </w:pBdr>
      <w:tabs>
        <w:tab w:val="center" w:pos="4153"/>
        <w:tab w:val="right" w:pos="8306"/>
      </w:tabs>
      <w:snapToGrid w:val="0"/>
      <w:jc w:val="center"/>
    </w:pPr>
    <w:rPr>
      <w:sz w:val="18"/>
      <w:szCs w:val="18"/>
    </w:rPr>
  </w:style>
  <w:style w:type="paragraph" w:styleId="38">
    <w:name w:val="toc 2"/>
    <w:basedOn w:val="1"/>
    <w:next w:val="1"/>
    <w:qFormat/>
    <w:uiPriority w:val="39"/>
    <w:pPr>
      <w:tabs>
        <w:tab w:val="right" w:leader="dot" w:pos="8778"/>
      </w:tabs>
      <w:ind w:left="23" w:leftChars="9" w:hanging="4" w:hangingChars="2"/>
      <w:jc w:val="left"/>
    </w:pPr>
    <w:rPr>
      <w:smallCaps/>
      <w:sz w:val="20"/>
      <w:szCs w:val="20"/>
    </w:rPr>
  </w:style>
  <w:style w:type="paragraph" w:styleId="39">
    <w:name w:val="envelope return"/>
    <w:basedOn w:val="1"/>
    <w:qFormat/>
    <w:uiPriority w:val="0"/>
    <w:pPr>
      <w:snapToGrid w:val="0"/>
    </w:pPr>
    <w:rPr>
      <w:rFonts w:ascii="Arial" w:hAnsi="Arial"/>
    </w:rPr>
  </w:style>
  <w:style w:type="paragraph" w:styleId="40">
    <w:name w:val="toc 1"/>
    <w:basedOn w:val="1"/>
    <w:next w:val="1"/>
    <w:qFormat/>
    <w:uiPriority w:val="39"/>
    <w:pPr>
      <w:tabs>
        <w:tab w:val="right" w:leader="dot" w:pos="8778"/>
      </w:tabs>
      <w:snapToGrid w:val="0"/>
      <w:spacing w:line="360" w:lineRule="auto"/>
      <w:jc w:val="center"/>
    </w:pPr>
    <w:rPr>
      <w:rFonts w:ascii="Times New Roman" w:hAnsi="Times New Roman" w:eastAsia="宋体"/>
      <w:b/>
      <w:bCs/>
      <w:iCs/>
      <w:caps/>
      <w:kern w:val="0"/>
      <w:sz w:val="21"/>
      <w:szCs w:val="36"/>
    </w:rPr>
  </w:style>
  <w:style w:type="paragraph" w:styleId="41">
    <w:name w:val="toc 4"/>
    <w:basedOn w:val="1"/>
    <w:next w:val="1"/>
    <w:qFormat/>
    <w:uiPriority w:val="0"/>
    <w:pPr>
      <w:ind w:left="630"/>
      <w:jc w:val="left"/>
    </w:pPr>
    <w:rPr>
      <w:sz w:val="18"/>
      <w:szCs w:val="18"/>
    </w:rPr>
  </w:style>
  <w:style w:type="paragraph" w:styleId="42">
    <w:name w:val="footnote text"/>
    <w:basedOn w:val="1"/>
    <w:link w:val="98"/>
    <w:qFormat/>
    <w:uiPriority w:val="0"/>
    <w:pPr>
      <w:adjustRightInd w:val="0"/>
      <w:spacing w:line="312" w:lineRule="atLeast"/>
      <w:jc w:val="left"/>
      <w:textAlignment w:val="baseline"/>
    </w:pPr>
    <w:rPr>
      <w:kern w:val="0"/>
      <w:sz w:val="18"/>
      <w:szCs w:val="20"/>
    </w:rPr>
  </w:style>
  <w:style w:type="paragraph" w:styleId="43">
    <w:name w:val="toc 6"/>
    <w:basedOn w:val="1"/>
    <w:next w:val="1"/>
    <w:qFormat/>
    <w:uiPriority w:val="0"/>
    <w:pPr>
      <w:ind w:left="1050"/>
      <w:jc w:val="left"/>
    </w:pPr>
    <w:rPr>
      <w:sz w:val="18"/>
      <w:szCs w:val="18"/>
    </w:rPr>
  </w:style>
  <w:style w:type="paragraph" w:styleId="44">
    <w:name w:val="toc 9"/>
    <w:basedOn w:val="1"/>
    <w:next w:val="1"/>
    <w:qFormat/>
    <w:uiPriority w:val="0"/>
    <w:pPr>
      <w:ind w:left="1680"/>
      <w:jc w:val="left"/>
    </w:pPr>
    <w:rPr>
      <w:sz w:val="18"/>
      <w:szCs w:val="18"/>
    </w:rPr>
  </w:style>
  <w:style w:type="paragraph" w:styleId="45">
    <w:name w:val="Body Text 2"/>
    <w:basedOn w:val="1"/>
    <w:next w:val="1"/>
    <w:qFormat/>
    <w:uiPriority w:val="0"/>
    <w:pPr>
      <w:jc w:val="center"/>
      <w:outlineLvl w:val="0"/>
    </w:pPr>
    <w:rPr>
      <w:rFonts w:ascii="楷体_GB2312" w:eastAsia="仿宋_GB2312"/>
      <w:kern w:val="2"/>
      <w:sz w:val="30"/>
    </w:rPr>
  </w:style>
  <w:style w:type="paragraph" w:styleId="4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7">
    <w:name w:val="Title"/>
    <w:basedOn w:val="1"/>
    <w:link w:val="99"/>
    <w:qFormat/>
    <w:uiPriority w:val="0"/>
    <w:pPr>
      <w:widowControl/>
      <w:spacing w:before="240" w:after="60"/>
      <w:jc w:val="center"/>
      <w:outlineLvl w:val="0"/>
    </w:pPr>
    <w:rPr>
      <w:rFonts w:ascii="Arial" w:hAnsi="Arial" w:eastAsia="楷体_GB2312"/>
      <w:b/>
      <w:kern w:val="0"/>
      <w:sz w:val="32"/>
      <w:szCs w:val="20"/>
    </w:rPr>
  </w:style>
  <w:style w:type="paragraph" w:styleId="48">
    <w:name w:val="annotation subject"/>
    <w:basedOn w:val="19"/>
    <w:next w:val="19"/>
    <w:link w:val="100"/>
    <w:unhideWhenUsed/>
    <w:qFormat/>
    <w:uiPriority w:val="99"/>
    <w:rPr>
      <w:b/>
      <w:bCs/>
      <w:kern w:val="2"/>
      <w:sz w:val="21"/>
    </w:rPr>
  </w:style>
  <w:style w:type="paragraph" w:styleId="49">
    <w:name w:val="Body Text First Indent"/>
    <w:basedOn w:val="23"/>
    <w:next w:val="1"/>
    <w:link w:val="91"/>
    <w:unhideWhenUsed/>
    <w:qFormat/>
    <w:uiPriority w:val="99"/>
    <w:pPr>
      <w:spacing w:after="120" w:line="240" w:lineRule="auto"/>
      <w:ind w:firstLine="420" w:firstLineChars="100"/>
    </w:pPr>
  </w:style>
  <w:style w:type="paragraph" w:styleId="50">
    <w:name w:val="Body Text First Indent 2"/>
    <w:basedOn w:val="24"/>
    <w:unhideWhenUsed/>
    <w:qFormat/>
    <w:uiPriority w:val="0"/>
    <w:pPr>
      <w:tabs>
        <w:tab w:val="left" w:pos="945"/>
        <w:tab w:val="left" w:pos="1155"/>
      </w:tabs>
      <w:spacing w:after="120" w:afterLines="0"/>
      <w:ind w:left="420" w:leftChars="200" w:firstLine="420" w:firstLineChars="200"/>
    </w:pPr>
    <w:rPr>
      <w:rFonts w:hint="eastAsia" w:ascii="Times New Roman"/>
      <w:sz w:val="24"/>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qFormat/>
    <w:uiPriority w:val="0"/>
    <w:rPr>
      <w:color w:val="000000"/>
      <w:sz w:val="14"/>
      <w:szCs w:val="14"/>
      <w:u w:val="none"/>
    </w:rPr>
  </w:style>
  <w:style w:type="character" w:styleId="58">
    <w:name w:val="HTML Definition"/>
    <w:unhideWhenUsed/>
    <w:qFormat/>
    <w:uiPriority w:val="99"/>
  </w:style>
  <w:style w:type="character" w:styleId="59">
    <w:name w:val="HTML Typewriter"/>
    <w:unhideWhenUsed/>
    <w:qFormat/>
    <w:uiPriority w:val="99"/>
    <w:rPr>
      <w:rFonts w:hint="default" w:ascii="monospace" w:hAnsi="monospace" w:eastAsia="monospace" w:cs="monospace"/>
      <w:sz w:val="20"/>
    </w:rPr>
  </w:style>
  <w:style w:type="character" w:styleId="60">
    <w:name w:val="HTML Acronym"/>
    <w:unhideWhenUsed/>
    <w:qFormat/>
    <w:uiPriority w:val="99"/>
  </w:style>
  <w:style w:type="character" w:styleId="61">
    <w:name w:val="HTML Variable"/>
    <w:unhideWhenUsed/>
    <w:qFormat/>
    <w:uiPriority w:val="99"/>
  </w:style>
  <w:style w:type="character" w:styleId="62">
    <w:name w:val="Hyperlink"/>
    <w:qFormat/>
    <w:uiPriority w:val="99"/>
    <w:rPr>
      <w:color w:val="000000"/>
      <w:sz w:val="14"/>
      <w:szCs w:val="14"/>
      <w:u w:val="none"/>
    </w:rPr>
  </w:style>
  <w:style w:type="character" w:styleId="63">
    <w:name w:val="HTML Code"/>
    <w:unhideWhenUsed/>
    <w:qFormat/>
    <w:uiPriority w:val="99"/>
    <w:rPr>
      <w:rFonts w:ascii="monospace" w:hAnsi="monospace" w:eastAsia="monospace" w:cs="monospace"/>
      <w:sz w:val="20"/>
    </w:rPr>
  </w:style>
  <w:style w:type="character" w:styleId="64">
    <w:name w:val="annotation reference"/>
    <w:unhideWhenUsed/>
    <w:qFormat/>
    <w:uiPriority w:val="99"/>
    <w:rPr>
      <w:sz w:val="21"/>
      <w:szCs w:val="21"/>
    </w:rPr>
  </w:style>
  <w:style w:type="character" w:styleId="65">
    <w:name w:val="HTML Cite"/>
    <w:unhideWhenUsed/>
    <w:qFormat/>
    <w:uiPriority w:val="99"/>
  </w:style>
  <w:style w:type="character" w:styleId="66">
    <w:name w:val="footnote reference"/>
    <w:qFormat/>
    <w:uiPriority w:val="0"/>
    <w:rPr>
      <w:vertAlign w:val="superscript"/>
    </w:rPr>
  </w:style>
  <w:style w:type="character" w:styleId="67">
    <w:name w:val="HTML Keyboard"/>
    <w:unhideWhenUsed/>
    <w:qFormat/>
    <w:uiPriority w:val="99"/>
    <w:rPr>
      <w:rFonts w:hint="default" w:ascii="monospace" w:hAnsi="monospace" w:eastAsia="monospace" w:cs="monospace"/>
      <w:sz w:val="20"/>
    </w:rPr>
  </w:style>
  <w:style w:type="character" w:styleId="68">
    <w:name w:val="HTML Sample"/>
    <w:unhideWhenUsed/>
    <w:qFormat/>
    <w:uiPriority w:val="99"/>
    <w:rPr>
      <w:rFonts w:hint="default" w:ascii="monospace" w:hAnsi="monospace" w:eastAsia="monospace" w:cs="monospace"/>
    </w:rPr>
  </w:style>
  <w:style w:type="paragraph" w:customStyle="1" w:styleId="69">
    <w:name w:val="Default"/>
    <w:basedOn w:val="29"/>
    <w:next w:val="13"/>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70">
    <w:name w:val="p0"/>
    <w:basedOn w:val="1"/>
    <w:next w:val="32"/>
    <w:qFormat/>
    <w:uiPriority w:val="0"/>
    <w:pPr>
      <w:widowControl/>
    </w:pPr>
    <w:rPr>
      <w:kern w:val="0"/>
      <w:szCs w:val="21"/>
    </w:rPr>
  </w:style>
  <w:style w:type="paragraph" w:customStyle="1" w:styleId="71">
    <w:name w:val="style4"/>
    <w:basedOn w:val="72"/>
    <w:next w:val="73"/>
    <w:qFormat/>
    <w:uiPriority w:val="0"/>
    <w:pPr>
      <w:widowControl/>
      <w:spacing w:before="100" w:beforeLines="0" w:beforeAutospacing="1" w:after="100" w:afterLines="0" w:afterAutospacing="1"/>
      <w:jc w:val="left"/>
    </w:pPr>
    <w:rPr>
      <w:rFonts w:ascii="宋体" w:hAnsi="宋体" w:eastAsia="宋体" w:cs="宋体"/>
      <w:kern w:val="0"/>
      <w:sz w:val="18"/>
      <w:szCs w:val="18"/>
    </w:rPr>
  </w:style>
  <w:style w:type="paragraph" w:customStyle="1" w:styleId="72">
    <w:name w:val="Normal"/>
    <w:next w:val="49"/>
    <w:qFormat/>
    <w:uiPriority w:val="0"/>
    <w:pPr>
      <w:widowControl w:val="0"/>
      <w:jc w:val="both"/>
    </w:pPr>
    <w:rPr>
      <w:rFonts w:ascii="仿宋_GB2312" w:hAnsi="仿宋_GB2312" w:eastAsia="仿宋_GB2312" w:cs="??"/>
      <w:kern w:val="2"/>
      <w:sz w:val="21"/>
      <w:szCs w:val="24"/>
      <w:lang w:val="en-US" w:eastAsia="zh-CN" w:bidi="ar-SA"/>
    </w:rPr>
  </w:style>
  <w:style w:type="paragraph" w:customStyle="1" w:styleId="73">
    <w:name w:val="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样式 正文首行缩进 2 + Arial"/>
    <w:basedOn w:val="1"/>
    <w:next w:val="1"/>
    <w:qFormat/>
    <w:uiPriority w:val="0"/>
    <w:pPr>
      <w:spacing w:after="120" w:line="320" w:lineRule="atLeast"/>
    </w:pPr>
    <w:rPr>
      <w:rFonts w:ascii="Arial" w:hAnsi="Arial"/>
      <w:kern w:val="0"/>
    </w:rPr>
  </w:style>
  <w:style w:type="character" w:customStyle="1" w:styleId="75">
    <w:name w:val="标题 2 Char"/>
    <w:link w:val="3"/>
    <w:semiHidden/>
    <w:qFormat/>
    <w:uiPriority w:val="0"/>
    <w:rPr>
      <w:rFonts w:ascii="Arial" w:hAnsi="Arial" w:eastAsia="黑体"/>
      <w:b/>
      <w:bCs/>
      <w:kern w:val="2"/>
      <w:sz w:val="32"/>
      <w:szCs w:val="32"/>
    </w:rPr>
  </w:style>
  <w:style w:type="character" w:customStyle="1" w:styleId="76">
    <w:name w:val="标题 1 Char"/>
    <w:link w:val="2"/>
    <w:semiHidden/>
    <w:qFormat/>
    <w:uiPriority w:val="0"/>
    <w:rPr>
      <w:rFonts w:ascii="Times New Roman" w:hAnsi="Times New Roman" w:eastAsia="宋体"/>
      <w:b/>
      <w:bCs/>
      <w:kern w:val="44"/>
      <w:sz w:val="44"/>
      <w:szCs w:val="44"/>
    </w:rPr>
  </w:style>
  <w:style w:type="character" w:customStyle="1" w:styleId="77">
    <w:name w:val="标题 3 Char"/>
    <w:link w:val="4"/>
    <w:semiHidden/>
    <w:qFormat/>
    <w:uiPriority w:val="0"/>
    <w:rPr>
      <w:rFonts w:ascii="Times New Roman" w:hAnsi="Times New Roman"/>
      <w:b/>
      <w:bCs/>
      <w:kern w:val="2"/>
      <w:sz w:val="32"/>
      <w:szCs w:val="32"/>
    </w:rPr>
  </w:style>
  <w:style w:type="character" w:customStyle="1" w:styleId="78">
    <w:name w:val="标题 4 Char"/>
    <w:link w:val="5"/>
    <w:semiHidden/>
    <w:qFormat/>
    <w:uiPriority w:val="0"/>
    <w:rPr>
      <w:rFonts w:ascii="Cambria" w:hAnsi="Cambria" w:eastAsia="宋体" w:cs="Times New Roman"/>
      <w:b/>
      <w:bCs/>
      <w:kern w:val="2"/>
      <w:sz w:val="28"/>
      <w:szCs w:val="28"/>
    </w:rPr>
  </w:style>
  <w:style w:type="character" w:customStyle="1" w:styleId="79">
    <w:name w:val="标题 5 Char"/>
    <w:link w:val="6"/>
    <w:semiHidden/>
    <w:qFormat/>
    <w:uiPriority w:val="0"/>
    <w:rPr>
      <w:rFonts w:ascii="Times New Roman" w:hAnsi="Times New Roman"/>
      <w:b/>
      <w:bCs/>
      <w:kern w:val="2"/>
      <w:sz w:val="28"/>
      <w:szCs w:val="28"/>
    </w:rPr>
  </w:style>
  <w:style w:type="character" w:customStyle="1" w:styleId="80">
    <w:name w:val="标题 6 Char"/>
    <w:link w:val="7"/>
    <w:semiHidden/>
    <w:qFormat/>
    <w:uiPriority w:val="0"/>
    <w:rPr>
      <w:rFonts w:ascii="Arial" w:hAnsi="Arial" w:eastAsia="黑体"/>
      <w:b/>
      <w:kern w:val="2"/>
      <w:sz w:val="24"/>
    </w:rPr>
  </w:style>
  <w:style w:type="character" w:customStyle="1" w:styleId="81">
    <w:name w:val="标题 7 Char"/>
    <w:link w:val="8"/>
    <w:semiHidden/>
    <w:qFormat/>
    <w:uiPriority w:val="0"/>
    <w:rPr>
      <w:rFonts w:ascii="Times New Roman" w:hAnsi="Times New Roman"/>
      <w:b/>
      <w:kern w:val="2"/>
      <w:sz w:val="24"/>
    </w:rPr>
  </w:style>
  <w:style w:type="character" w:customStyle="1" w:styleId="82">
    <w:name w:val="标题 8 Char"/>
    <w:link w:val="9"/>
    <w:semiHidden/>
    <w:qFormat/>
    <w:uiPriority w:val="0"/>
    <w:rPr>
      <w:rFonts w:ascii="Arial" w:hAnsi="Arial" w:eastAsia="黑体"/>
      <w:kern w:val="2"/>
      <w:sz w:val="24"/>
    </w:rPr>
  </w:style>
  <w:style w:type="character" w:customStyle="1" w:styleId="83">
    <w:name w:val="标题 9 Char"/>
    <w:link w:val="10"/>
    <w:semiHidden/>
    <w:qFormat/>
    <w:uiPriority w:val="0"/>
    <w:rPr>
      <w:rFonts w:ascii="Arial" w:hAnsi="Arial" w:eastAsia="黑体"/>
      <w:kern w:val="2"/>
      <w:sz w:val="21"/>
    </w:rPr>
  </w:style>
  <w:style w:type="character" w:customStyle="1" w:styleId="84">
    <w:name w:val="正文缩进 Char1"/>
    <w:link w:val="15"/>
    <w:qFormat/>
    <w:uiPriority w:val="0"/>
    <w:rPr>
      <w:rFonts w:ascii="宋体"/>
      <w:sz w:val="24"/>
    </w:rPr>
  </w:style>
  <w:style w:type="character" w:customStyle="1" w:styleId="85">
    <w:name w:val="题注 Char"/>
    <w:link w:val="16"/>
    <w:semiHidden/>
    <w:qFormat/>
    <w:uiPriority w:val="0"/>
    <w:rPr>
      <w:rFonts w:ascii="Times New Roman" w:hAnsi="Times New Roman"/>
      <w:b/>
      <w:bCs/>
      <w:color w:val="000080"/>
      <w:kern w:val="2"/>
      <w:sz w:val="28"/>
      <w:szCs w:val="24"/>
    </w:rPr>
  </w:style>
  <w:style w:type="character" w:customStyle="1" w:styleId="86">
    <w:name w:val="文档结构图 Char1"/>
    <w:link w:val="18"/>
    <w:semiHidden/>
    <w:qFormat/>
    <w:uiPriority w:val="99"/>
    <w:rPr>
      <w:rFonts w:ascii="宋体"/>
      <w:kern w:val="2"/>
      <w:sz w:val="18"/>
      <w:szCs w:val="18"/>
    </w:rPr>
  </w:style>
  <w:style w:type="character" w:customStyle="1" w:styleId="87">
    <w:name w:val="批注文字 Char"/>
    <w:link w:val="19"/>
    <w:qFormat/>
    <w:uiPriority w:val="99"/>
    <w:rPr>
      <w:rFonts w:ascii="Times New Roman" w:hAnsi="Times New Roman" w:eastAsia="宋体" w:cs="Times New Roman"/>
      <w:szCs w:val="24"/>
    </w:rPr>
  </w:style>
  <w:style w:type="character" w:customStyle="1" w:styleId="88">
    <w:name w:val="称呼 Char1"/>
    <w:link w:val="20"/>
    <w:qFormat/>
    <w:uiPriority w:val="0"/>
    <w:rPr>
      <w:rFonts w:ascii="宋体" w:hAnsi="宋体"/>
      <w:kern w:val="2"/>
      <w:sz w:val="24"/>
    </w:rPr>
  </w:style>
  <w:style w:type="character" w:customStyle="1" w:styleId="89">
    <w:name w:val="正文文本 3 Char1"/>
    <w:link w:val="21"/>
    <w:qFormat/>
    <w:uiPriority w:val="0"/>
    <w:rPr>
      <w:rFonts w:ascii="Calibri"/>
      <w:sz w:val="24"/>
    </w:rPr>
  </w:style>
  <w:style w:type="character" w:customStyle="1" w:styleId="90">
    <w:name w:val="正文文本 Char"/>
    <w:link w:val="23"/>
    <w:qFormat/>
    <w:uiPriority w:val="0"/>
    <w:rPr>
      <w:rFonts w:ascii="Times New Roman" w:hAnsi="Times New Roman"/>
      <w:kern w:val="2"/>
      <w:sz w:val="21"/>
      <w:szCs w:val="24"/>
    </w:rPr>
  </w:style>
  <w:style w:type="character" w:customStyle="1" w:styleId="91">
    <w:name w:val="正文首行缩进 Char1"/>
    <w:link w:val="49"/>
    <w:semiHidden/>
    <w:qFormat/>
    <w:uiPriority w:val="99"/>
  </w:style>
  <w:style w:type="character" w:customStyle="1" w:styleId="92">
    <w:name w:val="纯文本 Char1"/>
    <w:link w:val="29"/>
    <w:qFormat/>
    <w:uiPriority w:val="0"/>
    <w:rPr>
      <w:rFonts w:ascii="宋体" w:hAnsi="Courier New"/>
      <w:kern w:val="2"/>
      <w:sz w:val="21"/>
    </w:rPr>
  </w:style>
  <w:style w:type="character" w:customStyle="1" w:styleId="93">
    <w:name w:val="日期 Char2"/>
    <w:link w:val="32"/>
    <w:semiHidden/>
    <w:qFormat/>
    <w:uiPriority w:val="99"/>
    <w:rPr>
      <w:kern w:val="2"/>
      <w:sz w:val="21"/>
      <w:szCs w:val="24"/>
    </w:rPr>
  </w:style>
  <w:style w:type="character" w:customStyle="1" w:styleId="94">
    <w:name w:val="尾注文本 Char"/>
    <w:link w:val="34"/>
    <w:semiHidden/>
    <w:qFormat/>
    <w:uiPriority w:val="0"/>
    <w:rPr>
      <w:rFonts w:ascii="Times New Roman" w:hAnsi="Times New Roman"/>
      <w:sz w:val="21"/>
      <w:szCs w:val="24"/>
    </w:rPr>
  </w:style>
  <w:style w:type="character" w:customStyle="1" w:styleId="95">
    <w:name w:val="批注框文本 Char"/>
    <w:link w:val="35"/>
    <w:semiHidden/>
    <w:qFormat/>
    <w:uiPriority w:val="99"/>
    <w:rPr>
      <w:kern w:val="2"/>
      <w:sz w:val="18"/>
      <w:szCs w:val="18"/>
    </w:rPr>
  </w:style>
  <w:style w:type="character" w:customStyle="1" w:styleId="96">
    <w:name w:val="页脚 Char1"/>
    <w:link w:val="36"/>
    <w:qFormat/>
    <w:uiPriority w:val="99"/>
    <w:rPr>
      <w:rFonts w:ascii="Times New Roman" w:hAnsi="Times New Roman"/>
      <w:kern w:val="2"/>
      <w:sz w:val="18"/>
      <w:szCs w:val="18"/>
    </w:rPr>
  </w:style>
  <w:style w:type="character" w:customStyle="1" w:styleId="97">
    <w:name w:val="页眉 Char"/>
    <w:link w:val="37"/>
    <w:qFormat/>
    <w:uiPriority w:val="99"/>
    <w:rPr>
      <w:rFonts w:ascii="Times New Roman" w:hAnsi="Times New Roman"/>
      <w:kern w:val="2"/>
      <w:sz w:val="18"/>
      <w:szCs w:val="18"/>
    </w:rPr>
  </w:style>
  <w:style w:type="character" w:customStyle="1" w:styleId="98">
    <w:name w:val="脚注文本 Char"/>
    <w:link w:val="42"/>
    <w:semiHidden/>
    <w:qFormat/>
    <w:uiPriority w:val="0"/>
    <w:rPr>
      <w:rFonts w:ascii="Times New Roman" w:hAnsi="Times New Roman"/>
      <w:sz w:val="18"/>
    </w:rPr>
  </w:style>
  <w:style w:type="character" w:customStyle="1" w:styleId="99">
    <w:name w:val="标题 Char"/>
    <w:link w:val="47"/>
    <w:semiHidden/>
    <w:qFormat/>
    <w:uiPriority w:val="0"/>
    <w:rPr>
      <w:rFonts w:ascii="Arial" w:hAnsi="Arial" w:eastAsia="楷体_GB2312"/>
      <w:b/>
      <w:sz w:val="32"/>
    </w:rPr>
  </w:style>
  <w:style w:type="character" w:customStyle="1" w:styleId="100">
    <w:name w:val="批注主题 Char1"/>
    <w:link w:val="48"/>
    <w:semiHidden/>
    <w:qFormat/>
    <w:uiPriority w:val="99"/>
    <w:rPr>
      <w:rFonts w:ascii="Times New Roman" w:hAnsi="Times New Roman" w:eastAsia="宋体" w:cs="Times New Roman"/>
      <w:b/>
      <w:bCs/>
      <w:kern w:val="2"/>
      <w:sz w:val="21"/>
      <w:szCs w:val="24"/>
    </w:rPr>
  </w:style>
  <w:style w:type="paragraph" w:customStyle="1" w:styleId="101">
    <w:name w:val="样式1"/>
    <w:basedOn w:val="37"/>
    <w:next w:val="1"/>
    <w:qFormat/>
    <w:uiPriority w:val="0"/>
    <w:pPr>
      <w:jc w:val="left"/>
    </w:pPr>
  </w:style>
  <w:style w:type="paragraph" w:customStyle="1" w:styleId="102">
    <w:name w:val="样式2"/>
    <w:basedOn w:val="1"/>
    <w:qFormat/>
    <w:uiPriority w:val="0"/>
    <w:pPr>
      <w:adjustRightInd w:val="0"/>
      <w:spacing w:before="120" w:after="120" w:line="312" w:lineRule="atLeast"/>
      <w:jc w:val="center"/>
      <w:textAlignment w:val="baseline"/>
    </w:pPr>
    <w:rPr>
      <w:kern w:val="0"/>
      <w:sz w:val="24"/>
      <w:szCs w:val="20"/>
    </w:rPr>
  </w:style>
  <w:style w:type="character" w:customStyle="1" w:styleId="103">
    <w:name w:val="selected"/>
    <w:qFormat/>
    <w:uiPriority w:val="0"/>
    <w:rPr>
      <w:shd w:val="clear" w:color="auto" w:fill="B00006"/>
    </w:rPr>
  </w:style>
  <w:style w:type="character" w:customStyle="1" w:styleId="104">
    <w:name w:val="表格文字 BJ8 Char Char"/>
    <w:link w:val="105"/>
    <w:semiHidden/>
    <w:qFormat/>
    <w:uiPriority w:val="0"/>
    <w:rPr>
      <w:rFonts w:ascii="Times New Roman" w:hAnsi="Times New Roman"/>
      <w:kern w:val="2"/>
      <w:sz w:val="21"/>
      <w:szCs w:val="21"/>
    </w:rPr>
  </w:style>
  <w:style w:type="paragraph" w:customStyle="1" w:styleId="105">
    <w:name w:val="表格文字 BJ8"/>
    <w:basedOn w:val="1"/>
    <w:link w:val="104"/>
    <w:qFormat/>
    <w:uiPriority w:val="0"/>
    <w:pPr>
      <w:adjustRightInd w:val="0"/>
      <w:snapToGrid w:val="0"/>
      <w:spacing w:line="400" w:lineRule="exact"/>
      <w:ind w:firstLine="200" w:firstLineChars="200"/>
      <w:jc w:val="center"/>
    </w:pPr>
    <w:rPr>
      <w:szCs w:val="21"/>
    </w:rPr>
  </w:style>
  <w:style w:type="character" w:customStyle="1" w:styleId="106">
    <w:name w:val="font01"/>
    <w:qFormat/>
    <w:uiPriority w:val="0"/>
    <w:rPr>
      <w:rFonts w:hint="eastAsia" w:ascii="宋体" w:hAnsi="宋体" w:eastAsia="宋体" w:cs="宋体"/>
      <w:color w:val="000000"/>
      <w:sz w:val="22"/>
      <w:szCs w:val="22"/>
      <w:u w:val="none"/>
    </w:rPr>
  </w:style>
  <w:style w:type="character" w:customStyle="1" w:styleId="107">
    <w:name w:val="gpa"/>
    <w:qFormat/>
    <w:uiPriority w:val="0"/>
    <w:rPr>
      <w:rFonts w:ascii="Arial" w:hAnsi="Arial" w:cs="Arial"/>
      <w:sz w:val="12"/>
      <w:szCs w:val="12"/>
    </w:rPr>
  </w:style>
  <w:style w:type="character" w:customStyle="1" w:styleId="108">
    <w:name w:val="font31"/>
    <w:qFormat/>
    <w:uiPriority w:val="0"/>
    <w:rPr>
      <w:rFonts w:hint="eastAsia" w:ascii="宋体" w:hAnsi="宋体" w:eastAsia="宋体" w:cs="宋体"/>
      <w:color w:val="000000"/>
      <w:sz w:val="21"/>
      <w:szCs w:val="21"/>
      <w:u w:val="none"/>
    </w:rPr>
  </w:style>
  <w:style w:type="character" w:customStyle="1" w:styleId="109">
    <w:name w:val="正文文本缩进 2 Char"/>
    <w:link w:val="110"/>
    <w:semiHidden/>
    <w:qFormat/>
    <w:uiPriority w:val="0"/>
    <w:rPr>
      <w:rFonts w:ascii="Times New Roman" w:hAnsi="Times New Roman"/>
      <w:kern w:val="2"/>
      <w:sz w:val="21"/>
    </w:rPr>
  </w:style>
  <w:style w:type="paragraph" w:customStyle="1" w:styleId="110">
    <w:name w:val="正文文本缩进 21"/>
    <w:basedOn w:val="1"/>
    <w:link w:val="109"/>
    <w:qFormat/>
    <w:uiPriority w:val="0"/>
    <w:pPr>
      <w:spacing w:after="120" w:line="480" w:lineRule="auto"/>
      <w:ind w:left="420" w:leftChars="200"/>
    </w:pPr>
    <w:rPr>
      <w:szCs w:val="20"/>
    </w:rPr>
  </w:style>
  <w:style w:type="character" w:customStyle="1" w:styleId="111">
    <w:name w:val="正文段落格式 Char Char Char"/>
    <w:link w:val="112"/>
    <w:semiHidden/>
    <w:qFormat/>
    <w:uiPriority w:val="0"/>
    <w:rPr>
      <w:rFonts w:ascii="Times New Roman" w:hAnsi="Times New Roman"/>
      <w:color w:val="7030A0"/>
      <w:kern w:val="2"/>
      <w:sz w:val="24"/>
    </w:rPr>
  </w:style>
  <w:style w:type="paragraph" w:customStyle="1" w:styleId="112">
    <w:name w:val="正文段落格式"/>
    <w:basedOn w:val="113"/>
    <w:link w:val="111"/>
    <w:qFormat/>
    <w:uiPriority w:val="0"/>
    <w:pPr>
      <w:spacing w:afterLines="50" w:line="336" w:lineRule="auto"/>
    </w:pPr>
  </w:style>
  <w:style w:type="paragraph" w:customStyle="1" w:styleId="113">
    <w:name w:val="样式 首行缩进:  2 字符"/>
    <w:basedOn w:val="1"/>
    <w:link w:val="114"/>
    <w:qFormat/>
    <w:uiPriority w:val="0"/>
    <w:pPr>
      <w:spacing w:line="480" w:lineRule="exact"/>
      <w:ind w:firstLine="480" w:firstLineChars="200"/>
      <w:jc w:val="left"/>
    </w:pPr>
    <w:rPr>
      <w:color w:val="7030A0"/>
      <w:sz w:val="24"/>
      <w:szCs w:val="20"/>
    </w:rPr>
  </w:style>
  <w:style w:type="character" w:customStyle="1" w:styleId="114">
    <w:name w:val="样式 首行缩进:  2 字符 Char1"/>
    <w:link w:val="113"/>
    <w:semiHidden/>
    <w:qFormat/>
    <w:uiPriority w:val="0"/>
    <w:rPr>
      <w:rFonts w:ascii="Times New Roman" w:hAnsi="Times New Roman"/>
      <w:color w:val="7030A0"/>
      <w:kern w:val="2"/>
      <w:sz w:val="24"/>
    </w:rPr>
  </w:style>
  <w:style w:type="character" w:customStyle="1" w:styleId="115">
    <w:name w:val="(1) Char Char"/>
    <w:link w:val="116"/>
    <w:semiHidden/>
    <w:qFormat/>
    <w:uiPriority w:val="0"/>
    <w:rPr>
      <w:rFonts w:ascii="宋体" w:hAnsi="宋体"/>
      <w:kern w:val="2"/>
      <w:sz w:val="24"/>
      <w:szCs w:val="24"/>
    </w:rPr>
  </w:style>
  <w:style w:type="paragraph" w:customStyle="1" w:styleId="116">
    <w:name w:val="(1)"/>
    <w:basedOn w:val="1"/>
    <w:next w:val="1"/>
    <w:link w:val="115"/>
    <w:qFormat/>
    <w:uiPriority w:val="0"/>
    <w:pPr>
      <w:tabs>
        <w:tab w:val="left" w:pos="813"/>
      </w:tabs>
      <w:spacing w:line="360" w:lineRule="auto"/>
      <w:ind w:left="813" w:hanging="567"/>
    </w:pPr>
    <w:rPr>
      <w:rFonts w:ascii="宋体" w:hAnsi="宋体"/>
      <w:sz w:val="24"/>
    </w:rPr>
  </w:style>
  <w:style w:type="character" w:customStyle="1" w:styleId="117">
    <w:name w:val="表格文字图表文字 Char Char Char"/>
    <w:link w:val="118"/>
    <w:semiHidden/>
    <w:qFormat/>
    <w:uiPriority w:val="0"/>
    <w:rPr>
      <w:rFonts w:ascii="Times New Roman" w:hAnsi="Times New Roman"/>
      <w:color w:val="7030A0"/>
      <w:kern w:val="2"/>
      <w:sz w:val="21"/>
    </w:rPr>
  </w:style>
  <w:style w:type="paragraph" w:customStyle="1" w:styleId="118">
    <w:name w:val="表格文字图表文字"/>
    <w:basedOn w:val="1"/>
    <w:link w:val="117"/>
    <w:qFormat/>
    <w:uiPriority w:val="0"/>
    <w:pPr>
      <w:snapToGrid w:val="0"/>
      <w:ind w:firstLine="200" w:firstLineChars="200"/>
      <w:jc w:val="center"/>
    </w:pPr>
    <w:rPr>
      <w:color w:val="7030A0"/>
      <w:szCs w:val="20"/>
    </w:rPr>
  </w:style>
  <w:style w:type="character" w:customStyle="1" w:styleId="119">
    <w:name w:val="信息标题 Char"/>
    <w:link w:val="120"/>
    <w:semiHidden/>
    <w:qFormat/>
    <w:uiPriority w:val="0"/>
    <w:rPr>
      <w:rFonts w:ascii="Arial" w:hAnsi="Arial" w:cs="Arial"/>
      <w:color w:val="7030A0"/>
      <w:kern w:val="2"/>
      <w:sz w:val="24"/>
      <w:szCs w:val="24"/>
      <w:shd w:val="pct20" w:color="auto" w:fill="auto"/>
    </w:rPr>
  </w:style>
  <w:style w:type="paragraph" w:customStyle="1" w:styleId="120">
    <w:name w:val="信息标题1"/>
    <w:basedOn w:val="1"/>
    <w:link w:val="119"/>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olor w:val="7030A0"/>
      <w:sz w:val="24"/>
      <w:shd w:val="pct20" w:color="auto" w:fill="auto"/>
    </w:rPr>
  </w:style>
  <w:style w:type="character" w:customStyle="1" w:styleId="121">
    <w:name w:val="称呼 Char"/>
    <w:link w:val="122"/>
    <w:semiHidden/>
    <w:qFormat/>
    <w:uiPriority w:val="0"/>
    <w:rPr>
      <w:rFonts w:ascii="Times New Roman" w:hAnsi="Times New Roman"/>
      <w:kern w:val="2"/>
      <w:sz w:val="24"/>
    </w:rPr>
  </w:style>
  <w:style w:type="paragraph" w:customStyle="1" w:styleId="122">
    <w:name w:val="称呼1"/>
    <w:basedOn w:val="1"/>
    <w:next w:val="1"/>
    <w:link w:val="121"/>
    <w:qFormat/>
    <w:uiPriority w:val="0"/>
    <w:rPr>
      <w:sz w:val="24"/>
      <w:szCs w:val="20"/>
    </w:rPr>
  </w:style>
  <w:style w:type="character" w:customStyle="1" w:styleId="123">
    <w:name w:val="占位符文本1"/>
    <w:qFormat/>
    <w:uiPriority w:val="0"/>
    <w:rPr>
      <w:color w:val="808080"/>
    </w:rPr>
  </w:style>
  <w:style w:type="character" w:customStyle="1" w:styleId="124">
    <w:name w:val="样式 楷体_GB2312 二号 加粗 Char"/>
    <w:qFormat/>
    <w:uiPriority w:val="0"/>
    <w:rPr>
      <w:rFonts w:ascii="楷体_GB2312" w:hAnsi="Arial" w:eastAsia="楷体_GB2312" w:cs="Arial"/>
      <w:b/>
      <w:kern w:val="2"/>
      <w:sz w:val="44"/>
      <w:szCs w:val="24"/>
      <w:lang w:val="en-US" w:eastAsia="zh-CN" w:bidi="ar-SA"/>
    </w:rPr>
  </w:style>
  <w:style w:type="character" w:customStyle="1" w:styleId="125">
    <w:name w:val="页脚 Char"/>
    <w:qFormat/>
    <w:uiPriority w:val="0"/>
    <w:rPr>
      <w:rFonts w:ascii="Times New Roman" w:hAnsi="Times New Roman"/>
      <w:kern w:val="2"/>
      <w:sz w:val="18"/>
      <w:szCs w:val="18"/>
    </w:rPr>
  </w:style>
  <w:style w:type="character" w:customStyle="1" w:styleId="126">
    <w:name w:val="displayarti"/>
    <w:qFormat/>
    <w:uiPriority w:val="0"/>
    <w:rPr>
      <w:color w:val="FFFFFF"/>
      <w:shd w:val="clear" w:color="auto" w:fill="A00000"/>
    </w:rPr>
  </w:style>
  <w:style w:type="character" w:customStyle="1" w:styleId="127">
    <w:name w:val="标题 5 Char1"/>
    <w:semiHidden/>
    <w:qFormat/>
    <w:uiPriority w:val="0"/>
    <w:rPr>
      <w:rFonts w:ascii="Times New Roman" w:hAnsi="Times New Roman"/>
      <w:b/>
      <w:kern w:val="2"/>
      <w:sz w:val="28"/>
    </w:rPr>
  </w:style>
  <w:style w:type="character" w:customStyle="1" w:styleId="128">
    <w:name w:val="正文 BJ8 Char Char"/>
    <w:link w:val="129"/>
    <w:semiHidden/>
    <w:qFormat/>
    <w:uiPriority w:val="0"/>
    <w:rPr>
      <w:rFonts w:ascii="Times New Roman" w:hAnsi="Times New Roman"/>
      <w:color w:val="7030A0"/>
      <w:kern w:val="2"/>
      <w:sz w:val="24"/>
      <w:szCs w:val="24"/>
    </w:rPr>
  </w:style>
  <w:style w:type="paragraph" w:customStyle="1" w:styleId="129">
    <w:name w:val="正文 BJ8"/>
    <w:basedOn w:val="1"/>
    <w:link w:val="128"/>
    <w:qFormat/>
    <w:uiPriority w:val="0"/>
    <w:pPr>
      <w:adjustRightInd w:val="0"/>
      <w:snapToGrid w:val="0"/>
      <w:spacing w:line="360" w:lineRule="auto"/>
      <w:ind w:firstLine="200" w:firstLineChars="200"/>
      <w:jc w:val="left"/>
    </w:pPr>
    <w:rPr>
      <w:color w:val="7030A0"/>
      <w:sz w:val="24"/>
    </w:rPr>
  </w:style>
  <w:style w:type="character" w:customStyle="1" w:styleId="130">
    <w:name w:val="Char Char8"/>
    <w:qFormat/>
    <w:uiPriority w:val="0"/>
    <w:rPr>
      <w:rFonts w:eastAsia="宋体"/>
      <w:kern w:val="2"/>
      <w:sz w:val="21"/>
      <w:lang w:val="en-US" w:eastAsia="zh-CN" w:bidi="ar-SA"/>
    </w:rPr>
  </w:style>
  <w:style w:type="character" w:customStyle="1" w:styleId="131">
    <w:name w:val="四级标题格式 Char Char"/>
    <w:link w:val="132"/>
    <w:semiHidden/>
    <w:qFormat/>
    <w:uiPriority w:val="0"/>
    <w:rPr>
      <w:rFonts w:ascii="Times New Roman" w:hAnsi="Times New Roman" w:eastAsia="黑体"/>
      <w:bCs/>
      <w:kern w:val="2"/>
      <w:sz w:val="28"/>
      <w:szCs w:val="28"/>
    </w:rPr>
  </w:style>
  <w:style w:type="paragraph" w:customStyle="1" w:styleId="132">
    <w:name w:val="四级标题格式"/>
    <w:basedOn w:val="5"/>
    <w:link w:val="131"/>
    <w:qFormat/>
    <w:uiPriority w:val="0"/>
    <w:pPr>
      <w:spacing w:before="0" w:afterLines="100" w:line="240" w:lineRule="auto"/>
      <w:jc w:val="left"/>
    </w:pPr>
    <w:rPr>
      <w:rFonts w:ascii="Times New Roman" w:hAnsi="Times New Roman" w:eastAsia="黑体"/>
      <w:b w:val="0"/>
    </w:rPr>
  </w:style>
  <w:style w:type="character" w:customStyle="1" w:styleId="133">
    <w:name w:val="b Char"/>
    <w:qFormat/>
    <w:uiPriority w:val="0"/>
    <w:rPr>
      <w:rFonts w:eastAsia="宋体"/>
      <w:b/>
      <w:bCs/>
      <w:kern w:val="2"/>
      <w:sz w:val="28"/>
      <w:szCs w:val="28"/>
      <w:lang w:val="en-US" w:eastAsia="zh-CN" w:bidi="ar-SA"/>
    </w:rPr>
  </w:style>
  <w:style w:type="character" w:customStyle="1" w:styleId="134">
    <w:name w:val="正文1 Char Char"/>
    <w:link w:val="135"/>
    <w:semiHidden/>
    <w:qFormat/>
    <w:uiPriority w:val="0"/>
    <w:rPr>
      <w:rFonts w:ascii="宋体" w:hAnsi="宋体"/>
      <w:kern w:val="10"/>
      <w:sz w:val="21"/>
      <w:szCs w:val="24"/>
    </w:rPr>
  </w:style>
  <w:style w:type="paragraph" w:customStyle="1" w:styleId="135">
    <w:name w:val="正文1"/>
    <w:basedOn w:val="1"/>
    <w:link w:val="134"/>
    <w:qFormat/>
    <w:uiPriority w:val="0"/>
    <w:pPr>
      <w:tabs>
        <w:tab w:val="left" w:pos="720"/>
        <w:tab w:val="right" w:pos="1191"/>
      </w:tabs>
      <w:spacing w:line="360" w:lineRule="auto"/>
      <w:ind w:left="720" w:hanging="360"/>
    </w:pPr>
    <w:rPr>
      <w:rFonts w:ascii="宋体" w:hAnsi="宋体"/>
      <w:kern w:val="10"/>
    </w:rPr>
  </w:style>
  <w:style w:type="character" w:customStyle="1" w:styleId="136">
    <w:name w:val="普通文字 Char Char"/>
    <w:qFormat/>
    <w:uiPriority w:val="0"/>
    <w:rPr>
      <w:rFonts w:ascii="宋体" w:hAnsi="Courier New" w:eastAsia="宋体"/>
      <w:kern w:val="2"/>
      <w:sz w:val="21"/>
      <w:lang w:val="en-US" w:eastAsia="zh-CN" w:bidi="ar-SA"/>
    </w:rPr>
  </w:style>
  <w:style w:type="character" w:customStyle="1" w:styleId="137">
    <w:name w:val="正文首行缩进 Char"/>
    <w:link w:val="138"/>
    <w:semiHidden/>
    <w:qFormat/>
    <w:uiPriority w:val="0"/>
    <w:rPr>
      <w:rFonts w:ascii="Times New Roman" w:hAnsi="Times New Roman"/>
      <w:color w:val="7030A0"/>
      <w:kern w:val="2"/>
      <w:sz w:val="21"/>
      <w:szCs w:val="24"/>
    </w:rPr>
  </w:style>
  <w:style w:type="paragraph" w:customStyle="1" w:styleId="138">
    <w:name w:val="正文首行缩进1"/>
    <w:basedOn w:val="1"/>
    <w:link w:val="137"/>
    <w:qFormat/>
    <w:uiPriority w:val="0"/>
    <w:pPr>
      <w:tabs>
        <w:tab w:val="left" w:pos="360"/>
      </w:tabs>
      <w:spacing w:line="220" w:lineRule="exact"/>
      <w:ind w:left="360" w:hanging="360" w:firstLineChars="200"/>
      <w:jc w:val="left"/>
    </w:pPr>
    <w:rPr>
      <w:color w:val="7030A0"/>
    </w:rPr>
  </w:style>
  <w:style w:type="character" w:customStyle="1" w:styleId="139">
    <w:name w:val="纯文本 Char Char"/>
    <w:qFormat/>
    <w:uiPriority w:val="0"/>
    <w:rPr>
      <w:rFonts w:ascii="宋体" w:hAnsi="Courier New" w:eastAsia="宋体" w:cs="Century"/>
      <w:kern w:val="2"/>
      <w:sz w:val="21"/>
      <w:szCs w:val="21"/>
      <w:lang w:val="en-US" w:eastAsia="zh-CN" w:bidi="ar-SA"/>
    </w:rPr>
  </w:style>
  <w:style w:type="character" w:customStyle="1" w:styleId="140">
    <w:name w:val="图表标题 BJ8 Char Char"/>
    <w:link w:val="141"/>
    <w:semiHidden/>
    <w:qFormat/>
    <w:uiPriority w:val="0"/>
    <w:rPr>
      <w:rFonts w:ascii="Times New Roman" w:hAnsi="Times New Roman" w:eastAsia="黑体"/>
      <w:kern w:val="2"/>
      <w:sz w:val="24"/>
    </w:rPr>
  </w:style>
  <w:style w:type="paragraph" w:customStyle="1" w:styleId="141">
    <w:name w:val="图表标题 BJ8"/>
    <w:basedOn w:val="1"/>
    <w:link w:val="140"/>
    <w:qFormat/>
    <w:uiPriority w:val="0"/>
    <w:pPr>
      <w:adjustRightInd w:val="0"/>
      <w:snapToGrid w:val="0"/>
      <w:ind w:firstLine="200" w:firstLineChars="200"/>
      <w:jc w:val="center"/>
    </w:pPr>
    <w:rPr>
      <w:rFonts w:eastAsia="黑体"/>
      <w:sz w:val="24"/>
      <w:szCs w:val="20"/>
    </w:rPr>
  </w:style>
  <w:style w:type="character" w:customStyle="1" w:styleId="142">
    <w:name w:val="列表框1 Char Char"/>
    <w:qFormat/>
    <w:uiPriority w:val="0"/>
    <w:rPr>
      <w:rFonts w:ascii="Arial" w:hAnsi="Arial" w:eastAsia="楷体_GB2312" w:cs="Arial"/>
      <w:spacing w:val="10"/>
      <w:sz w:val="21"/>
      <w:lang w:val="en-US" w:eastAsia="zh-CN" w:bidi="ar-SA"/>
    </w:rPr>
  </w:style>
  <w:style w:type="character" w:customStyle="1" w:styleId="143">
    <w:name w:val="font41"/>
    <w:qFormat/>
    <w:uiPriority w:val="0"/>
    <w:rPr>
      <w:rFonts w:hint="eastAsia" w:ascii="宋体" w:hAnsi="宋体" w:eastAsia="宋体" w:cs="宋体"/>
      <w:color w:val="000000"/>
      <w:sz w:val="22"/>
      <w:szCs w:val="22"/>
      <w:u w:val="none"/>
    </w:rPr>
  </w:style>
  <w:style w:type="character" w:customStyle="1" w:styleId="144">
    <w:name w:val="正文首行缩进 2 Char"/>
    <w:link w:val="145"/>
    <w:semiHidden/>
    <w:qFormat/>
    <w:uiPriority w:val="0"/>
    <w:rPr>
      <w:rFonts w:ascii="宋体" w:hAnsi="宋体"/>
      <w:kern w:val="2"/>
      <w:sz w:val="21"/>
      <w:szCs w:val="24"/>
    </w:rPr>
  </w:style>
  <w:style w:type="paragraph" w:customStyle="1" w:styleId="145">
    <w:name w:val="正文首行缩进 21"/>
    <w:basedOn w:val="146"/>
    <w:link w:val="144"/>
    <w:qFormat/>
    <w:uiPriority w:val="0"/>
    <w:pPr>
      <w:spacing w:after="120" w:line="240" w:lineRule="auto"/>
      <w:ind w:left="420" w:leftChars="200" w:firstLine="200" w:firstLineChars="200"/>
      <w:jc w:val="left"/>
    </w:pPr>
    <w:rPr>
      <w:rFonts w:hAnsi="宋体"/>
      <w:szCs w:val="24"/>
    </w:rPr>
  </w:style>
  <w:style w:type="paragraph" w:customStyle="1" w:styleId="146">
    <w:name w:val="正文文本缩进1"/>
    <w:basedOn w:val="1"/>
    <w:link w:val="147"/>
    <w:qFormat/>
    <w:uiPriority w:val="0"/>
    <w:pPr>
      <w:spacing w:line="360" w:lineRule="auto"/>
    </w:pPr>
    <w:rPr>
      <w:rFonts w:ascii="宋体"/>
      <w:szCs w:val="20"/>
    </w:rPr>
  </w:style>
  <w:style w:type="character" w:customStyle="1" w:styleId="147">
    <w:name w:val="正文文本缩进 Char1"/>
    <w:link w:val="146"/>
    <w:semiHidden/>
    <w:qFormat/>
    <w:uiPriority w:val="0"/>
    <w:rPr>
      <w:rFonts w:ascii="宋体" w:hAnsi="Times New Roman"/>
      <w:kern w:val="2"/>
      <w:sz w:val="21"/>
    </w:rPr>
  </w:style>
  <w:style w:type="character" w:customStyle="1" w:styleId="148">
    <w:name w:val="正文文本缩进 3 Char"/>
    <w:link w:val="149"/>
    <w:semiHidden/>
    <w:qFormat/>
    <w:uiPriority w:val="0"/>
    <w:rPr>
      <w:rFonts w:ascii="Times New Roman" w:hAnsi="Times New Roman"/>
      <w:kern w:val="2"/>
      <w:sz w:val="21"/>
    </w:rPr>
  </w:style>
  <w:style w:type="paragraph" w:customStyle="1" w:styleId="149">
    <w:name w:val="正文文本缩进 31"/>
    <w:basedOn w:val="1"/>
    <w:link w:val="148"/>
    <w:qFormat/>
    <w:uiPriority w:val="0"/>
    <w:pPr>
      <w:ind w:left="1260" w:leftChars="600"/>
    </w:pPr>
    <w:rPr>
      <w:szCs w:val="20"/>
    </w:rPr>
  </w:style>
  <w:style w:type="character" w:customStyle="1" w:styleId="150">
    <w:name w:val="日期 Char"/>
    <w:link w:val="151"/>
    <w:semiHidden/>
    <w:qFormat/>
    <w:uiPriority w:val="0"/>
    <w:rPr>
      <w:rFonts w:eastAsia="楷体_GB2312"/>
      <w:kern w:val="2"/>
      <w:sz w:val="30"/>
    </w:rPr>
  </w:style>
  <w:style w:type="paragraph" w:customStyle="1" w:styleId="151">
    <w:name w:val="日期1"/>
    <w:basedOn w:val="1"/>
    <w:next w:val="1"/>
    <w:link w:val="150"/>
    <w:qFormat/>
    <w:uiPriority w:val="0"/>
    <w:pPr>
      <w:autoSpaceDE w:val="0"/>
      <w:autoSpaceDN w:val="0"/>
      <w:adjustRightInd w:val="0"/>
      <w:textAlignment w:val="baseline"/>
    </w:pPr>
    <w:rPr>
      <w:rFonts w:eastAsia="楷体_GB2312"/>
      <w:sz w:val="30"/>
      <w:szCs w:val="20"/>
    </w:rPr>
  </w:style>
  <w:style w:type="character" w:customStyle="1" w:styleId="152">
    <w:name w:val="正文文本 3 Char"/>
    <w:link w:val="153"/>
    <w:semiHidden/>
    <w:qFormat/>
    <w:uiPriority w:val="0"/>
    <w:rPr>
      <w:rFonts w:ascii="Times New Roman" w:hAnsi="Times New Roman"/>
      <w:kern w:val="2"/>
      <w:sz w:val="16"/>
      <w:szCs w:val="16"/>
    </w:rPr>
  </w:style>
  <w:style w:type="paragraph" w:customStyle="1" w:styleId="153">
    <w:name w:val="正文文本 31"/>
    <w:basedOn w:val="1"/>
    <w:link w:val="152"/>
    <w:qFormat/>
    <w:uiPriority w:val="0"/>
    <w:pPr>
      <w:spacing w:after="120"/>
    </w:pPr>
    <w:rPr>
      <w:sz w:val="16"/>
      <w:szCs w:val="16"/>
    </w:rPr>
  </w:style>
  <w:style w:type="character" w:customStyle="1" w:styleId="154">
    <w:name w:val="正文缩进 Char"/>
    <w:link w:val="155"/>
    <w:semiHidden/>
    <w:qFormat/>
    <w:uiPriority w:val="0"/>
    <w:rPr>
      <w:rFonts w:ascii="宋体" w:hAnsi="Times New Roman"/>
      <w:sz w:val="24"/>
    </w:rPr>
  </w:style>
  <w:style w:type="paragraph" w:customStyle="1" w:styleId="155">
    <w:name w:val="正文缩进1"/>
    <w:basedOn w:val="1"/>
    <w:link w:val="154"/>
    <w:qFormat/>
    <w:uiPriority w:val="0"/>
    <w:pPr>
      <w:autoSpaceDE w:val="0"/>
      <w:autoSpaceDN w:val="0"/>
      <w:adjustRightInd w:val="0"/>
      <w:spacing w:line="360" w:lineRule="atLeast"/>
      <w:ind w:firstLine="420"/>
      <w:textAlignment w:val="baseline"/>
    </w:pPr>
    <w:rPr>
      <w:rFonts w:ascii="宋体"/>
      <w:kern w:val="0"/>
      <w:sz w:val="24"/>
      <w:szCs w:val="20"/>
    </w:rPr>
  </w:style>
  <w:style w:type="character" w:customStyle="1" w:styleId="156">
    <w:name w:val="表图名称 Char Char"/>
    <w:link w:val="157"/>
    <w:qFormat/>
    <w:uiPriority w:val="0"/>
    <w:rPr>
      <w:rFonts w:ascii="黑体" w:hAnsi="宋体" w:eastAsia="黑体"/>
      <w:kern w:val="2"/>
      <w:sz w:val="24"/>
      <w:szCs w:val="24"/>
      <w:lang w:val="en-US" w:eastAsia="zh-CN" w:bidi="ar-SA"/>
    </w:rPr>
  </w:style>
  <w:style w:type="paragraph" w:customStyle="1" w:styleId="157">
    <w:name w:val="表图名称"/>
    <w:link w:val="156"/>
    <w:qFormat/>
    <w:uiPriority w:val="0"/>
    <w:pPr>
      <w:widowControl w:val="0"/>
      <w:tabs>
        <w:tab w:val="left" w:pos="6120"/>
        <w:tab w:val="left" w:pos="13784"/>
      </w:tabs>
      <w:adjustRightInd w:val="0"/>
      <w:snapToGrid w:val="0"/>
      <w:spacing w:line="360" w:lineRule="auto"/>
      <w:jc w:val="center"/>
    </w:pPr>
    <w:rPr>
      <w:rFonts w:ascii="黑体" w:hAnsi="宋体" w:eastAsia="黑体" w:cs="Times New Roman"/>
      <w:kern w:val="2"/>
      <w:sz w:val="24"/>
      <w:szCs w:val="24"/>
      <w:lang w:val="en-US" w:eastAsia="zh-CN" w:bidi="ar-SA"/>
    </w:rPr>
  </w:style>
  <w:style w:type="character" w:customStyle="1" w:styleId="158">
    <w:name w:val="样式 标题 31.1条标题1.1.1二级节名h3Heading 3 - oldheading 3H3H31H3... Char Char Char"/>
    <w:link w:val="159"/>
    <w:semiHidden/>
    <w:qFormat/>
    <w:uiPriority w:val="0"/>
    <w:rPr>
      <w:rFonts w:ascii="宋体" w:hAnsi="宋体" w:eastAsia="黑体"/>
      <w:kern w:val="2"/>
      <w:sz w:val="24"/>
      <w:szCs w:val="21"/>
    </w:rPr>
  </w:style>
  <w:style w:type="paragraph" w:customStyle="1" w:styleId="159">
    <w:name w:val="样式 标题 31.1条标题1.1.1二级节名h3Heading 3 - oldheading 3H3H31H3..."/>
    <w:basedOn w:val="4"/>
    <w:link w:val="158"/>
    <w:qFormat/>
    <w:uiPriority w:val="0"/>
    <w:pPr>
      <w:spacing w:before="240" w:after="120" w:line="480" w:lineRule="exact"/>
      <w:jc w:val="left"/>
    </w:pPr>
    <w:rPr>
      <w:rFonts w:ascii="宋体" w:hAnsi="宋体" w:eastAsia="黑体"/>
      <w:b w:val="0"/>
      <w:bCs w:val="0"/>
      <w:sz w:val="24"/>
      <w:szCs w:val="21"/>
    </w:rPr>
  </w:style>
  <w:style w:type="character" w:customStyle="1" w:styleId="160">
    <w:name w:val="无编号正文 Char Char"/>
    <w:link w:val="161"/>
    <w:semiHidden/>
    <w:qFormat/>
    <w:uiPriority w:val="0"/>
    <w:rPr>
      <w:rFonts w:ascii="宋体" w:hAnsi="宋体"/>
      <w:sz w:val="24"/>
      <w:szCs w:val="24"/>
    </w:rPr>
  </w:style>
  <w:style w:type="paragraph" w:customStyle="1" w:styleId="161">
    <w:name w:val="无编号正文"/>
    <w:basedOn w:val="23"/>
    <w:next w:val="1"/>
    <w:link w:val="160"/>
    <w:qFormat/>
    <w:uiPriority w:val="0"/>
    <w:pPr>
      <w:ind w:left="200" w:leftChars="200" w:firstLine="200" w:firstLineChars="200"/>
    </w:pPr>
    <w:rPr>
      <w:rFonts w:ascii="宋体" w:hAnsi="宋体"/>
      <w:kern w:val="0"/>
      <w:sz w:val="24"/>
    </w:rPr>
  </w:style>
  <w:style w:type="character" w:customStyle="1" w:styleId="162">
    <w:name w:val="样式 Char Char"/>
    <w:link w:val="163"/>
    <w:qFormat/>
    <w:uiPriority w:val="0"/>
    <w:rPr>
      <w:rFonts w:ascii="宋体" w:hAnsi="宋体" w:cs="宋体"/>
      <w:sz w:val="24"/>
      <w:szCs w:val="24"/>
      <w:lang w:val="en-US" w:eastAsia="zh-CN" w:bidi="ar-SA"/>
    </w:rPr>
  </w:style>
  <w:style w:type="paragraph" w:customStyle="1" w:styleId="163">
    <w:name w:val="样式"/>
    <w:link w:val="162"/>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64">
    <w:name w:val="标题3 Char Char"/>
    <w:link w:val="165"/>
    <w:semiHidden/>
    <w:qFormat/>
    <w:uiPriority w:val="0"/>
    <w:rPr>
      <w:rFonts w:ascii="宋体" w:hAnsi="宋体"/>
      <w:b/>
      <w:bCs/>
      <w:color w:val="92D050"/>
      <w:kern w:val="44"/>
      <w:sz w:val="24"/>
      <w:szCs w:val="21"/>
    </w:rPr>
  </w:style>
  <w:style w:type="paragraph" w:customStyle="1" w:styleId="165">
    <w:name w:val="标题3"/>
    <w:basedOn w:val="4"/>
    <w:link w:val="164"/>
    <w:qFormat/>
    <w:uiPriority w:val="0"/>
    <w:pPr>
      <w:tabs>
        <w:tab w:val="left" w:pos="360"/>
        <w:tab w:val="left" w:pos="840"/>
        <w:tab w:val="left" w:pos="2160"/>
      </w:tabs>
      <w:adjustRightInd w:val="0"/>
      <w:spacing w:before="0" w:after="0" w:line="360" w:lineRule="auto"/>
      <w:textAlignment w:val="baseline"/>
    </w:pPr>
    <w:rPr>
      <w:rFonts w:ascii="宋体" w:hAnsi="宋体"/>
      <w:color w:val="92D050"/>
      <w:kern w:val="44"/>
      <w:sz w:val="24"/>
      <w:szCs w:val="21"/>
    </w:rPr>
  </w:style>
  <w:style w:type="character" w:customStyle="1" w:styleId="166">
    <w:name w:val="正文文本 Char1"/>
    <w:qFormat/>
    <w:uiPriority w:val="0"/>
    <w:rPr>
      <w:rFonts w:ascii="Times New Roman" w:hAnsi="Times New Roman"/>
      <w:kern w:val="2"/>
      <w:sz w:val="24"/>
    </w:rPr>
  </w:style>
  <w:style w:type="character" w:customStyle="1" w:styleId="167">
    <w:name w:val="1.1 Char Char"/>
    <w:qFormat/>
    <w:uiPriority w:val="0"/>
    <w:rPr>
      <w:rFonts w:ascii="宋体" w:eastAsia="宋体"/>
      <w:b/>
      <w:bCs/>
      <w:kern w:val="2"/>
      <w:sz w:val="24"/>
      <w:szCs w:val="32"/>
      <w:lang w:val="en-US" w:eastAsia="zh-CN" w:bidi="ar-SA"/>
    </w:rPr>
  </w:style>
  <w:style w:type="character" w:customStyle="1" w:styleId="168">
    <w:name w:val="正文缩进 Char Char"/>
    <w:link w:val="169"/>
    <w:semiHidden/>
    <w:qFormat/>
    <w:uiPriority w:val="0"/>
    <w:rPr>
      <w:kern w:val="2"/>
      <w:sz w:val="21"/>
      <w:szCs w:val="24"/>
    </w:rPr>
  </w:style>
  <w:style w:type="paragraph" w:customStyle="1" w:styleId="169">
    <w:name w:val="正文缩进11"/>
    <w:basedOn w:val="1"/>
    <w:link w:val="168"/>
    <w:qFormat/>
    <w:uiPriority w:val="0"/>
    <w:pPr>
      <w:spacing w:line="360" w:lineRule="auto"/>
      <w:ind w:firstLine="420"/>
    </w:pPr>
  </w:style>
  <w:style w:type="character" w:customStyle="1" w:styleId="170">
    <w:name w:val="正文－zlb Char Char"/>
    <w:link w:val="171"/>
    <w:semiHidden/>
    <w:qFormat/>
    <w:uiPriority w:val="0"/>
    <w:rPr>
      <w:rFonts w:ascii="宋体" w:cs="宋体"/>
      <w:kern w:val="2"/>
      <w:sz w:val="24"/>
      <w:szCs w:val="24"/>
    </w:rPr>
  </w:style>
  <w:style w:type="paragraph" w:customStyle="1" w:styleId="171">
    <w:name w:val="正文－zlb"/>
    <w:basedOn w:val="1"/>
    <w:link w:val="170"/>
    <w:qFormat/>
    <w:uiPriority w:val="0"/>
    <w:pPr>
      <w:adjustRightInd w:val="0"/>
      <w:snapToGrid w:val="0"/>
      <w:spacing w:line="360" w:lineRule="auto"/>
      <w:ind w:firstLine="420"/>
    </w:pPr>
    <w:rPr>
      <w:rFonts w:ascii="宋体"/>
      <w:sz w:val="24"/>
    </w:rPr>
  </w:style>
  <w:style w:type="character" w:customStyle="1" w:styleId="172">
    <w:name w:val="Char Char111"/>
    <w:qFormat/>
    <w:uiPriority w:val="0"/>
    <w:rPr>
      <w:rFonts w:eastAsia="宋体"/>
      <w:b/>
      <w:bCs/>
      <w:kern w:val="2"/>
      <w:sz w:val="24"/>
      <w:szCs w:val="24"/>
      <w:lang w:val="en-US" w:eastAsia="zh-CN" w:bidi="ar-SA"/>
    </w:rPr>
  </w:style>
  <w:style w:type="character" w:customStyle="1" w:styleId="173">
    <w:name w:val="正文 BJ15 Char Char"/>
    <w:link w:val="174"/>
    <w:semiHidden/>
    <w:qFormat/>
    <w:uiPriority w:val="0"/>
    <w:rPr>
      <w:rFonts w:ascii="Times New Roman" w:hAnsi="Times New Roman"/>
      <w:kern w:val="2"/>
      <w:sz w:val="24"/>
      <w:szCs w:val="24"/>
    </w:rPr>
  </w:style>
  <w:style w:type="paragraph" w:customStyle="1" w:styleId="174">
    <w:name w:val="正文 BJ15"/>
    <w:basedOn w:val="1"/>
    <w:link w:val="173"/>
    <w:qFormat/>
    <w:uiPriority w:val="0"/>
    <w:pPr>
      <w:adjustRightInd w:val="0"/>
      <w:snapToGrid w:val="0"/>
      <w:spacing w:line="360" w:lineRule="auto"/>
      <w:ind w:firstLine="200" w:firstLineChars="200"/>
      <w:jc w:val="left"/>
    </w:pPr>
    <w:rPr>
      <w:sz w:val="24"/>
    </w:rPr>
  </w:style>
  <w:style w:type="character" w:customStyle="1" w:styleId="175">
    <w:name w:val="font21"/>
    <w:qFormat/>
    <w:uiPriority w:val="0"/>
    <w:rPr>
      <w:rFonts w:hint="eastAsia" w:ascii="宋体" w:hAnsi="宋体" w:eastAsia="宋体" w:cs="宋体"/>
      <w:color w:val="000000"/>
      <w:sz w:val="22"/>
      <w:szCs w:val="22"/>
      <w:u w:val="none"/>
    </w:rPr>
  </w:style>
  <w:style w:type="character" w:customStyle="1" w:styleId="176">
    <w:name w:val="样式 标题 31.1条标题1.1.1二级节名h3Heading 3 - oldheading 3H3H31H3... Char Char"/>
    <w:qFormat/>
    <w:uiPriority w:val="0"/>
    <w:rPr>
      <w:rFonts w:ascii="宋体" w:hAnsi="宋体" w:eastAsia="黑体"/>
      <w:kern w:val="2"/>
      <w:sz w:val="24"/>
      <w:szCs w:val="21"/>
    </w:rPr>
  </w:style>
  <w:style w:type="character" w:customStyle="1" w:styleId="177">
    <w:name w:val="正文文本缩进 Char"/>
    <w:semiHidden/>
    <w:qFormat/>
    <w:uiPriority w:val="0"/>
    <w:rPr>
      <w:rFonts w:ascii="Times New Roman" w:hAnsi="Times New Roman"/>
      <w:kern w:val="2"/>
      <w:sz w:val="21"/>
      <w:szCs w:val="24"/>
    </w:rPr>
  </w:style>
  <w:style w:type="character" w:customStyle="1" w:styleId="178">
    <w:name w:val="页码1"/>
    <w:qFormat/>
    <w:uiPriority w:val="0"/>
  </w:style>
  <w:style w:type="character" w:customStyle="1" w:styleId="179">
    <w:name w:val="sub-dash Char"/>
    <w:qFormat/>
    <w:uiPriority w:val="0"/>
    <w:rPr>
      <w:rFonts w:ascii="Arial" w:hAnsi="Arial" w:eastAsia="黑体"/>
      <w:b/>
      <w:bCs/>
      <w:kern w:val="2"/>
      <w:sz w:val="24"/>
      <w:szCs w:val="24"/>
      <w:lang w:val="en-US" w:eastAsia="zh-CN" w:bidi="ar-SA"/>
    </w:rPr>
  </w:style>
  <w:style w:type="character" w:customStyle="1" w:styleId="180">
    <w:name w:val="Char Char2"/>
    <w:qFormat/>
    <w:uiPriority w:val="0"/>
    <w:rPr>
      <w:rFonts w:eastAsia="仿宋_GB2312"/>
      <w:kern w:val="2"/>
      <w:sz w:val="28"/>
      <w:lang w:val="en-US" w:eastAsia="zh-CN" w:bidi="ar-SA"/>
    </w:rPr>
  </w:style>
  <w:style w:type="character" w:customStyle="1" w:styleId="181">
    <w:name w:val="宏文本 Char"/>
    <w:link w:val="182"/>
    <w:qFormat/>
    <w:uiPriority w:val="0"/>
    <w:rPr>
      <w:rFonts w:ascii="Courier New" w:hAnsi="Courier New" w:cs="Courier New"/>
      <w:kern w:val="2"/>
      <w:sz w:val="24"/>
      <w:szCs w:val="24"/>
      <w:lang w:val="en-US" w:eastAsia="zh-CN" w:bidi="ar-SA"/>
    </w:rPr>
  </w:style>
  <w:style w:type="paragraph" w:customStyle="1" w:styleId="182">
    <w:name w:val="宏文本1"/>
    <w:link w:val="18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character" w:customStyle="1" w:styleId="183">
    <w:name w:val="正文－wjnew Char Char"/>
    <w:link w:val="184"/>
    <w:semiHidden/>
    <w:qFormat/>
    <w:uiPriority w:val="0"/>
    <w:rPr>
      <w:rFonts w:ascii="宋体" w:cs="宋体"/>
      <w:kern w:val="2"/>
      <w:sz w:val="21"/>
      <w:szCs w:val="21"/>
    </w:rPr>
  </w:style>
  <w:style w:type="paragraph" w:customStyle="1" w:styleId="184">
    <w:name w:val="正文－wjnew"/>
    <w:basedOn w:val="1"/>
    <w:link w:val="183"/>
    <w:qFormat/>
    <w:uiPriority w:val="0"/>
    <w:pPr>
      <w:adjustRightInd w:val="0"/>
      <w:snapToGrid w:val="0"/>
      <w:spacing w:line="360" w:lineRule="auto"/>
      <w:ind w:firstLine="420"/>
    </w:pPr>
    <w:rPr>
      <w:rFonts w:ascii="宋体"/>
      <w:szCs w:val="21"/>
    </w:rPr>
  </w:style>
  <w:style w:type="character" w:customStyle="1" w:styleId="185">
    <w:name w:val="应答文本 Char Char"/>
    <w:qFormat/>
    <w:uiPriority w:val="0"/>
    <w:rPr>
      <w:rFonts w:ascii="Arial" w:hAnsi="Arial" w:eastAsia="楷体_GB2312" w:cs="宋体"/>
      <w:spacing w:val="10"/>
      <w:sz w:val="21"/>
      <w:lang w:val="en-US" w:eastAsia="zh-CN" w:bidi="ar-SA"/>
    </w:rPr>
  </w:style>
  <w:style w:type="character" w:customStyle="1" w:styleId="186">
    <w:name w:val="正文 QD3 Char Char"/>
    <w:link w:val="187"/>
    <w:semiHidden/>
    <w:qFormat/>
    <w:uiPriority w:val="0"/>
    <w:rPr>
      <w:rFonts w:ascii="Times New Roman" w:hAnsi="Times New Roman"/>
      <w:kern w:val="2"/>
      <w:sz w:val="24"/>
      <w:szCs w:val="24"/>
    </w:rPr>
  </w:style>
  <w:style w:type="paragraph" w:customStyle="1" w:styleId="187">
    <w:name w:val="正文 QD3"/>
    <w:basedOn w:val="1"/>
    <w:link w:val="186"/>
    <w:qFormat/>
    <w:uiPriority w:val="0"/>
    <w:pPr>
      <w:adjustRightInd w:val="0"/>
      <w:snapToGrid w:val="0"/>
      <w:spacing w:line="360" w:lineRule="auto"/>
      <w:ind w:firstLine="200" w:firstLineChars="200"/>
      <w:jc w:val="left"/>
    </w:pPr>
    <w:rPr>
      <w:sz w:val="24"/>
    </w:rPr>
  </w:style>
  <w:style w:type="character" w:customStyle="1" w:styleId="188">
    <w:name w:val="样式 二号 红色 边框:: (单实线 自动设置  0.5 磅 行宽)"/>
    <w:qFormat/>
    <w:uiPriority w:val="0"/>
    <w:rPr>
      <w:rFonts w:eastAsia="宋体"/>
      <w:color w:val="0000FF"/>
      <w:sz w:val="44"/>
      <w:bdr w:val="single" w:color="0000FF" w:sz="4" w:space="0"/>
    </w:rPr>
  </w:style>
  <w:style w:type="character" w:customStyle="1" w:styleId="189">
    <w:name w:val="文档结构图 Char"/>
    <w:link w:val="190"/>
    <w:semiHidden/>
    <w:qFormat/>
    <w:uiPriority w:val="0"/>
    <w:rPr>
      <w:rFonts w:ascii="宋体" w:hAnsi="Times New Roman" w:eastAsia="宋体" w:cs="Times New Roman"/>
      <w:sz w:val="18"/>
      <w:szCs w:val="18"/>
    </w:rPr>
  </w:style>
  <w:style w:type="paragraph" w:customStyle="1" w:styleId="190">
    <w:name w:val="文档结构图1"/>
    <w:basedOn w:val="1"/>
    <w:link w:val="189"/>
    <w:qFormat/>
    <w:uiPriority w:val="0"/>
    <w:rPr>
      <w:rFonts w:ascii="宋体"/>
      <w:kern w:val="0"/>
      <w:sz w:val="18"/>
      <w:szCs w:val="18"/>
    </w:rPr>
  </w:style>
  <w:style w:type="character" w:customStyle="1" w:styleId="191">
    <w:name w:val="樣式 標題 3 + (中文) MS Gothic 10.5 點 Char Char Char Char Char Char Char Char"/>
    <w:qFormat/>
    <w:uiPriority w:val="0"/>
    <w:rPr>
      <w:rFonts w:hAnsi="PMingLiU" w:eastAsia="MS Gothic"/>
      <w:snapToGrid/>
      <w:kern w:val="2"/>
      <w:sz w:val="24"/>
      <w:lang w:eastAsia="zh-TW"/>
    </w:rPr>
  </w:style>
  <w:style w:type="character" w:customStyle="1" w:styleId="192">
    <w:name w:val="Char Char11"/>
    <w:qFormat/>
    <w:uiPriority w:val="0"/>
    <w:rPr>
      <w:rFonts w:eastAsia="宋体"/>
      <w:b/>
      <w:bCs/>
      <w:kern w:val="2"/>
      <w:sz w:val="24"/>
      <w:szCs w:val="24"/>
      <w:lang w:val="en-US" w:eastAsia="zh-CN" w:bidi="ar-SA"/>
    </w:rPr>
  </w:style>
  <w:style w:type="character" w:customStyle="1" w:styleId="193">
    <w:name w:val="正文（首行缩进两字） Char"/>
    <w:qFormat/>
    <w:uiPriority w:val="0"/>
    <w:rPr>
      <w:rFonts w:eastAsia="宋体"/>
      <w:sz w:val="32"/>
      <w:lang w:val="en-US" w:eastAsia="zh-CN" w:bidi="ar-SA"/>
    </w:rPr>
  </w:style>
  <w:style w:type="character" w:customStyle="1" w:styleId="194">
    <w:name w:val="书籍标题1"/>
    <w:qFormat/>
    <w:uiPriority w:val="0"/>
    <w:rPr>
      <w:b/>
      <w:bCs/>
      <w:smallCaps/>
      <w:spacing w:val="5"/>
    </w:rPr>
  </w:style>
  <w:style w:type="character" w:customStyle="1" w:styleId="195">
    <w:name w:val="HTML 预设格式 Char"/>
    <w:link w:val="196"/>
    <w:semiHidden/>
    <w:qFormat/>
    <w:uiPriority w:val="0"/>
    <w:rPr>
      <w:rFonts w:ascii="Arial" w:hAnsi="Arial"/>
      <w:sz w:val="21"/>
      <w:szCs w:val="21"/>
    </w:rPr>
  </w:style>
  <w:style w:type="paragraph" w:customStyle="1" w:styleId="196">
    <w:name w:val="HTML 预设格式1"/>
    <w:basedOn w:val="1"/>
    <w:link w:val="1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200" w:firstLineChars="200"/>
      <w:jc w:val="left"/>
    </w:pPr>
    <w:rPr>
      <w:rFonts w:ascii="Arial" w:hAnsi="Arial"/>
      <w:kern w:val="0"/>
      <w:szCs w:val="21"/>
    </w:rPr>
  </w:style>
  <w:style w:type="character" w:customStyle="1" w:styleId="197">
    <w:name w:val="五级标题格式 Char Char"/>
    <w:link w:val="198"/>
    <w:semiHidden/>
    <w:qFormat/>
    <w:uiPriority w:val="0"/>
    <w:rPr>
      <w:rFonts w:ascii="Times New Roman" w:hAnsi="Times New Roman"/>
      <w:b/>
      <w:bCs/>
      <w:kern w:val="2"/>
      <w:sz w:val="24"/>
      <w:szCs w:val="28"/>
    </w:rPr>
  </w:style>
  <w:style w:type="paragraph" w:customStyle="1" w:styleId="198">
    <w:name w:val="五级标题格式"/>
    <w:basedOn w:val="6"/>
    <w:link w:val="197"/>
    <w:qFormat/>
    <w:uiPriority w:val="0"/>
    <w:pPr>
      <w:tabs>
        <w:tab w:val="clear" w:pos="1008"/>
      </w:tabs>
      <w:spacing w:before="0" w:afterLines="50" w:line="240" w:lineRule="auto"/>
      <w:ind w:left="0" w:firstLine="0"/>
      <w:jc w:val="left"/>
    </w:pPr>
    <w:rPr>
      <w:sz w:val="24"/>
    </w:rPr>
  </w:style>
  <w:style w:type="character" w:customStyle="1" w:styleId="199">
    <w:name w:val="2 headline Char Char"/>
    <w:qFormat/>
    <w:uiPriority w:val="0"/>
    <w:rPr>
      <w:rFonts w:eastAsia="黑体"/>
      <w:bCs/>
      <w:kern w:val="2"/>
      <w:sz w:val="28"/>
      <w:szCs w:val="28"/>
      <w:lang w:val="en-US" w:eastAsia="zh-CN" w:bidi="ar-SA"/>
    </w:rPr>
  </w:style>
  <w:style w:type="character" w:customStyle="1" w:styleId="200">
    <w:name w:val="正文文本 2 Char"/>
    <w:link w:val="201"/>
    <w:semiHidden/>
    <w:qFormat/>
    <w:uiPriority w:val="0"/>
    <w:rPr>
      <w:rFonts w:ascii="Times New Roman" w:hAnsi="Times New Roman"/>
      <w:kern w:val="2"/>
      <w:sz w:val="21"/>
    </w:rPr>
  </w:style>
  <w:style w:type="paragraph" w:customStyle="1" w:styleId="201">
    <w:name w:val="正文文本 21"/>
    <w:basedOn w:val="1"/>
    <w:link w:val="200"/>
    <w:qFormat/>
    <w:uiPriority w:val="0"/>
    <w:pPr>
      <w:spacing w:after="120" w:line="480" w:lineRule="auto"/>
    </w:pPr>
    <w:rPr>
      <w:szCs w:val="20"/>
    </w:rPr>
  </w:style>
  <w:style w:type="character" w:customStyle="1" w:styleId="202">
    <w:name w:val="纯文本 Char"/>
    <w:link w:val="203"/>
    <w:qFormat/>
    <w:uiPriority w:val="99"/>
    <w:rPr>
      <w:rFonts w:ascii="宋体" w:hAnsi="Courier New" w:cs="Courier New"/>
      <w:kern w:val="2"/>
      <w:sz w:val="21"/>
      <w:szCs w:val="21"/>
    </w:rPr>
  </w:style>
  <w:style w:type="paragraph" w:customStyle="1" w:styleId="203">
    <w:name w:val="纯文本1"/>
    <w:basedOn w:val="1"/>
    <w:link w:val="202"/>
    <w:qFormat/>
    <w:uiPriority w:val="99"/>
    <w:rPr>
      <w:rFonts w:ascii="宋体" w:hAnsi="Courier New"/>
      <w:szCs w:val="21"/>
    </w:rPr>
  </w:style>
  <w:style w:type="character" w:customStyle="1" w:styleId="204">
    <w:name w:val="样式 标题 2标题 1.1head:2#2 headlinehheadlineS&amp;R2ERMH2Head 2 +... Char Char"/>
    <w:qFormat/>
    <w:uiPriority w:val="0"/>
    <w:rPr>
      <w:rFonts w:ascii="Arial" w:hAnsi="Arial" w:eastAsia="宋体"/>
      <w:b/>
      <w:bCs/>
      <w:sz w:val="24"/>
      <w:lang w:val="en-US" w:eastAsia="zh-CN" w:bidi="ar-SA"/>
    </w:rPr>
  </w:style>
  <w:style w:type="character" w:customStyle="1" w:styleId="205">
    <w:name w:val="表格文字图表文字 Char Char"/>
    <w:qFormat/>
    <w:uiPriority w:val="0"/>
    <w:rPr>
      <w:color w:val="7030A0"/>
      <w:kern w:val="2"/>
      <w:sz w:val="21"/>
    </w:rPr>
  </w:style>
  <w:style w:type="character" w:customStyle="1" w:styleId="206">
    <w:name w:val="font71"/>
    <w:qFormat/>
    <w:uiPriority w:val="0"/>
    <w:rPr>
      <w:rFonts w:hint="default" w:ascii="Times New Roman" w:hAnsi="Times New Roman" w:cs="Times New Roman"/>
      <w:color w:val="000000"/>
      <w:sz w:val="22"/>
      <w:szCs w:val="22"/>
      <w:u w:val="none"/>
    </w:rPr>
  </w:style>
  <w:style w:type="character" w:customStyle="1" w:styleId="207">
    <w:name w:val="HTML 打字机1"/>
    <w:qFormat/>
    <w:uiPriority w:val="0"/>
    <w:rPr>
      <w:rFonts w:ascii="黑体" w:hAnsi="Courier New" w:eastAsia="黑体" w:cs="Courier New"/>
      <w:sz w:val="20"/>
      <w:szCs w:val="20"/>
    </w:rPr>
  </w:style>
  <w:style w:type="character" w:customStyle="1" w:styleId="208">
    <w:name w:val="批注框文本 Char Char Char Char"/>
    <w:link w:val="209"/>
    <w:semiHidden/>
    <w:qFormat/>
    <w:uiPriority w:val="0"/>
    <w:rPr>
      <w:rFonts w:ascii="Times New Roman" w:hAnsi="Times New Roman" w:eastAsia="宋体" w:cs="Times New Roman"/>
      <w:sz w:val="18"/>
      <w:szCs w:val="18"/>
    </w:rPr>
  </w:style>
  <w:style w:type="paragraph" w:customStyle="1" w:styleId="209">
    <w:name w:val="批注框文本 Char Char"/>
    <w:basedOn w:val="1"/>
    <w:link w:val="208"/>
    <w:qFormat/>
    <w:uiPriority w:val="0"/>
    <w:rPr>
      <w:kern w:val="0"/>
      <w:sz w:val="18"/>
      <w:szCs w:val="18"/>
    </w:rPr>
  </w:style>
  <w:style w:type="character" w:customStyle="1" w:styleId="210">
    <w:name w:val="标题 4 Char1"/>
    <w:qFormat/>
    <w:uiPriority w:val="0"/>
    <w:rPr>
      <w:rFonts w:ascii="宋体" w:hAnsi="宋体"/>
      <w:b/>
      <w:bCs/>
      <w:kern w:val="2"/>
      <w:sz w:val="21"/>
    </w:rPr>
  </w:style>
  <w:style w:type="character" w:customStyle="1" w:styleId="211">
    <w:name w:val="列表框2 Char Char"/>
    <w:link w:val="212"/>
    <w:semiHidden/>
    <w:qFormat/>
    <w:uiPriority w:val="0"/>
    <w:rPr>
      <w:color w:val="7030A0"/>
      <w:spacing w:val="10"/>
      <w:sz w:val="24"/>
      <w:szCs w:val="24"/>
    </w:rPr>
  </w:style>
  <w:style w:type="paragraph" w:customStyle="1" w:styleId="212">
    <w:name w:val="列表框2"/>
    <w:basedOn w:val="1"/>
    <w:link w:val="211"/>
    <w:qFormat/>
    <w:uiPriority w:val="0"/>
    <w:pPr>
      <w:tabs>
        <w:tab w:val="left" w:pos="360"/>
        <w:tab w:val="left" w:pos="1628"/>
        <w:tab w:val="left" w:pos="2086"/>
      </w:tabs>
      <w:adjustRightInd w:val="0"/>
      <w:snapToGrid w:val="0"/>
      <w:ind w:left="1748" w:right="210" w:rightChars="100" w:hanging="434" w:firstLineChars="200"/>
      <w:jc w:val="left"/>
    </w:pPr>
    <w:rPr>
      <w:color w:val="7030A0"/>
      <w:spacing w:val="10"/>
      <w:kern w:val="0"/>
      <w:sz w:val="24"/>
    </w:rPr>
  </w:style>
  <w:style w:type="character" w:customStyle="1" w:styleId="213">
    <w:name w:val="批注文字 Char1"/>
    <w:qFormat/>
    <w:uiPriority w:val="0"/>
    <w:rPr>
      <w:kern w:val="2"/>
      <w:sz w:val="24"/>
      <w:szCs w:val="24"/>
    </w:rPr>
  </w:style>
  <w:style w:type="character" w:customStyle="1" w:styleId="214">
    <w:name w:val="日期 Char1"/>
    <w:qFormat/>
    <w:uiPriority w:val="0"/>
    <w:rPr>
      <w:rFonts w:ascii="Times New Roman" w:hAnsi="Times New Roman"/>
      <w:kern w:val="2"/>
      <w:sz w:val="21"/>
      <w:szCs w:val="24"/>
    </w:rPr>
  </w:style>
  <w:style w:type="character" w:customStyle="1" w:styleId="215">
    <w:name w:val="标题2 Char Char"/>
    <w:link w:val="216"/>
    <w:semiHidden/>
    <w:qFormat/>
    <w:uiPriority w:val="0"/>
    <w:rPr>
      <w:rFonts w:ascii="宋体" w:hAnsi="Times New Roman"/>
      <w:b/>
      <w:color w:val="92D050"/>
      <w:kern w:val="44"/>
      <w:sz w:val="30"/>
    </w:rPr>
  </w:style>
  <w:style w:type="paragraph" w:customStyle="1" w:styleId="216">
    <w:name w:val="标题2"/>
    <w:basedOn w:val="2"/>
    <w:link w:val="215"/>
    <w:qFormat/>
    <w:uiPriority w:val="0"/>
    <w:pPr>
      <w:spacing w:before="0" w:after="0" w:line="312" w:lineRule="auto"/>
      <w:ind w:left="0" w:firstLine="0"/>
      <w:jc w:val="center"/>
    </w:pPr>
    <w:rPr>
      <w:rFonts w:ascii="宋体"/>
      <w:bCs w:val="0"/>
      <w:color w:val="92D050"/>
      <w:sz w:val="30"/>
      <w:szCs w:val="20"/>
    </w:rPr>
  </w:style>
  <w:style w:type="character" w:customStyle="1" w:styleId="217">
    <w:name w:val="批注引用1"/>
    <w:qFormat/>
    <w:uiPriority w:val="0"/>
    <w:rPr>
      <w:sz w:val="21"/>
      <w:szCs w:val="21"/>
    </w:rPr>
  </w:style>
  <w:style w:type="character" w:customStyle="1" w:styleId="218">
    <w:name w:val="样式 宋体 行距: 固定值 24 磅 Char Char"/>
    <w:link w:val="219"/>
    <w:semiHidden/>
    <w:qFormat/>
    <w:uiPriority w:val="0"/>
    <w:rPr>
      <w:rFonts w:ascii="宋体" w:cs="宋体"/>
      <w:color w:val="7030A0"/>
      <w:kern w:val="2"/>
      <w:sz w:val="28"/>
    </w:rPr>
  </w:style>
  <w:style w:type="paragraph" w:customStyle="1" w:styleId="219">
    <w:name w:val="样式 宋体 行距: 固定值 24 磅"/>
    <w:basedOn w:val="1"/>
    <w:link w:val="218"/>
    <w:qFormat/>
    <w:uiPriority w:val="0"/>
    <w:pPr>
      <w:spacing w:line="480" w:lineRule="exact"/>
      <w:ind w:firstLine="585" w:firstLineChars="200"/>
      <w:jc w:val="left"/>
    </w:pPr>
    <w:rPr>
      <w:rFonts w:ascii="宋体"/>
      <w:color w:val="7030A0"/>
      <w:sz w:val="28"/>
      <w:szCs w:val="20"/>
    </w:rPr>
  </w:style>
  <w:style w:type="character" w:customStyle="1" w:styleId="220">
    <w:name w:val="批注主题 Char"/>
    <w:link w:val="221"/>
    <w:semiHidden/>
    <w:qFormat/>
    <w:uiPriority w:val="0"/>
    <w:rPr>
      <w:rFonts w:ascii="Times New Roman" w:hAnsi="Times New Roman" w:eastAsia="宋体" w:cs="Times New Roman"/>
      <w:b/>
      <w:bCs/>
      <w:kern w:val="2"/>
      <w:sz w:val="21"/>
      <w:szCs w:val="24"/>
    </w:rPr>
  </w:style>
  <w:style w:type="paragraph" w:customStyle="1" w:styleId="221">
    <w:name w:val="批注主题1"/>
    <w:basedOn w:val="19"/>
    <w:next w:val="19"/>
    <w:link w:val="220"/>
    <w:qFormat/>
    <w:uiPriority w:val="0"/>
    <w:rPr>
      <w:b/>
      <w:bCs/>
      <w:kern w:val="2"/>
      <w:sz w:val="21"/>
    </w:rPr>
  </w:style>
  <w:style w:type="character" w:customStyle="1" w:styleId="222">
    <w:name w:val="正文段落格式 Char Char"/>
    <w:qFormat/>
    <w:uiPriority w:val="0"/>
    <w:rPr>
      <w:rFonts w:cs="宋体"/>
      <w:color w:val="7030A0"/>
      <w:kern w:val="2"/>
      <w:sz w:val="24"/>
    </w:rPr>
  </w:style>
  <w:style w:type="character" w:customStyle="1" w:styleId="223">
    <w:name w:val="dash6b63_6587__char1"/>
    <w:qFormat/>
    <w:uiPriority w:val="0"/>
    <w:rPr>
      <w:rFonts w:hint="default" w:ascii="Calibri" w:hAnsi="Calibri" w:cs="Calibri"/>
      <w:sz w:val="20"/>
      <w:szCs w:val="20"/>
    </w:rPr>
  </w:style>
  <w:style w:type="paragraph" w:customStyle="1" w:styleId="224">
    <w:name w:val="_Style 1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5">
    <w:name w:val="1."/>
    <w:basedOn w:val="1"/>
    <w:qFormat/>
    <w:uiPriority w:val="0"/>
    <w:pPr>
      <w:tabs>
        <w:tab w:val="left" w:pos="0"/>
        <w:tab w:val="left" w:pos="426"/>
      </w:tabs>
      <w:adjustRightInd w:val="0"/>
      <w:spacing w:before="60" w:after="60" w:line="360" w:lineRule="atLeast"/>
      <w:ind w:left="426" w:hanging="426" w:firstLineChars="200"/>
      <w:jc w:val="left"/>
      <w:textAlignment w:val="baseline"/>
    </w:pPr>
    <w:rPr>
      <w:rFonts w:ascii="Arial" w:hAnsi="Arial"/>
      <w:color w:val="7030A0"/>
      <w:kern w:val="0"/>
      <w:szCs w:val="20"/>
    </w:rPr>
  </w:style>
  <w:style w:type="paragraph" w:customStyle="1" w:styleId="226">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227">
    <w:name w:val="级别3"/>
    <w:basedOn w:val="228"/>
    <w:qFormat/>
    <w:uiPriority w:val="0"/>
    <w:pPr>
      <w:tabs>
        <w:tab w:val="left" w:pos="0"/>
      </w:tabs>
      <w:ind w:firstLine="425"/>
      <w:outlineLvl w:val="2"/>
    </w:pPr>
    <w:rPr>
      <w:b w:val="0"/>
    </w:rPr>
  </w:style>
  <w:style w:type="paragraph" w:customStyle="1" w:styleId="228">
    <w:name w:val="级别2"/>
    <w:basedOn w:val="2"/>
    <w:qFormat/>
    <w:uiPriority w:val="0"/>
    <w:pPr>
      <w:tabs>
        <w:tab w:val="left" w:pos="0"/>
        <w:tab w:val="clear" w:pos="1440"/>
      </w:tabs>
      <w:adjustRightInd w:val="0"/>
      <w:snapToGrid w:val="0"/>
      <w:spacing w:before="0" w:after="0" w:line="360" w:lineRule="auto"/>
      <w:ind w:left="0" w:firstLine="0"/>
      <w:outlineLvl w:val="1"/>
    </w:pPr>
    <w:rPr>
      <w:rFonts w:ascii="宋体" w:hAnsi="宋体"/>
      <w:bCs w:val="0"/>
      <w:sz w:val="24"/>
      <w:szCs w:val="24"/>
    </w:rPr>
  </w:style>
  <w:style w:type="paragraph" w:customStyle="1" w:styleId="229">
    <w:name w:val="Char1 Char Char1 Char Char Char Char Char Char"/>
    <w:basedOn w:val="1"/>
    <w:qFormat/>
    <w:uiPriority w:val="0"/>
  </w:style>
  <w:style w:type="paragraph" w:customStyle="1" w:styleId="230">
    <w:name w:val="Report Level 4"/>
    <w:basedOn w:val="231"/>
    <w:next w:val="233"/>
    <w:qFormat/>
    <w:uiPriority w:val="0"/>
    <w:pPr>
      <w:tabs>
        <w:tab w:val="left" w:pos="720"/>
        <w:tab w:val="left" w:pos="1080"/>
        <w:tab w:val="left" w:pos="1889"/>
        <w:tab w:val="left" w:pos="2309"/>
      </w:tabs>
      <w:ind w:left="720" w:hanging="720"/>
      <w:outlineLvl w:val="3"/>
    </w:pPr>
    <w:rPr>
      <w:rFonts w:ascii="Times New Roman" w:hAnsi="Times New Roman"/>
    </w:rPr>
  </w:style>
  <w:style w:type="paragraph" w:customStyle="1" w:styleId="231">
    <w:name w:val="Report Level 3"/>
    <w:basedOn w:val="232"/>
    <w:next w:val="233"/>
    <w:qFormat/>
    <w:uiPriority w:val="0"/>
    <w:pPr>
      <w:tabs>
        <w:tab w:val="left" w:pos="1080"/>
        <w:tab w:val="left" w:pos="1889"/>
      </w:tabs>
      <w:spacing w:before="120"/>
      <w:ind w:left="1889" w:hanging="420"/>
      <w:outlineLvl w:val="2"/>
    </w:pPr>
    <w:rPr>
      <w:caps w:val="0"/>
      <w:sz w:val="20"/>
    </w:rPr>
  </w:style>
  <w:style w:type="paragraph" w:customStyle="1" w:styleId="232">
    <w:name w:val="Report Level 1"/>
    <w:basedOn w:val="1"/>
    <w:next w:val="233"/>
    <w:qFormat/>
    <w:uiPriority w:val="0"/>
    <w:pPr>
      <w:keepNext/>
      <w:widowControl/>
      <w:tabs>
        <w:tab w:val="left" w:pos="1080"/>
      </w:tabs>
      <w:spacing w:before="240" w:after="240" w:line="360" w:lineRule="auto"/>
      <w:ind w:left="1080" w:hanging="1080" w:firstLineChars="200"/>
      <w:jc w:val="left"/>
      <w:outlineLvl w:val="0"/>
    </w:pPr>
    <w:rPr>
      <w:rFonts w:ascii="Arial" w:hAnsi="Arial"/>
      <w:b/>
      <w:caps/>
      <w:color w:val="7030A0"/>
      <w:kern w:val="0"/>
      <w:sz w:val="24"/>
      <w:szCs w:val="21"/>
    </w:rPr>
  </w:style>
  <w:style w:type="paragraph" w:customStyle="1" w:styleId="233">
    <w:name w:val="Report Text"/>
    <w:basedOn w:val="1"/>
    <w:qFormat/>
    <w:uiPriority w:val="0"/>
    <w:pPr>
      <w:widowControl/>
      <w:spacing w:after="138"/>
      <w:ind w:left="1080" w:firstLine="200" w:firstLineChars="200"/>
      <w:jc w:val="left"/>
    </w:pPr>
    <w:rPr>
      <w:color w:val="7030A0"/>
      <w:kern w:val="0"/>
      <w:sz w:val="22"/>
      <w:szCs w:val="20"/>
      <w:lang w:eastAsia="en-US"/>
    </w:rPr>
  </w:style>
  <w:style w:type="paragraph" w:customStyle="1" w:styleId="234">
    <w:name w:val="样式 样式 样式 宋体 小四 左侧:  1.85 厘米 段前: 11.15 磅 段后: 11.15 磅 + 图案: 清除 (白色..."/>
    <w:basedOn w:val="235"/>
    <w:qFormat/>
    <w:uiPriority w:val="0"/>
    <w:pPr>
      <w:spacing w:beforeLines="50" w:afterLines="50"/>
      <w:ind w:left="318"/>
    </w:pPr>
    <w:rPr>
      <w:szCs w:val="20"/>
    </w:rPr>
  </w:style>
  <w:style w:type="paragraph" w:customStyle="1" w:styleId="235">
    <w:name w:val="样式 样式 宋体 小四 左侧:  1.85 厘米 段前: 11.15 磅 段后: 11.15 磅 + 图案: 清除 (白色)"/>
    <w:basedOn w:val="1"/>
    <w:qFormat/>
    <w:uiPriority w:val="0"/>
    <w:pPr>
      <w:snapToGrid w:val="0"/>
      <w:ind w:left="1049" w:firstLine="200" w:firstLineChars="200"/>
      <w:jc w:val="left"/>
    </w:pPr>
    <w:rPr>
      <w:color w:val="7030A0"/>
      <w:sz w:val="24"/>
      <w:shd w:val="clear" w:color="auto" w:fill="FFFFFF"/>
    </w:rPr>
  </w:style>
  <w:style w:type="paragraph" w:customStyle="1" w:styleId="236">
    <w:name w:val="Table Paragraph"/>
    <w:basedOn w:val="1"/>
    <w:qFormat/>
    <w:uiPriority w:val="1"/>
    <w:pPr>
      <w:autoSpaceDE w:val="0"/>
      <w:autoSpaceDN w:val="0"/>
      <w:adjustRightInd w:val="0"/>
      <w:jc w:val="left"/>
    </w:pPr>
    <w:rPr>
      <w:kern w:val="0"/>
      <w:sz w:val="24"/>
    </w:rPr>
  </w:style>
  <w:style w:type="paragraph" w:customStyle="1" w:styleId="237">
    <w:name w:val="青岛正文"/>
    <w:basedOn w:val="1"/>
    <w:qFormat/>
    <w:uiPriority w:val="0"/>
    <w:pPr>
      <w:spacing w:line="360" w:lineRule="auto"/>
    </w:pPr>
    <w:rPr>
      <w:sz w:val="28"/>
    </w:rPr>
  </w:style>
  <w:style w:type="paragraph" w:customStyle="1" w:styleId="238">
    <w:name w:val="小标4"/>
    <w:basedOn w:val="1"/>
    <w:next w:val="1"/>
    <w:qFormat/>
    <w:uiPriority w:val="0"/>
    <w:pPr>
      <w:tabs>
        <w:tab w:val="left" w:pos="900"/>
      </w:tabs>
      <w:spacing w:line="400" w:lineRule="exact"/>
      <w:ind w:left="900" w:firstLine="200" w:firstLineChars="200"/>
      <w:jc w:val="left"/>
    </w:pPr>
    <w:rPr>
      <w:rFonts w:ascii="宋体"/>
      <w:color w:val="7030A0"/>
      <w:sz w:val="24"/>
    </w:rPr>
  </w:style>
  <w:style w:type="paragraph" w:customStyle="1" w:styleId="239">
    <w:name w:val="样式 目录 1 + 左侧:  3 字符"/>
    <w:basedOn w:val="40"/>
    <w:qFormat/>
    <w:uiPriority w:val="0"/>
    <w:pPr>
      <w:tabs>
        <w:tab w:val="left" w:pos="425"/>
        <w:tab w:val="left" w:pos="1680"/>
        <w:tab w:val="right" w:leader="dot" w:pos="8495"/>
        <w:tab w:val="right" w:pos="9060"/>
        <w:tab w:val="clear" w:pos="8778"/>
      </w:tabs>
      <w:snapToGrid/>
      <w:spacing w:line="240" w:lineRule="auto"/>
      <w:ind w:left="425" w:hanging="425"/>
    </w:pPr>
    <w:rPr>
      <w:bCs w:val="0"/>
      <w:iCs w:val="0"/>
      <w:caps w:val="0"/>
      <w:color w:val="7030A0"/>
      <w:kern w:val="2"/>
      <w:sz w:val="21"/>
      <w:szCs w:val="20"/>
    </w:rPr>
  </w:style>
  <w:style w:type="paragraph" w:customStyle="1" w:styleId="240">
    <w:name w:val="列表1"/>
    <w:basedOn w:val="1"/>
    <w:qFormat/>
    <w:uiPriority w:val="0"/>
    <w:pPr>
      <w:ind w:left="200" w:hanging="200" w:hangingChars="200"/>
    </w:pPr>
    <w:rPr>
      <w:szCs w:val="20"/>
    </w:rPr>
  </w:style>
  <w:style w:type="paragraph" w:customStyle="1" w:styleId="241">
    <w:name w:val="xl46"/>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42">
    <w:name w:val="二级条标题"/>
    <w:basedOn w:val="243"/>
    <w:next w:val="1"/>
    <w:qFormat/>
    <w:uiPriority w:val="0"/>
    <w:pPr>
      <w:tabs>
        <w:tab w:val="left" w:pos="425"/>
        <w:tab w:val="left" w:pos="525"/>
      </w:tabs>
      <w:ind w:firstLine="0" w:firstLineChars="0"/>
      <w:outlineLvl w:val="3"/>
    </w:pPr>
  </w:style>
  <w:style w:type="paragraph" w:customStyle="1" w:styleId="243">
    <w:name w:val="一级条标题"/>
    <w:basedOn w:val="1"/>
    <w:next w:val="1"/>
    <w:qFormat/>
    <w:uiPriority w:val="0"/>
    <w:pPr>
      <w:widowControl/>
      <w:tabs>
        <w:tab w:val="left" w:pos="425"/>
        <w:tab w:val="left" w:pos="525"/>
      </w:tabs>
      <w:ind w:left="425" w:hanging="425" w:firstLineChars="200"/>
      <w:jc w:val="left"/>
      <w:outlineLvl w:val="2"/>
    </w:pPr>
    <w:rPr>
      <w:rFonts w:ascii="黑体" w:eastAsia="黑体"/>
      <w:color w:val="7030A0"/>
      <w:kern w:val="0"/>
      <w:szCs w:val="20"/>
    </w:rPr>
  </w:style>
  <w:style w:type="paragraph" w:customStyle="1" w:styleId="244">
    <w:name w:val="xl28"/>
    <w:basedOn w:val="1"/>
    <w:qFormat/>
    <w:uiPriority w:val="0"/>
    <w:pPr>
      <w:widowControl/>
      <w:spacing w:before="100" w:beforeAutospacing="1" w:after="100" w:afterAutospacing="1"/>
      <w:jc w:val="center"/>
    </w:pPr>
    <w:rPr>
      <w:kern w:val="0"/>
      <w:sz w:val="24"/>
    </w:rPr>
  </w:style>
  <w:style w:type="paragraph" w:customStyle="1" w:styleId="245">
    <w:name w:val="xl53"/>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46">
    <w:name w:val="xl32"/>
    <w:basedOn w:val="1"/>
    <w:qFormat/>
    <w:uiPriority w:val="0"/>
    <w:pPr>
      <w:widowControl/>
      <w:spacing w:before="100" w:beforeAutospacing="1" w:after="100" w:afterAutospacing="1"/>
      <w:jc w:val="center"/>
    </w:pPr>
    <w:rPr>
      <w:b/>
      <w:bCs/>
      <w:kern w:val="0"/>
      <w:sz w:val="24"/>
      <w:u w:val="single"/>
    </w:rPr>
  </w:style>
  <w:style w:type="paragraph" w:customStyle="1" w:styleId="247">
    <w:name w:val="列表编号 41"/>
    <w:basedOn w:val="1"/>
    <w:qFormat/>
    <w:uiPriority w:val="0"/>
    <w:pPr>
      <w:tabs>
        <w:tab w:val="left" w:pos="1620"/>
      </w:tabs>
      <w:spacing w:line="360" w:lineRule="auto"/>
      <w:ind w:left="1620" w:hanging="360"/>
    </w:pPr>
    <w:rPr>
      <w:rFonts w:ascii="宋体" w:hAnsi="宋体"/>
      <w:sz w:val="24"/>
      <w:szCs w:val="20"/>
    </w:rPr>
  </w:style>
  <w:style w:type="paragraph" w:customStyle="1" w:styleId="248">
    <w:name w:val="Footer First"/>
    <w:basedOn w:val="36"/>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249">
    <w:name w:val="正文C"/>
    <w:qFormat/>
    <w:uiPriority w:val="0"/>
    <w:pPr>
      <w:widowControl w:val="0"/>
      <w:adjustRightInd w:val="0"/>
      <w:snapToGrid w:val="0"/>
      <w:spacing w:line="360" w:lineRule="auto"/>
      <w:ind w:right="31" w:rightChars="15" w:firstLine="420" w:firstLineChars="200"/>
      <w:jc w:val="both"/>
    </w:pPr>
    <w:rPr>
      <w:rFonts w:ascii="Times New Roman" w:hAnsi="Times New Roman" w:eastAsia="宋体" w:cs="宋体"/>
      <w:kern w:val="44"/>
      <w:sz w:val="24"/>
      <w:lang w:val="en-US" w:eastAsia="zh-CN" w:bidi="ar-SA"/>
    </w:rPr>
  </w:style>
  <w:style w:type="paragraph" w:customStyle="1" w:styleId="250">
    <w:name w:val="索引 91"/>
    <w:basedOn w:val="1"/>
    <w:next w:val="1"/>
    <w:qFormat/>
    <w:uiPriority w:val="0"/>
    <w:pPr>
      <w:spacing w:line="480" w:lineRule="exact"/>
      <w:ind w:left="1600" w:leftChars="1600" w:firstLine="200" w:firstLineChars="200"/>
      <w:jc w:val="left"/>
    </w:pPr>
    <w:rPr>
      <w:color w:val="7030A0"/>
      <w:sz w:val="24"/>
    </w:rPr>
  </w:style>
  <w:style w:type="paragraph" w:customStyle="1" w:styleId="251">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5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3">
    <w:name w:val="四级条标题"/>
    <w:basedOn w:val="254"/>
    <w:next w:val="1"/>
    <w:qFormat/>
    <w:uiPriority w:val="0"/>
    <w:pPr>
      <w:tabs>
        <w:tab w:val="left" w:pos="425"/>
        <w:tab w:val="left" w:pos="525"/>
      </w:tabs>
      <w:outlineLvl w:val="5"/>
    </w:pPr>
  </w:style>
  <w:style w:type="paragraph" w:customStyle="1" w:styleId="254">
    <w:name w:val="三级条标题"/>
    <w:basedOn w:val="242"/>
    <w:next w:val="1"/>
    <w:qFormat/>
    <w:uiPriority w:val="0"/>
    <w:pPr>
      <w:outlineLvl w:val="4"/>
    </w:pPr>
  </w:style>
  <w:style w:type="paragraph" w:customStyle="1" w:styleId="25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kern w:val="0"/>
      <w:sz w:val="20"/>
      <w:szCs w:val="20"/>
    </w:rPr>
  </w:style>
  <w:style w:type="paragraph" w:customStyle="1" w:styleId="256">
    <w:name w:val="样式 宋体 行距: 1.5 倍行距"/>
    <w:basedOn w:val="1"/>
    <w:qFormat/>
    <w:uiPriority w:val="0"/>
    <w:pPr>
      <w:ind w:firstLine="200" w:firstLineChars="200"/>
      <w:jc w:val="left"/>
    </w:pPr>
    <w:rPr>
      <w:rFonts w:ascii="宋体" w:hAnsi="宋体"/>
      <w:color w:val="7030A0"/>
      <w:szCs w:val="20"/>
    </w:rPr>
  </w:style>
  <w:style w:type="paragraph" w:customStyle="1" w:styleId="257">
    <w:name w:val="[基本段落]"/>
    <w:basedOn w:val="1"/>
    <w:qFormat/>
    <w:uiPriority w:val="99"/>
    <w:pPr>
      <w:autoSpaceDE w:val="0"/>
      <w:autoSpaceDN w:val="0"/>
      <w:adjustRightInd w:val="0"/>
      <w:spacing w:line="288" w:lineRule="auto"/>
      <w:textAlignment w:val="center"/>
    </w:pPr>
    <w:rPr>
      <w:rFonts w:ascii="Adobe 宋体 Std L" w:hAnsi="Calibri" w:eastAsia="Adobe 宋体 Std L" w:cs="Adobe 宋体 Std L"/>
      <w:color w:val="000000"/>
      <w:kern w:val="0"/>
      <w:sz w:val="24"/>
      <w:lang w:val="zh-CN"/>
    </w:rPr>
  </w:style>
  <w:style w:type="paragraph" w:customStyle="1" w:styleId="258">
    <w:name w:val="样式4"/>
    <w:basedOn w:val="1"/>
    <w:next w:val="3"/>
    <w:qFormat/>
    <w:uiPriority w:val="0"/>
    <w:pPr>
      <w:tabs>
        <w:tab w:val="left" w:pos="360"/>
      </w:tabs>
      <w:spacing w:line="360" w:lineRule="auto"/>
      <w:ind w:left="360" w:hanging="360"/>
    </w:pPr>
    <w:rPr>
      <w:rFonts w:ascii="宋体" w:hAnsi="宋体"/>
      <w:b/>
      <w:sz w:val="28"/>
      <w:szCs w:val="20"/>
    </w:rPr>
  </w:style>
  <w:style w:type="paragraph" w:customStyle="1" w:styleId="259">
    <w:name w:val="正文点缩进"/>
    <w:basedOn w:val="1"/>
    <w:qFormat/>
    <w:uiPriority w:val="0"/>
    <w:pPr>
      <w:widowControl/>
      <w:tabs>
        <w:tab w:val="left" w:pos="1758"/>
      </w:tabs>
      <w:snapToGrid w:val="0"/>
      <w:spacing w:after="60" w:line="288" w:lineRule="auto"/>
      <w:ind w:firstLine="200" w:firstLineChars="200"/>
      <w:jc w:val="left"/>
    </w:pPr>
    <w:rPr>
      <w:rFonts w:ascii="宋体"/>
      <w:color w:val="7030A0"/>
      <w:sz w:val="22"/>
      <w:szCs w:val="20"/>
      <w:shd w:val="clear" w:color="auto" w:fill="FFFFFF"/>
    </w:rPr>
  </w:style>
  <w:style w:type="paragraph" w:customStyle="1" w:styleId="260">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261">
    <w:name w:val="三级标题格式"/>
    <w:basedOn w:val="4"/>
    <w:qFormat/>
    <w:uiPriority w:val="0"/>
    <w:pPr>
      <w:spacing w:before="0" w:afterLines="100" w:line="240" w:lineRule="auto"/>
      <w:jc w:val="left"/>
    </w:pPr>
    <w:rPr>
      <w:rFonts w:eastAsia="黑体"/>
      <w:b w:val="0"/>
      <w:sz w:val="28"/>
      <w:szCs w:val="28"/>
    </w:rPr>
  </w:style>
  <w:style w:type="paragraph" w:customStyle="1" w:styleId="262">
    <w:name w:val="表格文字格式"/>
    <w:basedOn w:val="1"/>
    <w:qFormat/>
    <w:uiPriority w:val="0"/>
    <w:pPr>
      <w:snapToGrid w:val="0"/>
      <w:jc w:val="center"/>
    </w:pPr>
    <w:rPr>
      <w:rFonts w:cs="宋体"/>
      <w:szCs w:val="20"/>
    </w:rPr>
  </w:style>
  <w:style w:type="paragraph" w:customStyle="1" w:styleId="263">
    <w:name w:val="样式 标题 3列表编号33 bulletb23 bullet1b1213 bullet2b2223 bul...2"/>
    <w:basedOn w:val="1"/>
    <w:qFormat/>
    <w:uiPriority w:val="0"/>
    <w:pPr>
      <w:ind w:left="1320" w:hanging="420" w:firstLineChars="200"/>
      <w:jc w:val="left"/>
    </w:pPr>
    <w:rPr>
      <w:color w:val="7030A0"/>
    </w:rPr>
  </w:style>
  <w:style w:type="paragraph" w:customStyle="1" w:styleId="264">
    <w:name w:val="纯文本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265">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66">
    <w:name w:val="招标文件1.1"/>
    <w:qFormat/>
    <w:uiPriority w:val="0"/>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267">
    <w:name w:val="样式 标题 5 + 右侧:  -0.18 字符"/>
    <w:basedOn w:val="1"/>
    <w:qFormat/>
    <w:uiPriority w:val="0"/>
    <w:pPr>
      <w:tabs>
        <w:tab w:val="left" w:pos="1008"/>
      </w:tabs>
      <w:ind w:left="1134" w:hanging="1134"/>
    </w:pPr>
  </w:style>
  <w:style w:type="paragraph" w:customStyle="1" w:styleId="268">
    <w:name w:val="xl39"/>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269">
    <w:name w:val="列表接续1"/>
    <w:basedOn w:val="1"/>
    <w:qFormat/>
    <w:uiPriority w:val="0"/>
    <w:pPr>
      <w:widowControl/>
      <w:spacing w:after="120"/>
      <w:ind w:left="420"/>
      <w:jc w:val="left"/>
    </w:pPr>
    <w:rPr>
      <w:rFonts w:ascii="宋体"/>
      <w:kern w:val="0"/>
      <w:sz w:val="22"/>
      <w:szCs w:val="20"/>
    </w:rPr>
  </w:style>
  <w:style w:type="paragraph" w:customStyle="1" w:styleId="270">
    <w:name w:val="Char Char Char Char1"/>
    <w:basedOn w:val="1"/>
    <w:qFormat/>
    <w:uiPriority w:val="0"/>
    <w:pPr>
      <w:ind w:firstLine="200" w:firstLineChars="200"/>
      <w:jc w:val="left"/>
    </w:pPr>
    <w:rPr>
      <w:rFonts w:ascii="仿宋_GB2312" w:eastAsia="仿宋_GB2312"/>
      <w:b/>
      <w:color w:val="7030A0"/>
      <w:sz w:val="32"/>
      <w:szCs w:val="32"/>
    </w:rPr>
  </w:style>
  <w:style w:type="paragraph" w:customStyle="1" w:styleId="271">
    <w:name w:val="正文样式"/>
    <w:basedOn w:val="1"/>
    <w:qFormat/>
    <w:uiPriority w:val="99"/>
    <w:pPr>
      <w:ind w:firstLine="480" w:firstLineChars="200"/>
    </w:pPr>
    <w:rPr>
      <w:rFonts w:ascii="Times New Roman" w:hAnsi="Times New Roman"/>
      <w:sz w:val="30"/>
      <w:lang w:val="zh-CN"/>
    </w:rPr>
  </w:style>
  <w:style w:type="paragraph" w:customStyle="1" w:styleId="272">
    <w:name w:val="Body"/>
    <w:basedOn w:val="1"/>
    <w:qFormat/>
    <w:uiPriority w:val="0"/>
    <w:pPr>
      <w:widowControl/>
      <w:tabs>
        <w:tab w:val="left" w:pos="1620"/>
      </w:tabs>
      <w:spacing w:before="80" w:after="80" w:line="288" w:lineRule="auto"/>
    </w:pPr>
    <w:rPr>
      <w:kern w:val="0"/>
      <w:szCs w:val="20"/>
      <w:lang w:eastAsia="en-US"/>
    </w:rPr>
  </w:style>
  <w:style w:type="paragraph" w:styleId="273">
    <w:name w:val="List Paragraph"/>
    <w:basedOn w:val="1"/>
    <w:qFormat/>
    <w:uiPriority w:val="34"/>
    <w:pPr>
      <w:ind w:left="720"/>
      <w:contextualSpacing/>
    </w:pPr>
  </w:style>
  <w:style w:type="paragraph" w:customStyle="1" w:styleId="274">
    <w:name w:val="xl55"/>
    <w:basedOn w:val="1"/>
    <w:qFormat/>
    <w:uiPriority w:val="0"/>
    <w:pPr>
      <w:widowControl/>
      <w:pBdr>
        <w:top w:val="single" w:color="auto" w:sz="4" w:space="0"/>
        <w:lef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75">
    <w:name w:val="註解方塊文字"/>
    <w:basedOn w:val="1"/>
    <w:qFormat/>
    <w:uiPriority w:val="0"/>
    <w:pPr>
      <w:widowControl/>
      <w:jc w:val="left"/>
    </w:pPr>
    <w:rPr>
      <w:rFonts w:ascii="Arial" w:hAnsi="Arial" w:eastAsia="PMingLiU"/>
      <w:kern w:val="0"/>
      <w:sz w:val="18"/>
      <w:szCs w:val="18"/>
    </w:rPr>
  </w:style>
  <w:style w:type="paragraph" w:customStyle="1" w:styleId="276">
    <w:name w:val="xl52"/>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77">
    <w:name w:val="xl45"/>
    <w:basedOn w:val="1"/>
    <w:qFormat/>
    <w:uiPriority w:val="0"/>
    <w:pPr>
      <w:widowControl/>
      <w:pBdr>
        <w:bottom w:val="single" w:color="auto" w:sz="4" w:space="0"/>
        <w:right w:val="single" w:color="auto" w:sz="4" w:space="0"/>
      </w:pBdr>
      <w:spacing w:before="100" w:after="100"/>
      <w:ind w:firstLine="200" w:firstLineChars="200"/>
      <w:jc w:val="center"/>
      <w:textAlignment w:val="center"/>
    </w:pPr>
    <w:rPr>
      <w:rFonts w:eastAsia="Arial Unicode MS"/>
      <w:color w:val="7030A0"/>
      <w:kern w:val="0"/>
      <w:sz w:val="22"/>
      <w:szCs w:val="20"/>
    </w:rPr>
  </w:style>
  <w:style w:type="paragraph" w:customStyle="1" w:styleId="27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79">
    <w:name w:val="标题四"/>
    <w:basedOn w:val="280"/>
    <w:qFormat/>
    <w:uiPriority w:val="0"/>
    <w:pPr>
      <w:tabs>
        <w:tab w:val="left" w:pos="0"/>
      </w:tabs>
      <w:spacing w:line="360" w:lineRule="auto"/>
      <w:ind w:left="0"/>
    </w:pPr>
    <w:rPr>
      <w:rFonts w:ascii="Tahoma" w:hAnsi="Tahoma"/>
      <w:sz w:val="24"/>
      <w:szCs w:val="24"/>
    </w:rPr>
  </w:style>
  <w:style w:type="paragraph" w:customStyle="1" w:styleId="280">
    <w:name w:val="招标文件1.1.1"/>
    <w:qFormat/>
    <w:uiPriority w:val="0"/>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81">
    <w:name w:val="Char Char Char Char11"/>
    <w:basedOn w:val="1"/>
    <w:qFormat/>
    <w:uiPriority w:val="0"/>
    <w:pPr>
      <w:ind w:firstLine="200" w:firstLineChars="200"/>
      <w:jc w:val="left"/>
    </w:pPr>
    <w:rPr>
      <w:rFonts w:ascii="仿宋_GB2312" w:eastAsia="仿宋_GB2312"/>
      <w:b/>
      <w:color w:val="7030A0"/>
      <w:sz w:val="32"/>
      <w:szCs w:val="32"/>
    </w:rPr>
  </w:style>
  <w:style w:type="paragraph" w:customStyle="1" w:styleId="282">
    <w:name w:val="列出段落2"/>
    <w:basedOn w:val="1"/>
    <w:qFormat/>
    <w:uiPriority w:val="99"/>
    <w:pPr>
      <w:ind w:firstLine="420" w:firstLineChars="200"/>
    </w:pPr>
  </w:style>
  <w:style w:type="paragraph" w:customStyle="1" w:styleId="283">
    <w:name w:val="样式 标题 2标题 1.1编号标题2head:2#2 headlinehheadlineS&amp;R2ERMH2He..."/>
    <w:basedOn w:val="3"/>
    <w:qFormat/>
    <w:uiPriority w:val="0"/>
    <w:pPr>
      <w:spacing w:before="120" w:after="120" w:line="500" w:lineRule="exact"/>
      <w:jc w:val="left"/>
    </w:pPr>
    <w:rPr>
      <w:rFonts w:cs="宋体"/>
      <w:color w:val="C00000"/>
      <w:kern w:val="44"/>
      <w:sz w:val="28"/>
      <w:szCs w:val="20"/>
    </w:rPr>
  </w:style>
  <w:style w:type="paragraph" w:customStyle="1" w:styleId="284">
    <w:name w:val="xl41"/>
    <w:basedOn w:val="1"/>
    <w:qFormat/>
    <w:uiPriority w:val="0"/>
    <w:pPr>
      <w:widowControl/>
      <w:spacing w:before="100" w:beforeAutospacing="1" w:after="100" w:afterAutospacing="1"/>
      <w:ind w:firstLine="200" w:firstLineChars="200"/>
      <w:jc w:val="center"/>
      <w:textAlignment w:val="center"/>
    </w:pPr>
    <w:rPr>
      <w:rFonts w:ascii="宋体" w:hAnsi="宋体"/>
      <w:color w:val="7030A0"/>
      <w:kern w:val="0"/>
      <w:szCs w:val="21"/>
    </w:rPr>
  </w:style>
  <w:style w:type="paragraph" w:customStyle="1" w:styleId="285">
    <w:name w:val="章节标题 BJ8"/>
    <w:basedOn w:val="129"/>
    <w:next w:val="129"/>
    <w:qFormat/>
    <w:uiPriority w:val="0"/>
    <w:pPr>
      <w:ind w:firstLine="0" w:firstLineChars="0"/>
      <w:jc w:val="center"/>
    </w:pPr>
    <w:rPr>
      <w:rFonts w:eastAsia="黑体"/>
      <w:b/>
      <w:sz w:val="44"/>
      <w:szCs w:val="84"/>
    </w:rPr>
  </w:style>
  <w:style w:type="paragraph" w:customStyle="1" w:styleId="286">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87">
    <w:name w:val="列出段落1"/>
    <w:basedOn w:val="1"/>
    <w:qFormat/>
    <w:uiPriority w:val="34"/>
    <w:pPr>
      <w:ind w:firstLine="420" w:firstLineChars="200"/>
    </w:pPr>
    <w:rPr>
      <w:szCs w:val="20"/>
    </w:rPr>
  </w:style>
  <w:style w:type="paragraph" w:customStyle="1" w:styleId="288">
    <w:name w:val="_Style 2"/>
    <w:basedOn w:val="1"/>
    <w:qFormat/>
    <w:uiPriority w:val="0"/>
    <w:pPr>
      <w:ind w:firstLine="420" w:firstLineChars="200"/>
    </w:pPr>
    <w:rPr>
      <w:rFonts w:ascii="Calibri" w:hAnsi="Calibri"/>
      <w:szCs w:val="22"/>
    </w:rPr>
  </w:style>
  <w:style w:type="paragraph" w:customStyle="1" w:styleId="289">
    <w:name w:val="样式 列表框 Char Char Char Char Char + 段后: 0.5 行"/>
    <w:basedOn w:val="290"/>
    <w:qFormat/>
    <w:uiPriority w:val="0"/>
    <w:pPr>
      <w:tabs>
        <w:tab w:val="left" w:pos="420"/>
      </w:tabs>
      <w:spacing w:after="156"/>
    </w:pPr>
    <w:rPr>
      <w:szCs w:val="20"/>
    </w:rPr>
  </w:style>
  <w:style w:type="paragraph" w:customStyle="1" w:styleId="290">
    <w:name w:val="正常文本 Char Char Char Char Char Char Char Char Char Char Char Char Char Char"/>
    <w:basedOn w:val="1"/>
    <w:qFormat/>
    <w:uiPriority w:val="0"/>
    <w:pPr>
      <w:spacing w:afterLines="50" w:line="320" w:lineRule="exact"/>
      <w:ind w:left="600" w:leftChars="600" w:firstLine="208" w:firstLineChars="208"/>
      <w:jc w:val="left"/>
    </w:pPr>
    <w:rPr>
      <w:rFonts w:ascii="宋体" w:hAnsi="宋体" w:eastAsia="楷体_GB2312"/>
      <w:color w:val="7030A0"/>
      <w:szCs w:val="18"/>
    </w:rPr>
  </w:style>
  <w:style w:type="paragraph" w:customStyle="1" w:styleId="291">
    <w:name w:val="*"/>
    <w:basedOn w:val="1"/>
    <w:qFormat/>
    <w:uiPriority w:val="0"/>
    <w:pPr>
      <w:spacing w:line="360" w:lineRule="auto"/>
    </w:pPr>
    <w:rPr>
      <w:rFonts w:ascii="宋体" w:hAnsi="宋体"/>
      <w:kern w:val="0"/>
      <w:sz w:val="24"/>
    </w:rPr>
  </w:style>
  <w:style w:type="paragraph" w:customStyle="1" w:styleId="292">
    <w:name w:val="样式 样式 列表框 Char Char Char Char Char + 段后: 0.5 行 + 左侧:  6 字符 首行缩进..."/>
    <w:basedOn w:val="289"/>
    <w:qFormat/>
    <w:uiPriority w:val="0"/>
    <w:pPr>
      <w:tabs>
        <w:tab w:val="left" w:pos="2297"/>
      </w:tabs>
      <w:ind w:left="2297" w:leftChars="0" w:hanging="420" w:firstLineChars="0"/>
    </w:pPr>
  </w:style>
  <w:style w:type="paragraph" w:customStyle="1" w:styleId="293">
    <w:name w:val="附图 BJ15"/>
    <w:basedOn w:val="1"/>
    <w:qFormat/>
    <w:uiPriority w:val="0"/>
    <w:pPr>
      <w:adjustRightInd w:val="0"/>
      <w:snapToGrid w:val="0"/>
      <w:ind w:firstLine="200" w:firstLineChars="200"/>
      <w:jc w:val="center"/>
    </w:pPr>
    <w:rPr>
      <w:rFonts w:hAnsi="Arial"/>
      <w:color w:val="7030A0"/>
      <w:kern w:val="0"/>
    </w:rPr>
  </w:style>
  <w:style w:type="paragraph" w:customStyle="1" w:styleId="29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95">
    <w:name w:val="Numbered List"/>
    <w:basedOn w:val="37"/>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296">
    <w:name w:val="表格标题"/>
    <w:basedOn w:val="6"/>
    <w:qFormat/>
    <w:uiPriority w:val="0"/>
    <w:pPr>
      <w:tabs>
        <w:tab w:val="clear" w:pos="1008"/>
      </w:tabs>
      <w:spacing w:before="0" w:after="0" w:line="240" w:lineRule="auto"/>
      <w:ind w:left="0" w:firstLine="0"/>
      <w:jc w:val="center"/>
      <w:outlineLvl w:val="8"/>
    </w:pPr>
    <w:rPr>
      <w:b w:val="0"/>
      <w:sz w:val="21"/>
      <w:lang w:val="zh-CN"/>
    </w:rPr>
  </w:style>
  <w:style w:type="paragraph" w:customStyle="1" w:styleId="297">
    <w:name w:val="索引 51"/>
    <w:basedOn w:val="1"/>
    <w:next w:val="1"/>
    <w:qFormat/>
    <w:uiPriority w:val="0"/>
    <w:pPr>
      <w:spacing w:line="480" w:lineRule="exact"/>
      <w:ind w:left="800" w:leftChars="800" w:firstLine="200" w:firstLineChars="200"/>
      <w:jc w:val="left"/>
    </w:pPr>
    <w:rPr>
      <w:color w:val="7030A0"/>
      <w:sz w:val="24"/>
    </w:rPr>
  </w:style>
  <w:style w:type="paragraph" w:customStyle="1" w:styleId="298">
    <w:name w:val="List Paragraph1"/>
    <w:basedOn w:val="1"/>
    <w:next w:val="1"/>
    <w:qFormat/>
    <w:uiPriority w:val="0"/>
    <w:pPr>
      <w:ind w:firstLine="420" w:firstLineChars="200"/>
    </w:pPr>
    <w:rPr>
      <w:rFonts w:ascii="Calibri" w:hAnsi="Calibri"/>
      <w:szCs w:val="22"/>
    </w:rPr>
  </w:style>
  <w:style w:type="paragraph" w:customStyle="1" w:styleId="299">
    <w:name w:val="招标文件》"/>
    <w:basedOn w:val="300"/>
    <w:qFormat/>
    <w:uiPriority w:val="0"/>
    <w:pPr>
      <w:tabs>
        <w:tab w:val="left" w:pos="560"/>
      </w:tabs>
      <w:ind w:left="200" w:firstLine="0" w:firstLineChars="0"/>
    </w:pPr>
  </w:style>
  <w:style w:type="paragraph" w:customStyle="1" w:styleId="300">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301">
    <w:name w:val="图1"/>
    <w:basedOn w:val="1"/>
    <w:next w:val="1"/>
    <w:qFormat/>
    <w:uiPriority w:val="0"/>
    <w:pPr>
      <w:tabs>
        <w:tab w:val="left" w:pos="1440"/>
      </w:tabs>
      <w:spacing w:beforeLines="50" w:afterLines="100" w:line="360" w:lineRule="auto"/>
      <w:ind w:left="1105" w:hanging="748"/>
      <w:jc w:val="center"/>
    </w:pPr>
    <w:rPr>
      <w:kern w:val="0"/>
    </w:rPr>
  </w:style>
  <w:style w:type="paragraph" w:customStyle="1" w:styleId="302">
    <w:name w:val="普通(网站)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303">
    <w:name w:val="样式 标题 1标题 1 1编号标题1标题1 + 宋体 加粗"/>
    <w:basedOn w:val="2"/>
    <w:qFormat/>
    <w:uiPriority w:val="0"/>
    <w:pPr>
      <w:tabs>
        <w:tab w:val="left" w:pos="2340"/>
        <w:tab w:val="clear" w:pos="1440"/>
      </w:tabs>
      <w:spacing w:before="240" w:afterLines="50" w:line="360" w:lineRule="exact"/>
      <w:ind w:left="1304" w:hanging="1304"/>
      <w:jc w:val="left"/>
    </w:pPr>
    <w:rPr>
      <w:rFonts w:ascii="宋体" w:hAnsi="宋体" w:cs="Arial"/>
      <w:sz w:val="28"/>
      <w:szCs w:val="28"/>
    </w:rPr>
  </w:style>
  <w:style w:type="paragraph" w:customStyle="1" w:styleId="304">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305">
    <w:name w:val="标题1"/>
    <w:basedOn w:val="2"/>
    <w:qFormat/>
    <w:uiPriority w:val="0"/>
    <w:pPr>
      <w:tabs>
        <w:tab w:val="left" w:pos="450"/>
        <w:tab w:val="left" w:pos="709"/>
        <w:tab w:val="left" w:pos="907"/>
        <w:tab w:val="clear" w:pos="1440"/>
      </w:tabs>
      <w:adjustRightInd w:val="0"/>
      <w:spacing w:before="120" w:after="0" w:line="360" w:lineRule="auto"/>
      <w:ind w:left="450" w:hanging="450"/>
      <w:textAlignment w:val="baseline"/>
    </w:pPr>
    <w:rPr>
      <w:rFonts w:ascii="宋体" w:hAnsi="宋体"/>
      <w:bCs w:val="0"/>
      <w:sz w:val="28"/>
      <w:szCs w:val="20"/>
    </w:rPr>
  </w:style>
  <w:style w:type="paragraph" w:customStyle="1" w:styleId="306">
    <w:name w:val="应答文本"/>
    <w:basedOn w:val="1"/>
    <w:qFormat/>
    <w:uiPriority w:val="0"/>
    <w:pPr>
      <w:adjustRightInd w:val="0"/>
      <w:spacing w:afterLines="50" w:line="320" w:lineRule="exact"/>
      <w:ind w:left="480" w:leftChars="200" w:firstLine="460" w:firstLineChars="200"/>
      <w:jc w:val="left"/>
    </w:pPr>
    <w:rPr>
      <w:rFonts w:ascii="Arial" w:hAnsi="Arial" w:eastAsia="楷体_GB2312" w:cs="宋体"/>
      <w:color w:val="7030A0"/>
      <w:spacing w:val="10"/>
      <w:kern w:val="0"/>
      <w:szCs w:val="20"/>
    </w:rPr>
  </w:style>
  <w:style w:type="paragraph" w:customStyle="1" w:styleId="307">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308">
    <w:name w:val="xl48"/>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09">
    <w:name w:val="顺序编号-zlb"/>
    <w:basedOn w:val="310"/>
    <w:qFormat/>
    <w:uiPriority w:val="0"/>
    <w:pPr>
      <w:tabs>
        <w:tab w:val="left" w:pos="0"/>
      </w:tabs>
      <w:ind w:firstLine="425"/>
      <w:outlineLvl w:val="8"/>
    </w:pPr>
  </w:style>
  <w:style w:type="paragraph" w:customStyle="1" w:styleId="310">
    <w:name w:val="级别4"/>
    <w:basedOn w:val="228"/>
    <w:qFormat/>
    <w:uiPriority w:val="0"/>
    <w:pPr>
      <w:outlineLvl w:val="3"/>
    </w:pPr>
    <w:rPr>
      <w:b w:val="0"/>
      <w:kern w:val="0"/>
    </w:rPr>
  </w:style>
  <w:style w:type="paragraph" w:customStyle="1" w:styleId="311">
    <w:name w:val="二级标题格式"/>
    <w:basedOn w:val="3"/>
    <w:qFormat/>
    <w:uiPriority w:val="0"/>
    <w:pPr>
      <w:spacing w:before="0" w:afterLines="100" w:line="240" w:lineRule="auto"/>
      <w:jc w:val="left"/>
    </w:pPr>
    <w:rPr>
      <w:rFonts w:ascii="Times New Roman" w:hAnsi="Times New Roman"/>
      <w:b w:val="0"/>
      <w:color w:val="C00000"/>
      <w:sz w:val="28"/>
      <w:szCs w:val="28"/>
    </w:rPr>
  </w:style>
  <w:style w:type="paragraph" w:customStyle="1" w:styleId="312">
    <w:name w:val="llp2"/>
    <w:basedOn w:val="1"/>
    <w:qFormat/>
    <w:uiPriority w:val="0"/>
    <w:pPr>
      <w:spacing w:beforeLines="100" w:afterLines="100" w:line="240" w:lineRule="atLeast"/>
      <w:ind w:firstLine="200" w:firstLineChars="200"/>
      <w:jc w:val="left"/>
      <w:outlineLvl w:val="1"/>
    </w:pPr>
    <w:rPr>
      <w:rFonts w:eastAsia="黑体"/>
      <w:color w:val="7030A0"/>
      <w:sz w:val="32"/>
      <w:szCs w:val="32"/>
    </w:rPr>
  </w:style>
  <w:style w:type="paragraph" w:customStyle="1" w:styleId="313">
    <w:name w:val="样式 宋体 小四 左 图案: 清除 (白色) 行距: 1.5 倍行距"/>
    <w:basedOn w:val="1"/>
    <w:qFormat/>
    <w:uiPriority w:val="0"/>
    <w:pPr>
      <w:tabs>
        <w:tab w:val="left" w:pos="840"/>
      </w:tabs>
      <w:spacing w:beforeLines="50" w:afterLines="50"/>
      <w:ind w:firstLine="200" w:firstLineChars="200"/>
      <w:jc w:val="left"/>
    </w:pPr>
    <w:rPr>
      <w:rFonts w:ascii="宋体" w:hAnsi="宋体"/>
      <w:color w:val="7030A0"/>
      <w:sz w:val="24"/>
      <w:szCs w:val="20"/>
      <w:shd w:val="clear" w:color="auto" w:fill="FFFFFF"/>
    </w:rPr>
  </w:style>
  <w:style w:type="paragraph" w:customStyle="1" w:styleId="314">
    <w:name w:val="样式 样式 首行缩进:  2 字符 + 首行缩进:  2 字符"/>
    <w:basedOn w:val="1"/>
    <w:qFormat/>
    <w:uiPriority w:val="0"/>
    <w:pPr>
      <w:spacing w:line="360" w:lineRule="auto"/>
      <w:ind w:firstLine="200" w:firstLineChars="200"/>
      <w:jc w:val="left"/>
    </w:pPr>
    <w:rPr>
      <w:rFonts w:cs="宋体"/>
      <w:color w:val="7030A0"/>
      <w:szCs w:val="20"/>
    </w:rPr>
  </w:style>
  <w:style w:type="paragraph" w:customStyle="1" w:styleId="31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316">
    <w:name w:val="专用"/>
    <w:basedOn w:val="1"/>
    <w:qFormat/>
    <w:uiPriority w:val="0"/>
    <w:pPr>
      <w:spacing w:afterLines="100"/>
      <w:ind w:left="838" w:hanging="838" w:hangingChars="262"/>
    </w:pPr>
    <w:rPr>
      <w:rFonts w:ascii="宋体"/>
      <w:b/>
      <w:color w:val="000000"/>
      <w:sz w:val="32"/>
      <w:szCs w:val="20"/>
    </w:rPr>
  </w:style>
  <w:style w:type="paragraph" w:customStyle="1" w:styleId="317">
    <w:name w:val="Char1 Char Char Char"/>
    <w:basedOn w:val="1"/>
    <w:qFormat/>
    <w:uiPriority w:val="0"/>
  </w:style>
  <w:style w:type="paragraph" w:customStyle="1" w:styleId="31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19">
    <w:name w:val="xl72"/>
    <w:basedOn w:val="1"/>
    <w:next w:val="3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20">
    <w:name w:val="标准"/>
    <w:basedOn w:val="1"/>
    <w:qFormat/>
    <w:uiPriority w:val="0"/>
    <w:pPr>
      <w:adjustRightInd w:val="0"/>
      <w:spacing w:line="312" w:lineRule="atLeast"/>
      <w:jc w:val="center"/>
      <w:textAlignment w:val="baseline"/>
    </w:pPr>
    <w:rPr>
      <w:kern w:val="24"/>
      <w:sz w:val="24"/>
    </w:rPr>
  </w:style>
  <w:style w:type="paragraph" w:customStyle="1" w:styleId="32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322">
    <w:name w:val="样式 列表框 Char Char Char Char Char + 右侧:  -0.05 字符 段后: 0.5 行"/>
    <w:basedOn w:val="323"/>
    <w:qFormat/>
    <w:uiPriority w:val="0"/>
    <w:pPr>
      <w:tabs>
        <w:tab w:val="left" w:pos="375"/>
        <w:tab w:val="left" w:pos="450"/>
        <w:tab w:val="left" w:pos="874"/>
      </w:tabs>
      <w:ind w:left="0" w:firstLine="0"/>
    </w:pPr>
    <w:rPr>
      <w:szCs w:val="20"/>
    </w:rPr>
  </w:style>
  <w:style w:type="paragraph" w:customStyle="1" w:styleId="323">
    <w:name w:val="列表框 Char Char Char Char Char"/>
    <w:basedOn w:val="290"/>
    <w:next w:val="290"/>
    <w:qFormat/>
    <w:uiPriority w:val="0"/>
    <w:pPr>
      <w:tabs>
        <w:tab w:val="left" w:pos="450"/>
        <w:tab w:val="left" w:pos="874"/>
      </w:tabs>
      <w:adjustRightInd w:val="0"/>
      <w:snapToGrid w:val="0"/>
      <w:ind w:left="874" w:leftChars="0" w:right="-5" w:rightChars="-5" w:hanging="420" w:firstLineChars="0"/>
    </w:pPr>
    <w:rPr>
      <w:rFonts w:ascii="Times New Roman" w:hAnsi="Times New Roman"/>
      <w:szCs w:val="21"/>
    </w:rPr>
  </w:style>
  <w:style w:type="paragraph" w:customStyle="1" w:styleId="324">
    <w:name w:val="表格正文"/>
    <w:basedOn w:val="1"/>
    <w:next w:val="1"/>
    <w:qFormat/>
    <w:uiPriority w:val="0"/>
    <w:pPr>
      <w:adjustRightInd w:val="0"/>
      <w:snapToGrid w:val="0"/>
      <w:jc w:val="center"/>
    </w:pPr>
    <w:rPr>
      <w:color w:val="548DD4"/>
    </w:rPr>
  </w:style>
  <w:style w:type="paragraph" w:customStyle="1" w:styleId="325">
    <w:name w:val="xl59"/>
    <w:basedOn w:val="1"/>
    <w:qFormat/>
    <w:uiPriority w:val="0"/>
    <w:pPr>
      <w:widowControl/>
      <w:pBdr>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6">
    <w:name w:val="样式 标题2 1.1 + 段前: 0 磅 段后: 0 磅"/>
    <w:basedOn w:val="1"/>
    <w:qFormat/>
    <w:uiPriority w:val="0"/>
    <w:pPr>
      <w:keepNext/>
      <w:tabs>
        <w:tab w:val="left" w:pos="567"/>
      </w:tabs>
      <w:spacing w:line="480" w:lineRule="atLeast"/>
      <w:ind w:left="567" w:hanging="567" w:firstLineChars="200"/>
      <w:jc w:val="left"/>
      <w:outlineLvl w:val="1"/>
    </w:pPr>
    <w:rPr>
      <w:color w:val="7030A0"/>
      <w:sz w:val="28"/>
      <w:szCs w:val="20"/>
    </w:rPr>
  </w:style>
  <w:style w:type="paragraph" w:customStyle="1" w:styleId="327">
    <w:name w:val="列表编号 31"/>
    <w:basedOn w:val="1"/>
    <w:qFormat/>
    <w:uiPriority w:val="0"/>
    <w:pPr>
      <w:tabs>
        <w:tab w:val="left" w:pos="1200"/>
      </w:tabs>
      <w:spacing w:line="360" w:lineRule="auto"/>
      <w:ind w:left="1200" w:hanging="360"/>
      <w:jc w:val="left"/>
    </w:pPr>
    <w:rPr>
      <w:rFonts w:ascii="宋体" w:hAnsi="宋体"/>
      <w:color w:val="7030A0"/>
      <w:sz w:val="24"/>
      <w:szCs w:val="20"/>
    </w:rPr>
  </w:style>
  <w:style w:type="paragraph" w:customStyle="1" w:styleId="328">
    <w:name w:val="重点"/>
    <w:basedOn w:val="1"/>
    <w:qFormat/>
    <w:uiPriority w:val="0"/>
    <w:pPr>
      <w:tabs>
        <w:tab w:val="left" w:pos="0"/>
        <w:tab w:val="left" w:pos="814"/>
      </w:tabs>
      <w:adjustRightInd w:val="0"/>
      <w:snapToGrid w:val="0"/>
      <w:spacing w:line="560" w:lineRule="atLeast"/>
      <w:ind w:left="737" w:hanging="283" w:firstLineChars="200"/>
      <w:jc w:val="left"/>
    </w:pPr>
    <w:rPr>
      <w:color w:val="7030A0"/>
      <w:kern w:val="24"/>
      <w:sz w:val="30"/>
      <w:szCs w:val="20"/>
    </w:rPr>
  </w:style>
  <w:style w:type="paragraph" w:customStyle="1" w:styleId="329">
    <w:name w:val="五级"/>
    <w:basedOn w:val="3"/>
    <w:qFormat/>
    <w:uiPriority w:val="0"/>
    <w:pPr>
      <w:tabs>
        <w:tab w:val="left" w:pos="851"/>
      </w:tabs>
      <w:spacing w:before="0" w:after="0" w:line="360" w:lineRule="auto"/>
      <w:ind w:left="851" w:hanging="851"/>
      <w:jc w:val="left"/>
    </w:pPr>
    <w:rPr>
      <w:rFonts w:ascii="宋体" w:hAnsi="宋体" w:eastAsia="宋体"/>
      <w:b w:val="0"/>
      <w:color w:val="C00000"/>
      <w:sz w:val="24"/>
    </w:rPr>
  </w:style>
  <w:style w:type="paragraph" w:customStyle="1" w:styleId="330">
    <w:name w:val="样式 左侧:  2 字符 段前: 0.5 行"/>
    <w:basedOn w:val="1"/>
    <w:qFormat/>
    <w:uiPriority w:val="0"/>
    <w:pPr>
      <w:spacing w:beforeLines="50"/>
      <w:ind w:firstLine="200" w:firstLineChars="200"/>
    </w:pPr>
    <w:rPr>
      <w:rFonts w:ascii="宋体" w:cs="宋体"/>
      <w:sz w:val="24"/>
      <w:szCs w:val="20"/>
    </w:rPr>
  </w:style>
  <w:style w:type="paragraph" w:customStyle="1" w:styleId="331">
    <w:name w:val="xl56"/>
    <w:basedOn w:val="1"/>
    <w:qFormat/>
    <w:uiPriority w:val="0"/>
    <w:pPr>
      <w:widowControl/>
      <w:pBdr>
        <w:top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32">
    <w:name w:val="Char Char Char Char Char"/>
    <w:basedOn w:val="1"/>
    <w:qFormat/>
    <w:uiPriority w:val="0"/>
    <w:pPr>
      <w:ind w:firstLine="200" w:firstLineChars="200"/>
      <w:jc w:val="left"/>
    </w:pPr>
    <w:rPr>
      <w:rFonts w:ascii="Tahoma" w:hAnsi="Tahoma"/>
      <w:color w:val="7030A0"/>
      <w:sz w:val="24"/>
      <w:szCs w:val="20"/>
    </w:rPr>
  </w:style>
  <w:style w:type="paragraph" w:customStyle="1" w:styleId="333">
    <w:name w:val="默认段落字体 Para Char Char Char Char"/>
    <w:basedOn w:val="1"/>
    <w:qFormat/>
    <w:uiPriority w:val="0"/>
    <w:rPr>
      <w:szCs w:val="20"/>
    </w:rPr>
  </w:style>
  <w:style w:type="paragraph" w:customStyle="1" w:styleId="334">
    <w:name w:val="StandardOhneEinzug"/>
    <w:basedOn w:val="1"/>
    <w:qFormat/>
    <w:uiPriority w:val="0"/>
    <w:pPr>
      <w:widowControl/>
      <w:tabs>
        <w:tab w:val="left" w:pos="560"/>
      </w:tabs>
      <w:spacing w:after="240" w:line="288" w:lineRule="auto"/>
      <w:ind w:left="200" w:firstLine="200" w:firstLineChars="200"/>
      <w:jc w:val="left"/>
    </w:pPr>
    <w:rPr>
      <w:rFonts w:ascii="Arial" w:hAnsi="Arial"/>
      <w:color w:val="7030A0"/>
      <w:kern w:val="0"/>
      <w:sz w:val="22"/>
      <w:szCs w:val="20"/>
    </w:rPr>
  </w:style>
  <w:style w:type="paragraph" w:customStyle="1" w:styleId="335">
    <w:name w:val="索引 11"/>
    <w:basedOn w:val="1"/>
    <w:next w:val="1"/>
    <w:qFormat/>
    <w:uiPriority w:val="0"/>
    <w:pPr>
      <w:spacing w:line="360" w:lineRule="auto"/>
      <w:ind w:left="1149" w:leftChars="547"/>
    </w:pPr>
    <w:rPr>
      <w:szCs w:val="20"/>
    </w:rPr>
  </w:style>
  <w:style w:type="paragraph" w:customStyle="1" w:styleId="336">
    <w:name w:val="索引 31"/>
    <w:basedOn w:val="1"/>
    <w:next w:val="1"/>
    <w:qFormat/>
    <w:uiPriority w:val="0"/>
    <w:pPr>
      <w:spacing w:line="480" w:lineRule="exact"/>
      <w:ind w:left="400" w:leftChars="400" w:firstLine="200" w:firstLineChars="200"/>
      <w:jc w:val="left"/>
    </w:pPr>
    <w:rPr>
      <w:color w:val="7030A0"/>
      <w:sz w:val="24"/>
    </w:rPr>
  </w:style>
  <w:style w:type="paragraph" w:customStyle="1" w:styleId="337">
    <w:name w:val="xl40"/>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338">
    <w:name w:val="Sprechblasentext"/>
    <w:basedOn w:val="1"/>
    <w:qFormat/>
    <w:uiPriority w:val="0"/>
    <w:pPr>
      <w:spacing w:line="300" w:lineRule="atLeast"/>
      <w:ind w:firstLine="709"/>
    </w:pPr>
    <w:rPr>
      <w:rFonts w:ascii="Tahoma" w:hAnsi="Tahoma" w:cs="Tahoma"/>
      <w:sz w:val="16"/>
      <w:szCs w:val="16"/>
    </w:rPr>
  </w:style>
  <w:style w:type="paragraph" w:customStyle="1" w:styleId="339">
    <w:name w:val="表格文字"/>
    <w:basedOn w:val="118"/>
    <w:qFormat/>
    <w:uiPriority w:val="0"/>
  </w:style>
  <w:style w:type="paragraph" w:customStyle="1" w:styleId="340">
    <w:name w:val="font5"/>
    <w:basedOn w:val="1"/>
    <w:qFormat/>
    <w:uiPriority w:val="0"/>
    <w:pPr>
      <w:widowControl/>
      <w:spacing w:before="100" w:beforeAutospacing="1" w:after="100" w:afterAutospacing="1"/>
      <w:jc w:val="left"/>
    </w:pPr>
    <w:rPr>
      <w:b/>
      <w:bCs/>
      <w:kern w:val="0"/>
      <w:sz w:val="22"/>
      <w:szCs w:val="22"/>
    </w:rPr>
  </w:style>
  <w:style w:type="paragraph" w:customStyle="1" w:styleId="341">
    <w:name w:val="註解方塊文字2"/>
    <w:basedOn w:val="1"/>
    <w:qFormat/>
    <w:uiPriority w:val="0"/>
    <w:rPr>
      <w:rFonts w:ascii="Arial" w:hAnsi="Arial" w:eastAsia="PMingLiU"/>
      <w:color w:val="7030A0"/>
      <w:sz w:val="18"/>
      <w:szCs w:val="18"/>
    </w:rPr>
  </w:style>
  <w:style w:type="paragraph" w:customStyle="1" w:styleId="342">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3">
    <w:name w:val="索引 21"/>
    <w:basedOn w:val="1"/>
    <w:next w:val="1"/>
    <w:qFormat/>
    <w:uiPriority w:val="0"/>
    <w:pPr>
      <w:spacing w:line="480" w:lineRule="exact"/>
      <w:ind w:left="200" w:leftChars="200" w:firstLine="200" w:firstLineChars="200"/>
      <w:jc w:val="left"/>
    </w:pPr>
    <w:rPr>
      <w:color w:val="7030A0"/>
      <w:sz w:val="24"/>
    </w:rPr>
  </w:style>
  <w:style w:type="paragraph" w:customStyle="1" w:styleId="34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5">
    <w:name w:val="A-12"/>
    <w:basedOn w:val="1"/>
    <w:qFormat/>
    <w:uiPriority w:val="0"/>
    <w:pPr>
      <w:widowControl/>
      <w:ind w:firstLine="200" w:firstLineChars="200"/>
      <w:jc w:val="left"/>
    </w:pPr>
    <w:rPr>
      <w:rFonts w:ascii="Arial" w:hAnsi="Arial"/>
      <w:color w:val="7030A0"/>
      <w:kern w:val="0"/>
      <w:sz w:val="24"/>
      <w:szCs w:val="20"/>
    </w:rPr>
  </w:style>
  <w:style w:type="paragraph" w:customStyle="1" w:styleId="346">
    <w:name w:val="招标正文"/>
    <w:basedOn w:val="1"/>
    <w:qFormat/>
    <w:uiPriority w:val="0"/>
    <w:pPr>
      <w:spacing w:line="360" w:lineRule="auto"/>
      <w:ind w:firstLine="480"/>
    </w:pPr>
    <w:rPr>
      <w:rFonts w:ascii="宋体" w:hAnsi="宋体"/>
      <w:sz w:val="24"/>
      <w:szCs w:val="24"/>
    </w:rPr>
  </w:style>
  <w:style w:type="paragraph" w:customStyle="1" w:styleId="347">
    <w:name w:val="Char"/>
    <w:basedOn w:val="1"/>
    <w:qFormat/>
    <w:uiPriority w:val="0"/>
    <w:rPr>
      <w:rFonts w:ascii="仿宋_GB2312" w:eastAsia="仿宋_GB2312"/>
      <w:b/>
      <w:sz w:val="32"/>
      <w:szCs w:val="32"/>
    </w:rPr>
  </w:style>
  <w:style w:type="paragraph" w:customStyle="1" w:styleId="348">
    <w:name w:val="样式 样式 标题 3 + 段前: 1 行 段后: 0.5 行 + 段前: 1 行 段后: 0.5 行"/>
    <w:basedOn w:val="1"/>
    <w:qFormat/>
    <w:uiPriority w:val="0"/>
    <w:pPr>
      <w:keepNext/>
      <w:keepLines/>
      <w:spacing w:beforeLines="100" w:afterLines="50"/>
      <w:ind w:firstLine="200" w:firstLineChars="200"/>
      <w:jc w:val="left"/>
      <w:outlineLvl w:val="2"/>
    </w:pPr>
    <w:rPr>
      <w:rFonts w:eastAsia="黑体" w:cs="宋体"/>
      <w:bCs/>
      <w:color w:val="7030A0"/>
      <w:sz w:val="22"/>
      <w:szCs w:val="22"/>
    </w:rPr>
  </w:style>
  <w:style w:type="paragraph" w:customStyle="1" w:styleId="349">
    <w:name w:val="列表 21"/>
    <w:basedOn w:val="1"/>
    <w:qFormat/>
    <w:uiPriority w:val="0"/>
    <w:pPr>
      <w:widowControl/>
      <w:ind w:left="840" w:hanging="420"/>
      <w:jc w:val="left"/>
    </w:pPr>
    <w:rPr>
      <w:rFonts w:ascii="宋体"/>
      <w:kern w:val="0"/>
      <w:sz w:val="22"/>
      <w:szCs w:val="20"/>
    </w:rPr>
  </w:style>
  <w:style w:type="paragraph" w:customStyle="1" w:styleId="350">
    <w:name w:val="正文文本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351">
    <w:name w:val="xl50"/>
    <w:basedOn w:val="1"/>
    <w:qFormat/>
    <w:uiPriority w:val="0"/>
    <w:pPr>
      <w:widowControl/>
      <w:pBdr>
        <w:top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352">
    <w:name w:val="xl54"/>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53">
    <w:name w:val="纯文本11"/>
    <w:basedOn w:val="1"/>
    <w:qFormat/>
    <w:uiPriority w:val="0"/>
    <w:pPr>
      <w:adjustRightInd w:val="0"/>
      <w:spacing w:line="312" w:lineRule="atLeast"/>
      <w:ind w:firstLine="567" w:firstLineChars="200"/>
      <w:jc w:val="left"/>
      <w:textAlignment w:val="baseline"/>
    </w:pPr>
    <w:rPr>
      <w:rFonts w:ascii="宋体" w:hAnsi="Courier New"/>
      <w:color w:val="7030A0"/>
      <w:kern w:val="0"/>
      <w:sz w:val="28"/>
    </w:rPr>
  </w:style>
  <w:style w:type="paragraph" w:customStyle="1" w:styleId="354">
    <w:name w:val="正文文本3"/>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355">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356">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kern w:val="0"/>
      <w:szCs w:val="21"/>
    </w:rPr>
  </w:style>
  <w:style w:type="paragraph" w:customStyle="1" w:styleId="357">
    <w:name w:val="索引 81"/>
    <w:basedOn w:val="1"/>
    <w:next w:val="1"/>
    <w:qFormat/>
    <w:uiPriority w:val="0"/>
    <w:pPr>
      <w:spacing w:line="480" w:lineRule="exact"/>
      <w:ind w:left="1400" w:leftChars="1400" w:firstLine="200" w:firstLineChars="200"/>
      <w:jc w:val="left"/>
    </w:pPr>
    <w:rPr>
      <w:color w:val="7030A0"/>
      <w:sz w:val="24"/>
    </w:rPr>
  </w:style>
  <w:style w:type="paragraph" w:customStyle="1" w:styleId="358">
    <w:name w:val="Plain Text1"/>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59">
    <w:name w:val="通用"/>
    <w:basedOn w:val="1"/>
    <w:qFormat/>
    <w:uiPriority w:val="0"/>
    <w:pPr>
      <w:spacing w:line="360" w:lineRule="auto"/>
      <w:ind w:left="840" w:leftChars="400"/>
    </w:pPr>
    <w:rPr>
      <w:rFonts w:ascii="宋体" w:hAnsi="宋体"/>
      <w:szCs w:val="20"/>
    </w:rPr>
  </w:style>
  <w:style w:type="paragraph" w:customStyle="1" w:styleId="360">
    <w:name w:val="Report Heading"/>
    <w:basedOn w:val="1"/>
    <w:next w:val="1"/>
    <w:qFormat/>
    <w:uiPriority w:val="0"/>
    <w:pPr>
      <w:keepNext/>
      <w:widowControl/>
      <w:spacing w:before="120" w:after="138"/>
      <w:ind w:left="1080" w:firstLine="200" w:firstLineChars="200"/>
      <w:jc w:val="left"/>
    </w:pPr>
    <w:rPr>
      <w:rFonts w:ascii="Arial" w:hAnsi="Arial"/>
      <w:b/>
      <w:color w:val="7030A0"/>
      <w:kern w:val="0"/>
      <w:sz w:val="22"/>
      <w:szCs w:val="20"/>
    </w:rPr>
  </w:style>
  <w:style w:type="paragraph" w:customStyle="1" w:styleId="361">
    <w:name w:val="标题4"/>
    <w:basedOn w:val="1"/>
    <w:next w:val="1"/>
    <w:qFormat/>
    <w:uiPriority w:val="0"/>
    <w:pPr>
      <w:keepNext/>
      <w:spacing w:line="360" w:lineRule="auto"/>
      <w:ind w:firstLine="200" w:firstLineChars="200"/>
      <w:jc w:val="left"/>
      <w:outlineLvl w:val="3"/>
    </w:pPr>
    <w:rPr>
      <w:b/>
      <w:kern w:val="0"/>
      <w:sz w:val="30"/>
    </w:rPr>
  </w:style>
  <w:style w:type="paragraph" w:customStyle="1" w:styleId="362">
    <w:name w:val="合同书"/>
    <w:basedOn w:val="1"/>
    <w:qFormat/>
    <w:uiPriority w:val="0"/>
    <w:pPr>
      <w:spacing w:afterLines="100"/>
      <w:jc w:val="center"/>
    </w:pPr>
    <w:rPr>
      <w:rFonts w:hAnsi="宋体"/>
      <w:b/>
      <w:color w:val="000000"/>
      <w:sz w:val="44"/>
      <w:szCs w:val="44"/>
    </w:rPr>
  </w:style>
  <w:style w:type="paragraph" w:customStyle="1" w:styleId="363">
    <w:name w:val="xl47"/>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64">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pPr>
    <w:rPr>
      <w:rFonts w:eastAsia="Arial Unicode MS"/>
      <w:color w:val="7030A0"/>
      <w:kern w:val="0"/>
      <w:szCs w:val="20"/>
    </w:rPr>
  </w:style>
  <w:style w:type="paragraph" w:customStyle="1" w:styleId="365">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366">
    <w:name w:val="正文文本缩进 311"/>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367">
    <w:name w:val="正文文本 22"/>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368">
    <w:name w:val="招标文件1）"/>
    <w:qFormat/>
    <w:uiPriority w:val="0"/>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369">
    <w:name w:val="级别5"/>
    <w:basedOn w:val="310"/>
    <w:qFormat/>
    <w:uiPriority w:val="0"/>
    <w:pPr>
      <w:outlineLvl w:val="4"/>
    </w:pPr>
  </w:style>
  <w:style w:type="paragraph" w:customStyle="1" w:styleId="37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71">
    <w:name w:val="xiao b"/>
    <w:basedOn w:val="1"/>
    <w:qFormat/>
    <w:uiPriority w:val="0"/>
    <w:pPr>
      <w:ind w:firstLine="200" w:firstLineChars="200"/>
      <w:jc w:val="center"/>
    </w:pPr>
    <w:rPr>
      <w:rFonts w:eastAsia="黑体"/>
      <w:color w:val="7030A0"/>
      <w:sz w:val="24"/>
      <w:szCs w:val="20"/>
    </w:rPr>
  </w:style>
  <w:style w:type="paragraph" w:customStyle="1" w:styleId="372">
    <w:name w:val="文档结构图2"/>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37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374">
    <w:name w:val="列表编号 51"/>
    <w:basedOn w:val="1"/>
    <w:qFormat/>
    <w:uiPriority w:val="0"/>
    <w:pPr>
      <w:tabs>
        <w:tab w:val="left" w:pos="2040"/>
      </w:tabs>
      <w:spacing w:line="360" w:lineRule="auto"/>
      <w:ind w:left="2040" w:hanging="360"/>
      <w:jc w:val="left"/>
    </w:pPr>
    <w:rPr>
      <w:rFonts w:ascii="宋体" w:hAnsi="宋体"/>
      <w:color w:val="7030A0"/>
      <w:sz w:val="24"/>
      <w:szCs w:val="20"/>
    </w:rPr>
  </w:style>
  <w:style w:type="paragraph" w:customStyle="1" w:styleId="375">
    <w:name w:val="样式 目录 1 + 首行缩进:  2 字符"/>
    <w:basedOn w:val="1"/>
    <w:qFormat/>
    <w:uiPriority w:val="0"/>
    <w:pPr>
      <w:adjustRightInd w:val="0"/>
      <w:snapToGrid w:val="0"/>
      <w:spacing w:line="360" w:lineRule="auto"/>
      <w:ind w:firstLine="200" w:firstLineChars="200"/>
      <w:jc w:val="center"/>
    </w:pPr>
    <w:rPr>
      <w:rFonts w:cs="宋体"/>
      <w:b/>
      <w:bCs/>
      <w:caps/>
      <w:color w:val="7030A0"/>
      <w:sz w:val="30"/>
      <w:szCs w:val="28"/>
    </w:rPr>
  </w:style>
  <w:style w:type="paragraph" w:customStyle="1" w:styleId="376">
    <w:name w:val="样式 样式 列表框 Char Char Char Char Char + 右侧:  -0.05 字符 段后: 0.5 行 + 右..."/>
    <w:basedOn w:val="322"/>
    <w:qFormat/>
    <w:uiPriority w:val="0"/>
    <w:pPr>
      <w:tabs>
        <w:tab w:val="left" w:pos="630"/>
      </w:tabs>
    </w:pPr>
  </w:style>
  <w:style w:type="paragraph" w:customStyle="1" w:styleId="377">
    <w:name w:val="正文文本缩进 211"/>
    <w:basedOn w:val="1"/>
    <w:qFormat/>
    <w:uiPriority w:val="0"/>
    <w:pPr>
      <w:autoSpaceDE w:val="0"/>
      <w:autoSpaceDN w:val="0"/>
      <w:adjustRightInd w:val="0"/>
      <w:spacing w:line="360" w:lineRule="auto"/>
      <w:ind w:firstLine="360" w:firstLineChars="200"/>
      <w:jc w:val="left"/>
      <w:textAlignment w:val="baseline"/>
    </w:pPr>
    <w:rPr>
      <w:rFonts w:ascii="宋体"/>
      <w:color w:val="7030A0"/>
      <w:sz w:val="24"/>
      <w:szCs w:val="20"/>
    </w:rPr>
  </w:style>
  <w:style w:type="paragraph" w:customStyle="1" w:styleId="378">
    <w:name w:val="xl49"/>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379">
    <w:name w:val="样式 标题 2 + Times New Roman 四号 非加粗 段前: 5 磅 段后: 0 磅 行距: 固定值 20..."/>
    <w:basedOn w:val="3"/>
    <w:qFormat/>
    <w:uiPriority w:val="0"/>
    <w:pPr>
      <w:spacing w:before="100" w:line="400" w:lineRule="exact"/>
      <w:ind w:firstLine="200" w:firstLineChars="200"/>
    </w:pPr>
    <w:rPr>
      <w:rFonts w:ascii="Times New Roman" w:hAnsi="Times New Roman" w:cs="宋体"/>
      <w:b w:val="0"/>
      <w:sz w:val="28"/>
      <w:szCs w:val="20"/>
    </w:rPr>
  </w:style>
  <w:style w:type="paragraph" w:customStyle="1" w:styleId="380">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381">
    <w:name w:val="xl51"/>
    <w:basedOn w:val="1"/>
    <w:qFormat/>
    <w:uiPriority w:val="0"/>
    <w:pPr>
      <w:widowControl/>
      <w:pBdr>
        <w:top w:val="single" w:color="auto" w:sz="4" w:space="0"/>
        <w:bottom w:val="single" w:color="auto" w:sz="4" w:space="0"/>
        <w:right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38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83">
    <w:name w:val="七级标题格式"/>
    <w:basedOn w:val="1"/>
    <w:qFormat/>
    <w:uiPriority w:val="0"/>
    <w:pPr>
      <w:spacing w:afterLines="50" w:line="336" w:lineRule="auto"/>
      <w:ind w:firstLine="200" w:firstLineChars="200"/>
      <w:jc w:val="left"/>
      <w:outlineLvl w:val="6"/>
    </w:pPr>
    <w:rPr>
      <w:color w:val="7030A0"/>
      <w:sz w:val="24"/>
    </w:rPr>
  </w:style>
  <w:style w:type="paragraph" w:customStyle="1" w:styleId="384">
    <w:name w:val="No Spacing"/>
    <w:qFormat/>
    <w:uiPriority w:val="1"/>
    <w:pPr>
      <w:widowControl w:val="0"/>
      <w:spacing w:line="400" w:lineRule="exact"/>
      <w:jc w:val="both"/>
    </w:pPr>
    <w:rPr>
      <w:rFonts w:ascii="Times New Roman" w:hAnsi="Times New Roman" w:eastAsia="宋体" w:cs="Times New Roman"/>
      <w:kern w:val="2"/>
      <w:sz w:val="24"/>
      <w:lang w:val="en-US" w:eastAsia="zh-CN" w:bidi="ar-SA"/>
    </w:rPr>
  </w:style>
  <w:style w:type="paragraph" w:customStyle="1" w:styleId="385">
    <w:name w:val="索引 61"/>
    <w:basedOn w:val="1"/>
    <w:next w:val="1"/>
    <w:qFormat/>
    <w:uiPriority w:val="0"/>
    <w:pPr>
      <w:spacing w:line="480" w:lineRule="exact"/>
      <w:ind w:left="1000" w:leftChars="1000" w:firstLine="200" w:firstLineChars="200"/>
      <w:jc w:val="left"/>
    </w:pPr>
    <w:rPr>
      <w:color w:val="7030A0"/>
      <w:sz w:val="24"/>
    </w:rPr>
  </w:style>
  <w:style w:type="paragraph" w:customStyle="1" w:styleId="386">
    <w:name w:val="样式 标题 4 + 段前: 自动"/>
    <w:basedOn w:val="5"/>
    <w:qFormat/>
    <w:uiPriority w:val="0"/>
    <w:pPr>
      <w:tabs>
        <w:tab w:val="left" w:pos="1062"/>
      </w:tabs>
      <w:spacing w:beforeLines="50" w:after="0" w:line="400" w:lineRule="exact"/>
      <w:ind w:left="1062" w:hanging="864"/>
    </w:pPr>
    <w:rPr>
      <w:rFonts w:ascii="宋体" w:hAnsi="Arial" w:cs="宋体"/>
      <w:sz w:val="24"/>
      <w:szCs w:val="24"/>
    </w:rPr>
  </w:style>
  <w:style w:type="paragraph" w:customStyle="1" w:styleId="38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88">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389">
    <w:name w:val="标书正文1"/>
    <w:basedOn w:val="1"/>
    <w:qFormat/>
    <w:uiPriority w:val="0"/>
    <w:pPr>
      <w:tabs>
        <w:tab w:val="left" w:pos="1438"/>
      </w:tabs>
      <w:spacing w:before="100" w:after="100" w:line="360" w:lineRule="auto"/>
      <w:ind w:left="1438" w:hanging="720"/>
    </w:pPr>
    <w:rPr>
      <w:rFonts w:ascii="宋体" w:hAnsi="宋体"/>
    </w:rPr>
  </w:style>
  <w:style w:type="paragraph" w:customStyle="1" w:styleId="390">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391">
    <w:name w:val="索引标题1"/>
    <w:basedOn w:val="1"/>
    <w:next w:val="335"/>
    <w:qFormat/>
    <w:uiPriority w:val="0"/>
  </w:style>
  <w:style w:type="paragraph" w:customStyle="1" w:styleId="392">
    <w:name w:val="列表框1"/>
    <w:basedOn w:val="306"/>
    <w:next w:val="306"/>
    <w:qFormat/>
    <w:uiPriority w:val="0"/>
    <w:pPr>
      <w:tabs>
        <w:tab w:val="left" w:pos="960"/>
        <w:tab w:val="left" w:pos="1314"/>
      </w:tabs>
      <w:snapToGrid w:val="0"/>
      <w:ind w:left="1328" w:leftChars="397" w:hanging="375" w:hangingChars="163"/>
    </w:pPr>
    <w:rPr>
      <w:rFonts w:cs="Arial"/>
    </w:rPr>
  </w:style>
  <w:style w:type="paragraph" w:customStyle="1" w:styleId="393">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4">
    <w:name w:val="表格"/>
    <w:basedOn w:val="1"/>
    <w:qFormat/>
    <w:uiPriority w:val="0"/>
    <w:pPr>
      <w:widowControl/>
      <w:snapToGrid w:val="0"/>
      <w:spacing w:before="60" w:after="60"/>
      <w:jc w:val="left"/>
    </w:pPr>
    <w:rPr>
      <w:rFonts w:ascii="宋体"/>
      <w:sz w:val="20"/>
      <w:szCs w:val="20"/>
    </w:rPr>
  </w:style>
  <w:style w:type="paragraph" w:customStyle="1" w:styleId="395">
    <w:name w:val="*正文"/>
    <w:basedOn w:val="1"/>
    <w:next w:val="1"/>
    <w:qFormat/>
    <w:uiPriority w:val="0"/>
    <w:pPr>
      <w:widowControl/>
      <w:ind w:firstLine="482"/>
    </w:pPr>
    <w:rPr>
      <w:rFonts w:ascii="微软雅黑" w:hAnsi="微软雅黑" w:eastAsia="微软雅黑"/>
      <w:sz w:val="21"/>
    </w:rPr>
  </w:style>
  <w:style w:type="paragraph" w:customStyle="1" w:styleId="396">
    <w:name w:val="样式 宋体 小四 首行缩进:  0.93 厘米 段前: 11.15 磅 段后: 11.15 磅1 Char"/>
    <w:basedOn w:val="1"/>
    <w:qFormat/>
    <w:uiPriority w:val="0"/>
    <w:pPr>
      <w:adjustRightInd w:val="0"/>
      <w:snapToGrid w:val="0"/>
      <w:ind w:left="200" w:leftChars="200" w:firstLine="200" w:firstLineChars="200"/>
      <w:jc w:val="left"/>
    </w:pPr>
    <w:rPr>
      <w:rFonts w:ascii="宋体"/>
      <w:color w:val="7030A0"/>
      <w:sz w:val="24"/>
      <w:szCs w:val="20"/>
    </w:rPr>
  </w:style>
  <w:style w:type="paragraph" w:customStyle="1" w:styleId="397">
    <w:name w:val="样式 左侧:  2 字符 首行缩进:  0.85 厘米"/>
    <w:basedOn w:val="1"/>
    <w:qFormat/>
    <w:uiPriority w:val="0"/>
    <w:pPr>
      <w:adjustRightInd w:val="0"/>
      <w:snapToGrid w:val="0"/>
      <w:spacing w:line="360" w:lineRule="auto"/>
      <w:ind w:firstLine="425" w:firstLineChars="200"/>
      <w:jc w:val="left"/>
    </w:pPr>
    <w:rPr>
      <w:rFonts w:ascii="宋体" w:hAnsi="宋体" w:cs="宋体"/>
      <w:color w:val="7030A0"/>
      <w:szCs w:val="20"/>
    </w:rPr>
  </w:style>
  <w:style w:type="paragraph" w:customStyle="1" w:styleId="398">
    <w:name w:val="图文"/>
    <w:basedOn w:val="1"/>
    <w:qFormat/>
    <w:uiPriority w:val="0"/>
    <w:pPr>
      <w:adjustRightInd w:val="0"/>
      <w:snapToGrid w:val="0"/>
      <w:spacing w:after="50" w:line="360" w:lineRule="auto"/>
    </w:pPr>
    <w:rPr>
      <w:sz w:val="24"/>
    </w:rPr>
  </w:style>
  <w:style w:type="paragraph" w:customStyle="1" w:styleId="39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00">
    <w:name w:val="文本块1"/>
    <w:basedOn w:val="1"/>
    <w:qFormat/>
    <w:uiPriority w:val="0"/>
    <w:pPr>
      <w:tabs>
        <w:tab w:val="left" w:pos="8364"/>
      </w:tabs>
      <w:ind w:left="840" w:right="-57" w:hanging="300"/>
    </w:pPr>
    <w:rPr>
      <w:rFonts w:ascii="宋体"/>
      <w:szCs w:val="20"/>
    </w:rPr>
  </w:style>
  <w:style w:type="paragraph" w:customStyle="1" w:styleId="40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402">
    <w:name w:val="Plain Text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403">
    <w:name w:val="Char Char Char Char Char Char Char Char"/>
    <w:basedOn w:val="1"/>
    <w:qFormat/>
    <w:uiPriority w:val="0"/>
    <w:pPr>
      <w:ind w:firstLine="200" w:firstLineChars="200"/>
      <w:jc w:val="left"/>
    </w:pPr>
    <w:rPr>
      <w:rFonts w:ascii="Tahoma" w:hAnsi="Tahoma"/>
      <w:color w:val="7030A0"/>
      <w:sz w:val="24"/>
      <w:szCs w:val="20"/>
    </w:rPr>
  </w:style>
  <w:style w:type="paragraph" w:customStyle="1" w:styleId="404">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405">
    <w:name w:val="xl60"/>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406">
    <w:name w:val="修订1"/>
    <w:qFormat/>
    <w:uiPriority w:val="0"/>
    <w:rPr>
      <w:rFonts w:ascii="Times New Roman" w:hAnsi="Times New Roman" w:eastAsia="宋体" w:cs="Times New Roman"/>
      <w:kern w:val="2"/>
      <w:sz w:val="21"/>
      <w:lang w:val="en-US" w:eastAsia="zh-CN" w:bidi="ar-SA"/>
    </w:rPr>
  </w:style>
  <w:style w:type="paragraph" w:customStyle="1" w:styleId="407">
    <w:name w:val="正文文本缩进 32"/>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408">
    <w:name w:val="小标题一"/>
    <w:basedOn w:val="1"/>
    <w:next w:val="1"/>
    <w:qFormat/>
    <w:uiPriority w:val="0"/>
    <w:pPr>
      <w:tabs>
        <w:tab w:val="left" w:pos="1080"/>
      </w:tabs>
      <w:spacing w:line="500" w:lineRule="exact"/>
      <w:ind w:left="1080" w:hanging="1080"/>
    </w:pPr>
    <w:rPr>
      <w:sz w:val="28"/>
      <w:szCs w:val="20"/>
    </w:rPr>
  </w:style>
  <w:style w:type="paragraph" w:customStyle="1" w:styleId="409">
    <w:name w:val="一"/>
    <w:basedOn w:val="2"/>
    <w:qFormat/>
    <w:uiPriority w:val="0"/>
    <w:pPr>
      <w:autoSpaceDE w:val="0"/>
      <w:autoSpaceDN w:val="0"/>
      <w:adjustRightInd w:val="0"/>
      <w:spacing w:before="0" w:after="0" w:line="360" w:lineRule="auto"/>
      <w:jc w:val="left"/>
    </w:pPr>
    <w:rPr>
      <w:rFonts w:ascii="宋体" w:hAnsi="宋体"/>
      <w:kern w:val="0"/>
      <w:sz w:val="28"/>
      <w:szCs w:val="20"/>
    </w:rPr>
  </w:style>
  <w:style w:type="paragraph" w:customStyle="1" w:styleId="410">
    <w:name w:val="批注框文本1"/>
    <w:basedOn w:val="1"/>
    <w:qFormat/>
    <w:uiPriority w:val="0"/>
    <w:rPr>
      <w:sz w:val="16"/>
      <w:szCs w:val="16"/>
    </w:rPr>
  </w:style>
  <w:style w:type="paragraph" w:customStyle="1" w:styleId="411">
    <w:name w:val="xl58"/>
    <w:basedOn w:val="1"/>
    <w:qFormat/>
    <w:uiPriority w:val="0"/>
    <w:pPr>
      <w:widowControl/>
      <w:pBdr>
        <w:left w:val="single" w:color="auto" w:sz="4" w:space="0"/>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412">
    <w:name w:val="xl87"/>
    <w:basedOn w:val="1"/>
    <w:next w:val="319"/>
    <w:qFormat/>
    <w:uiPriority w:val="0"/>
    <w:pPr>
      <w:widowControl/>
      <w:shd w:val="clear" w:color="FFFFFF" w:fill="FFFFFF"/>
      <w:spacing w:before="280" w:after="280"/>
      <w:jc w:val="right"/>
    </w:pPr>
    <w:rPr>
      <w:rFonts w:ascii="宋体"/>
      <w:kern w:val="0"/>
      <w:sz w:val="24"/>
    </w:rPr>
  </w:style>
  <w:style w:type="paragraph" w:customStyle="1" w:styleId="413">
    <w:name w:val="正文文本 211"/>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41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15">
    <w:name w:val="Char Char10 Char Char Char Char"/>
    <w:basedOn w:val="1"/>
    <w:next w:val="412"/>
    <w:qFormat/>
    <w:uiPriority w:val="0"/>
    <w:rPr>
      <w:rFonts w:ascii="Calibri" w:hAnsi="Calibri"/>
      <w:kern w:val="0"/>
    </w:rPr>
  </w:style>
  <w:style w:type="paragraph" w:customStyle="1" w:styleId="416">
    <w:name w:val="样式 标题 2标题 1.1head:2#2 headlinehheadlineS&amp;R2ERMH2Head 2 +..."/>
    <w:basedOn w:val="3"/>
    <w:qFormat/>
    <w:uiPriority w:val="0"/>
    <w:pPr>
      <w:tabs>
        <w:tab w:val="left" w:pos="907"/>
      </w:tabs>
      <w:autoSpaceDE w:val="0"/>
      <w:autoSpaceDN w:val="0"/>
      <w:adjustRightInd w:val="0"/>
      <w:spacing w:before="120" w:after="120" w:line="360" w:lineRule="auto"/>
      <w:ind w:left="907" w:hanging="907"/>
      <w:jc w:val="center"/>
      <w:textAlignment w:val="baseline"/>
    </w:pPr>
    <w:rPr>
      <w:rFonts w:eastAsia="宋体"/>
      <w:kern w:val="0"/>
      <w:sz w:val="24"/>
      <w:szCs w:val="20"/>
    </w:rPr>
  </w:style>
  <w:style w:type="paragraph" w:customStyle="1" w:styleId="417">
    <w:name w:val="xl24"/>
    <w:basedOn w:val="1"/>
    <w:qFormat/>
    <w:uiPriority w:val="0"/>
    <w:pPr>
      <w:widowControl/>
      <w:spacing w:before="100" w:beforeAutospacing="1" w:after="100" w:afterAutospacing="1"/>
      <w:jc w:val="left"/>
    </w:pPr>
    <w:rPr>
      <w:kern w:val="0"/>
      <w:sz w:val="24"/>
    </w:rPr>
  </w:style>
  <w:style w:type="paragraph" w:customStyle="1" w:styleId="418">
    <w:name w:val="Char Char Char Char"/>
    <w:basedOn w:val="190"/>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419">
    <w:name w:val="font7"/>
    <w:basedOn w:val="1"/>
    <w:qFormat/>
    <w:uiPriority w:val="0"/>
    <w:pPr>
      <w:widowControl/>
      <w:spacing w:before="100" w:beforeAutospacing="1" w:after="100" w:afterAutospacing="1"/>
      <w:jc w:val="left"/>
    </w:pPr>
    <w:rPr>
      <w:rFonts w:ascii="宋体" w:hAnsi="宋体" w:cs="宋体"/>
      <w:kern w:val="0"/>
      <w:szCs w:val="21"/>
    </w:rPr>
  </w:style>
  <w:style w:type="paragraph" w:customStyle="1" w:styleId="420">
    <w:name w:val="五级条标题"/>
    <w:basedOn w:val="253"/>
    <w:next w:val="1"/>
    <w:qFormat/>
    <w:uiPriority w:val="0"/>
    <w:pPr>
      <w:outlineLvl w:val="6"/>
    </w:pPr>
  </w:style>
  <w:style w:type="paragraph" w:customStyle="1" w:styleId="421">
    <w:name w:val="招标文件1.1.1.1"/>
    <w:basedOn w:val="1"/>
    <w:qFormat/>
    <w:uiPriority w:val="0"/>
    <w:pPr>
      <w:spacing w:before="120" w:after="120" w:line="480" w:lineRule="exact"/>
      <w:ind w:left="200" w:firstLine="200" w:firstLineChars="200"/>
      <w:jc w:val="left"/>
      <w:outlineLvl w:val="4"/>
    </w:pPr>
    <w:rPr>
      <w:rFonts w:ascii="宋体"/>
      <w:b/>
      <w:color w:val="7030A0"/>
      <w:spacing w:val="10"/>
      <w:w w:val="95"/>
    </w:rPr>
  </w:style>
  <w:style w:type="paragraph" w:customStyle="1" w:styleId="422">
    <w:name w:val="条文 表"/>
    <w:next w:val="1"/>
    <w:qFormat/>
    <w:uiPriority w:val="0"/>
    <w:pPr>
      <w:jc w:val="center"/>
    </w:pPr>
    <w:rPr>
      <w:rFonts w:ascii="Times New Roman" w:hAnsi="Times New Roman" w:eastAsia="黑体" w:cs="Times New Roman"/>
      <w:sz w:val="21"/>
      <w:lang w:val="en-US" w:eastAsia="zh-CN" w:bidi="ar-SA"/>
    </w:rPr>
  </w:style>
  <w:style w:type="paragraph" w:customStyle="1" w:styleId="423">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424">
    <w:name w:val="样式 标题 3 + (中文) 黑体 小四 非加粗 段前: 7.8 磅 段后: 0 磅 行距: 固定值 20 磅"/>
    <w:basedOn w:val="4"/>
    <w:qFormat/>
    <w:uiPriority w:val="0"/>
    <w:pPr>
      <w:spacing w:line="400" w:lineRule="exact"/>
      <w:ind w:firstLine="200" w:firstLineChars="200"/>
    </w:pPr>
    <w:rPr>
      <w:rFonts w:eastAsia="黑体" w:cs="宋体"/>
      <w:b w:val="0"/>
      <w:szCs w:val="20"/>
    </w:rPr>
  </w:style>
  <w:style w:type="paragraph" w:customStyle="1" w:styleId="425">
    <w:name w:val="级别6"/>
    <w:basedOn w:val="369"/>
    <w:qFormat/>
    <w:uiPriority w:val="0"/>
    <w:pPr>
      <w:tabs>
        <w:tab w:val="left" w:pos="405"/>
      </w:tabs>
      <w:ind w:left="409" w:hanging="23"/>
      <w:outlineLvl w:val="5"/>
    </w:pPr>
  </w:style>
  <w:style w:type="paragraph" w:customStyle="1" w:styleId="426">
    <w:name w:val="样式 标题2 + 字距调整8 磅"/>
    <w:qFormat/>
    <w:uiPriority w:val="0"/>
    <w:rPr>
      <w:rFonts w:ascii="Times New Roman" w:hAnsi="Times New Roman" w:eastAsia="宋体" w:cs="Times New Roman"/>
      <w:kern w:val="16"/>
      <w:lang w:val="en-US" w:eastAsia="zh-CN" w:bidi="ar-SA"/>
    </w:rPr>
  </w:style>
  <w:style w:type="paragraph" w:customStyle="1" w:styleId="427">
    <w:name w:val="章节标题 QD3"/>
    <w:basedOn w:val="187"/>
    <w:next w:val="187"/>
    <w:qFormat/>
    <w:uiPriority w:val="0"/>
    <w:pPr>
      <w:ind w:firstLine="0" w:firstLineChars="0"/>
      <w:jc w:val="center"/>
    </w:pPr>
    <w:rPr>
      <w:rFonts w:eastAsia="黑体"/>
      <w:b/>
      <w:sz w:val="44"/>
      <w:szCs w:val="84"/>
    </w:rPr>
  </w:style>
  <w:style w:type="paragraph" w:customStyle="1" w:styleId="428">
    <w:name w:val="无间隔1"/>
    <w:qFormat/>
    <w:uiPriority w:val="0"/>
    <w:pPr>
      <w:widowControl w:val="0"/>
      <w:ind w:firstLine="200" w:firstLineChars="200"/>
    </w:pPr>
    <w:rPr>
      <w:rFonts w:ascii="Times New Roman" w:hAnsi="Times New Roman" w:eastAsia="宋体" w:cs="Times New Roman"/>
      <w:color w:val="7030A0"/>
      <w:kern w:val="2"/>
      <w:sz w:val="24"/>
      <w:szCs w:val="24"/>
      <w:lang w:val="en-US" w:eastAsia="zh-CN" w:bidi="ar-SA"/>
    </w:rPr>
  </w:style>
  <w:style w:type="paragraph" w:customStyle="1" w:styleId="429">
    <w:name w:val="样式 目录 1"/>
    <w:basedOn w:val="40"/>
    <w:qFormat/>
    <w:uiPriority w:val="0"/>
    <w:pPr>
      <w:tabs>
        <w:tab w:val="left" w:pos="420"/>
        <w:tab w:val="left" w:pos="525"/>
        <w:tab w:val="left" w:pos="1680"/>
        <w:tab w:val="right" w:leader="dot" w:pos="8495"/>
        <w:tab w:val="right" w:pos="9060"/>
        <w:tab w:val="clear" w:pos="8778"/>
      </w:tabs>
      <w:snapToGrid/>
      <w:spacing w:line="240" w:lineRule="auto"/>
      <w:ind w:left="525" w:hanging="425"/>
    </w:pPr>
    <w:rPr>
      <w:bCs w:val="0"/>
      <w:iCs w:val="0"/>
      <w:caps w:val="0"/>
      <w:color w:val="7030A0"/>
      <w:kern w:val="2"/>
      <w:sz w:val="21"/>
      <w:szCs w:val="20"/>
    </w:rPr>
  </w:style>
  <w:style w:type="paragraph" w:customStyle="1" w:styleId="430">
    <w:name w:val="正文文本缩进 22"/>
    <w:basedOn w:val="1"/>
    <w:qFormat/>
    <w:uiPriority w:val="0"/>
    <w:pPr>
      <w:autoSpaceDE w:val="0"/>
      <w:autoSpaceDN w:val="0"/>
      <w:adjustRightInd w:val="0"/>
      <w:ind w:firstLine="420" w:firstLineChars="200"/>
      <w:jc w:val="left"/>
      <w:textAlignment w:val="baseline"/>
    </w:pPr>
    <w:rPr>
      <w:color w:val="7030A0"/>
      <w:szCs w:val="20"/>
    </w:rPr>
  </w:style>
  <w:style w:type="paragraph" w:customStyle="1" w:styleId="431">
    <w:name w:val="表格内文字"/>
    <w:basedOn w:val="1"/>
    <w:qFormat/>
    <w:uiPriority w:val="0"/>
    <w:pPr>
      <w:widowControl/>
      <w:tabs>
        <w:tab w:val="left" w:pos="780"/>
      </w:tabs>
      <w:spacing w:line="360" w:lineRule="auto"/>
      <w:ind w:left="768" w:hanging="360"/>
    </w:pPr>
    <w:rPr>
      <w:sz w:val="18"/>
      <w:szCs w:val="20"/>
    </w:rPr>
  </w:style>
  <w:style w:type="paragraph" w:customStyle="1" w:styleId="43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433">
    <w:name w:val="大标题"/>
    <w:qFormat/>
    <w:uiPriority w:val="0"/>
    <w:pPr>
      <w:tabs>
        <w:tab w:val="left" w:pos="1134"/>
      </w:tabs>
      <w:snapToGrid w:val="0"/>
      <w:spacing w:before="240" w:after="240" w:line="288" w:lineRule="auto"/>
    </w:pPr>
    <w:rPr>
      <w:rFonts w:ascii="黑体" w:hAnsi="Times New Roman" w:eastAsia="黑体" w:cs="Times New Roman"/>
      <w:sz w:val="24"/>
      <w:lang w:val="en-US" w:eastAsia="zh-CN" w:bidi="ar-SA"/>
    </w:rPr>
  </w:style>
  <w:style w:type="paragraph" w:customStyle="1" w:styleId="434">
    <w:name w:val="图表目录1"/>
    <w:basedOn w:val="1"/>
    <w:next w:val="1"/>
    <w:qFormat/>
    <w:uiPriority w:val="0"/>
    <w:pPr>
      <w:spacing w:line="480" w:lineRule="exact"/>
      <w:ind w:left="200" w:leftChars="200" w:hanging="200" w:hangingChars="200"/>
      <w:jc w:val="left"/>
    </w:pPr>
    <w:rPr>
      <w:color w:val="7030A0"/>
      <w:sz w:val="24"/>
    </w:rPr>
  </w:style>
  <w:style w:type="paragraph" w:customStyle="1" w:styleId="435">
    <w:name w:val="xl57"/>
    <w:basedOn w:val="1"/>
    <w:qFormat/>
    <w:uiPriority w:val="0"/>
    <w:pPr>
      <w:widowControl/>
      <w:pBdr>
        <w:top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436">
    <w:name w:val="文档正文"/>
    <w:basedOn w:val="1"/>
    <w:qFormat/>
    <w:uiPriority w:val="0"/>
    <w:pPr>
      <w:spacing w:line="360" w:lineRule="auto"/>
      <w:ind w:firstLine="200" w:firstLineChars="200"/>
    </w:pPr>
    <w:rPr>
      <w:rFonts w:ascii="宋体" w:hAnsi="宋体"/>
      <w:sz w:val="24"/>
    </w:rPr>
  </w:style>
  <w:style w:type="paragraph" w:customStyle="1" w:styleId="437">
    <w:name w:val="Char Char Char Char Char Char Char Char1"/>
    <w:basedOn w:val="1"/>
    <w:qFormat/>
    <w:uiPriority w:val="0"/>
    <w:pPr>
      <w:ind w:firstLine="200" w:firstLineChars="200"/>
      <w:jc w:val="left"/>
    </w:pPr>
    <w:rPr>
      <w:rFonts w:ascii="Tahoma" w:hAnsi="Tahoma"/>
      <w:color w:val="7030A0"/>
      <w:sz w:val="24"/>
      <w:szCs w:val="20"/>
    </w:rPr>
  </w:style>
  <w:style w:type="paragraph" w:customStyle="1" w:styleId="43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439">
    <w:name w:val="招标文件1"/>
    <w:basedOn w:val="1"/>
    <w:qFormat/>
    <w:uiPriority w:val="0"/>
    <w:pPr>
      <w:tabs>
        <w:tab w:val="left" w:pos="420"/>
      </w:tabs>
      <w:spacing w:before="120" w:after="120" w:line="480" w:lineRule="exact"/>
      <w:ind w:left="200" w:firstLine="200" w:firstLineChars="200"/>
      <w:jc w:val="left"/>
      <w:outlineLvl w:val="1"/>
    </w:pPr>
    <w:rPr>
      <w:rFonts w:ascii="宋体"/>
      <w:b/>
      <w:color w:val="7030A0"/>
      <w:spacing w:val="10"/>
      <w:w w:val="95"/>
      <w:kern w:val="0"/>
      <w:sz w:val="28"/>
    </w:rPr>
  </w:style>
  <w:style w:type="paragraph" w:customStyle="1" w:styleId="440">
    <w:name w:val="1"/>
    <w:basedOn w:val="1"/>
    <w:next w:val="201"/>
    <w:qFormat/>
    <w:uiPriority w:val="0"/>
    <w:pPr>
      <w:spacing w:after="120" w:line="480" w:lineRule="auto"/>
      <w:ind w:firstLine="200" w:firstLineChars="200"/>
      <w:jc w:val="left"/>
    </w:pPr>
    <w:rPr>
      <w:color w:val="7030A0"/>
    </w:rPr>
  </w:style>
  <w:style w:type="paragraph" w:customStyle="1" w:styleId="441">
    <w:name w:val="xl44"/>
    <w:basedOn w:val="1"/>
    <w:qFormat/>
    <w:uiPriority w:val="0"/>
    <w:pPr>
      <w:widowControl/>
      <w:pBdr>
        <w:right w:val="single" w:color="auto" w:sz="4" w:space="0"/>
      </w:pBdr>
      <w:spacing w:before="100" w:after="100"/>
      <w:ind w:firstLine="200" w:firstLineChars="200"/>
      <w:jc w:val="center"/>
    </w:pPr>
    <w:rPr>
      <w:rFonts w:ascii="宋体" w:hAnsi="宋体"/>
      <w:color w:val="7030A0"/>
      <w:kern w:val="0"/>
      <w:sz w:val="24"/>
      <w:szCs w:val="20"/>
    </w:rPr>
  </w:style>
  <w:style w:type="paragraph" w:customStyle="1" w:styleId="442">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443">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44">
    <w:name w:val="样式 标题 4 + 加粗"/>
    <w:basedOn w:val="5"/>
    <w:qFormat/>
    <w:uiPriority w:val="0"/>
    <w:pPr>
      <w:spacing w:before="120" w:after="0" w:line="240" w:lineRule="auto"/>
      <w:jc w:val="left"/>
    </w:pPr>
    <w:rPr>
      <w:rFonts w:ascii="Times New Roman" w:hAnsi="Times New Roman"/>
      <w:b w:val="0"/>
      <w:color w:val="00B050"/>
      <w:sz w:val="24"/>
    </w:rPr>
  </w:style>
  <w:style w:type="paragraph" w:customStyle="1" w:styleId="445">
    <w:name w:val="Char Char Char Char Char Char1 Char Char Char Char"/>
    <w:basedOn w:val="1"/>
    <w:qFormat/>
    <w:uiPriority w:val="0"/>
    <w:rPr>
      <w:rFonts w:ascii="仿宋_GB2312" w:eastAsia="仿宋_GB2312"/>
      <w:b/>
      <w:sz w:val="32"/>
      <w:szCs w:val="32"/>
    </w:rPr>
  </w:style>
  <w:style w:type="paragraph" w:customStyle="1" w:styleId="446">
    <w:name w:val="引文目录1"/>
    <w:basedOn w:val="1"/>
    <w:next w:val="1"/>
    <w:qFormat/>
    <w:uiPriority w:val="0"/>
    <w:pPr>
      <w:spacing w:line="480" w:lineRule="exact"/>
      <w:ind w:left="420" w:leftChars="200" w:firstLine="200" w:firstLineChars="200"/>
      <w:jc w:val="left"/>
    </w:pPr>
    <w:rPr>
      <w:color w:val="7030A0"/>
      <w:sz w:val="24"/>
    </w:rPr>
  </w:style>
  <w:style w:type="paragraph" w:customStyle="1" w:styleId="447">
    <w:name w:val="Sub title 1"/>
    <w:basedOn w:val="350"/>
    <w:qFormat/>
    <w:uiPriority w:val="0"/>
    <w:pPr>
      <w:tabs>
        <w:tab w:val="left" w:pos="1304"/>
      </w:tabs>
      <w:ind w:left="1304" w:hanging="170"/>
    </w:pPr>
    <w:rPr>
      <w:color w:val="auto"/>
    </w:rPr>
  </w:style>
  <w:style w:type="paragraph" w:customStyle="1" w:styleId="448">
    <w:name w:val="投标正文"/>
    <w:basedOn w:val="1"/>
    <w:qFormat/>
    <w:uiPriority w:val="0"/>
    <w:pPr>
      <w:spacing w:line="360" w:lineRule="auto"/>
      <w:ind w:firstLine="200" w:firstLineChars="200"/>
      <w:jc w:val="left"/>
    </w:pPr>
    <w:rPr>
      <w:rFonts w:eastAsia="黑体"/>
      <w:color w:val="7030A0"/>
      <w:spacing w:val="20"/>
      <w:sz w:val="32"/>
      <w:szCs w:val="32"/>
    </w:rPr>
  </w:style>
  <w:style w:type="paragraph" w:customStyle="1" w:styleId="449">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450">
    <w:name w:val="样式3"/>
    <w:basedOn w:val="4"/>
    <w:next w:val="1"/>
    <w:qFormat/>
    <w:uiPriority w:val="0"/>
    <w:pPr>
      <w:tabs>
        <w:tab w:val="left" w:pos="709"/>
      </w:tabs>
      <w:spacing w:before="0" w:after="0" w:line="240" w:lineRule="auto"/>
      <w:ind w:left="709" w:hanging="709"/>
      <w:jc w:val="left"/>
    </w:pPr>
    <w:rPr>
      <w:rFonts w:ascii="Tahoma" w:hAnsi="Tahoma"/>
      <w:b w:val="0"/>
      <w:bCs w:val="0"/>
      <w:sz w:val="28"/>
      <w:szCs w:val="20"/>
    </w:rPr>
  </w:style>
  <w:style w:type="paragraph" w:customStyle="1" w:styleId="451">
    <w:name w:val="font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452">
    <w:name w:val="八级正文格式"/>
    <w:basedOn w:val="112"/>
    <w:qFormat/>
    <w:uiPriority w:val="0"/>
    <w:pPr>
      <w:spacing w:after="120"/>
      <w:ind w:firstLine="0" w:firstLineChars="0"/>
    </w:pPr>
  </w:style>
  <w:style w:type="paragraph" w:customStyle="1" w:styleId="453">
    <w:name w:val="文档结构图11"/>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454">
    <w:name w:val="三点段 Char"/>
    <w:basedOn w:val="1"/>
    <w:qFormat/>
    <w:uiPriority w:val="0"/>
    <w:pPr>
      <w:spacing w:line="360" w:lineRule="auto"/>
      <w:ind w:left="1200" w:hanging="1200" w:hangingChars="500"/>
    </w:pPr>
    <w:rPr>
      <w:rFonts w:hint="eastAsia" w:ascii="宋体"/>
      <w:sz w:val="24"/>
    </w:rPr>
  </w:style>
  <w:style w:type="paragraph" w:customStyle="1" w:styleId="455">
    <w:name w:val="引文目录标题1"/>
    <w:basedOn w:val="1"/>
    <w:next w:val="1"/>
    <w:qFormat/>
    <w:uiPriority w:val="0"/>
    <w:pPr>
      <w:spacing w:before="120"/>
    </w:pPr>
    <w:rPr>
      <w:rFonts w:ascii="Arial" w:hAnsi="Arial" w:cs="Arial"/>
      <w:sz w:val="24"/>
    </w:rPr>
  </w:style>
  <w:style w:type="paragraph" w:customStyle="1" w:styleId="456">
    <w:name w:val="索引 41"/>
    <w:basedOn w:val="1"/>
    <w:next w:val="1"/>
    <w:qFormat/>
    <w:uiPriority w:val="0"/>
    <w:pPr>
      <w:spacing w:line="480" w:lineRule="exact"/>
      <w:ind w:left="600" w:leftChars="600" w:firstLine="200" w:firstLineChars="200"/>
      <w:jc w:val="left"/>
    </w:pPr>
    <w:rPr>
      <w:color w:val="7030A0"/>
      <w:sz w:val="24"/>
    </w:rPr>
  </w:style>
  <w:style w:type="paragraph" w:customStyle="1" w:styleId="457">
    <w:name w:val="1.1"/>
    <w:basedOn w:val="3"/>
    <w:qFormat/>
    <w:uiPriority w:val="0"/>
    <w:pPr>
      <w:tabs>
        <w:tab w:val="left" w:pos="180"/>
      </w:tabs>
      <w:autoSpaceDE w:val="0"/>
      <w:autoSpaceDN w:val="0"/>
      <w:adjustRightInd w:val="0"/>
      <w:spacing w:before="0" w:after="0" w:line="360" w:lineRule="auto"/>
      <w:jc w:val="left"/>
      <w:outlineLvl w:val="2"/>
    </w:pPr>
    <w:rPr>
      <w:rFonts w:ascii="宋体" w:hAnsi="宋体"/>
      <w:bCs w:val="0"/>
      <w:kern w:val="0"/>
      <w:sz w:val="21"/>
      <w:szCs w:val="20"/>
    </w:rPr>
  </w:style>
  <w:style w:type="paragraph" w:customStyle="1" w:styleId="45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459">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460">
    <w:name w:val="级别1"/>
    <w:basedOn w:val="2"/>
    <w:qFormat/>
    <w:uiPriority w:val="0"/>
    <w:pPr>
      <w:tabs>
        <w:tab w:val="left" w:pos="-1620"/>
        <w:tab w:val="clear" w:pos="1440"/>
      </w:tabs>
      <w:adjustRightInd w:val="0"/>
      <w:snapToGrid w:val="0"/>
      <w:spacing w:before="0" w:after="0" w:line="360" w:lineRule="auto"/>
      <w:ind w:left="2098" w:hanging="2098"/>
    </w:pPr>
    <w:rPr>
      <w:rFonts w:ascii="宋体" w:hAnsi="宋体"/>
      <w:bCs w:val="0"/>
      <w:sz w:val="28"/>
      <w:szCs w:val="28"/>
    </w:rPr>
  </w:style>
  <w:style w:type="paragraph" w:customStyle="1" w:styleId="461">
    <w:name w:val="TOC 标题1"/>
    <w:basedOn w:val="2"/>
    <w:next w:val="1"/>
    <w:qFormat/>
    <w:uiPriority w:val="0"/>
    <w:pPr>
      <w:widowControl/>
      <w:spacing w:before="480" w:after="0" w:line="276" w:lineRule="auto"/>
      <w:ind w:left="0" w:firstLine="0"/>
      <w:jc w:val="left"/>
      <w:outlineLvl w:val="9"/>
    </w:pPr>
    <w:rPr>
      <w:rFonts w:ascii="Cambria" w:hAnsi="Cambria"/>
      <w:color w:val="365F91"/>
      <w:kern w:val="0"/>
      <w:sz w:val="30"/>
      <w:szCs w:val="28"/>
    </w:rPr>
  </w:style>
  <w:style w:type="paragraph" w:customStyle="1" w:styleId="462">
    <w:name w:val="列表编号 21"/>
    <w:basedOn w:val="1"/>
    <w:qFormat/>
    <w:uiPriority w:val="0"/>
    <w:pPr>
      <w:tabs>
        <w:tab w:val="left" w:pos="780"/>
      </w:tabs>
      <w:spacing w:line="360" w:lineRule="auto"/>
      <w:ind w:left="780" w:hanging="360"/>
      <w:jc w:val="left"/>
    </w:pPr>
    <w:rPr>
      <w:rFonts w:ascii="宋体" w:hAnsi="宋体"/>
      <w:color w:val="7030A0"/>
      <w:sz w:val="24"/>
      <w:szCs w:val="20"/>
    </w:rPr>
  </w:style>
  <w:style w:type="paragraph" w:customStyle="1" w:styleId="463">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464">
    <w:name w:val="六级标题格式"/>
    <w:basedOn w:val="1"/>
    <w:qFormat/>
    <w:uiPriority w:val="0"/>
    <w:pPr>
      <w:spacing w:afterLines="50" w:line="336" w:lineRule="auto"/>
      <w:ind w:firstLine="200" w:firstLineChars="200"/>
      <w:jc w:val="left"/>
      <w:outlineLvl w:val="5"/>
    </w:pPr>
    <w:rPr>
      <w:color w:val="7030A0"/>
      <w:sz w:val="24"/>
    </w:rPr>
  </w:style>
  <w:style w:type="paragraph" w:customStyle="1" w:styleId="465">
    <w:name w:val="正文3"/>
    <w:qFormat/>
    <w:uiPriority w:val="0"/>
    <w:pPr>
      <w:spacing w:line="40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466">
    <w:name w:val="正缩2字符"/>
    <w:basedOn w:val="1"/>
    <w:qFormat/>
    <w:uiPriority w:val="0"/>
    <w:pPr>
      <w:spacing w:line="480" w:lineRule="exact"/>
      <w:ind w:firstLine="200" w:firstLineChars="200"/>
    </w:pPr>
    <w:rPr>
      <w:sz w:val="24"/>
    </w:rPr>
  </w:style>
  <w:style w:type="paragraph" w:customStyle="1" w:styleId="467">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468">
    <w:name w:val="Report Level 2"/>
    <w:basedOn w:val="232"/>
    <w:next w:val="233"/>
    <w:qFormat/>
    <w:uiPriority w:val="0"/>
    <w:pPr>
      <w:tabs>
        <w:tab w:val="left" w:pos="1500"/>
        <w:tab w:val="clear" w:pos="1080"/>
      </w:tabs>
      <w:ind w:left="1500"/>
      <w:outlineLvl w:val="1"/>
    </w:pPr>
    <w:rPr>
      <w:caps w:val="0"/>
    </w:rPr>
  </w:style>
  <w:style w:type="paragraph" w:customStyle="1" w:styleId="469">
    <w:name w:val="默认段落字体 Para Char Char Char Char Char Char Char"/>
    <w:basedOn w:val="1"/>
    <w:qFormat/>
    <w:uiPriority w:val="0"/>
    <w:pPr>
      <w:tabs>
        <w:tab w:val="left" w:pos="4665"/>
        <w:tab w:val="left" w:pos="8970"/>
      </w:tabs>
      <w:ind w:firstLine="400"/>
    </w:pPr>
    <w:rPr>
      <w:szCs w:val="20"/>
    </w:rPr>
  </w:style>
  <w:style w:type="paragraph" w:customStyle="1" w:styleId="470">
    <w:name w:val="zhengwen"/>
    <w:basedOn w:val="1"/>
    <w:qFormat/>
    <w:uiPriority w:val="0"/>
    <w:pPr>
      <w:tabs>
        <w:tab w:val="left" w:pos="1077"/>
      </w:tabs>
      <w:adjustRightInd w:val="0"/>
      <w:snapToGrid w:val="0"/>
      <w:spacing w:line="520" w:lineRule="exact"/>
      <w:ind w:left="1077" w:firstLine="200" w:firstLineChars="200"/>
      <w:jc w:val="left"/>
    </w:pPr>
    <w:rPr>
      <w:bCs/>
      <w:color w:val="7030A0"/>
      <w:sz w:val="28"/>
    </w:rPr>
  </w:style>
  <w:style w:type="paragraph" w:customStyle="1" w:styleId="471">
    <w:name w:val="正文2"/>
    <w:basedOn w:val="23"/>
    <w:qFormat/>
    <w:uiPriority w:val="0"/>
    <w:pPr>
      <w:ind w:firstLine="480" w:firstLineChars="200"/>
      <w:jc w:val="left"/>
    </w:pPr>
    <w:rPr>
      <w:rFonts w:ascii="宋体"/>
      <w:color w:val="7030A0"/>
    </w:rPr>
  </w:style>
  <w:style w:type="paragraph" w:customStyle="1" w:styleId="472">
    <w:name w:val="附图 BJ8"/>
    <w:basedOn w:val="1"/>
    <w:qFormat/>
    <w:uiPriority w:val="0"/>
    <w:pPr>
      <w:adjustRightInd w:val="0"/>
      <w:snapToGrid w:val="0"/>
      <w:ind w:firstLine="200" w:firstLineChars="200"/>
      <w:jc w:val="center"/>
    </w:pPr>
    <w:rPr>
      <w:rFonts w:hAnsi="Arial"/>
      <w:color w:val="7030A0"/>
      <w:kern w:val="0"/>
    </w:rPr>
  </w:style>
  <w:style w:type="paragraph" w:customStyle="1" w:styleId="473">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474">
    <w:name w:val="标书正文"/>
    <w:basedOn w:val="1"/>
    <w:qFormat/>
    <w:uiPriority w:val="0"/>
    <w:pPr>
      <w:spacing w:before="100" w:after="100" w:line="440" w:lineRule="atLeast"/>
      <w:ind w:left="176" w:firstLine="200" w:firstLineChars="200"/>
      <w:jc w:val="left"/>
    </w:pPr>
    <w:rPr>
      <w:rFonts w:ascii="宋体" w:hAnsi="宋体"/>
      <w:color w:val="7030A0"/>
      <w:spacing w:val="20"/>
      <w:sz w:val="24"/>
    </w:rPr>
  </w:style>
  <w:style w:type="paragraph" w:customStyle="1" w:styleId="475">
    <w:name w:val="Body text 1"/>
    <w:basedOn w:val="1"/>
    <w:qFormat/>
    <w:uiPriority w:val="0"/>
    <w:pPr>
      <w:tabs>
        <w:tab w:val="left" w:pos="1134"/>
      </w:tabs>
      <w:autoSpaceDE w:val="0"/>
      <w:autoSpaceDN w:val="0"/>
      <w:adjustRightInd w:val="0"/>
      <w:spacing w:before="170" w:line="300" w:lineRule="atLeast"/>
      <w:ind w:left="1134" w:hanging="1134"/>
    </w:pPr>
    <w:rPr>
      <w:color w:val="000000"/>
      <w:kern w:val="0"/>
      <w:sz w:val="24"/>
      <w:szCs w:val="20"/>
    </w:rPr>
  </w:style>
  <w:style w:type="paragraph" w:customStyle="1" w:styleId="476">
    <w:name w:val="索引 71"/>
    <w:basedOn w:val="1"/>
    <w:next w:val="1"/>
    <w:qFormat/>
    <w:uiPriority w:val="0"/>
    <w:pPr>
      <w:spacing w:line="480" w:lineRule="exact"/>
      <w:ind w:left="1200" w:leftChars="1200" w:firstLine="200" w:firstLineChars="200"/>
      <w:jc w:val="left"/>
    </w:pPr>
    <w:rPr>
      <w:color w:val="7030A0"/>
      <w:sz w:val="24"/>
    </w:rPr>
  </w:style>
  <w:style w:type="paragraph" w:customStyle="1" w:styleId="477">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478">
    <w:name w:val="Char2"/>
    <w:basedOn w:val="1"/>
    <w:qFormat/>
    <w:uiPriority w:val="0"/>
    <w:pPr>
      <w:widowControl/>
      <w:spacing w:after="160" w:line="240" w:lineRule="exact"/>
      <w:ind w:firstLine="200" w:firstLineChars="200"/>
      <w:jc w:val="left"/>
    </w:pPr>
    <w:rPr>
      <w:rFonts w:ascii="Verdana" w:hAnsi="Verdana" w:eastAsia="仿宋_GB2312"/>
      <w:color w:val="7030A0"/>
      <w:kern w:val="0"/>
      <w:sz w:val="24"/>
      <w:szCs w:val="20"/>
      <w:lang w:eastAsia="en-US"/>
    </w:rPr>
  </w:style>
  <w:style w:type="paragraph" w:customStyle="1" w:styleId="479">
    <w:name w:val="样式 样式 正文（首行缩进两字） + 宋体 小四 首行缩进:  0 厘米 段前: 11.15 磅 段后: 11.15 磅 + 左...1"/>
    <w:basedOn w:val="1"/>
    <w:qFormat/>
    <w:uiPriority w:val="0"/>
    <w:pPr>
      <w:tabs>
        <w:tab w:val="left" w:pos="425"/>
        <w:tab w:val="left" w:pos="720"/>
      </w:tabs>
      <w:snapToGrid w:val="0"/>
      <w:spacing w:before="223" w:after="223"/>
      <w:ind w:left="200" w:leftChars="200" w:firstLine="200" w:firstLineChars="200"/>
      <w:jc w:val="left"/>
    </w:pPr>
    <w:rPr>
      <w:rFonts w:ascii="宋体" w:hAnsi="宋体"/>
      <w:color w:val="7030A0"/>
      <w:sz w:val="24"/>
      <w:szCs w:val="20"/>
    </w:rPr>
  </w:style>
  <w:style w:type="paragraph" w:customStyle="1" w:styleId="480">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table" w:customStyle="1" w:styleId="48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482">
    <w:name w:val="Body text|1"/>
    <w:basedOn w:val="1"/>
    <w:qFormat/>
    <w:uiPriority w:val="0"/>
    <w:pPr>
      <w:widowControl w:val="0"/>
      <w:shd w:val="clear" w:color="auto" w:fill="auto"/>
      <w:spacing w:line="456" w:lineRule="auto"/>
      <w:ind w:firstLine="40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17265</Words>
  <Characters>18657</Characters>
  <Lines>199</Lines>
  <Paragraphs>56</Paragraphs>
  <TotalTime>0</TotalTime>
  <ScaleCrop>false</ScaleCrop>
  <LinksUpToDate>false</LinksUpToDate>
  <CharactersWithSpaces>18963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2022-10-16T12:05:00Z</dcterms:created>
  <dc:creator>wmq</dc:creator>
  <cp:lastModifiedBy>NTKO</cp:lastModifiedBy>
  <cp:lastPrinted>2022-06-27T01:18:00Z</cp:lastPrinted>
  <dcterms:modified xsi:type="dcterms:W3CDTF">2025-09-05T08:47:58Z</dcterms:modified>
  <dc:title>适用一般货物采购/非建筑设备货物采购含安装等伴随服务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C0982286A99E449A898436AD82445AD5_13</vt:lpwstr>
  </property>
  <property fmtid="{D5CDD505-2E9C-101B-9397-08002B2CF9AE}" pid="4" name="KSOTemplateDocerSaveRecord">
    <vt:lpwstr>eyJoZGlkIjoiOWUyMGQwMDMyYmU2NDdiN2YwMDZkZWY0ZTc2MjI2YmMiLCJ1c2VySWQiOiIzNjgxNjQ4NjEifQ==</vt:lpwstr>
  </property>
</Properties>
</file>