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AC954">
      <w:pPr>
        <w:pStyle w:val="38"/>
        <w:jc w:val="both"/>
        <w:rPr>
          <w:rFonts w:ascii="宋体" w:hAnsi="宋体" w:eastAsia="宋体" w:cs="宋体"/>
          <w:bCs/>
          <w:color w:val="000000" w:themeColor="text1"/>
          <w:w w:val="90"/>
          <w:sz w:val="48"/>
          <w:szCs w:val="48"/>
          <w:highlight w:val="none"/>
          <w14:textFill>
            <w14:solidFill>
              <w14:schemeClr w14:val="tx1"/>
            </w14:solidFill>
          </w14:textFill>
        </w:rPr>
      </w:pPr>
    </w:p>
    <w:p w14:paraId="4BAEB118">
      <w:pPr>
        <w:pStyle w:val="38"/>
        <w:jc w:val="center"/>
        <w:rPr>
          <w:rFonts w:hint="default" w:ascii="宋体" w:hAnsi="宋体" w:eastAsia="宋体" w:cs="宋体"/>
          <w:b/>
          <w:bCs/>
          <w:color w:val="000000" w:themeColor="text1"/>
          <w:sz w:val="94"/>
          <w:szCs w:val="94"/>
          <w:highlight w:val="none"/>
          <w:lang w:val="en-US" w:eastAsia="zh-CN"/>
          <w14:textFill>
            <w14:solidFill>
              <w14:schemeClr w14:val="tx1"/>
            </w14:solidFill>
          </w14:textFill>
        </w:rPr>
      </w:pPr>
      <w:r>
        <w:rPr>
          <w:rFonts w:hint="eastAsia" w:ascii="宋体" w:hAnsi="宋体" w:eastAsia="宋体" w:cs="宋体"/>
          <w:b/>
          <w:color w:val="000000" w:themeColor="text1"/>
          <w:w w:val="90"/>
          <w:sz w:val="52"/>
          <w:szCs w:val="52"/>
          <w:highlight w:val="none"/>
          <w14:textFill>
            <w14:solidFill>
              <w14:schemeClr w14:val="tx1"/>
            </w14:solidFill>
          </w14:textFill>
        </w:rPr>
        <w:t>河南法官进修学院后厨劳务外包项目</w:t>
      </w:r>
      <w:r>
        <w:rPr>
          <w:rFonts w:hint="eastAsia" w:ascii="宋体" w:hAnsi="宋体" w:eastAsia="宋体" w:cs="宋体"/>
          <w:b/>
          <w:color w:val="000000" w:themeColor="text1"/>
          <w:w w:val="90"/>
          <w:sz w:val="52"/>
          <w:szCs w:val="52"/>
          <w:highlight w:val="none"/>
          <w:lang w:val="en-US" w:eastAsia="zh-CN"/>
          <w14:textFill>
            <w14:solidFill>
              <w14:schemeClr w14:val="tx1"/>
            </w14:solidFill>
          </w14:textFill>
        </w:rPr>
        <w:t>(二次）</w:t>
      </w:r>
    </w:p>
    <w:p w14:paraId="058A01F9">
      <w:pPr>
        <w:jc w:val="center"/>
        <w:rPr>
          <w:rFonts w:ascii="宋体" w:hAnsi="宋体" w:cs="宋体"/>
          <w:b/>
          <w:bCs/>
          <w:color w:val="000000" w:themeColor="text1"/>
          <w:sz w:val="94"/>
          <w:szCs w:val="94"/>
          <w:highlight w:val="none"/>
          <w14:textFill>
            <w14:solidFill>
              <w14:schemeClr w14:val="tx1"/>
            </w14:solidFill>
          </w14:textFill>
        </w:rPr>
      </w:pPr>
      <w:r>
        <w:rPr>
          <w:rFonts w:hint="eastAsia" w:ascii="宋体" w:hAnsi="宋体" w:cs="宋体"/>
          <w:b/>
          <w:bCs/>
          <w:color w:val="000000" w:themeColor="text1"/>
          <w:sz w:val="94"/>
          <w:szCs w:val="94"/>
          <w:highlight w:val="none"/>
          <w14:textFill>
            <w14:solidFill>
              <w14:schemeClr w14:val="tx1"/>
            </w14:solidFill>
          </w14:textFill>
        </w:rPr>
        <w:t>竞争性磋商文件</w:t>
      </w:r>
    </w:p>
    <w:p w14:paraId="4F8DC725">
      <w:pPr>
        <w:ind w:firstLine="2940" w:firstLineChars="1050"/>
        <w:rPr>
          <w:rFonts w:ascii="宋体" w:hAnsi="宋体" w:cs="宋体"/>
          <w:color w:val="000000" w:themeColor="text1"/>
          <w:sz w:val="28"/>
          <w:szCs w:val="28"/>
          <w:highlight w:val="none"/>
          <w14:textFill>
            <w14:solidFill>
              <w14:schemeClr w14:val="tx1"/>
            </w14:solidFill>
          </w14:textFill>
        </w:rPr>
      </w:pPr>
    </w:p>
    <w:p w14:paraId="4D02B3CD">
      <w:pPr>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w:t>
      </w:r>
      <w:r>
        <w:rPr>
          <w:rFonts w:hint="eastAsia" w:ascii="宋体" w:hAnsi="宋体" w:cs="宋体"/>
          <w:b/>
          <w:bCs/>
          <w:color w:val="000000" w:themeColor="text1"/>
          <w:sz w:val="28"/>
          <w:szCs w:val="28"/>
          <w:highlight w:val="none"/>
          <w:lang w:eastAsia="zh-CN"/>
          <w14:textFill>
            <w14:solidFill>
              <w14:schemeClr w14:val="tx1"/>
            </w14:solidFill>
          </w14:textFill>
        </w:rPr>
        <w:t>项目</w:t>
      </w:r>
      <w:r>
        <w:rPr>
          <w:rFonts w:hint="eastAsia" w:ascii="宋体" w:hAnsi="宋体" w:cs="宋体"/>
          <w:b/>
          <w:bCs/>
          <w:color w:val="000000" w:themeColor="text1"/>
          <w:sz w:val="28"/>
          <w:szCs w:val="28"/>
          <w:highlight w:val="none"/>
          <w14:textFill>
            <w14:solidFill>
              <w14:schemeClr w14:val="tx1"/>
            </w14:solidFill>
          </w14:textFill>
        </w:rPr>
        <w:t>编号：</w:t>
      </w:r>
      <w:r>
        <w:rPr>
          <w:rFonts w:hint="eastAsia" w:ascii="宋体" w:hAnsi="宋体" w:cs="宋体"/>
          <w:b/>
          <w:bCs/>
          <w:color w:val="000000" w:themeColor="text1"/>
          <w:sz w:val="28"/>
          <w:szCs w:val="28"/>
          <w:highlight w:val="none"/>
          <w:lang w:eastAsia="zh-CN"/>
          <w14:textFill>
            <w14:solidFill>
              <w14:schemeClr w14:val="tx1"/>
            </w14:solidFill>
          </w14:textFill>
        </w:rPr>
        <w:t>豫财磋商采购-2024-445</w:t>
      </w:r>
    </w:p>
    <w:p w14:paraId="3FB2D4E7">
      <w:pPr>
        <w:ind w:firstLine="2660" w:firstLineChars="950"/>
        <w:rPr>
          <w:rFonts w:ascii="宋体" w:hAnsi="宋体" w:cs="宋体"/>
          <w:color w:val="000000" w:themeColor="text1"/>
          <w:sz w:val="28"/>
          <w:szCs w:val="28"/>
          <w:highlight w:val="none"/>
          <w14:textFill>
            <w14:solidFill>
              <w14:schemeClr w14:val="tx1"/>
            </w14:solidFill>
          </w14:textFill>
        </w:rPr>
      </w:pPr>
    </w:p>
    <w:p w14:paraId="66F1FBC9">
      <w:pPr>
        <w:jc w:val="center"/>
        <w:rPr>
          <w:rFonts w:hAnsi="宋体" w:cs="宋体"/>
          <w:color w:val="000000" w:themeColor="text1"/>
          <w:highlight w:val="none"/>
          <w14:textFill>
            <w14:solidFill>
              <w14:schemeClr w14:val="tx1"/>
            </w14:solidFill>
          </w14:textFill>
        </w:rPr>
      </w:pPr>
    </w:p>
    <w:p w14:paraId="4CF42BA0">
      <w:pPr>
        <w:jc w:val="center"/>
        <w:rPr>
          <w:rFonts w:hAnsi="宋体" w:cs="宋体"/>
          <w:color w:val="000000" w:themeColor="text1"/>
          <w:highlight w:val="none"/>
          <w14:textFill>
            <w14:solidFill>
              <w14:schemeClr w14:val="tx1"/>
            </w14:solidFill>
          </w14:textFill>
        </w:rPr>
      </w:pPr>
    </w:p>
    <w:p w14:paraId="0D9F175E">
      <w:pPr>
        <w:jc w:val="center"/>
        <w:rPr>
          <w:rFonts w:hAnsi="宋体" w:cs="宋体"/>
          <w:color w:val="000000" w:themeColor="text1"/>
          <w:highlight w:val="none"/>
          <w14:textFill>
            <w14:solidFill>
              <w14:schemeClr w14:val="tx1"/>
            </w14:solidFill>
          </w14:textFill>
        </w:rPr>
      </w:pPr>
    </w:p>
    <w:p w14:paraId="67407547">
      <w:pPr>
        <w:jc w:val="center"/>
        <w:rPr>
          <w:rFonts w:hAnsi="宋体" w:cs="宋体"/>
          <w:color w:val="000000" w:themeColor="text1"/>
          <w:highlight w:val="none"/>
          <w14:textFill>
            <w14:solidFill>
              <w14:schemeClr w14:val="tx1"/>
            </w14:solidFill>
          </w14:textFill>
        </w:rPr>
      </w:pPr>
    </w:p>
    <w:p w14:paraId="75DFC436">
      <w:pPr>
        <w:jc w:val="center"/>
        <w:rPr>
          <w:rFonts w:hAnsi="宋体" w:cs="宋体"/>
          <w:color w:val="000000" w:themeColor="text1"/>
          <w:highlight w:val="none"/>
          <w14:textFill>
            <w14:solidFill>
              <w14:schemeClr w14:val="tx1"/>
            </w14:solidFill>
          </w14:textFill>
        </w:rPr>
      </w:pPr>
    </w:p>
    <w:p w14:paraId="48610C69">
      <w:pPr>
        <w:jc w:val="center"/>
        <w:rPr>
          <w:rFonts w:ascii="宋体" w:hAnsi="宋体" w:cs="宋体"/>
          <w:color w:val="000000" w:themeColor="text1"/>
          <w:sz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drawing>
          <wp:inline distT="0" distB="0" distL="114300" distR="114300">
            <wp:extent cx="1912620" cy="1633220"/>
            <wp:effectExtent l="0" t="0" r="11430" b="5080"/>
            <wp:docPr id="3" name="图片 1"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Bz"/>
                    <pic:cNvPicPr>
                      <a:picLocks noChangeAspect="1" noChangeArrowheads="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a:xfrm>
                      <a:off x="0" y="0"/>
                      <a:ext cx="1912620" cy="1633220"/>
                    </a:xfrm>
                    <a:prstGeom prst="rect">
                      <a:avLst/>
                    </a:prstGeom>
                    <a:solidFill>
                      <a:srgbClr val="FFFFFF"/>
                    </a:solidFill>
                    <a:ln>
                      <a:noFill/>
                    </a:ln>
                    <a:effectLst/>
                  </pic:spPr>
                </pic:pic>
              </a:graphicData>
            </a:graphic>
          </wp:inline>
        </w:drawing>
      </w:r>
    </w:p>
    <w:p w14:paraId="198E7FD0">
      <w:pPr>
        <w:jc w:val="center"/>
        <w:rPr>
          <w:rFonts w:ascii="宋体" w:hAnsi="宋体" w:cs="宋体"/>
          <w:color w:val="000000" w:themeColor="text1"/>
          <w:sz w:val="30"/>
          <w:highlight w:val="none"/>
          <w14:textFill>
            <w14:solidFill>
              <w14:schemeClr w14:val="tx1"/>
            </w14:solidFill>
          </w14:textFill>
        </w:rPr>
      </w:pPr>
    </w:p>
    <w:p w14:paraId="0A628BB0">
      <w:pPr>
        <w:jc w:val="center"/>
        <w:rPr>
          <w:rFonts w:ascii="宋体" w:hAnsi="宋体" w:cs="宋体"/>
          <w:color w:val="000000" w:themeColor="text1"/>
          <w:sz w:val="30"/>
          <w:highlight w:val="none"/>
          <w14:textFill>
            <w14:solidFill>
              <w14:schemeClr w14:val="tx1"/>
            </w14:solidFill>
          </w14:textFill>
        </w:rPr>
      </w:pPr>
    </w:p>
    <w:p w14:paraId="44FA6E93">
      <w:pPr>
        <w:rPr>
          <w:rFonts w:ascii="宋体" w:hAnsi="宋体" w:cs="宋体"/>
          <w:color w:val="000000" w:themeColor="text1"/>
          <w:sz w:val="30"/>
          <w:highlight w:val="none"/>
          <w14:textFill>
            <w14:solidFill>
              <w14:schemeClr w14:val="tx1"/>
            </w14:solidFill>
          </w14:textFill>
        </w:rPr>
      </w:pPr>
    </w:p>
    <w:p w14:paraId="0483295D">
      <w:pPr>
        <w:rPr>
          <w:rFonts w:ascii="宋体" w:hAnsi="宋体" w:cs="宋体"/>
          <w:color w:val="000000" w:themeColor="text1"/>
          <w:sz w:val="30"/>
          <w:highlight w:val="none"/>
          <w14:textFill>
            <w14:solidFill>
              <w14:schemeClr w14:val="tx1"/>
            </w14:solidFill>
          </w14:textFill>
        </w:rPr>
      </w:pPr>
    </w:p>
    <w:p w14:paraId="67E289C8">
      <w:pPr>
        <w:rPr>
          <w:rFonts w:ascii="宋体" w:hAnsi="宋体" w:cs="宋体"/>
          <w:color w:val="000000" w:themeColor="text1"/>
          <w:sz w:val="30"/>
          <w:highlight w:val="none"/>
          <w14:textFill>
            <w14:solidFill>
              <w14:schemeClr w14:val="tx1"/>
            </w14:solidFill>
          </w14:textFill>
        </w:rPr>
      </w:pPr>
    </w:p>
    <w:p w14:paraId="21A511E8">
      <w:pPr>
        <w:tabs>
          <w:tab w:val="left" w:pos="2700"/>
          <w:tab w:val="left" w:pos="2880"/>
          <w:tab w:val="left" w:pos="3060"/>
          <w:tab w:val="left" w:pos="7560"/>
        </w:tabs>
        <w:spacing w:line="360" w:lineRule="auto"/>
        <w:ind w:firstLine="1928" w:firstLineChars="600"/>
        <w:rPr>
          <w:rFonts w:ascii="宋体" w:hAnsi="宋体" w:cs="宋体"/>
          <w:b/>
          <w:bCs/>
          <w:color w:val="000000" w:themeColor="text1"/>
          <w:spacing w:val="-10"/>
          <w:sz w:val="34"/>
          <w:szCs w:val="34"/>
          <w:highlight w:val="none"/>
          <w14:textFill>
            <w14:solidFill>
              <w14:schemeClr w14:val="tx1"/>
            </w14:solidFill>
          </w14:textFill>
        </w:rPr>
      </w:pPr>
    </w:p>
    <w:p w14:paraId="71836945">
      <w:pPr>
        <w:tabs>
          <w:tab w:val="left" w:pos="2700"/>
          <w:tab w:val="left" w:pos="2880"/>
          <w:tab w:val="left" w:pos="3060"/>
          <w:tab w:val="left" w:pos="7560"/>
        </w:tabs>
        <w:spacing w:line="360" w:lineRule="auto"/>
        <w:ind w:firstLine="1928" w:firstLineChars="600"/>
        <w:rPr>
          <w:rFonts w:hint="eastAsia" w:ascii="宋体" w:hAnsi="宋体" w:eastAsia="宋体" w:cs="宋体"/>
          <w:b/>
          <w:bCs/>
          <w:color w:val="000000" w:themeColor="text1"/>
          <w:sz w:val="34"/>
          <w:szCs w:val="34"/>
          <w:highlight w:val="none"/>
          <w:lang w:eastAsia="zh-CN"/>
          <w14:textFill>
            <w14:solidFill>
              <w14:schemeClr w14:val="tx1"/>
            </w14:solidFill>
          </w14:textFill>
        </w:rPr>
      </w:pPr>
      <w:r>
        <w:rPr>
          <w:rFonts w:hint="eastAsia" w:ascii="宋体" w:hAnsi="宋体" w:cs="宋体"/>
          <w:b/>
          <w:bCs/>
          <w:color w:val="000000" w:themeColor="text1"/>
          <w:spacing w:val="-10"/>
          <w:sz w:val="34"/>
          <w:szCs w:val="34"/>
          <w:highlight w:val="none"/>
          <w14:textFill>
            <w14:solidFill>
              <w14:schemeClr w14:val="tx1"/>
            </w14:solidFill>
          </w14:textFill>
        </w:rPr>
        <w:t>采   购   人：</w:t>
      </w:r>
      <w:r>
        <w:rPr>
          <w:rFonts w:hint="eastAsia" w:ascii="宋体" w:hAnsi="宋体" w:cs="宋体"/>
          <w:b/>
          <w:bCs/>
          <w:color w:val="000000" w:themeColor="text1"/>
          <w:sz w:val="34"/>
          <w:szCs w:val="34"/>
          <w:highlight w:val="none"/>
          <w:lang w:eastAsia="zh-CN"/>
          <w14:textFill>
            <w14:solidFill>
              <w14:schemeClr w14:val="tx1"/>
            </w14:solidFill>
          </w14:textFill>
        </w:rPr>
        <w:t>河南法官进修学院</w:t>
      </w:r>
    </w:p>
    <w:p w14:paraId="0903B435">
      <w:pPr>
        <w:tabs>
          <w:tab w:val="left" w:pos="1470"/>
        </w:tabs>
        <w:spacing w:line="360" w:lineRule="auto"/>
        <w:ind w:firstLine="1928" w:firstLineChars="600"/>
        <w:rPr>
          <w:rFonts w:ascii="宋体" w:hAnsi="宋体" w:cs="宋体"/>
          <w:b/>
          <w:bCs/>
          <w:color w:val="000000" w:themeColor="text1"/>
          <w:sz w:val="34"/>
          <w:szCs w:val="34"/>
          <w:highlight w:val="none"/>
          <w14:textFill>
            <w14:solidFill>
              <w14:schemeClr w14:val="tx1"/>
            </w14:solidFill>
          </w14:textFill>
        </w:rPr>
      </w:pPr>
      <w:r>
        <w:rPr>
          <w:rFonts w:hint="eastAsia" w:ascii="宋体" w:hAnsi="宋体" w:cs="宋体"/>
          <w:b/>
          <w:bCs/>
          <w:color w:val="000000" w:themeColor="text1"/>
          <w:spacing w:val="-10"/>
          <w:sz w:val="34"/>
          <w:szCs w:val="34"/>
          <w:highlight w:val="none"/>
          <w14:textFill>
            <w14:solidFill>
              <w14:schemeClr w14:val="tx1"/>
            </w14:solidFill>
          </w14:textFill>
        </w:rPr>
        <w:t>采购代理</w:t>
      </w:r>
      <w:r>
        <w:rPr>
          <w:rFonts w:hint="eastAsia" w:ascii="宋体" w:hAnsi="宋体" w:cs="宋体"/>
          <w:b/>
          <w:bCs/>
          <w:color w:val="000000" w:themeColor="text1"/>
          <w:sz w:val="34"/>
          <w:szCs w:val="34"/>
          <w:highlight w:val="none"/>
          <w14:textFill>
            <w14:solidFill>
              <w14:schemeClr w14:val="tx1"/>
            </w14:solidFill>
          </w14:textFill>
        </w:rPr>
        <w:t>机构：河南英华咨询有限公司</w:t>
      </w:r>
    </w:p>
    <w:p w14:paraId="252F877E">
      <w:pPr>
        <w:spacing w:line="360" w:lineRule="auto"/>
        <w:ind w:firstLine="2048" w:firstLineChars="600"/>
        <w:rPr>
          <w:rFonts w:ascii="宋体" w:hAnsi="宋体" w:cs="宋体"/>
          <w:b/>
          <w:bCs/>
          <w:color w:val="000000" w:themeColor="text1"/>
          <w:sz w:val="34"/>
          <w:szCs w:val="34"/>
          <w:highlight w:val="none"/>
          <w14:textFill>
            <w14:solidFill>
              <w14:schemeClr w14:val="tx1"/>
            </w14:solidFill>
          </w14:textFill>
        </w:rPr>
      </w:pPr>
      <w:r>
        <w:rPr>
          <w:rFonts w:hint="eastAsia" w:ascii="宋体" w:hAnsi="宋体" w:cs="宋体"/>
          <w:b/>
          <w:bCs/>
          <w:color w:val="000000" w:themeColor="text1"/>
          <w:sz w:val="34"/>
          <w:szCs w:val="34"/>
          <w:highlight w:val="none"/>
          <w14:textFill>
            <w14:solidFill>
              <w14:schemeClr w14:val="tx1"/>
            </w14:solidFill>
          </w14:textFill>
        </w:rPr>
        <w:t>日       期：二〇二</w:t>
      </w:r>
      <w:r>
        <w:rPr>
          <w:rFonts w:hint="eastAsia" w:ascii="宋体" w:hAnsi="宋体" w:cs="宋体"/>
          <w:b/>
          <w:bCs/>
          <w:color w:val="000000" w:themeColor="text1"/>
          <w:sz w:val="34"/>
          <w:szCs w:val="34"/>
          <w:highlight w:val="none"/>
          <w:lang w:val="en-US" w:eastAsia="zh-CN"/>
          <w14:textFill>
            <w14:solidFill>
              <w14:schemeClr w14:val="tx1"/>
            </w14:solidFill>
          </w14:textFill>
        </w:rPr>
        <w:t>四</w:t>
      </w:r>
      <w:r>
        <w:rPr>
          <w:rFonts w:hint="eastAsia" w:ascii="宋体" w:hAnsi="宋体" w:cs="宋体"/>
          <w:b/>
          <w:bCs/>
          <w:color w:val="000000" w:themeColor="text1"/>
          <w:sz w:val="34"/>
          <w:szCs w:val="34"/>
          <w:highlight w:val="none"/>
          <w14:textFill>
            <w14:solidFill>
              <w14:schemeClr w14:val="tx1"/>
            </w14:solidFill>
          </w14:textFill>
        </w:rPr>
        <w:t>年</w:t>
      </w:r>
      <w:r>
        <w:rPr>
          <w:rFonts w:hint="eastAsia" w:ascii="宋体" w:hAnsi="宋体" w:cs="宋体"/>
          <w:b/>
          <w:bCs/>
          <w:color w:val="000000" w:themeColor="text1"/>
          <w:sz w:val="34"/>
          <w:szCs w:val="34"/>
          <w:highlight w:val="none"/>
          <w:lang w:val="en-US" w:eastAsia="zh-CN"/>
          <w14:textFill>
            <w14:solidFill>
              <w14:schemeClr w14:val="tx1"/>
            </w14:solidFill>
          </w14:textFill>
        </w:rPr>
        <w:t>七</w:t>
      </w:r>
      <w:r>
        <w:rPr>
          <w:rFonts w:hint="eastAsia" w:ascii="宋体" w:hAnsi="宋体" w:cs="宋体"/>
          <w:b/>
          <w:bCs/>
          <w:color w:val="000000" w:themeColor="text1"/>
          <w:sz w:val="34"/>
          <w:szCs w:val="34"/>
          <w:highlight w:val="none"/>
          <w14:textFill>
            <w14:solidFill>
              <w14:schemeClr w14:val="tx1"/>
            </w14:solidFill>
          </w14:textFill>
        </w:rPr>
        <w:t>月</w:t>
      </w:r>
    </w:p>
    <w:p w14:paraId="76CDBEB0">
      <w:pPr>
        <w:pStyle w:val="10"/>
        <w:adjustRightInd w:val="0"/>
        <w:snapToGrid w:val="0"/>
        <w:spacing w:line="360" w:lineRule="auto"/>
        <w:jc w:val="center"/>
        <w:rPr>
          <w:rFonts w:hAnsi="宋体" w:cs="宋体"/>
          <w:color w:val="000000" w:themeColor="text1"/>
          <w:spacing w:val="160"/>
          <w:sz w:val="24"/>
          <w:szCs w:val="24"/>
          <w:highlight w:val="none"/>
          <w14:textFill>
            <w14:solidFill>
              <w14:schemeClr w14:val="tx1"/>
            </w14:solidFill>
          </w14:textFill>
        </w:rPr>
      </w:pPr>
      <w:r>
        <w:rPr>
          <w:rFonts w:hint="eastAsia" w:hAnsi="宋体" w:cs="宋体"/>
          <w:b/>
          <w:color w:val="000000" w:themeColor="text1"/>
          <w:spacing w:val="160"/>
          <w:sz w:val="44"/>
          <w:szCs w:val="44"/>
          <w:highlight w:val="none"/>
          <w14:textFill>
            <w14:solidFill>
              <w14:schemeClr w14:val="tx1"/>
            </w14:solidFill>
          </w14:textFill>
        </w:rPr>
        <w:br w:type="page"/>
      </w:r>
      <w:r>
        <w:rPr>
          <w:rFonts w:hint="eastAsia" w:hAnsi="宋体" w:cs="宋体"/>
          <w:b/>
          <w:color w:val="000000" w:themeColor="text1"/>
          <w:spacing w:val="160"/>
          <w:sz w:val="44"/>
          <w:szCs w:val="44"/>
          <w:highlight w:val="none"/>
          <w14:textFill>
            <w14:solidFill>
              <w14:schemeClr w14:val="tx1"/>
            </w14:solidFill>
          </w14:textFill>
        </w:rPr>
        <w:t>目录</w:t>
      </w:r>
    </w:p>
    <w:p w14:paraId="581041B5">
      <w:pPr>
        <w:pStyle w:val="14"/>
        <w:tabs>
          <w:tab w:val="right" w:leader="dot" w:pos="8782"/>
        </w:tabs>
      </w:pPr>
      <w:bookmarkStart w:id="0" w:name="_Toc18863"/>
      <w:bookmarkStart w:id="1" w:name="_Toc351564124"/>
      <w:r>
        <w:rPr>
          <w:rFonts w:hint="eastAsia" w:ascii="宋体" w:hAnsi="宋体" w:cs="宋体"/>
          <w:b/>
          <w:color w:val="000000" w:themeColor="text1"/>
          <w:szCs w:val="21"/>
          <w:highlight w:val="none"/>
          <w14:textFill>
            <w14:solidFill>
              <w14:schemeClr w14:val="tx1"/>
            </w14:solidFill>
          </w14:textFill>
        </w:rPr>
        <w:fldChar w:fldCharType="begin"/>
      </w:r>
      <w:r>
        <w:rPr>
          <w:rFonts w:hint="eastAsia" w:ascii="宋体" w:hAnsi="宋体" w:cs="宋体"/>
          <w:b/>
          <w:color w:val="000000" w:themeColor="text1"/>
          <w:szCs w:val="21"/>
          <w:highlight w:val="none"/>
          <w14:textFill>
            <w14:solidFill>
              <w14:schemeClr w14:val="tx1"/>
            </w14:solidFill>
          </w14:textFill>
        </w:rPr>
        <w:instrText xml:space="preserve">TOC \o "1-2" \h \u </w:instrText>
      </w:r>
      <w:r>
        <w:rPr>
          <w:rFonts w:hint="eastAsia" w:ascii="宋体" w:hAnsi="宋体" w:cs="宋体"/>
          <w:b/>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_Toc19735 </w:instrText>
      </w:r>
      <w:r>
        <w:rPr>
          <w:rFonts w:hint="eastAsia" w:ascii="宋体" w:hAnsi="宋体" w:cs="宋体"/>
          <w:szCs w:val="21"/>
          <w:highlight w:val="none"/>
        </w:rPr>
        <w:fldChar w:fldCharType="separate"/>
      </w:r>
      <w:r>
        <w:rPr>
          <w:rFonts w:hint="eastAsia" w:ascii="宋体" w:hAnsi="宋体" w:cs="宋体"/>
          <w:szCs w:val="24"/>
          <w:highlight w:val="none"/>
        </w:rPr>
        <w:t>第一章 竞争性磋商公告</w:t>
      </w:r>
      <w:r>
        <w:tab/>
      </w:r>
      <w:r>
        <w:fldChar w:fldCharType="begin"/>
      </w:r>
      <w:r>
        <w:instrText xml:space="preserve"> PAGEREF _Toc19735 \h </w:instrText>
      </w:r>
      <w:r>
        <w:fldChar w:fldCharType="separate"/>
      </w:r>
      <w:r>
        <w:t>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C89FBDE">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_Toc8105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一、项目基本情况</w:t>
      </w:r>
      <w:r>
        <w:tab/>
      </w:r>
      <w:r>
        <w:fldChar w:fldCharType="begin"/>
      </w:r>
      <w:r>
        <w:instrText xml:space="preserve"> PAGEREF _Toc8105 \h </w:instrText>
      </w:r>
      <w:r>
        <w:fldChar w:fldCharType="separate"/>
      </w:r>
      <w:r>
        <w:t>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5C92DD2">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_Toc5236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二、申请人的资格要求</w:t>
      </w:r>
      <w:r>
        <w:tab/>
      </w:r>
      <w:r>
        <w:fldChar w:fldCharType="begin"/>
      </w:r>
      <w:r>
        <w:instrText xml:space="preserve"> PAGEREF _Toc5236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000DAF">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_Toc30204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三、获取采购文件</w:t>
      </w:r>
      <w:r>
        <w:tab/>
      </w:r>
      <w:r>
        <w:fldChar w:fldCharType="begin"/>
      </w:r>
      <w:r>
        <w:instrText xml:space="preserve"> PAGEREF _Toc30204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DC16B9D">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_Toc16731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四、响应文件提交</w:t>
      </w:r>
      <w:r>
        <w:tab/>
      </w:r>
      <w:r>
        <w:fldChar w:fldCharType="begin"/>
      </w:r>
      <w:r>
        <w:instrText xml:space="preserve"> PAGEREF _Toc16731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6AEC12D">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_Toc16456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五、响应文件开启</w:t>
      </w:r>
      <w:r>
        <w:tab/>
      </w:r>
      <w:r>
        <w:fldChar w:fldCharType="begin"/>
      </w:r>
      <w:r>
        <w:instrText xml:space="preserve"> PAGEREF _Toc16456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8A280D0">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_Toc19860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六、发布公告的媒介及招标公告期限</w:t>
      </w:r>
      <w:r>
        <w:tab/>
      </w:r>
      <w:r>
        <w:fldChar w:fldCharType="begin"/>
      </w:r>
      <w:r>
        <w:instrText xml:space="preserve"> PAGEREF _Toc19860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D8FA475">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_Toc16359 </w:instrText>
      </w:r>
      <w:r>
        <w:rPr>
          <w:rFonts w:hint="eastAsia" w:ascii="宋体" w:hAnsi="宋体" w:cs="宋体"/>
          <w:szCs w:val="21"/>
          <w:highlight w:val="none"/>
        </w:rPr>
        <w:fldChar w:fldCharType="separate"/>
      </w:r>
      <w:r>
        <w:rPr>
          <w:rFonts w:hint="eastAsia" w:ascii="宋体" w:hAnsi="宋体" w:cs="宋体"/>
          <w:kern w:val="0"/>
          <w:szCs w:val="24"/>
          <w:shd w:val="clear" w:fill="FFFFFF"/>
        </w:rPr>
        <w:t xml:space="preserve">七、 </w:t>
      </w:r>
      <w:r>
        <w:rPr>
          <w:rFonts w:hint="eastAsia" w:ascii="宋体" w:hAnsi="宋体" w:cs="宋体"/>
          <w:kern w:val="0"/>
          <w:szCs w:val="24"/>
          <w:highlight w:val="none"/>
          <w:shd w:val="clear" w:color="auto" w:fill="FFFFFF"/>
        </w:rPr>
        <w:t>其他补充事宜</w:t>
      </w:r>
      <w:r>
        <w:tab/>
      </w:r>
      <w:r>
        <w:fldChar w:fldCharType="begin"/>
      </w:r>
      <w:r>
        <w:instrText xml:space="preserve"> PAGEREF _Toc16359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6DDDADF">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_Toc12538 </w:instrText>
      </w:r>
      <w:r>
        <w:rPr>
          <w:rFonts w:hint="eastAsia" w:ascii="宋体" w:hAnsi="宋体" w:cs="宋体"/>
          <w:szCs w:val="21"/>
          <w:highlight w:val="none"/>
        </w:rPr>
        <w:fldChar w:fldCharType="separate"/>
      </w:r>
      <w:r>
        <w:rPr>
          <w:rFonts w:hint="eastAsia" w:ascii="宋体" w:hAnsi="宋体" w:cs="宋体"/>
          <w:kern w:val="0"/>
          <w:szCs w:val="24"/>
          <w:highlight w:val="none"/>
          <w:shd w:val="clear" w:color="auto" w:fill="FFFFFF"/>
        </w:rPr>
        <w:t>八、凡对本次采购提出询问，请按以下方式联系</w:t>
      </w:r>
      <w:r>
        <w:tab/>
      </w:r>
      <w:r>
        <w:fldChar w:fldCharType="begin"/>
      </w:r>
      <w:r>
        <w:instrText xml:space="preserve"> PAGEREF _Toc12538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664D2D4">
      <w:pPr>
        <w:pStyle w:val="14"/>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_Toc391 </w:instrText>
      </w:r>
      <w:r>
        <w:rPr>
          <w:rFonts w:hint="eastAsia" w:ascii="宋体" w:hAnsi="宋体" w:cs="宋体"/>
          <w:szCs w:val="21"/>
          <w:highlight w:val="none"/>
        </w:rPr>
        <w:fldChar w:fldCharType="separate"/>
      </w:r>
      <w:r>
        <w:rPr>
          <w:rFonts w:hint="eastAsia" w:hAnsi="宋体" w:cs="宋体"/>
          <w:szCs w:val="28"/>
          <w:highlight w:val="none"/>
        </w:rPr>
        <w:t>第二章 供应商须知</w:t>
      </w:r>
      <w:r>
        <w:tab/>
      </w:r>
      <w:r>
        <w:fldChar w:fldCharType="begin"/>
      </w:r>
      <w:r>
        <w:instrText xml:space="preserve"> PAGEREF _Toc391 \h </w:instrText>
      </w:r>
      <w:r>
        <w:fldChar w:fldCharType="separate"/>
      </w:r>
      <w:r>
        <w:t>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192CC27">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_Toc28864 </w:instrText>
      </w:r>
      <w:r>
        <w:rPr>
          <w:rFonts w:hint="eastAsia" w:ascii="宋体" w:hAnsi="宋体" w:cs="宋体"/>
          <w:szCs w:val="21"/>
          <w:highlight w:val="none"/>
        </w:rPr>
        <w:fldChar w:fldCharType="separate"/>
      </w:r>
      <w:r>
        <w:rPr>
          <w:rFonts w:hint="eastAsia" w:ascii="宋体" w:hAnsi="宋体" w:cs="宋体"/>
          <w:highlight w:val="none"/>
        </w:rPr>
        <w:t>供应商须知前附表</w:t>
      </w:r>
      <w:r>
        <w:tab/>
      </w:r>
      <w:r>
        <w:fldChar w:fldCharType="begin"/>
      </w:r>
      <w:r>
        <w:instrText xml:space="preserve"> PAGEREF _Toc28864 \h </w:instrText>
      </w:r>
      <w:r>
        <w:fldChar w:fldCharType="separate"/>
      </w:r>
      <w:r>
        <w:t>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27AE3A4">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_Toc23526 </w:instrText>
      </w:r>
      <w:r>
        <w:rPr>
          <w:rFonts w:hint="eastAsia" w:ascii="宋体" w:hAnsi="宋体" w:cs="宋体"/>
          <w:szCs w:val="21"/>
          <w:highlight w:val="none"/>
        </w:rPr>
        <w:fldChar w:fldCharType="separate"/>
      </w:r>
      <w:r>
        <w:rPr>
          <w:rFonts w:hint="eastAsia" w:ascii="宋体" w:hAnsi="宋体" w:cs="宋体"/>
          <w:highlight w:val="none"/>
        </w:rPr>
        <w:t>供应商须知正文</w:t>
      </w:r>
      <w:r>
        <w:tab/>
      </w:r>
      <w:r>
        <w:fldChar w:fldCharType="begin"/>
      </w:r>
      <w:r>
        <w:instrText xml:space="preserve"> PAGEREF _Toc23526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1C8BFBB">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_Toc7606 </w:instrText>
      </w:r>
      <w:r>
        <w:rPr>
          <w:rFonts w:hint="eastAsia" w:ascii="宋体" w:hAnsi="宋体" w:cs="宋体"/>
          <w:szCs w:val="21"/>
          <w:highlight w:val="none"/>
        </w:rPr>
        <w:fldChar w:fldCharType="separate"/>
      </w:r>
      <w:r>
        <w:rPr>
          <w:rFonts w:hint="eastAsia" w:ascii="宋体" w:hAnsi="宋体" w:cs="宋体"/>
          <w:highlight w:val="none"/>
        </w:rPr>
        <w:t>一、说明</w:t>
      </w:r>
      <w:r>
        <w:tab/>
      </w:r>
      <w:r>
        <w:fldChar w:fldCharType="begin"/>
      </w:r>
      <w:r>
        <w:instrText xml:space="preserve"> PAGEREF _Toc7606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556951E">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_Toc1394 </w:instrText>
      </w:r>
      <w:r>
        <w:rPr>
          <w:rFonts w:hint="eastAsia" w:ascii="宋体" w:hAnsi="宋体" w:cs="宋体"/>
          <w:szCs w:val="21"/>
          <w:highlight w:val="none"/>
        </w:rPr>
        <w:fldChar w:fldCharType="separate"/>
      </w:r>
      <w:r>
        <w:rPr>
          <w:rFonts w:hint="eastAsia" w:ascii="宋体" w:hAnsi="宋体" w:cs="宋体"/>
          <w:highlight w:val="none"/>
        </w:rPr>
        <w:t>二、磋商文件</w:t>
      </w:r>
      <w:r>
        <w:tab/>
      </w:r>
      <w:r>
        <w:fldChar w:fldCharType="begin"/>
      </w:r>
      <w:r>
        <w:instrText xml:space="preserve"> PAGEREF _Toc1394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95E9ADB">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_Toc25063 </w:instrText>
      </w:r>
      <w:r>
        <w:rPr>
          <w:rFonts w:hint="eastAsia" w:ascii="宋体" w:hAnsi="宋体" w:cs="宋体"/>
          <w:szCs w:val="21"/>
          <w:highlight w:val="none"/>
        </w:rPr>
        <w:fldChar w:fldCharType="separate"/>
      </w:r>
      <w:r>
        <w:rPr>
          <w:rFonts w:hint="eastAsia" w:ascii="宋体" w:hAnsi="宋体" w:cs="宋体"/>
          <w:highlight w:val="none"/>
        </w:rPr>
        <w:t>三、响应文件</w:t>
      </w:r>
      <w:r>
        <w:tab/>
      </w:r>
      <w:r>
        <w:fldChar w:fldCharType="begin"/>
      </w:r>
      <w:r>
        <w:instrText xml:space="preserve"> PAGEREF _Toc25063 \h </w:instrText>
      </w:r>
      <w:r>
        <w:fldChar w:fldCharType="separate"/>
      </w:r>
      <w:r>
        <w:t>12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72EF99A">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_Toc32764 </w:instrText>
      </w:r>
      <w:r>
        <w:rPr>
          <w:rFonts w:hint="eastAsia" w:ascii="宋体" w:hAnsi="宋体" w:cs="宋体"/>
          <w:szCs w:val="21"/>
          <w:highlight w:val="none"/>
        </w:rPr>
        <w:fldChar w:fldCharType="separate"/>
      </w:r>
      <w:r>
        <w:rPr>
          <w:rFonts w:hint="eastAsia" w:ascii="宋体" w:hAnsi="宋体" w:cs="宋体"/>
          <w:highlight w:val="none"/>
        </w:rPr>
        <w:t>四、响应文件的递交</w:t>
      </w:r>
      <w:r>
        <w:tab/>
      </w:r>
      <w:r>
        <w:fldChar w:fldCharType="begin"/>
      </w:r>
      <w:r>
        <w:instrText xml:space="preserve"> PAGEREF _Toc32764 \h </w:instrText>
      </w:r>
      <w:r>
        <w:fldChar w:fldCharType="separate"/>
      </w:r>
      <w:r>
        <w:t>14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77DFC11">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 </w:instrText>
      </w:r>
      <w:r>
        <w:rPr>
          <w:rFonts w:hint="eastAsia" w:ascii="宋体" w:hAnsi="宋体" w:cs="宋体"/>
          <w:szCs w:val="21"/>
          <w:highlight w:val="none"/>
        </w:rPr>
        <w:fldChar w:fldCharType="separate"/>
      </w:r>
      <w:r>
        <w:rPr>
          <w:rFonts w:hint="eastAsia" w:ascii="宋体" w:hAnsi="宋体" w:cs="宋体"/>
          <w:highlight w:val="none"/>
        </w:rPr>
        <w:t>五、信用查询</w:t>
      </w:r>
      <w:r>
        <w:tab/>
      </w:r>
      <w:r>
        <w:fldChar w:fldCharType="begin"/>
      </w:r>
      <w:r>
        <w:instrText xml:space="preserve"> PAGEREF _Toc14 \h </w:instrText>
      </w:r>
      <w:r>
        <w:fldChar w:fldCharType="separate"/>
      </w:r>
      <w:r>
        <w:t>15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0138E10">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_Toc21208 </w:instrText>
      </w:r>
      <w:r>
        <w:rPr>
          <w:rFonts w:hint="eastAsia" w:ascii="宋体" w:hAnsi="宋体" w:cs="宋体"/>
          <w:szCs w:val="21"/>
          <w:highlight w:val="none"/>
        </w:rPr>
        <w:fldChar w:fldCharType="separate"/>
      </w:r>
      <w:r>
        <w:rPr>
          <w:rFonts w:hint="eastAsia" w:ascii="宋体" w:hAnsi="宋体" w:cs="宋体"/>
          <w:highlight w:val="none"/>
        </w:rPr>
        <w:t>六、评审、磋商</w:t>
      </w:r>
      <w:r>
        <w:tab/>
      </w:r>
      <w:r>
        <w:fldChar w:fldCharType="begin"/>
      </w:r>
      <w:r>
        <w:instrText xml:space="preserve"> PAGEREF _Toc21208 \h </w:instrText>
      </w:r>
      <w:r>
        <w:fldChar w:fldCharType="separate"/>
      </w:r>
      <w:r>
        <w:t>15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D4C2212">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_Toc31656 </w:instrText>
      </w:r>
      <w:r>
        <w:rPr>
          <w:rFonts w:hint="eastAsia" w:ascii="宋体" w:hAnsi="宋体" w:cs="宋体"/>
          <w:szCs w:val="21"/>
          <w:highlight w:val="none"/>
        </w:rPr>
        <w:fldChar w:fldCharType="separate"/>
      </w:r>
      <w:r>
        <w:rPr>
          <w:rFonts w:hint="eastAsia" w:ascii="宋体" w:hAnsi="宋体" w:cs="宋体"/>
          <w:highlight w:val="none"/>
        </w:rPr>
        <w:t>七、合同授予</w:t>
      </w:r>
      <w:r>
        <w:tab/>
      </w:r>
      <w:r>
        <w:fldChar w:fldCharType="begin"/>
      </w:r>
      <w:r>
        <w:instrText xml:space="preserve"> PAGEREF _Toc31656 \h </w:instrText>
      </w:r>
      <w:r>
        <w:fldChar w:fldCharType="separate"/>
      </w:r>
      <w:r>
        <w:t>17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24E797">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_Toc3871 </w:instrText>
      </w:r>
      <w:r>
        <w:rPr>
          <w:rFonts w:hint="eastAsia" w:ascii="宋体" w:hAnsi="宋体" w:cs="宋体"/>
          <w:szCs w:val="21"/>
          <w:highlight w:val="none"/>
        </w:rPr>
        <w:fldChar w:fldCharType="separate"/>
      </w:r>
      <w:r>
        <w:rPr>
          <w:rFonts w:hint="eastAsia" w:ascii="宋体" w:hAnsi="宋体" w:cs="宋体"/>
          <w:highlight w:val="none"/>
        </w:rPr>
        <w:t>八、纪律和监督</w:t>
      </w:r>
      <w:r>
        <w:tab/>
      </w:r>
      <w:r>
        <w:fldChar w:fldCharType="begin"/>
      </w:r>
      <w:r>
        <w:instrText xml:space="preserve"> PAGEREF _Toc3871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4F15692">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_Toc5813 </w:instrText>
      </w:r>
      <w:r>
        <w:rPr>
          <w:rFonts w:hint="eastAsia" w:ascii="宋体" w:hAnsi="宋体" w:cs="宋体"/>
          <w:szCs w:val="21"/>
          <w:highlight w:val="none"/>
        </w:rPr>
        <w:fldChar w:fldCharType="separate"/>
      </w:r>
      <w:r>
        <w:rPr>
          <w:rFonts w:hint="eastAsia" w:ascii="宋体" w:hAnsi="宋体" w:cs="宋体"/>
          <w:highlight w:val="none"/>
        </w:rPr>
        <w:t>九、需要补充的其他内容</w:t>
      </w:r>
      <w:r>
        <w:tab/>
      </w:r>
      <w:r>
        <w:fldChar w:fldCharType="begin"/>
      </w:r>
      <w:r>
        <w:instrText xml:space="preserve"> PAGEREF _Toc5813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44AFC45">
      <w:pPr>
        <w:pStyle w:val="14"/>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_Toc14068 </w:instrText>
      </w:r>
      <w:r>
        <w:rPr>
          <w:rFonts w:hint="eastAsia" w:ascii="宋体" w:hAnsi="宋体" w:cs="宋体"/>
          <w:szCs w:val="21"/>
          <w:highlight w:val="none"/>
        </w:rPr>
        <w:fldChar w:fldCharType="separate"/>
      </w:r>
      <w:r>
        <w:rPr>
          <w:rFonts w:hint="eastAsia" w:ascii="宋体" w:hAnsi="宋体" w:cs="宋体"/>
          <w:bCs w:val="0"/>
          <w:szCs w:val="36"/>
        </w:rPr>
        <w:t xml:space="preserve">第三章 </w:t>
      </w:r>
      <w:r>
        <w:rPr>
          <w:rFonts w:hint="eastAsia" w:ascii="宋体" w:hAnsi="宋体" w:cs="宋体"/>
          <w:szCs w:val="36"/>
          <w:highlight w:val="none"/>
        </w:rPr>
        <w:t>资格审查、符合性审查和评审方法</w:t>
      </w:r>
      <w:r>
        <w:tab/>
      </w:r>
      <w:r>
        <w:fldChar w:fldCharType="begin"/>
      </w:r>
      <w:r>
        <w:instrText xml:space="preserve"> PAGEREF _Toc14068 \h </w:instrText>
      </w:r>
      <w:r>
        <w:fldChar w:fldCharType="separate"/>
      </w:r>
      <w:r>
        <w:t>20</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B83CE1">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_Toc31333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一</w:t>
      </w:r>
      <w:r>
        <w:rPr>
          <w:rFonts w:hint="eastAsia" w:ascii="宋体" w:hAnsi="宋体" w:cs="宋体"/>
          <w:highlight w:val="none"/>
        </w:rPr>
        <w:t>、资格审查</w:t>
      </w:r>
      <w:r>
        <w:tab/>
      </w:r>
      <w:r>
        <w:fldChar w:fldCharType="begin"/>
      </w:r>
      <w:r>
        <w:instrText xml:space="preserve"> PAGEREF _Toc31333 \h </w:instrText>
      </w:r>
      <w:r>
        <w:fldChar w:fldCharType="separate"/>
      </w:r>
      <w:r>
        <w:t>20</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AD32433">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_Toc10231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二、</w:t>
      </w:r>
      <w:r>
        <w:rPr>
          <w:rFonts w:hint="eastAsia" w:ascii="宋体" w:hAnsi="宋体" w:cs="宋体"/>
          <w:highlight w:val="none"/>
        </w:rPr>
        <w:t>符合性审查</w:t>
      </w:r>
      <w:r>
        <w:tab/>
      </w:r>
      <w:r>
        <w:fldChar w:fldCharType="begin"/>
      </w:r>
      <w:r>
        <w:instrText xml:space="preserve"> PAGEREF _Toc10231 \h </w:instrText>
      </w:r>
      <w:r>
        <w:fldChar w:fldCharType="separate"/>
      </w:r>
      <w:r>
        <w:t>21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FAA39E5">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_Toc19010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三</w:t>
      </w:r>
      <w:r>
        <w:rPr>
          <w:rFonts w:hint="eastAsia" w:ascii="宋体" w:hAnsi="宋体" w:cs="宋体"/>
          <w:highlight w:val="none"/>
        </w:rPr>
        <w:t>、响应文件的澄清</w:t>
      </w:r>
      <w:r>
        <w:tab/>
      </w:r>
      <w:r>
        <w:fldChar w:fldCharType="begin"/>
      </w:r>
      <w:r>
        <w:instrText xml:space="preserve"> PAGEREF _Toc19010 \h </w:instrText>
      </w:r>
      <w:r>
        <w:fldChar w:fldCharType="separate"/>
      </w:r>
      <w:r>
        <w:t>22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3674239">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_Toc27212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四</w:t>
      </w:r>
      <w:r>
        <w:rPr>
          <w:rFonts w:hint="eastAsia" w:ascii="宋体" w:hAnsi="宋体" w:cs="宋体"/>
          <w:highlight w:val="none"/>
        </w:rPr>
        <w:t>、磋商</w:t>
      </w:r>
      <w:r>
        <w:tab/>
      </w:r>
      <w:r>
        <w:fldChar w:fldCharType="begin"/>
      </w:r>
      <w:r>
        <w:instrText xml:space="preserve"> PAGEREF _Toc27212 \h </w:instrText>
      </w:r>
      <w:r>
        <w:fldChar w:fldCharType="separate"/>
      </w:r>
      <w:r>
        <w:t>22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CA40B64">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_Toc7577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五</w:t>
      </w:r>
      <w:r>
        <w:rPr>
          <w:rFonts w:hint="eastAsia" w:ascii="宋体" w:hAnsi="宋体" w:cs="宋体"/>
          <w:highlight w:val="none"/>
        </w:rPr>
        <w:t>、综合评分</w:t>
      </w:r>
      <w:r>
        <w:tab/>
      </w:r>
      <w:r>
        <w:fldChar w:fldCharType="begin"/>
      </w:r>
      <w:r>
        <w:instrText xml:space="preserve"> PAGEREF _Toc7577 \h </w:instrText>
      </w:r>
      <w:r>
        <w:fldChar w:fldCharType="separate"/>
      </w:r>
      <w:r>
        <w:t>22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800082C">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_Toc4323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六</w:t>
      </w:r>
      <w:r>
        <w:rPr>
          <w:rFonts w:hint="eastAsia" w:ascii="宋体" w:hAnsi="宋体" w:cs="宋体"/>
          <w:highlight w:val="none"/>
        </w:rPr>
        <w:t>、评审报告</w:t>
      </w:r>
      <w:r>
        <w:tab/>
      </w:r>
      <w:r>
        <w:fldChar w:fldCharType="begin"/>
      </w:r>
      <w:r>
        <w:instrText xml:space="preserve"> PAGEREF _Toc4323 \h </w:instrText>
      </w:r>
      <w:r>
        <w:fldChar w:fldCharType="separate"/>
      </w:r>
      <w:r>
        <w:t>23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65352DB">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_Toc31017 </w:instrText>
      </w:r>
      <w:r>
        <w:rPr>
          <w:rFonts w:hint="eastAsia" w:ascii="宋体" w:hAnsi="宋体" w:cs="宋体"/>
          <w:szCs w:val="21"/>
          <w:highlight w:val="none"/>
        </w:rPr>
        <w:fldChar w:fldCharType="separate"/>
      </w:r>
      <w:r>
        <w:rPr>
          <w:rFonts w:hint="eastAsia" w:ascii="宋体" w:hAnsi="宋体" w:cs="宋体"/>
          <w:szCs w:val="21"/>
          <w:highlight w:val="none"/>
          <w:lang w:val="en-US" w:eastAsia="zh-CN"/>
        </w:rPr>
        <w:t>七</w:t>
      </w:r>
      <w:r>
        <w:rPr>
          <w:rFonts w:hint="eastAsia" w:ascii="宋体" w:hAnsi="宋体" w:cs="宋体"/>
          <w:highlight w:val="none"/>
        </w:rPr>
        <w:t>、重新评审</w:t>
      </w:r>
      <w:r>
        <w:tab/>
      </w:r>
      <w:r>
        <w:fldChar w:fldCharType="begin"/>
      </w:r>
      <w:r>
        <w:instrText xml:space="preserve"> PAGEREF _Toc31017 \h </w:instrText>
      </w:r>
      <w:r>
        <w:fldChar w:fldCharType="separate"/>
      </w:r>
      <w:r>
        <w:t>24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31F2B01">
      <w:pPr>
        <w:pStyle w:val="14"/>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_Toc31962 </w:instrText>
      </w:r>
      <w:r>
        <w:rPr>
          <w:rFonts w:hint="eastAsia" w:ascii="宋体" w:hAnsi="宋体" w:cs="宋体"/>
          <w:szCs w:val="21"/>
          <w:highlight w:val="none"/>
        </w:rPr>
        <w:fldChar w:fldCharType="separate"/>
      </w:r>
      <w:r>
        <w:rPr>
          <w:rFonts w:hint="eastAsia" w:ascii="宋体" w:hAnsi="宋体" w:cs="宋体"/>
          <w:bCs w:val="0"/>
          <w:szCs w:val="36"/>
        </w:rPr>
        <w:t>第</w:t>
      </w:r>
      <w:r>
        <w:rPr>
          <w:rFonts w:hint="eastAsia" w:ascii="宋体" w:hAnsi="宋体" w:cs="宋体"/>
          <w:bCs w:val="0"/>
          <w:szCs w:val="32"/>
        </w:rPr>
        <w:t>四章 合同</w:t>
      </w:r>
      <w:r>
        <w:tab/>
      </w:r>
      <w:r>
        <w:fldChar w:fldCharType="begin"/>
      </w:r>
      <w:r>
        <w:instrText xml:space="preserve"> PAGEREF _Toc31962 \h </w:instrText>
      </w:r>
      <w:r>
        <w:fldChar w:fldCharType="separate"/>
      </w:r>
      <w:r>
        <w:t>30</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D4E7134">
      <w:pPr>
        <w:pStyle w:val="14"/>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_Toc29547 </w:instrText>
      </w:r>
      <w:r>
        <w:rPr>
          <w:rFonts w:hint="eastAsia" w:ascii="宋体" w:hAnsi="宋体" w:cs="宋体"/>
          <w:szCs w:val="21"/>
          <w:highlight w:val="none"/>
        </w:rPr>
        <w:fldChar w:fldCharType="separate"/>
      </w:r>
      <w:r>
        <w:rPr>
          <w:rFonts w:hint="eastAsia" w:ascii="宋体" w:hAnsi="宋体" w:cs="宋体"/>
          <w:szCs w:val="24"/>
          <w:highlight w:val="none"/>
        </w:rPr>
        <w:t>第五章 采购需求</w:t>
      </w:r>
      <w:r>
        <w:tab/>
      </w:r>
      <w:r>
        <w:fldChar w:fldCharType="begin"/>
      </w:r>
      <w:r>
        <w:instrText xml:space="preserve"> PAGEREF _Toc29547 \h </w:instrText>
      </w:r>
      <w:r>
        <w:fldChar w:fldCharType="separate"/>
      </w:r>
      <w:r>
        <w:t>34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D03D8ED">
      <w:pPr>
        <w:pStyle w:val="14"/>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_Toc9533 </w:instrText>
      </w:r>
      <w:r>
        <w:rPr>
          <w:rFonts w:hint="eastAsia" w:ascii="宋体" w:hAnsi="宋体" w:cs="宋体"/>
          <w:szCs w:val="21"/>
          <w:highlight w:val="none"/>
        </w:rPr>
        <w:fldChar w:fldCharType="separate"/>
      </w:r>
      <w:r>
        <w:rPr>
          <w:rFonts w:hint="eastAsia" w:ascii="宋体" w:hAnsi="宋体" w:cs="宋体"/>
          <w:szCs w:val="24"/>
          <w:highlight w:val="none"/>
        </w:rPr>
        <w:t>第六章 响应文件格式</w:t>
      </w:r>
      <w:r>
        <w:tab/>
      </w:r>
      <w:r>
        <w:fldChar w:fldCharType="begin"/>
      </w:r>
      <w:r>
        <w:instrText xml:space="preserve"> PAGEREF _Toc9533 \h </w:instrText>
      </w:r>
      <w:r>
        <w:fldChar w:fldCharType="separate"/>
      </w:r>
      <w:r>
        <w:t>37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DBBE222">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_Toc16362 </w:instrText>
      </w:r>
      <w:r>
        <w:rPr>
          <w:rFonts w:hint="eastAsia" w:ascii="宋体" w:hAnsi="宋体" w:cs="宋体"/>
          <w:szCs w:val="21"/>
          <w:highlight w:val="none"/>
        </w:rPr>
        <w:fldChar w:fldCharType="separate"/>
      </w:r>
      <w:r>
        <w:rPr>
          <w:rFonts w:hint="eastAsia" w:ascii="宋体" w:hAnsi="宋体" w:eastAsia="宋体"/>
          <w:szCs w:val="28"/>
        </w:rPr>
        <w:t>目    录</w:t>
      </w:r>
      <w:r>
        <w:tab/>
      </w:r>
      <w:r>
        <w:fldChar w:fldCharType="begin"/>
      </w:r>
      <w:r>
        <w:instrText xml:space="preserve"> PAGEREF _Toc16362 \h </w:instrText>
      </w:r>
      <w:r>
        <w:fldChar w:fldCharType="separate"/>
      </w:r>
      <w:r>
        <w:t>38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CA60A28">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_Toc19818 </w:instrText>
      </w:r>
      <w:r>
        <w:rPr>
          <w:rFonts w:hint="eastAsia" w:ascii="宋体" w:hAnsi="宋体" w:cs="宋体"/>
          <w:szCs w:val="21"/>
          <w:highlight w:val="none"/>
        </w:rPr>
        <w:fldChar w:fldCharType="separate"/>
      </w:r>
      <w:r>
        <w:rPr>
          <w:rFonts w:hint="default" w:ascii="宋体" w:hAnsi="宋体" w:eastAsia="宋体"/>
        </w:rPr>
        <w:t xml:space="preserve">一、 </w:t>
      </w:r>
      <w:r>
        <w:rPr>
          <w:rFonts w:hint="eastAsia" w:ascii="宋体" w:hAnsi="宋体" w:eastAsia="宋体"/>
        </w:rPr>
        <w:t>磋商函及磋商函附录</w:t>
      </w:r>
      <w:r>
        <w:tab/>
      </w:r>
      <w:r>
        <w:fldChar w:fldCharType="begin"/>
      </w:r>
      <w:r>
        <w:instrText xml:space="preserve"> PAGEREF _Toc19818 \h </w:instrText>
      </w:r>
      <w:r>
        <w:fldChar w:fldCharType="separate"/>
      </w:r>
      <w:r>
        <w:t>39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96D2280">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_Toc643 </w:instrText>
      </w:r>
      <w:r>
        <w:rPr>
          <w:rFonts w:hint="eastAsia" w:ascii="宋体" w:hAnsi="宋体" w:cs="宋体"/>
          <w:szCs w:val="21"/>
          <w:highlight w:val="none"/>
        </w:rPr>
        <w:fldChar w:fldCharType="separate"/>
      </w:r>
      <w:r>
        <w:rPr>
          <w:rFonts w:hint="eastAsia" w:ascii="宋体" w:hAnsi="宋体" w:eastAsia="宋体"/>
        </w:rPr>
        <w:t>二、法定代表身份证明</w:t>
      </w:r>
      <w:r>
        <w:tab/>
      </w:r>
      <w:r>
        <w:fldChar w:fldCharType="begin"/>
      </w:r>
      <w:r>
        <w:instrText xml:space="preserve"> PAGEREF _Toc643 \h </w:instrText>
      </w:r>
      <w:r>
        <w:fldChar w:fldCharType="separate"/>
      </w:r>
      <w:r>
        <w:t>41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50B1E05">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_Toc10207 </w:instrText>
      </w:r>
      <w:r>
        <w:rPr>
          <w:rFonts w:hint="eastAsia" w:ascii="宋体" w:hAnsi="宋体" w:cs="宋体"/>
          <w:szCs w:val="21"/>
          <w:highlight w:val="none"/>
        </w:rPr>
        <w:fldChar w:fldCharType="separate"/>
      </w:r>
      <w:r>
        <w:rPr>
          <w:rFonts w:hint="eastAsia" w:ascii="宋体" w:hAnsi="宋体" w:eastAsia="宋体" w:cs="宋体"/>
        </w:rPr>
        <w:t>三、授权委托书</w:t>
      </w:r>
      <w:r>
        <w:tab/>
      </w:r>
      <w:r>
        <w:fldChar w:fldCharType="begin"/>
      </w:r>
      <w:r>
        <w:instrText xml:space="preserve"> PAGEREF _Toc10207 \h </w:instrText>
      </w:r>
      <w:r>
        <w:fldChar w:fldCharType="separate"/>
      </w:r>
      <w:r>
        <w:t>42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D285CD2">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_Toc4488 </w:instrText>
      </w:r>
      <w:r>
        <w:rPr>
          <w:rFonts w:hint="eastAsia" w:ascii="宋体" w:hAnsi="宋体" w:cs="宋体"/>
          <w:szCs w:val="21"/>
          <w:highlight w:val="none"/>
        </w:rPr>
        <w:fldChar w:fldCharType="separate"/>
      </w:r>
      <w:r>
        <w:rPr>
          <w:rFonts w:hint="eastAsia" w:ascii="宋体" w:hAnsi="宋体" w:eastAsia="宋体" w:cs="宋体"/>
          <w:lang w:val="en-US" w:eastAsia="zh-CN"/>
        </w:rPr>
        <w:t>四</w:t>
      </w:r>
      <w:r>
        <w:rPr>
          <w:rFonts w:hint="eastAsia" w:ascii="宋体" w:hAnsi="宋体" w:eastAsia="宋体" w:cs="宋体"/>
        </w:rPr>
        <w:t>、资格审查资料</w:t>
      </w:r>
      <w:r>
        <w:tab/>
      </w:r>
      <w:r>
        <w:fldChar w:fldCharType="begin"/>
      </w:r>
      <w:r>
        <w:instrText xml:space="preserve"> PAGEREF _Toc4488 \h </w:instrText>
      </w:r>
      <w:r>
        <w:fldChar w:fldCharType="separate"/>
      </w:r>
      <w:r>
        <w:t>43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86815A9">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_Toc4163 </w:instrText>
      </w:r>
      <w:r>
        <w:rPr>
          <w:rFonts w:hint="eastAsia" w:ascii="宋体" w:hAnsi="宋体" w:cs="宋体"/>
          <w:szCs w:val="21"/>
          <w:highlight w:val="none"/>
        </w:rPr>
        <w:fldChar w:fldCharType="separate"/>
      </w:r>
      <w:r>
        <w:rPr>
          <w:rFonts w:hint="eastAsia" w:ascii="宋体" w:hAnsi="宋体" w:eastAsia="宋体" w:cs="宋体"/>
          <w:lang w:val="en-US" w:eastAsia="zh-CN"/>
        </w:rPr>
        <w:t>五</w:t>
      </w:r>
      <w:r>
        <w:rPr>
          <w:rFonts w:hint="eastAsia" w:ascii="宋体" w:hAnsi="宋体" w:eastAsia="宋体" w:cs="宋体"/>
        </w:rPr>
        <w:t>、</w:t>
      </w:r>
      <w:r>
        <w:rPr>
          <w:rFonts w:hint="eastAsia" w:ascii="宋体" w:hAnsi="宋体" w:eastAsia="宋体" w:cs="宋体"/>
          <w:lang w:val="en-US" w:eastAsia="zh-CN"/>
        </w:rPr>
        <w:t>服务</w:t>
      </w:r>
      <w:r>
        <w:rPr>
          <w:rFonts w:hint="eastAsia" w:ascii="宋体" w:hAnsi="宋体" w:eastAsia="宋体" w:cs="宋体"/>
        </w:rPr>
        <w:t>方案</w:t>
      </w:r>
      <w:r>
        <w:tab/>
      </w:r>
      <w:r>
        <w:fldChar w:fldCharType="begin"/>
      </w:r>
      <w:r>
        <w:instrText xml:space="preserve"> PAGEREF _Toc4163 \h </w:instrText>
      </w:r>
      <w:r>
        <w:fldChar w:fldCharType="separate"/>
      </w:r>
      <w:r>
        <w:t>53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D0A3E1B">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_Toc17948 </w:instrText>
      </w:r>
      <w:r>
        <w:rPr>
          <w:rFonts w:hint="eastAsia" w:ascii="宋体" w:hAnsi="宋体" w:cs="宋体"/>
          <w:szCs w:val="21"/>
          <w:highlight w:val="none"/>
        </w:rPr>
        <w:fldChar w:fldCharType="separate"/>
      </w:r>
      <w:r>
        <w:rPr>
          <w:rFonts w:hint="eastAsia" w:ascii="宋体" w:hAnsi="宋体" w:eastAsia="宋体" w:cs="宋体"/>
          <w:lang w:val="en-US" w:eastAsia="zh-CN"/>
        </w:rPr>
        <w:t>六</w:t>
      </w:r>
      <w:r>
        <w:rPr>
          <w:rFonts w:hint="eastAsia" w:ascii="宋体" w:hAnsi="宋体" w:eastAsia="宋体" w:cs="宋体"/>
        </w:rPr>
        <w:t>、其他材料</w:t>
      </w:r>
      <w:r>
        <w:tab/>
      </w:r>
      <w:r>
        <w:fldChar w:fldCharType="begin"/>
      </w:r>
      <w:r>
        <w:instrText xml:space="preserve"> PAGEREF _Toc17948 \h </w:instrText>
      </w:r>
      <w:r>
        <w:fldChar w:fldCharType="separate"/>
      </w:r>
      <w:r>
        <w:t>54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9A86A13">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_Toc7909 </w:instrText>
      </w:r>
      <w:r>
        <w:rPr>
          <w:rFonts w:hint="eastAsia" w:ascii="宋体" w:hAnsi="宋体" w:cs="宋体"/>
          <w:szCs w:val="21"/>
          <w:highlight w:val="none"/>
        </w:rPr>
        <w:fldChar w:fldCharType="separate"/>
      </w:r>
      <w:r>
        <w:rPr>
          <w:rFonts w:hint="eastAsia" w:ascii="宋体" w:hAnsi="宋体" w:eastAsia="宋体"/>
          <w:lang w:val="en-US" w:eastAsia="zh-CN"/>
        </w:rPr>
        <w:t>七</w:t>
      </w:r>
      <w:r>
        <w:rPr>
          <w:rFonts w:hint="eastAsia" w:ascii="宋体" w:hAnsi="宋体" w:eastAsia="宋体"/>
        </w:rPr>
        <w:t>、</w:t>
      </w:r>
      <w:r>
        <w:rPr>
          <w:rFonts w:hint="eastAsia" w:ascii="Times New Roman" w:hAnsi="Times New Roman" w:eastAsia="宋体"/>
          <w:highlight w:val="none"/>
          <w:lang w:eastAsia="zh-CN"/>
        </w:rPr>
        <w:t>享有的政府采购优惠政策</w:t>
      </w:r>
      <w:r>
        <w:tab/>
      </w:r>
      <w:r>
        <w:fldChar w:fldCharType="begin"/>
      </w:r>
      <w:r>
        <w:instrText xml:space="preserve"> PAGEREF _Toc7909 \h </w:instrText>
      </w:r>
      <w:r>
        <w:fldChar w:fldCharType="separate"/>
      </w:r>
      <w:r>
        <w:t>56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94607CB">
      <w:pPr>
        <w:pStyle w:val="16"/>
        <w:tabs>
          <w:tab w:val="right" w:leader="dot" w:pos="8782"/>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_Toc13373 </w:instrText>
      </w:r>
      <w:r>
        <w:rPr>
          <w:rFonts w:hint="eastAsia" w:ascii="宋体" w:hAnsi="宋体" w:cs="宋体"/>
          <w:szCs w:val="21"/>
          <w:highlight w:val="none"/>
        </w:rPr>
        <w:fldChar w:fldCharType="separate"/>
      </w:r>
      <w:r>
        <w:rPr>
          <w:rFonts w:hint="eastAsia" w:ascii="宋体" w:hAnsi="宋体" w:eastAsia="宋体" w:cs="宋体"/>
          <w:kern w:val="0"/>
          <w:highlight w:val="none"/>
          <w:lang w:val="zh-CN"/>
        </w:rPr>
        <w:t>供应商最后报价表</w:t>
      </w:r>
      <w:r>
        <w:tab/>
      </w:r>
      <w:r>
        <w:fldChar w:fldCharType="begin"/>
      </w:r>
      <w:r>
        <w:instrText xml:space="preserve"> PAGEREF _Toc13373 \h </w:instrText>
      </w:r>
      <w:r>
        <w:fldChar w:fldCharType="separate"/>
      </w:r>
      <w:r>
        <w:t>59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40EFA75">
      <w:pPr>
        <w:pStyle w:val="3"/>
        <w:spacing w:line="360" w:lineRule="auto"/>
        <w:rPr>
          <w:rFonts w:ascii="宋体" w:hAnsi="宋体" w:cs="宋体"/>
          <w:b w:val="0"/>
          <w:color w:val="000000" w:themeColor="text1"/>
          <w:szCs w:val="24"/>
          <w:highlight w:val="none"/>
          <w14:textFill>
            <w14:solidFill>
              <w14:schemeClr w14:val="tx1"/>
            </w14:solidFill>
          </w14:textFill>
        </w:rPr>
        <w:sectPr>
          <w:headerReference r:id="rId3" w:type="default"/>
          <w:pgSz w:w="11900" w:h="16843"/>
          <w:pgMar w:top="1417" w:right="1559" w:bottom="1417" w:left="1559" w:header="0" w:footer="0" w:gutter="0"/>
          <w:cols w:space="720" w:num="1"/>
          <w:docGrid w:linePitch="286" w:charSpace="0"/>
        </w:sectPr>
      </w:pPr>
      <w:r>
        <w:rPr>
          <w:rFonts w:hint="eastAsia" w:ascii="宋体" w:hAnsi="宋体" w:cs="宋体"/>
          <w:color w:val="000000" w:themeColor="text1"/>
          <w:szCs w:val="21"/>
          <w:highlight w:val="none"/>
          <w14:textFill>
            <w14:solidFill>
              <w14:schemeClr w14:val="tx1"/>
            </w14:solidFill>
          </w14:textFill>
        </w:rPr>
        <w:fldChar w:fldCharType="end"/>
      </w:r>
    </w:p>
    <w:p w14:paraId="0643A017">
      <w:pPr>
        <w:snapToGrid w:val="0"/>
        <w:spacing w:before="120" w:beforeLines="50"/>
        <w:jc w:val="center"/>
        <w:rPr>
          <w:b/>
          <w:bCs/>
          <w:sz w:val="32"/>
          <w:szCs w:val="32"/>
        </w:rPr>
      </w:pPr>
      <w:bookmarkStart w:id="2" w:name="_Toc8734"/>
      <w:r>
        <w:rPr>
          <w:rFonts w:hint="eastAsia"/>
          <w:b/>
          <w:bCs/>
          <w:sz w:val="32"/>
          <w:szCs w:val="32"/>
        </w:rPr>
        <w:t>特 别 提 示</w:t>
      </w:r>
    </w:p>
    <w:p w14:paraId="70633AA9">
      <w:pPr>
        <w:spacing w:line="360" w:lineRule="auto"/>
        <w:ind w:firstLine="420" w:firstLineChars="200"/>
      </w:pPr>
    </w:p>
    <w:p w14:paraId="2F61D486">
      <w:pPr>
        <w:spacing w:line="360" w:lineRule="auto"/>
        <w:ind w:firstLine="420" w:firstLineChars="200"/>
        <w:rPr>
          <w:rFonts w:ascii="宋体" w:hAnsi="宋体" w:cs="宋体"/>
        </w:rPr>
      </w:pPr>
      <w:r>
        <w:rPr>
          <w:rFonts w:hint="eastAsia" w:ascii="宋体" w:hAnsi="宋体" w:cs="宋体"/>
        </w:rPr>
        <w:t>1、供应商首先通过“河南省公共资源交易中心（</w:t>
      </w:r>
      <w:r>
        <w:fldChar w:fldCharType="begin"/>
      </w:r>
      <w:r>
        <w:instrText xml:space="preserve"> HYPERLINK "http://www.hnggzy.com/" </w:instrText>
      </w:r>
      <w:r>
        <w:fldChar w:fldCharType="separate"/>
      </w:r>
      <w:r>
        <w:rPr>
          <w:rFonts w:hint="eastAsia" w:ascii="宋体" w:hAnsi="宋体" w:cs="宋体"/>
        </w:rPr>
        <w:t>www.hnggzy.com</w:t>
      </w:r>
      <w:r>
        <w:rPr>
          <w:rFonts w:ascii="宋体" w:hAnsi="宋体" w:cs="宋体"/>
        </w:rPr>
        <w:fldChar w:fldCharType="end"/>
      </w:r>
      <w:r>
        <w:rPr>
          <w:rFonts w:hint="eastAsia" w:ascii="宋体" w:hAnsi="宋体" w:cs="宋体"/>
        </w:rPr>
        <w:t>）”网站进行注册，然后按网站公共服务（办事指南及下载专区）公共资源项目CA办理流程准备齐注册资料，最后根据《河南省公共资源交易中心关于数字证书（CA）互认功能上线试运行的通知》办理CA密钥，完成注册。</w:t>
      </w:r>
    </w:p>
    <w:p w14:paraId="234E8F54">
      <w:pPr>
        <w:spacing w:line="360" w:lineRule="auto"/>
        <w:ind w:firstLine="420" w:firstLineChars="200"/>
        <w:rPr>
          <w:rFonts w:ascii="宋体" w:hAnsi="宋体" w:cs="宋体"/>
        </w:rPr>
      </w:pPr>
      <w:r>
        <w:rPr>
          <w:rFonts w:hint="eastAsia" w:ascii="宋体" w:hAnsi="宋体" w:cs="宋体"/>
        </w:rPr>
        <w:t>2、投标（响应）文件制作</w:t>
      </w:r>
    </w:p>
    <w:p w14:paraId="5C82B113">
      <w:pPr>
        <w:spacing w:line="360" w:lineRule="auto"/>
        <w:ind w:firstLine="420" w:firstLineChars="200"/>
        <w:rPr>
          <w:rFonts w:ascii="宋体" w:hAnsi="宋体" w:cs="宋体"/>
        </w:rPr>
      </w:pPr>
      <w:r>
        <w:rPr>
          <w:rFonts w:hint="eastAsia" w:ascii="宋体" w:hAnsi="宋体" w:cs="宋体"/>
        </w:rPr>
        <w:t>2.1供应商通过“河南省公共资源交易中心（http://www.hnggzy.com）”网站公共服务（办事指南及下载专区）：下载“投标文件制作工具安装包压缩文件下载”等。</w:t>
      </w:r>
    </w:p>
    <w:p w14:paraId="3EC3442C">
      <w:pPr>
        <w:spacing w:line="360" w:lineRule="auto"/>
        <w:ind w:firstLine="420" w:firstLineChars="200"/>
        <w:rPr>
          <w:rFonts w:ascii="宋体" w:hAnsi="宋体" w:cs="宋体"/>
        </w:rPr>
      </w:pPr>
      <w:r>
        <w:rPr>
          <w:rFonts w:hint="eastAsia" w:ascii="宋体" w:hAnsi="宋体" w:cs="宋体"/>
        </w:rPr>
        <w:t>2.2供应商凭CA密钥登陆并按网上提示自行下载每个项目所含格式(.hnzf)的竞争性磋商文件。</w:t>
      </w:r>
    </w:p>
    <w:p w14:paraId="261A57B5">
      <w:pPr>
        <w:spacing w:line="360" w:lineRule="auto"/>
        <w:ind w:firstLine="420" w:firstLineChars="200"/>
        <w:rPr>
          <w:rFonts w:ascii="宋体" w:hAnsi="宋体" w:cs="宋体"/>
        </w:rPr>
      </w:pPr>
      <w:r>
        <w:rPr>
          <w:rFonts w:hint="eastAsia" w:ascii="宋体" w:hAnsi="宋体" w:cs="宋体"/>
        </w:rPr>
        <w:t>2.3供应商须在投标（响应）文件递交截止时间前制作并提交：（1）加密的电子投标（响应）文件（*.hntf格式）,应在投标（响应）文件截止时间前通过“河南省公共资源交易中心（http://www.hnggzy.com）”电子交易平台内上传；</w:t>
      </w:r>
    </w:p>
    <w:p w14:paraId="23362D57">
      <w:pPr>
        <w:spacing w:line="360" w:lineRule="auto"/>
        <w:ind w:firstLine="420" w:firstLineChars="200"/>
        <w:rPr>
          <w:rFonts w:ascii="宋体" w:hAnsi="宋体" w:cs="宋体"/>
        </w:rPr>
      </w:pPr>
      <w:r>
        <w:rPr>
          <w:rFonts w:hint="eastAsia" w:ascii="宋体" w:hAnsi="宋体" w:cs="宋体"/>
        </w:rPr>
        <w:t>2.4加密的电子投标（响应）文件为“河南省公共资源交易中心（http://www.hnggzy.com）”网站提供的“投标（响应）文件制作工具”软件制作生成的加密版投标（响应）文件。</w:t>
      </w:r>
    </w:p>
    <w:p w14:paraId="36D643D2">
      <w:pPr>
        <w:spacing w:line="360" w:lineRule="auto"/>
        <w:ind w:firstLine="422" w:firstLineChars="200"/>
        <w:rPr>
          <w:rFonts w:ascii="宋体" w:hAnsi="宋体" w:cs="宋体"/>
          <w:b/>
          <w:bCs/>
        </w:rPr>
      </w:pPr>
      <w:r>
        <w:rPr>
          <w:rFonts w:hint="eastAsia" w:ascii="宋体" w:hAnsi="宋体" w:cs="宋体"/>
          <w:b/>
          <w:bCs/>
        </w:rPr>
        <w:t>2.5供应商在制作电子投标（响应）文件时，“投标（响应）文件制作工具”左侧栏目“封面”、“报价一览表”制作完成后须加盖电子签章（包括企业电子签章、个人电子签章）。</w:t>
      </w:r>
    </w:p>
    <w:p w14:paraId="4840CE9F">
      <w:pPr>
        <w:spacing w:line="360" w:lineRule="auto"/>
        <w:ind w:firstLine="422" w:firstLineChars="200"/>
        <w:rPr>
          <w:rFonts w:ascii="宋体" w:hAnsi="宋体" w:cs="宋体"/>
          <w:b/>
          <w:bCs/>
        </w:rPr>
      </w:pPr>
      <w:r>
        <w:rPr>
          <w:rFonts w:hint="eastAsia" w:ascii="宋体" w:hAnsi="宋体" w:cs="宋体"/>
          <w:b/>
          <w:bCs/>
        </w:rPr>
        <w:t>2.6竞争性磋商文件格式所要求包含的全部资料应全部制作在投标文件内，严格按照本项目竞争性磋商文件所有格式如实填写（不涉及的内容除外），不应存在漏项或缺项，否则将存在投标（响应）文件被拒绝的风险。报价一览表，须严格按照格式编辑，并作为电子开评标系统上传的依据。“投标（响应）文件制作工具”左侧栏目中“报价一览表”为公共资源交易中心系统默认设置，该“报价一览表”若与竞争性磋商文件中规定格式不一致，不作为实质性条款及废标条款。</w:t>
      </w:r>
    </w:p>
    <w:p w14:paraId="3534CF81">
      <w:pPr>
        <w:spacing w:line="360" w:lineRule="auto"/>
        <w:ind w:firstLine="420" w:firstLineChars="200"/>
        <w:rPr>
          <w:rFonts w:ascii="宋体" w:hAnsi="宋体" w:cs="宋体"/>
        </w:rPr>
      </w:pPr>
      <w:r>
        <w:rPr>
          <w:rFonts w:hint="eastAsia" w:ascii="宋体" w:hAnsi="宋体" w:cs="宋体"/>
        </w:rPr>
        <w:t>2.7供应商（供应商）编制投标（响应）文件时，涉及营业执照、资质、业绩、获奖、人员、财务、社保、纳税、各类证书等内容，应及时对市场主体信息库的相关内容进行补充、更新。</w:t>
      </w:r>
    </w:p>
    <w:p w14:paraId="4CA1A7CD">
      <w:pPr>
        <w:spacing w:line="360" w:lineRule="auto"/>
        <w:ind w:firstLine="420" w:firstLineChars="200"/>
        <w:rPr>
          <w:rFonts w:ascii="宋体" w:hAnsi="宋体" w:cs="宋体"/>
        </w:rPr>
      </w:pPr>
      <w:r>
        <w:rPr>
          <w:rFonts w:hint="eastAsia" w:ascii="宋体" w:hAnsi="宋体" w:cs="宋体"/>
        </w:rPr>
        <w:t>2.8供应商编辑电子投标（响应）文件时，根据竞争性磋商文件要求用法人CA密钥和企业CA密钥进行签章制作；最后一步生成电子投标文件（*.hntf格式和*.nhntf格式）时，只能用本单位的企业CA密钥。</w:t>
      </w:r>
    </w:p>
    <w:p w14:paraId="64589904">
      <w:pPr>
        <w:spacing w:line="360" w:lineRule="auto"/>
        <w:ind w:firstLine="420" w:firstLineChars="200"/>
        <w:rPr>
          <w:rFonts w:ascii="宋体" w:hAnsi="宋体" w:cs="宋体"/>
        </w:rPr>
      </w:pPr>
      <w:r>
        <w:rPr>
          <w:rFonts w:hint="eastAsia" w:ascii="宋体" w:hAnsi="宋体" w:cs="宋体"/>
        </w:rPr>
        <w:t>3、澄清与变更</w:t>
      </w:r>
    </w:p>
    <w:p w14:paraId="17EC33F5">
      <w:pPr>
        <w:spacing w:line="360" w:lineRule="auto"/>
        <w:ind w:firstLine="420" w:firstLineChars="200"/>
        <w:rPr>
          <w:rFonts w:hint="eastAsia" w:ascii="宋体" w:hAnsi="宋体" w:cs="宋体"/>
        </w:rPr>
        <w:sectPr>
          <w:footerReference r:id="rId5" w:type="first"/>
          <w:footerReference r:id="rId4" w:type="default"/>
          <w:pgSz w:w="11906" w:h="16838"/>
          <w:pgMar w:top="1559" w:right="1531" w:bottom="1418" w:left="1554" w:header="57" w:footer="992" w:gutter="0"/>
          <w:pgNumType w:fmt="decimal" w:start="1"/>
          <w:cols w:space="720" w:num="1"/>
          <w:titlePg/>
          <w:docGrid w:linePitch="312" w:charSpace="0"/>
        </w:sectPr>
      </w:pPr>
      <w:r>
        <w:rPr>
          <w:rFonts w:hint="eastAsia" w:ascii="宋体" w:hAnsi="宋体" w:cs="宋体"/>
        </w:rPr>
        <w:t>采购人、采购代理机构对已发出的竞争性磋商文件进行的澄清、更正或更改，澄清、更正或更改的内容将作为竞争性磋商文件的组成部分。采购代理机构将通过网站“变更公告”和系统内部“答疑文件”告知供应商，对于各项目中已经成功报名并下载竞争性磋商文件的项目供应商，系统将通过第三方短信群发方式提醒供应商进行查询。各供应商须重新下载最新的竞争性磋商文件和答疑文件，以此编制投标文件。供应商注册时所留手机联系方式要保持畅通，因联系方式变</w:t>
      </w:r>
    </w:p>
    <w:p w14:paraId="083657EC">
      <w:pPr>
        <w:spacing w:line="360" w:lineRule="auto"/>
        <w:ind w:firstLine="420" w:firstLineChars="200"/>
        <w:rPr>
          <w:rFonts w:ascii="宋体" w:hAnsi="宋体" w:cs="宋体"/>
        </w:rPr>
      </w:pPr>
      <w:r>
        <w:rPr>
          <w:rFonts w:hint="eastAsia" w:ascii="宋体" w:hAnsi="宋体" w:cs="宋体"/>
        </w:rPr>
        <w:t>更而未及时更新系统内联系方式的，将会造成收不到短信。此短信仅系友情提示，并不具有任何约束性和必要性，采购代理机构不承担供应商未收到短信而引起的一切后果和法律责任。</w:t>
      </w:r>
    </w:p>
    <w:p w14:paraId="236443DE">
      <w:pPr>
        <w:numPr>
          <w:ilvl w:val="0"/>
          <w:numId w:val="3"/>
        </w:numPr>
        <w:spacing w:line="360" w:lineRule="auto"/>
        <w:ind w:firstLine="420" w:firstLineChars="200"/>
        <w:rPr>
          <w:rFonts w:ascii="宋体" w:hAnsi="宋体" w:cs="宋体"/>
        </w:rPr>
      </w:pPr>
      <w:r>
        <w:rPr>
          <w:rFonts w:hint="eastAsia" w:ascii="宋体" w:hAnsi="宋体" w:cs="宋体"/>
        </w:rPr>
        <w:t>因河南省公共资源交易中心平台在开标前具有保密性，供应商在投标文件递交截止时间前须自行查看项目进展、变更通知、澄清及回复，因供应商未及时查看而造成的后果自负。</w:t>
      </w:r>
    </w:p>
    <w:p w14:paraId="13A99F46">
      <w:pPr>
        <w:spacing w:line="360" w:lineRule="auto"/>
        <w:ind w:firstLine="422" w:firstLineChars="200"/>
        <w:rPr>
          <w:rFonts w:ascii="宋体" w:hAnsi="宋体" w:cs="宋体"/>
          <w:b/>
          <w:bCs/>
        </w:rPr>
      </w:pPr>
      <w:r>
        <w:rPr>
          <w:rFonts w:hint="eastAsia" w:ascii="宋体" w:hAnsi="宋体" w:cs="宋体"/>
          <w:b/>
          <w:bCs/>
        </w:rPr>
        <w:t>5、根据《河南省发展和改革委员会关于对〈关于认定供应商投标文件制作机器码一致视为串通投标行为的请示〉相关问题的批复》（豫发改公管〔2019〕198号的文件精神，如出现“投标文件制作机器码一致”的情形，投标文件制作机器码一致的投标文件均作无效标处理。</w:t>
      </w:r>
    </w:p>
    <w:p w14:paraId="40036BD8">
      <w:pPr>
        <w:pStyle w:val="58"/>
        <w:spacing w:line="360" w:lineRule="auto"/>
        <w:ind w:left="0" w:firstLine="422" w:firstLineChars="200"/>
        <w:outlineLvl w:val="9"/>
        <w:rPr>
          <w:rFonts w:ascii="宋体" w:hAnsi="宋体" w:cs="宋体"/>
          <w:sz w:val="21"/>
        </w:rPr>
      </w:pPr>
      <w:r>
        <w:rPr>
          <w:rFonts w:hint="eastAsia" w:ascii="宋体" w:hAnsi="宋体" w:cs="宋体"/>
          <w:sz w:val="21"/>
        </w:rPr>
        <w:t>6、投标保证金：本项目不收取投标保证金，若交易中心系统内开标一览表确需填写，保证金金额可以填写“0”。</w:t>
      </w:r>
    </w:p>
    <w:p w14:paraId="25667B88">
      <w:pPr>
        <w:pStyle w:val="58"/>
        <w:spacing w:line="360" w:lineRule="auto"/>
        <w:ind w:left="0" w:firstLine="422" w:firstLineChars="200"/>
        <w:outlineLvl w:val="9"/>
        <w:rPr>
          <w:rFonts w:ascii="宋体" w:hAnsi="宋体" w:cs="宋体"/>
          <w:sz w:val="21"/>
        </w:rPr>
      </w:pPr>
      <w:r>
        <w:rPr>
          <w:rFonts w:hint="eastAsia" w:ascii="宋体" w:hAnsi="宋体" w:cs="宋体"/>
          <w:sz w:val="21"/>
        </w:rPr>
        <w:t>7、请参照河南省公共资源交易中心首页-公共服务-办事指南-《河南省公共资源交易平台不见面服务系统使用指南》，本次项目实行远程不见面招标。</w:t>
      </w:r>
    </w:p>
    <w:p w14:paraId="7C342B3A">
      <w:pPr>
        <w:pStyle w:val="58"/>
        <w:spacing w:line="360" w:lineRule="auto"/>
        <w:ind w:left="0" w:firstLine="422" w:firstLineChars="200"/>
        <w:outlineLvl w:val="9"/>
        <w:rPr>
          <w:rFonts w:ascii="宋体" w:hAnsi="宋体" w:cs="宋体"/>
          <w:sz w:val="21"/>
        </w:rPr>
      </w:pPr>
      <w:r>
        <w:rPr>
          <w:rFonts w:hint="eastAsia" w:ascii="宋体" w:hAnsi="宋体" w:cs="宋体"/>
          <w:sz w:val="21"/>
        </w:rPr>
        <w:t>8、未到现场解密的供应商，请持编制投标文件的CA钥匙进行在线远程解密，逾期解密或超时解密将被拒绝。</w:t>
      </w:r>
    </w:p>
    <w:p w14:paraId="13BF53B5">
      <w:pPr>
        <w:ind w:firstLine="422" w:firstLineChars="200"/>
        <w:jc w:val="both"/>
        <w:outlineLvl w:val="9"/>
        <w:rPr>
          <w:rFonts w:hint="eastAsia" w:ascii="宋体" w:hAnsi="宋体" w:cs="宋体"/>
          <w:color w:val="000000" w:themeColor="text1"/>
          <w:sz w:val="36"/>
          <w:szCs w:val="24"/>
          <w:highlight w:val="none"/>
          <w14:textFill>
            <w14:solidFill>
              <w14:schemeClr w14:val="tx1"/>
            </w14:solidFill>
          </w14:textFill>
        </w:rPr>
      </w:pPr>
      <w:r>
        <w:rPr>
          <w:rFonts w:hint="eastAsia" w:ascii="宋体" w:hAnsi="宋体" w:eastAsia="宋体" w:cs="宋体"/>
          <w:b/>
          <w:bCs/>
          <w:kern w:val="2"/>
          <w:sz w:val="21"/>
          <w:szCs w:val="24"/>
          <w:lang w:val="en-US" w:eastAsia="zh-CN" w:bidi="ar-SA"/>
        </w:rPr>
        <w:t>9、各供应商请注意根据竞争性磋商文件要求，在规定的时间内完成第二轮报价。</w:t>
      </w:r>
    </w:p>
    <w:p w14:paraId="1D889438">
      <w:pPr>
        <w:rPr>
          <w:rFonts w:hint="eastAsia" w:ascii="宋体" w:hAnsi="宋体" w:cs="宋体"/>
          <w:color w:val="000000" w:themeColor="text1"/>
          <w:sz w:val="36"/>
          <w:szCs w:val="24"/>
          <w:highlight w:val="none"/>
          <w14:textFill>
            <w14:solidFill>
              <w14:schemeClr w14:val="tx1"/>
            </w14:solidFill>
          </w14:textFill>
        </w:rPr>
      </w:pPr>
      <w:r>
        <w:rPr>
          <w:rFonts w:hint="eastAsia" w:ascii="宋体" w:hAnsi="宋体" w:cs="宋体"/>
          <w:color w:val="000000" w:themeColor="text1"/>
          <w:sz w:val="36"/>
          <w:szCs w:val="24"/>
          <w:highlight w:val="none"/>
          <w14:textFill>
            <w14:solidFill>
              <w14:schemeClr w14:val="tx1"/>
            </w14:solidFill>
          </w14:textFill>
        </w:rPr>
        <w:br w:type="page"/>
      </w:r>
    </w:p>
    <w:p w14:paraId="216F5FB4">
      <w:pPr>
        <w:pStyle w:val="3"/>
        <w:rPr>
          <w:rFonts w:ascii="宋体" w:hAnsi="宋体" w:cs="宋体"/>
          <w:color w:val="000000" w:themeColor="text1"/>
          <w:sz w:val="36"/>
          <w:szCs w:val="24"/>
          <w:highlight w:val="none"/>
          <w14:textFill>
            <w14:solidFill>
              <w14:schemeClr w14:val="tx1"/>
            </w14:solidFill>
          </w14:textFill>
        </w:rPr>
      </w:pPr>
      <w:bookmarkStart w:id="3" w:name="_Toc19735"/>
      <w:r>
        <w:rPr>
          <w:rFonts w:hint="eastAsia" w:ascii="宋体" w:hAnsi="宋体" w:cs="宋体"/>
          <w:color w:val="000000" w:themeColor="text1"/>
          <w:sz w:val="36"/>
          <w:szCs w:val="24"/>
          <w:highlight w:val="none"/>
          <w14:textFill>
            <w14:solidFill>
              <w14:schemeClr w14:val="tx1"/>
            </w14:solidFill>
          </w14:textFill>
        </w:rPr>
        <w:t xml:space="preserve">第一章 </w:t>
      </w:r>
      <w:bookmarkEnd w:id="0"/>
      <w:bookmarkEnd w:id="1"/>
      <w:r>
        <w:rPr>
          <w:rFonts w:hint="eastAsia" w:ascii="宋体" w:hAnsi="宋体" w:cs="宋体"/>
          <w:color w:val="000000" w:themeColor="text1"/>
          <w:sz w:val="36"/>
          <w:szCs w:val="24"/>
          <w:highlight w:val="none"/>
          <w14:textFill>
            <w14:solidFill>
              <w14:schemeClr w14:val="tx1"/>
            </w14:solidFill>
          </w14:textFill>
        </w:rPr>
        <w:t>竞争性磋商公告</w:t>
      </w:r>
      <w:bookmarkEnd w:id="2"/>
      <w:bookmarkEnd w:id="3"/>
    </w:p>
    <w:p w14:paraId="45F335DB">
      <w:pPr>
        <w:rPr>
          <w:rFonts w:ascii="宋体" w:hAnsi="宋体" w:cs="宋体"/>
          <w:color w:val="000000" w:themeColor="text1"/>
          <w:highlight w:val="none"/>
          <w14:textFill>
            <w14:solidFill>
              <w14:schemeClr w14:val="tx1"/>
            </w14:solidFill>
          </w14:textFill>
        </w:rPr>
      </w:pPr>
    </w:p>
    <w:p w14:paraId="04FA4A72">
      <w:pPr>
        <w:spacing w:line="400" w:lineRule="exact"/>
        <w:jc w:val="center"/>
        <w:rPr>
          <w:rFonts w:ascii="宋体" w:hAnsi="宋体" w:cs="宋体"/>
          <w:b/>
          <w:color w:val="000000" w:themeColor="text1"/>
          <w:spacing w:val="-6"/>
          <w:sz w:val="28"/>
          <w:szCs w:val="28"/>
          <w:highlight w:val="none"/>
          <w14:textFill>
            <w14:solidFill>
              <w14:schemeClr w14:val="tx1"/>
            </w14:solidFill>
          </w14:textFill>
        </w:rPr>
      </w:pPr>
      <w:r>
        <w:rPr>
          <w:rFonts w:hint="eastAsia" w:ascii="宋体" w:hAnsi="宋体" w:cs="宋体"/>
          <w:b/>
          <w:color w:val="000000" w:themeColor="text1"/>
          <w:spacing w:val="-6"/>
          <w:sz w:val="28"/>
          <w:szCs w:val="28"/>
          <w:highlight w:val="none"/>
          <w:lang w:eastAsia="zh-CN"/>
          <w14:textFill>
            <w14:solidFill>
              <w14:schemeClr w14:val="tx1"/>
            </w14:solidFill>
          </w14:textFill>
        </w:rPr>
        <w:t>河南法官进修学院后厨劳务外包项目（</w:t>
      </w:r>
      <w:r>
        <w:rPr>
          <w:rFonts w:hint="eastAsia" w:ascii="宋体" w:hAnsi="宋体" w:cs="宋体"/>
          <w:b/>
          <w:color w:val="000000" w:themeColor="text1"/>
          <w:spacing w:val="-6"/>
          <w:sz w:val="28"/>
          <w:szCs w:val="28"/>
          <w:highlight w:val="none"/>
          <w:lang w:val="en-US" w:eastAsia="zh-CN"/>
          <w14:textFill>
            <w14:solidFill>
              <w14:schemeClr w14:val="tx1"/>
            </w14:solidFill>
          </w14:textFill>
        </w:rPr>
        <w:t>二次</w:t>
      </w:r>
      <w:r>
        <w:rPr>
          <w:rFonts w:hint="eastAsia" w:ascii="宋体" w:hAnsi="宋体" w:cs="宋体"/>
          <w:b/>
          <w:color w:val="000000" w:themeColor="text1"/>
          <w:spacing w:val="-6"/>
          <w:sz w:val="28"/>
          <w:szCs w:val="28"/>
          <w:highlight w:val="none"/>
          <w:lang w:eastAsia="zh-CN"/>
          <w14:textFill>
            <w14:solidFill>
              <w14:schemeClr w14:val="tx1"/>
            </w14:solidFill>
          </w14:textFill>
        </w:rPr>
        <w:t>）</w:t>
      </w:r>
      <w:r>
        <w:rPr>
          <w:rFonts w:hint="eastAsia" w:ascii="宋体" w:hAnsi="宋体" w:cs="宋体"/>
          <w:b/>
          <w:color w:val="000000" w:themeColor="text1"/>
          <w:spacing w:val="-6"/>
          <w:sz w:val="28"/>
          <w:szCs w:val="28"/>
          <w:highlight w:val="none"/>
          <w14:textFill>
            <w14:solidFill>
              <w14:schemeClr w14:val="tx1"/>
            </w14:solidFill>
          </w14:textFill>
        </w:rPr>
        <w:t>竞争性磋商公告</w:t>
      </w:r>
    </w:p>
    <w:p w14:paraId="0A89FA53">
      <w:pPr>
        <w:rPr>
          <w:rFonts w:ascii="宋体" w:hAnsi="宋体" w:cs="宋体"/>
          <w:color w:val="000000" w:themeColor="text1"/>
          <w:highlight w:val="none"/>
          <w14:textFill>
            <w14:solidFill>
              <w14:schemeClr w14:val="tx1"/>
            </w14:solidFill>
          </w14:textFill>
        </w:rPr>
      </w:pPr>
      <w:bookmarkStart w:id="4" w:name="_Toc35393798"/>
      <w:bookmarkStart w:id="5" w:name="_Toc28359089"/>
      <w:bookmarkStart w:id="6" w:name="_Toc28359012"/>
      <w:bookmarkStart w:id="7" w:name="_Toc35393629"/>
    </w:p>
    <w:p w14:paraId="2D9A93B8">
      <w:pPr>
        <w:keepNext w:val="0"/>
        <w:keepLines w:val="0"/>
        <w:pageBreakBefore w:val="0"/>
        <w:widowControl/>
        <w:wordWrap/>
        <w:autoSpaceDE w:val="0"/>
        <w:bidi w:val="0"/>
        <w:spacing w:line="360" w:lineRule="auto"/>
        <w:textAlignment w:val="auto"/>
        <w:outlineLvl w:val="9"/>
        <w:rPr>
          <w:rFonts w:hint="eastAsia" w:ascii="宋体" w:hAnsi="宋体" w:cs="宋体"/>
          <w:b/>
          <w:bCs/>
          <w:sz w:val="21"/>
          <w:szCs w:val="21"/>
        </w:rPr>
      </w:pPr>
      <w:bookmarkStart w:id="8" w:name="_Toc27158"/>
      <w:bookmarkStart w:id="9" w:name="_Toc2764"/>
      <w:r>
        <w:rPr>
          <w:rFonts w:hint="eastAsia" w:ascii="宋体" w:hAnsi="宋体" w:cs="宋体"/>
          <w:b/>
          <w:bCs/>
          <w:sz w:val="21"/>
          <w:szCs w:val="21"/>
        </w:rPr>
        <w:t>项目概况</w:t>
      </w:r>
    </w:p>
    <w:p w14:paraId="52E88D34">
      <w:pPr>
        <w:keepNext w:val="0"/>
        <w:keepLines w:val="0"/>
        <w:pageBreakBefore w:val="0"/>
        <w:widowControl/>
        <w:kinsoku w:val="0"/>
        <w:wordWrap/>
        <w:overflowPunct w:val="0"/>
        <w:topLinePunct w:val="0"/>
        <w:autoSpaceDE w:val="0"/>
        <w:autoSpaceDN w:val="0"/>
        <w:bidi w:val="0"/>
        <w:adjustRightInd/>
        <w:snapToGrid/>
        <w:spacing w:line="360" w:lineRule="auto"/>
        <w:ind w:firstLine="420" w:firstLineChars="200"/>
        <w:jc w:val="left"/>
        <w:textAlignment w:val="auto"/>
        <w:rPr>
          <w:rFonts w:hint="eastAsia" w:ascii="宋体" w:hAnsi="宋体" w:cs="宋体"/>
          <w:color w:val="000000" w:themeColor="text1"/>
          <w:kern w:val="0"/>
          <w:szCs w:val="24"/>
          <w:highlight w:val="none"/>
          <w:shd w:val="clear" w:color="auto" w:fill="FFFFFF"/>
          <w14:textFill>
            <w14:solidFill>
              <w14:schemeClr w14:val="tx1"/>
            </w14:solidFill>
          </w14:textFill>
        </w:rPr>
      </w:pPr>
      <w:r>
        <w:rPr>
          <w:rFonts w:hint="eastAsia" w:ascii="宋体" w:hAnsi="宋体" w:cs="宋体"/>
          <w:color w:val="auto"/>
          <w:szCs w:val="21"/>
          <w:lang w:val="en-US" w:eastAsia="zh-CN"/>
        </w:rPr>
        <w:t>河南法官进修学院后厨劳务外包项目的潜在供应商应在使用CA数字证书登录河南省公共资源交易中心网站（http://ww</w:t>
      </w:r>
      <w:r>
        <w:rPr>
          <w:rFonts w:hint="eastAsia" w:ascii="宋体" w:hAnsi="宋体" w:cs="宋体"/>
          <w:color w:val="auto"/>
          <w:szCs w:val="21"/>
          <w:highlight w:val="none"/>
          <w:lang w:val="en-US" w:eastAsia="zh-CN"/>
        </w:rPr>
        <w:t>w.hnggzy.com/）获取磋商文件，并于2024年07月30日09时00分（北京时间）前递交响应文件。</w:t>
      </w:r>
    </w:p>
    <w:p w14:paraId="5238442D">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10" w:name="_Toc8105"/>
      <w:r>
        <w:rPr>
          <w:rFonts w:hint="eastAsia" w:ascii="宋体" w:hAnsi="宋体" w:cs="宋体"/>
          <w:color w:val="000000" w:themeColor="text1"/>
          <w:kern w:val="0"/>
          <w:szCs w:val="24"/>
          <w:highlight w:val="none"/>
          <w:shd w:val="clear" w:color="auto" w:fill="FFFFFF"/>
          <w14:textFill>
            <w14:solidFill>
              <w14:schemeClr w14:val="tx1"/>
            </w14:solidFill>
          </w14:textFill>
        </w:rPr>
        <w:t>一、项目基本情况</w:t>
      </w:r>
      <w:bookmarkEnd w:id="4"/>
      <w:bookmarkEnd w:id="5"/>
      <w:bookmarkEnd w:id="6"/>
      <w:bookmarkEnd w:id="7"/>
      <w:bookmarkEnd w:id="8"/>
      <w:bookmarkEnd w:id="9"/>
      <w:bookmarkEnd w:id="10"/>
    </w:p>
    <w:p w14:paraId="6B13FA7D">
      <w:pPr>
        <w:spacing w:line="360" w:lineRule="auto"/>
        <w:ind w:firstLine="420" w:firstLineChars="200"/>
        <w:rPr>
          <w:rFonts w:hint="eastAsia" w:ascii="宋体" w:hAnsi="宋体" w:eastAsia="宋体" w:cs="宋体"/>
          <w:color w:val="000000" w:themeColor="text1"/>
          <w:kern w:val="0"/>
          <w:szCs w:val="21"/>
          <w:highlight w:val="none"/>
          <w:shd w:val="clear" w:color="auto" w:fill="FFFFFF"/>
          <w:lang w:eastAsia="zh-CN"/>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1</w:t>
      </w: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、采购项目</w:t>
      </w:r>
      <w:r>
        <w:rPr>
          <w:rFonts w:hint="eastAsia" w:ascii="宋体" w:hAnsi="宋体" w:cs="宋体"/>
          <w:color w:val="000000" w:themeColor="text1"/>
          <w:kern w:val="0"/>
          <w:szCs w:val="21"/>
          <w:highlight w:val="none"/>
          <w:shd w:val="clear" w:color="auto" w:fill="FFFFFF"/>
          <w14:textFill>
            <w14:solidFill>
              <w14:schemeClr w14:val="tx1"/>
            </w14:solidFill>
          </w14:textFill>
        </w:rPr>
        <w:t>编号：</w:t>
      </w: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豫财磋商采购-2024-445</w:t>
      </w:r>
    </w:p>
    <w:p w14:paraId="771586F5">
      <w:pPr>
        <w:spacing w:line="360" w:lineRule="auto"/>
        <w:ind w:firstLine="420" w:firstLineChars="200"/>
        <w:rPr>
          <w:rFonts w:hint="eastAsia" w:ascii="宋体" w:hAnsi="宋体" w:eastAsia="宋体" w:cs="宋体"/>
          <w:color w:val="000000" w:themeColor="text1"/>
          <w:kern w:val="0"/>
          <w:szCs w:val="21"/>
          <w:highlight w:val="none"/>
          <w:shd w:val="clear" w:color="auto" w:fill="FFFFFF"/>
          <w:lang w:eastAsia="zh-CN"/>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2</w:t>
      </w: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、采购</w:t>
      </w:r>
      <w:r>
        <w:rPr>
          <w:rFonts w:hint="eastAsia" w:ascii="宋体" w:hAnsi="宋体" w:cs="宋体"/>
          <w:color w:val="000000" w:themeColor="text1"/>
          <w:kern w:val="0"/>
          <w:szCs w:val="21"/>
          <w:highlight w:val="none"/>
          <w:shd w:val="clear" w:color="auto" w:fill="FFFFFF"/>
          <w14:textFill>
            <w14:solidFill>
              <w14:schemeClr w14:val="tx1"/>
            </w14:solidFill>
          </w14:textFill>
        </w:rPr>
        <w:t>项目名称：</w:t>
      </w: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河南法官进修学院后厨劳务外包项目</w:t>
      </w:r>
    </w:p>
    <w:p w14:paraId="3F2DA797">
      <w:pPr>
        <w:spacing w:line="360" w:lineRule="auto"/>
        <w:ind w:firstLine="420" w:firstLineChars="200"/>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3</w:t>
      </w: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Cs w:val="21"/>
          <w:highlight w:val="none"/>
          <w:shd w:val="clear" w:color="auto" w:fill="FFFFFF"/>
          <w14:textFill>
            <w14:solidFill>
              <w14:schemeClr w14:val="tx1"/>
            </w14:solidFill>
          </w14:textFill>
        </w:rPr>
        <w:t>采购方式：竞争性磋商</w:t>
      </w:r>
    </w:p>
    <w:p w14:paraId="1186BE8F">
      <w:pPr>
        <w:spacing w:line="360" w:lineRule="auto"/>
        <w:ind w:firstLine="420" w:firstLineChars="200"/>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4</w:t>
      </w: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000000.00元</w:t>
      </w:r>
    </w:p>
    <w:p w14:paraId="4529488E">
      <w:pPr>
        <w:spacing w:line="360" w:lineRule="auto"/>
        <w:ind w:firstLine="630" w:firstLineChars="300"/>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最高限价：</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000000.00元</w:t>
      </w:r>
    </w:p>
    <w:tbl>
      <w:tblPr>
        <w:tblStyle w:val="22"/>
        <w:tblW w:w="8774"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00"/>
        <w:gridCol w:w="3258"/>
        <w:gridCol w:w="1515"/>
        <w:gridCol w:w="2310"/>
      </w:tblGrid>
      <w:tr w14:paraId="6442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6C6CDA91">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序号</w:t>
            </w:r>
          </w:p>
        </w:tc>
        <w:tc>
          <w:tcPr>
            <w:tcW w:w="1000" w:type="dxa"/>
            <w:vAlign w:val="center"/>
          </w:tcPr>
          <w:p w14:paraId="64EF6A28">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包号</w:t>
            </w:r>
          </w:p>
        </w:tc>
        <w:tc>
          <w:tcPr>
            <w:tcW w:w="3258" w:type="dxa"/>
            <w:vAlign w:val="center"/>
          </w:tcPr>
          <w:p w14:paraId="7CE871CA">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包名称</w:t>
            </w:r>
          </w:p>
        </w:tc>
        <w:tc>
          <w:tcPr>
            <w:tcW w:w="1515" w:type="dxa"/>
            <w:vAlign w:val="center"/>
          </w:tcPr>
          <w:p w14:paraId="2D0EDFDE">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包预算（元）</w:t>
            </w:r>
          </w:p>
        </w:tc>
        <w:tc>
          <w:tcPr>
            <w:tcW w:w="2310" w:type="dxa"/>
            <w:vAlign w:val="center"/>
          </w:tcPr>
          <w:p w14:paraId="36A5446E">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包最高限价（元）</w:t>
            </w:r>
          </w:p>
        </w:tc>
      </w:tr>
      <w:tr w14:paraId="355D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B5DD48C">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1</w:t>
            </w:r>
          </w:p>
        </w:tc>
        <w:tc>
          <w:tcPr>
            <w:tcW w:w="1000" w:type="dxa"/>
            <w:vAlign w:val="center"/>
          </w:tcPr>
          <w:p w14:paraId="4DD47852">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豫政采(2)20240798-1</w:t>
            </w:r>
          </w:p>
        </w:tc>
        <w:tc>
          <w:tcPr>
            <w:tcW w:w="3258" w:type="dxa"/>
            <w:vAlign w:val="center"/>
          </w:tcPr>
          <w:p w14:paraId="1B6BE72C">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河南法官进修学院后厨劳务外包项目</w:t>
            </w:r>
          </w:p>
        </w:tc>
        <w:tc>
          <w:tcPr>
            <w:tcW w:w="1515" w:type="dxa"/>
            <w:vAlign w:val="center"/>
          </w:tcPr>
          <w:p w14:paraId="6BA78150">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000000.00</w:t>
            </w:r>
          </w:p>
        </w:tc>
        <w:tc>
          <w:tcPr>
            <w:tcW w:w="2310" w:type="dxa"/>
            <w:vAlign w:val="center"/>
          </w:tcPr>
          <w:p w14:paraId="6426E6AD">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000000.00</w:t>
            </w:r>
          </w:p>
        </w:tc>
      </w:tr>
    </w:tbl>
    <w:p w14:paraId="0CD7232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采购需求：（包括但不限于标的的名称、数量、简要技术需求或服务要求等）</w:t>
      </w:r>
    </w:p>
    <w:p w14:paraId="0EC9B11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5.1采购</w:t>
      </w:r>
      <w:r>
        <w:rPr>
          <w:rFonts w:hint="eastAsia" w:ascii="宋体" w:hAnsi="宋体" w:cs="宋体"/>
          <w:color w:val="000000" w:themeColor="text1"/>
          <w:szCs w:val="21"/>
          <w:highlight w:val="none"/>
          <w:lang w:val="en-US" w:eastAsia="zh-CN"/>
          <w14:textFill>
            <w14:solidFill>
              <w14:schemeClr w14:val="tx1"/>
            </w14:solidFill>
          </w14:textFill>
        </w:rPr>
        <w:t>项目概况</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auto"/>
          <w:szCs w:val="21"/>
          <w:lang w:val="en-US" w:eastAsia="zh-CN"/>
        </w:rPr>
        <w:t>后厨劳务外包，供应商提供工作人员不少于20人，工作人员要求政治可靠，作风正派，身体健康，能胜任岗位职责，无违法犯罪记录，无失信人、黑名单记录。所有工作人员身份证明、技术资格证、健康证明要在我院登记备案。供应商负责其工作人员工资福利、个人所得税、社会保险和公积金缴费、工会经费、残疾人就业保障金等事宜。服务期限一年。（具体内容详见磋商文件）</w:t>
      </w:r>
      <w:r>
        <w:rPr>
          <w:rFonts w:hint="eastAsia" w:ascii="宋体" w:hAnsi="宋体" w:cs="宋体"/>
          <w:color w:val="000000" w:themeColor="text1"/>
          <w:szCs w:val="21"/>
          <w:highlight w:val="none"/>
          <w14:textFill>
            <w14:solidFill>
              <w14:schemeClr w14:val="tx1"/>
            </w14:solidFill>
          </w14:textFill>
        </w:rPr>
        <w:t>。</w:t>
      </w:r>
    </w:p>
    <w:p w14:paraId="6F906BE8">
      <w:pPr>
        <w:widowControl/>
        <w:spacing w:line="360" w:lineRule="auto"/>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5.2采购范围：</w:t>
      </w:r>
      <w:r>
        <w:rPr>
          <w:rFonts w:hint="eastAsia" w:ascii="宋体" w:hAnsi="宋体" w:cs="宋体"/>
          <w:color w:val="auto"/>
          <w:szCs w:val="21"/>
        </w:rPr>
        <w:t>河南法官进修学院</w:t>
      </w:r>
      <w:r>
        <w:rPr>
          <w:rFonts w:hint="eastAsia" w:ascii="宋体" w:hAnsi="宋体" w:cs="宋体"/>
          <w:color w:val="auto"/>
          <w:szCs w:val="21"/>
          <w:lang w:val="en-US" w:eastAsia="zh-CN"/>
        </w:rPr>
        <w:t>后厨劳务外包服务；</w:t>
      </w:r>
    </w:p>
    <w:p w14:paraId="09BDB354">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5.3资金来源：财政资金；</w:t>
      </w:r>
    </w:p>
    <w:p w14:paraId="2D1CF79F">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5.4服务地点：采购人指定地点；</w:t>
      </w:r>
    </w:p>
    <w:p w14:paraId="4704B12C">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5.5服务要求：</w:t>
      </w:r>
      <w:r>
        <w:rPr>
          <w:rFonts w:hint="eastAsia" w:ascii="宋体" w:hAnsi="宋体" w:cs="宋体"/>
          <w:szCs w:val="21"/>
          <w:lang w:val="en-US" w:eastAsia="zh-CN"/>
        </w:rPr>
        <w:t>满足采购人要求，</w:t>
      </w:r>
      <w:r>
        <w:rPr>
          <w:rFonts w:hint="default" w:ascii="宋体" w:hAnsi="宋体" w:eastAsia="宋体" w:cs="宋体"/>
          <w:szCs w:val="21"/>
          <w:lang w:val="en-US" w:eastAsia="zh-CN"/>
        </w:rPr>
        <w:t>供应商必须有固定的服务团队，包括管理、后厨（含餐具清洗）、食品安全人员等</w:t>
      </w:r>
      <w:r>
        <w:rPr>
          <w:rFonts w:hint="eastAsia" w:ascii="宋体" w:hAnsi="宋体" w:cs="宋体"/>
          <w:color w:val="auto"/>
          <w:szCs w:val="21"/>
          <w:lang w:val="en-US" w:eastAsia="zh-CN"/>
        </w:rPr>
        <w:t>；</w:t>
      </w:r>
    </w:p>
    <w:p w14:paraId="41208D5E">
      <w:pPr>
        <w:widowControl/>
        <w:spacing w:line="360" w:lineRule="auto"/>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5.6服务期限：自合同签订之日起1年。</w:t>
      </w:r>
    </w:p>
    <w:p w14:paraId="38C573C4">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6、合同履行期限：同服务期限</w:t>
      </w:r>
    </w:p>
    <w:p w14:paraId="6B4F986E">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7、本项目是否接受联合体投标：否</w:t>
      </w:r>
    </w:p>
    <w:p w14:paraId="5355BD73">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8、是否接受进口产品：否</w:t>
      </w:r>
    </w:p>
    <w:p w14:paraId="1F1C83FB">
      <w:pPr>
        <w:spacing w:line="360" w:lineRule="auto"/>
        <w:ind w:firstLine="420" w:firstLineChars="200"/>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szCs w:val="21"/>
        </w:rPr>
        <w:t>9、是否为只面向中小企业采购：否</w:t>
      </w:r>
    </w:p>
    <w:p w14:paraId="7C72EE89">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11" w:name="_Toc35393630"/>
      <w:bookmarkStart w:id="12" w:name="_Toc28359090"/>
      <w:bookmarkStart w:id="13" w:name="_Toc35393799"/>
      <w:bookmarkStart w:id="14" w:name="_Toc5236"/>
      <w:bookmarkStart w:id="15" w:name="_Toc3232"/>
      <w:bookmarkStart w:id="16" w:name="_Toc28359013"/>
      <w:bookmarkStart w:id="17" w:name="_Toc3743"/>
      <w:r>
        <w:rPr>
          <w:rFonts w:hint="eastAsia" w:ascii="宋体" w:hAnsi="宋体" w:cs="宋体"/>
          <w:color w:val="000000" w:themeColor="text1"/>
          <w:kern w:val="0"/>
          <w:szCs w:val="24"/>
          <w:highlight w:val="none"/>
          <w:shd w:val="clear" w:color="auto" w:fill="FFFFFF"/>
          <w14:textFill>
            <w14:solidFill>
              <w14:schemeClr w14:val="tx1"/>
            </w14:solidFill>
          </w14:textFill>
        </w:rPr>
        <w:t>二、申请人的资格要求</w:t>
      </w:r>
      <w:bookmarkEnd w:id="11"/>
      <w:bookmarkEnd w:id="12"/>
      <w:bookmarkEnd w:id="13"/>
      <w:bookmarkEnd w:id="14"/>
      <w:bookmarkEnd w:id="15"/>
      <w:bookmarkEnd w:id="16"/>
      <w:bookmarkEnd w:id="17"/>
    </w:p>
    <w:p w14:paraId="6C9D84B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18" w:name="_Toc35393631"/>
      <w:bookmarkStart w:id="19" w:name="_Toc35393800"/>
      <w:bookmarkStart w:id="20" w:name="_Toc22260"/>
      <w:bookmarkStart w:id="21" w:name="_Toc26112"/>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693F255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2、落实政府采购政策满足的资格要求：本项目执行节约能源、保护环境、扶持不发达地区和少数民族地区、促进中小企业发展等政府采购政策。</w:t>
      </w:r>
    </w:p>
    <w:p w14:paraId="7844074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w:t>
      </w:r>
    </w:p>
    <w:p w14:paraId="27F2C42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1）供应商须提供国家相关部门颁发的有效期内的《餐饮服务许可证》或《食品经营许可证》。</w:t>
      </w:r>
    </w:p>
    <w:p w14:paraId="3FB0B5D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2）信誉：根据财库[2016]125号文的规定,凡列入失信被执行人、</w:t>
      </w:r>
      <w:r>
        <w:rPr>
          <w:rFonts w:hint="eastAsia" w:ascii="宋体" w:hAnsi="宋体" w:cs="宋体"/>
          <w:color w:val="000000" w:themeColor="text1"/>
          <w:szCs w:val="21"/>
          <w:highlight w:val="none"/>
          <w:lang w:eastAsia="zh-CN"/>
          <w14:textFill>
            <w14:solidFill>
              <w14:schemeClr w14:val="tx1"/>
            </w14:solidFill>
          </w14:textFill>
        </w:rPr>
        <w:t>重大税收违法失信主体</w:t>
      </w:r>
      <w:r>
        <w:rPr>
          <w:rFonts w:hint="eastAsia" w:ascii="宋体" w:hAnsi="宋体" w:cs="宋体"/>
          <w:color w:val="000000" w:themeColor="text1"/>
          <w:szCs w:val="21"/>
          <w:highlight w:val="none"/>
          <w14:textFill>
            <w14:solidFill>
              <w14:schemeClr w14:val="tx1"/>
            </w14:solidFill>
          </w14:textFill>
        </w:rPr>
        <w:t>、政府采购严重违法失信行为记录名单及其他不符合《中华人民共和国政府采购法》第二十二条规定条件的潜在供应商禁止投标（在“信用中国”网站（www.creditchina.gov.cn）、中国政府采购网（www.ccgp.gov.cn）等渠道查询供应商信用记录，被列入失信被执行人、重大税收违法失信主体、政府采购严重违法失信行为记录名单的供应商将被拒绝参与本项目政府采购活动（截止时点：响应文件开启时间））；</w:t>
      </w:r>
    </w:p>
    <w:p w14:paraId="41D0827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3）单位负责人为同一人或者存在控股、管理关系的不同单位，不得同时参加本项目的投标。【提供“</w:t>
      </w:r>
      <w:r>
        <w:rPr>
          <w:rFonts w:hint="eastAsia" w:ascii="宋体" w:hAnsi="宋体" w:cs="宋体"/>
          <w:color w:val="000000" w:themeColor="text1"/>
          <w:szCs w:val="21"/>
          <w:highlight w:val="none"/>
          <w:lang w:eastAsia="zh-CN"/>
          <w14:textFill>
            <w14:solidFill>
              <w14:schemeClr w14:val="tx1"/>
            </w14:solidFill>
          </w14:textFill>
        </w:rPr>
        <w:t>国家企业信用信息公示系统</w:t>
      </w:r>
      <w:r>
        <w:rPr>
          <w:rFonts w:hint="eastAsia" w:ascii="宋体" w:hAnsi="宋体" w:cs="宋体"/>
          <w:color w:val="000000" w:themeColor="text1"/>
          <w:szCs w:val="21"/>
          <w:highlight w:val="none"/>
          <w14:textFill>
            <w14:solidFill>
              <w14:schemeClr w14:val="tx1"/>
            </w14:solidFill>
          </w14:textFill>
        </w:rPr>
        <w:t>”中查询打印的相关材料并加盖公章（需包含公司基本信息、股东信息及股权变更信息)】。</w:t>
      </w:r>
    </w:p>
    <w:p w14:paraId="6330CF2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4）本项目不接受联合体</w:t>
      </w:r>
      <w:r>
        <w:rPr>
          <w:rFonts w:hint="eastAsia" w:ascii="宋体" w:hAnsi="宋体" w:cs="宋体"/>
          <w:color w:val="000000" w:themeColor="text1"/>
          <w:szCs w:val="21"/>
          <w:highlight w:val="none"/>
          <w:lang w:val="en-US" w:eastAsia="zh-CN"/>
          <w14:textFill>
            <w14:solidFill>
              <w14:schemeClr w14:val="tx1"/>
            </w14:solidFill>
          </w14:textFill>
        </w:rPr>
        <w:t>磋商</w:t>
      </w:r>
      <w:r>
        <w:rPr>
          <w:rFonts w:hint="eastAsia" w:ascii="宋体" w:hAnsi="宋体" w:cs="宋体"/>
          <w:color w:val="000000" w:themeColor="text1"/>
          <w:szCs w:val="21"/>
          <w:highlight w:val="none"/>
          <w14:textFill>
            <w14:solidFill>
              <w14:schemeClr w14:val="tx1"/>
            </w14:solidFill>
          </w14:textFill>
        </w:rPr>
        <w:t>。</w:t>
      </w:r>
      <w:bookmarkStart w:id="217" w:name="_GoBack"/>
      <w:bookmarkEnd w:id="217"/>
    </w:p>
    <w:p w14:paraId="54605263">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22" w:name="_Toc30204"/>
      <w:r>
        <w:rPr>
          <w:rFonts w:hint="eastAsia" w:ascii="宋体" w:hAnsi="宋体" w:cs="宋体"/>
          <w:color w:val="000000" w:themeColor="text1"/>
          <w:kern w:val="0"/>
          <w:szCs w:val="24"/>
          <w:highlight w:val="none"/>
          <w:shd w:val="clear" w:color="auto" w:fill="FFFFFF"/>
          <w14:textFill>
            <w14:solidFill>
              <w14:schemeClr w14:val="tx1"/>
            </w14:solidFill>
          </w14:textFill>
        </w:rPr>
        <w:t>三、获取采购文件</w:t>
      </w:r>
      <w:bookmarkEnd w:id="18"/>
      <w:bookmarkEnd w:id="19"/>
      <w:bookmarkEnd w:id="20"/>
      <w:bookmarkEnd w:id="21"/>
      <w:bookmarkEnd w:id="22"/>
    </w:p>
    <w:p w14:paraId="1D16A7DF">
      <w:pPr>
        <w:spacing w:line="360" w:lineRule="auto"/>
        <w:ind w:firstLine="420" w:firstLineChars="200"/>
        <w:rPr>
          <w:rFonts w:hint="eastAsia" w:ascii="宋体" w:hAnsi="宋体" w:cs="宋体"/>
          <w:color w:val="000000" w:themeColor="text1"/>
          <w:kern w:val="0"/>
          <w:szCs w:val="21"/>
          <w:highlight w:val="none"/>
          <w:shd w:val="clear" w:color="auto" w:fill="FFFFFF"/>
          <w14:textFill>
            <w14:solidFill>
              <w14:schemeClr w14:val="tx1"/>
            </w14:solidFill>
          </w14:textFill>
        </w:rPr>
      </w:pPr>
      <w:bookmarkStart w:id="23" w:name="_Toc28359015"/>
      <w:bookmarkStart w:id="24" w:name="_Toc35393632"/>
      <w:bookmarkStart w:id="25" w:name="_Toc35393801"/>
      <w:bookmarkStart w:id="26" w:name="_Toc28359092"/>
      <w:r>
        <w:rPr>
          <w:rFonts w:hint="eastAsia" w:ascii="宋体" w:hAnsi="宋体" w:cs="宋体"/>
          <w:color w:val="000000" w:themeColor="text1"/>
          <w:kern w:val="0"/>
          <w:szCs w:val="21"/>
          <w:highlight w:val="none"/>
          <w:shd w:val="clear" w:color="auto" w:fill="FFFFFF"/>
          <w14:textFill>
            <w14:solidFill>
              <w14:schemeClr w14:val="tx1"/>
            </w14:solidFill>
          </w14:textFill>
        </w:rPr>
        <w:t>1、时间：2024年</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07</w:t>
      </w:r>
      <w:r>
        <w:rPr>
          <w:rFonts w:hint="eastAsia" w:ascii="宋体" w:hAnsi="宋体" w:cs="宋体"/>
          <w:color w:val="000000" w:themeColor="text1"/>
          <w:kern w:val="0"/>
          <w:szCs w:val="21"/>
          <w:highlight w:val="none"/>
          <w:shd w:val="clear" w:color="auto" w:fill="FFFFFF"/>
          <w14:textFill>
            <w14:solidFill>
              <w14:schemeClr w14:val="tx1"/>
            </w14:solidFill>
          </w14:textFill>
        </w:rPr>
        <w:t>月</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18</w:t>
      </w:r>
      <w:r>
        <w:rPr>
          <w:rFonts w:hint="eastAsia" w:ascii="宋体" w:hAnsi="宋体" w:cs="宋体"/>
          <w:color w:val="000000" w:themeColor="text1"/>
          <w:kern w:val="0"/>
          <w:szCs w:val="21"/>
          <w:highlight w:val="none"/>
          <w:shd w:val="clear" w:color="auto" w:fill="FFFFFF"/>
          <w14:textFill>
            <w14:solidFill>
              <w14:schemeClr w14:val="tx1"/>
            </w14:solidFill>
          </w14:textFill>
        </w:rPr>
        <w:t>日至2024年</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07</w:t>
      </w:r>
      <w:r>
        <w:rPr>
          <w:rFonts w:hint="eastAsia" w:ascii="宋体" w:hAnsi="宋体" w:cs="宋体"/>
          <w:color w:val="000000" w:themeColor="text1"/>
          <w:kern w:val="0"/>
          <w:szCs w:val="21"/>
          <w:highlight w:val="none"/>
          <w:shd w:val="clear" w:color="auto" w:fill="FFFFFF"/>
          <w14:textFill>
            <w14:solidFill>
              <w14:schemeClr w14:val="tx1"/>
            </w14:solidFill>
          </w14:textFill>
        </w:rPr>
        <w:t>月</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24</w:t>
      </w:r>
      <w:r>
        <w:rPr>
          <w:rFonts w:hint="eastAsia" w:ascii="宋体" w:hAnsi="宋体" w:cs="宋体"/>
          <w:color w:val="000000" w:themeColor="text1"/>
          <w:kern w:val="0"/>
          <w:szCs w:val="21"/>
          <w:highlight w:val="none"/>
          <w:shd w:val="clear" w:color="auto" w:fill="FFFFFF"/>
          <w14:textFill>
            <w14:solidFill>
              <w14:schemeClr w14:val="tx1"/>
            </w14:solidFill>
          </w14:textFill>
        </w:rPr>
        <w:t>日，每天上午00:00至12:00，下午12:00至23:59（北京时间，法定节假日除外。）；</w:t>
      </w:r>
    </w:p>
    <w:p w14:paraId="1806BB29">
      <w:pPr>
        <w:spacing w:line="360" w:lineRule="auto"/>
        <w:ind w:firstLine="420" w:firstLineChars="200"/>
        <w:rPr>
          <w:rFonts w:hint="eastAsia"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2、地点：使用CA数字证书登录河南省公共资源交易中心网站（http://www.hnggzy.com/）；</w:t>
      </w:r>
    </w:p>
    <w:p w14:paraId="06F67C4C">
      <w:pPr>
        <w:spacing w:line="360" w:lineRule="auto"/>
        <w:ind w:firstLine="420" w:firstLineChars="200"/>
        <w:rPr>
          <w:rFonts w:hint="eastAsia"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3、方式：登录“河南省公共资源交易中心（http://www.hnggzy.com/）”，凭企业身份认证锁（CA密钥）下载招标文件。市场主体需要完成信息登记及 CA 数字证书办理，才能通过河南省公共资源交易平台参与交易活动，具体办理事宜请查阅河南省公共资源交易中心网站“办事指南”专区的《河南省公共资源交易平台市场主体信息库登记指南（工程建设、政府采购）》；</w:t>
      </w:r>
    </w:p>
    <w:p w14:paraId="3E85040D">
      <w:pPr>
        <w:spacing w:line="360" w:lineRule="auto"/>
        <w:ind w:firstLine="420" w:firstLineChars="200"/>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4、售价：0元。</w:t>
      </w:r>
    </w:p>
    <w:p w14:paraId="60995803">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27" w:name="_Toc8700"/>
      <w:bookmarkStart w:id="28" w:name="_Toc16731"/>
      <w:bookmarkStart w:id="29" w:name="_Toc4755"/>
      <w:r>
        <w:rPr>
          <w:rFonts w:hint="eastAsia" w:ascii="宋体" w:hAnsi="宋体" w:cs="宋体"/>
          <w:color w:val="000000" w:themeColor="text1"/>
          <w:kern w:val="0"/>
          <w:szCs w:val="24"/>
          <w:highlight w:val="none"/>
          <w:shd w:val="clear" w:color="auto" w:fill="FFFFFF"/>
          <w14:textFill>
            <w14:solidFill>
              <w14:schemeClr w14:val="tx1"/>
            </w14:solidFill>
          </w14:textFill>
        </w:rPr>
        <w:t>四、响应文件提交</w:t>
      </w:r>
      <w:bookmarkEnd w:id="23"/>
      <w:bookmarkEnd w:id="24"/>
      <w:bookmarkEnd w:id="25"/>
      <w:bookmarkEnd w:id="26"/>
      <w:bookmarkEnd w:id="27"/>
      <w:bookmarkEnd w:id="28"/>
      <w:bookmarkEnd w:id="29"/>
    </w:p>
    <w:p w14:paraId="40FEAD6E">
      <w:pPr>
        <w:spacing w:line="360" w:lineRule="auto"/>
        <w:ind w:firstLine="420" w:firstLineChars="200"/>
        <w:rPr>
          <w:rFonts w:hint="eastAsia"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1、时间：2024年</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07</w:t>
      </w:r>
      <w:r>
        <w:rPr>
          <w:rFonts w:hint="eastAsia" w:ascii="宋体" w:hAnsi="宋体" w:cs="宋体"/>
          <w:color w:val="000000" w:themeColor="text1"/>
          <w:kern w:val="0"/>
          <w:szCs w:val="21"/>
          <w:highlight w:val="none"/>
          <w:shd w:val="clear" w:color="auto" w:fill="FFFFFF"/>
          <w14:textFill>
            <w14:solidFill>
              <w14:schemeClr w14:val="tx1"/>
            </w14:solidFill>
          </w14:textFill>
        </w:rPr>
        <w:t>月</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30</w:t>
      </w:r>
      <w:r>
        <w:rPr>
          <w:rFonts w:hint="eastAsia" w:ascii="宋体" w:hAnsi="宋体" w:cs="宋体"/>
          <w:color w:val="000000" w:themeColor="text1"/>
          <w:kern w:val="0"/>
          <w:szCs w:val="21"/>
          <w:highlight w:val="none"/>
          <w:shd w:val="clear" w:color="auto" w:fill="FFFFFF"/>
          <w14:textFill>
            <w14:solidFill>
              <w14:schemeClr w14:val="tx1"/>
            </w14:solidFill>
          </w14:textFill>
        </w:rPr>
        <w:t>日09时00分（北京时间）；</w:t>
      </w:r>
    </w:p>
    <w:p w14:paraId="0DBB3896">
      <w:pPr>
        <w:spacing w:line="360" w:lineRule="auto"/>
        <w:ind w:firstLine="420" w:firstLineChars="200"/>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 xml:space="preserve">2、地点：加密电子投标文件须在投标截止时间前通过“河南省公共资源交易中心（http://www.hnggzy.com/）”电子交易平台加密上传。逾期上传的或者未上传指定地点的投标文件，采购人不予受理。 </w:t>
      </w:r>
    </w:p>
    <w:p w14:paraId="498A293F">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30" w:name="_Toc10139"/>
      <w:bookmarkStart w:id="31" w:name="_Toc20977"/>
      <w:bookmarkStart w:id="32" w:name="_Toc16456"/>
      <w:r>
        <w:rPr>
          <w:rFonts w:hint="eastAsia" w:ascii="宋体" w:hAnsi="宋体" w:cs="宋体"/>
          <w:color w:val="000000" w:themeColor="text1"/>
          <w:kern w:val="0"/>
          <w:szCs w:val="24"/>
          <w:highlight w:val="none"/>
          <w:shd w:val="clear" w:color="auto" w:fill="FFFFFF"/>
          <w14:textFill>
            <w14:solidFill>
              <w14:schemeClr w14:val="tx1"/>
            </w14:solidFill>
          </w14:textFill>
        </w:rPr>
        <w:t>五、响应文件开启</w:t>
      </w:r>
      <w:bookmarkEnd w:id="30"/>
      <w:bookmarkEnd w:id="31"/>
      <w:bookmarkEnd w:id="32"/>
    </w:p>
    <w:p w14:paraId="38FCA23E">
      <w:pPr>
        <w:widowControl/>
        <w:spacing w:line="360" w:lineRule="auto"/>
        <w:ind w:firstLine="420" w:firstLineChars="200"/>
        <w:jc w:val="left"/>
        <w:rPr>
          <w:rFonts w:hint="eastAsia" w:ascii="宋体" w:hAnsi="宋体" w:cs="宋体"/>
          <w:color w:val="auto"/>
          <w:szCs w:val="21"/>
          <w:highlight w:val="none"/>
        </w:rPr>
      </w:pPr>
      <w:bookmarkStart w:id="33" w:name="_Toc30193"/>
      <w:bookmarkStart w:id="34" w:name="_Toc10807"/>
      <w:r>
        <w:rPr>
          <w:rFonts w:hint="eastAsia" w:ascii="宋体" w:hAnsi="宋体" w:cs="宋体"/>
          <w:color w:val="auto"/>
          <w:szCs w:val="21"/>
        </w:rPr>
        <w:t>1、时间：202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日09时00分（</w:t>
      </w:r>
      <w:r>
        <w:rPr>
          <w:rFonts w:hint="eastAsia" w:ascii="宋体" w:hAnsi="宋体" w:cs="宋体"/>
          <w:color w:val="auto"/>
          <w:szCs w:val="21"/>
          <w:highlight w:val="none"/>
        </w:rPr>
        <w:t>北京时间）；</w:t>
      </w:r>
    </w:p>
    <w:p w14:paraId="338EE885">
      <w:pPr>
        <w:spacing w:line="360" w:lineRule="auto"/>
        <w:ind w:firstLine="420" w:firstLineChars="200"/>
        <w:rPr>
          <w:rFonts w:hint="eastAsia"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auto"/>
          <w:szCs w:val="21"/>
          <w:highlight w:val="none"/>
        </w:rPr>
        <w:t>2、地点：河南省公共资源交易中心远程远程开标室(三)-4</w:t>
      </w:r>
      <w:r>
        <w:rPr>
          <w:rFonts w:hint="eastAsia" w:ascii="宋体" w:hAnsi="宋体" w:cs="宋体"/>
          <w:color w:val="auto"/>
          <w:szCs w:val="21"/>
        </w:rPr>
        <w:t>（郑州市经二路12号，经二路与纬四路向南50米路西），本项目采用“远程不见面”开标方式。供应商无需到河南省公共资源交易中心现场参加开标会议，供应商应当在投标截止时间前,登录远程开标大厅,不见面开标大厅地址http://hnsggzyjy.henan.gov.cn/BidOpening/bidopeninghallaction/hall/login，在线准时参加开标活动并进行文件解密、答疑澄清等</w:t>
      </w:r>
      <w:r>
        <w:rPr>
          <w:rFonts w:hint="default" w:ascii="宋体" w:hAnsi="宋体" w:cs="宋体"/>
          <w:color w:val="000000" w:themeColor="text1"/>
          <w:kern w:val="0"/>
          <w:szCs w:val="21"/>
          <w:highlight w:val="none"/>
          <w:shd w:val="clear" w:color="auto" w:fill="FFFFFF"/>
          <w14:textFill>
            <w14:solidFill>
              <w14:schemeClr w14:val="tx1"/>
            </w14:solidFill>
          </w14:textFill>
        </w:rPr>
        <w:t>；</w:t>
      </w:r>
    </w:p>
    <w:p w14:paraId="52AAB297">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35" w:name="_Toc19860"/>
      <w:r>
        <w:rPr>
          <w:rFonts w:hint="eastAsia" w:ascii="宋体" w:hAnsi="宋体" w:cs="宋体"/>
          <w:color w:val="000000" w:themeColor="text1"/>
          <w:kern w:val="0"/>
          <w:szCs w:val="24"/>
          <w:highlight w:val="none"/>
          <w:shd w:val="clear" w:color="auto" w:fill="FFFFFF"/>
          <w14:textFill>
            <w14:solidFill>
              <w14:schemeClr w14:val="tx1"/>
            </w14:solidFill>
          </w14:textFill>
        </w:rPr>
        <w:t>六、发布公告的媒介及招标公告期限</w:t>
      </w:r>
      <w:bookmarkEnd w:id="33"/>
      <w:bookmarkEnd w:id="34"/>
      <w:bookmarkEnd w:id="35"/>
      <w:r>
        <w:rPr>
          <w:rFonts w:hint="eastAsia" w:ascii="宋体" w:hAnsi="宋体" w:cs="宋体"/>
          <w:color w:val="000000" w:themeColor="text1"/>
          <w:kern w:val="0"/>
          <w:szCs w:val="24"/>
          <w:highlight w:val="none"/>
          <w:shd w:val="clear" w:color="auto" w:fill="FFFFFF"/>
          <w14:textFill>
            <w14:solidFill>
              <w14:schemeClr w14:val="tx1"/>
            </w14:solidFill>
          </w14:textFill>
        </w:rPr>
        <w:t xml:space="preserve"> </w:t>
      </w:r>
    </w:p>
    <w:p w14:paraId="37C6BD9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本次招标公告在《河南省政府采购网》、《河南省公共资源交易中心网站》上发布</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公告期限为</w:t>
      </w:r>
      <w:r>
        <w:rPr>
          <w:rFonts w:hint="eastAsia" w:ascii="宋体" w:hAnsi="宋体" w:cs="宋体"/>
          <w:color w:val="000000" w:themeColor="text1"/>
          <w:highlight w:val="none"/>
          <w:lang w:eastAsia="zh-CN"/>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个工作日。</w:t>
      </w:r>
    </w:p>
    <w:p w14:paraId="5EF1C338">
      <w:pPr>
        <w:pStyle w:val="2"/>
        <w:numPr>
          <w:ilvl w:val="0"/>
          <w:numId w:val="4"/>
        </w:numPr>
        <w:rPr>
          <w:rFonts w:ascii="宋体" w:hAnsi="宋体" w:cs="宋体"/>
          <w:color w:val="000000" w:themeColor="text1"/>
          <w:kern w:val="0"/>
          <w:szCs w:val="24"/>
          <w:highlight w:val="none"/>
          <w:shd w:val="clear" w:color="auto" w:fill="FFFFFF"/>
          <w14:textFill>
            <w14:solidFill>
              <w14:schemeClr w14:val="tx1"/>
            </w14:solidFill>
          </w14:textFill>
        </w:rPr>
      </w:pPr>
      <w:bookmarkStart w:id="36" w:name="_Toc16359"/>
      <w:bookmarkStart w:id="37" w:name="_Toc26471"/>
      <w:bookmarkStart w:id="38" w:name="_Toc17159"/>
      <w:bookmarkStart w:id="39" w:name="_Toc28359095"/>
      <w:bookmarkStart w:id="40" w:name="_Toc35393636"/>
      <w:bookmarkStart w:id="41" w:name="_Toc35393805"/>
      <w:bookmarkStart w:id="42" w:name="_Toc28359018"/>
      <w:bookmarkStart w:id="43" w:name="_Toc28359019"/>
      <w:bookmarkStart w:id="44" w:name="_Toc35393806"/>
      <w:bookmarkStart w:id="45" w:name="_Toc35393637"/>
      <w:bookmarkStart w:id="46" w:name="_Toc28359096"/>
      <w:r>
        <w:rPr>
          <w:rFonts w:hint="eastAsia" w:ascii="宋体" w:hAnsi="宋体" w:cs="宋体"/>
          <w:color w:val="000000" w:themeColor="text1"/>
          <w:kern w:val="0"/>
          <w:szCs w:val="24"/>
          <w:highlight w:val="none"/>
          <w:shd w:val="clear" w:color="auto" w:fill="FFFFFF"/>
          <w14:textFill>
            <w14:solidFill>
              <w14:schemeClr w14:val="tx1"/>
            </w14:solidFill>
          </w14:textFill>
        </w:rPr>
        <w:t>其他补充事宜</w:t>
      </w:r>
      <w:bookmarkEnd w:id="36"/>
      <w:bookmarkEnd w:id="37"/>
      <w:bookmarkEnd w:id="38"/>
    </w:p>
    <w:p w14:paraId="7F038C23">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p w14:paraId="11589A7F">
      <w:pPr>
        <w:pStyle w:val="2"/>
        <w:rPr>
          <w:rFonts w:ascii="宋体" w:hAnsi="宋体" w:cs="宋体"/>
          <w:color w:val="000000" w:themeColor="text1"/>
          <w:kern w:val="0"/>
          <w:szCs w:val="24"/>
          <w:highlight w:val="none"/>
          <w:shd w:val="clear" w:color="auto" w:fill="FFFFFF"/>
          <w14:textFill>
            <w14:solidFill>
              <w14:schemeClr w14:val="tx1"/>
            </w14:solidFill>
          </w14:textFill>
        </w:rPr>
      </w:pPr>
      <w:bookmarkStart w:id="47" w:name="_Toc30261"/>
      <w:bookmarkStart w:id="48" w:name="_Toc12538"/>
      <w:bookmarkStart w:id="49" w:name="_Toc8826"/>
      <w:r>
        <w:rPr>
          <w:rFonts w:hint="eastAsia" w:ascii="宋体" w:hAnsi="宋体" w:cs="宋体"/>
          <w:color w:val="000000" w:themeColor="text1"/>
          <w:kern w:val="0"/>
          <w:szCs w:val="24"/>
          <w:highlight w:val="none"/>
          <w:shd w:val="clear" w:color="auto" w:fill="FFFFFF"/>
          <w14:textFill>
            <w14:solidFill>
              <w14:schemeClr w14:val="tx1"/>
            </w14:solidFill>
          </w14:textFill>
        </w:rPr>
        <w:t>八、凡对本次采购提出询问，请按以下方式联系</w:t>
      </w:r>
      <w:bookmarkEnd w:id="39"/>
      <w:bookmarkEnd w:id="40"/>
      <w:bookmarkEnd w:id="41"/>
      <w:bookmarkEnd w:id="42"/>
      <w:bookmarkEnd w:id="47"/>
      <w:bookmarkEnd w:id="48"/>
      <w:bookmarkEnd w:id="49"/>
    </w:p>
    <w:bookmarkEnd w:id="43"/>
    <w:bookmarkEnd w:id="44"/>
    <w:bookmarkEnd w:id="45"/>
    <w:bookmarkEnd w:id="46"/>
    <w:p w14:paraId="6C293B8D">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1、采购人信息</w:t>
      </w:r>
    </w:p>
    <w:p w14:paraId="377BA5AC">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名    称</w:t>
      </w:r>
      <w:r>
        <w:rPr>
          <w:rFonts w:hint="eastAsia" w:ascii="宋体" w:hAnsi="宋体" w:cs="宋体"/>
          <w:color w:val="000000" w:themeColor="text1"/>
          <w:highlight w:val="none"/>
          <w14:textFill>
            <w14:solidFill>
              <w14:schemeClr w14:val="tx1"/>
            </w14:solidFill>
          </w14:textFill>
        </w:rPr>
        <w:t>：河南法官进修学院</w:t>
      </w:r>
    </w:p>
    <w:p w14:paraId="0A14FEFE">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联系地址：河南省新郑市龙湖镇泰山路</w:t>
      </w:r>
    </w:p>
    <w:p w14:paraId="05DC6E60">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 系 人：李老师</w:t>
      </w:r>
    </w:p>
    <w:p w14:paraId="5A1614F0">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联系方式</w:t>
      </w:r>
      <w:r>
        <w:rPr>
          <w:rFonts w:hint="eastAsia" w:ascii="宋体" w:hAnsi="宋体" w:cs="宋体"/>
          <w:color w:val="000000" w:themeColor="text1"/>
          <w:highlight w:val="none"/>
          <w14:textFill>
            <w14:solidFill>
              <w14:schemeClr w14:val="tx1"/>
            </w14:solidFill>
          </w14:textFill>
        </w:rPr>
        <w:t>：0371-69958247</w:t>
      </w:r>
    </w:p>
    <w:p w14:paraId="32AE45D4">
      <w:pPr>
        <w:pStyle w:val="20"/>
        <w:ind w:left="420" w:leftChars="20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2、代理机构信息</w:t>
      </w:r>
    </w:p>
    <w:p w14:paraId="05DAF4EB">
      <w:pPr>
        <w:pStyle w:val="20"/>
        <w:ind w:left="420" w:leftChars="20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名    称：河南英华咨询有限公司 </w:t>
      </w:r>
    </w:p>
    <w:p w14:paraId="40A99CC1">
      <w:pPr>
        <w:pStyle w:val="20"/>
        <w:ind w:left="420" w:leftChars="20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地    址：郑州市电厂路河南省国家大学科技园（东区）16号楼C座21层 </w:t>
      </w:r>
    </w:p>
    <w:p w14:paraId="7B502BB5">
      <w:pPr>
        <w:pStyle w:val="20"/>
        <w:ind w:left="420" w:leftChars="20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联 系 人：娄利杰、闫少辉 </w:t>
      </w:r>
    </w:p>
    <w:p w14:paraId="675BAB9E">
      <w:pPr>
        <w:pStyle w:val="20"/>
        <w:ind w:left="420" w:leftChars="20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联系方式：0371-63976218 </w:t>
      </w:r>
    </w:p>
    <w:p w14:paraId="5B2AFD79">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3、项目联系方式</w:t>
      </w:r>
    </w:p>
    <w:p w14:paraId="77A8FD49">
      <w:pPr>
        <w:pStyle w:val="20"/>
        <w:ind w:left="420" w:leftChars="20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 系 人：娄利杰、闫少辉</w:t>
      </w:r>
    </w:p>
    <w:p w14:paraId="24DC8D31">
      <w:pPr>
        <w:pStyle w:val="20"/>
        <w:ind w:left="420" w:leftChars="20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联系方式</w:t>
      </w:r>
      <w:r>
        <w:rPr>
          <w:rFonts w:hint="eastAsia" w:ascii="宋体" w:hAnsi="宋体" w:cs="宋体"/>
          <w:color w:val="000000" w:themeColor="text1"/>
          <w:highlight w:val="none"/>
          <w14:textFill>
            <w14:solidFill>
              <w14:schemeClr w14:val="tx1"/>
            </w14:solidFill>
          </w14:textFill>
        </w:rPr>
        <w:t>：0371-63976218</w:t>
      </w:r>
    </w:p>
    <w:p w14:paraId="20D7D9A9">
      <w:pPr>
        <w:rPr>
          <w:color w:val="000000" w:themeColor="text1"/>
          <w:highlight w:val="none"/>
          <w14:textFill>
            <w14:solidFill>
              <w14:schemeClr w14:val="tx1"/>
            </w14:solidFill>
          </w14:textFill>
        </w:rPr>
      </w:pPr>
    </w:p>
    <w:p w14:paraId="26D47F69">
      <w:pPr>
        <w:pStyle w:val="10"/>
        <w:jc w:val="center"/>
        <w:outlineLvl w:val="0"/>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bookmarkStart w:id="50" w:name="_Toc391"/>
      <w:bookmarkStart w:id="51" w:name="_Toc5197"/>
      <w:r>
        <w:rPr>
          <w:rStyle w:val="41"/>
          <w:rFonts w:hint="eastAsia" w:hAnsi="宋体" w:cs="宋体"/>
          <w:color w:val="000000" w:themeColor="text1"/>
          <w:sz w:val="36"/>
          <w:szCs w:val="28"/>
          <w:highlight w:val="none"/>
          <w14:textFill>
            <w14:solidFill>
              <w14:schemeClr w14:val="tx1"/>
            </w14:solidFill>
          </w14:textFill>
        </w:rPr>
        <w:t>第二章 供应商须知</w:t>
      </w:r>
      <w:bookmarkEnd w:id="50"/>
      <w:bookmarkEnd w:id="51"/>
    </w:p>
    <w:p w14:paraId="03D17E97">
      <w:pPr>
        <w:pStyle w:val="10"/>
        <w:rPr>
          <w:rFonts w:hAnsi="宋体" w:cs="宋体"/>
          <w:b/>
          <w:color w:val="000000" w:themeColor="text1"/>
          <w:sz w:val="24"/>
          <w:szCs w:val="24"/>
          <w:highlight w:val="none"/>
          <w14:textFill>
            <w14:solidFill>
              <w14:schemeClr w14:val="tx1"/>
            </w14:solidFill>
          </w14:textFill>
        </w:rPr>
      </w:pPr>
    </w:p>
    <w:p w14:paraId="7BFAD7A9">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52" w:name="_Toc3612"/>
      <w:bookmarkStart w:id="53" w:name="_Toc28864"/>
      <w:bookmarkStart w:id="54" w:name="_Toc9445"/>
      <w:r>
        <w:rPr>
          <w:rFonts w:hint="eastAsia" w:ascii="宋体" w:hAnsi="宋体" w:cs="宋体"/>
          <w:b/>
          <w:color w:val="000000" w:themeColor="text1"/>
          <w:sz w:val="24"/>
          <w:highlight w:val="none"/>
          <w14:textFill>
            <w14:solidFill>
              <w14:schemeClr w14:val="tx1"/>
            </w14:solidFill>
          </w14:textFill>
        </w:rPr>
        <w:t>供应商须知前附表</w:t>
      </w:r>
      <w:bookmarkEnd w:id="52"/>
      <w:bookmarkEnd w:id="53"/>
      <w:bookmarkEnd w:id="54"/>
    </w:p>
    <w:tbl>
      <w:tblPr>
        <w:tblStyle w:val="21"/>
        <w:tblW w:w="91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5"/>
        <w:gridCol w:w="6144"/>
      </w:tblGrid>
      <w:tr w14:paraId="25996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993" w:type="dxa"/>
            <w:vAlign w:val="center"/>
          </w:tcPr>
          <w:p w14:paraId="22320200">
            <w:pPr>
              <w:adjustRightInd w:val="0"/>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1985" w:type="dxa"/>
            <w:vAlign w:val="center"/>
          </w:tcPr>
          <w:p w14:paraId="513E18CB">
            <w:pPr>
              <w:adjustRightInd w:val="0"/>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条款名称</w:t>
            </w:r>
          </w:p>
        </w:tc>
        <w:tc>
          <w:tcPr>
            <w:tcW w:w="6144" w:type="dxa"/>
            <w:vAlign w:val="center"/>
          </w:tcPr>
          <w:p w14:paraId="6EDBAC9D">
            <w:pPr>
              <w:adjustRightInd w:val="0"/>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编列内容规定</w:t>
            </w:r>
          </w:p>
        </w:tc>
      </w:tr>
      <w:tr w14:paraId="7E1AC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70FD7823">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985" w:type="dxa"/>
            <w:vAlign w:val="center"/>
          </w:tcPr>
          <w:p w14:paraId="50CAD470">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采购项目名称</w:t>
            </w:r>
          </w:p>
        </w:tc>
        <w:tc>
          <w:tcPr>
            <w:tcW w:w="6144" w:type="dxa"/>
            <w:vAlign w:val="center"/>
          </w:tcPr>
          <w:p w14:paraId="6422ECFE">
            <w:pPr>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shd w:val="clear" w:color="auto" w:fill="FFFFFF"/>
                <w:lang w:eastAsia="zh-CN"/>
                <w14:textFill>
                  <w14:solidFill>
                    <w14:schemeClr w14:val="tx1"/>
                  </w14:solidFill>
                </w14:textFill>
              </w:rPr>
              <w:t>河南法官进修学院后厨劳务外包项目</w:t>
            </w:r>
          </w:p>
        </w:tc>
      </w:tr>
      <w:tr w14:paraId="0E839C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7B4C44FB">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85" w:type="dxa"/>
            <w:vAlign w:val="center"/>
          </w:tcPr>
          <w:p w14:paraId="7C8CEC5C">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w:t>
            </w:r>
          </w:p>
        </w:tc>
        <w:tc>
          <w:tcPr>
            <w:tcW w:w="6144" w:type="dxa"/>
            <w:vAlign w:val="center"/>
          </w:tcPr>
          <w:p w14:paraId="4A57FAFE">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称：河南法官进修学院</w:t>
            </w:r>
          </w:p>
          <w:p w14:paraId="2CA91A33">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联系地址：河南省新郑市龙湖镇泰山路</w:t>
            </w:r>
          </w:p>
          <w:p w14:paraId="543504F0">
            <w:pPr>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 系 人：</w:t>
            </w:r>
            <w:r>
              <w:rPr>
                <w:rFonts w:hint="eastAsia" w:ascii="宋体" w:hAnsi="宋体" w:cs="宋体"/>
                <w:color w:val="000000" w:themeColor="text1"/>
                <w:kern w:val="0"/>
                <w:szCs w:val="21"/>
                <w:highlight w:val="none"/>
                <w:lang w:val="en-US" w:eastAsia="zh-CN"/>
                <w14:textFill>
                  <w14:solidFill>
                    <w14:schemeClr w14:val="tx1"/>
                  </w14:solidFill>
                </w14:textFill>
              </w:rPr>
              <w:t>李老师</w:t>
            </w:r>
          </w:p>
          <w:p w14:paraId="350B6DE5">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联系方式：0371-69958247</w:t>
            </w:r>
          </w:p>
        </w:tc>
      </w:tr>
      <w:tr w14:paraId="20872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71CEC01D">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985" w:type="dxa"/>
            <w:vAlign w:val="center"/>
          </w:tcPr>
          <w:p w14:paraId="3797D0D3">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w:t>
            </w:r>
          </w:p>
        </w:tc>
        <w:tc>
          <w:tcPr>
            <w:tcW w:w="6144" w:type="dxa"/>
            <w:vAlign w:val="center"/>
          </w:tcPr>
          <w:p w14:paraId="72F97FF5">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名    称：河南英华咨询有限公司 </w:t>
            </w:r>
          </w:p>
          <w:p w14:paraId="10328ECC">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地    址：郑州市电厂路河南省国家大学科技园（东区）16号楼C座21层 </w:t>
            </w:r>
          </w:p>
          <w:p w14:paraId="67CF63BE">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联 系 人：娄利杰、闫少辉 </w:t>
            </w:r>
          </w:p>
          <w:p w14:paraId="5075CD3B">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联系方式：0371-63976218 </w:t>
            </w:r>
          </w:p>
        </w:tc>
      </w:tr>
      <w:tr w14:paraId="73D07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993" w:type="dxa"/>
            <w:vAlign w:val="center"/>
          </w:tcPr>
          <w:p w14:paraId="5F3E7C42">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985" w:type="dxa"/>
            <w:vAlign w:val="center"/>
          </w:tcPr>
          <w:p w14:paraId="4D73FA21">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供应商的邀请方式</w:t>
            </w:r>
          </w:p>
        </w:tc>
        <w:tc>
          <w:tcPr>
            <w:tcW w:w="6144" w:type="dxa"/>
            <w:vAlign w:val="center"/>
          </w:tcPr>
          <w:p w14:paraId="67DA9BE7">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☑（1）发布竞争性磋商公告</w:t>
            </w:r>
          </w:p>
          <w:p w14:paraId="2F0CCC36">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□（2）从省级以上财政部门建立的供应商库中随机抽取</w:t>
            </w:r>
          </w:p>
          <w:p w14:paraId="3853A6A1">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□（3）采购人和评审专家分别书面推荐邀请不少于3家符合相应资格条件的供应商</w:t>
            </w:r>
          </w:p>
        </w:tc>
      </w:tr>
      <w:tr w14:paraId="51662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993" w:type="dxa"/>
            <w:vAlign w:val="center"/>
          </w:tcPr>
          <w:p w14:paraId="5B3F1A02">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1985" w:type="dxa"/>
            <w:vAlign w:val="center"/>
          </w:tcPr>
          <w:p w14:paraId="41956943">
            <w:pPr>
              <w:pStyle w:val="42"/>
              <w:spacing w:line="360" w:lineRule="auto"/>
              <w:jc w:val="center"/>
              <w:rPr>
                <w:color w:val="auto"/>
                <w:sz w:val="21"/>
                <w:szCs w:val="21"/>
                <w:highlight w:val="none"/>
              </w:rPr>
            </w:pPr>
            <w:r>
              <w:rPr>
                <w:rFonts w:hint="eastAsia"/>
                <w:color w:val="auto"/>
                <w:kern w:val="2"/>
                <w:sz w:val="21"/>
                <w:szCs w:val="21"/>
                <w:highlight w:val="none"/>
              </w:rPr>
              <w:t>采购内容</w:t>
            </w:r>
          </w:p>
        </w:tc>
        <w:tc>
          <w:tcPr>
            <w:tcW w:w="6144" w:type="dxa"/>
            <w:vAlign w:val="center"/>
          </w:tcPr>
          <w:p w14:paraId="17186B9D">
            <w:pPr>
              <w:spacing w:line="360" w:lineRule="auto"/>
              <w:rPr>
                <w:rFonts w:ascii="宋体" w:hAnsi="宋体" w:cs="宋体"/>
                <w:color w:val="auto"/>
                <w:szCs w:val="21"/>
                <w:highlight w:val="none"/>
              </w:rPr>
            </w:pPr>
            <w:r>
              <w:rPr>
                <w:rFonts w:hint="eastAsia" w:ascii="宋体" w:hAnsi="宋体" w:cs="宋体"/>
                <w:color w:val="auto"/>
                <w:szCs w:val="21"/>
                <w:highlight w:val="none"/>
              </w:rPr>
              <w:t>河南法官进修学院后厨劳务外包服务。具体详见采购文件第五章“采购需求”。</w:t>
            </w:r>
          </w:p>
        </w:tc>
      </w:tr>
      <w:tr w14:paraId="0015A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93" w:type="dxa"/>
            <w:vAlign w:val="center"/>
          </w:tcPr>
          <w:p w14:paraId="1C384432">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85" w:type="dxa"/>
            <w:vAlign w:val="center"/>
          </w:tcPr>
          <w:p w14:paraId="51CBE6F3">
            <w:pPr>
              <w:pStyle w:val="42"/>
              <w:spacing w:line="360" w:lineRule="auto"/>
              <w:jc w:val="center"/>
              <w:rPr>
                <w:color w:val="auto"/>
                <w:kern w:val="2"/>
                <w:sz w:val="21"/>
                <w:szCs w:val="21"/>
                <w:highlight w:val="none"/>
              </w:rPr>
            </w:pPr>
            <w:r>
              <w:rPr>
                <w:rFonts w:hint="eastAsia"/>
                <w:color w:val="auto"/>
                <w:kern w:val="2"/>
                <w:sz w:val="21"/>
                <w:szCs w:val="21"/>
                <w:highlight w:val="none"/>
              </w:rPr>
              <w:t>采购范围</w:t>
            </w:r>
          </w:p>
        </w:tc>
        <w:tc>
          <w:tcPr>
            <w:tcW w:w="6144" w:type="dxa"/>
            <w:vAlign w:val="center"/>
          </w:tcPr>
          <w:p w14:paraId="1D98CED5">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河南法官进修学院后厨劳务外包服务</w:t>
            </w:r>
          </w:p>
        </w:tc>
      </w:tr>
      <w:tr w14:paraId="500E2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993" w:type="dxa"/>
            <w:vAlign w:val="center"/>
          </w:tcPr>
          <w:p w14:paraId="136D0DEA">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1985" w:type="dxa"/>
            <w:vAlign w:val="center"/>
          </w:tcPr>
          <w:p w14:paraId="6EFBA768">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标包划分</w:t>
            </w:r>
          </w:p>
        </w:tc>
        <w:tc>
          <w:tcPr>
            <w:tcW w:w="6144" w:type="dxa"/>
            <w:vAlign w:val="center"/>
          </w:tcPr>
          <w:p w14:paraId="398A006A">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1个标包</w:t>
            </w:r>
          </w:p>
        </w:tc>
      </w:tr>
      <w:tr w14:paraId="49391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93" w:type="dxa"/>
            <w:vAlign w:val="center"/>
          </w:tcPr>
          <w:p w14:paraId="0315E3B9">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1985" w:type="dxa"/>
            <w:vAlign w:val="center"/>
          </w:tcPr>
          <w:p w14:paraId="33D1C8A1">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服务地点</w:t>
            </w:r>
          </w:p>
        </w:tc>
        <w:tc>
          <w:tcPr>
            <w:tcW w:w="6144" w:type="dxa"/>
            <w:vAlign w:val="center"/>
          </w:tcPr>
          <w:p w14:paraId="0D6A79BE">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采购人指定地点</w:t>
            </w:r>
          </w:p>
        </w:tc>
      </w:tr>
      <w:tr w14:paraId="473E2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993" w:type="dxa"/>
            <w:vAlign w:val="center"/>
          </w:tcPr>
          <w:p w14:paraId="197E0A8B">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1985" w:type="dxa"/>
            <w:vAlign w:val="center"/>
          </w:tcPr>
          <w:p w14:paraId="63B465A0">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服务期限</w:t>
            </w:r>
          </w:p>
        </w:tc>
        <w:tc>
          <w:tcPr>
            <w:tcW w:w="6144" w:type="dxa"/>
            <w:vAlign w:val="center"/>
          </w:tcPr>
          <w:p w14:paraId="32A2C2AD">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Arial" w:hAnsi="宋体" w:cs="Arial"/>
                <w:color w:val="000000" w:themeColor="text1"/>
                <w:szCs w:val="21"/>
                <w:highlight w:val="none"/>
                <w:lang w:val="en-US" w:eastAsia="zh-CN"/>
                <w14:textFill>
                  <w14:solidFill>
                    <w14:schemeClr w14:val="tx1"/>
                  </w14:solidFill>
                </w14:textFill>
              </w:rPr>
              <w:t>自</w:t>
            </w:r>
            <w:r>
              <w:rPr>
                <w:rFonts w:ascii="Arial" w:hAnsi="宋体" w:cs="Arial"/>
                <w:color w:val="000000" w:themeColor="text1"/>
                <w:szCs w:val="21"/>
                <w:highlight w:val="none"/>
                <w14:textFill>
                  <w14:solidFill>
                    <w14:schemeClr w14:val="tx1"/>
                  </w14:solidFill>
                </w14:textFill>
              </w:rPr>
              <w:t>合同签订之日</w:t>
            </w:r>
            <w:r>
              <w:rPr>
                <w:rFonts w:hint="eastAsia" w:ascii="宋体" w:hAnsi="宋体" w:eastAsia="宋体" w:cs="宋体"/>
                <w:color w:val="000000" w:themeColor="text1"/>
                <w:szCs w:val="21"/>
                <w:highlight w:val="none"/>
                <w14:textFill>
                  <w14:solidFill>
                    <w14:schemeClr w14:val="tx1"/>
                  </w14:solidFill>
                </w14:textFill>
              </w:rPr>
              <w:t>起</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年</w:t>
            </w:r>
          </w:p>
        </w:tc>
      </w:tr>
      <w:tr w14:paraId="786DA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993" w:type="dxa"/>
            <w:vAlign w:val="center"/>
          </w:tcPr>
          <w:p w14:paraId="3596124F">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1985" w:type="dxa"/>
            <w:vAlign w:val="center"/>
          </w:tcPr>
          <w:p w14:paraId="520955CC">
            <w:pPr>
              <w:pStyle w:val="42"/>
              <w:spacing w:line="360" w:lineRule="auto"/>
              <w:jc w:val="center"/>
              <w:rPr>
                <w:rFonts w:hint="eastAsia" w:eastAsia="宋体"/>
                <w:color w:val="000000" w:themeColor="text1"/>
                <w:kern w:val="2"/>
                <w:sz w:val="21"/>
                <w:szCs w:val="21"/>
                <w:highlight w:val="none"/>
                <w:lang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服务要求</w:t>
            </w:r>
          </w:p>
        </w:tc>
        <w:tc>
          <w:tcPr>
            <w:tcW w:w="6144" w:type="dxa"/>
            <w:vAlign w:val="center"/>
          </w:tcPr>
          <w:p w14:paraId="65E54370">
            <w:pPr>
              <w:adjustRightInd w:val="0"/>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szCs w:val="21"/>
                <w:lang w:val="en-US" w:eastAsia="zh-CN"/>
              </w:rPr>
              <w:t>满足采购人要求，</w:t>
            </w:r>
            <w:r>
              <w:rPr>
                <w:rFonts w:hint="default" w:ascii="宋体" w:hAnsi="宋体" w:eastAsia="宋体" w:cs="宋体"/>
                <w:szCs w:val="21"/>
                <w:lang w:val="en-US" w:eastAsia="zh-CN"/>
              </w:rPr>
              <w:t>供应商必须有固定的服务团队，包括管理、后厨（含餐具清洗）、食品安全人员等。</w:t>
            </w:r>
          </w:p>
        </w:tc>
      </w:tr>
      <w:tr w14:paraId="4BB20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993" w:type="dxa"/>
            <w:vAlign w:val="center"/>
          </w:tcPr>
          <w:p w14:paraId="73B58B16">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1985" w:type="dxa"/>
            <w:vAlign w:val="center"/>
          </w:tcPr>
          <w:p w14:paraId="044EDFAD">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磋商有效期</w:t>
            </w:r>
          </w:p>
        </w:tc>
        <w:tc>
          <w:tcPr>
            <w:tcW w:w="6144" w:type="dxa"/>
            <w:vAlign w:val="center"/>
          </w:tcPr>
          <w:p w14:paraId="5BBFF6C4">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60</w:t>
            </w:r>
            <w:r>
              <w:rPr>
                <w:rFonts w:hint="eastAsia" w:ascii="宋体" w:hAnsi="宋体" w:cs="宋体"/>
                <w:color w:val="000000" w:themeColor="text1"/>
                <w:szCs w:val="21"/>
                <w:highlight w:val="none"/>
                <w14:textFill>
                  <w14:solidFill>
                    <w14:schemeClr w14:val="tx1"/>
                  </w14:solidFill>
                </w14:textFill>
              </w:rPr>
              <w:t>日历天</w:t>
            </w:r>
          </w:p>
        </w:tc>
      </w:tr>
      <w:tr w14:paraId="5BC6B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993" w:type="dxa"/>
            <w:vAlign w:val="center"/>
          </w:tcPr>
          <w:p w14:paraId="5CD577C5">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w:t>
            </w:r>
          </w:p>
        </w:tc>
        <w:tc>
          <w:tcPr>
            <w:tcW w:w="1985" w:type="dxa"/>
            <w:vAlign w:val="center"/>
          </w:tcPr>
          <w:p w14:paraId="3261364B">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资金来源</w:t>
            </w:r>
          </w:p>
        </w:tc>
        <w:tc>
          <w:tcPr>
            <w:tcW w:w="6144" w:type="dxa"/>
            <w:vAlign w:val="center"/>
          </w:tcPr>
          <w:p w14:paraId="55974FD5">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财政资金，已落实</w:t>
            </w:r>
          </w:p>
        </w:tc>
      </w:tr>
      <w:tr w14:paraId="5732E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993" w:type="dxa"/>
            <w:vAlign w:val="center"/>
          </w:tcPr>
          <w:p w14:paraId="31867CDF">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w:t>
            </w:r>
          </w:p>
        </w:tc>
        <w:tc>
          <w:tcPr>
            <w:tcW w:w="1985" w:type="dxa"/>
            <w:vAlign w:val="center"/>
          </w:tcPr>
          <w:p w14:paraId="698E1C63">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预算金额</w:t>
            </w:r>
          </w:p>
        </w:tc>
        <w:tc>
          <w:tcPr>
            <w:tcW w:w="6144" w:type="dxa"/>
            <w:vAlign w:val="center"/>
          </w:tcPr>
          <w:p w14:paraId="057141D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000000.00</w:t>
            </w:r>
            <w:r>
              <w:rPr>
                <w:rFonts w:hint="eastAsia" w:ascii="宋体" w:hAnsi="宋体" w:cs="宋体"/>
                <w:color w:val="000000" w:themeColor="text1"/>
                <w:szCs w:val="21"/>
                <w:highlight w:val="none"/>
                <w14:textFill>
                  <w14:solidFill>
                    <w14:schemeClr w14:val="tx1"/>
                  </w14:solidFill>
                </w14:textFill>
              </w:rPr>
              <w:t>元</w:t>
            </w:r>
          </w:p>
        </w:tc>
      </w:tr>
      <w:tr w14:paraId="27052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993" w:type="dxa"/>
            <w:vAlign w:val="center"/>
          </w:tcPr>
          <w:p w14:paraId="068D7D8F">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w:t>
            </w:r>
          </w:p>
        </w:tc>
        <w:tc>
          <w:tcPr>
            <w:tcW w:w="1985" w:type="dxa"/>
            <w:vAlign w:val="center"/>
          </w:tcPr>
          <w:p w14:paraId="3529C3E4">
            <w:pPr>
              <w:pStyle w:val="42"/>
              <w:spacing w:line="360" w:lineRule="auto"/>
              <w:jc w:val="center"/>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最高限价</w:t>
            </w:r>
          </w:p>
        </w:tc>
        <w:tc>
          <w:tcPr>
            <w:tcW w:w="6144" w:type="dxa"/>
            <w:vAlign w:val="center"/>
          </w:tcPr>
          <w:p w14:paraId="6D67E6EA">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000000.00</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b/>
                <w:color w:val="000000" w:themeColor="text1"/>
                <w:szCs w:val="21"/>
                <w:highlight w:val="none"/>
                <w14:textFill>
                  <w14:solidFill>
                    <w14:schemeClr w14:val="tx1"/>
                  </w14:solidFill>
                </w14:textFill>
              </w:rPr>
              <w:t>供应商的报价不得超过最高限价，否则响应文件无效。</w:t>
            </w:r>
          </w:p>
        </w:tc>
      </w:tr>
      <w:tr w14:paraId="06744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993" w:type="dxa"/>
            <w:vAlign w:val="center"/>
          </w:tcPr>
          <w:p w14:paraId="620C7974">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1985" w:type="dxa"/>
            <w:vAlign w:val="center"/>
          </w:tcPr>
          <w:p w14:paraId="5540651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资格要求</w:t>
            </w:r>
          </w:p>
        </w:tc>
        <w:tc>
          <w:tcPr>
            <w:tcW w:w="6144" w:type="dxa"/>
            <w:vAlign w:val="center"/>
          </w:tcPr>
          <w:p w14:paraId="3B1BACB5">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详见“第一章 竞争性磋商公告”中“二、申请人资格要求”</w:t>
            </w:r>
          </w:p>
        </w:tc>
      </w:tr>
      <w:tr w14:paraId="5600E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Align w:val="center"/>
          </w:tcPr>
          <w:p w14:paraId="327C5272">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85" w:type="dxa"/>
            <w:vAlign w:val="center"/>
          </w:tcPr>
          <w:p w14:paraId="2011130B">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联合体形式</w:t>
            </w:r>
          </w:p>
        </w:tc>
        <w:tc>
          <w:tcPr>
            <w:tcW w:w="6144" w:type="dxa"/>
            <w:vAlign w:val="center"/>
          </w:tcPr>
          <w:p w14:paraId="72D3B0B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☑不接受</w:t>
            </w:r>
          </w:p>
          <w:p w14:paraId="35FCAB42">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□接受</w:t>
            </w:r>
          </w:p>
        </w:tc>
      </w:tr>
      <w:tr w14:paraId="1BBA2B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Align w:val="center"/>
          </w:tcPr>
          <w:p w14:paraId="779825B2">
            <w:pPr>
              <w:adjustRightInd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5</w:t>
            </w:r>
          </w:p>
        </w:tc>
        <w:tc>
          <w:tcPr>
            <w:tcW w:w="1985" w:type="dxa"/>
            <w:vAlign w:val="center"/>
          </w:tcPr>
          <w:p w14:paraId="5AFC8E1D">
            <w:pPr>
              <w:adjustRightInd w:val="0"/>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供应商不</w:t>
            </w:r>
            <w:r>
              <w:rPr>
                <w:rFonts w:hint="eastAsia" w:ascii="宋体" w:hAnsi="宋体" w:cs="宋体"/>
                <w:color w:val="000000" w:themeColor="text1"/>
                <w:spacing w:val="-2"/>
                <w:kern w:val="0"/>
                <w:szCs w:val="21"/>
                <w:highlight w:val="none"/>
                <w14:textFill>
                  <w14:solidFill>
                    <w14:schemeClr w14:val="tx1"/>
                  </w14:solidFill>
                </w14:textFill>
              </w:rPr>
              <w:t>得</w:t>
            </w:r>
            <w:r>
              <w:rPr>
                <w:rFonts w:hint="eastAsia" w:ascii="宋体" w:hAnsi="宋体" w:cs="宋体"/>
                <w:color w:val="000000" w:themeColor="text1"/>
                <w:kern w:val="0"/>
                <w:szCs w:val="21"/>
                <w:highlight w:val="none"/>
                <w14:textFill>
                  <w14:solidFill>
                    <w14:schemeClr w14:val="tx1"/>
                  </w14:solidFill>
                </w14:textFill>
              </w:rPr>
              <w:t>存</w:t>
            </w:r>
            <w:r>
              <w:rPr>
                <w:rFonts w:hint="eastAsia" w:ascii="宋体" w:hAnsi="宋体" w:cs="宋体"/>
                <w:color w:val="000000" w:themeColor="text1"/>
                <w:spacing w:val="-2"/>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14:textFill>
                  <w14:solidFill>
                    <w14:schemeClr w14:val="tx1"/>
                  </w14:solidFill>
                </w14:textFill>
              </w:rPr>
              <w:t>的</w:t>
            </w:r>
            <w:r>
              <w:rPr>
                <w:rFonts w:hint="eastAsia" w:ascii="宋体" w:hAnsi="宋体" w:cs="宋体"/>
                <w:color w:val="000000" w:themeColor="text1"/>
                <w:spacing w:val="-2"/>
                <w:kern w:val="0"/>
                <w:szCs w:val="21"/>
                <w:highlight w:val="none"/>
                <w14:textFill>
                  <w14:solidFill>
                    <w14:schemeClr w14:val="tx1"/>
                  </w14:solidFill>
                </w14:textFill>
              </w:rPr>
              <w:t>其</w:t>
            </w:r>
            <w:r>
              <w:rPr>
                <w:rFonts w:hint="eastAsia" w:ascii="宋体" w:hAnsi="宋体" w:cs="宋体"/>
                <w:color w:val="000000" w:themeColor="text1"/>
                <w:kern w:val="0"/>
                <w:szCs w:val="21"/>
                <w:highlight w:val="none"/>
                <w14:textFill>
                  <w14:solidFill>
                    <w14:schemeClr w14:val="tx1"/>
                  </w14:solidFill>
                </w14:textFill>
              </w:rPr>
              <w:t>他</w:t>
            </w:r>
            <w:r>
              <w:rPr>
                <w:rFonts w:hint="eastAsia" w:ascii="宋体" w:hAnsi="宋体" w:cs="宋体"/>
                <w:color w:val="000000" w:themeColor="text1"/>
                <w:spacing w:val="-2"/>
                <w:kern w:val="0"/>
                <w:szCs w:val="21"/>
                <w:highlight w:val="none"/>
                <w14:textFill>
                  <w14:solidFill>
                    <w14:schemeClr w14:val="tx1"/>
                  </w14:solidFill>
                </w14:textFill>
              </w:rPr>
              <w:t>情形</w:t>
            </w:r>
          </w:p>
        </w:tc>
        <w:tc>
          <w:tcPr>
            <w:tcW w:w="6144" w:type="dxa"/>
            <w:vAlign w:val="center"/>
          </w:tcPr>
          <w:p w14:paraId="251341C9">
            <w:pPr>
              <w:pStyle w:val="42"/>
              <w:spacing w:line="360" w:lineRule="auto"/>
              <w:rPr>
                <w:b/>
                <w:color w:val="000000" w:themeColor="text1"/>
                <w:kern w:val="2"/>
                <w:sz w:val="21"/>
                <w:szCs w:val="21"/>
                <w:highlight w:val="none"/>
                <w14:textFill>
                  <w14:solidFill>
                    <w14:schemeClr w14:val="tx1"/>
                  </w14:solidFill>
                </w14:textFill>
              </w:rPr>
            </w:pPr>
            <w:r>
              <w:rPr>
                <w:rFonts w:hint="eastAsia"/>
                <w:b/>
                <w:color w:val="000000" w:themeColor="text1"/>
                <w:kern w:val="2"/>
                <w:sz w:val="21"/>
                <w:szCs w:val="21"/>
                <w:highlight w:val="none"/>
                <w14:textFill>
                  <w14:solidFill>
                    <w14:schemeClr w14:val="tx1"/>
                  </w14:solidFill>
                </w14:textFill>
              </w:rPr>
              <w:t>/</w:t>
            </w:r>
          </w:p>
        </w:tc>
      </w:tr>
      <w:tr w14:paraId="63255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993" w:type="dxa"/>
            <w:vAlign w:val="center"/>
          </w:tcPr>
          <w:p w14:paraId="3907080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w:t>
            </w:r>
          </w:p>
        </w:tc>
        <w:tc>
          <w:tcPr>
            <w:tcW w:w="1985" w:type="dxa"/>
            <w:vAlign w:val="center"/>
          </w:tcPr>
          <w:p w14:paraId="1774303D">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现场勘察</w:t>
            </w:r>
          </w:p>
        </w:tc>
        <w:tc>
          <w:tcPr>
            <w:tcW w:w="6144" w:type="dxa"/>
            <w:vAlign w:val="center"/>
          </w:tcPr>
          <w:p w14:paraId="35BADE06">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供应商自行勘察</w:t>
            </w:r>
          </w:p>
        </w:tc>
      </w:tr>
      <w:tr w14:paraId="3FFAF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993" w:type="dxa"/>
            <w:tcBorders>
              <w:top w:val="single" w:color="auto" w:sz="4" w:space="0"/>
              <w:bottom w:val="single" w:color="auto" w:sz="4" w:space="0"/>
            </w:tcBorders>
            <w:vAlign w:val="center"/>
          </w:tcPr>
          <w:p w14:paraId="5CF4C69B">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985" w:type="dxa"/>
            <w:vAlign w:val="center"/>
          </w:tcPr>
          <w:p w14:paraId="649D640F">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采购进口产品或</w:t>
            </w:r>
          </w:p>
          <w:p w14:paraId="0BE7B49C">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w:t>
            </w:r>
          </w:p>
        </w:tc>
        <w:tc>
          <w:tcPr>
            <w:tcW w:w="6144" w:type="dxa"/>
            <w:vAlign w:val="center"/>
          </w:tcPr>
          <w:p w14:paraId="6D871D0D">
            <w:pPr>
              <w:pStyle w:val="42"/>
              <w:spacing w:line="360" w:lineRule="auto"/>
              <w:rPr>
                <w:color w:val="000000" w:themeColor="text1"/>
                <w:kern w:val="2"/>
                <w:sz w:val="2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kern w:val="2"/>
                <w:sz w:val="21"/>
                <w:szCs w:val="21"/>
                <w:highlight w:val="none"/>
                <w14:textFill>
                  <w14:solidFill>
                    <w14:schemeClr w14:val="tx1"/>
                  </w14:solidFill>
                </w14:textFill>
              </w:rPr>
              <w:t xml:space="preserve">本采购项目拒绝进口产品或服务参加磋商 </w:t>
            </w:r>
          </w:p>
          <w:p w14:paraId="1D41CF7E">
            <w:pPr>
              <w:pStyle w:val="42"/>
              <w:spacing w:line="360" w:lineRule="auto"/>
              <w:rPr>
                <w:b/>
                <w:color w:val="000000" w:themeColor="text1"/>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□本采购项目已经财政部门审核同意购买的进口产品或服务为</w:t>
            </w:r>
            <w:r>
              <w:rPr>
                <w:rFonts w:hint="eastAsia"/>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w:t>
            </w:r>
          </w:p>
        </w:tc>
      </w:tr>
      <w:tr w14:paraId="4CDEE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93" w:type="dxa"/>
            <w:vAlign w:val="center"/>
          </w:tcPr>
          <w:p w14:paraId="22A89595">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1985" w:type="dxa"/>
            <w:vAlign w:val="center"/>
          </w:tcPr>
          <w:p w14:paraId="11E80DBA">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磋商过程中可能实质性变动内容</w:t>
            </w:r>
          </w:p>
        </w:tc>
        <w:tc>
          <w:tcPr>
            <w:tcW w:w="6144" w:type="dxa"/>
            <w:vAlign w:val="center"/>
          </w:tcPr>
          <w:p w14:paraId="46BB0330">
            <w:pPr>
              <w:adjustRightInd w:val="0"/>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磋商小组可以根据磋商文件和磋商情况实质性变动采购需求中的技术、服务要求以及合同草案条款，但不得变动磋商文件中的其他内容，</w:t>
            </w:r>
            <w:r>
              <w:rPr>
                <w:rFonts w:hint="eastAsia" w:ascii="宋体" w:hAnsi="宋体" w:cs="宋体"/>
                <w:color w:val="000000" w:themeColor="text1"/>
                <w:highlight w:val="none"/>
                <w14:textFill>
                  <w14:solidFill>
                    <w14:schemeClr w14:val="tx1"/>
                  </w14:solidFill>
                </w14:textFill>
              </w:rPr>
              <w:t>未经采购人书面同意的条款不得变动</w:t>
            </w:r>
            <w:r>
              <w:rPr>
                <w:rFonts w:hint="eastAsia" w:ascii="宋体" w:hAnsi="宋体" w:cs="宋体"/>
                <w:color w:val="000000" w:themeColor="text1"/>
                <w:szCs w:val="21"/>
                <w:highlight w:val="none"/>
                <w14:textFill>
                  <w14:solidFill>
                    <w14:schemeClr w14:val="tx1"/>
                  </w14:solidFill>
                </w14:textFill>
              </w:rPr>
              <w:t>。</w:t>
            </w:r>
          </w:p>
        </w:tc>
      </w:tr>
      <w:tr w14:paraId="5B2C10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3" w:type="dxa"/>
            <w:vAlign w:val="center"/>
          </w:tcPr>
          <w:p w14:paraId="0F8E5174">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985" w:type="dxa"/>
            <w:vAlign w:val="center"/>
          </w:tcPr>
          <w:p w14:paraId="2FCFCA66">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磋商文件澄清或</w:t>
            </w:r>
          </w:p>
          <w:p w14:paraId="6B69864D">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修改发出的形式</w:t>
            </w:r>
          </w:p>
        </w:tc>
        <w:tc>
          <w:tcPr>
            <w:tcW w:w="6144" w:type="dxa"/>
            <w:vAlign w:val="center"/>
          </w:tcPr>
          <w:p w14:paraId="1FC7FC4F">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在原公告发布媒体上发布澄清或修改公告，供应商在提交响应文件截止时间前须自行查看在原公告发布媒体上发布的澄清或修改公告，因供应商未及时查看而造成的后果自负。</w:t>
            </w:r>
          </w:p>
        </w:tc>
      </w:tr>
      <w:tr w14:paraId="18F87B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3" w:type="dxa"/>
            <w:vAlign w:val="center"/>
          </w:tcPr>
          <w:p w14:paraId="32980BF2">
            <w:pPr>
              <w:adjustRightInd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hint="eastAsia" w:ascii="宋体" w:hAnsi="宋体" w:cs="宋体"/>
                <w:color w:val="000000" w:themeColor="text1"/>
                <w:szCs w:val="21"/>
                <w:highlight w:val="none"/>
                <w:lang w:val="en-US" w:eastAsia="zh-CN"/>
                <w14:textFill>
                  <w14:solidFill>
                    <w14:schemeClr w14:val="tx1"/>
                  </w14:solidFill>
                </w14:textFill>
              </w:rPr>
              <w:t>7</w:t>
            </w:r>
          </w:p>
        </w:tc>
        <w:tc>
          <w:tcPr>
            <w:tcW w:w="1985" w:type="dxa"/>
            <w:vAlign w:val="center"/>
          </w:tcPr>
          <w:p w14:paraId="46121CBB">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其他资料</w:t>
            </w:r>
          </w:p>
        </w:tc>
        <w:tc>
          <w:tcPr>
            <w:tcW w:w="6144" w:type="dxa"/>
            <w:vAlign w:val="center"/>
          </w:tcPr>
          <w:p w14:paraId="62988ACC">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供应商自行提供</w:t>
            </w:r>
          </w:p>
        </w:tc>
      </w:tr>
      <w:tr w14:paraId="7D434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993" w:type="dxa"/>
            <w:vAlign w:val="center"/>
          </w:tcPr>
          <w:p w14:paraId="152482E2">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w:t>
            </w:r>
          </w:p>
        </w:tc>
        <w:tc>
          <w:tcPr>
            <w:tcW w:w="1985" w:type="dxa"/>
            <w:vAlign w:val="center"/>
          </w:tcPr>
          <w:p w14:paraId="77877DB1">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报价的其他要求</w:t>
            </w:r>
          </w:p>
        </w:tc>
        <w:tc>
          <w:tcPr>
            <w:tcW w:w="6144" w:type="dxa"/>
            <w:vAlign w:val="center"/>
          </w:tcPr>
          <w:p w14:paraId="23A06792">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0D4B4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993" w:type="dxa"/>
            <w:vAlign w:val="center"/>
          </w:tcPr>
          <w:p w14:paraId="5CFA8BE2">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985" w:type="dxa"/>
            <w:vAlign w:val="center"/>
          </w:tcPr>
          <w:p w14:paraId="748EF388">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w:t>
            </w:r>
          </w:p>
          <w:p w14:paraId="72840A73">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特殊要求</w:t>
            </w:r>
          </w:p>
        </w:tc>
        <w:tc>
          <w:tcPr>
            <w:tcW w:w="6144" w:type="dxa"/>
            <w:vAlign w:val="center"/>
          </w:tcPr>
          <w:p w14:paraId="6331D7A1">
            <w:pPr>
              <w:autoSpaceDE w:val="0"/>
              <w:autoSpaceDN w:val="0"/>
              <w:adjustRightInd w:val="0"/>
              <w:spacing w:line="360" w:lineRule="auto"/>
              <w:ind w:left="103" w:right="-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无</w:t>
            </w:r>
          </w:p>
          <w:p w14:paraId="6A3890EF">
            <w:pPr>
              <w:autoSpaceDE w:val="0"/>
              <w:autoSpaceDN w:val="0"/>
              <w:adjustRightInd w:val="0"/>
              <w:spacing w:line="360" w:lineRule="auto"/>
              <w:ind w:left="103" w:right="-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有，具</w:t>
            </w:r>
            <w:r>
              <w:rPr>
                <w:rFonts w:hint="eastAsia" w:ascii="宋体" w:hAnsi="宋体" w:cs="宋体"/>
                <w:color w:val="000000" w:themeColor="text1"/>
                <w:spacing w:val="-2"/>
                <w:kern w:val="0"/>
                <w:szCs w:val="21"/>
                <w:highlight w:val="none"/>
                <w14:textFill>
                  <w14:solidFill>
                    <w14:schemeClr w14:val="tx1"/>
                  </w14:solidFill>
                </w14:textFill>
              </w:rPr>
              <w:t>体</w:t>
            </w:r>
            <w:r>
              <w:rPr>
                <w:rFonts w:hint="eastAsia" w:ascii="宋体" w:hAnsi="宋体" w:cs="宋体"/>
                <w:color w:val="000000" w:themeColor="text1"/>
                <w:kern w:val="0"/>
                <w:szCs w:val="21"/>
                <w:highlight w:val="none"/>
                <w14:textFill>
                  <w14:solidFill>
                    <w14:schemeClr w14:val="tx1"/>
                  </w14:solidFill>
                </w14:textFill>
              </w:rPr>
              <w:t>要</w:t>
            </w:r>
            <w:r>
              <w:rPr>
                <w:rFonts w:hint="eastAsia" w:ascii="宋体" w:hAnsi="宋体" w:cs="宋体"/>
                <w:color w:val="000000" w:themeColor="text1"/>
                <w:spacing w:val="-2"/>
                <w:kern w:val="0"/>
                <w:szCs w:val="21"/>
                <w:highlight w:val="none"/>
                <w14:textFill>
                  <w14:solidFill>
                    <w14:schemeClr w14:val="tx1"/>
                  </w14:solidFill>
                </w14:textFill>
              </w:rPr>
              <w:t>求</w:t>
            </w:r>
            <w:r>
              <w:rPr>
                <w:rFonts w:hint="eastAsia" w:ascii="宋体" w:hAnsi="宋体" w:cs="宋体"/>
                <w:color w:val="000000" w:themeColor="text1"/>
                <w:kern w:val="0"/>
                <w:szCs w:val="21"/>
                <w:highlight w:val="none"/>
                <w14:textFill>
                  <w14:solidFill>
                    <w14:schemeClr w14:val="tx1"/>
                  </w14:solidFill>
                </w14:textFill>
              </w:rPr>
              <w:t>：</w:t>
            </w:r>
          </w:p>
        </w:tc>
      </w:tr>
      <w:tr w14:paraId="35432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993" w:type="dxa"/>
            <w:vAlign w:val="center"/>
          </w:tcPr>
          <w:p w14:paraId="7A04E819">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w:t>
            </w:r>
          </w:p>
        </w:tc>
        <w:tc>
          <w:tcPr>
            <w:tcW w:w="1985" w:type="dxa"/>
            <w:vAlign w:val="center"/>
          </w:tcPr>
          <w:p w14:paraId="0AFAC530">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近年财务状况的年份要求</w:t>
            </w:r>
          </w:p>
        </w:tc>
        <w:tc>
          <w:tcPr>
            <w:tcW w:w="6144" w:type="dxa"/>
            <w:vAlign w:val="center"/>
          </w:tcPr>
          <w:p w14:paraId="467000F1">
            <w:pPr>
              <w:autoSpaceDE w:val="0"/>
              <w:autoSpaceDN w:val="0"/>
              <w:adjustRightInd w:val="0"/>
              <w:spacing w:line="360" w:lineRule="auto"/>
              <w:ind w:left="103" w:right="-20"/>
              <w:jc w:val="left"/>
              <w:rPr>
                <w:rFonts w:ascii="宋体" w:hAnsi="宋体" w:cs="宋体"/>
                <w:color w:val="000000" w:themeColor="text1"/>
                <w:spacing w:val="-1"/>
                <w:kern w:val="0"/>
                <w:szCs w:val="21"/>
                <w:highlight w:val="non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t>供应商须提供2022年度</w:t>
            </w:r>
            <w:r>
              <w:rPr>
                <w:rFonts w:hint="eastAsia" w:ascii="宋体" w:hAnsi="宋体" w:cs="宋体"/>
                <w:color w:val="000000" w:themeColor="text1"/>
                <w:spacing w:val="-1"/>
                <w:kern w:val="0"/>
                <w:szCs w:val="21"/>
                <w:highlight w:val="none"/>
                <w:lang w:val="en-US" w:eastAsia="zh-CN"/>
                <w14:textFill>
                  <w14:solidFill>
                    <w14:schemeClr w14:val="tx1"/>
                  </w14:solidFill>
                </w14:textFill>
              </w:rPr>
              <w:t>或2023年度</w:t>
            </w:r>
            <w:r>
              <w:rPr>
                <w:rFonts w:hint="eastAsia" w:ascii="宋体" w:hAnsi="宋体" w:cs="宋体"/>
                <w:color w:val="000000" w:themeColor="text1"/>
                <w:spacing w:val="-1"/>
                <w:kern w:val="0"/>
                <w:szCs w:val="21"/>
                <w:highlight w:val="none"/>
                <w14:textFill>
                  <w14:solidFill>
                    <w14:schemeClr w14:val="tx1"/>
                  </w14:solidFill>
                </w14:textFill>
              </w:rPr>
              <w:t>经第三方审计机构出具的审计报告，供应商成立不满的一年提供自成立以来的财务报表或银行资信证明；</w:t>
            </w:r>
          </w:p>
        </w:tc>
      </w:tr>
      <w:tr w14:paraId="4AEB2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3" w:type="dxa"/>
            <w:vAlign w:val="center"/>
          </w:tcPr>
          <w:p w14:paraId="37423917">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w:t>
            </w:r>
          </w:p>
        </w:tc>
        <w:tc>
          <w:tcPr>
            <w:tcW w:w="1985" w:type="dxa"/>
            <w:vAlign w:val="center"/>
          </w:tcPr>
          <w:p w14:paraId="43F88CD9">
            <w:pPr>
              <w:adjustRightInd w:val="0"/>
              <w:snapToGrid w:val="0"/>
              <w:spacing w:line="360" w:lineRule="auto"/>
              <w:ind w:left="-533" w:leftChars="-254" w:firstLine="533" w:firstLineChars="254"/>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磋商保证金</w:t>
            </w:r>
          </w:p>
        </w:tc>
        <w:tc>
          <w:tcPr>
            <w:tcW w:w="6144" w:type="dxa"/>
            <w:vAlign w:val="center"/>
          </w:tcPr>
          <w:p w14:paraId="75DB207D">
            <w:pPr>
              <w:pStyle w:val="10"/>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不要求</w:t>
            </w:r>
          </w:p>
        </w:tc>
      </w:tr>
      <w:tr w14:paraId="338B5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36070938">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19.5（5）</w:t>
            </w:r>
          </w:p>
        </w:tc>
        <w:tc>
          <w:tcPr>
            <w:tcW w:w="1985" w:type="dxa"/>
            <w:vAlign w:val="center"/>
          </w:tcPr>
          <w:p w14:paraId="669420A4">
            <w:pPr>
              <w:adjustRightInd w:val="0"/>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保证金不予退还的其他情形</w:t>
            </w:r>
          </w:p>
        </w:tc>
        <w:tc>
          <w:tcPr>
            <w:tcW w:w="6144" w:type="dxa"/>
            <w:vAlign w:val="center"/>
          </w:tcPr>
          <w:p w14:paraId="7AECEE99">
            <w:pPr>
              <w:adjustRightInd w:val="0"/>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r>
      <w:tr w14:paraId="3DD0F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93" w:type="dxa"/>
            <w:vAlign w:val="center"/>
          </w:tcPr>
          <w:p w14:paraId="2F915EFE">
            <w:pPr>
              <w:adjustRightInd w:val="0"/>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20.3</w:t>
            </w:r>
          </w:p>
        </w:tc>
        <w:tc>
          <w:tcPr>
            <w:tcW w:w="1985" w:type="dxa"/>
            <w:vAlign w:val="center"/>
          </w:tcPr>
          <w:p w14:paraId="647B52EC">
            <w:pPr>
              <w:adjustRightInd w:val="0"/>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响应文件签字或</w:t>
            </w:r>
          </w:p>
          <w:p w14:paraId="1CBFD544">
            <w:pPr>
              <w:adjustRightInd w:val="0"/>
              <w:snapToGrid w:val="0"/>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盖章要求</w:t>
            </w:r>
          </w:p>
        </w:tc>
        <w:tc>
          <w:tcPr>
            <w:tcW w:w="6144" w:type="dxa"/>
            <w:vAlign w:val="center"/>
          </w:tcPr>
          <w:p w14:paraId="28A62FF7">
            <w:pPr>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所有要求投标人（供应商）加盖公章的地方都应用投标人（供应商）单位的 CA 密匙盖电子签章；所有要求法定代表人或其委托代理人签字或盖章的地方都应用法定代表人或其委托代理人的CA密匙盖电子签章，如投标人（供应商）的法定代表人或委托代理人未办理CA密匙的，投标人（供应商）须将要求法定代表人或其委托代理人签字或盖章的地方用法定代表人或委托代理人签字后的扫描图片替换到相应格式中。</w:t>
            </w:r>
          </w:p>
        </w:tc>
      </w:tr>
      <w:tr w14:paraId="3F79D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993" w:type="dxa"/>
            <w:vAlign w:val="center"/>
          </w:tcPr>
          <w:p w14:paraId="2ED62393">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 </w:t>
            </w:r>
          </w:p>
        </w:tc>
        <w:tc>
          <w:tcPr>
            <w:tcW w:w="1985" w:type="dxa"/>
            <w:vAlign w:val="center"/>
          </w:tcPr>
          <w:p w14:paraId="152BF6E9">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响应文</w:t>
            </w:r>
            <w:r>
              <w:rPr>
                <w:rFonts w:hint="eastAsia" w:ascii="宋体" w:hAnsi="宋体" w:cs="宋体"/>
                <w:color w:val="000000" w:themeColor="text1"/>
                <w:kern w:val="0"/>
                <w:szCs w:val="21"/>
                <w:highlight w:val="none"/>
                <w14:textFill>
                  <w14:solidFill>
                    <w14:schemeClr w14:val="tx1"/>
                  </w14:solidFill>
                </w14:textFill>
              </w:rPr>
              <w:t>件</w:t>
            </w:r>
            <w:r>
              <w:rPr>
                <w:rFonts w:hint="eastAsia" w:ascii="宋体" w:hAnsi="宋体" w:cs="宋体"/>
                <w:color w:val="000000" w:themeColor="text1"/>
                <w:spacing w:val="-2"/>
                <w:kern w:val="0"/>
                <w:szCs w:val="21"/>
                <w:highlight w:val="none"/>
                <w14:textFill>
                  <w14:solidFill>
                    <w14:schemeClr w14:val="tx1"/>
                  </w14:solidFill>
                </w14:textFill>
              </w:rPr>
              <w:t>加</w:t>
            </w:r>
            <w:r>
              <w:rPr>
                <w:rFonts w:hint="eastAsia" w:ascii="宋体" w:hAnsi="宋体" w:cs="宋体"/>
                <w:color w:val="000000" w:themeColor="text1"/>
                <w:kern w:val="0"/>
                <w:szCs w:val="21"/>
                <w:highlight w:val="none"/>
                <w14:textFill>
                  <w14:solidFill>
                    <w14:schemeClr w14:val="tx1"/>
                  </w14:solidFill>
                </w14:textFill>
              </w:rPr>
              <w:t>密</w:t>
            </w:r>
            <w:r>
              <w:rPr>
                <w:rFonts w:hint="eastAsia" w:ascii="宋体" w:hAnsi="宋体" w:cs="宋体"/>
                <w:color w:val="000000" w:themeColor="text1"/>
                <w:spacing w:val="-2"/>
                <w:kern w:val="0"/>
                <w:szCs w:val="21"/>
                <w:highlight w:val="none"/>
                <w14:textFill>
                  <w14:solidFill>
                    <w14:schemeClr w14:val="tx1"/>
                  </w14:solidFill>
                </w14:textFill>
              </w:rPr>
              <w:t>要</w:t>
            </w:r>
            <w:r>
              <w:rPr>
                <w:rFonts w:hint="eastAsia" w:ascii="宋体" w:hAnsi="宋体" w:cs="宋体"/>
                <w:color w:val="000000" w:themeColor="text1"/>
                <w:kern w:val="0"/>
                <w:szCs w:val="21"/>
                <w:highlight w:val="none"/>
                <w14:textFill>
                  <w14:solidFill>
                    <w14:schemeClr w14:val="tx1"/>
                  </w14:solidFill>
                </w14:textFill>
              </w:rPr>
              <w:t>求</w:t>
            </w:r>
          </w:p>
        </w:tc>
        <w:tc>
          <w:tcPr>
            <w:tcW w:w="6144" w:type="dxa"/>
            <w:vAlign w:val="center"/>
          </w:tcPr>
          <w:p w14:paraId="404043E5">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加密的电子响应文件为公共资源交易中心网站提供的“投标文件制作工具”软件制作生成的加密版响应文件。</w:t>
            </w:r>
          </w:p>
        </w:tc>
      </w:tr>
      <w:tr w14:paraId="0E8AD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993" w:type="dxa"/>
            <w:vAlign w:val="center"/>
          </w:tcPr>
          <w:p w14:paraId="4AC716F5">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w:t>
            </w:r>
          </w:p>
        </w:tc>
        <w:tc>
          <w:tcPr>
            <w:tcW w:w="1985" w:type="dxa"/>
            <w:vAlign w:val="center"/>
          </w:tcPr>
          <w:p w14:paraId="5D27E656">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封套上应载明的</w:t>
            </w:r>
          </w:p>
          <w:p w14:paraId="56F3E771">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信息</w:t>
            </w:r>
          </w:p>
        </w:tc>
        <w:tc>
          <w:tcPr>
            <w:tcW w:w="6144" w:type="dxa"/>
            <w:vAlign w:val="center"/>
          </w:tcPr>
          <w:p w14:paraId="6FD682CC">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690A0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Align w:val="center"/>
          </w:tcPr>
          <w:p w14:paraId="56859694">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1985" w:type="dxa"/>
            <w:vAlign w:val="center"/>
          </w:tcPr>
          <w:p w14:paraId="30A295F9">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提交首次响应文件截止时间</w:t>
            </w:r>
          </w:p>
        </w:tc>
        <w:tc>
          <w:tcPr>
            <w:tcW w:w="6144" w:type="dxa"/>
            <w:vAlign w:val="center"/>
          </w:tcPr>
          <w:p w14:paraId="2EBDAAEC">
            <w:pPr>
              <w:spacing w:line="360" w:lineRule="auto"/>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202</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4</w:t>
            </w:r>
            <w:r>
              <w:rPr>
                <w:rFonts w:hint="eastAsia" w:ascii="宋体" w:hAnsi="宋体" w:cs="宋体"/>
                <w:color w:val="000000" w:themeColor="text1"/>
                <w:kern w:val="0"/>
                <w:szCs w:val="21"/>
                <w:highlight w:val="none"/>
                <w:shd w:val="clear" w:color="auto" w:fill="FFFFFF"/>
                <w14:textFill>
                  <w14:solidFill>
                    <w14:schemeClr w14:val="tx1"/>
                  </w14:solidFill>
                </w14:textFill>
              </w:rPr>
              <w:t>年</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07</w:t>
            </w:r>
            <w:r>
              <w:rPr>
                <w:rFonts w:hint="eastAsia" w:ascii="宋体" w:hAnsi="宋体" w:cs="宋体"/>
                <w:color w:val="000000" w:themeColor="text1"/>
                <w:kern w:val="0"/>
                <w:szCs w:val="21"/>
                <w:highlight w:val="none"/>
                <w:shd w:val="clear" w:color="auto" w:fill="FFFFFF"/>
                <w14:textFill>
                  <w14:solidFill>
                    <w14:schemeClr w14:val="tx1"/>
                  </w14:solidFill>
                </w14:textFill>
              </w:rPr>
              <w:t>月</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30</w:t>
            </w:r>
            <w:r>
              <w:rPr>
                <w:rFonts w:hint="eastAsia" w:ascii="宋体" w:hAnsi="宋体" w:cs="宋体"/>
                <w:color w:val="000000" w:themeColor="text1"/>
                <w:kern w:val="0"/>
                <w:szCs w:val="21"/>
                <w:highlight w:val="none"/>
                <w:shd w:val="clear" w:color="auto" w:fill="FFFFFF"/>
                <w14:textFill>
                  <w14:solidFill>
                    <w14:schemeClr w14:val="tx1"/>
                  </w14:solidFill>
                </w14:textFill>
              </w:rPr>
              <w:t>日</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kern w:val="0"/>
                <w:szCs w:val="21"/>
                <w:highlight w:val="none"/>
                <w:shd w:val="clear" w:color="auto" w:fill="FFFFFF"/>
                <w14:textFill>
                  <w14:solidFill>
                    <w14:schemeClr w14:val="tx1"/>
                  </w14:solidFill>
                </w14:textFill>
              </w:rPr>
              <w:t>9时00分（北京时间）</w:t>
            </w:r>
          </w:p>
        </w:tc>
      </w:tr>
      <w:tr w14:paraId="1CAB8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3DEC403B">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w:t>
            </w:r>
          </w:p>
        </w:tc>
        <w:tc>
          <w:tcPr>
            <w:tcW w:w="1985" w:type="dxa"/>
            <w:vAlign w:val="center"/>
          </w:tcPr>
          <w:p w14:paraId="7358E65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磋商小组的组成</w:t>
            </w:r>
          </w:p>
        </w:tc>
        <w:tc>
          <w:tcPr>
            <w:tcW w:w="6144" w:type="dxa"/>
            <w:vAlign w:val="center"/>
          </w:tcPr>
          <w:p w14:paraId="705C0FB2">
            <w:pPr>
              <w:adjustRightInd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磋商小组成员人数</w:t>
            </w:r>
            <w:r>
              <w:rPr>
                <w:rFonts w:hint="eastAsia" w:ascii="宋体" w:hAnsi="宋体" w:cs="宋体"/>
                <w:color w:val="000000" w:themeColor="text1"/>
                <w:kern w:val="0"/>
                <w:szCs w:val="21"/>
                <w:highlight w:val="none"/>
                <w:u w:val="single"/>
                <w14:textFill>
                  <w14:solidFill>
                    <w14:schemeClr w14:val="tx1"/>
                  </w14:solidFill>
                </w14:textFill>
              </w:rPr>
              <w:t xml:space="preserve"> 3 </w:t>
            </w:r>
            <w:r>
              <w:rPr>
                <w:rFonts w:hint="eastAsia" w:ascii="宋体" w:hAnsi="宋体" w:cs="宋体"/>
                <w:color w:val="000000" w:themeColor="text1"/>
                <w:kern w:val="0"/>
                <w:szCs w:val="21"/>
                <w:highlight w:val="none"/>
                <w14:textFill>
                  <w14:solidFill>
                    <w14:schemeClr w14:val="tx1"/>
                  </w14:solidFill>
                </w14:textFill>
              </w:rPr>
              <w:t>人，其中采购人代表</w:t>
            </w:r>
            <w:r>
              <w:rPr>
                <w:rFonts w:hint="eastAsia" w:ascii="宋体" w:hAnsi="宋体" w:cs="宋体"/>
                <w:color w:val="000000" w:themeColor="text1"/>
                <w:kern w:val="0"/>
                <w:szCs w:val="21"/>
                <w:highlight w:val="none"/>
                <w:u w:val="single"/>
                <w14:textFill>
                  <w14:solidFill>
                    <w14:schemeClr w14:val="tx1"/>
                  </w14:solidFill>
                </w14:textFill>
              </w:rPr>
              <w:t xml:space="preserve"> 1 </w:t>
            </w:r>
            <w:r>
              <w:rPr>
                <w:rFonts w:hint="eastAsia" w:ascii="宋体" w:hAnsi="宋体" w:cs="宋体"/>
                <w:color w:val="000000" w:themeColor="text1"/>
                <w:kern w:val="0"/>
                <w:szCs w:val="21"/>
                <w:highlight w:val="none"/>
                <w14:textFill>
                  <w14:solidFill>
                    <w14:schemeClr w14:val="tx1"/>
                  </w14:solidFill>
                </w14:textFill>
              </w:rPr>
              <w:t>人，技术</w:t>
            </w:r>
            <w:r>
              <w:rPr>
                <w:rFonts w:hint="eastAsia" w:ascii="宋体" w:hAnsi="宋体" w:cs="宋体"/>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经</w:t>
            </w:r>
            <w:r>
              <w:rPr>
                <w:rFonts w:hint="eastAsia" w:ascii="宋体" w:hAnsi="宋体" w:cs="宋体"/>
                <w:color w:val="000000" w:themeColor="text1"/>
                <w:spacing w:val="-2"/>
                <w:kern w:val="0"/>
                <w:szCs w:val="21"/>
                <w:highlight w:val="none"/>
                <w14:textFill>
                  <w14:solidFill>
                    <w14:schemeClr w14:val="tx1"/>
                  </w14:solidFill>
                </w14:textFill>
              </w:rPr>
              <w:t>济</w:t>
            </w:r>
            <w:r>
              <w:rPr>
                <w:rFonts w:hint="eastAsia" w:ascii="宋体" w:hAnsi="宋体" w:cs="宋体"/>
                <w:color w:val="000000" w:themeColor="text1"/>
                <w:kern w:val="0"/>
                <w:szCs w:val="21"/>
                <w:highlight w:val="none"/>
                <w14:textFill>
                  <w14:solidFill>
                    <w14:schemeClr w14:val="tx1"/>
                  </w14:solidFill>
                </w14:textFill>
              </w:rPr>
              <w:t>等</w:t>
            </w:r>
            <w:r>
              <w:rPr>
                <w:rFonts w:hint="eastAsia" w:ascii="宋体" w:hAnsi="宋体" w:cs="宋体"/>
                <w:color w:val="000000" w:themeColor="text1"/>
                <w:spacing w:val="-2"/>
                <w:kern w:val="0"/>
                <w:szCs w:val="21"/>
                <w:highlight w:val="none"/>
                <w14:textFill>
                  <w14:solidFill>
                    <w14:schemeClr w14:val="tx1"/>
                  </w14:solidFill>
                </w14:textFill>
              </w:rPr>
              <w:t>方</w:t>
            </w:r>
            <w:r>
              <w:rPr>
                <w:rFonts w:hint="eastAsia" w:ascii="宋体" w:hAnsi="宋体" w:cs="宋体"/>
                <w:color w:val="000000" w:themeColor="text1"/>
                <w:kern w:val="0"/>
                <w:szCs w:val="21"/>
                <w:highlight w:val="none"/>
                <w14:textFill>
                  <w14:solidFill>
                    <w14:schemeClr w14:val="tx1"/>
                  </w14:solidFill>
                </w14:textFill>
              </w:rPr>
              <w:t>面</w:t>
            </w:r>
            <w:r>
              <w:rPr>
                <w:rFonts w:hint="eastAsia" w:ascii="宋体" w:hAnsi="宋体" w:cs="宋体"/>
                <w:color w:val="000000" w:themeColor="text1"/>
                <w:spacing w:val="-2"/>
                <w:kern w:val="0"/>
                <w:szCs w:val="21"/>
                <w:highlight w:val="none"/>
                <w14:textFill>
                  <w14:solidFill>
                    <w14:schemeClr w14:val="tx1"/>
                  </w14:solidFill>
                </w14:textFill>
              </w:rPr>
              <w:t>专</w:t>
            </w:r>
            <w:r>
              <w:rPr>
                <w:rFonts w:hint="eastAsia" w:ascii="宋体" w:hAnsi="宋体" w:cs="宋体"/>
                <w:color w:val="000000" w:themeColor="text1"/>
                <w:kern w:val="0"/>
                <w:szCs w:val="21"/>
                <w:highlight w:val="none"/>
                <w14:textFill>
                  <w14:solidFill>
                    <w14:schemeClr w14:val="tx1"/>
                  </w14:solidFill>
                </w14:textFill>
              </w:rPr>
              <w:t>家</w:t>
            </w:r>
            <w:r>
              <w:rPr>
                <w:rFonts w:hint="eastAsia" w:ascii="宋体" w:hAnsi="宋体" w:cs="宋体"/>
                <w:color w:val="000000" w:themeColor="text1"/>
                <w:kern w:val="0"/>
                <w:szCs w:val="21"/>
                <w:highlight w:val="none"/>
                <w:u w:val="single"/>
                <w14:textFill>
                  <w14:solidFill>
                    <w14:schemeClr w14:val="tx1"/>
                  </w14:solidFill>
                </w14:textFill>
              </w:rPr>
              <w:t xml:space="preserve"> 2 </w:t>
            </w:r>
            <w:r>
              <w:rPr>
                <w:rFonts w:hint="eastAsia" w:ascii="宋体" w:hAnsi="宋体" w:cs="宋体"/>
                <w:color w:val="000000" w:themeColor="text1"/>
                <w:kern w:val="0"/>
                <w:szCs w:val="21"/>
                <w:highlight w:val="none"/>
                <w14:textFill>
                  <w14:solidFill>
                    <w14:schemeClr w14:val="tx1"/>
                  </w14:solidFill>
                </w14:textFill>
              </w:rPr>
              <w:t>人</w:t>
            </w:r>
          </w:p>
          <w:p w14:paraId="57F5B650">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w:t>
            </w:r>
            <w:r>
              <w:rPr>
                <w:rFonts w:hint="eastAsia" w:ascii="宋体" w:hAnsi="宋体" w:cs="宋体"/>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经</w:t>
            </w:r>
            <w:r>
              <w:rPr>
                <w:rFonts w:hint="eastAsia" w:ascii="宋体" w:hAnsi="宋体" w:cs="宋体"/>
                <w:color w:val="000000" w:themeColor="text1"/>
                <w:spacing w:val="-2"/>
                <w:kern w:val="0"/>
                <w:szCs w:val="21"/>
                <w:highlight w:val="none"/>
                <w14:textFill>
                  <w14:solidFill>
                    <w14:schemeClr w14:val="tx1"/>
                  </w14:solidFill>
                </w14:textFill>
              </w:rPr>
              <w:t>济</w:t>
            </w:r>
            <w:r>
              <w:rPr>
                <w:rFonts w:hint="eastAsia" w:ascii="宋体" w:hAnsi="宋体" w:cs="宋体"/>
                <w:color w:val="000000" w:themeColor="text1"/>
                <w:kern w:val="0"/>
                <w:szCs w:val="21"/>
                <w:highlight w:val="none"/>
                <w14:textFill>
                  <w14:solidFill>
                    <w14:schemeClr w14:val="tx1"/>
                  </w14:solidFill>
                </w14:textFill>
              </w:rPr>
              <w:t>等</w:t>
            </w:r>
            <w:r>
              <w:rPr>
                <w:rFonts w:hint="eastAsia" w:ascii="宋体" w:hAnsi="宋体" w:cs="宋体"/>
                <w:color w:val="000000" w:themeColor="text1"/>
                <w:spacing w:val="-2"/>
                <w:kern w:val="0"/>
                <w:szCs w:val="21"/>
                <w:highlight w:val="none"/>
                <w14:textFill>
                  <w14:solidFill>
                    <w14:schemeClr w14:val="tx1"/>
                  </w14:solidFill>
                </w14:textFill>
              </w:rPr>
              <w:t>方</w:t>
            </w:r>
            <w:r>
              <w:rPr>
                <w:rFonts w:hint="eastAsia" w:ascii="宋体" w:hAnsi="宋体" w:cs="宋体"/>
                <w:color w:val="000000" w:themeColor="text1"/>
                <w:kern w:val="0"/>
                <w:szCs w:val="21"/>
                <w:highlight w:val="none"/>
                <w14:textFill>
                  <w14:solidFill>
                    <w14:schemeClr w14:val="tx1"/>
                  </w14:solidFill>
                </w14:textFill>
              </w:rPr>
              <w:t>面</w:t>
            </w:r>
            <w:r>
              <w:rPr>
                <w:rFonts w:hint="eastAsia" w:ascii="宋体" w:hAnsi="宋体" w:cs="宋体"/>
                <w:color w:val="000000" w:themeColor="text1"/>
                <w:spacing w:val="-2"/>
                <w:kern w:val="0"/>
                <w:szCs w:val="21"/>
                <w:highlight w:val="none"/>
                <w14:textFill>
                  <w14:solidFill>
                    <w14:schemeClr w14:val="tx1"/>
                  </w14:solidFill>
                </w14:textFill>
              </w:rPr>
              <w:t>专</w:t>
            </w:r>
            <w:r>
              <w:rPr>
                <w:rFonts w:hint="eastAsia" w:ascii="宋体" w:hAnsi="宋体" w:cs="宋体"/>
                <w:color w:val="000000" w:themeColor="text1"/>
                <w:kern w:val="0"/>
                <w:szCs w:val="21"/>
                <w:highlight w:val="none"/>
                <w14:textFill>
                  <w14:solidFill>
                    <w14:schemeClr w14:val="tx1"/>
                  </w14:solidFill>
                </w14:textFill>
              </w:rPr>
              <w:t>家</w:t>
            </w:r>
            <w:r>
              <w:rPr>
                <w:rFonts w:hint="eastAsia" w:ascii="宋体" w:hAnsi="宋体" w:cs="宋体"/>
                <w:color w:val="000000" w:themeColor="text1"/>
                <w:spacing w:val="-2"/>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确定</w:t>
            </w:r>
            <w:r>
              <w:rPr>
                <w:rFonts w:hint="eastAsia" w:ascii="宋体" w:hAnsi="宋体" w:cs="宋体"/>
                <w:color w:val="000000" w:themeColor="text1"/>
                <w:spacing w:val="-2"/>
                <w:kern w:val="0"/>
                <w:szCs w:val="21"/>
                <w:highlight w:val="none"/>
                <w14:textFill>
                  <w14:solidFill>
                    <w14:schemeClr w14:val="tx1"/>
                  </w14:solidFill>
                </w14:textFill>
              </w:rPr>
              <w:t>方</w:t>
            </w:r>
            <w:r>
              <w:rPr>
                <w:rFonts w:hint="eastAsia" w:ascii="宋体" w:hAnsi="宋体" w:cs="宋体"/>
                <w:color w:val="000000" w:themeColor="text1"/>
                <w:kern w:val="0"/>
                <w:szCs w:val="21"/>
                <w:highlight w:val="none"/>
                <w14:textFill>
                  <w14:solidFill>
                    <w14:schemeClr w14:val="tx1"/>
                  </w14:solidFill>
                </w14:textFill>
              </w:rPr>
              <w:t>式：从河南省政府采购评审专家库中随机抽取。</w:t>
            </w:r>
          </w:p>
        </w:tc>
      </w:tr>
      <w:tr w14:paraId="389B86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1E3257F0">
            <w:pPr>
              <w:adjustRightInd w:val="0"/>
              <w:snapToGrid w:val="0"/>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25.4</w:t>
            </w:r>
          </w:p>
        </w:tc>
        <w:tc>
          <w:tcPr>
            <w:tcW w:w="1985" w:type="dxa"/>
            <w:vAlign w:val="center"/>
          </w:tcPr>
          <w:p w14:paraId="1D9AD6AF">
            <w:pPr>
              <w:pStyle w:val="10"/>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评标委员会推荐中标候选人的人数</w:t>
            </w:r>
          </w:p>
        </w:tc>
        <w:tc>
          <w:tcPr>
            <w:tcW w:w="6144" w:type="dxa"/>
            <w:vAlign w:val="center"/>
          </w:tcPr>
          <w:p w14:paraId="1AF09DA4">
            <w:pPr>
              <w:keepNext w:val="0"/>
              <w:keepLines w:val="0"/>
              <w:suppressLineNumbers w:val="0"/>
              <w:autoSpaceDE w:val="0"/>
              <w:autoSpaceDN w:val="0"/>
              <w:adjustRightInd w:val="0"/>
              <w:spacing w:before="0" w:beforeAutospacing="0" w:after="0" w:afterAutospacing="0" w:line="360" w:lineRule="auto"/>
              <w:ind w:left="0" w:leftChars="0" w:right="0" w:righ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3  </w:t>
            </w:r>
            <w:r>
              <w:rPr>
                <w:rFonts w:hint="eastAsia" w:ascii="宋体" w:hAnsi="宋体" w:cs="宋体"/>
                <w:color w:val="000000" w:themeColor="text1"/>
                <w:kern w:val="0"/>
                <w:szCs w:val="21"/>
                <w:highlight w:val="none"/>
                <w14:textFill>
                  <w14:solidFill>
                    <w14:schemeClr w14:val="tx1"/>
                  </w14:solidFill>
                </w14:textFill>
              </w:rPr>
              <w:t>人</w:t>
            </w:r>
          </w:p>
        </w:tc>
      </w:tr>
      <w:tr w14:paraId="14D72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3315D2A3">
            <w:pPr>
              <w:adjustRightInd w:val="0"/>
              <w:snapToGrid w:val="0"/>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25.5</w:t>
            </w:r>
          </w:p>
        </w:tc>
        <w:tc>
          <w:tcPr>
            <w:tcW w:w="1985" w:type="dxa"/>
            <w:vAlign w:val="center"/>
          </w:tcPr>
          <w:p w14:paraId="1466A8D5">
            <w:pPr>
              <w:pStyle w:val="10"/>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是否授权评标委员会确定</w:t>
            </w:r>
            <w:r>
              <w:rPr>
                <w:rFonts w:hint="eastAsia" w:hAnsi="宋体" w:cs="宋体"/>
                <w:color w:val="000000" w:themeColor="text1"/>
                <w:kern w:val="0"/>
                <w:szCs w:val="21"/>
                <w:highlight w:val="none"/>
                <w:lang w:eastAsia="zh-CN"/>
                <w14:textFill>
                  <w14:solidFill>
                    <w14:schemeClr w14:val="tx1"/>
                  </w14:solidFill>
                </w14:textFill>
              </w:rPr>
              <w:t>成交</w:t>
            </w:r>
            <w:r>
              <w:rPr>
                <w:rFonts w:hint="eastAsia" w:hAnsi="宋体" w:cs="宋体"/>
                <w:color w:val="000000" w:themeColor="text1"/>
                <w:kern w:val="0"/>
                <w:szCs w:val="21"/>
                <w:highlight w:val="none"/>
                <w14:textFill>
                  <w14:solidFill>
                    <w14:schemeClr w14:val="tx1"/>
                  </w14:solidFill>
                </w14:textFill>
              </w:rPr>
              <w:t>人</w:t>
            </w:r>
          </w:p>
        </w:tc>
        <w:tc>
          <w:tcPr>
            <w:tcW w:w="6144" w:type="dxa"/>
            <w:vAlign w:val="top"/>
          </w:tcPr>
          <w:p w14:paraId="5D959D28">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☑是，确定一名成交人</w:t>
            </w:r>
          </w:p>
          <w:p w14:paraId="1A5C866E">
            <w:pPr>
              <w:keepNext w:val="0"/>
              <w:keepLines w:val="0"/>
              <w:suppressLineNumbers w:val="0"/>
              <w:autoSpaceDE w:val="0"/>
              <w:autoSpaceDN w:val="0"/>
              <w:adjustRightInd w:val="0"/>
              <w:spacing w:before="0" w:beforeAutospacing="0" w:after="0" w:afterAutospacing="0" w:line="360" w:lineRule="auto"/>
              <w:ind w:left="0" w:leftChars="0" w:right="0" w:rightChars="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r>
      <w:tr w14:paraId="05894F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16AF7AA3">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w:t>
            </w:r>
          </w:p>
        </w:tc>
        <w:tc>
          <w:tcPr>
            <w:tcW w:w="1985" w:type="dxa"/>
            <w:vAlign w:val="center"/>
          </w:tcPr>
          <w:p w14:paraId="74F545D9">
            <w:pPr>
              <w:adjustRightInd w:val="0"/>
              <w:snapToGrid w:val="0"/>
              <w:spacing w:line="360" w:lineRule="auto"/>
              <w:jc w:val="center"/>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响应文件解密时间</w:t>
            </w:r>
          </w:p>
        </w:tc>
        <w:tc>
          <w:tcPr>
            <w:tcW w:w="6144" w:type="dxa"/>
            <w:vAlign w:val="center"/>
          </w:tcPr>
          <w:p w14:paraId="01D88A8F">
            <w:pPr>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按交易中心具体规定执行</w:t>
            </w:r>
          </w:p>
        </w:tc>
      </w:tr>
      <w:tr w14:paraId="0ECFB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93" w:type="dxa"/>
            <w:vAlign w:val="center"/>
          </w:tcPr>
          <w:p w14:paraId="1B6A9F1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w:t>
            </w:r>
          </w:p>
        </w:tc>
        <w:tc>
          <w:tcPr>
            <w:tcW w:w="1985" w:type="dxa"/>
            <w:vAlign w:val="center"/>
          </w:tcPr>
          <w:p w14:paraId="580EBB72">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144" w:type="dxa"/>
            <w:vAlign w:val="center"/>
          </w:tcPr>
          <w:p w14:paraId="1682D235">
            <w:pPr>
              <w:adjustRightInd w:val="0"/>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履约保证金金额：合同金额的5%；</w:t>
            </w:r>
          </w:p>
          <w:p w14:paraId="0C757AC6">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履约保证金递交时间：合同签订时向采购人提供。</w:t>
            </w:r>
          </w:p>
        </w:tc>
      </w:tr>
      <w:tr w14:paraId="2B537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993" w:type="dxa"/>
            <w:vAlign w:val="center"/>
          </w:tcPr>
          <w:p w14:paraId="58E8A64B">
            <w:pPr>
              <w:autoSpaceDE w:val="0"/>
              <w:autoSpaceDN w:val="0"/>
              <w:adjustRightInd w:val="0"/>
              <w:spacing w:line="360" w:lineRule="auto"/>
              <w:ind w:right="-20"/>
              <w:jc w:val="center"/>
              <w:rPr>
                <w:rFonts w:hint="eastAsia" w:ascii="宋体" w:hAnsi="宋体" w:eastAsia="宋体" w:cs="宋体"/>
                <w:color w:val="000000" w:themeColor="text1"/>
                <w:kern w:val="0"/>
                <w:position w:val="-3"/>
                <w:szCs w:val="21"/>
                <w:highlight w:val="none"/>
                <w:lang w:eastAsia="zh-CN"/>
                <w14:textFill>
                  <w14:solidFill>
                    <w14:schemeClr w14:val="tx1"/>
                  </w14:solidFill>
                </w14:textFill>
              </w:rPr>
            </w:pPr>
            <w:r>
              <w:rPr>
                <w:rFonts w:hint="eastAsia" w:ascii="宋体" w:hAnsi="宋体" w:cs="宋体"/>
                <w:color w:val="000000" w:themeColor="text1"/>
                <w:kern w:val="0"/>
                <w:position w:val="-3"/>
                <w:szCs w:val="21"/>
                <w:highlight w:val="none"/>
                <w14:textFill>
                  <w14:solidFill>
                    <w14:schemeClr w14:val="tx1"/>
                  </w14:solidFill>
                </w14:textFill>
              </w:rPr>
              <w:t>3</w:t>
            </w:r>
            <w:r>
              <w:rPr>
                <w:rFonts w:hint="eastAsia" w:ascii="宋体" w:hAnsi="宋体" w:cs="宋体"/>
                <w:color w:val="000000" w:themeColor="text1"/>
                <w:kern w:val="0"/>
                <w:position w:val="-3"/>
                <w:szCs w:val="21"/>
                <w:highlight w:val="none"/>
                <w:lang w:val="en-US" w:eastAsia="zh-CN"/>
                <w14:textFill>
                  <w14:solidFill>
                    <w14:schemeClr w14:val="tx1"/>
                  </w14:solidFill>
                </w14:textFill>
              </w:rPr>
              <w:t>8</w:t>
            </w:r>
          </w:p>
        </w:tc>
        <w:tc>
          <w:tcPr>
            <w:tcW w:w="1985" w:type="dxa"/>
            <w:vAlign w:val="center"/>
          </w:tcPr>
          <w:p w14:paraId="42D0EDBF">
            <w:pPr>
              <w:autoSpaceDE w:val="0"/>
              <w:autoSpaceDN w:val="0"/>
              <w:adjustRightInd w:val="0"/>
              <w:spacing w:line="360" w:lineRule="auto"/>
              <w:ind w:right="-20"/>
              <w:rPr>
                <w:rFonts w:ascii="宋体" w:hAnsi="宋体" w:cs="宋体"/>
                <w:color w:val="000000" w:themeColor="text1"/>
                <w:kern w:val="0"/>
                <w:position w:val="-3"/>
                <w:szCs w:val="21"/>
                <w:highlight w:val="none"/>
                <w14:textFill>
                  <w14:solidFill>
                    <w14:schemeClr w14:val="tx1"/>
                  </w14:solidFill>
                </w14:textFill>
              </w:rPr>
            </w:pPr>
            <w:r>
              <w:rPr>
                <w:rFonts w:hint="eastAsia" w:ascii="宋体" w:hAnsi="宋体" w:cs="宋体"/>
                <w:color w:val="000000" w:themeColor="text1"/>
                <w:kern w:val="0"/>
                <w:position w:val="-3"/>
                <w:szCs w:val="21"/>
                <w:highlight w:val="none"/>
                <w14:textFill>
                  <w14:solidFill>
                    <w14:schemeClr w14:val="tx1"/>
                  </w14:solidFill>
                </w14:textFill>
              </w:rPr>
              <w:t>是否采用电子招标投标（采购）</w:t>
            </w:r>
          </w:p>
        </w:tc>
        <w:tc>
          <w:tcPr>
            <w:tcW w:w="6144" w:type="dxa"/>
            <w:vAlign w:val="center"/>
          </w:tcPr>
          <w:p w14:paraId="7E4F40D5">
            <w:pPr>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tc>
      </w:tr>
      <w:tr w14:paraId="6F0DE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27EE6E0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.1</w:t>
            </w:r>
          </w:p>
        </w:tc>
        <w:tc>
          <w:tcPr>
            <w:tcW w:w="1985" w:type="dxa"/>
            <w:vAlign w:val="center"/>
          </w:tcPr>
          <w:p w14:paraId="59C34C52">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政府采购合同融资政策</w:t>
            </w:r>
          </w:p>
        </w:tc>
        <w:tc>
          <w:tcPr>
            <w:tcW w:w="6144" w:type="dxa"/>
            <w:vAlign w:val="center"/>
          </w:tcPr>
          <w:p w14:paraId="61DE50B9">
            <w:pPr>
              <w:pStyle w:val="6"/>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河南省政府采购合同融资政策告知函</w:t>
            </w:r>
          </w:p>
          <w:p w14:paraId="29F8228E">
            <w:pPr>
              <w:pStyle w:val="6"/>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各供应商：</w:t>
            </w:r>
          </w:p>
          <w:p w14:paraId="640A13B8">
            <w:pPr>
              <w:pStyle w:val="6"/>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欢迎贵公司参与河南省政府采购活动！</w:t>
            </w:r>
          </w:p>
          <w:p w14:paraId="20555CD8">
            <w:pPr>
              <w:pStyle w:val="6"/>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6D1C62A">
            <w:pPr>
              <w:pStyle w:val="6"/>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贷款渠道和提供贷款的金融机构，可在河南省政府采购网“河南省政府采购合同融资平台”查询联系。</w:t>
            </w:r>
          </w:p>
        </w:tc>
      </w:tr>
      <w:tr w14:paraId="4A3B6F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409958D1">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.2</w:t>
            </w:r>
          </w:p>
        </w:tc>
        <w:tc>
          <w:tcPr>
            <w:tcW w:w="1985" w:type="dxa"/>
            <w:vAlign w:val="center"/>
          </w:tcPr>
          <w:p w14:paraId="367A8CE0">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专门面向中小企业采购</w:t>
            </w:r>
          </w:p>
        </w:tc>
        <w:tc>
          <w:tcPr>
            <w:tcW w:w="6144" w:type="dxa"/>
            <w:vAlign w:val="center"/>
          </w:tcPr>
          <w:p w14:paraId="737DCA86">
            <w:pPr>
              <w:autoSpaceDE w:val="0"/>
              <w:autoSpaceDN w:val="0"/>
              <w:adjustRightInd w:val="0"/>
              <w:spacing w:line="360" w:lineRule="auto"/>
              <w:jc w:val="left"/>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3"/>
                <w:highlight w:val="none"/>
                <w14:textFill>
                  <w14:solidFill>
                    <w14:schemeClr w14:val="tx1"/>
                  </w14:solidFill>
                </w14:textFill>
              </w:rPr>
              <w:t>本项目或</w:t>
            </w:r>
            <w:r>
              <w:rPr>
                <w:rFonts w:hint="eastAsia" w:ascii="宋体" w:hAnsi="宋体" w:cs="宋体"/>
                <w:color w:val="000000" w:themeColor="text1"/>
                <w:spacing w:val="-4"/>
                <w:highlight w:val="none"/>
                <w14:textFill>
                  <w14:solidFill>
                    <w14:schemeClr w14:val="tx1"/>
                  </w14:solidFill>
                </w14:textFill>
              </w:rPr>
              <w:t>相关采购包是否专门面向中小企业采购：</w:t>
            </w:r>
          </w:p>
          <w:p w14:paraId="5C295209">
            <w:pPr>
              <w:autoSpaceDE w:val="0"/>
              <w:autoSpaceDN w:val="0"/>
              <w:adjustRightInd w:val="0"/>
              <w:spacing w:line="360" w:lineRule="auto"/>
              <w:jc w:val="left"/>
              <w:rPr>
                <w:rFonts w:ascii="宋体" w:hAnsi="宋体" w:cs="宋体"/>
                <w:color w:val="000000" w:themeColor="text1"/>
                <w:spacing w:val="-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14:paraId="060DC7E3">
            <w:pPr>
              <w:autoSpaceDE w:val="0"/>
              <w:autoSpaceDN w:val="0"/>
              <w:adjustRightIn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pacing w:val="-1"/>
                <w:kern w:val="0"/>
                <w:szCs w:val="21"/>
                <w:highlight w:val="none"/>
                <w14:textFill>
                  <w14:solidFill>
                    <w14:schemeClr w14:val="tx1"/>
                  </w14:solidFill>
                </w14:textFill>
              </w:rPr>
              <w:sym w:font="Wingdings 2" w:char="00A3"/>
            </w:r>
            <w:r>
              <w:rPr>
                <w:rFonts w:hint="eastAsia" w:ascii="宋体" w:hAnsi="宋体" w:cs="宋体"/>
                <w:color w:val="000000" w:themeColor="text1"/>
                <w:highlight w:val="none"/>
                <w14:textFill>
                  <w14:solidFill>
                    <w14:schemeClr w14:val="tx1"/>
                  </w14:solidFill>
                </w14:textFill>
              </w:rPr>
              <w:t>是：本项目（或本项目</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包）是</w:t>
            </w:r>
            <w:r>
              <w:rPr>
                <w:rFonts w:hint="eastAsia" w:ascii="宋体" w:hAnsi="宋体" w:cs="宋体"/>
                <w:color w:val="000000" w:themeColor="text1"/>
                <w:spacing w:val="-4"/>
                <w:highlight w:val="none"/>
                <w14:textFill>
                  <w14:solidFill>
                    <w14:schemeClr w14:val="tx1"/>
                  </w14:solidFill>
                </w14:textFill>
              </w:rPr>
              <w:t>专门面向中小企业采购</w:t>
            </w:r>
          </w:p>
        </w:tc>
      </w:tr>
      <w:tr w14:paraId="32539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06E63E0D">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.3</w:t>
            </w:r>
          </w:p>
        </w:tc>
        <w:tc>
          <w:tcPr>
            <w:tcW w:w="1985" w:type="dxa"/>
            <w:vAlign w:val="center"/>
          </w:tcPr>
          <w:p w14:paraId="4441CCD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本项目对应的中小企业划分标准所属行业</w:t>
            </w:r>
          </w:p>
        </w:tc>
        <w:tc>
          <w:tcPr>
            <w:tcW w:w="6144" w:type="dxa"/>
            <w:vAlign w:val="center"/>
          </w:tcPr>
          <w:p w14:paraId="29ECD5D5">
            <w:p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餐饮业</w:t>
            </w:r>
          </w:p>
        </w:tc>
      </w:tr>
      <w:tr w14:paraId="33484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93" w:type="dxa"/>
            <w:vAlign w:val="center"/>
          </w:tcPr>
          <w:p w14:paraId="272B19F5">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.4</w:t>
            </w:r>
          </w:p>
        </w:tc>
        <w:tc>
          <w:tcPr>
            <w:tcW w:w="1985" w:type="dxa"/>
            <w:vAlign w:val="center"/>
          </w:tcPr>
          <w:p w14:paraId="7ECE7875">
            <w:pPr>
              <w:adjustRightInd w:val="0"/>
              <w:snapToGrid w:val="0"/>
              <w:spacing w:line="360" w:lineRule="auto"/>
              <w:jc w:val="center"/>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享受扶持政策获得政府采购</w:t>
            </w:r>
            <w:r>
              <w:rPr>
                <w:rFonts w:hint="eastAsia" w:ascii="宋体" w:hAnsi="宋体" w:cs="宋体"/>
                <w:color w:val="000000" w:themeColor="text1"/>
                <w:spacing w:val="-3"/>
                <w:highlight w:val="none"/>
                <w14:textFill>
                  <w14:solidFill>
                    <w14:schemeClr w14:val="tx1"/>
                  </w14:solidFill>
                </w14:textFill>
              </w:rPr>
              <w:t>合同的要求</w:t>
            </w:r>
          </w:p>
        </w:tc>
        <w:tc>
          <w:tcPr>
            <w:tcW w:w="6144" w:type="dxa"/>
            <w:vAlign w:val="center"/>
          </w:tcPr>
          <w:p w14:paraId="6B6798E0">
            <w:p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依据《政府采购促进中小企业发展管理办法》规定享受扶持政策获得政府采购</w:t>
            </w:r>
            <w:r>
              <w:rPr>
                <w:rFonts w:hint="eastAsia" w:ascii="宋体" w:hAnsi="宋体" w:cs="宋体"/>
                <w:color w:val="000000" w:themeColor="text1"/>
                <w:spacing w:val="-3"/>
                <w:highlight w:val="none"/>
                <w14:textFill>
                  <w14:solidFill>
                    <w14:schemeClr w14:val="tx1"/>
                  </w14:solidFill>
                </w14:textFill>
              </w:rPr>
              <w:t>合同的，小微企业不得将合同分包给大中型企业，中型企业不得将合同分包给大型企业。</w:t>
            </w:r>
          </w:p>
        </w:tc>
      </w:tr>
      <w:tr w14:paraId="1773A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993" w:type="dxa"/>
            <w:vAlign w:val="center"/>
          </w:tcPr>
          <w:p w14:paraId="186D0963">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.5</w:t>
            </w:r>
          </w:p>
        </w:tc>
        <w:tc>
          <w:tcPr>
            <w:tcW w:w="1985" w:type="dxa"/>
            <w:vAlign w:val="center"/>
          </w:tcPr>
          <w:p w14:paraId="66C4DC08">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采购代理服务费</w:t>
            </w:r>
          </w:p>
        </w:tc>
        <w:tc>
          <w:tcPr>
            <w:tcW w:w="6144" w:type="dxa"/>
            <w:vAlign w:val="center"/>
          </w:tcPr>
          <w:p w14:paraId="445EC20C">
            <w:pPr>
              <w:adjustRightInd w:val="0"/>
              <w:snapToGrid w:val="0"/>
              <w:spacing w:line="360" w:lineRule="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本项目采购代理服务费缴纳按照《河南省招标代理服务收费指导意见》（豫招协【2023】002号）收费计算标准规定的85%向中标、成交供应商收取，在领取成交通知书前以现金或者转账形式支付</w:t>
            </w:r>
            <w:r>
              <w:rPr>
                <w:rFonts w:hint="eastAsia" w:ascii="宋体" w:hAnsi="宋体" w:cs="宋体"/>
                <w:bCs/>
                <w:color w:val="000000" w:themeColor="text1"/>
                <w:szCs w:val="21"/>
                <w:highlight w:val="none"/>
                <w:lang w:eastAsia="zh-CN"/>
                <w14:textFill>
                  <w14:solidFill>
                    <w14:schemeClr w14:val="tx1"/>
                  </w14:solidFill>
                </w14:textFill>
              </w:rPr>
              <w:t>。</w:t>
            </w:r>
          </w:p>
        </w:tc>
      </w:tr>
      <w:tr w14:paraId="16C50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1" w:hRule="atLeast"/>
          <w:jc w:val="center"/>
        </w:trPr>
        <w:tc>
          <w:tcPr>
            <w:tcW w:w="993" w:type="dxa"/>
            <w:vAlign w:val="center"/>
          </w:tcPr>
          <w:p w14:paraId="0E6ABDDB">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.6</w:t>
            </w:r>
          </w:p>
        </w:tc>
        <w:tc>
          <w:tcPr>
            <w:tcW w:w="1985" w:type="dxa"/>
            <w:vAlign w:val="center"/>
          </w:tcPr>
          <w:p w14:paraId="0BEB675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特别提示</w:t>
            </w:r>
          </w:p>
        </w:tc>
        <w:tc>
          <w:tcPr>
            <w:tcW w:w="6144" w:type="dxa"/>
            <w:vAlign w:val="center"/>
          </w:tcPr>
          <w:p w14:paraId="2D8B294D">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磋商文件内容前后不一致的以供应商须知前附表为准，供应商须知前附表没有的以最后内容为准。</w:t>
            </w:r>
          </w:p>
        </w:tc>
      </w:tr>
      <w:tr w14:paraId="72017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1" w:hRule="atLeast"/>
          <w:jc w:val="center"/>
        </w:trPr>
        <w:tc>
          <w:tcPr>
            <w:tcW w:w="993" w:type="dxa"/>
            <w:vAlign w:val="center"/>
          </w:tcPr>
          <w:p w14:paraId="424DCAB1">
            <w:pPr>
              <w:adjustRightInd w:val="0"/>
              <w:snapToGrid w:val="0"/>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39.7</w:t>
            </w:r>
          </w:p>
        </w:tc>
        <w:tc>
          <w:tcPr>
            <w:tcW w:w="1985" w:type="dxa"/>
            <w:vAlign w:val="center"/>
          </w:tcPr>
          <w:p w14:paraId="33EE7696">
            <w:pPr>
              <w:snapToGrid w:val="0"/>
              <w:spacing w:before="0" w:beforeAutospacing="0" w:after="0" w:afterAutospacing="0" w:line="360" w:lineRule="auto"/>
              <w:jc w:val="center"/>
              <w:textAlignment w:val="center"/>
              <w:rPr>
                <w:rFonts w:hint="eastAsia" w:ascii="宋体" w:hAnsi="宋体" w:cs="宋体"/>
                <w:color w:val="000000" w:themeColor="text1"/>
                <w:szCs w:val="21"/>
                <w:highlight w:val="none"/>
                <w14:textFill>
                  <w14:solidFill>
                    <w14:schemeClr w14:val="tx1"/>
                  </w14:solidFill>
                </w14:textFill>
              </w:rPr>
            </w:pPr>
            <w:r>
              <w:rPr>
                <w:rStyle w:val="52"/>
                <w:rFonts w:ascii="宋体" w:hAnsi="宋体"/>
                <w:b w:val="0"/>
                <w:i w:val="0"/>
                <w:caps w:val="0"/>
                <w:spacing w:val="0"/>
                <w:w w:val="100"/>
                <w:kern w:val="2"/>
                <w:sz w:val="21"/>
                <w:szCs w:val="21"/>
                <w:highlight w:val="none"/>
                <w:lang w:val="en-US" w:eastAsia="zh-CN" w:bidi="ar-SA"/>
              </w:rPr>
              <w:t>磋商报价</w:t>
            </w:r>
          </w:p>
        </w:tc>
        <w:tc>
          <w:tcPr>
            <w:tcW w:w="6144" w:type="dxa"/>
            <w:vAlign w:val="center"/>
          </w:tcPr>
          <w:p w14:paraId="1C32F6ED">
            <w:pPr>
              <w:snapToGrid w:val="0"/>
              <w:spacing w:before="0" w:beforeAutospacing="0" w:after="0" w:afterAutospacing="0" w:line="360" w:lineRule="auto"/>
              <w:jc w:val="left"/>
              <w:textAlignment w:val="center"/>
              <w:rPr>
                <w:rFonts w:hint="eastAsia" w:ascii="宋体" w:hAnsi="宋体" w:cs="宋体"/>
                <w:bCs/>
                <w:color w:val="000000" w:themeColor="text1"/>
                <w:szCs w:val="21"/>
                <w:highlight w:val="none"/>
                <w14:textFill>
                  <w14:solidFill>
                    <w14:schemeClr w14:val="tx1"/>
                  </w14:solidFill>
                </w14:textFill>
              </w:rPr>
            </w:pPr>
            <w:r>
              <w:rPr>
                <w:rStyle w:val="52"/>
                <w:rFonts w:ascii="宋体" w:hAnsi="宋体"/>
                <w:b w:val="0"/>
                <w:i w:val="0"/>
                <w:caps w:val="0"/>
                <w:spacing w:val="0"/>
                <w:w w:val="100"/>
                <w:kern w:val="2"/>
                <w:sz w:val="21"/>
                <w:szCs w:val="21"/>
                <w:highlight w:val="none"/>
                <w:lang w:val="en-US" w:eastAsia="zh-CN" w:bidi="ar-SA"/>
              </w:rPr>
              <w:t>响应报价：随同响应文件递交的响应报价为第一轮报价，供应商通过资格评审、符合性审查后，将进行第二轮报价（即最后报价）。</w:t>
            </w:r>
          </w:p>
        </w:tc>
      </w:tr>
    </w:tbl>
    <w:p w14:paraId="2C5EC9AE">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p>
    <w:p w14:paraId="066BBC58">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bookmarkStart w:id="55" w:name="_Toc4951"/>
      <w:bookmarkStart w:id="56" w:name="_Toc23526"/>
      <w:bookmarkStart w:id="57" w:name="_Toc23462"/>
      <w:r>
        <w:rPr>
          <w:rFonts w:hint="eastAsia" w:ascii="宋体" w:hAnsi="宋体" w:cs="宋体"/>
          <w:b/>
          <w:color w:val="000000" w:themeColor="text1"/>
          <w:sz w:val="24"/>
          <w:highlight w:val="none"/>
          <w14:textFill>
            <w14:solidFill>
              <w14:schemeClr w14:val="tx1"/>
            </w14:solidFill>
          </w14:textFill>
        </w:rPr>
        <w:t>供应商须知正文</w:t>
      </w:r>
      <w:bookmarkEnd w:id="55"/>
      <w:bookmarkEnd w:id="56"/>
      <w:bookmarkEnd w:id="57"/>
    </w:p>
    <w:p w14:paraId="50C24978">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58" w:name="_Toc7606"/>
      <w:bookmarkStart w:id="59" w:name="_Toc12289"/>
      <w:bookmarkStart w:id="60" w:name="_Toc28602"/>
      <w:r>
        <w:rPr>
          <w:rFonts w:hint="eastAsia" w:ascii="宋体" w:hAnsi="宋体" w:cs="宋体"/>
          <w:b/>
          <w:color w:val="000000" w:themeColor="text1"/>
          <w:sz w:val="24"/>
          <w:highlight w:val="none"/>
          <w14:textFill>
            <w14:solidFill>
              <w14:schemeClr w14:val="tx1"/>
            </w14:solidFill>
          </w14:textFill>
        </w:rPr>
        <w:t>一、说明</w:t>
      </w:r>
      <w:bookmarkEnd w:id="58"/>
      <w:bookmarkEnd w:id="59"/>
      <w:bookmarkEnd w:id="60"/>
    </w:p>
    <w:p w14:paraId="590F9CB1">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1.适用范围</w:t>
      </w:r>
    </w:p>
    <w:p w14:paraId="2F41770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本磋商文件仅适用于供应商须知前附表中所叙述的采购项目。</w:t>
      </w:r>
    </w:p>
    <w:p w14:paraId="5266DAC6">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2.定义</w:t>
      </w:r>
    </w:p>
    <w:p w14:paraId="140A543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“采购人”是指依法进行政府采购的国家机关、事业单位、团体组织。本次政府采购的采购人名称、地址、电话、联系人见供应商须知前附表。</w:t>
      </w:r>
    </w:p>
    <w:p w14:paraId="77EB6E3D">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 “采购代理机构”是指接受采购人委托，代理采购项目的集中采购机构和其他采购代理机构。本次政府采购的采购代理机构名称、地址、电话、联系人见供应商须知前附表。</w:t>
      </w:r>
    </w:p>
    <w:p w14:paraId="0A43A5B3">
      <w:pPr>
        <w:adjustRightInd w:val="0"/>
        <w:snapToGrid w:val="0"/>
        <w:spacing w:line="360" w:lineRule="auto"/>
        <w:ind w:firstLine="420" w:firstLineChars="200"/>
        <w:rPr>
          <w:rFonts w:ascii="宋体" w:hAnsi="宋体" w:cs="宋体"/>
          <w:bCs/>
          <w:color w:val="000000" w:themeColor="text1"/>
          <w:kern w:val="3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“供应商”是指响应磋商文件要求、参加竞争性磋商采购的法人、其他组织或者自然人。本次政府采购项目</w:t>
      </w:r>
      <w:r>
        <w:rPr>
          <w:rFonts w:hint="eastAsia" w:ascii="宋体" w:hAnsi="宋体" w:cs="宋体"/>
          <w:color w:val="000000" w:themeColor="text1"/>
          <w:kern w:val="0"/>
          <w:szCs w:val="21"/>
          <w:highlight w:val="none"/>
          <w14:textFill>
            <w14:solidFill>
              <w14:schemeClr w14:val="tx1"/>
            </w14:solidFill>
          </w14:textFill>
        </w:rPr>
        <w:t>邀请</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供应商通过</w:t>
      </w:r>
      <w:r>
        <w:rPr>
          <w:rFonts w:hint="eastAsia" w:ascii="宋体" w:hAnsi="宋体" w:cs="宋体"/>
          <w:color w:val="000000" w:themeColor="text1"/>
          <w:szCs w:val="21"/>
          <w:highlight w:val="none"/>
          <w14:textFill>
            <w14:solidFill>
              <w14:schemeClr w14:val="tx1"/>
            </w14:solidFill>
          </w14:textFill>
        </w:rPr>
        <w:t>供应商须知前附表所述方式</w:t>
      </w:r>
      <w:r>
        <w:rPr>
          <w:rFonts w:hint="eastAsia" w:ascii="宋体" w:hAnsi="宋体" w:cs="宋体"/>
          <w:color w:val="000000" w:themeColor="text1"/>
          <w:kern w:val="0"/>
          <w:szCs w:val="21"/>
          <w:highlight w:val="none"/>
          <w14:textFill>
            <w14:solidFill>
              <w14:schemeClr w14:val="tx1"/>
            </w14:solidFill>
          </w14:textFill>
        </w:rPr>
        <w:t>，经</w:t>
      </w:r>
      <w:r>
        <w:rPr>
          <w:rFonts w:hint="eastAsia" w:ascii="宋体" w:hAnsi="宋体" w:cs="宋体"/>
          <w:bCs/>
          <w:color w:val="000000" w:themeColor="text1"/>
          <w:kern w:val="36"/>
          <w:szCs w:val="21"/>
          <w:highlight w:val="none"/>
          <w14:textFill>
            <w14:solidFill>
              <w14:schemeClr w14:val="tx1"/>
            </w14:solidFill>
          </w14:textFill>
        </w:rPr>
        <w:t>磋商小组确定。</w:t>
      </w:r>
    </w:p>
    <w:p w14:paraId="45CF59B3">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 “磋商小组”是指</w:t>
      </w:r>
      <w:r>
        <w:rPr>
          <w:rFonts w:hint="eastAsia" w:ascii="宋体" w:hAnsi="宋体" w:cs="宋体"/>
          <w:color w:val="000000" w:themeColor="text1"/>
          <w:kern w:val="0"/>
          <w:szCs w:val="21"/>
          <w:highlight w:val="none"/>
          <w14:textFill>
            <w14:solidFill>
              <w14:schemeClr w14:val="tx1"/>
            </w14:solidFill>
          </w14:textFill>
        </w:rPr>
        <w:t>依据《中华人民共和国政府采购法》和财政部</w:t>
      </w:r>
      <w:r>
        <w:rPr>
          <w:rFonts w:hint="eastAsia" w:ascii="宋体" w:hAnsi="宋体" w:cs="宋体"/>
          <w:bCs/>
          <w:color w:val="000000" w:themeColor="text1"/>
          <w:kern w:val="36"/>
          <w:szCs w:val="21"/>
          <w:highlight w:val="none"/>
          <w14:textFill>
            <w14:solidFill>
              <w14:schemeClr w14:val="tx1"/>
            </w14:solidFill>
          </w14:textFill>
        </w:rPr>
        <w:t>《政府采购竞争性磋商采购方式管理暂行办法》有关规定组建，依法依规</w:t>
      </w:r>
      <w:r>
        <w:rPr>
          <w:rFonts w:hint="eastAsia" w:ascii="宋体" w:hAnsi="宋体" w:cs="宋体"/>
          <w:color w:val="000000" w:themeColor="text1"/>
          <w:kern w:val="0"/>
          <w:szCs w:val="21"/>
          <w:highlight w:val="none"/>
          <w14:textFill>
            <w14:solidFill>
              <w14:schemeClr w14:val="tx1"/>
            </w14:solidFill>
          </w14:textFill>
        </w:rPr>
        <w:t>履行其职责和义务的机构。</w:t>
      </w:r>
    </w:p>
    <w:p w14:paraId="54D493F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 “货物”是指各种形态和种类的物品，包括原材料、燃料、设备、产品等，详见《政府采购品目分类目录》(</w:t>
      </w:r>
      <w:r>
        <w:rPr>
          <w:rStyle w:val="24"/>
          <w:rFonts w:hint="eastAsia" w:ascii="宋体" w:hAnsi="宋体" w:cs="宋体"/>
          <w:b w:val="0"/>
          <w:color w:val="000000" w:themeColor="text1"/>
          <w:highlight w:val="none"/>
          <w14:textFill>
            <w14:solidFill>
              <w14:schemeClr w14:val="tx1"/>
            </w14:solidFill>
          </w14:textFill>
        </w:rPr>
        <w:t>财库[2013]189号</w:t>
      </w:r>
      <w:r>
        <w:rPr>
          <w:rFonts w:hint="eastAsia" w:ascii="宋体" w:hAnsi="宋体" w:cs="宋体"/>
          <w:color w:val="000000" w:themeColor="text1"/>
          <w:szCs w:val="21"/>
          <w:highlight w:val="none"/>
          <w14:textFill>
            <w14:solidFill>
              <w14:schemeClr w14:val="tx1"/>
            </w14:solidFill>
          </w14:textFill>
        </w:rPr>
        <w:t>)。</w:t>
      </w:r>
    </w:p>
    <w:p w14:paraId="7D1569D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 “工程”是指建设工程，包括建筑物和构筑物的新建、改建、扩建、装修、拆除、修缮等，详见《政府采购品目分类目录》(</w:t>
      </w:r>
      <w:r>
        <w:rPr>
          <w:rStyle w:val="24"/>
          <w:rFonts w:hint="eastAsia" w:ascii="宋体" w:hAnsi="宋体" w:cs="宋体"/>
          <w:b w:val="0"/>
          <w:color w:val="000000" w:themeColor="text1"/>
          <w:highlight w:val="none"/>
          <w14:textFill>
            <w14:solidFill>
              <w14:schemeClr w14:val="tx1"/>
            </w14:solidFill>
          </w14:textFill>
        </w:rPr>
        <w:t>财库[2013]189号</w:t>
      </w:r>
      <w:r>
        <w:rPr>
          <w:rFonts w:hint="eastAsia" w:ascii="宋体" w:hAnsi="宋体" w:cs="宋体"/>
          <w:color w:val="000000" w:themeColor="text1"/>
          <w:szCs w:val="21"/>
          <w:highlight w:val="none"/>
          <w14:textFill>
            <w14:solidFill>
              <w14:schemeClr w14:val="tx1"/>
            </w14:solidFill>
          </w14:textFill>
        </w:rPr>
        <w:t>)。</w:t>
      </w:r>
    </w:p>
    <w:p w14:paraId="4A3C7E9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 “服务”是指除货物和工程以外的其他政府采购对象，详见《政府采购品目分类目录》(</w:t>
      </w:r>
      <w:r>
        <w:rPr>
          <w:rStyle w:val="24"/>
          <w:rFonts w:hint="eastAsia" w:ascii="宋体" w:hAnsi="宋体" w:cs="宋体"/>
          <w:b w:val="0"/>
          <w:color w:val="000000" w:themeColor="text1"/>
          <w:highlight w:val="none"/>
          <w14:textFill>
            <w14:solidFill>
              <w14:schemeClr w14:val="tx1"/>
            </w14:solidFill>
          </w14:textFill>
        </w:rPr>
        <w:t>财库[2013]189号</w:t>
      </w:r>
      <w:r>
        <w:rPr>
          <w:rFonts w:hint="eastAsia" w:ascii="宋体" w:hAnsi="宋体" w:cs="宋体"/>
          <w:color w:val="000000" w:themeColor="text1"/>
          <w:szCs w:val="21"/>
          <w:highlight w:val="none"/>
          <w14:textFill>
            <w14:solidFill>
              <w14:schemeClr w14:val="tx1"/>
            </w14:solidFill>
          </w14:textFill>
        </w:rPr>
        <w:t>)。</w:t>
      </w:r>
    </w:p>
    <w:p w14:paraId="28A63EEF">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 “节能产品”或者“环保产品”是指财政部发布的</w:t>
      </w:r>
      <w:r>
        <w:rPr>
          <w:rFonts w:hint="eastAsia" w:ascii="宋体" w:hAnsi="宋体" w:cs="宋体"/>
          <w:bCs/>
          <w:color w:val="000000" w:themeColor="text1"/>
          <w:szCs w:val="21"/>
          <w:highlight w:val="none"/>
          <w14:textFill>
            <w14:solidFill>
              <w14:schemeClr w14:val="tx1"/>
            </w14:solidFill>
          </w14:textFill>
        </w:rPr>
        <w:t>《节能产品政府采购品目清单》</w:t>
      </w:r>
      <w:r>
        <w:rPr>
          <w:rFonts w:hint="eastAsia" w:ascii="宋体" w:hAnsi="宋体" w:cs="宋体"/>
          <w:color w:val="000000" w:themeColor="text1"/>
          <w:szCs w:val="21"/>
          <w:highlight w:val="none"/>
          <w14:textFill>
            <w14:solidFill>
              <w14:schemeClr w14:val="tx1"/>
            </w14:solidFill>
          </w14:textFill>
        </w:rPr>
        <w:t>或者《环境标志产品政府采购品目清单》的产品。</w:t>
      </w:r>
    </w:p>
    <w:p w14:paraId="6FE3FDE3">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 “进口产品”是指通过中国海关报关验放进入中国境内且产自关境外的产品，详见《关于政府采购进口产品管理有关问题的通知》(财库[2007]119号)。</w:t>
      </w:r>
    </w:p>
    <w:p w14:paraId="699E715D">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3.采购内容及范围</w:t>
      </w:r>
    </w:p>
    <w:p w14:paraId="1AF0383B">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3.1采购内容：见供应商须知前附表。</w:t>
      </w:r>
    </w:p>
    <w:p w14:paraId="6D7E9196">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3.2采购范围：见供应商须知前附表。</w:t>
      </w:r>
    </w:p>
    <w:p w14:paraId="5B5CC000">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3.3标包划分：见供应商须知前附表。</w:t>
      </w:r>
    </w:p>
    <w:p w14:paraId="1A6B355B">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3.4服务地点：见供应商须知前附表。</w:t>
      </w:r>
    </w:p>
    <w:p w14:paraId="3C79ACF0">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3.5服务期限：见供应商须知前附表。</w:t>
      </w:r>
    </w:p>
    <w:p w14:paraId="420C4BFC">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3.6</w:t>
      </w:r>
      <w:r>
        <w:rPr>
          <w:rFonts w:hint="eastAsia"/>
          <w:color w:val="000000" w:themeColor="text1"/>
          <w:sz w:val="21"/>
          <w:szCs w:val="21"/>
          <w:highlight w:val="none"/>
          <w:lang w:val="en-US" w:eastAsia="zh-CN"/>
          <w14:textFill>
            <w14:solidFill>
              <w14:schemeClr w14:val="tx1"/>
            </w14:solidFill>
          </w14:textFill>
        </w:rPr>
        <w:t>服务要求</w:t>
      </w:r>
      <w:r>
        <w:rPr>
          <w:rFonts w:hint="eastAsia"/>
          <w:color w:val="000000" w:themeColor="text1"/>
          <w:sz w:val="21"/>
          <w:szCs w:val="21"/>
          <w:highlight w:val="none"/>
          <w14:textFill>
            <w14:solidFill>
              <w14:schemeClr w14:val="tx1"/>
            </w14:solidFill>
          </w14:textFill>
        </w:rPr>
        <w:t>：见供应商须知前附表。</w:t>
      </w:r>
    </w:p>
    <w:p w14:paraId="053E71BF">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3.7磋商有效期：见供应商须知前附表。</w:t>
      </w:r>
    </w:p>
    <w:p w14:paraId="6342369E">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4.资金来源及预算金额</w:t>
      </w:r>
    </w:p>
    <w:p w14:paraId="0D00EDA9">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4.1资金来源：见供应商须知前附表。</w:t>
      </w:r>
    </w:p>
    <w:p w14:paraId="665B9CAB">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4.2预算金额：见供应商须知前附表。</w:t>
      </w:r>
    </w:p>
    <w:p w14:paraId="7A0F4350">
      <w:pPr>
        <w:pStyle w:val="42"/>
        <w:spacing w:line="360" w:lineRule="auto"/>
        <w:ind w:firstLine="36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4.3最高限价：见供应商须知前附表。</w:t>
      </w:r>
    </w:p>
    <w:p w14:paraId="2C21FD4E">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5.供应商资格要求</w:t>
      </w:r>
    </w:p>
    <w:p w14:paraId="38FB018A">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 供应商资格要求见供应商须知前附表。</w:t>
      </w:r>
    </w:p>
    <w:p w14:paraId="341AFAF0">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5.2供应商须知前附表规定接受供应商以联合体形式参加磋商的，联合体除应符合本章第 5.1项和供应商须知前附表的要求外，还应遵守以下规定：</w:t>
      </w:r>
    </w:p>
    <w:p w14:paraId="0111068A">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（1）联合体各方应按磋商文件提供的格式签订联合体协议书，明确联合体牵头人和各方权利义务，并承诺就成交的项目向采购人承担连带责任；</w:t>
      </w:r>
    </w:p>
    <w:p w14:paraId="2373F802">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898CA2">
      <w:pPr>
        <w:spacing w:line="360" w:lineRule="auto"/>
        <w:ind w:firstLine="420" w:firstLineChars="200"/>
        <w:rPr>
          <w:rFonts w:hint="eastAsia" w:ascii="宋体" w:hAnsi="宋体" w:eastAsia="宋体" w:cs="宋体"/>
          <w:i w:val="0"/>
          <w:caps w:val="0"/>
          <w:color w:val="auto"/>
          <w:spacing w:val="0"/>
          <w:sz w:val="21"/>
          <w:szCs w:val="21"/>
          <w:highlight w:val="none"/>
        </w:rPr>
      </w:pPr>
      <w:r>
        <w:rPr>
          <w:rFonts w:hint="eastAsia" w:ascii="宋体" w:hAnsi="宋体" w:cs="宋体"/>
          <w:color w:val="000000" w:themeColor="text1"/>
          <w:kern w:val="0"/>
          <w:szCs w:val="21"/>
          <w:highlight w:val="none"/>
          <w14:textFill>
            <w14:solidFill>
              <w14:schemeClr w14:val="tx1"/>
            </w14:solidFill>
          </w14:textFill>
        </w:rPr>
        <w:t xml:space="preserve">5.3 </w:t>
      </w:r>
      <w:r>
        <w:rPr>
          <w:rFonts w:hint="eastAsia" w:ascii="宋体" w:hAnsi="宋体" w:cs="宋体"/>
          <w:color w:val="auto"/>
          <w:szCs w:val="21"/>
          <w:highlight w:val="none"/>
        </w:rPr>
        <w:t>根据财政部《关于在政府采购活动中查询及使用信用记录有关问题的通知》(财库[2016]125号)的规定，采购</w:t>
      </w:r>
      <w:r>
        <w:rPr>
          <w:rFonts w:hint="eastAsia" w:ascii="宋体" w:hAnsi="宋体" w:cs="宋体"/>
          <w:color w:val="auto"/>
          <w:sz w:val="21"/>
          <w:szCs w:val="21"/>
          <w:highlight w:val="none"/>
        </w:rPr>
        <w:t>代理机构于</w:t>
      </w:r>
      <w:r>
        <w:rPr>
          <w:rFonts w:hint="eastAsia" w:ascii="宋体" w:hAnsi="宋体" w:cs="宋体"/>
          <w:color w:val="auto"/>
          <w:sz w:val="21"/>
          <w:szCs w:val="21"/>
          <w:highlight w:val="none"/>
          <w:lang w:eastAsia="zh-CN"/>
        </w:rPr>
        <w:t>磋商</w:t>
      </w:r>
      <w:r>
        <w:rPr>
          <w:rFonts w:hint="eastAsia" w:ascii="宋体" w:hAnsi="宋体" w:cs="宋体"/>
          <w:color w:val="auto"/>
          <w:sz w:val="21"/>
          <w:szCs w:val="21"/>
          <w:highlight w:val="none"/>
        </w:rPr>
        <w:t>当天在资格审查时通过“信用中国”网站（www.creditchina.gov.cn）、“中国执行信息公开网”网站（zxgk.court.gov.cn）和“中国政府采购网”网站（www.ccgp.gov.cn）查询企业的信用记录，列入“中国执行信息公开网”网站的“失信被执行人”、“信用中国”网站的“重大税收违法失信主体”和“中国政府采购网”网站的“政府采购严重违法失信行为记录名单”的供应商，将拒绝参与本次政府采购活动。</w:t>
      </w:r>
      <w:r>
        <w:rPr>
          <w:rFonts w:hint="eastAsia" w:ascii="宋体" w:hAnsi="宋体" w:eastAsia="宋体" w:cs="宋体"/>
          <w:i w:val="0"/>
          <w:caps w:val="0"/>
          <w:color w:val="auto"/>
          <w:spacing w:val="0"/>
          <w:sz w:val="21"/>
          <w:szCs w:val="21"/>
          <w:highlight w:val="none"/>
          <w:lang w:val="en-US" w:eastAsia="zh-CN"/>
        </w:rPr>
        <w:t>供应商自行提供的与网站信息不一致的其他证明材料亦不作为资格审查的依据。信用信息查询记录和证据将同采购文件等资料一同归档保存</w:t>
      </w:r>
      <w:r>
        <w:rPr>
          <w:rFonts w:hint="eastAsia" w:ascii="宋体" w:hAnsi="宋体" w:eastAsia="宋体" w:cs="宋体"/>
          <w:i w:val="0"/>
          <w:caps w:val="0"/>
          <w:color w:val="auto"/>
          <w:spacing w:val="0"/>
          <w:sz w:val="21"/>
          <w:szCs w:val="21"/>
          <w:highlight w:val="none"/>
        </w:rPr>
        <w:t>；</w:t>
      </w:r>
    </w:p>
    <w:p w14:paraId="648C3DDD">
      <w:pPr>
        <w:pStyle w:val="19"/>
        <w:ind w:left="0" w:leftChars="0" w:firstLine="420" w:firstLineChars="200"/>
        <w:rPr>
          <w:rFonts w:hint="eastAsia" w:eastAsia="宋体"/>
          <w:lang w:val="en-US" w:eastAsia="zh-CN"/>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5.4本项目</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是否专门面向中小企业采购：详见</w:t>
      </w:r>
      <w:r>
        <w:rPr>
          <w:rFonts w:hint="eastAsia" w:ascii="宋体" w:hAnsi="宋体" w:cs="宋体"/>
          <w:color w:val="000000" w:themeColor="text1"/>
          <w:kern w:val="0"/>
          <w:szCs w:val="21"/>
          <w:highlight w:val="none"/>
          <w14:textFill>
            <w14:solidFill>
              <w14:schemeClr w14:val="tx1"/>
            </w14:solidFill>
          </w14:textFill>
        </w:rPr>
        <w:t>供应商须知前附表</w:t>
      </w:r>
      <w:r>
        <w:rPr>
          <w:rFonts w:hint="eastAsia" w:ascii="宋体" w:hAnsi="宋体" w:cs="宋体"/>
          <w:color w:val="000000" w:themeColor="text1"/>
          <w:kern w:val="0"/>
          <w:szCs w:val="21"/>
          <w:highlight w:val="none"/>
          <w:lang w:eastAsia="zh-CN"/>
          <w14:textFill>
            <w14:solidFill>
              <w14:schemeClr w14:val="tx1"/>
            </w14:solidFill>
          </w14:textFill>
        </w:rPr>
        <w:t>；</w:t>
      </w:r>
    </w:p>
    <w:p w14:paraId="48C2199E">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5.5</w:t>
      </w:r>
      <w:r>
        <w:rPr>
          <w:rFonts w:hint="eastAsia" w:ascii="宋体" w:hAnsi="宋体" w:cs="宋体"/>
          <w:color w:val="000000" w:themeColor="text1"/>
          <w:kern w:val="0"/>
          <w:szCs w:val="21"/>
          <w:highlight w:val="none"/>
          <w14:textFill>
            <w14:solidFill>
              <w14:schemeClr w14:val="tx1"/>
            </w14:solidFill>
          </w14:textFill>
        </w:rPr>
        <w:t>供应商不得存在下列情形之一：</w:t>
      </w:r>
    </w:p>
    <w:p w14:paraId="040CDD59">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（1）单位负责人为同一人或者存在直接控股、管理关系的不同供应商，不得参加同一合同项下的政府采购活动。</w:t>
      </w:r>
    </w:p>
    <w:p w14:paraId="7C62123B">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（2）为采购项目提供整体设计、规范编制或者项目管理、监理、检测等服务的供应商，不得再参加该项目的其他采购活动。</w:t>
      </w:r>
    </w:p>
    <w:p w14:paraId="36C317AB">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（3）法律法规或供应商须知前附表规定的其他情形。</w:t>
      </w:r>
    </w:p>
    <w:p w14:paraId="1C0CAD86">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6.费用承担</w:t>
      </w:r>
    </w:p>
    <w:p w14:paraId="7565EBE8">
      <w:pPr>
        <w:autoSpaceDE w:val="0"/>
        <w:autoSpaceDN w:val="0"/>
        <w:adjustRightInd w:val="0"/>
        <w:spacing w:line="360" w:lineRule="auto"/>
        <w:ind w:left="520" w:right="-20"/>
        <w:jc w:val="left"/>
        <w:rPr>
          <w:rFonts w:ascii="宋体" w:hAnsi="宋体" w:cs="宋体"/>
          <w:color w:val="000000" w:themeColor="text1"/>
          <w:kern w:val="0"/>
          <w:sz w:val="15"/>
          <w:szCs w:val="15"/>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供应商准</w:t>
      </w:r>
      <w:r>
        <w:rPr>
          <w:rFonts w:hint="eastAsia" w:ascii="宋体" w:hAnsi="宋体" w:cs="宋体"/>
          <w:color w:val="000000" w:themeColor="text1"/>
          <w:spacing w:val="-2"/>
          <w:kern w:val="0"/>
          <w:szCs w:val="21"/>
          <w:highlight w:val="none"/>
          <w14:textFill>
            <w14:solidFill>
              <w14:schemeClr w14:val="tx1"/>
            </w14:solidFill>
          </w14:textFill>
        </w:rPr>
        <w:t>备</w:t>
      </w:r>
      <w:r>
        <w:rPr>
          <w:rFonts w:hint="eastAsia" w:ascii="宋体" w:hAnsi="宋体" w:cs="宋体"/>
          <w:color w:val="000000" w:themeColor="text1"/>
          <w:kern w:val="0"/>
          <w:szCs w:val="21"/>
          <w:highlight w:val="none"/>
          <w14:textFill>
            <w14:solidFill>
              <w14:schemeClr w14:val="tx1"/>
            </w14:solidFill>
          </w14:textFill>
        </w:rPr>
        <w:t>和</w:t>
      </w:r>
      <w:r>
        <w:rPr>
          <w:rFonts w:hint="eastAsia" w:ascii="宋体" w:hAnsi="宋体" w:cs="宋体"/>
          <w:color w:val="000000" w:themeColor="text1"/>
          <w:spacing w:val="-2"/>
          <w:kern w:val="0"/>
          <w:szCs w:val="21"/>
          <w:highlight w:val="none"/>
          <w14:textFill>
            <w14:solidFill>
              <w14:schemeClr w14:val="tx1"/>
            </w14:solidFill>
          </w14:textFill>
        </w:rPr>
        <w:t>参</w:t>
      </w:r>
      <w:r>
        <w:rPr>
          <w:rFonts w:hint="eastAsia" w:ascii="宋体" w:hAnsi="宋体" w:cs="宋体"/>
          <w:color w:val="000000" w:themeColor="text1"/>
          <w:kern w:val="0"/>
          <w:szCs w:val="21"/>
          <w:highlight w:val="none"/>
          <w14:textFill>
            <w14:solidFill>
              <w14:schemeClr w14:val="tx1"/>
            </w14:solidFill>
          </w14:textFill>
        </w:rPr>
        <w:t>加</w:t>
      </w:r>
      <w:r>
        <w:rPr>
          <w:rFonts w:hint="eastAsia" w:ascii="宋体" w:hAnsi="宋体" w:cs="宋体"/>
          <w:color w:val="000000" w:themeColor="text1"/>
          <w:spacing w:val="-2"/>
          <w:kern w:val="0"/>
          <w:szCs w:val="21"/>
          <w:highlight w:val="none"/>
          <w14:textFill>
            <w14:solidFill>
              <w14:schemeClr w14:val="tx1"/>
            </w14:solidFill>
          </w14:textFill>
        </w:rPr>
        <w:t>竞争性磋商活动</w:t>
      </w:r>
      <w:r>
        <w:rPr>
          <w:rFonts w:hint="eastAsia" w:ascii="宋体" w:hAnsi="宋体" w:cs="宋体"/>
          <w:color w:val="000000" w:themeColor="text1"/>
          <w:kern w:val="0"/>
          <w:szCs w:val="21"/>
          <w:highlight w:val="none"/>
          <w14:textFill>
            <w14:solidFill>
              <w14:schemeClr w14:val="tx1"/>
            </w14:solidFill>
          </w14:textFill>
        </w:rPr>
        <w:t>发</w:t>
      </w:r>
      <w:r>
        <w:rPr>
          <w:rFonts w:hint="eastAsia" w:ascii="宋体" w:hAnsi="宋体" w:cs="宋体"/>
          <w:color w:val="000000" w:themeColor="text1"/>
          <w:spacing w:val="-2"/>
          <w:kern w:val="0"/>
          <w:szCs w:val="21"/>
          <w:highlight w:val="none"/>
          <w14:textFill>
            <w14:solidFill>
              <w14:schemeClr w14:val="tx1"/>
            </w14:solidFill>
          </w14:textFill>
        </w:rPr>
        <w:t>生</w:t>
      </w:r>
      <w:r>
        <w:rPr>
          <w:rFonts w:hint="eastAsia" w:ascii="宋体" w:hAnsi="宋体" w:cs="宋体"/>
          <w:color w:val="000000" w:themeColor="text1"/>
          <w:kern w:val="0"/>
          <w:szCs w:val="21"/>
          <w:highlight w:val="none"/>
          <w14:textFill>
            <w14:solidFill>
              <w14:schemeClr w14:val="tx1"/>
            </w14:solidFill>
          </w14:textFill>
        </w:rPr>
        <w:t>的</w:t>
      </w:r>
      <w:r>
        <w:rPr>
          <w:rFonts w:hint="eastAsia" w:ascii="宋体" w:hAnsi="宋体" w:cs="宋体"/>
          <w:color w:val="000000" w:themeColor="text1"/>
          <w:spacing w:val="-2"/>
          <w:kern w:val="0"/>
          <w:szCs w:val="21"/>
          <w:highlight w:val="none"/>
          <w14:textFill>
            <w14:solidFill>
              <w14:schemeClr w14:val="tx1"/>
            </w14:solidFill>
          </w14:textFill>
        </w:rPr>
        <w:t>费</w:t>
      </w:r>
      <w:r>
        <w:rPr>
          <w:rFonts w:hint="eastAsia" w:ascii="宋体" w:hAnsi="宋体" w:cs="宋体"/>
          <w:color w:val="000000" w:themeColor="text1"/>
          <w:kern w:val="0"/>
          <w:szCs w:val="21"/>
          <w:highlight w:val="none"/>
          <w14:textFill>
            <w14:solidFill>
              <w14:schemeClr w14:val="tx1"/>
            </w14:solidFill>
          </w14:textFill>
        </w:rPr>
        <w:t>用</w:t>
      </w:r>
      <w:r>
        <w:rPr>
          <w:rFonts w:hint="eastAsia" w:ascii="宋体" w:hAnsi="宋体" w:cs="宋体"/>
          <w:color w:val="000000" w:themeColor="text1"/>
          <w:spacing w:val="-2"/>
          <w:kern w:val="0"/>
          <w:szCs w:val="21"/>
          <w:highlight w:val="none"/>
          <w14:textFill>
            <w14:solidFill>
              <w14:schemeClr w14:val="tx1"/>
            </w14:solidFill>
          </w14:textFill>
        </w:rPr>
        <w:t>自</w:t>
      </w:r>
      <w:r>
        <w:rPr>
          <w:rFonts w:hint="eastAsia" w:ascii="宋体" w:hAnsi="宋体" w:cs="宋体"/>
          <w:color w:val="000000" w:themeColor="text1"/>
          <w:kern w:val="0"/>
          <w:szCs w:val="21"/>
          <w:highlight w:val="none"/>
          <w14:textFill>
            <w14:solidFill>
              <w14:schemeClr w14:val="tx1"/>
            </w14:solidFill>
          </w14:textFill>
        </w:rPr>
        <w:t>理。</w:t>
      </w:r>
    </w:p>
    <w:p w14:paraId="1835E242">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7. 保密</w:t>
      </w:r>
    </w:p>
    <w:p w14:paraId="347D3E18">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参与竞争性磋商的各方应对磋商文件和响应文件中的商业和技术等秘密保密，否则应承担相应的法律责任。</w:t>
      </w:r>
    </w:p>
    <w:p w14:paraId="5B8C7D98">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8. 语言文字</w:t>
      </w:r>
    </w:p>
    <w:p w14:paraId="593BA1F3">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磋商文件和响应文件使用的语言文字为中文。专用术语使用外文的，应附有中文注释。</w:t>
      </w:r>
    </w:p>
    <w:p w14:paraId="1F6DAABD">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9. 计量单位</w:t>
      </w:r>
    </w:p>
    <w:p w14:paraId="6937C6C6">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所有计量均采用中华人民共和国法定计量单位。</w:t>
      </w:r>
    </w:p>
    <w:p w14:paraId="06E0F8C9">
      <w:pPr>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10.现场勘察</w:t>
      </w:r>
    </w:p>
    <w:p w14:paraId="10427829">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10.1 供应商须知前附表规定组织勘察现场的，采购人按供应商须知前附表规定的时间、地点组织供应商勘察项目现场。</w:t>
      </w:r>
    </w:p>
    <w:p w14:paraId="16E1C61D">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 供应商勘察现场发生的费用自理。</w:t>
      </w:r>
    </w:p>
    <w:p w14:paraId="594458C5">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10.3 除采购人的原因外，供应商自行负责在勘察现场中所发生的人员伤亡和财产损失。</w:t>
      </w:r>
    </w:p>
    <w:p w14:paraId="16B2A29D">
      <w:pPr>
        <w:autoSpaceDE w:val="0"/>
        <w:autoSpaceDN w:val="0"/>
        <w:adjustRightInd w:val="0"/>
        <w:spacing w:line="360" w:lineRule="auto"/>
        <w:ind w:firstLine="42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10.4 采购人在勘察现场中介绍的现场和相关的周边环境情况，供供应商在编制响应文件时参考，采购人不对供应商据此作出的判断和决策负责。</w:t>
      </w:r>
    </w:p>
    <w:p w14:paraId="65636710">
      <w:pPr>
        <w:adjustRightInd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11.采购进口产品和服务</w:t>
      </w:r>
    </w:p>
    <w:p w14:paraId="234B8C39">
      <w:p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11.1除供应商前附表另有规定外，本项目</w:t>
      </w:r>
      <w:r>
        <w:rPr>
          <w:rFonts w:hint="eastAsia" w:ascii="宋体" w:hAnsi="宋体" w:cs="宋体"/>
          <w:color w:val="000000" w:themeColor="text1"/>
          <w:kern w:val="0"/>
          <w:szCs w:val="21"/>
          <w:highlight w:val="none"/>
          <w14:textFill>
            <w14:solidFill>
              <w14:schemeClr w14:val="tx1"/>
            </w14:solidFill>
          </w14:textFill>
        </w:rPr>
        <w:t>拒绝进口产品或服务参加</w:t>
      </w:r>
      <w:r>
        <w:rPr>
          <w:rFonts w:hint="eastAsia" w:ascii="宋体" w:hAnsi="宋体" w:cs="宋体"/>
          <w:color w:val="000000" w:themeColor="text1"/>
          <w:szCs w:val="21"/>
          <w:highlight w:val="none"/>
          <w14:textFill>
            <w14:solidFill>
              <w14:schemeClr w14:val="tx1"/>
            </w14:solidFill>
          </w14:textFill>
        </w:rPr>
        <w:t>竞争性磋商采购活动</w:t>
      </w:r>
      <w:r>
        <w:rPr>
          <w:rFonts w:hint="eastAsia" w:ascii="宋体" w:hAnsi="宋体" w:cs="宋体"/>
          <w:color w:val="000000" w:themeColor="text1"/>
          <w:kern w:val="0"/>
          <w:szCs w:val="21"/>
          <w:highlight w:val="none"/>
          <w14:textFill>
            <w14:solidFill>
              <w14:schemeClr w14:val="tx1"/>
            </w14:solidFill>
          </w14:textFill>
        </w:rPr>
        <w:t>。</w:t>
      </w:r>
    </w:p>
    <w:p w14:paraId="0A8C1840">
      <w:pPr>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r>
        <w:rPr>
          <w:rFonts w:hint="eastAsia" w:ascii="宋体" w:hAnsi="宋体" w:cs="宋体"/>
          <w:color w:val="000000" w:themeColor="text1"/>
          <w:szCs w:val="21"/>
          <w:highlight w:val="none"/>
          <w14:textFill>
            <w14:solidFill>
              <w14:schemeClr w14:val="tx1"/>
            </w14:solidFill>
          </w14:textFill>
        </w:rPr>
        <w:t>本章第11.1</w:t>
      </w:r>
      <w:r>
        <w:rPr>
          <w:rFonts w:hint="eastAsia" w:ascii="宋体" w:hAnsi="宋体" w:cs="宋体"/>
          <w:color w:val="000000" w:themeColor="text1"/>
          <w:kern w:val="0"/>
          <w:szCs w:val="21"/>
          <w:highlight w:val="none"/>
          <w:lang w:val="zh-CN"/>
          <w14:textFill>
            <w14:solidFill>
              <w14:schemeClr w14:val="tx1"/>
            </w14:solidFill>
          </w14:textFill>
        </w:rPr>
        <w:t>款</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kern w:val="0"/>
          <w:szCs w:val="21"/>
          <w:highlight w:val="none"/>
          <w14:textFill>
            <w14:solidFill>
              <w14:schemeClr w14:val="tx1"/>
            </w14:solidFill>
          </w14:textFill>
        </w:rPr>
        <w:t>同意购买进口产品或服务的，</w:t>
      </w:r>
      <w:r>
        <w:rPr>
          <w:rFonts w:hint="eastAsia" w:ascii="宋体" w:hAnsi="宋体" w:cs="宋体"/>
          <w:color w:val="000000" w:themeColor="text1"/>
          <w:szCs w:val="21"/>
          <w:highlight w:val="none"/>
          <w14:textFill>
            <w14:solidFill>
              <w14:schemeClr w14:val="tx1"/>
            </w14:solidFill>
          </w14:textFill>
        </w:rPr>
        <w:t>本项目</w:t>
      </w:r>
      <w:r>
        <w:rPr>
          <w:rFonts w:hint="eastAsia" w:ascii="宋体" w:hAnsi="宋体" w:cs="宋体"/>
          <w:color w:val="000000" w:themeColor="text1"/>
          <w:kern w:val="0"/>
          <w:szCs w:val="21"/>
          <w:highlight w:val="none"/>
          <w:lang w:val="zh-CN"/>
          <w14:textFill>
            <w14:solidFill>
              <w14:schemeClr w14:val="tx1"/>
            </w14:solidFill>
          </w14:textFill>
        </w:rPr>
        <w:t>采购活动</w:t>
      </w:r>
      <w:r>
        <w:rPr>
          <w:rFonts w:hint="eastAsia" w:ascii="宋体" w:hAnsi="宋体" w:cs="宋体"/>
          <w:color w:val="000000" w:themeColor="text1"/>
          <w:kern w:val="0"/>
          <w:szCs w:val="21"/>
          <w:highlight w:val="none"/>
          <w14:textFill>
            <w14:solidFill>
              <w14:schemeClr w14:val="tx1"/>
            </w14:solidFill>
          </w14:textFill>
        </w:rPr>
        <w:t>不限制满足</w:t>
      </w:r>
      <w:r>
        <w:rPr>
          <w:rFonts w:hint="eastAsia" w:ascii="宋体" w:hAnsi="宋体" w:cs="宋体"/>
          <w:color w:val="000000" w:themeColor="text1"/>
          <w:szCs w:val="21"/>
          <w:highlight w:val="none"/>
          <w14:textFill>
            <w14:solidFill>
              <w14:schemeClr w14:val="tx1"/>
            </w14:solidFill>
          </w14:textFill>
        </w:rPr>
        <w:t>磋商文件要求</w:t>
      </w:r>
      <w:r>
        <w:rPr>
          <w:rFonts w:hint="eastAsia" w:ascii="宋体" w:hAnsi="宋体" w:cs="宋体"/>
          <w:color w:val="000000" w:themeColor="text1"/>
          <w:kern w:val="0"/>
          <w:szCs w:val="21"/>
          <w:highlight w:val="none"/>
          <w14:textFill>
            <w14:solidFill>
              <w14:schemeClr w14:val="tx1"/>
            </w14:solidFill>
          </w14:textFill>
        </w:rPr>
        <w:t>的国内产品或服务参与</w:t>
      </w:r>
      <w:r>
        <w:rPr>
          <w:rFonts w:hint="eastAsia" w:ascii="宋体" w:hAnsi="宋体" w:cs="宋体"/>
          <w:color w:val="000000" w:themeColor="text1"/>
          <w:szCs w:val="21"/>
          <w:highlight w:val="none"/>
          <w14:textFill>
            <w14:solidFill>
              <w14:schemeClr w14:val="tx1"/>
            </w14:solidFill>
          </w14:textFill>
        </w:rPr>
        <w:t>竞争性磋商</w:t>
      </w:r>
      <w:r>
        <w:rPr>
          <w:rFonts w:hint="eastAsia" w:ascii="宋体" w:hAnsi="宋体" w:cs="宋体"/>
          <w:color w:val="000000" w:themeColor="text1"/>
          <w:kern w:val="0"/>
          <w:szCs w:val="21"/>
          <w:highlight w:val="none"/>
          <w14:textFill>
            <w14:solidFill>
              <w14:schemeClr w14:val="tx1"/>
            </w14:solidFill>
          </w14:textFill>
        </w:rPr>
        <w:t>。</w:t>
      </w:r>
    </w:p>
    <w:p w14:paraId="72E7FDC8">
      <w:pPr>
        <w:adjustRightInd w:val="0"/>
        <w:snapToGrid w:val="0"/>
        <w:spacing w:line="360" w:lineRule="auto"/>
        <w:ind w:firstLine="42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11.3本章第11.1款规定允许采购进口产品或服务时，成交人应保证负责办理成交进口产品或服务的合法报通关手续并进入中国关境内，保证在供货验收时提供办理进口产品或服务业务的合法手续和证明材料。</w:t>
      </w:r>
    </w:p>
    <w:p w14:paraId="44D1C55E">
      <w:pPr>
        <w:adjustRightInd w:val="0"/>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 响应和偏差</w:t>
      </w:r>
    </w:p>
    <w:p w14:paraId="79576FF7">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12.1响应文件应当对磋商文件的实质性要求和条件作出满足或更有利于采购人的响应，否则，供应商的响应文件将被否决。</w:t>
      </w:r>
    </w:p>
    <w:p w14:paraId="667E8E95">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12.2供应商须知前附表</w:t>
      </w:r>
      <w:r>
        <w:rPr>
          <w:rFonts w:hint="eastAsia" w:ascii="宋体" w:hAnsi="宋体" w:cs="宋体"/>
          <w:color w:val="000000" w:themeColor="text1"/>
          <w:szCs w:val="21"/>
          <w:highlight w:val="none"/>
          <w:lang w:val="en-US" w:eastAsia="zh-CN"/>
          <w14:textFill>
            <w14:solidFill>
              <w14:schemeClr w14:val="tx1"/>
            </w14:solidFill>
          </w14:textFill>
        </w:rPr>
        <w:t>如</w:t>
      </w:r>
      <w:r>
        <w:rPr>
          <w:rFonts w:hint="eastAsia" w:ascii="宋体" w:hAnsi="宋体" w:cs="宋体"/>
          <w:color w:val="000000" w:themeColor="text1"/>
          <w:szCs w:val="21"/>
          <w:highlight w:val="none"/>
          <w14:textFill>
            <w14:solidFill>
              <w14:schemeClr w14:val="tx1"/>
            </w14:solidFill>
          </w14:textFill>
        </w:rPr>
        <w:t>规定了可以偏差的范围和最高偏差项数的，偏差应当符合供应商须知前附表规定的偏差范围和最高项数，超出偏差范围和最高偏差项数的响应文件将被否决。</w:t>
      </w:r>
    </w:p>
    <w:p w14:paraId="376C2263">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12.3响应文件对磋商文件的全部偏差，均应在响应文件的商务和技术偏差表中列明，除列明的内容外，视为供应商响应磋商文件的全部要求。</w:t>
      </w:r>
    </w:p>
    <w:p w14:paraId="131A9853">
      <w:pPr>
        <w:adjustRightInd w:val="0"/>
        <w:snapToGrid w:val="0"/>
        <w:spacing w:line="360" w:lineRule="auto"/>
        <w:ind w:left="906" w:hanging="906" w:hangingChars="376"/>
        <w:jc w:val="center"/>
        <w:outlineLvl w:val="1"/>
        <w:rPr>
          <w:color w:val="000000" w:themeColor="text1"/>
          <w:highlight w:val="none"/>
          <w14:textFill>
            <w14:solidFill>
              <w14:schemeClr w14:val="tx1"/>
            </w14:solidFill>
          </w14:textFill>
        </w:rPr>
      </w:pPr>
      <w:bookmarkStart w:id="61" w:name="_Toc29370"/>
      <w:bookmarkStart w:id="62" w:name="_Toc1394"/>
      <w:bookmarkStart w:id="63" w:name="_Toc2033"/>
      <w:r>
        <w:rPr>
          <w:rFonts w:hint="eastAsia" w:ascii="宋体" w:hAnsi="宋体" w:cs="宋体"/>
          <w:b/>
          <w:color w:val="000000" w:themeColor="text1"/>
          <w:sz w:val="24"/>
          <w:highlight w:val="none"/>
          <w14:textFill>
            <w14:solidFill>
              <w14:schemeClr w14:val="tx1"/>
            </w14:solidFill>
          </w14:textFill>
        </w:rPr>
        <w:t>二、</w:t>
      </w:r>
      <w:bookmarkEnd w:id="61"/>
      <w:r>
        <w:rPr>
          <w:rFonts w:hint="eastAsia" w:ascii="宋体" w:hAnsi="宋体" w:cs="宋体"/>
          <w:b/>
          <w:color w:val="000000" w:themeColor="text1"/>
          <w:sz w:val="24"/>
          <w:highlight w:val="none"/>
          <w14:textFill>
            <w14:solidFill>
              <w14:schemeClr w14:val="tx1"/>
            </w14:solidFill>
          </w14:textFill>
        </w:rPr>
        <w:t>磋商文件</w:t>
      </w:r>
      <w:bookmarkEnd w:id="62"/>
      <w:bookmarkEnd w:id="63"/>
    </w:p>
    <w:p w14:paraId="76CB0A0B">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13．磋商文件的组成</w:t>
      </w:r>
    </w:p>
    <w:p w14:paraId="18A5812A">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 磋商文件包括：</w:t>
      </w:r>
    </w:p>
    <w:p w14:paraId="7CCC3F4F">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第一章 竞争性磋商公告</w:t>
      </w:r>
    </w:p>
    <w:p w14:paraId="75D0D691">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第二章 供应商须知</w:t>
      </w:r>
    </w:p>
    <w:p w14:paraId="31BCE422">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第三章 资格审查、符合性审查和评审方法（综合评分法）</w:t>
      </w:r>
    </w:p>
    <w:p w14:paraId="58B0E687">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第四章 政府采购合同条款</w:t>
      </w:r>
    </w:p>
    <w:p w14:paraId="5A14BEB0">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第五章 采购需求</w:t>
      </w:r>
    </w:p>
    <w:p w14:paraId="5B7FD817">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第六章 响应文件格式</w:t>
      </w:r>
    </w:p>
    <w:p w14:paraId="30E1F782">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13.2根据本章第14.3款、第15款对磋商文件所作的澄清、修改，构成磋商文件的组成部分。</w:t>
      </w:r>
    </w:p>
    <w:p w14:paraId="5C7DA5C6">
      <w:pPr>
        <w:pStyle w:val="10"/>
        <w:adjustRightInd w:val="0"/>
        <w:snapToGrid w:val="0"/>
        <w:spacing w:line="360" w:lineRule="auto"/>
        <w:ind w:firstLine="420" w:firstLineChars="200"/>
        <w:rPr>
          <w:rFonts w:hAnsi="宋体" w:cs="宋体"/>
          <w:color w:val="000000" w:themeColor="text1"/>
          <w:kern w:val="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可能实质性变动的内容见供应商</w:t>
      </w:r>
      <w:r>
        <w:rPr>
          <w:rFonts w:hint="eastAsia" w:hAnsi="宋体" w:cs="宋体"/>
          <w:bCs/>
          <w:color w:val="000000" w:themeColor="text1"/>
          <w:highlight w:val="none"/>
          <w14:textFill>
            <w14:solidFill>
              <w14:schemeClr w14:val="tx1"/>
            </w14:solidFill>
          </w14:textFill>
        </w:rPr>
        <w:t>须知前附表。</w:t>
      </w:r>
    </w:p>
    <w:p w14:paraId="5631B6B4">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14. 磋商文件的质疑</w:t>
      </w:r>
    </w:p>
    <w:p w14:paraId="46582448">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14.1提出质疑的供应商（以下简称质疑供应商）应当是参与所质疑项目采购活动的供应商。</w:t>
      </w:r>
    </w:p>
    <w:p w14:paraId="41542F94">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14:paraId="6065DBB8">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14.2供应商在法定质疑期内一次性提出针对同一采购程序环节的质疑。</w:t>
      </w:r>
    </w:p>
    <w:p w14:paraId="5682E96A">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14.3采购人、采购代理机构认为供应商质疑不成立，或者成立但未对中标、成交结果构成影响的，继续开展采购活动；认为供应商质疑成立且影响或者可能影响中标、成交结果的，依法通过澄清或者修改可以继续开展采购活动的，澄清或者修改采购文件后继续开展采购活动； </w:t>
      </w:r>
    </w:p>
    <w:p w14:paraId="5BF71108">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14.4供应商提出质疑的形式和内容应符合法律法规和磋商文件的要求。</w:t>
      </w:r>
    </w:p>
    <w:p w14:paraId="1DF5F3A5">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15.磋商文件的澄清</w:t>
      </w:r>
      <w:r>
        <w:rPr>
          <w:rFonts w:hint="eastAsia" w:ascii="宋体" w:hAnsi="宋体" w:cs="宋体"/>
          <w:b/>
          <w:color w:val="000000" w:themeColor="text1"/>
          <w:kern w:val="0"/>
          <w:szCs w:val="21"/>
          <w:highlight w:val="none"/>
          <w:lang w:val="zh-CN"/>
          <w14:textFill>
            <w14:solidFill>
              <w14:schemeClr w14:val="tx1"/>
            </w14:solidFill>
          </w14:textFill>
        </w:rPr>
        <w:t>或者</w:t>
      </w:r>
      <w:r>
        <w:rPr>
          <w:rFonts w:hint="eastAsia" w:ascii="宋体" w:hAnsi="宋体" w:cs="宋体"/>
          <w:b/>
          <w:bCs/>
          <w:color w:val="000000" w:themeColor="text1"/>
          <w:szCs w:val="21"/>
          <w:highlight w:val="none"/>
          <w14:textFill>
            <w14:solidFill>
              <w14:schemeClr w14:val="tx1"/>
            </w14:solidFill>
          </w14:textFill>
        </w:rPr>
        <w:t>修改</w:t>
      </w:r>
    </w:p>
    <w:p w14:paraId="632E18E1">
      <w:pPr>
        <w:adjustRightInd w:val="0"/>
        <w:snapToGrid w:val="0"/>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3个工作日前，以供应商须知前附表规定的形式通知所有接收磋商文件的供应商，不足3个工作日的，采购人、采购代理机构应当顺延提交首次响应文件截止时间。提交首次响应文件截止时间见本章第22.1款。</w:t>
      </w:r>
      <w:bookmarkStart w:id="64" w:name="_Toc2356"/>
    </w:p>
    <w:p w14:paraId="1D27B4CB">
      <w:pPr>
        <w:adjustRightInd w:val="0"/>
        <w:snapToGrid w:val="0"/>
        <w:spacing w:line="360" w:lineRule="auto"/>
        <w:jc w:val="center"/>
        <w:outlineLvl w:val="1"/>
        <w:rPr>
          <w:rFonts w:ascii="宋体" w:hAnsi="宋体" w:cs="宋体"/>
          <w:b/>
          <w:bCs/>
          <w:color w:val="000000" w:themeColor="text1"/>
          <w:szCs w:val="21"/>
          <w:highlight w:val="none"/>
          <w14:textFill>
            <w14:solidFill>
              <w14:schemeClr w14:val="tx1"/>
            </w14:solidFill>
          </w14:textFill>
        </w:rPr>
      </w:pPr>
      <w:bookmarkStart w:id="65" w:name="_Toc1161"/>
      <w:bookmarkStart w:id="66" w:name="_Toc25063"/>
      <w:r>
        <w:rPr>
          <w:rFonts w:hint="eastAsia" w:ascii="宋体" w:hAnsi="宋体" w:cs="宋体"/>
          <w:b/>
          <w:color w:val="000000" w:themeColor="text1"/>
          <w:sz w:val="24"/>
          <w:highlight w:val="none"/>
          <w14:textFill>
            <w14:solidFill>
              <w14:schemeClr w14:val="tx1"/>
            </w14:solidFill>
          </w14:textFill>
        </w:rPr>
        <w:t>三、响应文件</w:t>
      </w:r>
      <w:bookmarkEnd w:id="64"/>
      <w:bookmarkEnd w:id="65"/>
      <w:bookmarkEnd w:id="66"/>
    </w:p>
    <w:p w14:paraId="7526DAFF">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16.</w:t>
      </w:r>
      <w:r>
        <w:rPr>
          <w:rFonts w:hint="eastAsia" w:ascii="宋体" w:hAnsi="宋体" w:cs="宋体"/>
          <w:b/>
          <w:color w:val="000000" w:themeColor="text1"/>
          <w:szCs w:val="21"/>
          <w:highlight w:val="none"/>
          <w14:textFill>
            <w14:solidFill>
              <w14:schemeClr w14:val="tx1"/>
            </w14:solidFill>
          </w14:textFill>
        </w:rPr>
        <w:t>响应文件</w:t>
      </w:r>
      <w:r>
        <w:rPr>
          <w:rFonts w:hint="eastAsia" w:ascii="宋体" w:hAnsi="宋体" w:cs="宋体"/>
          <w:b/>
          <w:bCs/>
          <w:color w:val="000000" w:themeColor="text1"/>
          <w:szCs w:val="21"/>
          <w:highlight w:val="none"/>
          <w14:textFill>
            <w14:solidFill>
              <w14:schemeClr w14:val="tx1"/>
            </w14:solidFill>
          </w14:textFill>
        </w:rPr>
        <w:t>的组成</w:t>
      </w:r>
    </w:p>
    <w:p w14:paraId="1A599860">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67" w:name="_Toc25224"/>
      <w:bookmarkStart w:id="68" w:name="_Toc5008"/>
      <w:bookmarkStart w:id="69" w:name="_Toc28"/>
      <w:r>
        <w:rPr>
          <w:rFonts w:hint="eastAsia" w:ascii="宋体" w:hAnsi="宋体" w:cs="宋体"/>
          <w:color w:val="000000" w:themeColor="text1"/>
          <w:highlight w:val="none"/>
          <w14:textFill>
            <w14:solidFill>
              <w14:schemeClr w14:val="tx1"/>
            </w14:solidFill>
          </w14:textFill>
        </w:rPr>
        <w:t>16.1 响应文件包括下列内容：</w:t>
      </w:r>
      <w:bookmarkEnd w:id="67"/>
      <w:bookmarkEnd w:id="68"/>
      <w:bookmarkEnd w:id="69"/>
      <w:r>
        <w:rPr>
          <w:rFonts w:hint="eastAsia" w:ascii="宋体" w:hAnsi="宋体" w:cs="宋体"/>
          <w:color w:val="000000" w:themeColor="text1"/>
          <w:highlight w:val="none"/>
          <w14:textFill>
            <w14:solidFill>
              <w14:schemeClr w14:val="tx1"/>
            </w14:solidFill>
          </w14:textFill>
        </w:rPr>
        <w:t>详见第六章“响应文件格式”</w:t>
      </w:r>
      <w:r>
        <w:rPr>
          <w:rFonts w:hint="eastAsia" w:ascii="宋体" w:hAnsi="宋体" w:cs="宋体"/>
          <w:color w:val="000000" w:themeColor="text1"/>
          <w:szCs w:val="21"/>
          <w:highlight w:val="none"/>
          <w14:textFill>
            <w14:solidFill>
              <w14:schemeClr w14:val="tx1"/>
            </w14:solidFill>
          </w14:textFill>
        </w:rPr>
        <w:t xml:space="preserve"> </w:t>
      </w:r>
    </w:p>
    <w:p w14:paraId="6460C7E6">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16.2在磋商过程中，</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s="宋体"/>
          <w:bCs/>
          <w:color w:val="000000" w:themeColor="text1"/>
          <w:szCs w:val="21"/>
          <w:highlight w:val="none"/>
          <w14:textFill>
            <w14:solidFill>
              <w14:schemeClr w14:val="tx1"/>
            </w14:solidFill>
          </w14:textFill>
        </w:rPr>
        <w:t>书面形式要求</w:t>
      </w:r>
      <w:r>
        <w:rPr>
          <w:rFonts w:hint="eastAsia" w:ascii="宋体" w:hAnsi="宋体" w:cs="宋体"/>
          <w:color w:val="000000" w:themeColor="text1"/>
          <w:kern w:val="0"/>
          <w:szCs w:val="21"/>
          <w:highlight w:val="none"/>
          <w14:textFill>
            <w14:solidFill>
              <w14:schemeClr w14:val="tx1"/>
            </w14:solidFill>
          </w14:textFill>
        </w:rPr>
        <w:t>提交的</w:t>
      </w:r>
      <w:r>
        <w:rPr>
          <w:rFonts w:hint="eastAsia" w:ascii="宋体" w:hAnsi="宋体" w:cs="宋体"/>
          <w:color w:val="000000" w:themeColor="text1"/>
          <w:highlight w:val="none"/>
          <w14:textFill>
            <w14:solidFill>
              <w14:schemeClr w14:val="tx1"/>
            </w14:solidFill>
          </w14:textFill>
        </w:rPr>
        <w:t>最后报价(或者</w:t>
      </w:r>
      <w:r>
        <w:rPr>
          <w:rFonts w:hint="eastAsia" w:ascii="宋体" w:hAnsi="宋体" w:cs="宋体"/>
          <w:bCs/>
          <w:color w:val="000000" w:themeColor="text1"/>
          <w:szCs w:val="21"/>
          <w:highlight w:val="none"/>
          <w14:textFill>
            <w14:solidFill>
              <w14:schemeClr w14:val="tx1"/>
            </w14:solidFill>
          </w14:textFill>
        </w:rPr>
        <w:t>重</w:t>
      </w:r>
      <w:r>
        <w:rPr>
          <w:rFonts w:hint="eastAsia" w:ascii="宋体" w:hAnsi="宋体" w:cs="宋体"/>
          <w:color w:val="000000" w:themeColor="text1"/>
          <w:kern w:val="0"/>
          <w:szCs w:val="21"/>
          <w:highlight w:val="none"/>
          <w14:textFill>
            <w14:solidFill>
              <w14:schemeClr w14:val="tx1"/>
            </w14:solidFill>
          </w14:textFill>
        </w:rPr>
        <w:t>新提交的响应文件和</w:t>
      </w:r>
      <w:r>
        <w:rPr>
          <w:rFonts w:hint="eastAsia" w:ascii="宋体" w:hAnsi="宋体" w:cs="宋体"/>
          <w:color w:val="000000" w:themeColor="text1"/>
          <w:highlight w:val="none"/>
          <w14:textFill>
            <w14:solidFill>
              <w14:schemeClr w14:val="tx1"/>
            </w14:solidFill>
          </w14:textFill>
        </w:rPr>
        <w:t>最后报价)是</w:t>
      </w:r>
      <w:r>
        <w:rPr>
          <w:rFonts w:hint="eastAsia" w:ascii="宋体" w:hAnsi="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的有效组成部分。</w:t>
      </w:r>
    </w:p>
    <w:p w14:paraId="2776923E">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16.3供应商在磋商过程</w:t>
      </w:r>
      <w:r>
        <w:rPr>
          <w:rFonts w:hint="eastAsia" w:hAnsi="宋体" w:cs="宋体"/>
          <w:color w:val="000000" w:themeColor="text1"/>
          <w:spacing w:val="-2"/>
          <w:kern w:val="0"/>
          <w:highlight w:val="none"/>
          <w14:textFill>
            <w14:solidFill>
              <w14:schemeClr w14:val="tx1"/>
            </w14:solidFill>
          </w14:textFill>
        </w:rPr>
        <w:t>中</w:t>
      </w:r>
      <w:r>
        <w:rPr>
          <w:rFonts w:hint="eastAsia" w:hAnsi="宋体" w:cs="宋体"/>
          <w:color w:val="000000" w:themeColor="text1"/>
          <w:kern w:val="0"/>
          <w:highlight w:val="none"/>
          <w14:textFill>
            <w14:solidFill>
              <w14:schemeClr w14:val="tx1"/>
            </w14:solidFill>
          </w14:textFill>
        </w:rPr>
        <w:t>作</w:t>
      </w:r>
      <w:r>
        <w:rPr>
          <w:rFonts w:hint="eastAsia" w:hAnsi="宋体" w:cs="宋体"/>
          <w:color w:val="000000" w:themeColor="text1"/>
          <w:spacing w:val="-2"/>
          <w:kern w:val="0"/>
          <w:highlight w:val="none"/>
          <w14:textFill>
            <w14:solidFill>
              <w14:schemeClr w14:val="tx1"/>
            </w14:solidFill>
          </w14:textFill>
        </w:rPr>
        <w:t>出</w:t>
      </w:r>
      <w:r>
        <w:rPr>
          <w:rFonts w:hint="eastAsia" w:hAnsi="宋体" w:cs="宋体"/>
          <w:color w:val="000000" w:themeColor="text1"/>
          <w:kern w:val="0"/>
          <w:highlight w:val="none"/>
          <w14:textFill>
            <w14:solidFill>
              <w14:schemeClr w14:val="tx1"/>
            </w14:solidFill>
          </w14:textFill>
        </w:rPr>
        <w:t>的符合法律法规和</w:t>
      </w:r>
      <w:r>
        <w:rPr>
          <w:rFonts w:hint="eastAsia" w:hAnsi="宋体" w:cs="宋体"/>
          <w:color w:val="000000" w:themeColor="text1"/>
          <w:spacing w:val="-2"/>
          <w:kern w:val="0"/>
          <w:highlight w:val="none"/>
          <w14:textFill>
            <w14:solidFill>
              <w14:schemeClr w14:val="tx1"/>
            </w14:solidFill>
          </w14:textFill>
        </w:rPr>
        <w:t>磋商文件</w:t>
      </w:r>
      <w:r>
        <w:rPr>
          <w:rFonts w:hint="eastAsia" w:hAnsi="宋体" w:cs="宋体"/>
          <w:color w:val="000000" w:themeColor="text1"/>
          <w:kern w:val="0"/>
          <w:highlight w:val="none"/>
          <w14:textFill>
            <w14:solidFill>
              <w14:schemeClr w14:val="tx1"/>
            </w14:solidFill>
          </w14:textFill>
        </w:rPr>
        <w:t>规定的澄清、说明、补正</w:t>
      </w:r>
      <w:r>
        <w:rPr>
          <w:rFonts w:hint="eastAsia" w:hAnsi="宋体" w:cs="宋体"/>
          <w:color w:val="000000" w:themeColor="text1"/>
          <w:spacing w:val="-2"/>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构</w:t>
      </w:r>
      <w:r>
        <w:rPr>
          <w:rFonts w:hint="eastAsia" w:hAnsi="宋体" w:cs="宋体"/>
          <w:color w:val="000000" w:themeColor="text1"/>
          <w:spacing w:val="-2"/>
          <w:kern w:val="0"/>
          <w:highlight w:val="none"/>
          <w14:textFill>
            <w14:solidFill>
              <w14:schemeClr w14:val="tx1"/>
            </w14:solidFill>
          </w14:textFill>
        </w:rPr>
        <w:t>成</w:t>
      </w:r>
      <w:r>
        <w:rPr>
          <w:rFonts w:hint="eastAsia" w:hAnsi="宋体" w:cs="宋体"/>
          <w:color w:val="000000" w:themeColor="text1"/>
          <w:kern w:val="0"/>
          <w:highlight w:val="none"/>
          <w14:textFill>
            <w14:solidFill>
              <w14:schemeClr w14:val="tx1"/>
            </w14:solidFill>
          </w14:textFill>
        </w:rPr>
        <w:t>响应文件的组成部</w:t>
      </w:r>
      <w:r>
        <w:rPr>
          <w:rFonts w:hint="eastAsia" w:hAnsi="宋体" w:cs="宋体"/>
          <w:color w:val="000000" w:themeColor="text1"/>
          <w:spacing w:val="-2"/>
          <w:kern w:val="0"/>
          <w:highlight w:val="none"/>
          <w14:textFill>
            <w14:solidFill>
              <w14:schemeClr w14:val="tx1"/>
            </w14:solidFill>
          </w14:textFill>
        </w:rPr>
        <w:t>分</w:t>
      </w:r>
      <w:r>
        <w:rPr>
          <w:rFonts w:hint="eastAsia" w:hAnsi="宋体" w:cs="宋体"/>
          <w:color w:val="000000" w:themeColor="text1"/>
          <w:kern w:val="0"/>
          <w:highlight w:val="none"/>
          <w14:textFill>
            <w14:solidFill>
              <w14:schemeClr w14:val="tx1"/>
            </w14:solidFill>
          </w14:textFill>
        </w:rPr>
        <w:t>。</w:t>
      </w:r>
    </w:p>
    <w:p w14:paraId="61C3E616">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16.4磋商文件规定可能发生实质性变动的，供应商如有变动应当在</w:t>
      </w:r>
      <w:r>
        <w:rPr>
          <w:rFonts w:hint="eastAsia" w:ascii="宋体" w:hAnsi="宋体" w:cs="宋体"/>
          <w:color w:val="000000" w:themeColor="text1"/>
          <w:szCs w:val="21"/>
          <w:highlight w:val="none"/>
          <w:lang w:val="en-US"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中对应内容注明。</w:t>
      </w:r>
    </w:p>
    <w:p w14:paraId="74C0B3C3">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16.5供应商须知前附表规定不接受联合体磋商的，或供应商没有组成联合体的，响应文件不包括联合体协议书。</w:t>
      </w:r>
    </w:p>
    <w:p w14:paraId="7FD8CD48">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无论成交与否，供应商的响应文件不予退还。</w:t>
      </w:r>
    </w:p>
    <w:p w14:paraId="11A6C40A">
      <w:pPr>
        <w:adjustRightInd w:val="0"/>
        <w:snapToGrid w:val="0"/>
        <w:spacing w:line="360" w:lineRule="auto"/>
        <w:ind w:firstLine="420" w:firstLineChars="200"/>
        <w:jc w:val="lef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16.7供应商应提供的其他资料：详见供应商须知前附表</w:t>
      </w:r>
    </w:p>
    <w:p w14:paraId="2BAAC741">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17.报价</w:t>
      </w:r>
    </w:p>
    <w:p w14:paraId="0398FDBA">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17.1报价应包括国家规定的税金。供应商应按第六章“响应文件格式”的要求在响应函及报价一览表中进行报价。</w:t>
      </w:r>
    </w:p>
    <w:p w14:paraId="1018798F">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17.2供应商应充分了解该项目的总体情况以及影响报价的其他要素。</w:t>
      </w:r>
    </w:p>
    <w:p w14:paraId="7B8D5E28">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17.3供应商在提交首次响应文件截止时间前修改响应函及报价一览表中的报价总额，应同时修改响应文件 “分项报价表”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如有</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中的相应报价。此修改须符合本章第23.1款的有关要求。</w:t>
      </w:r>
    </w:p>
    <w:p w14:paraId="32D341EE">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17.4报价不得超过磋商文件中规定的预算金额或最高限价，否则响应文件无效。预算金额或最高限价见本章第4.2、4.3款。</w:t>
      </w:r>
    </w:p>
    <w:p w14:paraId="5DF4299D">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17.5磋商结束后，磋商小组将要求所有参加磋商的供应商在规定时间内进行最后报价，最后报价是供应商响应文件的有效组成部分。</w:t>
      </w:r>
    </w:p>
    <w:p w14:paraId="04B4BCED">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17.6报价的其他要求见供应商须知前附表。</w:t>
      </w:r>
    </w:p>
    <w:p w14:paraId="47FE6CFB">
      <w:pPr>
        <w:pStyle w:val="10"/>
        <w:adjustRightInd w:val="0"/>
        <w:snapToGrid w:val="0"/>
        <w:spacing w:line="360" w:lineRule="auto"/>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18.资格审查资料</w:t>
      </w:r>
    </w:p>
    <w:p w14:paraId="3C26C187">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除供应商须知前附表另有规定外，供应商应按下列规定提供资格审查资料，以证明其满足本章第 5.1 款规定的资格条件和要求。</w:t>
      </w:r>
    </w:p>
    <w:p w14:paraId="2AC212AD">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 “供应商基本情况表”应附供应商营业执照或事业单位法人证书、自然人的身份证明（自然人参加时）、其他组织的相关证明等。</w:t>
      </w:r>
    </w:p>
    <w:p w14:paraId="3B427BCC">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 “财务状况报告”应提供经审计的财务报告或其基本开户银行出具的资信证明的复印件。如供应商提供财务报告的，具体年份要求见供应商须知前附表，供应商的成立时间少于供应商须知前附表规定年份的，应提供成立以来的财务报告</w:t>
      </w:r>
      <w:r>
        <w:rPr>
          <w:rFonts w:hint="eastAsia" w:ascii="宋体" w:hAnsi="宋体" w:cs="宋体"/>
          <w:color w:val="000000" w:themeColor="text1"/>
          <w:szCs w:val="21"/>
          <w:highlight w:val="none"/>
          <w:lang w:val="en-US" w:eastAsia="zh-CN"/>
          <w14:textFill>
            <w14:solidFill>
              <w14:schemeClr w14:val="tx1"/>
            </w14:solidFill>
          </w14:textFill>
        </w:rPr>
        <w:t>或银行资信证明</w:t>
      </w:r>
      <w:r>
        <w:rPr>
          <w:rFonts w:hint="eastAsia" w:ascii="宋体" w:hAnsi="宋体" w:cs="宋体"/>
          <w:color w:val="000000" w:themeColor="text1"/>
          <w:szCs w:val="21"/>
          <w:highlight w:val="none"/>
          <w14:textFill>
            <w14:solidFill>
              <w14:schemeClr w14:val="tx1"/>
            </w14:solidFill>
          </w14:textFill>
        </w:rPr>
        <w:t>。</w:t>
      </w:r>
    </w:p>
    <w:p w14:paraId="20F7D236">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依法缴纳税收和社会保障资金的相关材料（供应商须提供2024年以来任意一个月份依法纳税收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7A976601">
      <w:pPr>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18.4具备履行合同所必需的设备和专业技术能力的证明材料</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响应文件中附具有履行合同所必需的设备和专业技术能力的相关证明材料或承诺函（格式自拟）</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1E864944">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18.5参加政府采购活动前</w:t>
      </w:r>
      <w:r>
        <w:rPr>
          <w:rFonts w:hint="eastAsia" w:ascii="宋体" w:hAnsi="宋体" w:cs="宋体"/>
          <w:color w:val="000000" w:themeColor="text1"/>
          <w:szCs w:val="21"/>
          <w:highlight w:val="none"/>
          <w:lang w:eastAsia="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年内在经营活动中没有重大违法记录的书面声明。</w:t>
      </w:r>
    </w:p>
    <w:p w14:paraId="613E9295">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18.6单位负责人为同一人或者存在直接控股、管理关系的不同供应商，不得参加同一合同项下的政府采购活动（</w:t>
      </w:r>
      <w:r>
        <w:rPr>
          <w:rFonts w:hint="eastAsia" w:ascii="宋体" w:hAnsi="宋体" w:cs="宋体"/>
          <w:color w:val="000000"/>
          <w:szCs w:val="21"/>
          <w:highlight w:val="none"/>
          <w:lang w:val="en-US" w:eastAsia="zh-CN"/>
        </w:rPr>
        <w:t>以国家企业信用信息公示系统的公司信息、股东信息为准</w:t>
      </w:r>
      <w:r>
        <w:rPr>
          <w:rFonts w:hint="eastAsia" w:ascii="宋体" w:hAnsi="宋体" w:cs="宋体"/>
          <w:color w:val="000000" w:themeColor="text1"/>
          <w:szCs w:val="21"/>
          <w:highlight w:val="none"/>
          <w14:textFill>
            <w14:solidFill>
              <w14:schemeClr w14:val="tx1"/>
            </w14:solidFill>
          </w14:textFill>
        </w:rPr>
        <w:t>）。</w:t>
      </w:r>
    </w:p>
    <w:p w14:paraId="70354220">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满足特定资格条件要求的相关证明材料。</w:t>
      </w:r>
    </w:p>
    <w:p w14:paraId="6F7C0AB5">
      <w:pPr>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供应商须知前附表规定接受联合体磋商的，本章第 18.1 项至第 18.</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项规定的表格和资料应包括联合体各方相关情况。</w:t>
      </w:r>
    </w:p>
    <w:p w14:paraId="5704EEF5">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19.保证金</w:t>
      </w:r>
    </w:p>
    <w:p w14:paraId="49BCAEFA">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19.1供应商应按供应商须知前附表规定的形式和金额交纳保证金，</w:t>
      </w:r>
      <w:r>
        <w:rPr>
          <w:rFonts w:hint="eastAsia" w:hAnsi="宋体" w:cs="宋体"/>
          <w:color w:val="000000" w:themeColor="text1"/>
          <w:kern w:val="0"/>
          <w:highlight w:val="none"/>
          <w14:textFill>
            <w14:solidFill>
              <w14:schemeClr w14:val="tx1"/>
            </w14:solidFill>
          </w14:textFill>
        </w:rPr>
        <w:t>并作为其响应文件的组成部分。</w:t>
      </w:r>
      <w:r>
        <w:rPr>
          <w:rFonts w:hint="eastAsia" w:hAnsi="宋体" w:cs="宋体"/>
          <w:color w:val="000000" w:themeColor="text1"/>
          <w:highlight w:val="none"/>
          <w14:textFill>
            <w14:solidFill>
              <w14:schemeClr w14:val="tx1"/>
            </w14:solidFill>
          </w14:textFill>
        </w:rPr>
        <w:t xml:space="preserve">供应商以支票形式提交的保证金，应当从其基本账户转出并在响应文件中附上交纳凭证复印件。 </w:t>
      </w:r>
    </w:p>
    <w:p w14:paraId="254BBF0D">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19.2供应商为联合体的，可以由联合体中的一方或者多方共同交纳保证金，其交纳的保证金对联合体各方均具有约束力。</w:t>
      </w:r>
    </w:p>
    <w:p w14:paraId="61A418ED">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19.3 供应商未按磋商文件规定提交保证金的，磋商小组将否决其响应文件。</w:t>
      </w:r>
    </w:p>
    <w:p w14:paraId="24F999EA">
      <w:pPr>
        <w:pStyle w:val="10"/>
        <w:tabs>
          <w:tab w:val="left" w:pos="6300"/>
        </w:tabs>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19.4未成交供应商的保证金应当在成交通知书发出后5个工作日内退还，成交供应商的保证金应当在采购合同签订后5个工作日内退还或者转为成交供应商的履约保证金，但因供应商自身原因导致无法及时退还的除外。</w:t>
      </w:r>
    </w:p>
    <w:p w14:paraId="431345DB">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19.5有下列情形之一的，保证金不予退还：</w:t>
      </w:r>
    </w:p>
    <w:p w14:paraId="513988F0">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（1）供应商在提交响应文件截止时间后撤回响应文件的；</w:t>
      </w:r>
    </w:p>
    <w:p w14:paraId="38EF1A65">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（2）供应商在响应文件中提供虚假材料的；</w:t>
      </w:r>
    </w:p>
    <w:p w14:paraId="5DDB9C99">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（3）除因不可抗力或磋商文件认可的情形以外，成交供应商不与采购人签订合同的；</w:t>
      </w:r>
    </w:p>
    <w:p w14:paraId="38EFEFFC">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（4）供应商与采购人、其他供应商或者采购代理机构恶意串通的；</w:t>
      </w:r>
    </w:p>
    <w:p w14:paraId="45FFEFE6">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（5）采购文件规定的其他情形。</w:t>
      </w:r>
    </w:p>
    <w:p w14:paraId="3A13FAE0">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19.6已提交响应文件的供应商，在提交最后报价之前，可以根据磋商情况退出磋商。采购人、采购代理机构应当退还退出磋商的供应商的保证金。</w:t>
      </w:r>
    </w:p>
    <w:p w14:paraId="47BAB93E">
      <w:pPr>
        <w:pStyle w:val="10"/>
        <w:adjustRightInd w:val="0"/>
        <w:snapToGrid w:val="0"/>
        <w:spacing w:line="360" w:lineRule="auto"/>
        <w:ind w:firstLine="422" w:firstLineChars="200"/>
        <w:rPr>
          <w:rFonts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20.响应文件的编制</w:t>
      </w:r>
    </w:p>
    <w:p w14:paraId="05D86973">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20.1响应文件</w:t>
      </w:r>
      <w:r>
        <w:rPr>
          <w:rFonts w:hint="eastAsia" w:hAnsi="宋体" w:cs="宋体"/>
          <w:color w:val="000000" w:themeColor="text1"/>
          <w:kern w:val="0"/>
          <w:highlight w:val="none"/>
          <w14:textFill>
            <w14:solidFill>
              <w14:schemeClr w14:val="tx1"/>
            </w14:solidFill>
          </w14:textFill>
        </w:rPr>
        <w:t>应</w:t>
      </w:r>
      <w:r>
        <w:rPr>
          <w:rFonts w:hint="eastAsia" w:hAnsi="宋体" w:cs="宋体"/>
          <w:color w:val="000000" w:themeColor="text1"/>
          <w:spacing w:val="-2"/>
          <w:kern w:val="0"/>
          <w:highlight w:val="none"/>
          <w14:textFill>
            <w14:solidFill>
              <w14:schemeClr w14:val="tx1"/>
            </w14:solidFill>
          </w14:textFill>
        </w:rPr>
        <w:t>按</w:t>
      </w:r>
      <w:r>
        <w:rPr>
          <w:rFonts w:hint="eastAsia" w:hAnsi="宋体" w:cs="宋体"/>
          <w:color w:val="000000" w:themeColor="text1"/>
          <w:kern w:val="0"/>
          <w:highlight w:val="none"/>
          <w14:textFill>
            <w14:solidFill>
              <w14:schemeClr w14:val="tx1"/>
            </w14:solidFill>
          </w14:textFill>
        </w:rPr>
        <w:t>第</w:t>
      </w:r>
      <w:r>
        <w:rPr>
          <w:rFonts w:hint="eastAsia" w:hAnsi="宋体" w:cs="宋体"/>
          <w:color w:val="000000" w:themeColor="text1"/>
          <w:spacing w:val="-2"/>
          <w:kern w:val="0"/>
          <w:highlight w:val="none"/>
          <w14:textFill>
            <w14:solidFill>
              <w14:schemeClr w14:val="tx1"/>
            </w14:solidFill>
          </w14:textFill>
        </w:rPr>
        <w:t>六章</w:t>
      </w:r>
      <w:r>
        <w:rPr>
          <w:rFonts w:hint="eastAsia" w:hAnsi="宋体" w:cs="宋体"/>
          <w:color w:val="000000" w:themeColor="text1"/>
          <w:kern w:val="0"/>
          <w:highlight w:val="none"/>
          <w14:textFill>
            <w14:solidFill>
              <w14:schemeClr w14:val="tx1"/>
            </w14:solidFill>
          </w14:textFill>
        </w:rPr>
        <w:t>“响应文</w:t>
      </w:r>
      <w:r>
        <w:rPr>
          <w:rFonts w:hint="eastAsia" w:hAnsi="宋体" w:cs="宋体"/>
          <w:color w:val="000000" w:themeColor="text1"/>
          <w:spacing w:val="-2"/>
          <w:kern w:val="0"/>
          <w:highlight w:val="none"/>
          <w14:textFill>
            <w14:solidFill>
              <w14:schemeClr w14:val="tx1"/>
            </w14:solidFill>
          </w14:textFill>
        </w:rPr>
        <w:t>件</w:t>
      </w:r>
      <w:r>
        <w:rPr>
          <w:rFonts w:hint="eastAsia" w:hAnsi="宋体" w:cs="宋体"/>
          <w:color w:val="000000" w:themeColor="text1"/>
          <w:kern w:val="0"/>
          <w:highlight w:val="none"/>
          <w14:textFill>
            <w14:solidFill>
              <w14:schemeClr w14:val="tx1"/>
            </w14:solidFill>
          </w14:textFill>
        </w:rPr>
        <w:t>格式</w:t>
      </w:r>
      <w:r>
        <w:rPr>
          <w:rFonts w:hint="eastAsia" w:hAnsi="宋体" w:cs="宋体"/>
          <w:color w:val="000000" w:themeColor="text1"/>
          <w:spacing w:val="-3"/>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进</w:t>
      </w:r>
      <w:r>
        <w:rPr>
          <w:rFonts w:hint="eastAsia" w:hAnsi="宋体" w:cs="宋体"/>
          <w:color w:val="000000" w:themeColor="text1"/>
          <w:spacing w:val="-2"/>
          <w:kern w:val="0"/>
          <w:highlight w:val="none"/>
          <w14:textFill>
            <w14:solidFill>
              <w14:schemeClr w14:val="tx1"/>
            </w14:solidFill>
          </w14:textFill>
        </w:rPr>
        <w:t>行</w:t>
      </w:r>
      <w:r>
        <w:rPr>
          <w:rFonts w:hint="eastAsia" w:hAnsi="宋体" w:cs="宋体"/>
          <w:color w:val="000000" w:themeColor="text1"/>
          <w:kern w:val="0"/>
          <w:highlight w:val="none"/>
          <w14:textFill>
            <w14:solidFill>
              <w14:schemeClr w14:val="tx1"/>
            </w14:solidFill>
          </w14:textFill>
        </w:rPr>
        <w:t>编</w:t>
      </w:r>
      <w:r>
        <w:rPr>
          <w:rFonts w:hint="eastAsia" w:hAnsi="宋体" w:cs="宋体"/>
          <w:color w:val="000000" w:themeColor="text1"/>
          <w:spacing w:val="-2"/>
          <w:kern w:val="0"/>
          <w:highlight w:val="none"/>
          <w14:textFill>
            <w14:solidFill>
              <w14:schemeClr w14:val="tx1"/>
            </w14:solidFill>
          </w14:textFill>
        </w:rPr>
        <w:t>写</w:t>
      </w:r>
      <w:r>
        <w:rPr>
          <w:rFonts w:hint="eastAsia" w:hAnsi="宋体" w:cs="宋体"/>
          <w:color w:val="000000" w:themeColor="text1"/>
          <w:spacing w:val="-17"/>
          <w:kern w:val="0"/>
          <w:highlight w:val="none"/>
          <w14:textFill>
            <w14:solidFill>
              <w14:schemeClr w14:val="tx1"/>
            </w14:solidFill>
          </w14:textFill>
        </w:rPr>
        <w:t>，</w:t>
      </w:r>
      <w:r>
        <w:rPr>
          <w:rFonts w:hint="eastAsia" w:hAnsi="宋体" w:cs="宋体"/>
          <w:color w:val="000000" w:themeColor="text1"/>
          <w:spacing w:val="-2"/>
          <w:kern w:val="0"/>
          <w:highlight w:val="none"/>
          <w14:textFill>
            <w14:solidFill>
              <w14:schemeClr w14:val="tx1"/>
            </w14:solidFill>
          </w14:textFill>
        </w:rPr>
        <w:t>如</w:t>
      </w:r>
      <w:r>
        <w:rPr>
          <w:rFonts w:hint="eastAsia" w:hAnsi="宋体" w:cs="宋体"/>
          <w:color w:val="000000" w:themeColor="text1"/>
          <w:kern w:val="0"/>
          <w:highlight w:val="none"/>
          <w14:textFill>
            <w14:solidFill>
              <w14:schemeClr w14:val="tx1"/>
            </w14:solidFill>
          </w14:textFill>
        </w:rPr>
        <w:t>有</w:t>
      </w:r>
      <w:r>
        <w:rPr>
          <w:rFonts w:hint="eastAsia" w:hAnsi="宋体" w:cs="宋体"/>
          <w:color w:val="000000" w:themeColor="text1"/>
          <w:spacing w:val="-2"/>
          <w:kern w:val="0"/>
          <w:highlight w:val="none"/>
          <w14:textFill>
            <w14:solidFill>
              <w14:schemeClr w14:val="tx1"/>
            </w14:solidFill>
          </w14:textFill>
        </w:rPr>
        <w:t>必</w:t>
      </w:r>
      <w:r>
        <w:rPr>
          <w:rFonts w:hint="eastAsia" w:hAnsi="宋体" w:cs="宋体"/>
          <w:color w:val="000000" w:themeColor="text1"/>
          <w:kern w:val="0"/>
          <w:highlight w:val="none"/>
          <w14:textFill>
            <w14:solidFill>
              <w14:schemeClr w14:val="tx1"/>
            </w14:solidFill>
          </w14:textFill>
        </w:rPr>
        <w:t>要</w:t>
      </w:r>
      <w:r>
        <w:rPr>
          <w:rFonts w:hint="eastAsia" w:hAnsi="宋体" w:cs="宋体"/>
          <w:color w:val="000000" w:themeColor="text1"/>
          <w:spacing w:val="-19"/>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可</w:t>
      </w:r>
      <w:r>
        <w:rPr>
          <w:rFonts w:hint="eastAsia" w:hAnsi="宋体" w:cs="宋体"/>
          <w:color w:val="000000" w:themeColor="text1"/>
          <w:spacing w:val="-2"/>
          <w:kern w:val="0"/>
          <w:highlight w:val="none"/>
          <w14:textFill>
            <w14:solidFill>
              <w14:schemeClr w14:val="tx1"/>
            </w14:solidFill>
          </w14:textFill>
        </w:rPr>
        <w:t>以</w:t>
      </w:r>
      <w:r>
        <w:rPr>
          <w:rFonts w:hint="eastAsia" w:hAnsi="宋体" w:cs="宋体"/>
          <w:color w:val="000000" w:themeColor="text1"/>
          <w:kern w:val="0"/>
          <w:highlight w:val="none"/>
          <w14:textFill>
            <w14:solidFill>
              <w14:schemeClr w14:val="tx1"/>
            </w14:solidFill>
          </w14:textFill>
        </w:rPr>
        <w:t>增</w:t>
      </w:r>
      <w:r>
        <w:rPr>
          <w:rFonts w:hint="eastAsia" w:hAnsi="宋体" w:cs="宋体"/>
          <w:color w:val="000000" w:themeColor="text1"/>
          <w:spacing w:val="-2"/>
          <w:kern w:val="0"/>
          <w:highlight w:val="none"/>
          <w14:textFill>
            <w14:solidFill>
              <w14:schemeClr w14:val="tx1"/>
            </w14:solidFill>
          </w14:textFill>
        </w:rPr>
        <w:t>加附</w:t>
      </w:r>
      <w:r>
        <w:rPr>
          <w:rFonts w:hint="eastAsia" w:hAnsi="宋体" w:cs="宋体"/>
          <w:color w:val="000000" w:themeColor="text1"/>
          <w:kern w:val="0"/>
          <w:highlight w:val="none"/>
          <w14:textFill>
            <w14:solidFill>
              <w14:schemeClr w14:val="tx1"/>
            </w14:solidFill>
          </w14:textFill>
        </w:rPr>
        <w:t>页</w:t>
      </w:r>
      <w:r>
        <w:rPr>
          <w:rFonts w:hint="eastAsia" w:hAnsi="宋体" w:cs="宋体"/>
          <w:color w:val="000000" w:themeColor="text1"/>
          <w:spacing w:val="-19"/>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作</w:t>
      </w:r>
      <w:r>
        <w:rPr>
          <w:rFonts w:hint="eastAsia" w:hAnsi="宋体" w:cs="宋体"/>
          <w:color w:val="000000" w:themeColor="text1"/>
          <w:spacing w:val="-2"/>
          <w:kern w:val="0"/>
          <w:highlight w:val="none"/>
          <w14:textFill>
            <w14:solidFill>
              <w14:schemeClr w14:val="tx1"/>
            </w14:solidFill>
          </w14:textFill>
        </w:rPr>
        <w:t>为</w:t>
      </w:r>
      <w:r>
        <w:rPr>
          <w:rFonts w:hint="eastAsia" w:hAnsi="宋体" w:cs="宋体"/>
          <w:color w:val="000000" w:themeColor="text1"/>
          <w:kern w:val="0"/>
          <w:highlight w:val="none"/>
          <w14:textFill>
            <w14:solidFill>
              <w14:schemeClr w14:val="tx1"/>
            </w14:solidFill>
          </w14:textFill>
        </w:rPr>
        <w:t>响应文件</w:t>
      </w:r>
      <w:r>
        <w:rPr>
          <w:rFonts w:hint="eastAsia" w:hAnsi="宋体" w:cs="宋体"/>
          <w:color w:val="000000" w:themeColor="text1"/>
          <w:spacing w:val="-2"/>
          <w:kern w:val="0"/>
          <w:highlight w:val="none"/>
          <w14:textFill>
            <w14:solidFill>
              <w14:schemeClr w14:val="tx1"/>
            </w14:solidFill>
          </w14:textFill>
        </w:rPr>
        <w:t>的</w:t>
      </w:r>
      <w:r>
        <w:rPr>
          <w:rFonts w:hint="eastAsia" w:hAnsi="宋体" w:cs="宋体"/>
          <w:color w:val="000000" w:themeColor="text1"/>
          <w:kern w:val="0"/>
          <w:highlight w:val="none"/>
          <w14:textFill>
            <w14:solidFill>
              <w14:schemeClr w14:val="tx1"/>
            </w14:solidFill>
          </w14:textFill>
        </w:rPr>
        <w:t>组</w:t>
      </w:r>
      <w:r>
        <w:rPr>
          <w:rFonts w:hint="eastAsia" w:hAnsi="宋体" w:cs="宋体"/>
          <w:color w:val="000000" w:themeColor="text1"/>
          <w:spacing w:val="-2"/>
          <w:kern w:val="0"/>
          <w:highlight w:val="none"/>
          <w14:textFill>
            <w14:solidFill>
              <w14:schemeClr w14:val="tx1"/>
            </w14:solidFill>
          </w14:textFill>
        </w:rPr>
        <w:t>成</w:t>
      </w:r>
      <w:r>
        <w:rPr>
          <w:rFonts w:hint="eastAsia" w:hAnsi="宋体" w:cs="宋体"/>
          <w:color w:val="000000" w:themeColor="text1"/>
          <w:kern w:val="0"/>
          <w:highlight w:val="none"/>
          <w14:textFill>
            <w14:solidFill>
              <w14:schemeClr w14:val="tx1"/>
            </w14:solidFill>
          </w14:textFill>
        </w:rPr>
        <w:t>部</w:t>
      </w:r>
      <w:r>
        <w:rPr>
          <w:rFonts w:hint="eastAsia" w:hAnsi="宋体" w:cs="宋体"/>
          <w:color w:val="000000" w:themeColor="text1"/>
          <w:spacing w:val="-2"/>
          <w:kern w:val="0"/>
          <w:highlight w:val="none"/>
          <w14:textFill>
            <w14:solidFill>
              <w14:schemeClr w14:val="tx1"/>
            </w14:solidFill>
          </w14:textFill>
        </w:rPr>
        <w:t>分</w:t>
      </w:r>
      <w:r>
        <w:rPr>
          <w:rFonts w:hint="eastAsia" w:hAnsi="宋体" w:cs="宋体"/>
          <w:color w:val="000000" w:themeColor="text1"/>
          <w:kern w:val="0"/>
          <w:highlight w:val="none"/>
          <w14:textFill>
            <w14:solidFill>
              <w14:schemeClr w14:val="tx1"/>
            </w14:solidFill>
          </w14:textFill>
        </w:rPr>
        <w:t>。</w:t>
      </w:r>
    </w:p>
    <w:p w14:paraId="0A841D62">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20.2供应商应当按照磋商文件的要求编制响应文件，并对其提交的响应文件的真实性、合法性承担法律责任。响应</w:t>
      </w:r>
      <w:r>
        <w:rPr>
          <w:rFonts w:hint="eastAsia" w:hAnsi="宋体" w:cs="宋体"/>
          <w:color w:val="000000" w:themeColor="text1"/>
          <w:kern w:val="0"/>
          <w:highlight w:val="none"/>
          <w14:textFill>
            <w14:solidFill>
              <w14:schemeClr w14:val="tx1"/>
            </w14:solidFill>
          </w14:textFill>
        </w:rPr>
        <w:t>文件应当对磋商文件提出的要求和条件作出明确响应。</w:t>
      </w:r>
    </w:p>
    <w:p w14:paraId="60763AE7">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20.3响应文件全部采用电子文档，除供应商须知前附表另有规定外，响应文件所附证书证件均为原件扫描件，并采用单位和个人数字证书，按磋商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w:t>
      </w:r>
    </w:p>
    <w:p w14:paraId="0ACD6510">
      <w:pPr>
        <w:snapToGrid w:val="0"/>
        <w:spacing w:before="0" w:beforeAutospacing="0" w:after="0" w:afterAutospacing="0" w:line="360" w:lineRule="auto"/>
        <w:ind w:left="0" w:leftChars="0" w:firstLine="420" w:firstLineChars="200"/>
        <w:jc w:val="both"/>
        <w:textAlignment w:val="baseline"/>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20.4</w:t>
      </w:r>
      <w:bookmarkStart w:id="70" w:name="_Toc28999"/>
      <w:r>
        <w:rPr>
          <w:rStyle w:val="52"/>
          <w:rFonts w:ascii="宋体" w:hAnsi="宋体" w:eastAsia="宋体"/>
          <w:b w:val="0"/>
          <w:bCs w:val="0"/>
          <w:i w:val="0"/>
          <w:caps w:val="0"/>
          <w:color w:val="000000"/>
          <w:spacing w:val="0"/>
          <w:w w:val="100"/>
          <w:kern w:val="2"/>
          <w:sz w:val="21"/>
          <w:szCs w:val="21"/>
          <w:highlight w:val="none"/>
          <w:lang w:val="en-US" w:eastAsia="zh-CN" w:bidi="ar-SA"/>
        </w:rPr>
        <w:t>磋商小组对符合采购需求的供应商进行两轮报价；供应商只有通过资格评审、符合性评审后方可进入下一轮报价，在规定的时间内同时提交报价。</w:t>
      </w:r>
    </w:p>
    <w:p w14:paraId="5883C90C">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71" w:name="_Toc32764"/>
      <w:bookmarkStart w:id="72" w:name="_Toc5883"/>
      <w:r>
        <w:rPr>
          <w:rFonts w:hint="eastAsia" w:ascii="宋体" w:hAnsi="宋体" w:cs="宋体"/>
          <w:b/>
          <w:color w:val="000000" w:themeColor="text1"/>
          <w:sz w:val="24"/>
          <w:highlight w:val="none"/>
          <w14:textFill>
            <w14:solidFill>
              <w14:schemeClr w14:val="tx1"/>
            </w14:solidFill>
          </w14:textFill>
        </w:rPr>
        <w:t>四、响应文件的递交</w:t>
      </w:r>
      <w:bookmarkEnd w:id="70"/>
      <w:bookmarkEnd w:id="71"/>
      <w:bookmarkEnd w:id="72"/>
    </w:p>
    <w:p w14:paraId="05680584">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21.</w:t>
      </w:r>
      <w:r>
        <w:rPr>
          <w:rFonts w:hint="eastAsia" w:ascii="宋体" w:hAnsi="宋体" w:cs="宋体"/>
          <w:b/>
          <w:color w:val="000000" w:themeColor="text1"/>
          <w:szCs w:val="21"/>
          <w:highlight w:val="none"/>
          <w14:textFill>
            <w14:solidFill>
              <w14:schemeClr w14:val="tx1"/>
            </w14:solidFill>
          </w14:textFill>
        </w:rPr>
        <w:t>响应文件</w:t>
      </w:r>
      <w:r>
        <w:rPr>
          <w:rFonts w:hint="eastAsia" w:ascii="宋体" w:hAnsi="宋体" w:cs="宋体"/>
          <w:b/>
          <w:bCs/>
          <w:color w:val="000000" w:themeColor="text1"/>
          <w:szCs w:val="21"/>
          <w:highlight w:val="none"/>
          <w14:textFill>
            <w14:solidFill>
              <w14:schemeClr w14:val="tx1"/>
            </w14:solidFill>
          </w14:textFill>
        </w:rPr>
        <w:t>的密封和标记</w:t>
      </w:r>
    </w:p>
    <w:p w14:paraId="7C94BD2F">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21.1 供应商应当按照磋商文件和电子招标投标交易平台的要求加密响应文件，具体要求见供应商须知前附表。</w:t>
      </w:r>
    </w:p>
    <w:p w14:paraId="6D7B80B2">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21.2 响应文件封套上应写明的内容见供应商须知前附表。</w:t>
      </w:r>
    </w:p>
    <w:p w14:paraId="659FB077">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22.响应文件的递交</w:t>
      </w:r>
    </w:p>
    <w:p w14:paraId="4CF694E5">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22.1供应商应当在供应商须知前附表规定的提交首次响应文件截止时间前，通过下载磋商文件的电子招标投标交易平台递交电子响应文件,供应商完成电子响应文件上传后，电子招标投标交易平台即时向供应商发出递交回执通知。递交时间以递交回执通知载明的传输完成时间为准。</w:t>
      </w:r>
    </w:p>
    <w:p w14:paraId="41354DFD">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22.2供应商通过下载磋商文件的电子招标投标交易平台递交电子响应文件。</w:t>
      </w:r>
    </w:p>
    <w:p w14:paraId="6D98B90E">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22.3在截止时间后送达的响应文件为无效文件，</w:t>
      </w:r>
      <w:r>
        <w:rPr>
          <w:rStyle w:val="27"/>
          <w:rFonts w:hint="eastAsia" w:ascii="宋体" w:hAnsi="宋体" w:cs="宋体"/>
          <w:color w:val="000000" w:themeColor="text1"/>
          <w:highlight w:val="none"/>
          <w14:textFill>
            <w14:solidFill>
              <w14:schemeClr w14:val="tx1"/>
            </w14:solidFill>
          </w14:textFill>
        </w:rPr>
        <w:t>电子招标投标交易平台将予以拒收</w:t>
      </w:r>
      <w:r>
        <w:rPr>
          <w:rStyle w:val="27"/>
          <w:rFonts w:hint="eastAsia" w:ascii="宋体" w:hAnsi="宋体" w:cs="宋体"/>
          <w:b/>
          <w:color w:val="000000" w:themeColor="text1"/>
          <w:highlight w:val="none"/>
          <w14:textFill>
            <w14:solidFill>
              <w14:schemeClr w14:val="tx1"/>
            </w14:solidFill>
          </w14:textFill>
        </w:rPr>
        <w:t>。</w:t>
      </w:r>
    </w:p>
    <w:p w14:paraId="4A9D79F3">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23.响应文件的</w:t>
      </w:r>
      <w:r>
        <w:rPr>
          <w:rFonts w:hint="eastAsia" w:ascii="宋体" w:hAnsi="宋体" w:cs="宋体"/>
          <w:b/>
          <w:color w:val="000000" w:themeColor="text1"/>
          <w:kern w:val="0"/>
          <w:szCs w:val="21"/>
          <w:highlight w:val="none"/>
          <w:lang w:val="zh-CN"/>
          <w14:textFill>
            <w14:solidFill>
              <w14:schemeClr w14:val="tx1"/>
            </w14:solidFill>
          </w14:textFill>
        </w:rPr>
        <w:t>补充、修改或者撤回</w:t>
      </w:r>
    </w:p>
    <w:p w14:paraId="5B0FC98D">
      <w:pPr>
        <w:pStyle w:val="10"/>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F92C149">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23.2供应商补充、修改或撤回已递交响应文件的通知，应按照本章第 20.3项的要求加盖电子印章。电子招标投标交易平台收到通知后，即时向供应商发出确认回执通知。</w:t>
      </w:r>
    </w:p>
    <w:p w14:paraId="46CB4146">
      <w:pPr>
        <w:adjustRightInd w:val="0"/>
        <w:snapToGrid w:val="0"/>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23.3补充、修改的响应文件应按照磋商文件的规定进行编制、密封、标记和递交，并标明“补充”、“修改”字样。</w:t>
      </w:r>
    </w:p>
    <w:p w14:paraId="454D7571">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73" w:name="_Toc14"/>
      <w:bookmarkStart w:id="74" w:name="_Toc18080"/>
      <w:r>
        <w:rPr>
          <w:rFonts w:hint="eastAsia" w:ascii="宋体" w:hAnsi="宋体" w:cs="宋体"/>
          <w:b/>
          <w:color w:val="000000" w:themeColor="text1"/>
          <w:sz w:val="24"/>
          <w:highlight w:val="none"/>
          <w14:textFill>
            <w14:solidFill>
              <w14:schemeClr w14:val="tx1"/>
            </w14:solidFill>
          </w14:textFill>
        </w:rPr>
        <w:t>五、信用查询</w:t>
      </w:r>
      <w:bookmarkEnd w:id="73"/>
      <w:bookmarkEnd w:id="74"/>
    </w:p>
    <w:p w14:paraId="01DB51B8">
      <w:pPr>
        <w:adjustRightInd w:val="0"/>
        <w:snapToGrid w:val="0"/>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24.供应商信用记录查询</w:t>
      </w:r>
    </w:p>
    <w:p w14:paraId="18FE980B">
      <w:pPr>
        <w:widowControl/>
        <w:wordWrap w:val="0"/>
        <w:spacing w:line="360" w:lineRule="auto"/>
        <w:ind w:firstLine="420" w:firstLineChars="200"/>
        <w:jc w:val="left"/>
        <w:rPr>
          <w:rFonts w:hint="eastAsia" w:ascii="宋体" w:hAnsi="宋体" w:eastAsia="宋体" w:cs="宋体"/>
          <w:i w:val="0"/>
          <w:caps w:val="0"/>
          <w:color w:val="auto"/>
          <w:spacing w:val="0"/>
          <w:sz w:val="21"/>
          <w:szCs w:val="21"/>
          <w:highlight w:val="none"/>
        </w:rPr>
      </w:pPr>
      <w:bookmarkStart w:id="75" w:name="_Toc22709"/>
      <w:bookmarkStart w:id="76" w:name="_Toc17327"/>
      <w:r>
        <w:rPr>
          <w:rFonts w:hint="eastAsia" w:ascii="宋体" w:hAnsi="宋体" w:eastAsia="宋体" w:cs="宋体"/>
          <w:i w:val="0"/>
          <w:caps w:val="0"/>
          <w:color w:val="auto"/>
          <w:spacing w:val="0"/>
          <w:sz w:val="21"/>
          <w:szCs w:val="21"/>
          <w:highlight w:val="none"/>
        </w:rPr>
        <w:t>根据《关于在政府采购活动中查询及使用信用记录有关问题的通知》(财库[2016]125号)和豫财购【2016】15号的规定，被“信用中国”网站列为失信被执行人、重大税收违法失信主体的（失信被执行人查询路径为信用中国首页→信用服务→失信被执行人→跳转至中国执行信息公开网→输入查询信息；重大税收违法失信主体查询路径为信用中国首页→信用服务→重大税收违法失信主体→输入查询信息），被“中国政府采购网”网站列入政府采购严重违法失信行为记录名单（处罚期限尚未届满的），不得参与本项目的政府采购活动。</w:t>
      </w:r>
    </w:p>
    <w:p w14:paraId="715ADD81">
      <w:pPr>
        <w:widowControl/>
        <w:wordWrap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caps w:val="0"/>
          <w:color w:val="auto"/>
          <w:spacing w:val="0"/>
          <w:sz w:val="21"/>
          <w:szCs w:val="21"/>
          <w:highlight w:val="none"/>
        </w:rPr>
        <w:t>注：采购代理机构在开标时将通过上述渠道对供应商进行信用查询，信用信息查询记录应当与采购文件一并保存；；</w:t>
      </w:r>
      <w:r>
        <w:rPr>
          <w:rFonts w:hint="eastAsia" w:ascii="宋体" w:hAnsi="宋体" w:cs="宋体"/>
          <w:color w:val="000000" w:themeColor="text1"/>
          <w:szCs w:val="21"/>
          <w:highlight w:val="none"/>
          <w14:textFill>
            <w14:solidFill>
              <w14:schemeClr w14:val="tx1"/>
            </w14:solidFill>
          </w14:textFill>
        </w:rPr>
        <w:t xml:space="preserve"> </w:t>
      </w:r>
    </w:p>
    <w:p w14:paraId="38467CE7">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77" w:name="_Toc21208"/>
      <w:r>
        <w:rPr>
          <w:rFonts w:hint="eastAsia" w:ascii="宋体" w:hAnsi="宋体" w:cs="宋体"/>
          <w:b/>
          <w:color w:val="000000" w:themeColor="text1"/>
          <w:sz w:val="24"/>
          <w:highlight w:val="none"/>
          <w14:textFill>
            <w14:solidFill>
              <w14:schemeClr w14:val="tx1"/>
            </w14:solidFill>
          </w14:textFill>
        </w:rPr>
        <w:t>六、评审</w:t>
      </w:r>
      <w:bookmarkEnd w:id="75"/>
      <w:r>
        <w:rPr>
          <w:rFonts w:hint="eastAsia" w:ascii="宋体" w:hAnsi="宋体" w:cs="宋体"/>
          <w:b/>
          <w:color w:val="000000" w:themeColor="text1"/>
          <w:sz w:val="24"/>
          <w:highlight w:val="none"/>
          <w14:textFill>
            <w14:solidFill>
              <w14:schemeClr w14:val="tx1"/>
            </w14:solidFill>
          </w14:textFill>
        </w:rPr>
        <w:t>、磋商</w:t>
      </w:r>
      <w:bookmarkEnd w:id="76"/>
      <w:bookmarkEnd w:id="77"/>
    </w:p>
    <w:p w14:paraId="2C8AFE04">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25.竞争性磋商小组</w:t>
      </w:r>
    </w:p>
    <w:p w14:paraId="13029B9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25.1竞争性磋商小组由采购人代表和评审专家共3人以上单数组成，其中评审专家人数不得少于竞争性磋商小组或者询价小组成员总数的2/3。采购人不得以评审专家身份参加本部门或本单位采购项目的评审。采购代理机构人员不得参加本机构代理的采购项目的评审。</w:t>
      </w:r>
    </w:p>
    <w:p w14:paraId="33B4D389">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采用竞争性磋商方式采购的政府采购项目，评审专家应当从政府采购评审专家库内相关专业的专家名单中随机抽取。技术复杂、专业性强的竞争性磋商采购项目，通过随机方式难以确定合适的评审专家的，经主管预算单位同意，可以自行选定评审专家。</w:t>
      </w:r>
    </w:p>
    <w:p w14:paraId="1CDB8C5F">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25.3磋商小组成员人数</w:t>
      </w:r>
      <w:r>
        <w:rPr>
          <w:rFonts w:hint="eastAsia" w:ascii="宋体" w:hAnsi="宋体" w:cs="宋体"/>
          <w:color w:val="000000" w:themeColor="text1"/>
          <w:spacing w:val="-2"/>
          <w:kern w:val="0"/>
          <w:szCs w:val="21"/>
          <w:highlight w:val="none"/>
          <w14:textFill>
            <w14:solidFill>
              <w14:schemeClr w14:val="tx1"/>
            </w14:solidFill>
          </w14:textFill>
        </w:rPr>
        <w:t>以</w:t>
      </w:r>
      <w:r>
        <w:rPr>
          <w:rFonts w:hint="eastAsia" w:ascii="宋体" w:hAnsi="宋体" w:cs="宋体"/>
          <w:color w:val="000000" w:themeColor="text1"/>
          <w:kern w:val="0"/>
          <w:szCs w:val="21"/>
          <w:highlight w:val="none"/>
          <w14:textFill>
            <w14:solidFill>
              <w14:schemeClr w14:val="tx1"/>
            </w14:solidFill>
          </w14:textFill>
        </w:rPr>
        <w:t>及技术</w:t>
      </w:r>
      <w:r>
        <w:rPr>
          <w:rFonts w:hint="eastAsia" w:ascii="宋体" w:hAnsi="宋体" w:cs="宋体"/>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经</w:t>
      </w:r>
      <w:r>
        <w:rPr>
          <w:rFonts w:hint="eastAsia" w:ascii="宋体" w:hAnsi="宋体" w:cs="宋体"/>
          <w:color w:val="000000" w:themeColor="text1"/>
          <w:spacing w:val="-2"/>
          <w:kern w:val="0"/>
          <w:szCs w:val="21"/>
          <w:highlight w:val="none"/>
          <w14:textFill>
            <w14:solidFill>
              <w14:schemeClr w14:val="tx1"/>
            </w14:solidFill>
          </w14:textFill>
        </w:rPr>
        <w:t>济</w:t>
      </w:r>
      <w:r>
        <w:rPr>
          <w:rFonts w:hint="eastAsia" w:ascii="宋体" w:hAnsi="宋体" w:cs="宋体"/>
          <w:color w:val="000000" w:themeColor="text1"/>
          <w:kern w:val="0"/>
          <w:szCs w:val="21"/>
          <w:highlight w:val="none"/>
          <w14:textFill>
            <w14:solidFill>
              <w14:schemeClr w14:val="tx1"/>
            </w14:solidFill>
          </w14:textFill>
        </w:rPr>
        <w:t>等</w:t>
      </w:r>
      <w:r>
        <w:rPr>
          <w:rFonts w:hint="eastAsia" w:ascii="宋体" w:hAnsi="宋体" w:cs="宋体"/>
          <w:color w:val="000000" w:themeColor="text1"/>
          <w:spacing w:val="-2"/>
          <w:kern w:val="0"/>
          <w:szCs w:val="21"/>
          <w:highlight w:val="none"/>
          <w14:textFill>
            <w14:solidFill>
              <w14:schemeClr w14:val="tx1"/>
            </w14:solidFill>
          </w14:textFill>
        </w:rPr>
        <w:t>方</w:t>
      </w:r>
      <w:r>
        <w:rPr>
          <w:rFonts w:hint="eastAsia" w:ascii="宋体" w:hAnsi="宋体" w:cs="宋体"/>
          <w:color w:val="000000" w:themeColor="text1"/>
          <w:kern w:val="0"/>
          <w:szCs w:val="21"/>
          <w:highlight w:val="none"/>
          <w14:textFill>
            <w14:solidFill>
              <w14:schemeClr w14:val="tx1"/>
            </w14:solidFill>
          </w14:textFill>
        </w:rPr>
        <w:t>面</w:t>
      </w:r>
      <w:r>
        <w:rPr>
          <w:rFonts w:hint="eastAsia" w:ascii="宋体" w:hAnsi="宋体" w:cs="宋体"/>
          <w:color w:val="000000" w:themeColor="text1"/>
          <w:spacing w:val="-2"/>
          <w:kern w:val="0"/>
          <w:szCs w:val="21"/>
          <w:highlight w:val="none"/>
          <w14:textFill>
            <w14:solidFill>
              <w14:schemeClr w14:val="tx1"/>
            </w14:solidFill>
          </w14:textFill>
        </w:rPr>
        <w:t>专</w:t>
      </w:r>
      <w:r>
        <w:rPr>
          <w:rFonts w:hint="eastAsia" w:ascii="宋体" w:hAnsi="宋体" w:cs="宋体"/>
          <w:color w:val="000000" w:themeColor="text1"/>
          <w:kern w:val="0"/>
          <w:szCs w:val="21"/>
          <w:highlight w:val="none"/>
          <w14:textFill>
            <w14:solidFill>
              <w14:schemeClr w14:val="tx1"/>
            </w14:solidFill>
          </w14:textFill>
        </w:rPr>
        <w:t>家</w:t>
      </w:r>
      <w:r>
        <w:rPr>
          <w:rFonts w:hint="eastAsia" w:ascii="宋体" w:hAnsi="宋体" w:cs="宋体"/>
          <w:color w:val="000000" w:themeColor="text1"/>
          <w:spacing w:val="-2"/>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确定</w:t>
      </w:r>
      <w:r>
        <w:rPr>
          <w:rFonts w:hint="eastAsia" w:ascii="宋体" w:hAnsi="宋体" w:cs="宋体"/>
          <w:color w:val="000000" w:themeColor="text1"/>
          <w:spacing w:val="-2"/>
          <w:kern w:val="0"/>
          <w:szCs w:val="21"/>
          <w:highlight w:val="none"/>
          <w14:textFill>
            <w14:solidFill>
              <w14:schemeClr w14:val="tx1"/>
            </w14:solidFill>
          </w14:textFill>
        </w:rPr>
        <w:t>方</w:t>
      </w:r>
      <w:r>
        <w:rPr>
          <w:rFonts w:hint="eastAsia" w:ascii="宋体" w:hAnsi="宋体" w:cs="宋体"/>
          <w:color w:val="000000" w:themeColor="text1"/>
          <w:kern w:val="0"/>
          <w:szCs w:val="21"/>
          <w:highlight w:val="none"/>
          <w14:textFill>
            <w14:solidFill>
              <w14:schemeClr w14:val="tx1"/>
            </w14:solidFill>
          </w14:textFill>
        </w:rPr>
        <w:t>式</w:t>
      </w:r>
      <w:r>
        <w:rPr>
          <w:rFonts w:hint="eastAsia" w:ascii="宋体" w:hAnsi="宋体" w:cs="宋体"/>
          <w:color w:val="000000" w:themeColor="text1"/>
          <w:spacing w:val="-2"/>
          <w:kern w:val="0"/>
          <w:szCs w:val="21"/>
          <w:highlight w:val="none"/>
          <w14:textFill>
            <w14:solidFill>
              <w14:schemeClr w14:val="tx1"/>
            </w14:solidFill>
          </w14:textFill>
        </w:rPr>
        <w:t>见</w:t>
      </w:r>
      <w:r>
        <w:rPr>
          <w:rFonts w:hint="eastAsia" w:ascii="宋体" w:hAnsi="宋体" w:cs="宋体"/>
          <w:color w:val="000000" w:themeColor="text1"/>
          <w:kern w:val="0"/>
          <w:szCs w:val="21"/>
          <w:highlight w:val="none"/>
          <w14:textFill>
            <w14:solidFill>
              <w14:schemeClr w14:val="tx1"/>
            </w14:solidFill>
          </w14:textFill>
        </w:rPr>
        <w:t>供应商</w:t>
      </w:r>
      <w:r>
        <w:rPr>
          <w:rFonts w:hint="eastAsia" w:ascii="宋体" w:hAnsi="宋体" w:cs="宋体"/>
          <w:color w:val="000000" w:themeColor="text1"/>
          <w:spacing w:val="-2"/>
          <w:kern w:val="0"/>
          <w:szCs w:val="21"/>
          <w:highlight w:val="none"/>
          <w14:textFill>
            <w14:solidFill>
              <w14:schemeClr w14:val="tx1"/>
            </w14:solidFill>
          </w14:textFill>
        </w:rPr>
        <w:t>须</w:t>
      </w:r>
      <w:r>
        <w:rPr>
          <w:rFonts w:hint="eastAsia" w:ascii="宋体" w:hAnsi="宋体" w:cs="宋体"/>
          <w:color w:val="000000" w:themeColor="text1"/>
          <w:kern w:val="0"/>
          <w:szCs w:val="21"/>
          <w:highlight w:val="none"/>
          <w14:textFill>
            <w14:solidFill>
              <w14:schemeClr w14:val="tx1"/>
            </w14:solidFill>
          </w14:textFill>
        </w:rPr>
        <w:t>知</w:t>
      </w:r>
      <w:r>
        <w:rPr>
          <w:rFonts w:hint="eastAsia" w:ascii="宋体" w:hAnsi="宋体" w:cs="宋体"/>
          <w:color w:val="000000" w:themeColor="text1"/>
          <w:spacing w:val="-2"/>
          <w:kern w:val="0"/>
          <w:szCs w:val="21"/>
          <w:highlight w:val="none"/>
          <w14:textFill>
            <w14:solidFill>
              <w14:schemeClr w14:val="tx1"/>
            </w14:solidFill>
          </w14:textFill>
        </w:rPr>
        <w:t>前</w:t>
      </w:r>
      <w:r>
        <w:rPr>
          <w:rFonts w:hint="eastAsia" w:ascii="宋体" w:hAnsi="宋体" w:cs="宋体"/>
          <w:color w:val="000000" w:themeColor="text1"/>
          <w:kern w:val="0"/>
          <w:szCs w:val="21"/>
          <w:highlight w:val="none"/>
          <w14:textFill>
            <w14:solidFill>
              <w14:schemeClr w14:val="tx1"/>
            </w14:solidFill>
          </w14:textFill>
        </w:rPr>
        <w:t>附表。</w:t>
      </w:r>
    </w:p>
    <w:p w14:paraId="2226D8B6">
      <w:pPr>
        <w:adjustRightInd w:val="0"/>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 xml:space="preserve">25.4 </w:t>
      </w:r>
      <w:r>
        <w:rPr>
          <w:rFonts w:hint="eastAsia" w:hAnsi="宋体" w:cs="宋体"/>
          <w:color w:val="000000" w:themeColor="text1"/>
          <w:kern w:val="0"/>
          <w:szCs w:val="21"/>
          <w:highlight w:val="none"/>
          <w14:textFill>
            <w14:solidFill>
              <w14:schemeClr w14:val="tx1"/>
            </w14:solidFill>
          </w14:textFill>
        </w:rPr>
        <w:t>评标委员会推荐中标候选人的人数</w:t>
      </w:r>
      <w:r>
        <w:rPr>
          <w:rFonts w:hint="eastAsia" w:ascii="宋体" w:hAnsi="宋体" w:cs="宋体"/>
          <w:color w:val="000000" w:themeColor="text1"/>
          <w:spacing w:val="-2"/>
          <w:kern w:val="0"/>
          <w:szCs w:val="21"/>
          <w:highlight w:val="none"/>
          <w14:textFill>
            <w14:solidFill>
              <w14:schemeClr w14:val="tx1"/>
            </w14:solidFill>
          </w14:textFill>
        </w:rPr>
        <w:t>见</w:t>
      </w:r>
      <w:r>
        <w:rPr>
          <w:rFonts w:hint="eastAsia" w:ascii="宋体" w:hAnsi="宋体" w:cs="宋体"/>
          <w:color w:val="000000" w:themeColor="text1"/>
          <w:kern w:val="0"/>
          <w:szCs w:val="21"/>
          <w:highlight w:val="none"/>
          <w14:textFill>
            <w14:solidFill>
              <w14:schemeClr w14:val="tx1"/>
            </w14:solidFill>
          </w14:textFill>
        </w:rPr>
        <w:t>供应商</w:t>
      </w:r>
      <w:r>
        <w:rPr>
          <w:rFonts w:hint="eastAsia" w:ascii="宋体" w:hAnsi="宋体" w:cs="宋体"/>
          <w:color w:val="000000" w:themeColor="text1"/>
          <w:spacing w:val="-2"/>
          <w:kern w:val="0"/>
          <w:szCs w:val="21"/>
          <w:highlight w:val="none"/>
          <w14:textFill>
            <w14:solidFill>
              <w14:schemeClr w14:val="tx1"/>
            </w14:solidFill>
          </w14:textFill>
        </w:rPr>
        <w:t>须</w:t>
      </w:r>
      <w:r>
        <w:rPr>
          <w:rFonts w:hint="eastAsia" w:ascii="宋体" w:hAnsi="宋体" w:cs="宋体"/>
          <w:color w:val="000000" w:themeColor="text1"/>
          <w:kern w:val="0"/>
          <w:szCs w:val="21"/>
          <w:highlight w:val="none"/>
          <w14:textFill>
            <w14:solidFill>
              <w14:schemeClr w14:val="tx1"/>
            </w14:solidFill>
          </w14:textFill>
        </w:rPr>
        <w:t>知</w:t>
      </w:r>
      <w:r>
        <w:rPr>
          <w:rFonts w:hint="eastAsia" w:ascii="宋体" w:hAnsi="宋体" w:cs="宋体"/>
          <w:color w:val="000000" w:themeColor="text1"/>
          <w:spacing w:val="-2"/>
          <w:kern w:val="0"/>
          <w:szCs w:val="21"/>
          <w:highlight w:val="none"/>
          <w14:textFill>
            <w14:solidFill>
              <w14:schemeClr w14:val="tx1"/>
            </w14:solidFill>
          </w14:textFill>
        </w:rPr>
        <w:t>前</w:t>
      </w:r>
      <w:r>
        <w:rPr>
          <w:rFonts w:hint="eastAsia" w:ascii="宋体" w:hAnsi="宋体" w:cs="宋体"/>
          <w:color w:val="000000" w:themeColor="text1"/>
          <w:kern w:val="0"/>
          <w:szCs w:val="21"/>
          <w:highlight w:val="none"/>
          <w14:textFill>
            <w14:solidFill>
              <w14:schemeClr w14:val="tx1"/>
            </w14:solidFill>
          </w14:textFill>
        </w:rPr>
        <w:t>附表。</w:t>
      </w:r>
    </w:p>
    <w:p w14:paraId="3A790A8F">
      <w:pPr>
        <w:pStyle w:val="20"/>
        <w:ind w:left="0" w:leftChars="0" w:firstLine="420" w:firstLineChars="200"/>
        <w:rPr>
          <w:rFonts w:hint="default" w:eastAsia="宋体"/>
          <w:lang w:val="en-US" w:eastAsia="zh-CN"/>
        </w:rPr>
      </w:pPr>
      <w:r>
        <w:rPr>
          <w:rFonts w:hint="eastAsia" w:ascii="宋体" w:hAnsi="宋体" w:cs="宋体"/>
          <w:color w:val="000000" w:themeColor="text1"/>
          <w:kern w:val="0"/>
          <w:szCs w:val="21"/>
          <w:highlight w:val="none"/>
          <w:lang w:val="en-US" w:eastAsia="zh-CN"/>
          <w14:textFill>
            <w14:solidFill>
              <w14:schemeClr w14:val="tx1"/>
            </w14:solidFill>
          </w14:textFill>
        </w:rPr>
        <w:t xml:space="preserve">25.5 </w:t>
      </w:r>
      <w:r>
        <w:rPr>
          <w:rFonts w:hint="eastAsia" w:hAnsi="宋体" w:cs="宋体"/>
          <w:color w:val="000000" w:themeColor="text1"/>
          <w:kern w:val="0"/>
          <w:szCs w:val="21"/>
          <w:highlight w:val="none"/>
          <w14:textFill>
            <w14:solidFill>
              <w14:schemeClr w14:val="tx1"/>
            </w14:solidFill>
          </w14:textFill>
        </w:rPr>
        <w:t>是否授权评标委员会确定</w:t>
      </w:r>
      <w:r>
        <w:rPr>
          <w:rFonts w:hint="eastAsia" w:hAnsi="宋体" w:cs="宋体"/>
          <w:color w:val="000000" w:themeColor="text1"/>
          <w:kern w:val="0"/>
          <w:szCs w:val="21"/>
          <w:highlight w:val="none"/>
          <w:lang w:eastAsia="zh-CN"/>
          <w14:textFill>
            <w14:solidFill>
              <w14:schemeClr w14:val="tx1"/>
            </w14:solidFill>
          </w14:textFill>
        </w:rPr>
        <w:t>成交</w:t>
      </w:r>
      <w:r>
        <w:rPr>
          <w:rFonts w:hint="eastAsia" w:hAnsi="宋体" w:cs="宋体"/>
          <w:color w:val="000000" w:themeColor="text1"/>
          <w:kern w:val="0"/>
          <w:szCs w:val="21"/>
          <w:highlight w:val="none"/>
          <w14:textFill>
            <w14:solidFill>
              <w14:schemeClr w14:val="tx1"/>
            </w14:solidFill>
          </w14:textFill>
        </w:rPr>
        <w:t>人</w:t>
      </w:r>
      <w:r>
        <w:rPr>
          <w:rFonts w:hint="eastAsia" w:ascii="宋体" w:hAnsi="宋体" w:cs="宋体"/>
          <w:color w:val="000000" w:themeColor="text1"/>
          <w:spacing w:val="-2"/>
          <w:kern w:val="0"/>
          <w:szCs w:val="21"/>
          <w:highlight w:val="none"/>
          <w14:textFill>
            <w14:solidFill>
              <w14:schemeClr w14:val="tx1"/>
            </w14:solidFill>
          </w14:textFill>
        </w:rPr>
        <w:t>见</w:t>
      </w:r>
      <w:r>
        <w:rPr>
          <w:rFonts w:hint="eastAsia" w:ascii="宋体" w:hAnsi="宋体" w:cs="宋体"/>
          <w:color w:val="000000" w:themeColor="text1"/>
          <w:kern w:val="0"/>
          <w:szCs w:val="21"/>
          <w:highlight w:val="none"/>
          <w14:textFill>
            <w14:solidFill>
              <w14:schemeClr w14:val="tx1"/>
            </w14:solidFill>
          </w14:textFill>
        </w:rPr>
        <w:t>供应商</w:t>
      </w:r>
      <w:r>
        <w:rPr>
          <w:rFonts w:hint="eastAsia" w:ascii="宋体" w:hAnsi="宋体" w:cs="宋体"/>
          <w:color w:val="000000" w:themeColor="text1"/>
          <w:spacing w:val="-2"/>
          <w:kern w:val="0"/>
          <w:szCs w:val="21"/>
          <w:highlight w:val="none"/>
          <w14:textFill>
            <w14:solidFill>
              <w14:schemeClr w14:val="tx1"/>
            </w14:solidFill>
          </w14:textFill>
        </w:rPr>
        <w:t>须</w:t>
      </w:r>
      <w:r>
        <w:rPr>
          <w:rFonts w:hint="eastAsia" w:ascii="宋体" w:hAnsi="宋体" w:cs="宋体"/>
          <w:color w:val="000000" w:themeColor="text1"/>
          <w:kern w:val="0"/>
          <w:szCs w:val="21"/>
          <w:highlight w:val="none"/>
          <w14:textFill>
            <w14:solidFill>
              <w14:schemeClr w14:val="tx1"/>
            </w14:solidFill>
          </w14:textFill>
        </w:rPr>
        <w:t>知</w:t>
      </w:r>
      <w:r>
        <w:rPr>
          <w:rFonts w:hint="eastAsia" w:ascii="宋体" w:hAnsi="宋体" w:cs="宋体"/>
          <w:color w:val="000000" w:themeColor="text1"/>
          <w:spacing w:val="-2"/>
          <w:kern w:val="0"/>
          <w:szCs w:val="21"/>
          <w:highlight w:val="none"/>
          <w14:textFill>
            <w14:solidFill>
              <w14:schemeClr w14:val="tx1"/>
            </w14:solidFill>
          </w14:textFill>
        </w:rPr>
        <w:t>前</w:t>
      </w:r>
      <w:r>
        <w:rPr>
          <w:rFonts w:hint="eastAsia" w:ascii="宋体" w:hAnsi="宋体" w:cs="宋体"/>
          <w:color w:val="000000" w:themeColor="text1"/>
          <w:kern w:val="0"/>
          <w:szCs w:val="21"/>
          <w:highlight w:val="none"/>
          <w14:textFill>
            <w14:solidFill>
              <w14:schemeClr w14:val="tx1"/>
            </w14:solidFill>
          </w14:textFill>
        </w:rPr>
        <w:t>附表。</w:t>
      </w:r>
    </w:p>
    <w:p w14:paraId="5B53A63A">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竞争性磋商小组在采购活动过程中应当履行下列职责：</w:t>
      </w:r>
    </w:p>
    <w:p w14:paraId="14738D8F">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（1）从符合相应资格条件的供应商名单中确定不少于3家的供应商参加磋商；</w:t>
      </w:r>
    </w:p>
    <w:p w14:paraId="2032D938">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（2）审查供应商的响应文件并作出评价；</w:t>
      </w:r>
    </w:p>
    <w:p w14:paraId="6912BF09">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（3）要求供应商解释或者澄清其响应文件；</w:t>
      </w:r>
    </w:p>
    <w:p w14:paraId="44583160">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（4）编写评审报告；</w:t>
      </w:r>
    </w:p>
    <w:p w14:paraId="446ECF2C">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（5）告知采购人、采购代理机构在评审过程中发现的供应商的违法违规行为。</w:t>
      </w:r>
    </w:p>
    <w:p w14:paraId="3B61C20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竞争性磋商小组成员应当履行下列义务：</w:t>
      </w:r>
    </w:p>
    <w:p w14:paraId="1D54B065">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（1）遵纪守法，客观、公正、廉洁地履行职责；</w:t>
      </w:r>
    </w:p>
    <w:p w14:paraId="2CDBD3F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（2）根据采购文件的规定独立进行评审，对个人的评审意见承担法律责任；</w:t>
      </w:r>
    </w:p>
    <w:p w14:paraId="7D2F9AE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（3）参与评审报告的起草；</w:t>
      </w:r>
    </w:p>
    <w:p w14:paraId="33CDD1C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（4）配合采购人、采购代理机构答复供应商提出的质疑；</w:t>
      </w:r>
    </w:p>
    <w:p w14:paraId="6A71341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（5）配合财政部门的投诉处理和监督检查工作。</w:t>
      </w:r>
    </w:p>
    <w:p w14:paraId="561E8ABD">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保密</w:t>
      </w:r>
    </w:p>
    <w:p w14:paraId="2B1AD409">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磋商小组成员以及与评审工作有关的人员不得泄露评审情况以及评审过程中获悉的国家秘密、商业秘密。</w:t>
      </w:r>
    </w:p>
    <w:p w14:paraId="74EA36C6">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26.评审、磋商</w:t>
      </w:r>
    </w:p>
    <w:p w14:paraId="4DFD8A0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26.1（B）供应商在供应商须知前附表规定的时间解密响应文件。</w:t>
      </w:r>
    </w:p>
    <w:p w14:paraId="06B1A226">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竞争性磋商小组成员应当按照客观、公正、审慎的原则，根据采购文件第三章规定的评审程序、评审方法和评审标准进行独立评审。未实质性响应磋商文件的响应文件按无效响应处理，磋商小组应当告知提交响应文件的供应商。</w:t>
      </w:r>
    </w:p>
    <w:p w14:paraId="0E3264D9">
      <w:pPr>
        <w:adjustRightInd w:val="0"/>
        <w:snapToGrid w:val="0"/>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26.3评审报告签署后，采购人或者采购代理机构将对以下情形之进行复核，采购人或者采购代理机构发现存在以下情形之一的，应当组织原磋商小组进行重新评审，重新评审改变评审结果</w:t>
      </w:r>
      <w:r>
        <w:rPr>
          <w:rFonts w:hint="eastAsia" w:ascii="宋体" w:hAnsi="宋体" w:cs="宋体"/>
          <w:color w:val="auto"/>
          <w:szCs w:val="21"/>
          <w:highlight w:val="none"/>
          <w:lang w:val="en-US" w:eastAsia="zh-CN"/>
        </w:rPr>
        <w:t>的</w:t>
      </w:r>
      <w:r>
        <w:rPr>
          <w:rFonts w:hint="default" w:ascii="宋体" w:hAnsi="宋体" w:cs="宋体"/>
          <w:color w:val="auto"/>
          <w:szCs w:val="21"/>
          <w:highlight w:val="none"/>
          <w:lang w:val="en-US" w:eastAsia="zh-CN"/>
        </w:rPr>
        <w:t>，书面报告本级财政部门，评审结果汇总完成后，除下列情形外，任何人不得修改评审结果:</w:t>
      </w:r>
    </w:p>
    <w:p w14:paraId="3A181E05">
      <w:pPr>
        <w:adjustRightInd w:val="0"/>
        <w:snapToGrid w:val="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资格性检查认定错误的;</w:t>
      </w:r>
    </w:p>
    <w:p w14:paraId="0B97AEBF">
      <w:pPr>
        <w:adjustRightInd w:val="0"/>
        <w:snapToGrid w:val="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val="en-US" w:eastAsia="zh-CN"/>
        </w:rPr>
        <w:t>分值汇总计算错误的;</w:t>
      </w:r>
    </w:p>
    <w:p w14:paraId="5B268392">
      <w:pPr>
        <w:adjustRightInd w:val="0"/>
        <w:snapToGrid w:val="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default" w:ascii="宋体" w:hAnsi="宋体" w:cs="宋体"/>
          <w:color w:val="auto"/>
          <w:szCs w:val="21"/>
          <w:highlight w:val="none"/>
          <w:lang w:val="en-US" w:eastAsia="zh-CN"/>
        </w:rPr>
        <w:t>分项评分超出评分标准范围的:</w:t>
      </w:r>
    </w:p>
    <w:p w14:paraId="0FE1CC6C">
      <w:pPr>
        <w:adjustRightInd w:val="0"/>
        <w:snapToGrid w:val="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default" w:ascii="宋体" w:hAnsi="宋体" w:cs="宋体"/>
          <w:color w:val="auto"/>
          <w:szCs w:val="21"/>
          <w:highlight w:val="none"/>
          <w:lang w:val="en-US" w:eastAsia="zh-CN"/>
        </w:rPr>
        <w:t>客观分评分不一致的;</w:t>
      </w:r>
    </w:p>
    <w:p w14:paraId="21F33592">
      <w:pPr>
        <w:adjustRightInd w:val="0"/>
        <w:snapToGrid w:val="0"/>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default" w:ascii="宋体" w:hAnsi="宋体" w:cs="宋体"/>
          <w:color w:val="auto"/>
          <w:szCs w:val="21"/>
          <w:highlight w:val="none"/>
          <w:lang w:val="en-US" w:eastAsia="zh-CN"/>
        </w:rPr>
        <w:t>经磋商小组一致认定评分畸高、畸低的:</w:t>
      </w:r>
    </w:p>
    <w:p w14:paraId="7AC02E69">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27.成交无效</w:t>
      </w:r>
    </w:p>
    <w:p w14:paraId="29D7935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供应商有下列情形之一的，中标、成交无效：</w:t>
      </w:r>
    </w:p>
    <w:p w14:paraId="015400D2">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（1）提供虚假材料谋取中标或成交的；</w:t>
      </w:r>
    </w:p>
    <w:p w14:paraId="01327BF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（2）采取不正当手段诋毁、排挤其他供应商的；</w:t>
      </w:r>
    </w:p>
    <w:p w14:paraId="7C7E1282">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（3）与采购人、其他供应商或者采购代理机构恶意串通的；</w:t>
      </w:r>
    </w:p>
    <w:p w14:paraId="21A3E56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（4）向采购人、采购代理机构行贿或者提供其他不正当利益的；</w:t>
      </w:r>
    </w:p>
    <w:p w14:paraId="101CA88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（5）在招标采购过程中与采购人进行协商磋商的。</w:t>
      </w:r>
    </w:p>
    <w:p w14:paraId="7E8A98D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（6）向评标委员会、竞争性</w:t>
      </w:r>
      <w:r>
        <w:rPr>
          <w:rFonts w:hint="eastAsia" w:ascii="宋体" w:hAnsi="宋体" w:cs="宋体"/>
          <w:color w:val="000000" w:themeColor="text1"/>
          <w:szCs w:val="21"/>
          <w:highlight w:val="none"/>
          <w:lang w:eastAsia="zh-CN"/>
          <w14:textFill>
            <w14:solidFill>
              <w14:schemeClr w14:val="tx1"/>
            </w14:solidFill>
          </w14:textFill>
        </w:rPr>
        <w:t>磋商</w:t>
      </w:r>
      <w:r>
        <w:rPr>
          <w:rFonts w:hint="eastAsia" w:ascii="宋体" w:hAnsi="宋体" w:cs="宋体"/>
          <w:color w:val="000000" w:themeColor="text1"/>
          <w:szCs w:val="21"/>
          <w:highlight w:val="none"/>
          <w14:textFill>
            <w14:solidFill>
              <w14:schemeClr w14:val="tx1"/>
            </w14:solidFill>
          </w14:textFill>
        </w:rPr>
        <w:t>小组或者询价小组成员行贿或者提供其他不正当利益。</w:t>
      </w:r>
    </w:p>
    <w:p w14:paraId="376515D0">
      <w:pPr>
        <w:adjustRightInd w:val="0"/>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（7）公共资源交易平台开评标系统雷同性分析中显示不同供应商的投标(响应)文件制作机器相同的。</w:t>
      </w:r>
    </w:p>
    <w:p w14:paraId="61862909">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在此情况下，报经同级政府采购管理部门批准，可将合同授予下一顺位中标、成交候选人，或者重新组织采购。</w:t>
      </w:r>
    </w:p>
    <w:p w14:paraId="42FC06E3">
      <w:pPr>
        <w:adjustRightInd w:val="0"/>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bookmarkStart w:id="78" w:name="_Toc31656"/>
      <w:bookmarkStart w:id="79" w:name="_Toc9658"/>
      <w:r>
        <w:rPr>
          <w:rFonts w:hint="eastAsia" w:ascii="宋体" w:hAnsi="宋体" w:cs="宋体"/>
          <w:b/>
          <w:color w:val="000000" w:themeColor="text1"/>
          <w:sz w:val="24"/>
          <w:highlight w:val="none"/>
          <w14:textFill>
            <w14:solidFill>
              <w14:schemeClr w14:val="tx1"/>
            </w14:solidFill>
          </w14:textFill>
        </w:rPr>
        <w:t>七、合同授予</w:t>
      </w:r>
      <w:bookmarkEnd w:id="78"/>
      <w:bookmarkEnd w:id="79"/>
    </w:p>
    <w:p w14:paraId="76261563">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28. 确定成交供应商</w:t>
      </w:r>
    </w:p>
    <w:p w14:paraId="18F755A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28.1采购代理机构应当在评审结束后2个工作日内将评审报告送采购人确认。</w:t>
      </w:r>
    </w:p>
    <w:p w14:paraId="257AB3C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BBA414">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28.3成交供应商拒绝签订政府采购合同的，采购人可以按照28.2规定的原则确定其他供应商作为成交供应商并签订政府采购合同，也可以重新开展采购活动。拒绝签订政府采购合同的成交供应商不得参加对该项目重新开展的采购活动。</w:t>
      </w:r>
    </w:p>
    <w:p w14:paraId="23C7D2E8">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29.成交通知和成交结果公告</w:t>
      </w:r>
    </w:p>
    <w:p w14:paraId="30D78275">
      <w:pPr>
        <w:autoSpaceDE w:val="0"/>
        <w:autoSpaceDN w:val="0"/>
        <w:adjustRightInd w:val="0"/>
        <w:spacing w:line="360" w:lineRule="auto"/>
        <w:ind w:left="100" w:right="40"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采购人或者采购代理机构应当自中标、成交供应商确定之日起2个工作日内，发出中标、成交通知书，并在原公告发布媒体上公告中标、成交结果。</w:t>
      </w:r>
    </w:p>
    <w:p w14:paraId="5DADFD4A">
      <w:pPr>
        <w:autoSpaceDE w:val="0"/>
        <w:autoSpaceDN w:val="0"/>
        <w:adjustRightInd w:val="0"/>
        <w:spacing w:line="360" w:lineRule="auto"/>
        <w:ind w:left="100" w:right="40"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中标、成交公告期限为1个工作日。</w:t>
      </w:r>
    </w:p>
    <w:p w14:paraId="58DC8E49">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30.履约保证金</w:t>
      </w:r>
    </w:p>
    <w:p w14:paraId="1593C615">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 在签订合同前，成交供应商应按供应商须知前附表规定的形式、金额或者事先经过采购人书面认可的履约保证金格式向采购人提交履约保证金。除供应商须知前附表另有规定外，履约保证金为成交合同金额的10%。成交供应商为联合体的，其履约保证金以联合体各方或者联合体中牵头人的名义提交。</w:t>
      </w:r>
    </w:p>
    <w:p w14:paraId="666F0F6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30.2 成交供应商不能按本章第30.1项要求提交履约保证金的，视为放弃成交，其保证金不予退还，给采购人造成的损失超过保证金数额的，成交供应商还应当对超过部分予以赔偿。</w:t>
      </w:r>
    </w:p>
    <w:p w14:paraId="4FE051B5">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31.签订合同</w:t>
      </w:r>
    </w:p>
    <w:p w14:paraId="0AA242F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采购人与成交供应商应当在成交通知书发出之日起30日内，按照采购文件确定的合同文本以及采购标的、规格型号、采购金额、采购数量、技术和服务要求等事项签订政府采购合同。</w:t>
      </w:r>
    </w:p>
    <w:p w14:paraId="4DA8470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290E5F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除不可抗力等因素外，成交通知书发出后，采购人改变成交结果，或者成交供应商拒绝签订政府采购合同的，应当承担相应的法律责任。</w:t>
      </w:r>
    </w:p>
    <w:p w14:paraId="3F06BAF4">
      <w:pPr>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32.采购资金的支付</w:t>
      </w:r>
    </w:p>
    <w:p w14:paraId="53D21B07">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采购人应当按照政府采购合同规定，及时向中标或者成交供应商支付采购资金。</w:t>
      </w:r>
    </w:p>
    <w:p w14:paraId="4655F79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政府采购项目资金支付程序，按照国家有关财政资金支付管理的规定执行。</w:t>
      </w:r>
    </w:p>
    <w:p w14:paraId="290B3C29">
      <w:pPr>
        <w:tabs>
          <w:tab w:val="left" w:pos="0"/>
        </w:tabs>
        <w:adjustRightInd w:val="0"/>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33.履约验收</w:t>
      </w:r>
    </w:p>
    <w:p w14:paraId="240C400C">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w:t>
      </w:r>
    </w:p>
    <w:p w14:paraId="75F26FF1">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政府向社会公众提供的公共服务项目，验收时应当邀请服务对象参与并出具意见，验收结果应当向社会公告。</w:t>
      </w:r>
    </w:p>
    <w:p w14:paraId="53948647">
      <w:pPr>
        <w:tabs>
          <w:tab w:val="left" w:pos="0"/>
        </w:tabs>
        <w:adjustRightInd w:val="0"/>
        <w:snapToGrid w:val="0"/>
        <w:spacing w:line="33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34.采购终止</w:t>
      </w:r>
    </w:p>
    <w:p w14:paraId="22781EBA">
      <w:pPr>
        <w:adjustRightInd w:val="0"/>
        <w:snapToGrid w:val="0"/>
        <w:spacing w:line="336" w:lineRule="auto"/>
        <w:ind w:firstLine="42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出现下列情形之一的，采购人或者采购代理机构应当终止竞争性磋商采购活动，发布项目终止公告并说明原因，重新开展采购活动：</w:t>
      </w:r>
    </w:p>
    <w:p w14:paraId="10191239">
      <w:pPr>
        <w:adjustRightInd w:val="0"/>
        <w:snapToGrid w:val="0"/>
        <w:spacing w:line="336" w:lineRule="auto"/>
        <w:ind w:firstLine="42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（一）因情况变化，不再符合规定的竞争性磋商采购方式适用情形的；</w:t>
      </w:r>
    </w:p>
    <w:p w14:paraId="70D36356">
      <w:pPr>
        <w:adjustRightInd w:val="0"/>
        <w:snapToGrid w:val="0"/>
        <w:spacing w:line="336" w:lineRule="auto"/>
        <w:ind w:firstLine="42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（二）出现影响采购公正的违法、违规行为的；</w:t>
      </w:r>
    </w:p>
    <w:p w14:paraId="589FAB2C">
      <w:pPr>
        <w:adjustRightInd w:val="0"/>
        <w:snapToGrid w:val="0"/>
        <w:spacing w:line="336" w:lineRule="auto"/>
        <w:ind w:firstLine="420" w:firstLineChars="200"/>
        <w:rPr>
          <w:rFonts w:ascii="宋体" w:hAnsi="宋体" w:cs="宋体"/>
          <w:color w:val="000000" w:themeColor="text1"/>
          <w:sz w:val="19"/>
          <w:szCs w:val="19"/>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w:t>
      </w:r>
      <w:r>
        <w:rPr>
          <w:rFonts w:hint="eastAsia" w:ascii="宋体" w:hAnsi="宋体" w:cs="宋体"/>
          <w:color w:val="000000" w:themeColor="text1"/>
          <w:sz w:val="19"/>
          <w:szCs w:val="19"/>
          <w:highlight w:val="none"/>
          <w14:textFill>
            <w14:solidFill>
              <w14:schemeClr w14:val="tx1"/>
            </w14:solidFill>
          </w14:textFill>
        </w:rPr>
        <w:t>因重大变故，采购任务取消的；</w:t>
      </w:r>
    </w:p>
    <w:p w14:paraId="36547075">
      <w:pPr>
        <w:adjustRightInd w:val="0"/>
        <w:snapToGrid w:val="0"/>
        <w:spacing w:line="336"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（四）在采购过程中符合竞争要求的供应商或者报价未超过采购预算的供应商不足3家的，但《政府采购竞争性磋商采购方式管理暂行办法》（财库〔2014〕214号）第三条第四项规定的情形除外。</w:t>
      </w:r>
    </w:p>
    <w:p w14:paraId="679B8541">
      <w:pPr>
        <w:adjustRightInd w:val="0"/>
        <w:snapToGrid w:val="0"/>
        <w:spacing w:line="336" w:lineRule="auto"/>
        <w:jc w:val="center"/>
        <w:outlineLvl w:val="1"/>
        <w:rPr>
          <w:rFonts w:ascii="宋体" w:hAnsi="宋体" w:cs="宋体"/>
          <w:b/>
          <w:color w:val="000000" w:themeColor="text1"/>
          <w:sz w:val="24"/>
          <w:highlight w:val="none"/>
          <w14:textFill>
            <w14:solidFill>
              <w14:schemeClr w14:val="tx1"/>
            </w14:solidFill>
          </w14:textFill>
        </w:rPr>
      </w:pPr>
      <w:bookmarkStart w:id="80" w:name="_Toc15459"/>
      <w:bookmarkStart w:id="81" w:name="_Toc3871"/>
      <w:r>
        <w:rPr>
          <w:rFonts w:hint="eastAsia" w:ascii="宋体" w:hAnsi="宋体" w:cs="宋体"/>
          <w:b/>
          <w:color w:val="000000" w:themeColor="text1"/>
          <w:sz w:val="24"/>
          <w:highlight w:val="none"/>
          <w14:textFill>
            <w14:solidFill>
              <w14:schemeClr w14:val="tx1"/>
            </w14:solidFill>
          </w14:textFill>
        </w:rPr>
        <w:t>八、纪律和监督</w:t>
      </w:r>
      <w:bookmarkEnd w:id="80"/>
      <w:bookmarkEnd w:id="81"/>
    </w:p>
    <w:p w14:paraId="7E4395E6">
      <w:pPr>
        <w:tabs>
          <w:tab w:val="left" w:pos="0"/>
        </w:tabs>
        <w:adjustRightInd w:val="0"/>
        <w:snapToGrid w:val="0"/>
        <w:spacing w:line="33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35．回避要求</w:t>
      </w:r>
    </w:p>
    <w:p w14:paraId="56D63BB7">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在政府采购活动中，采购人员、磋商小组成员及相关人员与供应商有下列利害关系之一的，应当回避：</w:t>
      </w:r>
    </w:p>
    <w:p w14:paraId="140B3CFF">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286591BA">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56D5E857">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59C94C26">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7D1C0DC4">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6E8D0FBC">
      <w:pPr>
        <w:spacing w:line="360" w:lineRule="auto"/>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E452002">
      <w:pPr>
        <w:numPr>
          <w:ilvl w:val="0"/>
          <w:numId w:val="5"/>
        </w:numPr>
        <w:spacing w:line="360" w:lineRule="auto"/>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对供应商的纪律要求</w:t>
      </w:r>
    </w:p>
    <w:p w14:paraId="63D7D827">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供应商不得相互串通或者与采购人串通，不得向采购人或者</w:t>
      </w:r>
      <w:r>
        <w:rPr>
          <w:rFonts w:hint="eastAsia" w:ascii="宋体" w:hAnsi="宋体" w:cs="宋体"/>
          <w:szCs w:val="21"/>
          <w:highlight w:val="none"/>
          <w:lang w:val="en-US" w:eastAsia="zh-CN"/>
        </w:rPr>
        <w:t>磋商</w:t>
      </w:r>
      <w:r>
        <w:rPr>
          <w:rFonts w:hint="eastAsia" w:ascii="宋体" w:hAnsi="宋体" w:cs="宋体"/>
          <w:szCs w:val="21"/>
          <w:highlight w:val="none"/>
        </w:rPr>
        <w:t>小组行贿谋取成交，不得以他人名义或者以其他方式弄虚作假骗取成交</w:t>
      </w:r>
      <w:r>
        <w:rPr>
          <w:rFonts w:hint="eastAsia" w:ascii="宋体" w:hAnsi="宋体" w:cs="宋体"/>
          <w:szCs w:val="21"/>
          <w:highlight w:val="none"/>
          <w:lang w:eastAsia="zh-CN"/>
        </w:rPr>
        <w:t>，</w:t>
      </w:r>
      <w:r>
        <w:rPr>
          <w:rFonts w:hint="eastAsia" w:ascii="宋体" w:hAnsi="宋体" w:cs="宋体"/>
          <w:szCs w:val="21"/>
          <w:highlight w:val="none"/>
          <w:lang w:val="en-US" w:eastAsia="zh-CN"/>
        </w:rPr>
        <w:t>一经发现，取消其投标资格</w:t>
      </w:r>
      <w:r>
        <w:rPr>
          <w:rFonts w:hint="eastAsia" w:ascii="宋体" w:hAnsi="宋体" w:cs="宋体"/>
          <w:szCs w:val="21"/>
          <w:highlight w:val="none"/>
        </w:rPr>
        <w:t>；供应商不得以任何方式干扰、影响评审工作。</w:t>
      </w:r>
    </w:p>
    <w:p w14:paraId="29CDC388">
      <w:pPr>
        <w:numPr>
          <w:ilvl w:val="0"/>
          <w:numId w:val="0"/>
        </w:num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.疑问和质疑</w:t>
      </w:r>
    </w:p>
    <w:p w14:paraId="5202D456">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供应商对政府采购活动事项有疑问的，可以向采购代理机构提出询问，采购代理机构应当及时作出答复，但答复的内容不得涉及商业秘密。</w:t>
      </w:r>
    </w:p>
    <w:p w14:paraId="06BA4919">
      <w:pPr>
        <w:adjustRightInd w:val="0"/>
        <w:snapToGrid w:val="0"/>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供应商认为采购文件、采购过程和中标、成交结果使自己的权益受到损害的，可以在知道或者应知其权益受到损害之日起七个工作日内，以书面形式向采购代理机构提出质疑。</w:t>
      </w:r>
    </w:p>
    <w:p w14:paraId="1315E4AC">
      <w:pPr>
        <w:adjustRightInd w:val="0"/>
        <w:snapToGrid w:val="0"/>
        <w:spacing w:line="336" w:lineRule="auto"/>
        <w:jc w:val="center"/>
        <w:outlineLvl w:val="1"/>
        <w:rPr>
          <w:rFonts w:ascii="宋体" w:hAnsi="宋体" w:cs="宋体"/>
          <w:b/>
          <w:color w:val="000000" w:themeColor="text1"/>
          <w:sz w:val="24"/>
          <w:highlight w:val="none"/>
          <w14:textFill>
            <w14:solidFill>
              <w14:schemeClr w14:val="tx1"/>
            </w14:solidFill>
          </w14:textFill>
        </w:rPr>
      </w:pPr>
      <w:bookmarkStart w:id="82" w:name="_Toc5813"/>
      <w:bookmarkStart w:id="83" w:name="_Toc10426"/>
      <w:bookmarkStart w:id="84" w:name="_Toc504484069"/>
      <w:r>
        <w:rPr>
          <w:rFonts w:hint="eastAsia" w:ascii="宋体" w:hAnsi="宋体" w:cs="宋体"/>
          <w:b/>
          <w:color w:val="000000" w:themeColor="text1"/>
          <w:sz w:val="24"/>
          <w:highlight w:val="none"/>
          <w14:textFill>
            <w14:solidFill>
              <w14:schemeClr w14:val="tx1"/>
            </w14:solidFill>
          </w14:textFill>
        </w:rPr>
        <w:t>九、需要补充的其他内容</w:t>
      </w:r>
      <w:bookmarkEnd w:id="82"/>
      <w:bookmarkEnd w:id="83"/>
      <w:bookmarkEnd w:id="84"/>
    </w:p>
    <w:p w14:paraId="0E82602E">
      <w:pPr>
        <w:tabs>
          <w:tab w:val="left" w:pos="0"/>
        </w:tabs>
        <w:adjustRightInd w:val="0"/>
        <w:snapToGrid w:val="0"/>
        <w:spacing w:line="33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8</w:t>
      </w:r>
      <w:r>
        <w:rPr>
          <w:rFonts w:hint="eastAsia" w:ascii="宋体" w:hAnsi="宋体" w:cs="宋体"/>
          <w:b/>
          <w:color w:val="000000" w:themeColor="text1"/>
          <w:szCs w:val="21"/>
          <w:highlight w:val="none"/>
          <w14:textFill>
            <w14:solidFill>
              <w14:schemeClr w14:val="tx1"/>
            </w14:solidFill>
          </w14:textFill>
        </w:rPr>
        <w:t>．是否采用电子招标投标（采购）</w:t>
      </w:r>
    </w:p>
    <w:p w14:paraId="0DB3DD67">
      <w:pPr>
        <w:autoSpaceDE w:val="0"/>
        <w:autoSpaceDN w:val="0"/>
        <w:adjustRightInd w:val="0"/>
        <w:spacing w:line="336" w:lineRule="auto"/>
        <w:ind w:left="520" w:right="-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本采购项</w:t>
      </w:r>
      <w:r>
        <w:rPr>
          <w:rFonts w:hint="eastAsia" w:ascii="宋体" w:hAnsi="宋体" w:cs="宋体"/>
          <w:color w:val="000000" w:themeColor="text1"/>
          <w:spacing w:val="-2"/>
          <w:kern w:val="0"/>
          <w:szCs w:val="21"/>
          <w:highlight w:val="none"/>
          <w14:textFill>
            <w14:solidFill>
              <w14:schemeClr w14:val="tx1"/>
            </w14:solidFill>
          </w14:textFill>
        </w:rPr>
        <w:t>目</w:t>
      </w:r>
      <w:r>
        <w:rPr>
          <w:rFonts w:hint="eastAsia" w:ascii="宋体" w:hAnsi="宋体" w:cs="宋体"/>
          <w:color w:val="000000" w:themeColor="text1"/>
          <w:kern w:val="0"/>
          <w:szCs w:val="21"/>
          <w:highlight w:val="none"/>
          <w14:textFill>
            <w14:solidFill>
              <w14:schemeClr w14:val="tx1"/>
            </w14:solidFill>
          </w14:textFill>
        </w:rPr>
        <w:t>是</w:t>
      </w:r>
      <w:r>
        <w:rPr>
          <w:rFonts w:hint="eastAsia" w:ascii="宋体" w:hAnsi="宋体" w:cs="宋体"/>
          <w:color w:val="000000" w:themeColor="text1"/>
          <w:spacing w:val="-2"/>
          <w:kern w:val="0"/>
          <w:szCs w:val="21"/>
          <w:highlight w:val="none"/>
          <w14:textFill>
            <w14:solidFill>
              <w14:schemeClr w14:val="tx1"/>
            </w14:solidFill>
          </w14:textFill>
        </w:rPr>
        <w:t>否</w:t>
      </w:r>
      <w:r>
        <w:rPr>
          <w:rFonts w:hint="eastAsia" w:ascii="宋体" w:hAnsi="宋体" w:cs="宋体"/>
          <w:color w:val="000000" w:themeColor="text1"/>
          <w:kern w:val="0"/>
          <w:szCs w:val="21"/>
          <w:highlight w:val="none"/>
          <w14:textFill>
            <w14:solidFill>
              <w14:schemeClr w14:val="tx1"/>
            </w14:solidFill>
          </w14:textFill>
        </w:rPr>
        <w:t>采</w:t>
      </w:r>
      <w:r>
        <w:rPr>
          <w:rFonts w:hint="eastAsia" w:ascii="宋体" w:hAnsi="宋体" w:cs="宋体"/>
          <w:color w:val="000000" w:themeColor="text1"/>
          <w:spacing w:val="-2"/>
          <w:kern w:val="0"/>
          <w:szCs w:val="21"/>
          <w:highlight w:val="none"/>
          <w14:textFill>
            <w14:solidFill>
              <w14:schemeClr w14:val="tx1"/>
            </w14:solidFill>
          </w14:textFill>
        </w:rPr>
        <w:t>用</w:t>
      </w:r>
      <w:r>
        <w:rPr>
          <w:rFonts w:hint="eastAsia" w:ascii="宋体" w:hAnsi="宋体" w:cs="宋体"/>
          <w:color w:val="000000" w:themeColor="text1"/>
          <w:kern w:val="0"/>
          <w:szCs w:val="21"/>
          <w:highlight w:val="none"/>
          <w14:textFill>
            <w14:solidFill>
              <w14:schemeClr w14:val="tx1"/>
            </w14:solidFill>
          </w14:textFill>
        </w:rPr>
        <w:t>电</w:t>
      </w:r>
      <w:r>
        <w:rPr>
          <w:rFonts w:hint="eastAsia" w:ascii="宋体" w:hAnsi="宋体" w:cs="宋体"/>
          <w:color w:val="000000" w:themeColor="text1"/>
          <w:spacing w:val="-2"/>
          <w:kern w:val="0"/>
          <w:szCs w:val="21"/>
          <w:highlight w:val="none"/>
          <w14:textFill>
            <w14:solidFill>
              <w14:schemeClr w14:val="tx1"/>
            </w14:solidFill>
          </w14:textFill>
        </w:rPr>
        <w:t>子</w:t>
      </w:r>
      <w:r>
        <w:rPr>
          <w:rFonts w:hint="eastAsia" w:ascii="宋体" w:hAnsi="宋体" w:cs="宋体"/>
          <w:color w:val="000000" w:themeColor="text1"/>
          <w:kern w:val="0"/>
          <w:szCs w:val="21"/>
          <w:highlight w:val="none"/>
          <w14:textFill>
            <w14:solidFill>
              <w14:schemeClr w14:val="tx1"/>
            </w14:solidFill>
          </w14:textFill>
        </w:rPr>
        <w:t>招标</w:t>
      </w:r>
      <w:r>
        <w:rPr>
          <w:rFonts w:hint="eastAsia" w:ascii="宋体" w:hAnsi="宋体" w:cs="宋体"/>
          <w:color w:val="000000" w:themeColor="text1"/>
          <w:spacing w:val="-2"/>
          <w:kern w:val="0"/>
          <w:szCs w:val="21"/>
          <w:highlight w:val="none"/>
          <w14:textFill>
            <w14:solidFill>
              <w14:schemeClr w14:val="tx1"/>
            </w14:solidFill>
          </w14:textFill>
        </w:rPr>
        <w:t>投</w:t>
      </w:r>
      <w:r>
        <w:rPr>
          <w:rFonts w:hint="eastAsia" w:ascii="宋体" w:hAnsi="宋体" w:cs="宋体"/>
          <w:color w:val="000000" w:themeColor="text1"/>
          <w:kern w:val="0"/>
          <w:szCs w:val="21"/>
          <w:highlight w:val="none"/>
          <w14:textFill>
            <w14:solidFill>
              <w14:schemeClr w14:val="tx1"/>
            </w14:solidFill>
          </w14:textFill>
        </w:rPr>
        <w:t>标（采购）</w:t>
      </w:r>
      <w:r>
        <w:rPr>
          <w:rFonts w:hint="eastAsia" w:ascii="宋体" w:hAnsi="宋体" w:cs="宋体"/>
          <w:color w:val="000000" w:themeColor="text1"/>
          <w:spacing w:val="-2"/>
          <w:kern w:val="0"/>
          <w:szCs w:val="21"/>
          <w:highlight w:val="none"/>
          <w14:textFill>
            <w14:solidFill>
              <w14:schemeClr w14:val="tx1"/>
            </w14:solidFill>
          </w14:textFill>
        </w:rPr>
        <w:t>方</w:t>
      </w:r>
      <w:r>
        <w:rPr>
          <w:rFonts w:hint="eastAsia" w:ascii="宋体" w:hAnsi="宋体" w:cs="宋体"/>
          <w:color w:val="000000" w:themeColor="text1"/>
          <w:kern w:val="0"/>
          <w:szCs w:val="21"/>
          <w:highlight w:val="none"/>
          <w14:textFill>
            <w14:solidFill>
              <w14:schemeClr w14:val="tx1"/>
            </w14:solidFill>
          </w14:textFill>
        </w:rPr>
        <w:t>式</w:t>
      </w:r>
      <w:r>
        <w:rPr>
          <w:rFonts w:hint="eastAsia" w:ascii="宋体" w:hAnsi="宋体" w:cs="宋体"/>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见</w:t>
      </w:r>
      <w:r>
        <w:rPr>
          <w:rFonts w:hint="eastAsia" w:ascii="宋体" w:hAnsi="宋体" w:cs="宋体"/>
          <w:color w:val="000000" w:themeColor="text1"/>
          <w:spacing w:val="-2"/>
          <w:kern w:val="0"/>
          <w:szCs w:val="21"/>
          <w:highlight w:val="none"/>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须知</w:t>
      </w:r>
      <w:r>
        <w:rPr>
          <w:rFonts w:hint="eastAsia" w:ascii="宋体" w:hAnsi="宋体" w:cs="宋体"/>
          <w:color w:val="000000" w:themeColor="text1"/>
          <w:spacing w:val="-2"/>
          <w:kern w:val="0"/>
          <w:szCs w:val="21"/>
          <w:highlight w:val="none"/>
          <w14:textFill>
            <w14:solidFill>
              <w14:schemeClr w14:val="tx1"/>
            </w14:solidFill>
          </w14:textFill>
        </w:rPr>
        <w:t>前</w:t>
      </w:r>
      <w:r>
        <w:rPr>
          <w:rFonts w:hint="eastAsia" w:ascii="宋体" w:hAnsi="宋体" w:cs="宋体"/>
          <w:color w:val="000000" w:themeColor="text1"/>
          <w:kern w:val="0"/>
          <w:szCs w:val="21"/>
          <w:highlight w:val="none"/>
          <w14:textFill>
            <w14:solidFill>
              <w14:schemeClr w14:val="tx1"/>
            </w14:solidFill>
          </w14:textFill>
        </w:rPr>
        <w:t>附</w:t>
      </w:r>
      <w:r>
        <w:rPr>
          <w:rFonts w:hint="eastAsia" w:ascii="宋体" w:hAnsi="宋体" w:cs="宋体"/>
          <w:color w:val="000000" w:themeColor="text1"/>
          <w:spacing w:val="-2"/>
          <w:kern w:val="0"/>
          <w:szCs w:val="21"/>
          <w:highlight w:val="none"/>
          <w14:textFill>
            <w14:solidFill>
              <w14:schemeClr w14:val="tx1"/>
            </w14:solidFill>
          </w14:textFill>
        </w:rPr>
        <w:t>表</w:t>
      </w:r>
      <w:r>
        <w:rPr>
          <w:rFonts w:hint="eastAsia" w:ascii="宋体" w:hAnsi="宋体" w:cs="宋体"/>
          <w:color w:val="000000" w:themeColor="text1"/>
          <w:kern w:val="0"/>
          <w:szCs w:val="21"/>
          <w:highlight w:val="none"/>
          <w14:textFill>
            <w14:solidFill>
              <w14:schemeClr w14:val="tx1"/>
            </w14:solidFill>
          </w14:textFill>
        </w:rPr>
        <w:t>。</w:t>
      </w:r>
    </w:p>
    <w:p w14:paraId="3C35AB29">
      <w:pPr>
        <w:tabs>
          <w:tab w:val="left" w:pos="0"/>
        </w:tabs>
        <w:adjustRightInd w:val="0"/>
        <w:snapToGrid w:val="0"/>
        <w:spacing w:line="33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其他</w:t>
      </w:r>
    </w:p>
    <w:p w14:paraId="73C1F8AF">
      <w:pPr>
        <w:autoSpaceDE w:val="0"/>
        <w:autoSpaceDN w:val="0"/>
        <w:adjustRightInd w:val="0"/>
        <w:spacing w:line="336" w:lineRule="auto"/>
        <w:ind w:left="520" w:right="-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需要补充的其他内容：见供应商须知前附表。</w:t>
      </w:r>
    </w:p>
    <w:p w14:paraId="68AC3F99">
      <w:pPr>
        <w:pStyle w:val="3"/>
        <w:numPr>
          <w:ilvl w:val="0"/>
          <w:numId w:val="6"/>
        </w:numPr>
        <w:spacing w:line="360" w:lineRule="auto"/>
        <w:ind w:firstLine="412" w:firstLineChars="200"/>
        <w:rPr>
          <w:rFonts w:ascii="宋体" w:hAnsi="宋体" w:cs="宋体"/>
          <w:b w:val="0"/>
          <w:bCs w:val="0"/>
          <w:color w:val="000000" w:themeColor="text1"/>
          <w:sz w:val="36"/>
          <w:szCs w:val="36"/>
          <w:highlight w:val="none"/>
          <w14:textFill>
            <w14:solidFill>
              <w14:schemeClr w14:val="tx1"/>
            </w14:solidFill>
          </w14:textFill>
        </w:rPr>
      </w:pPr>
      <w:r>
        <w:rPr>
          <w:rFonts w:hint="eastAsia" w:ascii="宋体" w:hAnsi="宋体" w:cs="宋体"/>
          <w:b w:val="0"/>
          <w:bCs w:val="0"/>
          <w:color w:val="000000" w:themeColor="text1"/>
          <w:spacing w:val="-2"/>
          <w:kern w:val="0"/>
          <w:sz w:val="21"/>
          <w:szCs w:val="21"/>
          <w:highlight w:val="none"/>
          <w14:textFill>
            <w14:solidFill>
              <w14:schemeClr w14:val="tx1"/>
            </w14:solidFill>
          </w14:textFill>
        </w:rPr>
        <w:br w:type="page"/>
      </w:r>
      <w:bookmarkStart w:id="85" w:name="_Toc14068"/>
      <w:r>
        <w:rPr>
          <w:rFonts w:hint="eastAsia" w:ascii="宋体" w:hAnsi="宋体" w:cs="宋体"/>
          <w:color w:val="000000" w:themeColor="text1"/>
          <w:sz w:val="36"/>
          <w:szCs w:val="36"/>
          <w:highlight w:val="none"/>
          <w14:textFill>
            <w14:solidFill>
              <w14:schemeClr w14:val="tx1"/>
            </w14:solidFill>
          </w14:textFill>
        </w:rPr>
        <w:t>资格审查、符合性审查和评审方法</w:t>
      </w:r>
      <w:bookmarkEnd w:id="85"/>
    </w:p>
    <w:p w14:paraId="75FFAF6A">
      <w:pPr>
        <w:keepNext/>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（综合评分法）</w:t>
      </w:r>
    </w:p>
    <w:p w14:paraId="380C61A5">
      <w:pPr>
        <w:rPr>
          <w:color w:val="000000" w:themeColor="text1"/>
          <w:highlight w:val="none"/>
          <w14:textFill>
            <w14:solidFill>
              <w14:schemeClr w14:val="tx1"/>
            </w14:solidFill>
          </w14:textFill>
        </w:rPr>
      </w:pPr>
    </w:p>
    <w:p w14:paraId="7BA11EB2">
      <w:pPr>
        <w:pStyle w:val="2"/>
        <w:rPr>
          <w:rFonts w:ascii="宋体" w:hAnsi="宋体" w:cs="宋体"/>
          <w:color w:val="000000" w:themeColor="text1"/>
          <w:highlight w:val="none"/>
          <w14:textFill>
            <w14:solidFill>
              <w14:schemeClr w14:val="tx1"/>
            </w14:solidFill>
          </w14:textFill>
        </w:rPr>
      </w:pPr>
      <w:bookmarkStart w:id="86" w:name="_Toc31333"/>
      <w:bookmarkStart w:id="87" w:name="_Toc24239"/>
      <w:bookmarkStart w:id="88" w:name="_Toc13446"/>
      <w:r>
        <w:rPr>
          <w:rFonts w:hint="eastAsia" w:ascii="宋体" w:hAnsi="宋体" w:cs="宋体"/>
          <w:color w:val="000000" w:themeColor="text1"/>
          <w:highlight w:val="none"/>
          <w14:textFill>
            <w14:solidFill>
              <w14:schemeClr w14:val="tx1"/>
            </w14:solidFill>
          </w14:textFill>
        </w:rPr>
        <w:t>1、资格审查</w:t>
      </w:r>
      <w:bookmarkEnd w:id="86"/>
      <w:bookmarkEnd w:id="87"/>
      <w:bookmarkEnd w:id="88"/>
    </w:p>
    <w:p w14:paraId="35222520">
      <w:pPr>
        <w:autoSpaceDE w:val="0"/>
        <w:autoSpaceDN w:val="0"/>
        <w:adjustRightInd w:val="0"/>
        <w:spacing w:line="360" w:lineRule="auto"/>
        <w:ind w:firstLine="214" w:firstLineChars="100"/>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pacing w:val="2"/>
          <w:kern w:val="0"/>
          <w:szCs w:val="21"/>
          <w:highlight w:val="none"/>
          <w14:textFill>
            <w14:solidFill>
              <w14:schemeClr w14:val="tx1"/>
            </w14:solidFill>
          </w14:textFill>
        </w:rPr>
        <w:t>磋商小组按资格审查标准对供应商的资格进行审查，有一项不符合审查标准的，则资格审查不合格</w:t>
      </w:r>
      <w:r>
        <w:rPr>
          <w:rStyle w:val="34"/>
          <w:rFonts w:hint="eastAsia" w:ascii="宋体" w:hAnsi="宋体" w:cs="宋体"/>
          <w:color w:val="000000" w:themeColor="text1"/>
          <w:highlight w:val="none"/>
          <w14:textFill>
            <w14:solidFill>
              <w14:schemeClr w14:val="tx1"/>
            </w14:solidFill>
          </w14:textFill>
        </w:rPr>
        <w:t>，其响应文件按无效响应处理</w:t>
      </w:r>
      <w:r>
        <w:rPr>
          <w:rFonts w:hint="eastAsia" w:ascii="宋体" w:hAnsi="宋体" w:cs="宋体"/>
          <w:color w:val="000000" w:themeColor="text1"/>
          <w:spacing w:val="2"/>
          <w:kern w:val="0"/>
          <w:szCs w:val="21"/>
          <w:highlight w:val="none"/>
          <w14:textFill>
            <w14:solidFill>
              <w14:schemeClr w14:val="tx1"/>
            </w14:solidFill>
          </w14:textFill>
        </w:rPr>
        <w:t>。</w:t>
      </w:r>
    </w:p>
    <w:p w14:paraId="07790B6D">
      <w:pPr>
        <w:autoSpaceDE w:val="0"/>
        <w:autoSpaceDN w:val="0"/>
        <w:adjustRightInd w:val="0"/>
        <w:spacing w:line="276"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资格审查标准</w:t>
      </w:r>
    </w:p>
    <w:tbl>
      <w:tblPr>
        <w:tblStyle w:val="21"/>
        <w:tblW w:w="88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7"/>
        <w:gridCol w:w="2402"/>
        <w:gridCol w:w="6030"/>
      </w:tblGrid>
      <w:tr w14:paraId="6CB5A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417" w:type="dxa"/>
            <w:vAlign w:val="center"/>
          </w:tcPr>
          <w:p w14:paraId="302A4123">
            <w:pPr>
              <w:autoSpaceDE w:val="0"/>
              <w:autoSpaceDN w:val="0"/>
              <w:adjustRightInd w:val="0"/>
              <w:spacing w:line="360" w:lineRule="auto"/>
              <w:jc w:val="left"/>
              <w:rPr>
                <w:rFonts w:ascii="宋体" w:hAnsi="宋体" w:cs="宋体"/>
                <w:b/>
                <w:color w:val="000000" w:themeColor="text1"/>
                <w:kern w:val="0"/>
                <w:sz w:val="20"/>
                <w:szCs w:val="20"/>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序号</w:t>
            </w:r>
          </w:p>
        </w:tc>
        <w:tc>
          <w:tcPr>
            <w:tcW w:w="2402" w:type="dxa"/>
            <w:vAlign w:val="center"/>
          </w:tcPr>
          <w:p w14:paraId="34931830">
            <w:pPr>
              <w:autoSpaceDE w:val="0"/>
              <w:autoSpaceDN w:val="0"/>
              <w:adjustRightInd w:val="0"/>
              <w:spacing w:line="360" w:lineRule="auto"/>
              <w:jc w:val="center"/>
              <w:rPr>
                <w:rFonts w:ascii="宋体" w:hAnsi="宋体" w:cs="宋体"/>
                <w:b/>
                <w:color w:val="000000" w:themeColor="text1"/>
                <w:kern w:val="0"/>
                <w:sz w:val="20"/>
                <w:szCs w:val="20"/>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审查因素</w:t>
            </w:r>
          </w:p>
        </w:tc>
        <w:tc>
          <w:tcPr>
            <w:tcW w:w="6030" w:type="dxa"/>
            <w:vAlign w:val="center"/>
          </w:tcPr>
          <w:p w14:paraId="6937F9EE">
            <w:pPr>
              <w:autoSpaceDE w:val="0"/>
              <w:autoSpaceDN w:val="0"/>
              <w:adjustRightInd w:val="0"/>
              <w:spacing w:line="360" w:lineRule="auto"/>
              <w:jc w:val="center"/>
              <w:rPr>
                <w:rFonts w:ascii="宋体" w:hAnsi="宋体" w:cs="宋体"/>
                <w:b/>
                <w:color w:val="000000" w:themeColor="text1"/>
                <w:kern w:val="0"/>
                <w:sz w:val="20"/>
                <w:szCs w:val="20"/>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资格审查标准</w:t>
            </w:r>
          </w:p>
        </w:tc>
      </w:tr>
      <w:tr w14:paraId="46139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417" w:type="dxa"/>
            <w:vAlign w:val="center"/>
          </w:tcPr>
          <w:p w14:paraId="3B080073">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p>
        </w:tc>
        <w:tc>
          <w:tcPr>
            <w:tcW w:w="2402" w:type="dxa"/>
            <w:vAlign w:val="center"/>
          </w:tcPr>
          <w:p w14:paraId="263162B1">
            <w:pPr>
              <w:pStyle w:val="59"/>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具有独立承担民事责任的能力；</w:t>
            </w:r>
          </w:p>
        </w:tc>
        <w:tc>
          <w:tcPr>
            <w:tcW w:w="6030" w:type="dxa"/>
            <w:vAlign w:val="center"/>
          </w:tcPr>
          <w:p w14:paraId="51383501">
            <w:pPr>
              <w:pStyle w:val="38"/>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提供法人或者其它组织的营业执照等证明文件，自然人的身份证明；</w:t>
            </w:r>
          </w:p>
        </w:tc>
      </w:tr>
      <w:tr w14:paraId="7447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rPr>
        <w:tc>
          <w:tcPr>
            <w:tcW w:w="417" w:type="dxa"/>
            <w:vAlign w:val="center"/>
          </w:tcPr>
          <w:p w14:paraId="6D987E76">
            <w:pPr>
              <w:autoSpaceDE w:val="0"/>
              <w:autoSpaceDN w:val="0"/>
              <w:adjustRightInd w:val="0"/>
              <w:spacing w:line="360" w:lineRule="auto"/>
              <w:jc w:val="center"/>
              <w:rPr>
                <w:rFonts w:ascii="宋体" w:hAnsi="宋体" w:cs="宋体"/>
                <w:color w:val="0000FF"/>
                <w:kern w:val="0"/>
                <w:sz w:val="20"/>
                <w:szCs w:val="20"/>
                <w:highlight w:val="none"/>
              </w:rPr>
            </w:pPr>
            <w:r>
              <w:rPr>
                <w:rFonts w:hint="eastAsia" w:ascii="宋体" w:hAnsi="宋体" w:cs="宋体"/>
                <w:color w:val="000000" w:themeColor="text1"/>
                <w:kern w:val="0"/>
                <w:sz w:val="20"/>
                <w:szCs w:val="20"/>
                <w:highlight w:val="none"/>
                <w14:textFill>
                  <w14:solidFill>
                    <w14:schemeClr w14:val="tx1"/>
                  </w14:solidFill>
                </w14:textFill>
              </w:rPr>
              <w:t>2</w:t>
            </w:r>
          </w:p>
        </w:tc>
        <w:tc>
          <w:tcPr>
            <w:tcW w:w="2402" w:type="dxa"/>
            <w:vAlign w:val="center"/>
          </w:tcPr>
          <w:p w14:paraId="3044092B">
            <w:pPr>
              <w:pStyle w:val="59"/>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kern w:val="0"/>
                <w:szCs w:val="21"/>
              </w:rPr>
              <w:t>具有良好的商业信誉和健全的财务会计制度；</w:t>
            </w:r>
          </w:p>
        </w:tc>
        <w:tc>
          <w:tcPr>
            <w:tcW w:w="6030" w:type="dxa"/>
            <w:vAlign w:val="center"/>
          </w:tcPr>
          <w:p w14:paraId="0EADB47B">
            <w:pP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kern w:val="0"/>
                <w:szCs w:val="21"/>
              </w:rPr>
              <w:t>供应商须提供2022年度</w:t>
            </w:r>
            <w:r>
              <w:rPr>
                <w:rFonts w:hint="eastAsia" w:ascii="宋体" w:hAnsi="宋体" w:cs="宋体"/>
                <w:kern w:val="0"/>
                <w:szCs w:val="21"/>
                <w:lang w:val="en-US" w:eastAsia="zh-CN"/>
              </w:rPr>
              <w:t>或2023年度</w:t>
            </w:r>
            <w:r>
              <w:rPr>
                <w:rFonts w:hint="eastAsia" w:ascii="宋体" w:hAnsi="宋体" w:cs="宋体"/>
                <w:kern w:val="0"/>
                <w:szCs w:val="21"/>
              </w:rPr>
              <w:t>经第三方审计机构出具的审计报告，供应商成立不满的一年提供自成立以来的财务报表或银行资信证明；</w:t>
            </w:r>
          </w:p>
        </w:tc>
      </w:tr>
      <w:tr w14:paraId="6B32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417" w:type="dxa"/>
            <w:vAlign w:val="center"/>
          </w:tcPr>
          <w:p w14:paraId="61EA2DD9">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w:t>
            </w:r>
          </w:p>
        </w:tc>
        <w:tc>
          <w:tcPr>
            <w:tcW w:w="2402" w:type="dxa"/>
            <w:vAlign w:val="center"/>
          </w:tcPr>
          <w:p w14:paraId="1DD2E792">
            <w:pPr>
              <w:pStyle w:val="59"/>
              <w:widowControl/>
              <w:jc w:val="center"/>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kern w:val="0"/>
                <w:szCs w:val="21"/>
              </w:rPr>
              <w:t>具有履行合同所必需的设备和专业技术能力；</w:t>
            </w:r>
          </w:p>
        </w:tc>
        <w:tc>
          <w:tcPr>
            <w:tcW w:w="6030" w:type="dxa"/>
            <w:vAlign w:val="center"/>
          </w:tcPr>
          <w:p w14:paraId="76E06972">
            <w:pPr>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kern w:val="0"/>
                <w:szCs w:val="21"/>
              </w:rPr>
              <w:t>具有履行合同所必需的设备和专业技术能力（自行承诺，格式自拟）；</w:t>
            </w:r>
          </w:p>
        </w:tc>
      </w:tr>
      <w:tr w14:paraId="3518B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417" w:type="dxa"/>
            <w:vAlign w:val="center"/>
          </w:tcPr>
          <w:p w14:paraId="12F45823">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4</w:t>
            </w:r>
          </w:p>
        </w:tc>
        <w:tc>
          <w:tcPr>
            <w:tcW w:w="2402" w:type="dxa"/>
            <w:vAlign w:val="center"/>
          </w:tcPr>
          <w:p w14:paraId="441A281D">
            <w:pPr>
              <w:pStyle w:val="59"/>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zCs w:val="21"/>
              </w:rPr>
              <w:t>具有依法缴纳税收和社会保障资金的良好记录</w:t>
            </w:r>
          </w:p>
        </w:tc>
        <w:tc>
          <w:tcPr>
            <w:tcW w:w="6030" w:type="dxa"/>
            <w:vAlign w:val="center"/>
          </w:tcPr>
          <w:p w14:paraId="08655C9F">
            <w:pP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kern w:val="0"/>
                <w:szCs w:val="21"/>
                <w:highlight w:val="none"/>
              </w:rPr>
              <w:t>供应商须提供202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年以来</w:t>
            </w:r>
            <w:r>
              <w:rPr>
                <w:rFonts w:hint="eastAsia" w:ascii="宋体" w:hAnsi="宋体" w:cs="宋体"/>
                <w:kern w:val="0"/>
                <w:szCs w:val="21"/>
                <w:highlight w:val="none"/>
                <w:lang w:val="en-US" w:eastAsia="zh-CN"/>
              </w:rPr>
              <w:t>任意一个月份依法纳税收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r>
              <w:rPr>
                <w:rFonts w:hint="eastAsia" w:ascii="宋体" w:hAnsi="宋体" w:cs="宋体"/>
                <w:kern w:val="0"/>
                <w:szCs w:val="21"/>
                <w:highlight w:val="none"/>
              </w:rPr>
              <w:t>；</w:t>
            </w:r>
          </w:p>
        </w:tc>
      </w:tr>
      <w:tr w14:paraId="0AF62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417" w:type="dxa"/>
            <w:vAlign w:val="center"/>
          </w:tcPr>
          <w:p w14:paraId="352BA4DA">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c>
          <w:tcPr>
            <w:tcW w:w="2402" w:type="dxa"/>
            <w:vAlign w:val="center"/>
          </w:tcPr>
          <w:p w14:paraId="3955B31C">
            <w:pPr>
              <w:pStyle w:val="59"/>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zCs w:val="21"/>
              </w:rPr>
              <w:t>参加政府采购活动前三年内，在经营活动中没有违法记录</w:t>
            </w:r>
          </w:p>
        </w:tc>
        <w:tc>
          <w:tcPr>
            <w:tcW w:w="6030" w:type="dxa"/>
            <w:vAlign w:val="center"/>
          </w:tcPr>
          <w:p w14:paraId="52028052">
            <w:pP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szCs w:val="21"/>
              </w:rPr>
              <w:t>参加政府采购活动前三年内，在经营活动中没有违法记录（自行承诺加盖供应商公章有效）</w:t>
            </w:r>
          </w:p>
        </w:tc>
      </w:tr>
      <w:tr w14:paraId="496A7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17" w:type="dxa"/>
            <w:vAlign w:val="center"/>
          </w:tcPr>
          <w:p w14:paraId="7672347C">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w:t>
            </w:r>
          </w:p>
        </w:tc>
        <w:tc>
          <w:tcPr>
            <w:tcW w:w="2402" w:type="dxa"/>
            <w:vAlign w:val="center"/>
          </w:tcPr>
          <w:p w14:paraId="1FFB1961">
            <w:pPr>
              <w:pStyle w:val="59"/>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rPr>
              <w:t>资格要求</w:t>
            </w:r>
          </w:p>
        </w:tc>
        <w:tc>
          <w:tcPr>
            <w:tcW w:w="6030" w:type="dxa"/>
            <w:vAlign w:val="center"/>
          </w:tcPr>
          <w:p w14:paraId="15FBF3D8">
            <w:pPr>
              <w:adjustRightInd w:val="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rPr>
              <w:t>符合第二章“供应商须知”第5.1项规定</w:t>
            </w:r>
          </w:p>
        </w:tc>
      </w:tr>
      <w:tr w14:paraId="23A5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trPr>
        <w:tc>
          <w:tcPr>
            <w:tcW w:w="417" w:type="dxa"/>
            <w:vAlign w:val="center"/>
          </w:tcPr>
          <w:p w14:paraId="5B7F54FE">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7</w:t>
            </w:r>
          </w:p>
        </w:tc>
        <w:tc>
          <w:tcPr>
            <w:tcW w:w="2402" w:type="dxa"/>
            <w:vAlign w:val="center"/>
          </w:tcPr>
          <w:p w14:paraId="174BB3C4">
            <w:pPr>
              <w:pStyle w:val="59"/>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zCs w:val="21"/>
              </w:rPr>
              <w:t>信誉要求</w:t>
            </w:r>
          </w:p>
        </w:tc>
        <w:tc>
          <w:tcPr>
            <w:tcW w:w="6030" w:type="dxa"/>
            <w:vAlign w:val="center"/>
          </w:tcPr>
          <w:p w14:paraId="7ECCB849">
            <w:pPr>
              <w:widowControl/>
              <w:wordWrap w:val="0"/>
              <w:jc w:val="left"/>
              <w:rPr>
                <w:rFonts w:ascii="宋体" w:hAnsi="宋体" w:cs="宋体"/>
                <w:szCs w:val="21"/>
              </w:rPr>
            </w:pPr>
            <w:r>
              <w:rPr>
                <w:rFonts w:hint="eastAsia" w:ascii="宋体" w:hAnsi="宋体" w:cs="宋体"/>
                <w:szCs w:val="21"/>
              </w:rPr>
              <w:t>根据《关于在政府采购活动中查询及使用信用记录有关问题的通知》(财库[2016]125号)和豫财购【2016】15号的规定，被“信用中国”网站列为失信被执行人、重大税收违法失信主体的（失信被执行人查询路径为信用中国首页→信用服务→失信被执行人→跳转至中国执行信息公开网→输入查询信息；重大税收违法失信主体查询路径为信用中国首页→信用服务→重大税收违法失信主体→输入查询信息），被“中国政府采购网”网站列入政府采购严重违法失信行为记录名单（处罚期限尚未届满的），不得参与本项目的政府采购活动。</w:t>
            </w:r>
          </w:p>
          <w:p w14:paraId="1A56C235">
            <w:pPr>
              <w:widowControl/>
              <w:wordWrap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szCs w:val="21"/>
              </w:rPr>
              <w:t>注：采购代理机构在开标时将通过上述渠道对供应商进行信用查询，信用信息查询记录应当与采购文件一并保存；</w:t>
            </w:r>
          </w:p>
        </w:tc>
      </w:tr>
      <w:tr w14:paraId="6EC0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417" w:type="dxa"/>
            <w:vAlign w:val="center"/>
          </w:tcPr>
          <w:p w14:paraId="3128F6B2">
            <w:pPr>
              <w:autoSpaceDE w:val="0"/>
              <w:autoSpaceDN w:val="0"/>
              <w:adjustRightInd w:val="0"/>
              <w:spacing w:line="360" w:lineRule="auto"/>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8</w:t>
            </w:r>
          </w:p>
        </w:tc>
        <w:tc>
          <w:tcPr>
            <w:tcW w:w="2402" w:type="dxa"/>
            <w:vAlign w:val="center"/>
          </w:tcPr>
          <w:p w14:paraId="66FF685A">
            <w:pPr>
              <w:pStyle w:val="59"/>
              <w:widowControl/>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szCs w:val="21"/>
              </w:rPr>
              <w:t>其他要求</w:t>
            </w:r>
          </w:p>
        </w:tc>
        <w:tc>
          <w:tcPr>
            <w:tcW w:w="6030" w:type="dxa"/>
            <w:vAlign w:val="center"/>
          </w:tcPr>
          <w:p w14:paraId="6248543B">
            <w:pPr>
              <w:widowControl/>
              <w:wordWrap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zCs w:val="21"/>
              </w:rPr>
              <w:t>单位负责人为同一人或者存在直接控股、管理关系的不同供应商，不得参加同一合同项下的政府采购活动。</w:t>
            </w:r>
            <w:r>
              <w:rPr>
                <w:rFonts w:hint="eastAsia" w:ascii="宋体" w:hAnsi="宋体" w:cs="宋体"/>
                <w:szCs w:val="21"/>
                <w:lang w:val="zh-CN"/>
              </w:rPr>
              <w:t>【提供“国家企业信用信息公示系统”中查询打印的相关材料（需包含公司基本信息、股东信息及股权变更信息)</w:t>
            </w:r>
            <w:r>
              <w:rPr>
                <w:rFonts w:hint="eastAsia" w:ascii="宋体" w:hAnsi="宋体" w:cs="宋体"/>
                <w:szCs w:val="21"/>
              </w:rPr>
              <w:t>，查询日期在本公告发布日期之后</w:t>
            </w:r>
            <w:r>
              <w:rPr>
                <w:rFonts w:hint="eastAsia" w:ascii="宋体" w:hAnsi="宋体" w:cs="宋体"/>
                <w:szCs w:val="21"/>
                <w:lang w:val="zh-CN"/>
              </w:rPr>
              <w:t>】</w:t>
            </w:r>
          </w:p>
        </w:tc>
      </w:tr>
    </w:tbl>
    <w:p w14:paraId="1FCA0609">
      <w:pPr>
        <w:autoSpaceDE w:val="0"/>
        <w:autoSpaceDN w:val="0"/>
        <w:adjustRightInd w:val="0"/>
        <w:spacing w:line="200" w:lineRule="exact"/>
        <w:jc w:val="left"/>
        <w:rPr>
          <w:rFonts w:ascii="宋体" w:hAnsi="宋体" w:cs="宋体"/>
          <w:color w:val="000000" w:themeColor="text1"/>
          <w:kern w:val="0"/>
          <w:sz w:val="20"/>
          <w:szCs w:val="20"/>
          <w:highlight w:val="none"/>
          <w14:textFill>
            <w14:solidFill>
              <w14:schemeClr w14:val="tx1"/>
            </w14:solidFill>
          </w14:textFill>
        </w:rPr>
      </w:pPr>
    </w:p>
    <w:p w14:paraId="4F1CC850">
      <w:pPr>
        <w:autoSpaceDE w:val="0"/>
        <w:autoSpaceDN w:val="0"/>
        <w:adjustRightInd w:val="0"/>
        <w:spacing w:line="200" w:lineRule="exact"/>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br w:type="page"/>
      </w:r>
    </w:p>
    <w:p w14:paraId="73E89248">
      <w:pPr>
        <w:pStyle w:val="2"/>
        <w:rPr>
          <w:rFonts w:ascii="宋体" w:hAnsi="宋体" w:cs="宋体"/>
          <w:color w:val="000000" w:themeColor="text1"/>
          <w:highlight w:val="none"/>
          <w14:textFill>
            <w14:solidFill>
              <w14:schemeClr w14:val="tx1"/>
            </w14:solidFill>
          </w14:textFill>
        </w:rPr>
      </w:pPr>
      <w:bookmarkStart w:id="89" w:name="_Toc26645"/>
      <w:bookmarkStart w:id="90" w:name="_Toc10231"/>
      <w:bookmarkStart w:id="91" w:name="_Toc15995"/>
      <w:r>
        <w:rPr>
          <w:rFonts w:hint="eastAsia" w:ascii="宋体" w:hAnsi="宋体" w:cs="宋体"/>
          <w:color w:val="000000" w:themeColor="text1"/>
          <w:highlight w:val="none"/>
          <w14:textFill>
            <w14:solidFill>
              <w14:schemeClr w14:val="tx1"/>
            </w14:solidFill>
          </w14:textFill>
        </w:rPr>
        <w:t>2、符合性审查</w:t>
      </w:r>
      <w:bookmarkEnd w:id="89"/>
      <w:bookmarkEnd w:id="90"/>
      <w:bookmarkEnd w:id="91"/>
    </w:p>
    <w:p w14:paraId="693DC2D3">
      <w:pPr>
        <w:adjustRightInd w:val="0"/>
        <w:snapToGrid w:val="0"/>
        <w:spacing w:line="360" w:lineRule="auto"/>
        <w:ind w:firstLine="42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对资格审查合格的供应商的响应文件按照符合性审查标准进行符合性审查，以确定其是否满足磋商文件的实质性要求。符合性审查有一项不符合审查标准的，符合性审查不合格，其响应文件按无效响应处理。</w:t>
      </w:r>
    </w:p>
    <w:p w14:paraId="2932F0A2">
      <w:pPr>
        <w:autoSpaceDE w:val="0"/>
        <w:autoSpaceDN w:val="0"/>
        <w:adjustRightInd w:val="0"/>
        <w:spacing w:before="4" w:line="276" w:lineRule="auto"/>
        <w:ind w:firstLine="482" w:firstLineChars="200"/>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符合性审查标准</w:t>
      </w:r>
    </w:p>
    <w:p w14:paraId="41C0F66C">
      <w:pPr>
        <w:autoSpaceDE w:val="0"/>
        <w:autoSpaceDN w:val="0"/>
        <w:adjustRightInd w:val="0"/>
        <w:spacing w:line="200" w:lineRule="exact"/>
        <w:jc w:val="left"/>
        <w:rPr>
          <w:rFonts w:ascii="宋体" w:hAnsi="宋体" w:cs="宋体"/>
          <w:color w:val="000000" w:themeColor="text1"/>
          <w:kern w:val="0"/>
          <w:sz w:val="20"/>
          <w:szCs w:val="20"/>
          <w:highlight w:val="none"/>
          <w14:textFill>
            <w14:solidFill>
              <w14:schemeClr w14:val="tx1"/>
            </w14:solidFill>
          </w14:textFill>
        </w:rPr>
      </w:pPr>
    </w:p>
    <w:tbl>
      <w:tblPr>
        <w:tblStyle w:val="21"/>
        <w:tblW w:w="9104" w:type="dxa"/>
        <w:tblInd w:w="108" w:type="dxa"/>
        <w:tblLayout w:type="fixed"/>
        <w:tblCellMar>
          <w:top w:w="0" w:type="dxa"/>
          <w:left w:w="0" w:type="dxa"/>
          <w:bottom w:w="0" w:type="dxa"/>
          <w:right w:w="0" w:type="dxa"/>
        </w:tblCellMar>
      </w:tblPr>
      <w:tblGrid>
        <w:gridCol w:w="599"/>
        <w:gridCol w:w="2362"/>
        <w:gridCol w:w="6143"/>
      </w:tblGrid>
      <w:tr w14:paraId="70CA376E">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0D31F97C">
            <w:pPr>
              <w:pStyle w:val="10"/>
              <w:spacing w:line="360" w:lineRule="auto"/>
              <w:ind w:firstLine="105" w:firstLineChars="50"/>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序号</w:t>
            </w:r>
          </w:p>
        </w:tc>
        <w:tc>
          <w:tcPr>
            <w:tcW w:w="2362" w:type="dxa"/>
            <w:tcBorders>
              <w:top w:val="single" w:color="000000" w:sz="4" w:space="0"/>
              <w:left w:val="single" w:color="000000" w:sz="4" w:space="0"/>
              <w:bottom w:val="single" w:color="000000" w:sz="4" w:space="0"/>
              <w:right w:val="single" w:color="000000" w:sz="4" w:space="0"/>
            </w:tcBorders>
            <w:vAlign w:val="center"/>
          </w:tcPr>
          <w:p w14:paraId="749AE4A3">
            <w:pPr>
              <w:autoSpaceDE w:val="0"/>
              <w:autoSpaceDN w:val="0"/>
              <w:adjustRightInd w:val="0"/>
              <w:spacing w:before="49" w:line="360" w:lineRule="auto"/>
              <w:ind w:left="811" w:right="-20"/>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审查因素</w:t>
            </w:r>
          </w:p>
        </w:tc>
        <w:tc>
          <w:tcPr>
            <w:tcW w:w="6143" w:type="dxa"/>
            <w:tcBorders>
              <w:top w:val="single" w:color="000000" w:sz="4" w:space="0"/>
              <w:left w:val="single" w:color="000000" w:sz="4" w:space="0"/>
              <w:bottom w:val="single" w:color="000000" w:sz="4" w:space="0"/>
              <w:right w:val="single" w:color="000000" w:sz="4" w:space="0"/>
            </w:tcBorders>
            <w:vAlign w:val="center"/>
          </w:tcPr>
          <w:p w14:paraId="1D098095">
            <w:pPr>
              <w:autoSpaceDE w:val="0"/>
              <w:autoSpaceDN w:val="0"/>
              <w:adjustRightInd w:val="0"/>
              <w:spacing w:before="49" w:line="360" w:lineRule="auto"/>
              <w:ind w:left="1876" w:right="1857"/>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审查标准</w:t>
            </w:r>
          </w:p>
        </w:tc>
      </w:tr>
      <w:tr w14:paraId="5FD93780">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3DEDD57C">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1</w:t>
            </w:r>
          </w:p>
        </w:tc>
        <w:tc>
          <w:tcPr>
            <w:tcW w:w="2362" w:type="dxa"/>
            <w:tcBorders>
              <w:top w:val="single" w:color="000000" w:sz="4" w:space="0"/>
              <w:left w:val="single" w:color="000000" w:sz="4" w:space="0"/>
              <w:bottom w:val="single" w:color="000000" w:sz="4" w:space="0"/>
              <w:right w:val="single" w:color="000000" w:sz="4" w:space="0"/>
            </w:tcBorders>
            <w:vAlign w:val="center"/>
          </w:tcPr>
          <w:p w14:paraId="70520F8D">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响应文件格式</w:t>
            </w:r>
          </w:p>
        </w:tc>
        <w:tc>
          <w:tcPr>
            <w:tcW w:w="6143" w:type="dxa"/>
            <w:tcBorders>
              <w:top w:val="single" w:color="000000" w:sz="4" w:space="0"/>
              <w:left w:val="single" w:color="000000" w:sz="4" w:space="0"/>
              <w:bottom w:val="single" w:color="000000" w:sz="4" w:space="0"/>
              <w:right w:val="single" w:color="000000" w:sz="4" w:space="0"/>
            </w:tcBorders>
            <w:vAlign w:val="center"/>
          </w:tcPr>
          <w:p w14:paraId="5BDDF92A">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符合第六章“磋商响应文件格式”的要求</w:t>
            </w:r>
          </w:p>
        </w:tc>
      </w:tr>
      <w:tr w14:paraId="38A076AE">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7EC7B017">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2</w:t>
            </w:r>
          </w:p>
        </w:tc>
        <w:tc>
          <w:tcPr>
            <w:tcW w:w="2362" w:type="dxa"/>
            <w:tcBorders>
              <w:top w:val="single" w:color="000000" w:sz="4" w:space="0"/>
              <w:left w:val="single" w:color="000000" w:sz="4" w:space="0"/>
              <w:bottom w:val="single" w:color="000000" w:sz="4" w:space="0"/>
              <w:right w:val="single" w:color="000000" w:sz="4" w:space="0"/>
            </w:tcBorders>
            <w:vAlign w:val="center"/>
          </w:tcPr>
          <w:p w14:paraId="2B580CA8">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磋商内容</w:t>
            </w:r>
          </w:p>
        </w:tc>
        <w:tc>
          <w:tcPr>
            <w:tcW w:w="6143" w:type="dxa"/>
            <w:tcBorders>
              <w:top w:val="single" w:color="000000" w:sz="4" w:space="0"/>
              <w:left w:val="single" w:color="000000" w:sz="4" w:space="0"/>
              <w:bottom w:val="single" w:color="000000" w:sz="4" w:space="0"/>
              <w:right w:val="single" w:color="000000" w:sz="4" w:space="0"/>
            </w:tcBorders>
            <w:vAlign w:val="center"/>
          </w:tcPr>
          <w:p w14:paraId="7E058952">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符合第二章“供应商须知</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前附表</w:t>
            </w: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3.1项</w:t>
            </w:r>
            <w:r>
              <w:rPr>
                <w:rFonts w:hint="eastAsia" w:ascii="宋体" w:hAnsi="宋体" w:eastAsia="宋体" w:cs="宋体"/>
                <w:color w:val="000000" w:themeColor="text1"/>
                <w:kern w:val="0"/>
                <w:szCs w:val="21"/>
                <w:highlight w:val="none"/>
                <w14:textFill>
                  <w14:solidFill>
                    <w14:schemeClr w14:val="tx1"/>
                  </w14:solidFill>
                </w14:textFill>
              </w:rPr>
              <w:t>规定</w:t>
            </w:r>
          </w:p>
        </w:tc>
      </w:tr>
      <w:tr w14:paraId="45DE3630">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3413396D">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3</w:t>
            </w:r>
          </w:p>
        </w:tc>
        <w:tc>
          <w:tcPr>
            <w:tcW w:w="2362" w:type="dxa"/>
            <w:tcBorders>
              <w:top w:val="single" w:color="000000" w:sz="4" w:space="0"/>
              <w:left w:val="single" w:color="000000" w:sz="4" w:space="0"/>
              <w:bottom w:val="single" w:color="000000" w:sz="4" w:space="0"/>
              <w:right w:val="single" w:color="000000" w:sz="4" w:space="0"/>
            </w:tcBorders>
            <w:vAlign w:val="center"/>
          </w:tcPr>
          <w:p w14:paraId="73C011C5">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服务地点</w:t>
            </w:r>
          </w:p>
        </w:tc>
        <w:tc>
          <w:tcPr>
            <w:tcW w:w="6143" w:type="dxa"/>
            <w:tcBorders>
              <w:top w:val="single" w:color="000000" w:sz="4" w:space="0"/>
              <w:left w:val="single" w:color="000000" w:sz="4" w:space="0"/>
              <w:bottom w:val="single" w:color="000000" w:sz="4" w:space="0"/>
              <w:right w:val="single" w:color="000000" w:sz="4" w:space="0"/>
            </w:tcBorders>
            <w:vAlign w:val="center"/>
          </w:tcPr>
          <w:p w14:paraId="5A1DF907">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符合第二章“供应商须知</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前附表</w:t>
            </w:r>
            <w:r>
              <w:rPr>
                <w:rFonts w:hint="eastAsia" w:ascii="宋体" w:hAnsi="宋体" w:eastAsia="宋体" w:cs="宋体"/>
                <w:color w:val="000000" w:themeColor="text1"/>
                <w:kern w:val="0"/>
                <w:szCs w:val="21"/>
                <w:highlight w:val="none"/>
                <w14:textFill>
                  <w14:solidFill>
                    <w14:schemeClr w14:val="tx1"/>
                  </w14:solidFill>
                </w14:textFill>
              </w:rPr>
              <w:t>”第3.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项规定</w:t>
            </w:r>
          </w:p>
        </w:tc>
      </w:tr>
      <w:tr w14:paraId="6F09C5E6">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22DE1079">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4</w:t>
            </w:r>
          </w:p>
        </w:tc>
        <w:tc>
          <w:tcPr>
            <w:tcW w:w="2362" w:type="dxa"/>
            <w:tcBorders>
              <w:top w:val="single" w:color="000000" w:sz="4" w:space="0"/>
              <w:left w:val="single" w:color="000000" w:sz="4" w:space="0"/>
              <w:bottom w:val="single" w:color="000000" w:sz="4" w:space="0"/>
              <w:right w:val="single" w:color="000000" w:sz="4" w:space="0"/>
            </w:tcBorders>
            <w:vAlign w:val="center"/>
          </w:tcPr>
          <w:p w14:paraId="65107F5E">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服务期限</w:t>
            </w:r>
          </w:p>
        </w:tc>
        <w:tc>
          <w:tcPr>
            <w:tcW w:w="6143" w:type="dxa"/>
            <w:tcBorders>
              <w:top w:val="single" w:color="000000" w:sz="4" w:space="0"/>
              <w:left w:val="single" w:color="000000" w:sz="4" w:space="0"/>
              <w:bottom w:val="single" w:color="000000" w:sz="4" w:space="0"/>
              <w:right w:val="single" w:color="000000" w:sz="4" w:space="0"/>
            </w:tcBorders>
            <w:vAlign w:val="center"/>
          </w:tcPr>
          <w:p w14:paraId="7B19820C">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符合第二章“供应商须知</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前附表</w:t>
            </w:r>
            <w:r>
              <w:rPr>
                <w:rFonts w:hint="eastAsia" w:ascii="宋体" w:hAnsi="宋体" w:eastAsia="宋体" w:cs="宋体"/>
                <w:color w:val="000000" w:themeColor="text1"/>
                <w:kern w:val="0"/>
                <w:szCs w:val="21"/>
                <w:highlight w:val="none"/>
                <w14:textFill>
                  <w14:solidFill>
                    <w14:schemeClr w14:val="tx1"/>
                  </w14:solidFill>
                </w14:textFill>
              </w:rPr>
              <w:t>”第3.</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项规定</w:t>
            </w:r>
          </w:p>
        </w:tc>
      </w:tr>
      <w:tr w14:paraId="098A1203">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1C6B384A">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5</w:t>
            </w:r>
          </w:p>
        </w:tc>
        <w:tc>
          <w:tcPr>
            <w:tcW w:w="2362" w:type="dxa"/>
            <w:tcBorders>
              <w:top w:val="single" w:color="000000" w:sz="4" w:space="0"/>
              <w:left w:val="single" w:color="000000" w:sz="4" w:space="0"/>
              <w:bottom w:val="single" w:color="000000" w:sz="4" w:space="0"/>
              <w:right w:val="single" w:color="000000" w:sz="4" w:space="0"/>
            </w:tcBorders>
            <w:vAlign w:val="center"/>
          </w:tcPr>
          <w:p w14:paraId="6745CBE7">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服务要求</w:t>
            </w:r>
          </w:p>
        </w:tc>
        <w:tc>
          <w:tcPr>
            <w:tcW w:w="6143" w:type="dxa"/>
            <w:tcBorders>
              <w:top w:val="single" w:color="000000" w:sz="4" w:space="0"/>
              <w:left w:val="single" w:color="000000" w:sz="4" w:space="0"/>
              <w:bottom w:val="single" w:color="000000" w:sz="4" w:space="0"/>
              <w:right w:val="single" w:color="000000" w:sz="4" w:space="0"/>
            </w:tcBorders>
            <w:vAlign w:val="center"/>
          </w:tcPr>
          <w:p w14:paraId="39C821CA">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符合第二章“供应商须知</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前附表</w:t>
            </w:r>
            <w:r>
              <w:rPr>
                <w:rFonts w:hint="eastAsia" w:ascii="宋体" w:hAnsi="宋体" w:eastAsia="宋体" w:cs="宋体"/>
                <w:color w:val="000000" w:themeColor="text1"/>
                <w:kern w:val="0"/>
                <w:szCs w:val="21"/>
                <w:highlight w:val="none"/>
                <w14:textFill>
                  <w14:solidFill>
                    <w14:schemeClr w14:val="tx1"/>
                  </w14:solidFill>
                </w14:textFill>
              </w:rPr>
              <w:t>”第3.</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项规定</w:t>
            </w:r>
          </w:p>
        </w:tc>
      </w:tr>
      <w:tr w14:paraId="4BCF5CC1">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518CE32E">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6</w:t>
            </w:r>
          </w:p>
        </w:tc>
        <w:tc>
          <w:tcPr>
            <w:tcW w:w="2362" w:type="dxa"/>
            <w:tcBorders>
              <w:top w:val="single" w:color="000000" w:sz="4" w:space="0"/>
              <w:left w:val="single" w:color="000000" w:sz="4" w:space="0"/>
              <w:bottom w:val="single" w:color="000000" w:sz="4" w:space="0"/>
              <w:right w:val="single" w:color="000000" w:sz="4" w:space="0"/>
            </w:tcBorders>
            <w:vAlign w:val="center"/>
          </w:tcPr>
          <w:p w14:paraId="47CE4DB5">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磋商有效期</w:t>
            </w:r>
          </w:p>
        </w:tc>
        <w:tc>
          <w:tcPr>
            <w:tcW w:w="6143" w:type="dxa"/>
            <w:tcBorders>
              <w:top w:val="single" w:color="000000" w:sz="4" w:space="0"/>
              <w:left w:val="single" w:color="000000" w:sz="4" w:space="0"/>
              <w:bottom w:val="single" w:color="000000" w:sz="4" w:space="0"/>
              <w:right w:val="single" w:color="000000" w:sz="4" w:space="0"/>
            </w:tcBorders>
            <w:vAlign w:val="center"/>
          </w:tcPr>
          <w:p w14:paraId="24130B5F">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符合第二章“供应商须知</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前附表</w:t>
            </w:r>
            <w:r>
              <w:rPr>
                <w:rFonts w:hint="eastAsia" w:ascii="宋体" w:hAnsi="宋体" w:eastAsia="宋体" w:cs="宋体"/>
                <w:color w:val="000000" w:themeColor="text1"/>
                <w:kern w:val="0"/>
                <w:szCs w:val="21"/>
                <w:highlight w:val="none"/>
                <w14:textFill>
                  <w14:solidFill>
                    <w14:schemeClr w14:val="tx1"/>
                  </w14:solidFill>
                </w14:textFill>
              </w:rPr>
              <w:t>”第3.</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项规定</w:t>
            </w:r>
          </w:p>
        </w:tc>
      </w:tr>
      <w:tr w14:paraId="43B89105">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154E6B94">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7</w:t>
            </w:r>
          </w:p>
        </w:tc>
        <w:tc>
          <w:tcPr>
            <w:tcW w:w="2362" w:type="dxa"/>
            <w:tcBorders>
              <w:top w:val="single" w:color="000000" w:sz="4" w:space="0"/>
              <w:left w:val="single" w:color="000000" w:sz="4" w:space="0"/>
              <w:bottom w:val="single" w:color="000000" w:sz="4" w:space="0"/>
              <w:right w:val="single" w:color="000000" w:sz="4" w:space="0"/>
            </w:tcBorders>
            <w:vAlign w:val="center"/>
          </w:tcPr>
          <w:p w14:paraId="2AA22DEA">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签字盖章</w:t>
            </w:r>
          </w:p>
        </w:tc>
        <w:tc>
          <w:tcPr>
            <w:tcW w:w="6143" w:type="dxa"/>
            <w:tcBorders>
              <w:top w:val="single" w:color="000000" w:sz="4" w:space="0"/>
              <w:left w:val="single" w:color="000000" w:sz="4" w:space="0"/>
              <w:bottom w:val="single" w:color="000000" w:sz="4" w:space="0"/>
              <w:right w:val="single" w:color="000000" w:sz="4" w:space="0"/>
            </w:tcBorders>
            <w:vAlign w:val="center"/>
          </w:tcPr>
          <w:p w14:paraId="29FC3AD5">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符合第二章“供应商须知</w:t>
            </w:r>
            <w:r>
              <w:rPr>
                <w:rFonts w:hint="eastAsia" w:ascii="宋体" w:hAnsi="宋体" w:eastAsia="宋体" w:cs="宋体"/>
                <w:color w:val="000000" w:themeColor="text1"/>
                <w:kern w:val="0"/>
                <w:szCs w:val="21"/>
                <w:highlight w:val="none"/>
                <w:lang w:val="en-US" w:eastAsia="zh-CN"/>
                <w14:textFill>
                  <w14:solidFill>
                    <w14:schemeClr w14:val="tx1"/>
                  </w14:solidFill>
                </w14:textFill>
              </w:rPr>
              <w:t>前附表</w:t>
            </w: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20.3</w:t>
            </w:r>
            <w:r>
              <w:rPr>
                <w:rFonts w:hint="eastAsia" w:ascii="宋体" w:hAnsi="宋体" w:eastAsia="宋体" w:cs="宋体"/>
                <w:color w:val="000000" w:themeColor="text1"/>
                <w:kern w:val="0"/>
                <w:szCs w:val="21"/>
                <w:highlight w:val="none"/>
                <w14:textFill>
                  <w14:solidFill>
                    <w14:schemeClr w14:val="tx1"/>
                  </w14:solidFill>
                </w14:textFill>
              </w:rPr>
              <w:t>项规定</w:t>
            </w:r>
          </w:p>
        </w:tc>
      </w:tr>
      <w:tr w14:paraId="51C29DDF">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5C40110E">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8</w:t>
            </w:r>
          </w:p>
        </w:tc>
        <w:tc>
          <w:tcPr>
            <w:tcW w:w="2362" w:type="dxa"/>
            <w:tcBorders>
              <w:top w:val="single" w:color="000000" w:sz="4" w:space="0"/>
              <w:left w:val="single" w:color="000000" w:sz="4" w:space="0"/>
              <w:bottom w:val="single" w:color="000000" w:sz="4" w:space="0"/>
              <w:right w:val="single" w:color="000000" w:sz="4" w:space="0"/>
            </w:tcBorders>
            <w:vAlign w:val="center"/>
          </w:tcPr>
          <w:p w14:paraId="4F68DB54">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磋商首轮报价、最终报价</w:t>
            </w:r>
          </w:p>
        </w:tc>
        <w:tc>
          <w:tcPr>
            <w:tcW w:w="6143" w:type="dxa"/>
            <w:tcBorders>
              <w:top w:val="single" w:color="000000" w:sz="4" w:space="0"/>
              <w:left w:val="single" w:color="000000" w:sz="4" w:space="0"/>
              <w:bottom w:val="single" w:color="000000" w:sz="4" w:space="0"/>
              <w:right w:val="single" w:color="000000" w:sz="4" w:space="0"/>
            </w:tcBorders>
            <w:vAlign w:val="center"/>
          </w:tcPr>
          <w:p w14:paraId="53D5F362">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szCs w:val="21"/>
              </w:rPr>
              <w:t>磋商报价在规定的报价要求范围之内，未超出最高限价</w:t>
            </w:r>
          </w:p>
        </w:tc>
      </w:tr>
      <w:tr w14:paraId="191B92B7">
        <w:tblPrEx>
          <w:tblCellMar>
            <w:top w:w="0" w:type="dxa"/>
            <w:left w:w="0" w:type="dxa"/>
            <w:bottom w:w="0" w:type="dxa"/>
            <w:right w:w="0" w:type="dxa"/>
          </w:tblCellMar>
        </w:tblPrEx>
        <w:trPr>
          <w:trHeight w:val="397" w:hRule="atLeast"/>
        </w:trPr>
        <w:tc>
          <w:tcPr>
            <w:tcW w:w="599" w:type="dxa"/>
            <w:tcBorders>
              <w:top w:val="single" w:color="000000" w:sz="4" w:space="0"/>
              <w:left w:val="single" w:color="000000" w:sz="4" w:space="0"/>
              <w:bottom w:val="single" w:color="000000" w:sz="4" w:space="0"/>
              <w:right w:val="single" w:color="000000" w:sz="4" w:space="0"/>
            </w:tcBorders>
            <w:vAlign w:val="center"/>
          </w:tcPr>
          <w:p w14:paraId="0479A027">
            <w:pPr>
              <w:pStyle w:val="10"/>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9</w:t>
            </w:r>
          </w:p>
        </w:tc>
        <w:tc>
          <w:tcPr>
            <w:tcW w:w="2362" w:type="dxa"/>
            <w:tcBorders>
              <w:top w:val="single" w:color="000000" w:sz="4" w:space="0"/>
              <w:left w:val="single" w:color="000000" w:sz="4" w:space="0"/>
              <w:bottom w:val="single" w:color="000000" w:sz="4" w:space="0"/>
              <w:right w:val="single" w:color="000000" w:sz="4" w:space="0"/>
            </w:tcBorders>
            <w:vAlign w:val="center"/>
          </w:tcPr>
          <w:p w14:paraId="11F77DF7">
            <w:pPr>
              <w:autoSpaceDE w:val="0"/>
              <w:autoSpaceDN w:val="0"/>
              <w:adjustRightInd w:val="0"/>
              <w:spacing w:before="48" w:line="360" w:lineRule="auto"/>
              <w:ind w:right="-2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其他因素</w:t>
            </w:r>
          </w:p>
        </w:tc>
        <w:tc>
          <w:tcPr>
            <w:tcW w:w="6143" w:type="dxa"/>
            <w:tcBorders>
              <w:top w:val="single" w:color="000000" w:sz="4" w:space="0"/>
              <w:left w:val="single" w:color="000000" w:sz="4" w:space="0"/>
              <w:bottom w:val="single" w:color="000000" w:sz="4" w:space="0"/>
              <w:right w:val="single" w:color="000000" w:sz="4" w:space="0"/>
            </w:tcBorders>
            <w:vAlign w:val="center"/>
          </w:tcPr>
          <w:p w14:paraId="03900743">
            <w:pPr>
              <w:autoSpaceDE w:val="0"/>
              <w:autoSpaceDN w:val="0"/>
              <w:adjustRightInd w:val="0"/>
              <w:spacing w:before="48" w:line="360" w:lineRule="auto"/>
              <w:ind w:right="-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投标（响应）文件制作机器码不能一致</w:t>
            </w:r>
          </w:p>
        </w:tc>
      </w:tr>
    </w:tbl>
    <w:p w14:paraId="20AA1F55">
      <w:pPr>
        <w:autoSpaceDE w:val="0"/>
        <w:autoSpaceDN w:val="0"/>
        <w:adjustRightInd w:val="0"/>
        <w:jc w:val="left"/>
        <w:rPr>
          <w:rFonts w:ascii="宋体" w:hAnsi="宋体" w:cs="宋体"/>
          <w:color w:val="000000" w:themeColor="text1"/>
          <w:kern w:val="0"/>
          <w:sz w:val="24"/>
          <w:highlight w:val="none"/>
          <w14:textFill>
            <w14:solidFill>
              <w14:schemeClr w14:val="tx1"/>
            </w14:solidFill>
          </w14:textFill>
        </w:rPr>
      </w:pPr>
    </w:p>
    <w:p w14:paraId="769AA33E">
      <w:pPr>
        <w:pStyle w:val="2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p>
    <w:p w14:paraId="72535BB2">
      <w:pPr>
        <w:pStyle w:val="2"/>
        <w:rPr>
          <w:rFonts w:ascii="宋体" w:hAnsi="宋体" w:cs="宋体"/>
          <w:color w:val="000000" w:themeColor="text1"/>
          <w:highlight w:val="none"/>
          <w14:textFill>
            <w14:solidFill>
              <w14:schemeClr w14:val="tx1"/>
            </w14:solidFill>
          </w14:textFill>
        </w:rPr>
      </w:pPr>
      <w:bookmarkStart w:id="92" w:name="_Toc19010"/>
      <w:bookmarkStart w:id="93" w:name="_Toc2450"/>
      <w:bookmarkStart w:id="94" w:name="_Toc13700"/>
      <w:r>
        <w:rPr>
          <w:rFonts w:hint="eastAsia" w:ascii="宋体" w:hAnsi="宋体" w:cs="宋体"/>
          <w:color w:val="000000" w:themeColor="text1"/>
          <w:highlight w:val="none"/>
          <w14:textFill>
            <w14:solidFill>
              <w14:schemeClr w14:val="tx1"/>
            </w14:solidFill>
          </w14:textFill>
        </w:rPr>
        <w:t>3、响应文件的澄清</w:t>
      </w:r>
      <w:bookmarkEnd w:id="92"/>
      <w:bookmarkEnd w:id="93"/>
      <w:bookmarkEnd w:id="94"/>
    </w:p>
    <w:p w14:paraId="73985D1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9E0CB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58FA37">
      <w:pPr>
        <w:pStyle w:val="2"/>
        <w:rPr>
          <w:rFonts w:ascii="宋体" w:hAnsi="宋体" w:cs="宋体"/>
          <w:color w:val="000000" w:themeColor="text1"/>
          <w:highlight w:val="none"/>
          <w14:textFill>
            <w14:solidFill>
              <w14:schemeClr w14:val="tx1"/>
            </w14:solidFill>
          </w14:textFill>
        </w:rPr>
      </w:pPr>
      <w:bookmarkStart w:id="95" w:name="_Toc28446"/>
      <w:bookmarkStart w:id="96" w:name="_Toc3580"/>
      <w:bookmarkStart w:id="97" w:name="_Toc27212"/>
      <w:r>
        <w:rPr>
          <w:rFonts w:hint="eastAsia" w:ascii="宋体" w:hAnsi="宋体" w:cs="宋体"/>
          <w:color w:val="000000" w:themeColor="text1"/>
          <w:highlight w:val="none"/>
          <w14:textFill>
            <w14:solidFill>
              <w14:schemeClr w14:val="tx1"/>
            </w14:solidFill>
          </w14:textFill>
        </w:rPr>
        <w:t>4、磋商</w:t>
      </w:r>
      <w:bookmarkEnd w:id="95"/>
      <w:bookmarkEnd w:id="96"/>
      <w:bookmarkEnd w:id="97"/>
    </w:p>
    <w:p w14:paraId="027FA54D">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4.1磋商小组根据磋商文件规定的程序、方法和标准等事项与实质性响应磋商文件要求的供应商进行磋商。</w:t>
      </w:r>
    </w:p>
    <w:p w14:paraId="63E6FC1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4.2磋商小组所有成员应当集中与单一供应商分别进行磋商，并给予所有参加磋商的供应商平等的磋商机会。</w:t>
      </w:r>
    </w:p>
    <w:p w14:paraId="7CE309E9">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在磋商过程中，磋商小组可以根据磋商文件和磋商情况实质性变动采购需求中的技术、服务要求以及合同草案条款，但不得变动磋商文件中的其他内容（如合格供应商的资格条件、采购方式和采购程序等）。实质性变动的内容，须经采购人代表确认。</w:t>
      </w:r>
    </w:p>
    <w:p w14:paraId="105E5F7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对磋商文件作出的实质性变动是磋商文件的有效组成部分，磋商小组应当及时以书面形式同时通知所有参加磋商的供应商。</w:t>
      </w:r>
    </w:p>
    <w:p w14:paraId="145470D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3A3A94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4.4磋商文件能够详细列明采购标的的技术、服务要求的，磋商结束后，磋商小组应当要求所有继续参加磋商的供应商在规定时间内提交最后报价，提交最后报价的供应商不得少于3家。</w:t>
      </w:r>
    </w:p>
    <w:p w14:paraId="6233A19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7E0302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后报价是供应商响应文件的有效组成部分。符合《政府采购竞争性磋商采购方式管理暂行办法》财库〔2014〕214号第三条第四项“市场竞争不充分的科研项目，以及需要扶持的科技成果转化项目”情形的，提交最后报价的供应商可以为2家。</w:t>
      </w:r>
    </w:p>
    <w:p w14:paraId="52DFFFDA">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4.5已提交响应文件的供应商，在提交最后报价之前，可以根据磋商情况退出磋商。采购人、采购代理机构应当退还退出磋商的供应商的保证金。</w:t>
      </w:r>
    </w:p>
    <w:p w14:paraId="47797FED">
      <w:pPr>
        <w:pStyle w:val="2"/>
        <w:rPr>
          <w:rFonts w:ascii="宋体" w:hAnsi="宋体" w:cs="宋体"/>
          <w:color w:val="000000" w:themeColor="text1"/>
          <w:highlight w:val="none"/>
          <w14:textFill>
            <w14:solidFill>
              <w14:schemeClr w14:val="tx1"/>
            </w14:solidFill>
          </w14:textFill>
        </w:rPr>
      </w:pPr>
      <w:bookmarkStart w:id="98" w:name="_Toc7577"/>
      <w:bookmarkStart w:id="99" w:name="_Toc9459"/>
      <w:bookmarkStart w:id="100" w:name="_Toc2358"/>
      <w:r>
        <w:rPr>
          <w:rFonts w:hint="eastAsia" w:ascii="宋体" w:hAnsi="宋体" w:cs="宋体"/>
          <w:color w:val="000000" w:themeColor="text1"/>
          <w:highlight w:val="none"/>
          <w14:textFill>
            <w14:solidFill>
              <w14:schemeClr w14:val="tx1"/>
            </w14:solidFill>
          </w14:textFill>
        </w:rPr>
        <w:t>5、综合评分</w:t>
      </w:r>
      <w:bookmarkEnd w:id="98"/>
      <w:bookmarkEnd w:id="99"/>
      <w:bookmarkEnd w:id="100"/>
    </w:p>
    <w:p w14:paraId="3AEC61E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5.1经磋商确定最终采购需求和提交最后报价的供应商后，由磋商小组采用综合评分法对提交最后报价的供应商的响应文件和最后报价进行综合评分。</w:t>
      </w:r>
    </w:p>
    <w:p w14:paraId="5A70E40F">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5.2综合评分法，是指响应文件满足磋商文件全部实质性要求且按评审因素的量化指标评审得分最高的供应商为成交候选供应商的评审方法。</w:t>
      </w:r>
    </w:p>
    <w:p w14:paraId="68B1FBF3">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5.3磋商文件中没有规定的评审标准不得作为评审依据。</w:t>
      </w:r>
    </w:p>
    <w:p w14:paraId="03878E21">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5.4评审时，磋商小组各成员应当独立对每个有效响应的文件进行评价、打分，然后汇总每个供应商每项评分因素的得分。</w:t>
      </w:r>
    </w:p>
    <w:p w14:paraId="2A566615">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5.5评分分值计算保留小数点后两位，小数点后第三位“四舍五入”。</w:t>
      </w:r>
    </w:p>
    <w:p w14:paraId="2458F7A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 供应商最终得分为磋商小组所有成员打分的算术平均值。</w:t>
      </w:r>
    </w:p>
    <w:p w14:paraId="65F14747">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5.7分值构成与评分标准</w:t>
      </w:r>
    </w:p>
    <w:p w14:paraId="621699FE">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详见评分分值构成与评分标准表</w:t>
      </w:r>
    </w:p>
    <w:p w14:paraId="66D12370">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 关于小微企业、监狱企业、残疾人福利性单位产品价格扣除根据财政部、工信部关于印发《政府采购促进中小企业发展管理办法》的通知（财库〔2020〕46号）文件及《国务院关于印发扎实稳住经济一揽子政策措施的通知》（国发〔2022〕12 号）和财政部《关于进一步加大政府采购支持中小企业力度的通知》（财库〔2022〕19 号）规定：</w:t>
      </w:r>
    </w:p>
    <w:p w14:paraId="5BEDECE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5.8.1 对于经主管预算单位统筹后未预留份额专门面向中小企业采购的采购项目，以及预留份额项目中的非预留部分采购包，应当对符合本办法规定的小微企业报价给予 10%—20%的扣除，用扣除后的价格参加评审；</w:t>
      </w:r>
    </w:p>
    <w:p w14:paraId="719C55A9">
      <w:pPr>
        <w:autoSpaceDE w:val="0"/>
        <w:autoSpaceDN w:val="0"/>
        <w:adjustRightInd w:val="0"/>
        <w:spacing w:line="360" w:lineRule="auto"/>
        <w:ind w:right="4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5.8.2 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的扣除，用扣除后的价格参加评审；</w:t>
      </w:r>
    </w:p>
    <w:p w14:paraId="2FF47D9A">
      <w:pPr>
        <w:autoSpaceDE w:val="0"/>
        <w:autoSpaceDN w:val="0"/>
        <w:adjustRightInd w:val="0"/>
        <w:spacing w:line="360" w:lineRule="auto"/>
        <w:ind w:right="4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5.8.3 关于监狱企业：视同小微企业。须提供由省级以上监狱管理局、戒毒管理局（含新疆生产建设兵团）出具的属于监狱企业的证明文件，否则不考虑价格扣除。</w:t>
      </w:r>
    </w:p>
    <w:p w14:paraId="2FECFF94">
      <w:pPr>
        <w:autoSpaceDE w:val="0"/>
        <w:autoSpaceDN w:val="0"/>
        <w:adjustRightInd w:val="0"/>
        <w:spacing w:line="360" w:lineRule="auto"/>
        <w:ind w:right="40"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5.8.4 关于残疾人福利性单位：视同小微企业。须提供完整的“残疾人福利性单位声明函”，否则在价格评审时不予考虑价格扣除。残疾人福利性单位属于小型、微型企业的，不重复享受政策。</w:t>
      </w:r>
    </w:p>
    <w:p w14:paraId="23B66623">
      <w:pPr>
        <w:pStyle w:val="2"/>
        <w:rPr>
          <w:rFonts w:ascii="宋体" w:hAnsi="宋体" w:cs="宋体"/>
          <w:color w:val="000000" w:themeColor="text1"/>
          <w:highlight w:val="none"/>
          <w14:textFill>
            <w14:solidFill>
              <w14:schemeClr w14:val="tx1"/>
            </w14:solidFill>
          </w14:textFill>
        </w:rPr>
      </w:pPr>
      <w:bookmarkStart w:id="101" w:name="_Toc29909"/>
      <w:bookmarkStart w:id="102" w:name="_Toc24374"/>
      <w:bookmarkStart w:id="103" w:name="_Toc4323"/>
      <w:r>
        <w:rPr>
          <w:rFonts w:hint="eastAsia" w:ascii="宋体" w:hAnsi="宋体" w:cs="宋体"/>
          <w:color w:val="000000" w:themeColor="text1"/>
          <w:highlight w:val="none"/>
          <w14:textFill>
            <w14:solidFill>
              <w14:schemeClr w14:val="tx1"/>
            </w14:solidFill>
          </w14:textFill>
        </w:rPr>
        <w:t>6、评审报告</w:t>
      </w:r>
      <w:bookmarkEnd w:id="101"/>
      <w:bookmarkEnd w:id="102"/>
      <w:bookmarkEnd w:id="103"/>
    </w:p>
    <w:p w14:paraId="65EE33B8">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磋商小组应当根据综合评分情况，按照评审得分由高到低顺序推荐3名以上成交候选供应商，并编写评审报告。符合《政府采购竞争性磋商采购方式管理暂行办法》财库〔2014〕214号第三条第四项“市场竞争不充分的科研项目，以及需要扶持的科技成果转化项目”情形的，可以推荐2家成交候选供应商。评审得分相同的，按照最后报价由低到高的顺序推荐。评审得分且最后报价相同的，按照技术指标优劣顺序推荐。</w:t>
      </w:r>
    </w:p>
    <w:p w14:paraId="6F9D38E3">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评审、磋商结束磋商小组应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17549E">
      <w:pPr>
        <w:pStyle w:val="2"/>
        <w:rPr>
          <w:rFonts w:ascii="宋体" w:hAnsi="宋体" w:cs="宋体"/>
          <w:color w:val="000000" w:themeColor="text1"/>
          <w:highlight w:val="none"/>
          <w14:textFill>
            <w14:solidFill>
              <w14:schemeClr w14:val="tx1"/>
            </w14:solidFill>
          </w14:textFill>
        </w:rPr>
      </w:pPr>
      <w:bookmarkStart w:id="104" w:name="_Toc6273"/>
      <w:bookmarkStart w:id="105" w:name="_Toc12183"/>
      <w:bookmarkStart w:id="106" w:name="_Toc31017"/>
      <w:r>
        <w:rPr>
          <w:rFonts w:hint="eastAsia" w:ascii="宋体" w:hAnsi="宋体" w:cs="宋体"/>
          <w:color w:val="000000" w:themeColor="text1"/>
          <w:highlight w:val="none"/>
          <w14:textFill>
            <w14:solidFill>
              <w14:schemeClr w14:val="tx1"/>
            </w14:solidFill>
          </w14:textFill>
        </w:rPr>
        <w:t>7、重新评审</w:t>
      </w:r>
      <w:bookmarkEnd w:id="104"/>
      <w:bookmarkEnd w:id="105"/>
      <w:bookmarkEnd w:id="106"/>
    </w:p>
    <w:p w14:paraId="138FD0C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2B0B25B">
      <w:pPr>
        <w:autoSpaceDE w:val="0"/>
        <w:autoSpaceDN w:val="0"/>
        <w:adjustRightInd w:val="0"/>
        <w:spacing w:before="9" w:line="276" w:lineRule="auto"/>
        <w:ind w:firstLine="105" w:firstLineChars="5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28"/>
          <w:szCs w:val="28"/>
          <w:highlight w:val="none"/>
          <w14:textFill>
            <w14:solidFill>
              <w14:schemeClr w14:val="tx1"/>
            </w14:solidFill>
          </w14:textFill>
        </w:rPr>
        <w:t>评分分值构成与评分标准表</w:t>
      </w:r>
    </w:p>
    <w:tbl>
      <w:tblPr>
        <w:tblStyle w:val="21"/>
        <w:tblpPr w:leftFromText="180" w:rightFromText="180" w:vertAnchor="text" w:horzAnchor="page" w:tblpX="1635" w:tblpY="355"/>
        <w:tblOverlap w:val="never"/>
        <w:tblW w:w="88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85"/>
        <w:gridCol w:w="6113"/>
      </w:tblGrid>
      <w:tr w14:paraId="67E0F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62" w:type="dxa"/>
            <w:tcBorders>
              <w:top w:val="single" w:color="000000" w:sz="2" w:space="0"/>
              <w:left w:val="single" w:color="000000" w:sz="2" w:space="0"/>
              <w:bottom w:val="single" w:color="000000" w:sz="2" w:space="0"/>
              <w:right w:val="single" w:color="000000" w:sz="2" w:space="0"/>
            </w:tcBorders>
            <w:vAlign w:val="center"/>
          </w:tcPr>
          <w:p w14:paraId="27C73C2C">
            <w:pPr>
              <w:widowControl/>
              <w:kinsoku w:val="0"/>
              <w:autoSpaceDE w:val="0"/>
              <w:autoSpaceDN w:val="0"/>
              <w:adjustRightInd w:val="0"/>
              <w:snapToGrid w:val="0"/>
              <w:spacing w:line="360" w:lineRule="auto"/>
              <w:ind w:left="163"/>
              <w:jc w:val="center"/>
              <w:textAlignment w:val="baseline"/>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pacing w:val="-4"/>
                <w:kern w:val="0"/>
                <w:szCs w:val="21"/>
                <w:highlight w:val="none"/>
                <w14:textFill>
                  <w14:solidFill>
                    <w14:schemeClr w14:val="tx1"/>
                  </w14:solidFill>
                </w14:textFill>
              </w:rPr>
              <w:t>评</w:t>
            </w:r>
            <w:r>
              <w:rPr>
                <w:rFonts w:hint="eastAsia" w:ascii="宋体" w:hAnsi="宋体" w:cs="宋体"/>
                <w:b/>
                <w:bCs/>
                <w:color w:val="000000" w:themeColor="text1"/>
                <w:spacing w:val="-3"/>
                <w:kern w:val="0"/>
                <w:szCs w:val="21"/>
                <w:highlight w:val="none"/>
                <w14:textFill>
                  <w14:solidFill>
                    <w14:schemeClr w14:val="tx1"/>
                  </w14:solidFill>
                </w14:textFill>
              </w:rPr>
              <w:t>分内容</w:t>
            </w:r>
          </w:p>
        </w:tc>
        <w:tc>
          <w:tcPr>
            <w:tcW w:w="1485" w:type="dxa"/>
            <w:tcBorders>
              <w:top w:val="single" w:color="000000" w:sz="2" w:space="0"/>
              <w:left w:val="single" w:color="000000" w:sz="2" w:space="0"/>
              <w:bottom w:val="single" w:color="000000" w:sz="2" w:space="0"/>
              <w:right w:val="single" w:color="000000" w:sz="2" w:space="0"/>
            </w:tcBorders>
            <w:vAlign w:val="center"/>
          </w:tcPr>
          <w:p w14:paraId="3749CA35">
            <w:pPr>
              <w:widowControl/>
              <w:kinsoku w:val="0"/>
              <w:autoSpaceDE w:val="0"/>
              <w:autoSpaceDN w:val="0"/>
              <w:adjustRightInd w:val="0"/>
              <w:snapToGrid w:val="0"/>
              <w:spacing w:line="360" w:lineRule="auto"/>
              <w:jc w:val="center"/>
              <w:textAlignment w:val="baseline"/>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pacing w:val="-4"/>
                <w:kern w:val="0"/>
                <w:szCs w:val="21"/>
                <w:highlight w:val="none"/>
                <w14:textFill>
                  <w14:solidFill>
                    <w14:schemeClr w14:val="tx1"/>
                  </w14:solidFill>
                </w14:textFill>
              </w:rPr>
              <w:t>评</w:t>
            </w:r>
            <w:r>
              <w:rPr>
                <w:rFonts w:hint="eastAsia" w:ascii="宋体" w:hAnsi="宋体" w:cs="宋体"/>
                <w:b/>
                <w:bCs/>
                <w:color w:val="000000" w:themeColor="text1"/>
                <w:spacing w:val="-3"/>
                <w:kern w:val="0"/>
                <w:szCs w:val="21"/>
                <w:highlight w:val="none"/>
                <w14:textFill>
                  <w14:solidFill>
                    <w14:schemeClr w14:val="tx1"/>
                  </w14:solidFill>
                </w14:textFill>
              </w:rPr>
              <w:t>分因素</w:t>
            </w:r>
          </w:p>
        </w:tc>
        <w:tc>
          <w:tcPr>
            <w:tcW w:w="6113" w:type="dxa"/>
            <w:tcBorders>
              <w:top w:val="single" w:color="000000" w:sz="2" w:space="0"/>
              <w:left w:val="single" w:color="000000" w:sz="2" w:space="0"/>
              <w:bottom w:val="single" w:color="000000" w:sz="2" w:space="0"/>
              <w:right w:val="single" w:color="000000" w:sz="2" w:space="0"/>
            </w:tcBorders>
            <w:vAlign w:val="center"/>
          </w:tcPr>
          <w:p w14:paraId="012E58D5">
            <w:pPr>
              <w:widowControl/>
              <w:kinsoku w:val="0"/>
              <w:autoSpaceDE w:val="0"/>
              <w:autoSpaceDN w:val="0"/>
              <w:adjustRightInd w:val="0"/>
              <w:snapToGrid w:val="0"/>
              <w:spacing w:line="360" w:lineRule="auto"/>
              <w:jc w:val="center"/>
              <w:textAlignment w:val="baseline"/>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spacing w:val="-4"/>
                <w:kern w:val="0"/>
                <w:szCs w:val="21"/>
                <w:highlight w:val="none"/>
                <w14:textFill>
                  <w14:solidFill>
                    <w14:schemeClr w14:val="tx1"/>
                  </w14:solidFill>
                </w14:textFill>
              </w:rPr>
              <w:t>评</w:t>
            </w:r>
            <w:r>
              <w:rPr>
                <w:rFonts w:hint="eastAsia" w:ascii="宋体" w:hAnsi="宋体" w:cs="宋体"/>
                <w:b/>
                <w:bCs/>
                <w:color w:val="000000" w:themeColor="text1"/>
                <w:spacing w:val="-3"/>
                <w:kern w:val="0"/>
                <w:szCs w:val="21"/>
                <w:highlight w:val="none"/>
                <w14:textFill>
                  <w14:solidFill>
                    <w14:schemeClr w14:val="tx1"/>
                  </w14:solidFill>
                </w14:textFill>
              </w:rPr>
              <w:t>分标准</w:t>
            </w:r>
          </w:p>
        </w:tc>
      </w:tr>
      <w:tr w14:paraId="3F809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262" w:type="dxa"/>
            <w:tcBorders>
              <w:top w:val="single" w:color="000000" w:sz="2" w:space="0"/>
              <w:left w:val="single" w:color="000000" w:sz="2" w:space="0"/>
              <w:bottom w:val="single" w:color="000000" w:sz="2" w:space="0"/>
              <w:right w:val="single" w:color="000000" w:sz="2" w:space="0"/>
            </w:tcBorders>
            <w:vAlign w:val="center"/>
          </w:tcPr>
          <w:p w14:paraId="1CA74DC6">
            <w:pPr>
              <w:widowControl/>
              <w:kinsoku w:val="0"/>
              <w:autoSpaceDE w:val="0"/>
              <w:autoSpaceDN w:val="0"/>
              <w:adjustRightInd w:val="0"/>
              <w:snapToGrid w:val="0"/>
              <w:spacing w:line="360" w:lineRule="exact"/>
              <w:ind w:left="121" w:right="146"/>
              <w:jc w:val="center"/>
              <w:textAlignment w:val="baseline"/>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报价</w:t>
            </w:r>
          </w:p>
          <w:p w14:paraId="4B2EF8B5">
            <w:pPr>
              <w:widowControl/>
              <w:kinsoku w:val="0"/>
              <w:autoSpaceDE w:val="0"/>
              <w:autoSpaceDN w:val="0"/>
              <w:adjustRightInd w:val="0"/>
              <w:snapToGrid w:val="0"/>
              <w:spacing w:line="360" w:lineRule="exact"/>
              <w:ind w:left="121" w:right="146"/>
              <w:jc w:val="center"/>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w:t>
            </w:r>
            <w:r>
              <w:rPr>
                <w:rFonts w:hint="eastAsia" w:ascii="宋体" w:hAnsi="宋体" w:cs="宋体"/>
                <w:color w:val="000000" w:themeColor="text1"/>
                <w:spacing w:val="4"/>
                <w:kern w:val="0"/>
                <w:szCs w:val="21"/>
                <w:highlight w:val="none"/>
                <w:lang w:val="en-US" w:eastAsia="zh-CN"/>
                <w14:textFill>
                  <w14:solidFill>
                    <w14:schemeClr w14:val="tx1"/>
                  </w14:solidFill>
                </w14:textFill>
              </w:rPr>
              <w:t>15</w:t>
            </w:r>
            <w:r>
              <w:rPr>
                <w:rFonts w:hint="eastAsia" w:ascii="宋体" w:hAnsi="宋体" w:cs="宋体"/>
                <w:color w:val="000000" w:themeColor="text1"/>
                <w:spacing w:val="4"/>
                <w:kern w:val="0"/>
                <w:szCs w:val="21"/>
                <w:highlight w:val="none"/>
                <w14:textFill>
                  <w14:solidFill>
                    <w14:schemeClr w14:val="tx1"/>
                  </w14:solidFill>
                </w14:textFill>
              </w:rPr>
              <w:t>分)</w:t>
            </w:r>
          </w:p>
        </w:tc>
        <w:tc>
          <w:tcPr>
            <w:tcW w:w="1485" w:type="dxa"/>
            <w:tcBorders>
              <w:top w:val="single" w:color="000000" w:sz="2" w:space="0"/>
              <w:left w:val="single" w:color="000000" w:sz="2" w:space="0"/>
              <w:bottom w:val="single" w:color="000000" w:sz="2" w:space="0"/>
              <w:right w:val="single" w:color="000000" w:sz="2" w:space="0"/>
            </w:tcBorders>
            <w:vAlign w:val="center"/>
          </w:tcPr>
          <w:p w14:paraId="07FDBC3A">
            <w:pPr>
              <w:adjustRightIn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Cs/>
                <w:szCs w:val="21"/>
              </w:rPr>
              <w:t>投标报价</w:t>
            </w:r>
          </w:p>
        </w:tc>
        <w:tc>
          <w:tcPr>
            <w:tcW w:w="6113" w:type="dxa"/>
            <w:tcBorders>
              <w:top w:val="single" w:color="000000" w:sz="2" w:space="0"/>
              <w:left w:val="single" w:color="000000" w:sz="2" w:space="0"/>
              <w:bottom w:val="single" w:color="000000" w:sz="2" w:space="0"/>
              <w:right w:val="single" w:color="000000" w:sz="2" w:space="0"/>
            </w:tcBorders>
            <w:vAlign w:val="center"/>
          </w:tcPr>
          <w:p w14:paraId="19D490F8">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1、为了促进中小企业发展，根据《中华人民共和国政府采购法实施条例》第六条和</w:t>
            </w:r>
            <w:r>
              <w:rPr>
                <w:rFonts w:hint="eastAsia" w:ascii="宋体" w:hAnsi="宋体" w:eastAsia="宋体" w:cs="宋体"/>
                <w:bCs/>
                <w:color w:val="auto"/>
                <w:sz w:val="21"/>
                <w:szCs w:val="21"/>
                <w:lang w:eastAsia="zh-CN"/>
              </w:rPr>
              <w:t>财库〔2022〕19号</w:t>
            </w:r>
            <w:r>
              <w:rPr>
                <w:rFonts w:hint="eastAsia" w:ascii="宋体" w:hAnsi="宋体" w:eastAsia="宋体" w:cs="宋体"/>
                <w:bCs/>
                <w:color w:val="auto"/>
                <w:sz w:val="21"/>
                <w:szCs w:val="21"/>
              </w:rPr>
              <w:t>的规定，给予</w:t>
            </w:r>
            <w:r>
              <w:rPr>
                <w:rFonts w:hint="eastAsia" w:ascii="宋体" w:hAnsi="宋体" w:eastAsia="宋体" w:cs="宋体"/>
                <w:bCs/>
                <w:color w:val="auto"/>
                <w:sz w:val="21"/>
                <w:szCs w:val="21"/>
                <w:lang w:val="en-US" w:eastAsia="zh-CN"/>
              </w:rPr>
              <w:t>提供服务为</w:t>
            </w:r>
            <w:r>
              <w:rPr>
                <w:rFonts w:hint="eastAsia" w:ascii="宋体" w:hAnsi="宋体" w:eastAsia="宋体" w:cs="宋体"/>
                <w:bCs/>
                <w:color w:val="auto"/>
                <w:sz w:val="21"/>
                <w:szCs w:val="21"/>
              </w:rPr>
              <w:t>小型和微型企业</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价</w:t>
            </w:r>
            <w:r>
              <w:rPr>
                <w:rFonts w:hint="eastAsia" w:ascii="宋体" w:hAnsi="宋体" w:eastAsia="宋体" w:cs="宋体"/>
                <w:bCs/>
                <w:color w:val="auto"/>
                <w:sz w:val="21"/>
                <w:szCs w:val="21"/>
                <w:highlight w:val="none"/>
              </w:rPr>
              <w:t>格</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rPr>
              <w:t>扣除，用扣除后的价格参与评审，小微企业产品投标报价=小微企业产品最终报价×（1-</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%）。中小企业划型标准见《关于印发中小企业划型标准规定的通知》（工信部联企业[2011]300号）；</w:t>
            </w:r>
          </w:p>
          <w:p w14:paraId="5290C64D">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2、为了发挥政府采购促进残疾人就业的作用，进一步保障残疾人权益，根据财库【2017】141号的规定，给予残疾人福利性单位（供应商为残疾人福利性单位且提供的所有投标产品均为残疾人福利性单位产品）价格</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%的扣除，用扣除后的价格参与评审，残疾人福利性单位投标报价=残疾人福利性单位最终报价×（1-</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w:t>
            </w:r>
          </w:p>
          <w:p w14:paraId="2E3EC029">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3、根据财政部、司法部关于政府采购支持监狱企业发展有关问题的通知（财库[2014]68号）的要求，监狱企业视同小型、微型企业，监狱投标报价=监狱企业最终报价×（1-</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w:t>
            </w:r>
          </w:p>
          <w:p w14:paraId="4C6ABCD7">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4、最终报价扣除相应比例后称为“优惠后评标价”（即评标价）。</w:t>
            </w:r>
          </w:p>
          <w:p w14:paraId="4651B881">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5、凡未按规定提供《中小企业声明函》以及代理国内外大型企业产品的，均不得统计为小微企业。</w:t>
            </w:r>
          </w:p>
          <w:p w14:paraId="7556F2A7">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6、投标报价超出项目预算价为无效报价，以所有实质性响应竞争性磋商文件要求的有效供应商报价的最低价为评标基准价，得满分 </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分。其他供应商的价格分统一按照下列公式计算：</w:t>
            </w:r>
          </w:p>
          <w:p w14:paraId="1A035A57">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投标报价得分=(评标基准价／有效供应商评标价)×价格权值（</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%）×100</w:t>
            </w:r>
          </w:p>
          <w:p w14:paraId="512B8259">
            <w:pPr>
              <w:pStyle w:val="3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7、有效供应商是指实质上响应竞争性磋商文件要求并通过实质性审核未被废标的所有供应商。</w:t>
            </w:r>
          </w:p>
          <w:p w14:paraId="10BFC292">
            <w:pPr>
              <w:adjustRightInd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auto"/>
                <w:szCs w:val="21"/>
              </w:rPr>
              <w:t>8、供应商的报价不得明显低于其他通过符合性审查供应商的报价，当评标委员会认定供应商的报价明显低于其他通过符合性审查供应商的报价。应当在评标现场合理的时间内提供书面说明，并应在评标现场提交相关证明材料；供应商不能证明其报价合理性的，评标委员会将其作为无效投标处理。</w:t>
            </w:r>
          </w:p>
        </w:tc>
      </w:tr>
      <w:tr w14:paraId="36133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1262" w:type="dxa"/>
            <w:vMerge w:val="restart"/>
            <w:tcBorders>
              <w:top w:val="single" w:color="000000" w:sz="2" w:space="0"/>
              <w:left w:val="single" w:color="000000" w:sz="2" w:space="0"/>
              <w:right w:val="single" w:color="000000" w:sz="2" w:space="0"/>
            </w:tcBorders>
            <w:vAlign w:val="center"/>
          </w:tcPr>
          <w:p w14:paraId="7ED8344F">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7"/>
                <w:kern w:val="0"/>
                <w:szCs w:val="21"/>
                <w:highlight w:val="none"/>
                <w14:textFill>
                  <w14:solidFill>
                    <w14:schemeClr w14:val="tx1"/>
                  </w14:solidFill>
                </w14:textFill>
              </w:rPr>
              <w:t>商</w:t>
            </w:r>
            <w:r>
              <w:rPr>
                <w:rFonts w:hint="eastAsia" w:ascii="宋体" w:hAnsi="宋体" w:cs="宋体"/>
                <w:color w:val="000000" w:themeColor="text1"/>
                <w:spacing w:val="-6"/>
                <w:kern w:val="0"/>
                <w:szCs w:val="21"/>
                <w:highlight w:val="none"/>
                <w14:textFill>
                  <w14:solidFill>
                    <w14:schemeClr w14:val="tx1"/>
                  </w14:solidFill>
                </w14:textFill>
              </w:rPr>
              <w:t>务部分</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pacing w:val="8"/>
                <w:kern w:val="0"/>
                <w:szCs w:val="21"/>
                <w:highlight w:val="none"/>
                <w14:textFill>
                  <w14:solidFill>
                    <w14:schemeClr w14:val="tx1"/>
                  </w14:solidFill>
                </w14:textFill>
              </w:rPr>
              <w:t>(</w:t>
            </w:r>
            <w:r>
              <w:rPr>
                <w:rFonts w:hint="eastAsia" w:ascii="宋体" w:hAnsi="宋体" w:cs="宋体"/>
                <w:color w:val="000000" w:themeColor="text1"/>
                <w:spacing w:val="4"/>
                <w:kern w:val="0"/>
                <w:szCs w:val="21"/>
                <w:highlight w:val="none"/>
                <w:lang w:val="en-US" w:eastAsia="zh-CN"/>
                <w14:textFill>
                  <w14:solidFill>
                    <w14:schemeClr w14:val="tx1"/>
                  </w14:solidFill>
                </w14:textFill>
              </w:rPr>
              <w:t>50</w:t>
            </w:r>
            <w:r>
              <w:rPr>
                <w:rFonts w:hint="eastAsia" w:ascii="宋体" w:hAnsi="宋体" w:cs="宋体"/>
                <w:color w:val="000000" w:themeColor="text1"/>
                <w:spacing w:val="4"/>
                <w:kern w:val="0"/>
                <w:szCs w:val="21"/>
                <w:highlight w:val="none"/>
                <w14:textFill>
                  <w14:solidFill>
                    <w14:schemeClr w14:val="tx1"/>
                  </w14:solidFill>
                </w14:textFill>
              </w:rPr>
              <w:t>分)</w:t>
            </w:r>
          </w:p>
        </w:tc>
        <w:tc>
          <w:tcPr>
            <w:tcW w:w="1485" w:type="dxa"/>
            <w:tcBorders>
              <w:top w:val="single" w:color="000000" w:sz="2" w:space="0"/>
              <w:left w:val="single" w:color="000000" w:sz="2" w:space="0"/>
              <w:right w:val="single" w:color="000000" w:sz="2" w:space="0"/>
            </w:tcBorders>
            <w:vAlign w:val="center"/>
          </w:tcPr>
          <w:p w14:paraId="1CCF78B9">
            <w:pPr>
              <w:widowControl/>
              <w:kinsoku w:val="0"/>
              <w:autoSpaceDE w:val="0"/>
              <w:autoSpaceDN w:val="0"/>
              <w:adjustRightInd w:val="0"/>
              <w:snapToGrid w:val="0"/>
              <w:spacing w:line="360" w:lineRule="exact"/>
              <w:jc w:val="center"/>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企业实力</w:t>
            </w:r>
          </w:p>
          <w:p w14:paraId="1ADF4659">
            <w:pPr>
              <w:widowControl/>
              <w:kinsoku w:val="0"/>
              <w:autoSpaceDE w:val="0"/>
              <w:autoSpaceDN w:val="0"/>
              <w:adjustRightInd w:val="0"/>
              <w:snapToGrid w:val="0"/>
              <w:spacing w:line="360" w:lineRule="exact"/>
              <w:jc w:val="center"/>
              <w:textAlignment w:val="baseline"/>
              <w:rPr>
                <w:color w:val="000000" w:themeColor="text1"/>
                <w:highlight w:val="none"/>
                <w14:textFill>
                  <w14:solidFill>
                    <w14:schemeClr w14:val="tx1"/>
                  </w14:solidFill>
                </w14:textFill>
              </w:rPr>
            </w:pPr>
            <w:r>
              <w:rPr>
                <w:rFonts w:hint="eastAsia" w:ascii="宋体" w:hAnsi="宋体" w:cs="宋体"/>
                <w:color w:val="000000" w:themeColor="text1"/>
                <w:spacing w:val="-3"/>
                <w:kern w:val="0"/>
                <w:szCs w:val="21"/>
                <w:highlight w:val="none"/>
                <w:lang w:eastAsia="zh-CN"/>
                <w14:textFill>
                  <w14:solidFill>
                    <w14:schemeClr w14:val="tx1"/>
                  </w14:solidFill>
                </w14:textFill>
              </w:rPr>
              <w:t>（</w:t>
            </w:r>
            <w:r>
              <w:rPr>
                <w:rFonts w:hint="eastAsia" w:ascii="宋体" w:hAnsi="宋体" w:cs="宋体"/>
                <w:color w:val="000000" w:themeColor="text1"/>
                <w:spacing w:val="-3"/>
                <w:kern w:val="0"/>
                <w:szCs w:val="21"/>
                <w:highlight w:val="none"/>
                <w:lang w:val="en-US" w:eastAsia="zh-CN"/>
                <w14:textFill>
                  <w14:solidFill>
                    <w14:schemeClr w14:val="tx1"/>
                  </w14:solidFill>
                </w14:textFill>
              </w:rPr>
              <w:t>5分</w:t>
            </w:r>
            <w:r>
              <w:rPr>
                <w:rFonts w:hint="eastAsia" w:ascii="宋体" w:hAnsi="宋体" w:cs="宋体"/>
                <w:color w:val="000000" w:themeColor="text1"/>
                <w:spacing w:val="-3"/>
                <w:kern w:val="0"/>
                <w:szCs w:val="21"/>
                <w:highlight w:val="none"/>
                <w:lang w:eastAsia="zh-CN"/>
                <w14:textFill>
                  <w14:solidFill>
                    <w14:schemeClr w14:val="tx1"/>
                  </w14:solidFill>
                </w14:textFill>
              </w:rPr>
              <w:t>）</w:t>
            </w:r>
          </w:p>
          <w:p w14:paraId="7AFBDBB0">
            <w:pPr>
              <w:widowControl/>
              <w:kinsoku w:val="0"/>
              <w:autoSpaceDE w:val="0"/>
              <w:autoSpaceDN w:val="0"/>
              <w:adjustRightInd w:val="0"/>
              <w:snapToGrid w:val="0"/>
              <w:spacing w:line="360" w:lineRule="exact"/>
              <w:jc w:val="center"/>
              <w:textAlignment w:val="baseline"/>
              <w:rPr>
                <w:color w:val="000000" w:themeColor="text1"/>
                <w:highlight w:val="none"/>
                <w14:textFill>
                  <w14:solidFill>
                    <w14:schemeClr w14:val="tx1"/>
                  </w14:solidFill>
                </w14:textFill>
              </w:rPr>
            </w:pPr>
          </w:p>
        </w:tc>
        <w:tc>
          <w:tcPr>
            <w:tcW w:w="6113" w:type="dxa"/>
            <w:tcBorders>
              <w:top w:val="single" w:color="000000" w:sz="2" w:space="0"/>
              <w:left w:val="single" w:color="000000" w:sz="2" w:space="0"/>
              <w:bottom w:val="single" w:color="000000" w:sz="2" w:space="0"/>
              <w:right w:val="single" w:color="000000" w:sz="2" w:space="0"/>
            </w:tcBorders>
            <w:vAlign w:val="center"/>
          </w:tcPr>
          <w:p w14:paraId="29EB21AB">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eastAsia="Arial" w:cs="宋体"/>
                <w:snapToGrid w:val="0"/>
                <w:color w:val="000000"/>
                <w:kern w:val="0"/>
                <w:szCs w:val="21"/>
              </w:rPr>
              <w:t>1.</w:t>
            </w:r>
            <w:r>
              <w:rPr>
                <w:rFonts w:hint="eastAsia" w:ascii="宋体" w:hAnsi="宋体" w:cs="宋体"/>
                <w:snapToGrid w:val="0"/>
                <w:color w:val="000000"/>
                <w:kern w:val="0"/>
                <w:szCs w:val="21"/>
              </w:rPr>
              <w:t>供应商具有质量管理体系认证证书且在有效期内的得1分。</w:t>
            </w:r>
          </w:p>
          <w:p w14:paraId="6AF91905">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eastAsia="Arial" w:cs="宋体"/>
                <w:snapToGrid w:val="0"/>
                <w:color w:val="000000"/>
                <w:kern w:val="0"/>
                <w:szCs w:val="21"/>
              </w:rPr>
              <w:t>2.</w:t>
            </w:r>
            <w:r>
              <w:rPr>
                <w:rFonts w:hint="eastAsia" w:ascii="宋体" w:hAnsi="宋体" w:cs="宋体"/>
                <w:snapToGrid w:val="0"/>
                <w:color w:val="000000"/>
                <w:kern w:val="0"/>
                <w:szCs w:val="21"/>
              </w:rPr>
              <w:t>供应商具有食品安全管理体系认证证书且在有效期内的得1分。</w:t>
            </w:r>
          </w:p>
          <w:p w14:paraId="24B9EF7C">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eastAsia="Arial" w:cs="宋体"/>
                <w:snapToGrid w:val="0"/>
                <w:color w:val="000000"/>
                <w:kern w:val="0"/>
                <w:szCs w:val="21"/>
              </w:rPr>
              <w:t>3.</w:t>
            </w:r>
            <w:r>
              <w:rPr>
                <w:rFonts w:hint="eastAsia" w:ascii="宋体" w:hAnsi="宋体" w:cs="宋体"/>
                <w:snapToGrid w:val="0"/>
                <w:color w:val="000000"/>
                <w:kern w:val="0"/>
                <w:szCs w:val="21"/>
              </w:rPr>
              <w:t>供应商具有职业健康安全管理体系认证证书且在有效期内的得1分。</w:t>
            </w:r>
          </w:p>
          <w:p w14:paraId="2D16A338">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eastAsia="Arial" w:cs="宋体"/>
                <w:snapToGrid w:val="0"/>
                <w:color w:val="000000"/>
                <w:kern w:val="0"/>
                <w:szCs w:val="21"/>
              </w:rPr>
              <w:t>4.</w:t>
            </w:r>
            <w:r>
              <w:rPr>
                <w:rFonts w:hint="eastAsia" w:ascii="宋体" w:hAnsi="宋体" w:cs="宋体"/>
                <w:snapToGrid w:val="0"/>
                <w:color w:val="000000"/>
                <w:kern w:val="0"/>
                <w:szCs w:val="21"/>
              </w:rPr>
              <w:t>供应商具有环境管理体系认证证书且在有效期内的得1分。</w:t>
            </w:r>
          </w:p>
          <w:p w14:paraId="4F8D4F83">
            <w:pPr>
              <w:widowControl/>
              <w:kinsoku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eastAsia="Arial" w:cs="宋体"/>
                <w:snapToGrid w:val="0"/>
                <w:color w:val="000000"/>
                <w:kern w:val="0"/>
                <w:szCs w:val="21"/>
              </w:rPr>
              <w:t>5.</w:t>
            </w:r>
            <w:r>
              <w:rPr>
                <w:rFonts w:hint="eastAsia" w:ascii="宋体" w:hAnsi="宋体" w:cs="宋体"/>
                <w:snapToGrid w:val="0"/>
                <w:color w:val="000000"/>
                <w:kern w:val="0"/>
                <w:szCs w:val="21"/>
              </w:rPr>
              <w:t>供应商具有危险分析与关键控制点（</w:t>
            </w:r>
            <w:r>
              <w:rPr>
                <w:rFonts w:hint="eastAsia" w:ascii="宋体" w:hAnsi="宋体" w:eastAsia="Arial" w:cs="宋体"/>
                <w:snapToGrid w:val="0"/>
                <w:color w:val="000000"/>
                <w:kern w:val="0"/>
                <w:szCs w:val="21"/>
              </w:rPr>
              <w:t>HACCP</w:t>
            </w:r>
            <w:r>
              <w:rPr>
                <w:rFonts w:hint="eastAsia" w:ascii="宋体" w:hAnsi="宋体" w:cs="宋体"/>
                <w:snapToGrid w:val="0"/>
                <w:color w:val="000000"/>
                <w:kern w:val="0"/>
                <w:szCs w:val="21"/>
              </w:rPr>
              <w:t>）体系认证证书且在有效期内的得1分。</w:t>
            </w:r>
          </w:p>
          <w:p w14:paraId="694B7DCA">
            <w:pPr>
              <w:pStyle w:val="20"/>
              <w:ind w:left="0" w:leftChars="0" w:firstLine="0" w:firstLineChars="0"/>
              <w:rPr>
                <w:rFonts w:hint="default" w:eastAsia="宋体"/>
                <w:lang w:val="en-US" w:eastAsia="zh-CN"/>
              </w:rPr>
            </w:pPr>
            <w:r>
              <w:rPr>
                <w:rFonts w:hint="eastAsia"/>
                <w:lang w:val="en-US" w:eastAsia="zh-CN"/>
              </w:rPr>
              <w:t>本项最多得5分，不提供不得分。</w:t>
            </w:r>
          </w:p>
          <w:p w14:paraId="10C5A60A">
            <w:pPr>
              <w:widowControl/>
              <w:kinsoku w:val="0"/>
              <w:autoSpaceDE w:val="0"/>
              <w:autoSpaceDN w:val="0"/>
              <w:adjustRightInd w:val="0"/>
              <w:snapToGrid w:val="0"/>
              <w:spacing w:line="360" w:lineRule="exact"/>
              <w:jc w:val="left"/>
              <w:textAlignment w:val="baseline"/>
              <w:rPr>
                <w:color w:val="000000" w:themeColor="text1"/>
                <w:highlight w:val="none"/>
                <w14:textFill>
                  <w14:solidFill>
                    <w14:schemeClr w14:val="tx1"/>
                  </w14:solidFill>
                </w14:textFill>
              </w:rPr>
            </w:pPr>
            <w:r>
              <w:rPr>
                <w:rFonts w:hint="eastAsia" w:ascii="宋体" w:hAnsi="宋体" w:cs="宋体"/>
                <w:snapToGrid w:val="0"/>
                <w:color w:val="000000"/>
                <w:kern w:val="0"/>
                <w:szCs w:val="21"/>
              </w:rPr>
              <w:t>提供以上证书扫描件。</w:t>
            </w:r>
            <w:r>
              <w:rPr>
                <w:rFonts w:hint="eastAsia" w:ascii="宋体" w:hAnsi="宋体" w:cs="宋体"/>
                <w:snapToGrid w:val="0"/>
                <w:kern w:val="0"/>
                <w:szCs w:val="21"/>
              </w:rPr>
              <w:t>未提供或缺项不得分。</w:t>
            </w:r>
          </w:p>
        </w:tc>
      </w:tr>
      <w:tr w14:paraId="60111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1262" w:type="dxa"/>
            <w:vMerge w:val="continue"/>
            <w:tcBorders>
              <w:left w:val="single" w:color="000000" w:sz="2" w:space="0"/>
              <w:right w:val="single" w:color="000000" w:sz="2" w:space="0"/>
            </w:tcBorders>
            <w:vAlign w:val="center"/>
          </w:tcPr>
          <w:p w14:paraId="4554450F">
            <w:pPr>
              <w:widowControl/>
              <w:kinsoku w:val="0"/>
              <w:autoSpaceDE w:val="0"/>
              <w:autoSpaceDN w:val="0"/>
              <w:adjustRightInd w:val="0"/>
              <w:snapToGrid w:val="0"/>
              <w:spacing w:line="360" w:lineRule="exact"/>
              <w:ind w:left="121" w:right="146" w:firstLine="8"/>
              <w:jc w:val="center"/>
              <w:textAlignment w:val="baseline"/>
              <w:rPr>
                <w:rFonts w:hint="eastAsia"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right w:val="single" w:color="000000" w:sz="2" w:space="0"/>
            </w:tcBorders>
            <w:vAlign w:val="center"/>
          </w:tcPr>
          <w:p w14:paraId="1960964F">
            <w:pPr>
              <w:widowControl/>
              <w:spacing w:line="360" w:lineRule="auto"/>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团队人员</w:t>
            </w:r>
          </w:p>
          <w:p w14:paraId="350C8AD7">
            <w:pPr>
              <w:widowControl/>
              <w:spacing w:line="360" w:lineRule="auto"/>
              <w:jc w:val="center"/>
              <w:rPr>
                <w:color w:val="000000" w:themeColor="text1"/>
                <w:highlight w:val="none"/>
                <w14:textFill>
                  <w14:solidFill>
                    <w14:schemeClr w14:val="tx1"/>
                  </w14:solidFill>
                </w14:textFill>
              </w:rPr>
            </w:pPr>
            <w:r>
              <w:rPr>
                <w:rFonts w:hint="eastAsia" w:ascii="宋体" w:hAnsi="宋体" w:cs="宋体"/>
                <w:bCs/>
                <w:color w:val="auto"/>
                <w:szCs w:val="21"/>
                <w:lang w:val="en-US" w:eastAsia="zh-CN"/>
              </w:rPr>
              <w:t>（20分）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3EC5105C">
            <w:pPr>
              <w:widowControl/>
              <w:spacing w:line="360" w:lineRule="auto"/>
              <w:rPr>
                <w:rFonts w:hint="default" w:ascii="宋体" w:hAnsi="宋体" w:eastAsia="宋体" w:cs="宋体"/>
                <w:bCs/>
                <w:color w:val="auto"/>
                <w:szCs w:val="21"/>
                <w:lang w:val="en-US" w:eastAsia="zh-CN"/>
              </w:rPr>
            </w:pPr>
            <w:r>
              <w:rPr>
                <w:rFonts w:hint="default" w:ascii="宋体" w:hAnsi="宋体" w:eastAsia="宋体" w:cs="宋体"/>
                <w:bCs/>
                <w:color w:val="auto"/>
                <w:szCs w:val="21"/>
                <w:lang w:val="en-US" w:eastAsia="zh-CN"/>
              </w:rPr>
              <w:t>1</w:t>
            </w:r>
            <w:r>
              <w:rPr>
                <w:rFonts w:hint="eastAsia" w:ascii="宋体" w:hAnsi="宋体" w:cs="宋体"/>
                <w:bCs/>
                <w:color w:val="auto"/>
                <w:szCs w:val="21"/>
                <w:lang w:val="en-US" w:eastAsia="zh-CN"/>
              </w:rPr>
              <w:t>.</w:t>
            </w:r>
            <w:r>
              <w:rPr>
                <w:rFonts w:hint="default" w:ascii="宋体" w:hAnsi="宋体" w:eastAsia="宋体" w:cs="宋体"/>
                <w:bCs/>
                <w:color w:val="auto"/>
                <w:szCs w:val="21"/>
                <w:lang w:val="en-US" w:eastAsia="zh-CN"/>
              </w:rPr>
              <w:t>拟投入的主厨人员中具有中式烹调师一级/高级技师证书及以上的，每有一人得</w:t>
            </w:r>
            <w:r>
              <w:rPr>
                <w:rFonts w:hint="eastAsia" w:ascii="宋体" w:hAnsi="宋体" w:cs="宋体"/>
                <w:bCs/>
                <w:color w:val="auto"/>
                <w:szCs w:val="21"/>
                <w:lang w:val="en-US" w:eastAsia="zh-CN"/>
              </w:rPr>
              <w:t>4</w:t>
            </w:r>
            <w:r>
              <w:rPr>
                <w:rFonts w:hint="default" w:ascii="宋体" w:hAnsi="宋体" w:eastAsia="宋体" w:cs="宋体"/>
                <w:bCs/>
                <w:color w:val="auto"/>
                <w:szCs w:val="21"/>
                <w:lang w:val="en-US" w:eastAsia="zh-CN"/>
              </w:rPr>
              <w:t>分，最多得</w:t>
            </w:r>
            <w:r>
              <w:rPr>
                <w:rFonts w:hint="eastAsia" w:ascii="宋体" w:hAnsi="宋体" w:cs="宋体"/>
                <w:bCs/>
                <w:color w:val="auto"/>
                <w:szCs w:val="21"/>
                <w:lang w:val="en-US" w:eastAsia="zh-CN"/>
              </w:rPr>
              <w:t>12</w:t>
            </w:r>
            <w:r>
              <w:rPr>
                <w:rFonts w:hint="default" w:ascii="宋体" w:hAnsi="宋体" w:eastAsia="宋体" w:cs="宋体"/>
                <w:bCs/>
                <w:color w:val="auto"/>
                <w:szCs w:val="21"/>
                <w:lang w:val="en-US" w:eastAsia="zh-CN"/>
              </w:rPr>
              <w:t>分；具有中式烹调师中级</w:t>
            </w:r>
            <w:r>
              <w:rPr>
                <w:rFonts w:hint="eastAsia" w:ascii="宋体" w:hAnsi="宋体" w:cs="宋体"/>
                <w:bCs/>
                <w:color w:val="auto"/>
                <w:szCs w:val="21"/>
                <w:lang w:val="en-US" w:eastAsia="zh-CN"/>
              </w:rPr>
              <w:t>及以上</w:t>
            </w:r>
            <w:r>
              <w:rPr>
                <w:rFonts w:hint="default" w:ascii="宋体" w:hAnsi="宋体" w:eastAsia="宋体" w:cs="宋体"/>
                <w:bCs/>
                <w:color w:val="auto"/>
                <w:szCs w:val="21"/>
                <w:lang w:val="en-US" w:eastAsia="zh-CN"/>
              </w:rPr>
              <w:t>证书的，每有一人得</w:t>
            </w:r>
            <w:r>
              <w:rPr>
                <w:rFonts w:hint="eastAsia" w:ascii="宋体" w:hAnsi="宋体" w:cs="宋体"/>
                <w:bCs/>
                <w:color w:val="auto"/>
                <w:szCs w:val="21"/>
                <w:lang w:val="en-US" w:eastAsia="zh-CN"/>
              </w:rPr>
              <w:t>2</w:t>
            </w:r>
            <w:r>
              <w:rPr>
                <w:rFonts w:hint="default" w:ascii="宋体" w:hAnsi="宋体" w:eastAsia="宋体" w:cs="宋体"/>
                <w:bCs/>
                <w:color w:val="auto"/>
                <w:szCs w:val="21"/>
                <w:lang w:val="en-US" w:eastAsia="zh-CN"/>
              </w:rPr>
              <w:t>分，最多得</w:t>
            </w:r>
            <w:r>
              <w:rPr>
                <w:rFonts w:hint="eastAsia" w:ascii="宋体" w:hAnsi="宋体" w:cs="宋体"/>
                <w:bCs/>
                <w:color w:val="auto"/>
                <w:szCs w:val="21"/>
                <w:lang w:val="en-US" w:eastAsia="zh-CN"/>
              </w:rPr>
              <w:t>6</w:t>
            </w:r>
            <w:r>
              <w:rPr>
                <w:rFonts w:hint="default" w:ascii="宋体" w:hAnsi="宋体" w:eastAsia="宋体" w:cs="宋体"/>
                <w:bCs/>
                <w:color w:val="auto"/>
                <w:szCs w:val="21"/>
                <w:lang w:val="en-US" w:eastAsia="zh-CN"/>
              </w:rPr>
              <w:t>分。本项最多得</w:t>
            </w:r>
            <w:r>
              <w:rPr>
                <w:rFonts w:hint="eastAsia" w:ascii="宋体" w:hAnsi="宋体" w:cs="宋体"/>
                <w:bCs/>
                <w:color w:val="auto"/>
                <w:szCs w:val="21"/>
                <w:lang w:val="en-US" w:eastAsia="zh-CN"/>
              </w:rPr>
              <w:t>12</w:t>
            </w:r>
            <w:r>
              <w:rPr>
                <w:rFonts w:hint="default" w:ascii="宋体" w:hAnsi="宋体" w:eastAsia="宋体" w:cs="宋体"/>
                <w:bCs/>
                <w:color w:val="auto"/>
                <w:szCs w:val="21"/>
                <w:lang w:val="en-US" w:eastAsia="zh-CN"/>
              </w:rPr>
              <w:t>分。</w:t>
            </w:r>
          </w:p>
          <w:p w14:paraId="458EA96B">
            <w:pPr>
              <w:widowControl/>
              <w:spacing w:line="360" w:lineRule="auto"/>
              <w:rPr>
                <w:rFonts w:hint="default" w:ascii="宋体" w:hAnsi="宋体" w:eastAsia="宋体" w:cs="宋体"/>
                <w:bCs/>
                <w:color w:val="auto"/>
                <w:szCs w:val="21"/>
                <w:lang w:val="en-US" w:eastAsia="zh-CN"/>
              </w:rPr>
            </w:pPr>
            <w:r>
              <w:rPr>
                <w:rFonts w:hint="default" w:ascii="宋体" w:hAnsi="宋体" w:eastAsia="宋体" w:cs="宋体"/>
                <w:bCs/>
                <w:color w:val="auto"/>
                <w:szCs w:val="21"/>
                <w:lang w:val="en-US" w:eastAsia="zh-CN"/>
              </w:rPr>
              <w:t>2</w:t>
            </w:r>
            <w:r>
              <w:rPr>
                <w:rFonts w:hint="eastAsia" w:ascii="宋体" w:hAnsi="宋体" w:cs="宋体"/>
                <w:bCs/>
                <w:color w:val="auto"/>
                <w:szCs w:val="21"/>
                <w:lang w:val="en-US" w:eastAsia="zh-CN"/>
              </w:rPr>
              <w:t>.</w:t>
            </w:r>
            <w:r>
              <w:rPr>
                <w:rFonts w:hint="default" w:ascii="宋体" w:hAnsi="宋体" w:eastAsia="宋体" w:cs="宋体"/>
                <w:bCs/>
                <w:color w:val="auto"/>
                <w:szCs w:val="21"/>
                <w:lang w:val="en-US" w:eastAsia="zh-CN"/>
              </w:rPr>
              <w:t>拟投入的主厨人员中具有中式面点师高级证书的，得</w:t>
            </w:r>
            <w:r>
              <w:rPr>
                <w:rFonts w:hint="eastAsia" w:ascii="宋体" w:hAnsi="宋体" w:cs="宋体"/>
                <w:bCs/>
                <w:color w:val="auto"/>
                <w:szCs w:val="21"/>
                <w:lang w:val="en-US" w:eastAsia="zh-CN"/>
              </w:rPr>
              <w:t>4</w:t>
            </w:r>
            <w:r>
              <w:rPr>
                <w:rFonts w:hint="default" w:ascii="宋体" w:hAnsi="宋体" w:eastAsia="宋体" w:cs="宋体"/>
                <w:bCs/>
                <w:color w:val="auto"/>
                <w:szCs w:val="21"/>
                <w:lang w:val="en-US" w:eastAsia="zh-CN"/>
              </w:rPr>
              <w:t>分；中式面点师中级证书的，得2分；本项最多得</w:t>
            </w:r>
            <w:r>
              <w:rPr>
                <w:rFonts w:hint="eastAsia" w:ascii="宋体" w:hAnsi="宋体" w:cs="宋体"/>
                <w:bCs/>
                <w:color w:val="auto"/>
                <w:szCs w:val="21"/>
                <w:lang w:val="en-US" w:eastAsia="zh-CN"/>
              </w:rPr>
              <w:t>8</w:t>
            </w:r>
            <w:r>
              <w:rPr>
                <w:rFonts w:hint="default" w:ascii="宋体" w:hAnsi="宋体" w:eastAsia="宋体" w:cs="宋体"/>
                <w:bCs/>
                <w:color w:val="auto"/>
                <w:szCs w:val="21"/>
                <w:lang w:val="en-US" w:eastAsia="zh-CN"/>
              </w:rPr>
              <w:t>分。</w:t>
            </w:r>
          </w:p>
          <w:p w14:paraId="2D0C0B4E">
            <w:pPr>
              <w:widowControl/>
              <w:spacing w:line="360" w:lineRule="auto"/>
              <w:rPr>
                <w:rFonts w:hint="eastAsia" w:ascii="宋体" w:hAnsi="宋体" w:cs="宋体"/>
                <w:snapToGrid w:val="0"/>
                <w:color w:val="000000"/>
                <w:kern w:val="0"/>
                <w:szCs w:val="21"/>
              </w:rPr>
            </w:pPr>
            <w:r>
              <w:rPr>
                <w:rFonts w:hint="default" w:ascii="宋体" w:hAnsi="宋体" w:eastAsia="宋体" w:cs="宋体"/>
                <w:bCs/>
                <w:color w:val="auto"/>
                <w:szCs w:val="21"/>
                <w:lang w:val="en-US" w:eastAsia="zh-CN"/>
              </w:rPr>
              <w:t>注：1、需提供本单位为其交纳的社保缴纳凭证、证书以及证书查询截图，否则不得分；以上证书等级若按级别划分的， 以最高级别为准</w:t>
            </w:r>
            <w:r>
              <w:rPr>
                <w:rFonts w:hint="eastAsia" w:ascii="宋体" w:hAnsi="宋体" w:cs="宋体"/>
                <w:bCs/>
                <w:color w:val="auto"/>
                <w:szCs w:val="21"/>
                <w:lang w:val="en-US" w:eastAsia="zh-CN"/>
              </w:rPr>
              <w:t>。</w:t>
            </w:r>
          </w:p>
        </w:tc>
      </w:tr>
      <w:tr w14:paraId="6F672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44F526ED">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412978DD">
            <w:pPr>
              <w:widowControl/>
              <w:spacing w:line="360" w:lineRule="auto"/>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业绩</w:t>
            </w:r>
          </w:p>
          <w:p w14:paraId="5205CF80">
            <w:pPr>
              <w:widowControl/>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bCs/>
                <w:color w:val="auto"/>
                <w:szCs w:val="21"/>
                <w:lang w:val="en-US" w:eastAsia="zh-CN"/>
              </w:rPr>
              <w:t>（15分）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0E96381C">
            <w:pPr>
              <w:widowControl/>
              <w:spacing w:line="360" w:lineRule="auto"/>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eastAsia="宋体" w:cs="宋体"/>
                <w:bCs/>
                <w:color w:val="auto"/>
                <w:szCs w:val="21"/>
                <w:lang w:val="en-US" w:eastAsia="zh-CN"/>
              </w:rPr>
              <w:t>供应商2021年1月1日以来（以合同或协议签订时间为准），承接过类似业绩（指300人及以上就餐规模）的，每有一份得5分，最多得1</w:t>
            </w:r>
            <w:r>
              <w:rPr>
                <w:rFonts w:hint="eastAsia" w:ascii="宋体" w:hAnsi="宋体" w:cs="宋体"/>
                <w:bCs/>
                <w:color w:val="auto"/>
                <w:szCs w:val="21"/>
                <w:lang w:val="en-US" w:eastAsia="zh-CN"/>
              </w:rPr>
              <w:t>5</w:t>
            </w:r>
            <w:r>
              <w:rPr>
                <w:rFonts w:hint="eastAsia" w:ascii="宋体" w:hAnsi="宋体" w:eastAsia="宋体" w:cs="宋体"/>
                <w:bCs/>
                <w:color w:val="auto"/>
                <w:szCs w:val="21"/>
                <w:lang w:val="en-US" w:eastAsia="zh-CN"/>
              </w:rPr>
              <w:t>分。备注：需提供合同（或协议书）、中标公告、中标通知书等资料扫描件，如合同（或协议书）、中标公告、中标通知书不能体现具体规模的，</w:t>
            </w:r>
            <w:r>
              <w:rPr>
                <w:rFonts w:hint="default" w:ascii="宋体" w:hAnsi="宋体" w:eastAsia="宋体" w:cs="宋体"/>
                <w:bCs/>
                <w:color w:val="auto"/>
                <w:szCs w:val="21"/>
                <w:lang w:val="en-US" w:eastAsia="zh-CN"/>
              </w:rPr>
              <w:t>须同时提供加盖</w:t>
            </w:r>
            <w:r>
              <w:rPr>
                <w:rStyle w:val="23"/>
                <w:rFonts w:ascii="宋体" w:hAnsi="宋体" w:cs="宋体"/>
                <w:kern w:val="0"/>
                <w:szCs w:val="21"/>
              </w:rPr>
              <w:t>业主公章的证明资料（证明资料须体现</w:t>
            </w:r>
            <w:r>
              <w:rPr>
                <w:rStyle w:val="23"/>
                <w:rFonts w:hint="eastAsia" w:ascii="宋体" w:hAnsi="宋体" w:cs="宋体"/>
                <w:kern w:val="0"/>
                <w:szCs w:val="21"/>
                <w:lang w:eastAsia="zh-CN"/>
              </w:rPr>
              <w:t>就餐人数</w:t>
            </w:r>
            <w:r>
              <w:rPr>
                <w:rStyle w:val="23"/>
                <w:rFonts w:ascii="宋体" w:hAnsi="宋体" w:cs="宋体"/>
                <w:kern w:val="0"/>
                <w:szCs w:val="21"/>
              </w:rPr>
              <w:t>）</w:t>
            </w:r>
            <w:r>
              <w:rPr>
                <w:rFonts w:hint="eastAsia" w:ascii="宋体" w:hAnsi="宋体" w:cs="宋体"/>
                <w:bCs/>
                <w:color w:val="auto"/>
                <w:szCs w:val="21"/>
                <w:lang w:val="en-US" w:eastAsia="zh-CN"/>
              </w:rPr>
              <w:t>。</w:t>
            </w:r>
          </w:p>
        </w:tc>
      </w:tr>
      <w:tr w14:paraId="5B2AC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26CD2D3B">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17DFE2E8">
            <w:pPr>
              <w:widowControl/>
              <w:kinsoku w:val="0"/>
              <w:adjustRightInd w:val="0"/>
              <w:snapToGrid w:val="0"/>
              <w:spacing w:line="360" w:lineRule="auto"/>
              <w:jc w:val="center"/>
              <w:textAlignment w:val="baseline"/>
              <w:rPr>
                <w:rFonts w:ascii="宋体" w:hAnsi="宋体" w:cs="宋体"/>
                <w:snapToGrid w:val="0"/>
                <w:szCs w:val="21"/>
              </w:rPr>
            </w:pPr>
            <w:r>
              <w:rPr>
                <w:rFonts w:hint="eastAsia" w:ascii="宋体" w:hAnsi="宋体" w:cs="宋体"/>
                <w:snapToGrid w:val="0"/>
                <w:kern w:val="0"/>
                <w:szCs w:val="21"/>
              </w:rPr>
              <w:t>视频介绍</w:t>
            </w:r>
          </w:p>
          <w:p w14:paraId="2078CEDD">
            <w:pPr>
              <w:widowControl/>
              <w:kinsoku w:val="0"/>
              <w:adjustRightInd w:val="0"/>
              <w:snapToGri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5分</w:t>
            </w:r>
            <w:r>
              <w:rPr>
                <w:rFonts w:hint="eastAsia" w:ascii="宋体" w:hAnsi="宋体" w:cs="宋体"/>
                <w:snapToGrid w:val="0"/>
                <w:kern w:val="0"/>
                <w:szCs w:val="21"/>
                <w:lang w:eastAsia="zh-CN"/>
              </w:rPr>
              <w:t>）</w:t>
            </w:r>
          </w:p>
        </w:tc>
        <w:tc>
          <w:tcPr>
            <w:tcW w:w="6113" w:type="dxa"/>
            <w:tcBorders>
              <w:top w:val="single" w:color="000000" w:sz="2" w:space="0"/>
              <w:left w:val="single" w:color="000000" w:sz="2" w:space="0"/>
              <w:bottom w:val="single" w:color="000000" w:sz="2" w:space="0"/>
              <w:right w:val="single" w:color="000000" w:sz="2" w:space="0"/>
            </w:tcBorders>
            <w:vAlign w:val="center"/>
          </w:tcPr>
          <w:p w14:paraId="571D2AC9">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供应商提供视频介绍，至少包含下列内容：</w:t>
            </w:r>
          </w:p>
          <w:p w14:paraId="528B3AC4">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1</w:t>
            </w:r>
            <w:r>
              <w:rPr>
                <w:rFonts w:hint="eastAsia" w:ascii="宋体" w:hAnsi="宋体" w:cs="宋体"/>
                <w:snapToGrid w:val="0"/>
                <w:kern w:val="0"/>
                <w:szCs w:val="21"/>
                <w:lang w:val="en-US" w:eastAsia="zh-CN"/>
              </w:rPr>
              <w:t>.</w:t>
            </w:r>
            <w:r>
              <w:rPr>
                <w:rFonts w:hint="eastAsia" w:ascii="宋体" w:hAnsi="宋体" w:cs="宋体"/>
                <w:snapToGrid w:val="0"/>
                <w:kern w:val="0"/>
                <w:szCs w:val="21"/>
              </w:rPr>
              <w:t>公司简介、团队人员基本情况。</w:t>
            </w:r>
          </w:p>
          <w:p w14:paraId="70374D07">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w:t>
            </w:r>
            <w:r>
              <w:rPr>
                <w:rFonts w:hint="eastAsia" w:ascii="宋体" w:hAnsi="宋体" w:cs="宋体"/>
                <w:snapToGrid w:val="0"/>
                <w:kern w:val="0"/>
                <w:szCs w:val="21"/>
              </w:rPr>
              <w:t>人员配置及分工、主厨从业经验、特色菜品介绍。</w:t>
            </w:r>
          </w:p>
          <w:p w14:paraId="021CEF0E">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3</w:t>
            </w:r>
            <w:r>
              <w:rPr>
                <w:rFonts w:hint="eastAsia" w:ascii="宋体" w:hAnsi="宋体" w:cs="宋体"/>
                <w:snapToGrid w:val="0"/>
                <w:kern w:val="0"/>
                <w:szCs w:val="21"/>
                <w:lang w:val="en-US" w:eastAsia="zh-CN"/>
              </w:rPr>
              <w:t>.</w:t>
            </w:r>
            <w:r>
              <w:rPr>
                <w:rFonts w:hint="eastAsia" w:ascii="宋体" w:hAnsi="宋体" w:cs="宋体"/>
                <w:snapToGrid w:val="0"/>
                <w:kern w:val="0"/>
                <w:szCs w:val="21"/>
              </w:rPr>
              <w:t>类似业绩介绍，服务场地情况、服务内容展示。</w:t>
            </w:r>
          </w:p>
          <w:p w14:paraId="40CFA67A">
            <w:pPr>
              <w:widowControl/>
              <w:kinsoku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lang w:val="en-US" w:eastAsia="zh-CN"/>
              </w:rPr>
              <w:t>1）</w:t>
            </w:r>
            <w:r>
              <w:rPr>
                <w:rFonts w:hint="eastAsia" w:ascii="宋体" w:hAnsi="宋体" w:cs="宋体"/>
                <w:snapToGrid w:val="0"/>
                <w:kern w:val="0"/>
                <w:szCs w:val="21"/>
                <w:lang w:eastAsia="zh-CN"/>
              </w:rPr>
              <w:t>公司基本情况</w:t>
            </w:r>
            <w:r>
              <w:rPr>
                <w:rFonts w:hint="eastAsia" w:ascii="宋体" w:hAnsi="宋体" w:cs="宋体"/>
                <w:snapToGrid w:val="0"/>
                <w:kern w:val="0"/>
                <w:szCs w:val="21"/>
              </w:rPr>
              <w:t>内容齐全、人员配置及分工</w:t>
            </w:r>
            <w:r>
              <w:rPr>
                <w:rFonts w:hint="eastAsia" w:ascii="宋体" w:hAnsi="宋体" w:cs="宋体"/>
                <w:snapToGrid w:val="0"/>
                <w:kern w:val="0"/>
                <w:szCs w:val="21"/>
                <w:lang w:eastAsia="zh-CN"/>
              </w:rPr>
              <w:t>合理、</w:t>
            </w:r>
            <w:r>
              <w:rPr>
                <w:rFonts w:hint="eastAsia" w:ascii="宋体" w:hAnsi="宋体" w:cs="宋体"/>
                <w:snapToGrid w:val="0"/>
                <w:kern w:val="0"/>
                <w:szCs w:val="21"/>
              </w:rPr>
              <w:t>主厨从业经验</w:t>
            </w:r>
            <w:r>
              <w:rPr>
                <w:rFonts w:hint="eastAsia" w:ascii="宋体" w:hAnsi="宋体" w:cs="宋体"/>
                <w:snapToGrid w:val="0"/>
                <w:kern w:val="0"/>
                <w:szCs w:val="21"/>
                <w:lang w:eastAsia="zh-CN"/>
              </w:rPr>
              <w:t>丰富、</w:t>
            </w:r>
            <w:r>
              <w:rPr>
                <w:rFonts w:hint="eastAsia" w:ascii="宋体" w:hAnsi="宋体" w:cs="宋体"/>
                <w:snapToGrid w:val="0"/>
                <w:kern w:val="0"/>
                <w:szCs w:val="21"/>
              </w:rPr>
              <w:t>特色菜品丰富多样、业绩介绍详细，</w:t>
            </w:r>
            <w:r>
              <w:rPr>
                <w:rFonts w:hint="eastAsia" w:ascii="宋体" w:hAnsi="宋体" w:cs="宋体"/>
                <w:snapToGrid w:val="0"/>
                <w:kern w:val="0"/>
                <w:szCs w:val="21"/>
                <w:lang w:eastAsia="zh-CN"/>
              </w:rPr>
              <w:t>服务场地及</w:t>
            </w:r>
            <w:r>
              <w:rPr>
                <w:rFonts w:hint="eastAsia" w:ascii="宋体" w:hAnsi="宋体" w:cs="宋体"/>
                <w:snapToGrid w:val="0"/>
                <w:kern w:val="0"/>
                <w:szCs w:val="21"/>
              </w:rPr>
              <w:t>服务内容展示全面得</w:t>
            </w:r>
            <w:r>
              <w:rPr>
                <w:rFonts w:hint="eastAsia" w:ascii="宋体" w:hAnsi="宋体" w:cs="宋体"/>
                <w:snapToGrid w:val="0"/>
                <w:kern w:val="0"/>
                <w:szCs w:val="21"/>
                <w:lang w:val="en-US" w:eastAsia="zh-CN"/>
              </w:rPr>
              <w:t>5分</w:t>
            </w:r>
            <w:r>
              <w:rPr>
                <w:rFonts w:hint="eastAsia" w:ascii="宋体" w:hAnsi="宋体" w:cs="宋体"/>
                <w:snapToGrid w:val="0"/>
                <w:kern w:val="0"/>
                <w:szCs w:val="21"/>
              </w:rPr>
              <w:t>；</w:t>
            </w:r>
          </w:p>
          <w:p w14:paraId="416FE5F0">
            <w:pPr>
              <w:widowControl/>
              <w:kinsoku w:val="0"/>
              <w:adjustRightInd w:val="0"/>
              <w:snapToGrid w:val="0"/>
              <w:spacing w:line="360" w:lineRule="auto"/>
              <w:textAlignment w:val="baseline"/>
              <w:rPr>
                <w:rFonts w:hint="eastAsia" w:ascii="宋体" w:hAnsi="宋体" w:cs="宋体"/>
                <w:snapToGrid w:val="0"/>
                <w:kern w:val="0"/>
                <w:szCs w:val="21"/>
              </w:rPr>
            </w:pP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公司基本情况</w:t>
            </w:r>
            <w:r>
              <w:rPr>
                <w:rFonts w:hint="eastAsia" w:ascii="宋体" w:hAnsi="宋体" w:cs="宋体"/>
                <w:snapToGrid w:val="0"/>
                <w:kern w:val="0"/>
                <w:szCs w:val="21"/>
              </w:rPr>
              <w:t>内容齐全、</w:t>
            </w:r>
            <w:r>
              <w:rPr>
                <w:rFonts w:hint="eastAsia" w:ascii="宋体" w:hAnsi="宋体" w:cs="宋体"/>
                <w:snapToGrid w:val="0"/>
                <w:kern w:val="0"/>
                <w:szCs w:val="21"/>
                <w:lang w:eastAsia="zh-CN"/>
              </w:rPr>
              <w:t>有具体</w:t>
            </w:r>
            <w:r>
              <w:rPr>
                <w:rFonts w:hint="eastAsia" w:ascii="宋体" w:hAnsi="宋体" w:cs="宋体"/>
                <w:snapToGrid w:val="0"/>
                <w:kern w:val="0"/>
                <w:szCs w:val="21"/>
              </w:rPr>
              <w:t>人员配置及分工</w:t>
            </w:r>
            <w:r>
              <w:rPr>
                <w:rFonts w:hint="eastAsia" w:ascii="宋体" w:hAnsi="宋体" w:cs="宋体"/>
                <w:snapToGrid w:val="0"/>
                <w:kern w:val="0"/>
                <w:szCs w:val="21"/>
                <w:lang w:eastAsia="zh-CN"/>
              </w:rPr>
              <w:t>、</w:t>
            </w:r>
            <w:r>
              <w:rPr>
                <w:rFonts w:hint="eastAsia" w:ascii="宋体" w:hAnsi="宋体" w:cs="宋体"/>
                <w:snapToGrid w:val="0"/>
                <w:kern w:val="0"/>
                <w:szCs w:val="21"/>
              </w:rPr>
              <w:t>有特色菜品介绍、有类似业绩介绍</w:t>
            </w:r>
            <w:r>
              <w:rPr>
                <w:rFonts w:hint="eastAsia" w:ascii="宋体" w:hAnsi="宋体" w:cs="宋体"/>
                <w:snapToGrid w:val="0"/>
                <w:kern w:val="0"/>
                <w:szCs w:val="21"/>
                <w:lang w:eastAsia="zh-CN"/>
              </w:rPr>
              <w:t>、有服务场地及服务内容展示</w:t>
            </w:r>
            <w:r>
              <w:rPr>
                <w:rFonts w:hint="eastAsia" w:ascii="宋体" w:hAnsi="宋体" w:cs="宋体"/>
                <w:snapToGrid w:val="0"/>
                <w:kern w:val="0"/>
                <w:szCs w:val="21"/>
              </w:rPr>
              <w:t>得</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p w14:paraId="5DAADC0A">
            <w:pPr>
              <w:widowControl/>
              <w:kinsoku w:val="0"/>
              <w:adjustRightInd w:val="0"/>
              <w:snapToGrid w:val="0"/>
              <w:spacing w:line="360" w:lineRule="auto"/>
              <w:textAlignment w:val="baseline"/>
              <w:rPr>
                <w:rFonts w:hint="default"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公司基本情况内容介绍简单不够具体、未全面或部分内容未体现得</w:t>
            </w:r>
            <w:r>
              <w:rPr>
                <w:rFonts w:hint="eastAsia" w:ascii="宋体" w:hAnsi="宋体" w:cs="宋体"/>
                <w:snapToGrid w:val="0"/>
                <w:kern w:val="0"/>
                <w:szCs w:val="21"/>
                <w:lang w:val="en-US" w:eastAsia="zh-CN"/>
              </w:rPr>
              <w:t>1分。</w:t>
            </w:r>
          </w:p>
          <w:p w14:paraId="63E8B0D6">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未提供或缺项不得分。</w:t>
            </w:r>
          </w:p>
          <w:p w14:paraId="0321CCF5">
            <w:pPr>
              <w:widowControl/>
              <w:kinsoku w:val="0"/>
              <w:adjustRightInd w:val="0"/>
              <w:snapToGrid w:val="0"/>
              <w:spacing w:line="360" w:lineRule="auto"/>
              <w:textAlignment w:val="baseline"/>
              <w:rPr>
                <w:rFonts w:hint="eastAsia" w:ascii="宋体" w:hAnsi="宋体" w:eastAsia="宋体" w:cs="宋体"/>
                <w:bCs/>
                <w:color w:val="auto"/>
                <w:szCs w:val="21"/>
                <w:lang w:val="en-US" w:eastAsia="zh-CN"/>
              </w:rPr>
            </w:pPr>
            <w:r>
              <w:rPr>
                <w:rFonts w:hint="eastAsia" w:ascii="宋体" w:hAnsi="宋体" w:cs="宋体"/>
                <w:snapToGrid w:val="0"/>
                <w:kern w:val="0"/>
                <w:szCs w:val="21"/>
              </w:rPr>
              <w:t>视频时长不超过5分钟，供应商应确保视频文件完好，如因文件损坏等原因导致文件不能正常播放的，供应商自行承担相关责任。</w:t>
            </w:r>
          </w:p>
        </w:tc>
      </w:tr>
      <w:tr w14:paraId="3BDA0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64C0C768">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vMerge w:val="restart"/>
            <w:tcBorders>
              <w:top w:val="single" w:color="000000" w:sz="2" w:space="0"/>
              <w:left w:val="single" w:color="000000" w:sz="2" w:space="0"/>
              <w:right w:val="single" w:color="000000" w:sz="2" w:space="0"/>
            </w:tcBorders>
            <w:vAlign w:val="center"/>
          </w:tcPr>
          <w:p w14:paraId="6FF338C5">
            <w:pPr>
              <w:widowControl/>
              <w:spacing w:line="360" w:lineRule="auto"/>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服务承诺</w:t>
            </w:r>
          </w:p>
          <w:p w14:paraId="0B54DF3F">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auto"/>
                <w:szCs w:val="21"/>
                <w:lang w:val="en-US" w:eastAsia="zh-CN"/>
              </w:rPr>
              <w:t>（5分）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70CE3CDE">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eastAsia="Arial" w:cs="宋体"/>
                <w:snapToGrid w:val="0"/>
                <w:color w:val="000000"/>
                <w:kern w:val="0"/>
                <w:szCs w:val="21"/>
              </w:rPr>
              <w:t>1.</w:t>
            </w:r>
            <w:r>
              <w:rPr>
                <w:rFonts w:hint="eastAsia" w:ascii="宋体" w:hAnsi="宋体" w:eastAsia="宋体" w:cs="宋体"/>
                <w:snapToGrid w:val="0"/>
                <w:color w:val="000000"/>
                <w:kern w:val="0"/>
                <w:szCs w:val="21"/>
                <w:lang w:val="en-US" w:eastAsia="zh-CN"/>
              </w:rPr>
              <w:t>承诺</w:t>
            </w:r>
            <w:r>
              <w:rPr>
                <w:rFonts w:hint="eastAsia" w:ascii="宋体" w:hAnsi="宋体" w:cs="宋体"/>
                <w:snapToGrid w:val="0"/>
                <w:color w:val="000000"/>
                <w:kern w:val="0"/>
                <w:szCs w:val="21"/>
              </w:rPr>
              <w:t>与</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做好沟通交流工作，听取用餐人员意见建议，持续优化服务的承诺及措施；（满分</w:t>
            </w:r>
            <w:r>
              <w:rPr>
                <w:rFonts w:hint="eastAsia" w:ascii="宋体" w:hAnsi="宋体" w:cs="宋体"/>
                <w:snapToGrid w:val="0"/>
                <w:color w:val="000000"/>
                <w:kern w:val="0"/>
                <w:szCs w:val="21"/>
                <w:lang w:val="en-US" w:eastAsia="zh-CN"/>
              </w:rPr>
              <w:t>3</w:t>
            </w:r>
            <w:r>
              <w:rPr>
                <w:rFonts w:hint="eastAsia" w:ascii="宋体" w:hAnsi="宋体" w:cs="宋体"/>
                <w:snapToGrid w:val="0"/>
                <w:color w:val="000000"/>
                <w:kern w:val="0"/>
                <w:szCs w:val="21"/>
              </w:rPr>
              <w:t>分）</w:t>
            </w:r>
          </w:p>
          <w:p w14:paraId="3939F73E">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lang w:val="en-US" w:eastAsia="zh-CN"/>
              </w:rPr>
              <w:t>内容详实、</w:t>
            </w:r>
            <w:r>
              <w:rPr>
                <w:rFonts w:hint="eastAsia" w:ascii="宋体" w:hAnsi="宋体" w:cs="宋体"/>
                <w:snapToGrid w:val="0"/>
                <w:color w:val="000000"/>
                <w:kern w:val="0"/>
                <w:szCs w:val="21"/>
              </w:rPr>
              <w:t>措施完善、合理、可行性较高的，得</w:t>
            </w:r>
            <w:r>
              <w:rPr>
                <w:rFonts w:hint="eastAsia" w:ascii="宋体" w:hAnsi="宋体" w:cs="宋体"/>
                <w:snapToGrid w:val="0"/>
                <w:color w:val="000000"/>
                <w:kern w:val="0"/>
                <w:szCs w:val="21"/>
                <w:lang w:val="en-US" w:eastAsia="zh-CN"/>
              </w:rPr>
              <w:t>3</w:t>
            </w:r>
            <w:r>
              <w:rPr>
                <w:rFonts w:hint="eastAsia" w:ascii="宋体" w:hAnsi="宋体" w:cs="宋体"/>
                <w:snapToGrid w:val="0"/>
                <w:color w:val="000000"/>
                <w:kern w:val="0"/>
                <w:szCs w:val="21"/>
              </w:rPr>
              <w:t>分；</w:t>
            </w:r>
            <w:r>
              <w:rPr>
                <w:rFonts w:hint="eastAsia" w:ascii="宋体" w:hAnsi="宋体" w:eastAsia="Arial" w:cs="宋体"/>
                <w:snapToGrid w:val="0"/>
                <w:color w:val="000000"/>
                <w:kern w:val="0"/>
                <w:szCs w:val="21"/>
              </w:rPr>
              <w:t xml:space="preserve"> </w:t>
            </w:r>
          </w:p>
          <w:p w14:paraId="78EC57D8">
            <w:pPr>
              <w:widowControl/>
              <w:kinsoku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内容基本详实，措施</w:t>
            </w:r>
            <w:r>
              <w:rPr>
                <w:rFonts w:hint="eastAsia" w:ascii="宋体" w:hAnsi="宋体" w:cs="宋体"/>
                <w:snapToGrid w:val="0"/>
                <w:color w:val="000000"/>
                <w:kern w:val="0"/>
                <w:szCs w:val="21"/>
              </w:rPr>
              <w:t>基本齐全，需进一步完善的，得</w:t>
            </w:r>
            <w:r>
              <w:rPr>
                <w:rFonts w:hint="eastAsia" w:ascii="宋体" w:hAnsi="宋体" w:cs="宋体"/>
                <w:snapToGrid w:val="0"/>
                <w:color w:val="000000"/>
                <w:kern w:val="0"/>
                <w:szCs w:val="21"/>
                <w:lang w:val="en-US" w:eastAsia="zh-CN"/>
              </w:rPr>
              <w:t>2</w:t>
            </w:r>
            <w:r>
              <w:rPr>
                <w:rFonts w:hint="eastAsia" w:ascii="宋体" w:hAnsi="宋体" w:cs="宋体"/>
                <w:snapToGrid w:val="0"/>
                <w:color w:val="000000"/>
                <w:kern w:val="0"/>
                <w:szCs w:val="21"/>
              </w:rPr>
              <w:t>分；</w:t>
            </w:r>
          </w:p>
          <w:p w14:paraId="2D39BC1C">
            <w:pPr>
              <w:widowControl/>
              <w:kinsoku w:val="0"/>
              <w:adjustRightInd w:val="0"/>
              <w:snapToGrid w:val="0"/>
              <w:spacing w:line="360" w:lineRule="auto"/>
              <w:textAlignment w:val="baseline"/>
              <w:rPr>
                <w:rFonts w:hint="default" w:ascii="宋体" w:hAnsi="宋体" w:eastAsia="宋体" w:cs="宋体"/>
                <w:snapToGrid w:val="0"/>
                <w:color w:val="000000"/>
                <w:szCs w:val="21"/>
                <w:lang w:val="en-US" w:eastAsia="zh-CN"/>
              </w:rPr>
            </w:pPr>
            <w:r>
              <w:rPr>
                <w:rFonts w:hint="eastAsia" w:ascii="宋体" w:hAnsi="宋体" w:cs="宋体"/>
                <w:snapToGrid w:val="0"/>
                <w:color w:val="000000"/>
                <w:kern w:val="0"/>
                <w:szCs w:val="21"/>
                <w:lang w:val="en-US" w:eastAsia="zh-CN"/>
              </w:rPr>
              <w:t>内容不完整、措施不完善得1分；</w:t>
            </w:r>
          </w:p>
          <w:p w14:paraId="0A0E015D">
            <w:pPr>
              <w:widowControl/>
              <w:kinsoku w:val="0"/>
              <w:adjustRightInd w:val="0"/>
              <w:snapToGrid w:val="0"/>
              <w:spacing w:line="360" w:lineRule="auto"/>
              <w:textAlignment w:val="baseline"/>
              <w:rPr>
                <w:highlight w:val="none"/>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48D7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bottom w:val="single" w:color="000000" w:sz="2" w:space="0"/>
              <w:right w:val="single" w:color="000000" w:sz="2" w:space="0"/>
            </w:tcBorders>
            <w:vAlign w:val="center"/>
          </w:tcPr>
          <w:p w14:paraId="214FFA2B">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vMerge w:val="continue"/>
            <w:tcBorders>
              <w:left w:val="single" w:color="000000" w:sz="2" w:space="0"/>
              <w:bottom w:val="single" w:color="000000" w:sz="2" w:space="0"/>
              <w:right w:val="single" w:color="000000" w:sz="2" w:space="0"/>
            </w:tcBorders>
            <w:vAlign w:val="center"/>
          </w:tcPr>
          <w:p w14:paraId="31808947">
            <w:pPr>
              <w:widowControl/>
              <w:spacing w:line="360" w:lineRule="auto"/>
              <w:rPr>
                <w:rFonts w:ascii="宋体" w:hAnsi="宋体" w:cs="宋体"/>
                <w:color w:val="000000" w:themeColor="text1"/>
                <w:kern w:val="0"/>
                <w:szCs w:val="21"/>
                <w:highlight w:val="none"/>
                <w14:textFill>
                  <w14:solidFill>
                    <w14:schemeClr w14:val="tx1"/>
                  </w14:solidFill>
                </w14:textFill>
              </w:rPr>
            </w:pPr>
          </w:p>
        </w:tc>
        <w:tc>
          <w:tcPr>
            <w:tcW w:w="6113" w:type="dxa"/>
            <w:tcBorders>
              <w:top w:val="single" w:color="000000" w:sz="2" w:space="0"/>
              <w:left w:val="single" w:color="000000" w:sz="2" w:space="0"/>
              <w:bottom w:val="single" w:color="000000" w:sz="2" w:space="0"/>
              <w:right w:val="single" w:color="000000" w:sz="2" w:space="0"/>
            </w:tcBorders>
            <w:vAlign w:val="center"/>
          </w:tcPr>
          <w:p w14:paraId="30FB1FEC">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eastAsia="Arial" w:cs="宋体"/>
                <w:snapToGrid w:val="0"/>
                <w:color w:val="000000"/>
                <w:kern w:val="0"/>
                <w:szCs w:val="21"/>
              </w:rPr>
              <w:t>2.</w:t>
            </w:r>
            <w:r>
              <w:rPr>
                <w:rFonts w:hint="eastAsia" w:ascii="宋体" w:hAnsi="宋体" w:cs="宋体"/>
                <w:snapToGrid w:val="0"/>
                <w:color w:val="000000"/>
                <w:kern w:val="0"/>
                <w:szCs w:val="21"/>
              </w:rPr>
              <w:t>充分考虑员工的餐饮习惯和规律，考虑食品质量水平、营养及口味的差异性，菜谱搭配合理的承诺及措施；（满分</w:t>
            </w:r>
            <w:r>
              <w:rPr>
                <w:rFonts w:hint="eastAsia" w:ascii="宋体" w:hAnsi="宋体" w:cs="宋体"/>
                <w:snapToGrid w:val="0"/>
                <w:color w:val="000000"/>
                <w:kern w:val="0"/>
                <w:szCs w:val="21"/>
                <w:lang w:val="en-US" w:eastAsia="zh-CN"/>
              </w:rPr>
              <w:t>2</w:t>
            </w:r>
            <w:r>
              <w:rPr>
                <w:rFonts w:hint="eastAsia" w:ascii="宋体" w:hAnsi="宋体" w:cs="宋体"/>
                <w:snapToGrid w:val="0"/>
                <w:color w:val="000000"/>
                <w:kern w:val="0"/>
                <w:szCs w:val="21"/>
              </w:rPr>
              <w:t>分）</w:t>
            </w:r>
          </w:p>
          <w:p w14:paraId="0EA3E5E5">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lang w:val="en-US" w:eastAsia="zh-CN"/>
              </w:rPr>
              <w:t>内容详实、</w:t>
            </w:r>
            <w:r>
              <w:rPr>
                <w:rFonts w:hint="eastAsia" w:ascii="宋体" w:hAnsi="宋体" w:cs="宋体"/>
                <w:snapToGrid w:val="0"/>
                <w:color w:val="000000"/>
                <w:kern w:val="0"/>
                <w:szCs w:val="21"/>
              </w:rPr>
              <w:t>措施完善、合理、可行性较高的，得</w:t>
            </w:r>
            <w:r>
              <w:rPr>
                <w:rFonts w:hint="eastAsia" w:ascii="宋体" w:hAnsi="宋体" w:cs="宋体"/>
                <w:snapToGrid w:val="0"/>
                <w:color w:val="000000"/>
                <w:kern w:val="0"/>
                <w:szCs w:val="21"/>
                <w:lang w:val="en-US" w:eastAsia="zh-CN"/>
              </w:rPr>
              <w:t>2</w:t>
            </w:r>
            <w:r>
              <w:rPr>
                <w:rFonts w:hint="eastAsia" w:ascii="宋体" w:hAnsi="宋体" w:cs="宋体"/>
                <w:snapToGrid w:val="0"/>
                <w:color w:val="000000"/>
                <w:kern w:val="0"/>
                <w:szCs w:val="21"/>
              </w:rPr>
              <w:t>分；</w:t>
            </w:r>
            <w:r>
              <w:rPr>
                <w:rFonts w:hint="eastAsia" w:ascii="宋体" w:hAnsi="宋体" w:eastAsia="Arial" w:cs="宋体"/>
                <w:snapToGrid w:val="0"/>
                <w:color w:val="000000"/>
                <w:kern w:val="0"/>
                <w:szCs w:val="21"/>
              </w:rPr>
              <w:t xml:space="preserve"> </w:t>
            </w:r>
          </w:p>
          <w:p w14:paraId="1C6BECFC">
            <w:pPr>
              <w:widowControl/>
              <w:kinsoku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内容基本详实，措施</w:t>
            </w:r>
            <w:r>
              <w:rPr>
                <w:rFonts w:hint="eastAsia" w:ascii="宋体" w:hAnsi="宋体" w:cs="宋体"/>
                <w:snapToGrid w:val="0"/>
                <w:color w:val="000000"/>
                <w:kern w:val="0"/>
                <w:szCs w:val="21"/>
              </w:rPr>
              <w:t>基本齐全，需进一步完善的，得</w:t>
            </w:r>
            <w:r>
              <w:rPr>
                <w:rFonts w:hint="eastAsia" w:ascii="宋体" w:hAnsi="宋体" w:cs="宋体"/>
                <w:snapToGrid w:val="0"/>
                <w:color w:val="000000"/>
                <w:kern w:val="0"/>
                <w:szCs w:val="21"/>
                <w:lang w:val="en-US" w:eastAsia="zh-CN"/>
              </w:rPr>
              <w:t>1</w:t>
            </w:r>
            <w:r>
              <w:rPr>
                <w:rFonts w:hint="eastAsia" w:ascii="宋体" w:hAnsi="宋体" w:cs="宋体"/>
                <w:snapToGrid w:val="0"/>
                <w:color w:val="000000"/>
                <w:kern w:val="0"/>
                <w:szCs w:val="21"/>
              </w:rPr>
              <w:t>分；</w:t>
            </w:r>
          </w:p>
          <w:p w14:paraId="076BCC80">
            <w:pPr>
              <w:widowControl/>
              <w:kinsoku w:val="0"/>
              <w:adjustRightInd w:val="0"/>
              <w:snapToGrid w:val="0"/>
              <w:spacing w:line="360" w:lineRule="auto"/>
              <w:textAlignment w:val="baseline"/>
              <w:rPr>
                <w:rFonts w:hint="default" w:ascii="宋体" w:hAnsi="宋体" w:eastAsia="宋体" w:cs="宋体"/>
                <w:snapToGrid w:val="0"/>
                <w:color w:val="000000"/>
                <w:szCs w:val="21"/>
                <w:lang w:val="en-US" w:eastAsia="zh-CN"/>
              </w:rPr>
            </w:pPr>
            <w:r>
              <w:rPr>
                <w:rFonts w:hint="eastAsia" w:ascii="宋体" w:hAnsi="宋体" w:cs="宋体"/>
                <w:snapToGrid w:val="0"/>
                <w:color w:val="000000"/>
                <w:kern w:val="0"/>
                <w:szCs w:val="21"/>
                <w:lang w:val="en-US" w:eastAsia="zh-CN"/>
              </w:rPr>
              <w:t>内容不完整、措施不完善得0.5分；</w:t>
            </w:r>
          </w:p>
          <w:p w14:paraId="5C830E38">
            <w:pPr>
              <w:widowControl/>
              <w:kinsoku w:val="0"/>
              <w:adjustRightInd w:val="0"/>
              <w:snapToGrid w:val="0"/>
              <w:spacing w:line="360" w:lineRule="auto"/>
              <w:textAlignment w:val="baseline"/>
              <w:rPr>
                <w:rFonts w:hint="eastAsia" w:ascii="宋体" w:hAnsi="宋体" w:cs="宋体"/>
                <w:color w:val="000000"/>
                <w:spacing w:val="-4"/>
                <w:kern w:val="0"/>
                <w:szCs w:val="21"/>
                <w:highlight w:val="none"/>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3BA85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restart"/>
            <w:tcBorders>
              <w:top w:val="single" w:color="000000" w:sz="2" w:space="0"/>
              <w:left w:val="single" w:color="000000" w:sz="2" w:space="0"/>
              <w:right w:val="single" w:color="000000" w:sz="2" w:space="0"/>
            </w:tcBorders>
            <w:vAlign w:val="center"/>
          </w:tcPr>
          <w:p w14:paraId="36C79144">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r>
              <w:rPr>
                <w:rFonts w:hint="eastAsia" w:ascii="宋体" w:hAnsi="宋体" w:cs="宋体"/>
                <w:color w:val="000000" w:themeColor="text1"/>
                <w:spacing w:val="-5"/>
                <w:kern w:val="0"/>
                <w:szCs w:val="21"/>
                <w:highlight w:val="none"/>
                <w14:textFill>
                  <w14:solidFill>
                    <w14:schemeClr w14:val="tx1"/>
                  </w14:solidFill>
                </w14:textFill>
              </w:rPr>
              <w:t>技</w:t>
            </w:r>
            <w:r>
              <w:rPr>
                <w:rFonts w:hint="eastAsia" w:ascii="宋体" w:hAnsi="宋体" w:cs="宋体"/>
                <w:color w:val="000000" w:themeColor="text1"/>
                <w:spacing w:val="-4"/>
                <w:kern w:val="0"/>
                <w:szCs w:val="21"/>
                <w:highlight w:val="none"/>
                <w14:textFill>
                  <w14:solidFill>
                    <w14:schemeClr w14:val="tx1"/>
                  </w14:solidFill>
                </w14:textFill>
              </w:rPr>
              <w:t>术部分（</w:t>
            </w:r>
            <w:r>
              <w:rPr>
                <w:rFonts w:hint="eastAsia" w:ascii="宋体" w:hAnsi="宋体" w:cs="宋体"/>
                <w:color w:val="000000" w:themeColor="text1"/>
                <w:spacing w:val="-4"/>
                <w:kern w:val="0"/>
                <w:szCs w:val="21"/>
                <w:highlight w:val="none"/>
                <w:lang w:val="en-US" w:eastAsia="zh-CN"/>
                <w14:textFill>
                  <w14:solidFill>
                    <w14:schemeClr w14:val="tx1"/>
                  </w14:solidFill>
                </w14:textFill>
              </w:rPr>
              <w:t>35</w:t>
            </w:r>
            <w:r>
              <w:rPr>
                <w:rFonts w:hint="eastAsia" w:ascii="宋体" w:hAnsi="宋体" w:cs="宋体"/>
                <w:color w:val="000000" w:themeColor="text1"/>
                <w:spacing w:val="-4"/>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14:textFill>
                  <w14:solidFill>
                    <w14:schemeClr w14:val="tx1"/>
                  </w14:solidFill>
                </w14:textFill>
              </w:rPr>
              <w:t xml:space="preserve"> </w:t>
            </w:r>
          </w:p>
        </w:tc>
        <w:tc>
          <w:tcPr>
            <w:tcW w:w="1485" w:type="dxa"/>
            <w:tcBorders>
              <w:top w:val="single" w:color="000000" w:sz="2" w:space="0"/>
              <w:left w:val="single" w:color="000000" w:sz="2" w:space="0"/>
              <w:bottom w:val="single" w:color="000000" w:sz="2" w:space="0"/>
              <w:right w:val="single" w:color="000000" w:sz="2" w:space="0"/>
            </w:tcBorders>
            <w:vAlign w:val="center"/>
          </w:tcPr>
          <w:p w14:paraId="3973D22F">
            <w:pPr>
              <w:widowControl/>
              <w:kinsoku w:val="0"/>
              <w:adjustRightInd w:val="0"/>
              <w:snapToGrid w:val="0"/>
              <w:spacing w:line="360" w:lineRule="auto"/>
              <w:jc w:val="center"/>
              <w:textAlignment w:val="baseline"/>
              <w:rPr>
                <w:rFonts w:hint="eastAsia" w:ascii="宋体" w:hAnsi="宋体" w:eastAsia="宋体" w:cs="宋体"/>
                <w:color w:val="000000" w:themeColor="text1"/>
                <w:spacing w:val="-4"/>
                <w:kern w:val="0"/>
                <w:szCs w:val="21"/>
                <w:highlight w:val="none"/>
                <w:lang w:eastAsia="zh-CN"/>
                <w14:textFill>
                  <w14:solidFill>
                    <w14:schemeClr w14:val="tx1"/>
                  </w14:solidFill>
                </w14:textFill>
              </w:rPr>
            </w:pPr>
            <w:r>
              <w:rPr>
                <w:rFonts w:hint="eastAsia" w:ascii="宋体" w:hAnsi="宋体" w:eastAsia="Arial" w:cs="宋体"/>
                <w:snapToGrid w:val="0"/>
                <w:color w:val="000000"/>
                <w:kern w:val="0"/>
                <w:szCs w:val="21"/>
              </w:rPr>
              <w:t>1.</w:t>
            </w:r>
            <w:r>
              <w:rPr>
                <w:rFonts w:hint="eastAsia" w:ascii="宋体" w:hAnsi="宋体" w:cs="宋体"/>
                <w:snapToGrid w:val="0"/>
                <w:color w:val="000000"/>
                <w:kern w:val="0"/>
                <w:szCs w:val="21"/>
              </w:rPr>
              <w:t>食品质量及食品安全方案</w:t>
            </w:r>
            <w:r>
              <w:rPr>
                <w:rFonts w:hint="eastAsia" w:ascii="宋体" w:hAnsi="宋体" w:eastAsia="Arial" w:cs="宋体"/>
                <w:snapToGrid w:val="0"/>
                <w:color w:val="000000"/>
                <w:kern w:val="0"/>
                <w:szCs w:val="21"/>
              </w:rPr>
              <w:t xml:space="preserve">          </w:t>
            </w:r>
            <w:r>
              <w:rPr>
                <w:rFonts w:hint="eastAsia" w:ascii="宋体" w:hAnsi="宋体" w:cs="宋体"/>
                <w:snapToGrid w:val="0"/>
                <w:color w:val="000000"/>
                <w:kern w:val="0"/>
                <w:szCs w:val="21"/>
              </w:rPr>
              <w:t>（</w:t>
            </w:r>
            <w:r>
              <w:rPr>
                <w:rFonts w:hint="eastAsia" w:ascii="宋体" w:hAnsi="宋体" w:eastAsia="宋体" w:cs="宋体"/>
                <w:snapToGrid w:val="0"/>
                <w:color w:val="000000"/>
                <w:kern w:val="0"/>
                <w:szCs w:val="21"/>
                <w:lang w:val="en-US" w:eastAsia="zh-CN"/>
              </w:rPr>
              <w:t>5</w:t>
            </w:r>
            <w:r>
              <w:rPr>
                <w:rFonts w:hint="eastAsia" w:ascii="宋体" w:hAnsi="宋体" w:cs="宋体"/>
                <w:snapToGrid w:val="0"/>
                <w:color w:val="000000"/>
                <w:kern w:val="0"/>
                <w:szCs w:val="21"/>
              </w:rPr>
              <w:t>分）</w:t>
            </w:r>
          </w:p>
        </w:tc>
        <w:tc>
          <w:tcPr>
            <w:tcW w:w="6113" w:type="dxa"/>
            <w:tcBorders>
              <w:top w:val="single" w:color="000000" w:sz="2" w:space="0"/>
              <w:left w:val="single" w:color="000000" w:sz="2" w:space="0"/>
              <w:bottom w:val="single" w:color="000000" w:sz="2" w:space="0"/>
              <w:right w:val="single" w:color="000000" w:sz="2" w:space="0"/>
            </w:tcBorders>
            <w:vAlign w:val="top"/>
          </w:tcPr>
          <w:p w14:paraId="316CF865">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包含但不限于加工环节、</w:t>
            </w:r>
            <w:r>
              <w:rPr>
                <w:rFonts w:hint="eastAsia" w:ascii="宋体" w:hAnsi="宋体" w:eastAsia="Arial" w:cs="宋体"/>
                <w:snapToGrid w:val="0"/>
                <w:color w:val="000000"/>
                <w:kern w:val="0"/>
                <w:szCs w:val="21"/>
              </w:rPr>
              <w:t>48</w:t>
            </w:r>
            <w:r>
              <w:rPr>
                <w:rFonts w:hint="eastAsia" w:ascii="宋体" w:hAnsi="宋体" w:cs="宋体"/>
                <w:snapToGrid w:val="0"/>
                <w:color w:val="000000"/>
                <w:kern w:val="0"/>
                <w:szCs w:val="21"/>
              </w:rPr>
              <w:t>小时留样环节、消毒环节、食品添加剂管理等各个环节食品质量及食品安排保障等内容。</w:t>
            </w:r>
          </w:p>
          <w:p w14:paraId="36457D44">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5</w:t>
            </w:r>
            <w:r>
              <w:rPr>
                <w:rFonts w:hint="eastAsia" w:ascii="宋体" w:hAnsi="宋体" w:cs="宋体"/>
                <w:snapToGrid w:val="0"/>
                <w:color w:val="000000"/>
                <w:kern w:val="0"/>
                <w:szCs w:val="21"/>
              </w:rPr>
              <w:t>分；</w:t>
            </w:r>
          </w:p>
          <w:p w14:paraId="4061B5D5">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3</w:t>
            </w:r>
            <w:r>
              <w:rPr>
                <w:rFonts w:hint="eastAsia" w:ascii="宋体" w:hAnsi="宋体" w:cs="宋体"/>
                <w:snapToGrid w:val="0"/>
                <w:color w:val="000000"/>
                <w:kern w:val="0"/>
                <w:szCs w:val="21"/>
              </w:rPr>
              <w:t>分；</w:t>
            </w:r>
          </w:p>
          <w:p w14:paraId="054F38DB">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115F5868">
            <w:pPr>
              <w:widowControl/>
              <w:kinsoku w:val="0"/>
              <w:adjustRightInd w:val="0"/>
              <w:snapToGrid w:val="0"/>
              <w:spacing w:line="360" w:lineRule="auto"/>
              <w:textAlignment w:val="baseline"/>
              <w:rPr>
                <w:color w:val="000000" w:themeColor="text1"/>
                <w:highlight w:val="none"/>
                <w14:textFill>
                  <w14:solidFill>
                    <w14:schemeClr w14:val="tx1"/>
                  </w14:solidFill>
                </w14:textFill>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627FF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68EA822E">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21CCFD96">
            <w:pPr>
              <w:widowControl/>
              <w:kinsoku w:val="0"/>
              <w:adjustRightInd w:val="0"/>
              <w:snapToGrid w:val="0"/>
              <w:spacing w:line="360" w:lineRule="auto"/>
              <w:jc w:val="center"/>
              <w:textAlignment w:val="baseline"/>
              <w:rPr>
                <w:rFonts w:hint="eastAsia" w:ascii="宋体" w:hAnsi="宋体" w:cs="宋体"/>
                <w:snapToGrid w:val="0"/>
                <w:color w:val="000000"/>
                <w:kern w:val="0"/>
                <w:szCs w:val="21"/>
              </w:rPr>
            </w:pPr>
            <w:r>
              <w:rPr>
                <w:rFonts w:hint="eastAsia" w:ascii="宋体" w:hAnsi="宋体" w:eastAsia="Arial" w:cs="宋体"/>
                <w:snapToGrid w:val="0"/>
                <w:color w:val="000000"/>
                <w:kern w:val="0"/>
                <w:szCs w:val="21"/>
              </w:rPr>
              <w:t>2.</w:t>
            </w:r>
            <w:r>
              <w:rPr>
                <w:rFonts w:hint="eastAsia" w:ascii="宋体" w:hAnsi="宋体" w:cs="宋体"/>
                <w:snapToGrid w:val="0"/>
                <w:color w:val="000000"/>
                <w:kern w:val="0"/>
                <w:szCs w:val="21"/>
              </w:rPr>
              <w:t>服务质量</w:t>
            </w:r>
            <w:r>
              <w:rPr>
                <w:rFonts w:hint="eastAsia" w:ascii="宋体" w:hAnsi="宋体" w:cs="宋体"/>
                <w:snapToGrid w:val="0"/>
                <w:color w:val="000000"/>
                <w:kern w:val="0"/>
                <w:szCs w:val="21"/>
                <w:lang w:val="en-US" w:eastAsia="zh-CN"/>
              </w:rPr>
              <w:t>管理</w:t>
            </w:r>
            <w:r>
              <w:rPr>
                <w:rFonts w:hint="eastAsia" w:ascii="宋体" w:hAnsi="宋体" w:cs="宋体"/>
                <w:snapToGrid w:val="0"/>
                <w:color w:val="000000"/>
                <w:kern w:val="0"/>
                <w:szCs w:val="21"/>
              </w:rPr>
              <w:t>方案</w:t>
            </w:r>
          </w:p>
          <w:p w14:paraId="01AABFA3">
            <w:pPr>
              <w:widowControl/>
              <w:kinsoku w:val="0"/>
              <w:adjustRightInd w:val="0"/>
              <w:snapToGrid w:val="0"/>
              <w:spacing w:line="360" w:lineRule="auto"/>
              <w:jc w:val="center"/>
              <w:textAlignment w:val="baseline"/>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snapToGrid w:val="0"/>
                <w:color w:val="000000"/>
                <w:kern w:val="0"/>
                <w:szCs w:val="21"/>
              </w:rPr>
              <w:t>（</w:t>
            </w:r>
            <w:r>
              <w:rPr>
                <w:rFonts w:hint="eastAsia" w:ascii="宋体" w:hAnsi="宋体" w:eastAsia="宋体" w:cs="宋体"/>
                <w:snapToGrid w:val="0"/>
                <w:color w:val="000000"/>
                <w:kern w:val="0"/>
                <w:szCs w:val="21"/>
                <w:lang w:val="en-US" w:eastAsia="zh-CN"/>
              </w:rPr>
              <w:t>5</w:t>
            </w:r>
            <w:r>
              <w:rPr>
                <w:rFonts w:hint="eastAsia" w:ascii="宋体" w:hAnsi="宋体" w:cs="宋体"/>
                <w:snapToGrid w:val="0"/>
                <w:color w:val="000000"/>
                <w:kern w:val="0"/>
                <w:szCs w:val="21"/>
              </w:rPr>
              <w:t>分）</w:t>
            </w:r>
          </w:p>
        </w:tc>
        <w:tc>
          <w:tcPr>
            <w:tcW w:w="6113" w:type="dxa"/>
            <w:tcBorders>
              <w:top w:val="single" w:color="000000" w:sz="2" w:space="0"/>
              <w:left w:val="single" w:color="000000" w:sz="2" w:space="0"/>
              <w:bottom w:val="single" w:color="000000" w:sz="2" w:space="0"/>
              <w:right w:val="single" w:color="000000" w:sz="2" w:space="0"/>
            </w:tcBorders>
            <w:vAlign w:val="top"/>
          </w:tcPr>
          <w:p w14:paraId="743058CC">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包含但不限于礼貌服务、言谈时注意事项、人员定期培训、意见薄、工作期间餐厅服务人员仪容仪表及劳动纪律等服务质量控制措施。</w:t>
            </w:r>
          </w:p>
          <w:p w14:paraId="26894586">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5</w:t>
            </w:r>
            <w:r>
              <w:rPr>
                <w:rFonts w:hint="eastAsia" w:ascii="宋体" w:hAnsi="宋体" w:cs="宋体"/>
                <w:snapToGrid w:val="0"/>
                <w:color w:val="000000"/>
                <w:kern w:val="0"/>
                <w:szCs w:val="21"/>
              </w:rPr>
              <w:t>分；</w:t>
            </w:r>
          </w:p>
          <w:p w14:paraId="1446BBBF">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3</w:t>
            </w:r>
            <w:r>
              <w:rPr>
                <w:rFonts w:hint="eastAsia" w:ascii="宋体" w:hAnsi="宋体" w:cs="宋体"/>
                <w:snapToGrid w:val="0"/>
                <w:color w:val="000000"/>
                <w:kern w:val="0"/>
                <w:szCs w:val="21"/>
              </w:rPr>
              <w:t>分；</w:t>
            </w:r>
          </w:p>
          <w:p w14:paraId="5476F133">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7EFC62BD">
            <w:pPr>
              <w:widowControl/>
              <w:kinsoku w:val="0"/>
              <w:adjustRightInd w:val="0"/>
              <w:snapToGrid w:val="0"/>
              <w:spacing w:line="360" w:lineRule="auto"/>
              <w:textAlignment w:val="baseline"/>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0B1C3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74CB313D">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527DA40C">
            <w:pPr>
              <w:pStyle w:val="59"/>
              <w:kinsoku w:val="0"/>
              <w:overflowPunct w:val="0"/>
              <w:spacing w:line="336"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3.</w:t>
            </w:r>
            <w:r>
              <w:rPr>
                <w:rFonts w:hint="default"/>
                <w:color w:val="auto"/>
                <w:sz w:val="21"/>
                <w:szCs w:val="21"/>
                <w:highlight w:val="none"/>
                <w:lang w:val="en-US" w:eastAsia="zh-CN"/>
              </w:rPr>
              <w:t>团队管理</w:t>
            </w:r>
            <w:r>
              <w:rPr>
                <w:rFonts w:hint="eastAsia"/>
                <w:color w:val="auto"/>
                <w:sz w:val="21"/>
                <w:szCs w:val="21"/>
                <w:highlight w:val="none"/>
                <w:lang w:val="en-US" w:eastAsia="zh-CN"/>
              </w:rPr>
              <w:t>方案</w:t>
            </w:r>
          </w:p>
          <w:p w14:paraId="2B6F55B4">
            <w:pPr>
              <w:pStyle w:val="59"/>
              <w:kinsoku w:val="0"/>
              <w:overflowPunct w:val="0"/>
              <w:spacing w:line="336" w:lineRule="auto"/>
              <w:jc w:val="center"/>
              <w:rPr>
                <w:rFonts w:hint="eastAsia" w:ascii="宋体" w:hAnsi="宋体" w:eastAsia="宋体" w:cs="宋体"/>
                <w:color w:val="000000" w:themeColor="text1"/>
                <w:spacing w:val="-4"/>
                <w:kern w:val="0"/>
                <w:szCs w:val="21"/>
                <w:highlight w:val="none"/>
                <w:lang w:eastAsia="zh-CN"/>
                <w14:textFill>
                  <w14:solidFill>
                    <w14:schemeClr w14:val="tx1"/>
                  </w14:solidFill>
                </w14:textFill>
              </w:rPr>
            </w:pPr>
            <w:r>
              <w:rPr>
                <w:rFonts w:hint="default"/>
                <w:color w:val="auto"/>
                <w:sz w:val="21"/>
                <w:szCs w:val="21"/>
                <w:highlight w:val="none"/>
                <w:lang w:val="en-US" w:eastAsia="zh-CN"/>
              </w:rPr>
              <w:t>(</w:t>
            </w:r>
            <w:r>
              <w:rPr>
                <w:rFonts w:hint="eastAsia"/>
                <w:color w:val="auto"/>
                <w:sz w:val="21"/>
                <w:szCs w:val="21"/>
                <w:highlight w:val="none"/>
                <w:lang w:val="en-US" w:eastAsia="zh-CN"/>
              </w:rPr>
              <w:t>3</w:t>
            </w:r>
            <w:r>
              <w:rPr>
                <w:rFonts w:hint="default"/>
                <w:color w:val="auto"/>
                <w:sz w:val="21"/>
                <w:szCs w:val="21"/>
                <w:highlight w:val="none"/>
                <w:lang w:val="en-US" w:eastAsia="zh-CN"/>
              </w:rPr>
              <w:t>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2DDB91C9">
            <w:pPr>
              <w:widowControl/>
              <w:kinsoku w:val="0"/>
              <w:adjustRightInd w:val="0"/>
              <w:snapToGrid w:val="0"/>
              <w:spacing w:line="360" w:lineRule="auto"/>
              <w:textAlignment w:val="baseline"/>
              <w:rPr>
                <w:rFonts w:hint="default" w:eastAsia="宋体"/>
                <w:spacing w:val="-2"/>
                <w:sz w:val="21"/>
                <w:highlight w:val="none"/>
                <w:lang w:val="en-US" w:eastAsia="zh-CN"/>
              </w:rPr>
            </w:pPr>
            <w:r>
              <w:rPr>
                <w:rFonts w:hint="eastAsia"/>
                <w:spacing w:val="-2"/>
                <w:sz w:val="21"/>
                <w:highlight w:val="none"/>
                <w:lang w:val="en-US" w:eastAsia="zh-CN"/>
              </w:rPr>
              <w:t>根据供应商提供的团队管理方案进行评分</w:t>
            </w:r>
          </w:p>
          <w:p w14:paraId="1D5F57CE">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cs="宋体"/>
                <w:snapToGrid w:val="0"/>
                <w:color w:val="000000"/>
                <w:kern w:val="0"/>
                <w:szCs w:val="21"/>
                <w:lang w:val="en-US" w:eastAsia="zh-CN"/>
              </w:rPr>
              <w:t>3</w:t>
            </w:r>
            <w:r>
              <w:rPr>
                <w:rFonts w:hint="eastAsia" w:ascii="宋体" w:hAnsi="宋体" w:cs="宋体"/>
                <w:snapToGrid w:val="0"/>
                <w:color w:val="000000"/>
                <w:kern w:val="0"/>
                <w:szCs w:val="21"/>
              </w:rPr>
              <w:t>分；</w:t>
            </w:r>
          </w:p>
          <w:p w14:paraId="12FE2208">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cs="宋体"/>
                <w:snapToGrid w:val="0"/>
                <w:color w:val="000000"/>
                <w:kern w:val="0"/>
                <w:szCs w:val="21"/>
                <w:lang w:val="en-US" w:eastAsia="zh-CN"/>
              </w:rPr>
              <w:t>2</w:t>
            </w:r>
            <w:r>
              <w:rPr>
                <w:rFonts w:hint="eastAsia" w:ascii="宋体" w:hAnsi="宋体" w:cs="宋体"/>
                <w:snapToGrid w:val="0"/>
                <w:color w:val="000000"/>
                <w:kern w:val="0"/>
                <w:szCs w:val="21"/>
              </w:rPr>
              <w:t>分；</w:t>
            </w:r>
          </w:p>
          <w:p w14:paraId="5FC24A31">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0885FA98">
            <w:pPr>
              <w:pStyle w:val="59"/>
              <w:numPr>
                <w:ilvl w:val="0"/>
                <w:numId w:val="0"/>
              </w:numPr>
              <w:kinsoku w:val="0"/>
              <w:overflowPunct w:val="0"/>
              <w:spacing w:line="336" w:lineRule="auto"/>
              <w:ind w:left="0" w:leftChars="0" w:firstLine="0" w:firstLineChars="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3D556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7A18957F">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6D6F8294">
            <w:pPr>
              <w:widowControl/>
              <w:kinsoku w:val="0"/>
              <w:adjustRightInd w:val="0"/>
              <w:snapToGrid w:val="0"/>
              <w:spacing w:line="360" w:lineRule="auto"/>
              <w:jc w:val="center"/>
              <w:textAlignment w:val="baseline"/>
              <w:rPr>
                <w:rFonts w:ascii="宋体" w:hAnsi="宋体" w:cs="宋体"/>
                <w:snapToGrid w:val="0"/>
                <w:color w:val="000000"/>
                <w:szCs w:val="21"/>
              </w:rPr>
            </w:pPr>
            <w:r>
              <w:rPr>
                <w:rFonts w:hint="eastAsia" w:ascii="宋体" w:hAnsi="宋体" w:eastAsia="宋体" w:cs="宋体"/>
                <w:snapToGrid w:val="0"/>
                <w:color w:val="000000"/>
                <w:kern w:val="0"/>
                <w:szCs w:val="21"/>
                <w:lang w:val="en-US" w:eastAsia="zh-CN"/>
              </w:rPr>
              <w:t>4</w:t>
            </w:r>
            <w:r>
              <w:rPr>
                <w:rFonts w:hint="eastAsia" w:ascii="宋体" w:hAnsi="宋体" w:eastAsia="Arial" w:cs="宋体"/>
                <w:snapToGrid w:val="0"/>
                <w:color w:val="000000"/>
                <w:kern w:val="0"/>
                <w:szCs w:val="21"/>
              </w:rPr>
              <w:t>.</w:t>
            </w:r>
            <w:r>
              <w:rPr>
                <w:rFonts w:hint="eastAsia" w:ascii="宋体" w:hAnsi="宋体" w:eastAsia="宋体" w:cs="宋体"/>
                <w:snapToGrid w:val="0"/>
                <w:color w:val="000000"/>
                <w:kern w:val="0"/>
                <w:szCs w:val="21"/>
                <w:lang w:val="en-US" w:eastAsia="zh-CN"/>
              </w:rPr>
              <w:t>用餐</w:t>
            </w:r>
            <w:r>
              <w:rPr>
                <w:rFonts w:hint="eastAsia" w:ascii="宋体" w:hAnsi="宋体" w:cs="宋体"/>
                <w:snapToGrid w:val="0"/>
                <w:color w:val="000000"/>
                <w:kern w:val="0"/>
                <w:szCs w:val="21"/>
              </w:rPr>
              <w:t>环境管理</w:t>
            </w:r>
            <w:r>
              <w:rPr>
                <w:rFonts w:hint="eastAsia" w:ascii="宋体" w:hAnsi="宋体" w:cs="宋体"/>
                <w:snapToGrid w:val="0"/>
                <w:color w:val="000000"/>
                <w:kern w:val="0"/>
                <w:szCs w:val="21"/>
                <w:lang w:val="en-US" w:eastAsia="zh-CN"/>
              </w:rPr>
              <w:t>方案</w:t>
            </w:r>
            <w:r>
              <w:rPr>
                <w:rFonts w:hint="eastAsia" w:ascii="宋体" w:hAnsi="宋体" w:eastAsia="Arial" w:cs="宋体"/>
                <w:snapToGrid w:val="0"/>
                <w:color w:val="000000"/>
                <w:kern w:val="0"/>
                <w:szCs w:val="21"/>
              </w:rPr>
              <w:t xml:space="preserve">     </w:t>
            </w:r>
          </w:p>
          <w:p w14:paraId="0AA6A562">
            <w:pPr>
              <w:widowControl/>
              <w:kinsoku w:val="0"/>
              <w:adjustRightInd w:val="0"/>
              <w:snapToGrid w:val="0"/>
              <w:spacing w:line="360" w:lineRule="auto"/>
              <w:jc w:val="center"/>
              <w:textAlignment w:val="baseline"/>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kern w:val="0"/>
                <w:szCs w:val="21"/>
              </w:rPr>
              <w:t>（</w:t>
            </w:r>
            <w:r>
              <w:rPr>
                <w:rFonts w:hint="eastAsia" w:ascii="宋体" w:hAnsi="宋体" w:eastAsia="宋体" w:cs="宋体"/>
                <w:snapToGrid w:val="0"/>
                <w:color w:val="000000"/>
                <w:kern w:val="0"/>
                <w:szCs w:val="21"/>
                <w:lang w:val="en-US" w:eastAsia="zh-CN"/>
              </w:rPr>
              <w:t>3</w:t>
            </w:r>
            <w:r>
              <w:rPr>
                <w:rFonts w:hint="eastAsia" w:ascii="宋体" w:hAnsi="宋体" w:cs="宋体"/>
                <w:snapToGrid w:val="0"/>
                <w:color w:val="000000"/>
                <w:kern w:val="0"/>
                <w:szCs w:val="21"/>
              </w:rPr>
              <w:t>分）</w:t>
            </w:r>
            <w:r>
              <w:rPr>
                <w:rFonts w:hint="eastAsia" w:ascii="宋体" w:hAnsi="宋体" w:eastAsia="Arial" w:cs="宋体"/>
                <w:snapToGrid w:val="0"/>
                <w:color w:val="000000"/>
                <w:kern w:val="0"/>
                <w:szCs w:val="21"/>
              </w:rPr>
              <w:t xml:space="preserve">    </w:t>
            </w:r>
          </w:p>
        </w:tc>
        <w:tc>
          <w:tcPr>
            <w:tcW w:w="6113" w:type="dxa"/>
            <w:tcBorders>
              <w:top w:val="single" w:color="000000" w:sz="2" w:space="0"/>
              <w:left w:val="single" w:color="000000" w:sz="2" w:space="0"/>
              <w:bottom w:val="single" w:color="000000" w:sz="2" w:space="0"/>
              <w:right w:val="single" w:color="000000" w:sz="2" w:space="0"/>
            </w:tcBorders>
            <w:vAlign w:val="center"/>
          </w:tcPr>
          <w:p w14:paraId="575C80B5">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包含但不限于地面、桌面、墙面清洁</w:t>
            </w:r>
            <w:r>
              <w:rPr>
                <w:rFonts w:hint="eastAsia" w:ascii="宋体" w:hAnsi="宋体" w:cs="宋体"/>
                <w:snapToGrid w:val="0"/>
                <w:color w:val="000000"/>
                <w:kern w:val="0"/>
                <w:szCs w:val="21"/>
                <w:lang w:eastAsia="zh-CN"/>
              </w:rPr>
              <w:t>、</w:t>
            </w:r>
            <w:r>
              <w:rPr>
                <w:rFonts w:hint="eastAsia" w:ascii="宋体" w:hAnsi="宋体" w:cs="宋体"/>
                <w:snapToGrid w:val="0"/>
                <w:color w:val="000000"/>
                <w:kern w:val="0"/>
                <w:szCs w:val="21"/>
              </w:rPr>
              <w:t>花草养护、空调温湿度控制、灯光照明控制、环境美化等。</w:t>
            </w:r>
          </w:p>
          <w:p w14:paraId="60E1942A">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cs="宋体"/>
                <w:snapToGrid w:val="0"/>
                <w:color w:val="000000"/>
                <w:kern w:val="0"/>
                <w:szCs w:val="21"/>
                <w:lang w:val="en-US" w:eastAsia="zh-CN"/>
              </w:rPr>
              <w:t>3</w:t>
            </w:r>
            <w:r>
              <w:rPr>
                <w:rFonts w:hint="eastAsia" w:ascii="宋体" w:hAnsi="宋体" w:cs="宋体"/>
                <w:snapToGrid w:val="0"/>
                <w:color w:val="000000"/>
                <w:kern w:val="0"/>
                <w:szCs w:val="21"/>
              </w:rPr>
              <w:t>分；</w:t>
            </w:r>
          </w:p>
          <w:p w14:paraId="0525E520">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cs="宋体"/>
                <w:snapToGrid w:val="0"/>
                <w:color w:val="000000"/>
                <w:kern w:val="0"/>
                <w:szCs w:val="21"/>
                <w:lang w:val="en-US" w:eastAsia="zh-CN"/>
              </w:rPr>
              <w:t>2</w:t>
            </w:r>
            <w:r>
              <w:rPr>
                <w:rFonts w:hint="eastAsia" w:ascii="宋体" w:hAnsi="宋体" w:cs="宋体"/>
                <w:snapToGrid w:val="0"/>
                <w:color w:val="000000"/>
                <w:kern w:val="0"/>
                <w:szCs w:val="21"/>
              </w:rPr>
              <w:t>分；</w:t>
            </w:r>
          </w:p>
          <w:p w14:paraId="174EF71A">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4F899188">
            <w:pPr>
              <w:widowControl/>
              <w:kinsoku w:val="0"/>
              <w:adjustRightInd w:val="0"/>
              <w:snapToGrid w:val="0"/>
              <w:spacing w:line="360" w:lineRule="auto"/>
              <w:textAlignment w:val="baseline"/>
              <w:rPr>
                <w:rFonts w:ascii="宋体" w:hAnsi="宋体" w:cs="宋体"/>
                <w:color w:val="000000"/>
                <w:spacing w:val="-4"/>
                <w:kern w:val="0"/>
                <w:szCs w:val="21"/>
                <w:highlight w:val="none"/>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79DE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47227E18">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1C820BB0">
            <w:pPr>
              <w:widowControl/>
              <w:kinsoku w:val="0"/>
              <w:adjustRightInd w:val="0"/>
              <w:snapToGrid w:val="0"/>
              <w:spacing w:line="360" w:lineRule="auto"/>
              <w:jc w:val="center"/>
              <w:textAlignment w:val="baseline"/>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kern w:val="0"/>
                <w:szCs w:val="21"/>
                <w:lang w:val="en-US" w:eastAsia="zh-CN"/>
              </w:rPr>
              <w:t>5</w:t>
            </w:r>
            <w:r>
              <w:rPr>
                <w:rFonts w:hint="eastAsia" w:ascii="宋体" w:hAnsi="宋体" w:eastAsia="Arial" w:cs="宋体"/>
                <w:snapToGrid w:val="0"/>
                <w:color w:val="000000"/>
                <w:kern w:val="0"/>
                <w:szCs w:val="21"/>
              </w:rPr>
              <w:t>.</w:t>
            </w:r>
            <w:r>
              <w:rPr>
                <w:rFonts w:hint="eastAsia" w:ascii="宋体" w:hAnsi="宋体" w:eastAsia="宋体" w:cs="宋体"/>
                <w:snapToGrid w:val="0"/>
                <w:color w:val="000000"/>
                <w:kern w:val="0"/>
                <w:szCs w:val="21"/>
                <w:lang w:val="en-US" w:eastAsia="zh-CN"/>
              </w:rPr>
              <w:t>应急处置</w:t>
            </w:r>
            <w:r>
              <w:rPr>
                <w:rFonts w:hint="eastAsia" w:ascii="宋体" w:hAnsi="宋体" w:cs="宋体"/>
                <w:snapToGrid w:val="0"/>
                <w:color w:val="000000"/>
                <w:kern w:val="0"/>
                <w:szCs w:val="21"/>
              </w:rPr>
              <w:t>方案（</w:t>
            </w:r>
            <w:r>
              <w:rPr>
                <w:rFonts w:hint="eastAsia" w:ascii="宋体" w:hAnsi="宋体" w:eastAsia="Arial" w:cs="宋体"/>
                <w:snapToGrid w:val="0"/>
                <w:color w:val="000000"/>
                <w:kern w:val="0"/>
                <w:szCs w:val="21"/>
              </w:rPr>
              <w:t>5</w:t>
            </w:r>
            <w:r>
              <w:rPr>
                <w:rFonts w:hint="eastAsia" w:ascii="宋体" w:hAnsi="宋体" w:cs="宋体"/>
                <w:snapToGrid w:val="0"/>
                <w:color w:val="000000"/>
                <w:kern w:val="0"/>
                <w:szCs w:val="21"/>
              </w:rPr>
              <w:t>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6D47298B">
            <w:pPr>
              <w:widowControl/>
              <w:kinsoku w:val="0"/>
              <w:adjustRightInd w:val="0"/>
              <w:snapToGrid w:val="0"/>
              <w:spacing w:line="360" w:lineRule="auto"/>
              <w:textAlignment w:val="baseline"/>
              <w:rPr>
                <w:rFonts w:ascii="宋体" w:hAnsi="宋体" w:cs="宋体"/>
                <w:snapToGrid w:val="0"/>
                <w:color w:val="000000"/>
                <w:szCs w:val="21"/>
              </w:rPr>
            </w:pPr>
            <w:r>
              <w:rPr>
                <w:rFonts w:hint="eastAsia" w:ascii="宋体" w:hAnsi="宋体" w:cs="宋体"/>
                <w:snapToGrid w:val="0"/>
                <w:color w:val="000000"/>
                <w:kern w:val="0"/>
                <w:szCs w:val="21"/>
              </w:rPr>
              <w:t>包含但不限于食物中毒</w:t>
            </w:r>
            <w:r>
              <w:rPr>
                <w:rFonts w:hint="eastAsia" w:ascii="宋体" w:hAnsi="宋体" w:cs="宋体"/>
                <w:snapToGrid w:val="0"/>
                <w:color w:val="000000"/>
                <w:kern w:val="0"/>
                <w:szCs w:val="21"/>
                <w:lang w:eastAsia="zh-CN"/>
              </w:rPr>
              <w:t>、</w:t>
            </w:r>
            <w:r>
              <w:rPr>
                <w:rFonts w:hint="eastAsia" w:ascii="宋体" w:hAnsi="宋体" w:cs="宋体"/>
                <w:snapToGrid w:val="0"/>
                <w:color w:val="000000"/>
                <w:kern w:val="0"/>
                <w:szCs w:val="21"/>
              </w:rPr>
              <w:t>停水停电停气</w:t>
            </w:r>
            <w:r>
              <w:rPr>
                <w:rFonts w:hint="eastAsia" w:ascii="宋体" w:hAnsi="宋体" w:cs="宋体"/>
                <w:snapToGrid w:val="0"/>
                <w:color w:val="000000"/>
                <w:kern w:val="0"/>
                <w:szCs w:val="21"/>
                <w:lang w:eastAsia="zh-CN"/>
              </w:rPr>
              <w:t>、</w:t>
            </w:r>
            <w:r>
              <w:rPr>
                <w:rFonts w:hint="eastAsia" w:ascii="宋体" w:hAnsi="宋体" w:cs="宋体"/>
                <w:snapToGrid w:val="0"/>
                <w:color w:val="000000"/>
                <w:kern w:val="0"/>
                <w:szCs w:val="21"/>
              </w:rPr>
              <w:t>天然气着火、电路起火、油锅起火</w:t>
            </w:r>
            <w:r>
              <w:rPr>
                <w:rFonts w:hint="eastAsia" w:ascii="宋体" w:hAnsi="宋体" w:cs="宋体"/>
                <w:snapToGrid w:val="0"/>
                <w:color w:val="000000"/>
                <w:kern w:val="0"/>
                <w:szCs w:val="21"/>
                <w:lang w:eastAsia="zh-CN"/>
              </w:rPr>
              <w:t>、</w:t>
            </w:r>
            <w:r>
              <w:rPr>
                <w:rFonts w:hint="eastAsia" w:ascii="宋体" w:hAnsi="宋体" w:cs="宋体"/>
                <w:snapToGrid w:val="0"/>
                <w:color w:val="000000"/>
                <w:kern w:val="0"/>
                <w:szCs w:val="21"/>
              </w:rPr>
              <w:t>刀伤、烫伤、烧伤、</w:t>
            </w:r>
            <w:r>
              <w:rPr>
                <w:rFonts w:hint="eastAsia" w:ascii="宋体" w:hAnsi="宋体" w:eastAsia="Arial" w:cs="宋体"/>
                <w:snapToGrid w:val="0"/>
                <w:color w:val="000000"/>
                <w:kern w:val="0"/>
                <w:szCs w:val="21"/>
              </w:rPr>
              <w:t xml:space="preserve"> </w:t>
            </w:r>
            <w:r>
              <w:rPr>
                <w:rFonts w:hint="eastAsia" w:ascii="宋体" w:hAnsi="宋体" w:cs="宋体"/>
                <w:snapToGrid w:val="0"/>
                <w:color w:val="000000"/>
                <w:kern w:val="0"/>
                <w:szCs w:val="21"/>
              </w:rPr>
              <w:t>摔伤、电击、疾病</w:t>
            </w:r>
            <w:r>
              <w:rPr>
                <w:rFonts w:hint="eastAsia" w:ascii="宋体" w:hAnsi="宋体" w:cs="宋体"/>
                <w:snapToGrid w:val="0"/>
                <w:color w:val="000000"/>
                <w:kern w:val="0"/>
                <w:szCs w:val="21"/>
                <w:lang w:eastAsia="zh-CN"/>
              </w:rPr>
              <w:t>、</w:t>
            </w:r>
            <w:r>
              <w:rPr>
                <w:rFonts w:hint="eastAsia" w:ascii="宋体" w:hAnsi="宋体" w:cs="宋体"/>
                <w:snapToGrid w:val="0"/>
                <w:color w:val="000000"/>
                <w:kern w:val="0"/>
                <w:szCs w:val="21"/>
              </w:rPr>
              <w:t>内部人员不稳定等。落实到人，责任明确，处理预案完整、科学、合理。</w:t>
            </w:r>
          </w:p>
          <w:p w14:paraId="612793C3">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5</w:t>
            </w:r>
            <w:r>
              <w:rPr>
                <w:rFonts w:hint="eastAsia" w:ascii="宋体" w:hAnsi="宋体" w:cs="宋体"/>
                <w:snapToGrid w:val="0"/>
                <w:color w:val="000000"/>
                <w:kern w:val="0"/>
                <w:szCs w:val="21"/>
              </w:rPr>
              <w:t>分；</w:t>
            </w:r>
          </w:p>
          <w:p w14:paraId="1007A2E9">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3</w:t>
            </w:r>
            <w:r>
              <w:rPr>
                <w:rFonts w:hint="eastAsia" w:ascii="宋体" w:hAnsi="宋体" w:cs="宋体"/>
                <w:snapToGrid w:val="0"/>
                <w:color w:val="000000"/>
                <w:kern w:val="0"/>
                <w:szCs w:val="21"/>
              </w:rPr>
              <w:t>分；</w:t>
            </w:r>
          </w:p>
          <w:p w14:paraId="3E0D3FCA">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3937BD89">
            <w:pPr>
              <w:widowControl/>
              <w:kinsoku w:val="0"/>
              <w:adjustRightInd w:val="0"/>
              <w:snapToGrid w:val="0"/>
              <w:spacing w:line="360" w:lineRule="auto"/>
              <w:textAlignment w:val="baseline"/>
              <w:rPr>
                <w:rFonts w:ascii="宋体" w:hAnsi="宋体" w:cs="宋体"/>
                <w:color w:val="000000"/>
                <w:spacing w:val="-4"/>
                <w:kern w:val="0"/>
                <w:szCs w:val="21"/>
                <w:highlight w:val="none"/>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06469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25695F76">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1F32BDEE">
            <w:pPr>
              <w:widowControl/>
              <w:numPr>
                <w:ilvl w:val="0"/>
                <w:numId w:val="7"/>
              </w:numPr>
              <w:kinsoku w:val="0"/>
              <w:adjustRightInd w:val="0"/>
              <w:snapToGrid w:val="0"/>
              <w:spacing w:line="360" w:lineRule="auto"/>
              <w:jc w:val="center"/>
              <w:textAlignment w:val="baseline"/>
              <w:rPr>
                <w:rFonts w:hint="eastAsia" w:ascii="宋体" w:hAnsi="宋体" w:cs="宋体"/>
                <w:snapToGrid w:val="0"/>
                <w:color w:val="000000"/>
                <w:kern w:val="0"/>
                <w:szCs w:val="21"/>
                <w:lang w:val="en-US" w:eastAsia="zh-CN"/>
              </w:rPr>
            </w:pPr>
            <w:r>
              <w:rPr>
                <w:rFonts w:hint="eastAsia" w:ascii="宋体" w:hAnsi="宋体" w:cs="宋体"/>
                <w:snapToGrid w:val="0"/>
                <w:color w:val="000000"/>
                <w:kern w:val="0"/>
                <w:szCs w:val="21"/>
              </w:rPr>
              <w:t>机构设置与</w:t>
            </w:r>
            <w:r>
              <w:rPr>
                <w:rFonts w:hint="eastAsia" w:ascii="宋体" w:hAnsi="宋体" w:cs="宋体"/>
                <w:snapToGrid w:val="0"/>
                <w:color w:val="000000"/>
                <w:kern w:val="0"/>
                <w:szCs w:val="21"/>
                <w:lang w:val="en-US" w:eastAsia="zh-CN"/>
              </w:rPr>
              <w:t>岗位职责</w:t>
            </w:r>
          </w:p>
          <w:p w14:paraId="480D665F">
            <w:pPr>
              <w:widowControl/>
              <w:numPr>
                <w:ilvl w:val="0"/>
                <w:numId w:val="0"/>
              </w:numPr>
              <w:kinsoku w:val="0"/>
              <w:adjustRightInd w:val="0"/>
              <w:snapToGrid w:val="0"/>
              <w:spacing w:line="360" w:lineRule="auto"/>
              <w:ind w:left="0" w:leftChars="0" w:firstLine="0" w:firstLineChars="0"/>
              <w:jc w:val="center"/>
              <w:textAlignment w:val="baseline"/>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kern w:val="0"/>
                <w:szCs w:val="21"/>
              </w:rPr>
              <w:t>（</w:t>
            </w:r>
            <w:r>
              <w:rPr>
                <w:rFonts w:hint="eastAsia" w:ascii="宋体" w:hAnsi="宋体" w:eastAsia="Arial" w:cs="宋体"/>
                <w:snapToGrid w:val="0"/>
                <w:color w:val="000000"/>
                <w:kern w:val="0"/>
                <w:szCs w:val="21"/>
              </w:rPr>
              <w:t>5</w:t>
            </w:r>
            <w:r>
              <w:rPr>
                <w:rFonts w:hint="eastAsia" w:ascii="宋体" w:hAnsi="宋体" w:cs="宋体"/>
                <w:snapToGrid w:val="0"/>
                <w:color w:val="000000"/>
                <w:kern w:val="0"/>
                <w:szCs w:val="21"/>
              </w:rPr>
              <w:t>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32EBD841">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项目管理机构设置与</w:t>
            </w:r>
            <w:r>
              <w:rPr>
                <w:rFonts w:hint="eastAsia" w:ascii="宋体" w:hAnsi="宋体" w:cs="宋体"/>
                <w:snapToGrid w:val="0"/>
                <w:color w:val="000000"/>
                <w:kern w:val="0"/>
                <w:szCs w:val="21"/>
                <w:lang w:val="en-US" w:eastAsia="zh-CN"/>
              </w:rPr>
              <w:t>岗位职责</w:t>
            </w:r>
            <w:r>
              <w:rPr>
                <w:rFonts w:hint="eastAsia" w:ascii="宋体" w:hAnsi="宋体" w:cs="宋体"/>
                <w:snapToGrid w:val="0"/>
                <w:color w:val="000000"/>
                <w:kern w:val="0"/>
                <w:szCs w:val="21"/>
              </w:rPr>
              <w:t>整体基本合理，分工明确，各个环节均设置有相应的管理制度。</w:t>
            </w:r>
          </w:p>
          <w:p w14:paraId="4C82ECF6">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方案内容科学、合理、有针对性，完善程度非常全面准确的，得</w:t>
            </w:r>
            <w:r>
              <w:rPr>
                <w:rFonts w:hint="eastAsia" w:ascii="宋体" w:hAnsi="宋体" w:eastAsia="Arial" w:cs="宋体"/>
                <w:snapToGrid w:val="0"/>
                <w:color w:val="000000"/>
                <w:kern w:val="0"/>
                <w:szCs w:val="21"/>
              </w:rPr>
              <w:t>5</w:t>
            </w:r>
            <w:r>
              <w:rPr>
                <w:rFonts w:hint="eastAsia" w:ascii="宋体" w:hAnsi="宋体" w:cs="宋体"/>
                <w:snapToGrid w:val="0"/>
                <w:color w:val="000000"/>
                <w:kern w:val="0"/>
                <w:szCs w:val="21"/>
              </w:rPr>
              <w:t>分；</w:t>
            </w:r>
          </w:p>
          <w:p w14:paraId="6AE523BB">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方案内容科学、合理、有针对性，完善程度比较全面的，得</w:t>
            </w:r>
            <w:r>
              <w:rPr>
                <w:rFonts w:hint="eastAsia" w:ascii="宋体" w:hAnsi="宋体" w:eastAsia="Arial" w:cs="宋体"/>
                <w:snapToGrid w:val="0"/>
                <w:color w:val="000000"/>
                <w:kern w:val="0"/>
                <w:szCs w:val="21"/>
              </w:rPr>
              <w:t>3</w:t>
            </w:r>
            <w:r>
              <w:rPr>
                <w:rFonts w:hint="eastAsia" w:ascii="宋体" w:hAnsi="宋体" w:cs="宋体"/>
                <w:snapToGrid w:val="0"/>
                <w:color w:val="000000"/>
                <w:kern w:val="0"/>
                <w:szCs w:val="21"/>
              </w:rPr>
              <w:t>分；</w:t>
            </w:r>
          </w:p>
          <w:p w14:paraId="06907754">
            <w:pPr>
              <w:widowControl/>
              <w:kinsoku w:val="0"/>
              <w:adjustRightInd w:val="0"/>
              <w:snapToGrid w:val="0"/>
              <w:spacing w:line="360" w:lineRule="auto"/>
              <w:textAlignment w:val="baseline"/>
              <w:rPr>
                <w:rFonts w:ascii="宋体" w:hAnsi="宋体" w:eastAsia="Arial" w:cs="宋体"/>
                <w:snapToGrid w:val="0"/>
                <w:color w:val="000000"/>
                <w:szCs w:val="21"/>
              </w:rPr>
            </w:pPr>
            <w:r>
              <w:rPr>
                <w:rFonts w:hint="eastAsia" w:ascii="宋体" w:hAnsi="宋体" w:cs="宋体"/>
                <w:snapToGrid w:val="0"/>
                <w:color w:val="000000"/>
                <w:kern w:val="0"/>
                <w:szCs w:val="21"/>
              </w:rPr>
              <w:t>方案内容科学、合理，不够完善的，得</w:t>
            </w:r>
            <w:r>
              <w:rPr>
                <w:rFonts w:hint="eastAsia" w:ascii="宋体" w:hAnsi="宋体" w:eastAsia="Arial" w:cs="宋体"/>
                <w:snapToGrid w:val="0"/>
                <w:color w:val="000000"/>
                <w:kern w:val="0"/>
                <w:szCs w:val="21"/>
              </w:rPr>
              <w:t>1</w:t>
            </w:r>
            <w:r>
              <w:rPr>
                <w:rFonts w:hint="eastAsia" w:ascii="宋体" w:hAnsi="宋体" w:cs="宋体"/>
                <w:snapToGrid w:val="0"/>
                <w:color w:val="000000"/>
                <w:kern w:val="0"/>
                <w:szCs w:val="21"/>
              </w:rPr>
              <w:t>分；</w:t>
            </w:r>
          </w:p>
          <w:p w14:paraId="7CD04062">
            <w:pPr>
              <w:widowControl/>
              <w:kinsoku w:val="0"/>
              <w:adjustRightInd w:val="0"/>
              <w:snapToGrid w:val="0"/>
              <w:spacing w:line="360" w:lineRule="auto"/>
              <w:textAlignment w:val="baseline"/>
              <w:rPr>
                <w:rFonts w:ascii="宋体" w:hAnsi="宋体" w:cs="宋体"/>
                <w:color w:val="000000"/>
                <w:spacing w:val="-4"/>
                <w:kern w:val="0"/>
                <w:szCs w:val="21"/>
                <w:highlight w:val="none"/>
              </w:rPr>
            </w:pPr>
            <w:r>
              <w:rPr>
                <w:rFonts w:hint="eastAsia" w:ascii="宋体" w:hAnsi="宋体" w:cs="宋体"/>
                <w:snapToGrid w:val="0"/>
                <w:color w:val="000000"/>
                <w:kern w:val="0"/>
                <w:szCs w:val="21"/>
                <w:lang w:val="en-US" w:eastAsia="zh-CN"/>
              </w:rPr>
              <w:t>缺项</w:t>
            </w:r>
            <w:r>
              <w:rPr>
                <w:rFonts w:hint="eastAsia" w:ascii="宋体" w:hAnsi="宋体" w:cs="宋体"/>
                <w:snapToGrid w:val="0"/>
                <w:color w:val="000000"/>
                <w:kern w:val="0"/>
                <w:szCs w:val="21"/>
              </w:rPr>
              <w:t>得</w:t>
            </w:r>
            <w:r>
              <w:rPr>
                <w:rFonts w:hint="eastAsia" w:ascii="宋体" w:hAnsi="宋体" w:eastAsia="Arial" w:cs="宋体"/>
                <w:snapToGrid w:val="0"/>
                <w:color w:val="000000"/>
                <w:kern w:val="0"/>
                <w:szCs w:val="21"/>
              </w:rPr>
              <w:t>0</w:t>
            </w:r>
            <w:r>
              <w:rPr>
                <w:rFonts w:hint="eastAsia" w:ascii="宋体" w:hAnsi="宋体" w:cs="宋体"/>
                <w:snapToGrid w:val="0"/>
                <w:color w:val="000000"/>
                <w:kern w:val="0"/>
                <w:szCs w:val="21"/>
              </w:rPr>
              <w:t>分。</w:t>
            </w:r>
          </w:p>
        </w:tc>
      </w:tr>
      <w:tr w14:paraId="770DD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right w:val="single" w:color="000000" w:sz="2" w:space="0"/>
            </w:tcBorders>
            <w:vAlign w:val="center"/>
          </w:tcPr>
          <w:p w14:paraId="60DCE57A">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624630D3">
            <w:pPr>
              <w:pStyle w:val="59"/>
              <w:kinsoku w:val="0"/>
              <w:overflowPunct w:val="0"/>
              <w:spacing w:line="336"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7.品种规划方案</w:t>
            </w:r>
          </w:p>
          <w:p w14:paraId="31FBC8E4">
            <w:pPr>
              <w:pStyle w:val="59"/>
              <w:kinsoku w:val="0"/>
              <w:overflowPunct w:val="0"/>
              <w:spacing w:line="336"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color w:val="auto"/>
                <w:sz w:val="21"/>
                <w:szCs w:val="21"/>
                <w:highlight w:val="none"/>
                <w:lang w:val="en-US" w:eastAsia="zh-CN"/>
              </w:rPr>
              <w:t>(5分)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2D6179E2">
            <w:pPr>
              <w:pStyle w:val="59"/>
              <w:kinsoku w:val="0"/>
              <w:overflowPunct w:val="0"/>
              <w:spacing w:line="336" w:lineRule="auto"/>
              <w:rPr>
                <w:rFonts w:hint="eastAsia"/>
                <w:color w:val="auto"/>
                <w:sz w:val="21"/>
                <w:szCs w:val="21"/>
                <w:highlight w:val="none"/>
                <w:lang w:val="en-US" w:eastAsia="zh-CN"/>
              </w:rPr>
            </w:pPr>
            <w:r>
              <w:rPr>
                <w:rFonts w:hint="eastAsia"/>
                <w:color w:val="auto"/>
                <w:sz w:val="21"/>
                <w:szCs w:val="21"/>
                <w:highlight w:val="none"/>
                <w:lang w:val="en-US" w:eastAsia="zh-CN"/>
              </w:rPr>
              <w:t>饭菜品种规划方案，供应商应提供切实可行的不同季节的饭菜品种规划方案。</w:t>
            </w:r>
          </w:p>
          <w:p w14:paraId="5F390229">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5</w:t>
            </w:r>
            <w:r>
              <w:rPr>
                <w:rFonts w:hint="eastAsia" w:ascii="宋体" w:hAnsi="宋体" w:cs="宋体"/>
                <w:snapToGrid w:val="0"/>
                <w:color w:val="000000"/>
                <w:kern w:val="0"/>
                <w:szCs w:val="21"/>
              </w:rPr>
              <w:t>分；</w:t>
            </w:r>
          </w:p>
          <w:p w14:paraId="63AD1507">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3</w:t>
            </w:r>
            <w:r>
              <w:rPr>
                <w:rFonts w:hint="eastAsia" w:ascii="宋体" w:hAnsi="宋体" w:cs="宋体"/>
                <w:snapToGrid w:val="0"/>
                <w:color w:val="000000"/>
                <w:kern w:val="0"/>
                <w:szCs w:val="21"/>
              </w:rPr>
              <w:t>分；</w:t>
            </w:r>
          </w:p>
          <w:p w14:paraId="5BB952A3">
            <w:pPr>
              <w:widowControl/>
              <w:kinsoku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4D6255F0">
            <w:pPr>
              <w:widowControl/>
              <w:kinsoku w:val="0"/>
              <w:adjustRightInd w:val="0"/>
              <w:snapToGrid w:val="0"/>
              <w:spacing w:line="360" w:lineRule="auto"/>
              <w:textAlignment w:val="baseline"/>
              <w:rPr>
                <w:rFonts w:ascii="宋体" w:hAnsi="宋体" w:cs="宋体"/>
                <w:color w:val="000000"/>
                <w:spacing w:val="-4"/>
                <w:kern w:val="0"/>
                <w:szCs w:val="21"/>
                <w:highlight w:val="none"/>
              </w:rPr>
            </w:pPr>
            <w:r>
              <w:rPr>
                <w:rFonts w:hint="eastAsia" w:ascii="宋体" w:hAnsi="宋体" w:cs="宋体"/>
                <w:snapToGrid w:val="0"/>
                <w:color w:val="000000"/>
                <w:kern w:val="0"/>
                <w:szCs w:val="21"/>
                <w:lang w:val="en-US" w:eastAsia="zh-CN"/>
              </w:rPr>
              <w:t>缺项得0分。</w:t>
            </w:r>
          </w:p>
        </w:tc>
      </w:tr>
      <w:tr w14:paraId="3DF53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2" w:type="dxa"/>
            <w:vMerge w:val="continue"/>
            <w:tcBorders>
              <w:left w:val="single" w:color="000000" w:sz="2" w:space="0"/>
              <w:bottom w:val="single" w:color="000000" w:sz="2" w:space="0"/>
              <w:right w:val="single" w:color="000000" w:sz="2" w:space="0"/>
            </w:tcBorders>
            <w:vAlign w:val="center"/>
          </w:tcPr>
          <w:p w14:paraId="0761C0BF">
            <w:pPr>
              <w:widowControl/>
              <w:kinsoku w:val="0"/>
              <w:autoSpaceDE w:val="0"/>
              <w:autoSpaceDN w:val="0"/>
              <w:adjustRightInd w:val="0"/>
              <w:snapToGrid w:val="0"/>
              <w:spacing w:line="360" w:lineRule="exact"/>
              <w:ind w:left="121" w:right="146" w:firstLine="8"/>
              <w:jc w:val="center"/>
              <w:textAlignment w:val="baseline"/>
              <w:rPr>
                <w:rFonts w:ascii="宋体" w:hAnsi="宋体" w:cs="宋体"/>
                <w:color w:val="000000" w:themeColor="text1"/>
                <w:spacing w:val="-7"/>
                <w:kern w:val="0"/>
                <w:szCs w:val="21"/>
                <w:highlight w:val="none"/>
                <w14:textFill>
                  <w14:solidFill>
                    <w14:schemeClr w14:val="tx1"/>
                  </w14:solidFill>
                </w14:textFill>
              </w:rPr>
            </w:pPr>
          </w:p>
        </w:tc>
        <w:tc>
          <w:tcPr>
            <w:tcW w:w="1485" w:type="dxa"/>
            <w:tcBorders>
              <w:top w:val="single" w:color="000000" w:sz="2" w:space="0"/>
              <w:left w:val="single" w:color="000000" w:sz="2" w:space="0"/>
              <w:bottom w:val="single" w:color="000000" w:sz="2" w:space="0"/>
              <w:right w:val="single" w:color="000000" w:sz="2" w:space="0"/>
            </w:tcBorders>
            <w:vAlign w:val="center"/>
          </w:tcPr>
          <w:p w14:paraId="0D5BEFC3">
            <w:pPr>
              <w:pStyle w:val="59"/>
              <w:kinsoku w:val="0"/>
              <w:overflowPunct w:val="0"/>
              <w:spacing w:line="336"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color w:val="auto"/>
                <w:sz w:val="21"/>
                <w:szCs w:val="21"/>
                <w:highlight w:val="none"/>
                <w:lang w:val="en-US" w:eastAsia="zh-CN"/>
              </w:rPr>
              <w:t>8.厉行节约处理方案(4分)</w:t>
            </w:r>
          </w:p>
        </w:tc>
        <w:tc>
          <w:tcPr>
            <w:tcW w:w="6113" w:type="dxa"/>
            <w:tcBorders>
              <w:top w:val="single" w:color="000000" w:sz="2" w:space="0"/>
              <w:left w:val="single" w:color="000000" w:sz="2" w:space="0"/>
              <w:bottom w:val="single" w:color="000000" w:sz="2" w:space="0"/>
              <w:right w:val="single" w:color="000000" w:sz="2" w:space="0"/>
            </w:tcBorders>
            <w:vAlign w:val="center"/>
          </w:tcPr>
          <w:p w14:paraId="3C4F2B4E">
            <w:pPr>
              <w:pStyle w:val="59"/>
              <w:kinsoku w:val="0"/>
              <w:overflowPunct w:val="0"/>
              <w:spacing w:line="336" w:lineRule="auto"/>
              <w:rPr>
                <w:rFonts w:hint="eastAsia"/>
                <w:color w:val="auto"/>
                <w:sz w:val="21"/>
                <w:szCs w:val="21"/>
                <w:highlight w:val="none"/>
                <w:lang w:val="en-US" w:eastAsia="zh-CN"/>
              </w:rPr>
            </w:pPr>
            <w:r>
              <w:rPr>
                <w:rFonts w:hint="eastAsia"/>
                <w:color w:val="auto"/>
                <w:sz w:val="21"/>
                <w:szCs w:val="21"/>
                <w:highlight w:val="none"/>
                <w:lang w:val="en-US" w:eastAsia="zh-CN"/>
              </w:rPr>
              <w:t>根据投标人针对本项目应按照《河南省人民政府办公厅关于加强地沟油整治和餐厨废弃物管理的实施意见》相关要求，制订厉行节约处理方案。</w:t>
            </w:r>
          </w:p>
          <w:p w14:paraId="38FA941C">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内容详实，方案科学、合理、安全，</w:t>
            </w:r>
            <w:r>
              <w:rPr>
                <w:sz w:val="21"/>
                <w:highlight w:val="none"/>
              </w:rPr>
              <w:t>考虑周全，措施到</w:t>
            </w:r>
            <w:r>
              <w:rPr>
                <w:spacing w:val="-2"/>
                <w:sz w:val="21"/>
                <w:highlight w:val="none"/>
              </w:rPr>
              <w:t>位，针对性强，完全能够满足</w:t>
            </w:r>
            <w:r>
              <w:rPr>
                <w:rFonts w:hint="eastAsia" w:ascii="宋体" w:hAnsi="宋体" w:cs="宋体"/>
                <w:snapToGrid w:val="0"/>
                <w:color w:val="000000"/>
                <w:kern w:val="0"/>
                <w:szCs w:val="21"/>
                <w:lang w:val="en-US" w:eastAsia="zh-CN"/>
              </w:rPr>
              <w:t>采购人</w:t>
            </w:r>
            <w:r>
              <w:rPr>
                <w:sz w:val="21"/>
                <w:highlight w:val="none"/>
              </w:rPr>
              <w:t>需要</w:t>
            </w:r>
            <w:r>
              <w:rPr>
                <w:rFonts w:hint="eastAsia" w:ascii="宋体" w:hAnsi="宋体" w:cs="宋体"/>
                <w:snapToGrid w:val="0"/>
                <w:color w:val="000000"/>
                <w:kern w:val="0"/>
                <w:szCs w:val="21"/>
              </w:rPr>
              <w:t>，得</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rPr>
              <w:t>分；</w:t>
            </w:r>
          </w:p>
          <w:p w14:paraId="323B1819">
            <w:pPr>
              <w:widowControl/>
              <w:kinsoku w:val="0"/>
              <w:adjustRightInd w:val="0"/>
              <w:snapToGrid w:val="0"/>
              <w:spacing w:line="360" w:lineRule="auto"/>
              <w:textAlignment w:val="baseline"/>
              <w:rPr>
                <w:rFonts w:ascii="宋体" w:hAnsi="宋体" w:eastAsia="Arial" w:cs="宋体"/>
                <w:snapToGrid w:val="0"/>
                <w:color w:val="000000"/>
                <w:szCs w:val="21"/>
              </w:rPr>
            </w:pPr>
            <w:r>
              <w:rPr>
                <w:spacing w:val="-2"/>
                <w:sz w:val="21"/>
                <w:highlight w:val="none"/>
              </w:rPr>
              <w:t>内容完整，方案基本科学、合理、安全，基本考虑周全，措施基本到位，针对性较强，可以满足</w:t>
            </w:r>
            <w:r>
              <w:rPr>
                <w:rFonts w:hint="eastAsia" w:ascii="宋体" w:hAnsi="宋体" w:cs="宋体"/>
                <w:snapToGrid w:val="0"/>
                <w:color w:val="000000"/>
                <w:kern w:val="0"/>
                <w:szCs w:val="21"/>
                <w:lang w:val="en-US" w:eastAsia="zh-CN"/>
              </w:rPr>
              <w:t>采购人</w:t>
            </w:r>
            <w:r>
              <w:rPr>
                <w:spacing w:val="-2"/>
                <w:sz w:val="21"/>
                <w:highlight w:val="none"/>
              </w:rPr>
              <w:t>需要，但有个别细节需要进</w:t>
            </w:r>
            <w:r>
              <w:rPr>
                <w:sz w:val="21"/>
                <w:highlight w:val="none"/>
              </w:rPr>
              <w:t>一步完善或提高</w:t>
            </w:r>
            <w:r>
              <w:rPr>
                <w:rFonts w:hint="eastAsia" w:ascii="宋体" w:hAnsi="宋体" w:cs="宋体"/>
                <w:snapToGrid w:val="0"/>
                <w:color w:val="000000"/>
                <w:kern w:val="0"/>
                <w:szCs w:val="21"/>
              </w:rPr>
              <w:t>，得</w:t>
            </w:r>
            <w:r>
              <w:rPr>
                <w:rFonts w:hint="eastAsia" w:ascii="宋体" w:hAnsi="宋体" w:eastAsia="宋体" w:cs="宋体"/>
                <w:snapToGrid w:val="0"/>
                <w:color w:val="000000"/>
                <w:kern w:val="0"/>
                <w:szCs w:val="21"/>
                <w:lang w:val="en-US" w:eastAsia="zh-CN"/>
              </w:rPr>
              <w:t>3</w:t>
            </w:r>
            <w:r>
              <w:rPr>
                <w:rFonts w:hint="eastAsia" w:ascii="宋体" w:hAnsi="宋体" w:cs="宋体"/>
                <w:snapToGrid w:val="0"/>
                <w:color w:val="000000"/>
                <w:kern w:val="0"/>
                <w:szCs w:val="21"/>
              </w:rPr>
              <w:t>分；</w:t>
            </w:r>
          </w:p>
          <w:p w14:paraId="4C022EFA">
            <w:pPr>
              <w:widowControl/>
              <w:kinsoku w:val="0"/>
              <w:adjustRightInd w:val="0"/>
              <w:snapToGrid w:val="0"/>
              <w:spacing w:line="360" w:lineRule="auto"/>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内容基本完整，方案在科学、合理、安全性方面一般，基本考虑不周，措施不够到位，针对性不强，虽然能够基本满足</w:t>
            </w:r>
            <w:r>
              <w:rPr>
                <w:rFonts w:hint="eastAsia" w:ascii="宋体" w:hAnsi="宋体" w:cs="宋体"/>
                <w:snapToGrid w:val="0"/>
                <w:color w:val="000000"/>
                <w:kern w:val="0"/>
                <w:szCs w:val="21"/>
                <w:lang w:val="en-US" w:eastAsia="zh-CN"/>
              </w:rPr>
              <w:t>采购人</w:t>
            </w:r>
            <w:r>
              <w:rPr>
                <w:rFonts w:hint="eastAsia" w:ascii="宋体" w:hAnsi="宋体" w:cs="宋体"/>
                <w:snapToGrid w:val="0"/>
                <w:color w:val="000000"/>
                <w:kern w:val="0"/>
                <w:szCs w:val="21"/>
              </w:rPr>
              <w:t>需要，但有很多方面需要进一步完善甚至重新考虑，得</w:t>
            </w:r>
            <w:r>
              <w:rPr>
                <w:rFonts w:hint="eastAsia" w:ascii="宋体" w:hAnsi="宋体" w:eastAsia="宋体" w:cs="宋体"/>
                <w:snapToGrid w:val="0"/>
                <w:color w:val="000000"/>
                <w:kern w:val="0"/>
                <w:szCs w:val="21"/>
                <w:lang w:val="en-US" w:eastAsia="zh-CN"/>
              </w:rPr>
              <w:t>1</w:t>
            </w:r>
            <w:r>
              <w:rPr>
                <w:rFonts w:hint="eastAsia" w:ascii="宋体" w:hAnsi="宋体" w:cs="宋体"/>
                <w:snapToGrid w:val="0"/>
                <w:color w:val="000000"/>
                <w:kern w:val="0"/>
                <w:szCs w:val="21"/>
              </w:rPr>
              <w:t>分；</w:t>
            </w:r>
          </w:p>
          <w:p w14:paraId="32BCE777">
            <w:pPr>
              <w:pStyle w:val="59"/>
              <w:kinsoku w:val="0"/>
              <w:overflowPunct w:val="0"/>
              <w:spacing w:line="336" w:lineRule="auto"/>
              <w:rPr>
                <w:rFonts w:ascii="宋体" w:hAnsi="宋体" w:cs="宋体"/>
                <w:color w:val="000000"/>
                <w:spacing w:val="-4"/>
                <w:kern w:val="0"/>
                <w:szCs w:val="21"/>
                <w:highlight w:val="none"/>
              </w:rPr>
            </w:pPr>
            <w:r>
              <w:rPr>
                <w:rFonts w:hint="eastAsia" w:ascii="宋体" w:hAnsi="宋体" w:cs="宋体"/>
                <w:snapToGrid w:val="0"/>
                <w:color w:val="000000"/>
                <w:kern w:val="0"/>
                <w:szCs w:val="21"/>
                <w:lang w:val="en-US" w:eastAsia="zh-CN"/>
              </w:rPr>
              <w:t>缺项得0分。</w:t>
            </w:r>
          </w:p>
        </w:tc>
      </w:tr>
    </w:tbl>
    <w:p w14:paraId="43BEA311">
      <w:pPr>
        <w:widowControl/>
        <w:kinsoku w:val="0"/>
        <w:autoSpaceDE w:val="0"/>
        <w:autoSpaceDN w:val="0"/>
        <w:adjustRightInd w:val="0"/>
        <w:snapToGrid w:val="0"/>
        <w:spacing w:before="1"/>
        <w:ind w:left="855"/>
        <w:jc w:val="left"/>
        <w:textAlignment w:val="baseline"/>
        <w:rPr>
          <w:rFonts w:ascii="仿宋_GB2312" w:hAnsi="新宋体" w:eastAsia="仿宋_GB2312" w:cs="Arial"/>
          <w:color w:val="000000" w:themeColor="text1"/>
          <w:kern w:val="0"/>
          <w:sz w:val="28"/>
          <w:szCs w:val="28"/>
          <w:highlight w:val="none"/>
          <w14:textFill>
            <w14:solidFill>
              <w14:schemeClr w14:val="tx1"/>
            </w14:solidFill>
          </w14:textFill>
        </w:rPr>
      </w:pPr>
    </w:p>
    <w:p w14:paraId="499D44D9">
      <w:pPr>
        <w:widowControl/>
        <w:kinsoku w:val="0"/>
        <w:autoSpaceDE w:val="0"/>
        <w:autoSpaceDN w:val="0"/>
        <w:adjustRightInd w:val="0"/>
        <w:snapToGrid w:val="0"/>
        <w:jc w:val="left"/>
        <w:textAlignment w:val="baseline"/>
        <w:rPr>
          <w:rFonts w:ascii="仿宋_GB2312" w:hAnsi="Arial" w:eastAsia="仿宋_GB2312" w:cs="Arial"/>
          <w:color w:val="000000" w:themeColor="text1"/>
          <w:kern w:val="0"/>
          <w:szCs w:val="21"/>
          <w:highlight w:val="none"/>
          <w14:textFill>
            <w14:solidFill>
              <w14:schemeClr w14:val="tx1"/>
            </w14:solidFill>
          </w14:textFill>
        </w:rPr>
        <w:sectPr>
          <w:footerReference r:id="rId6" w:type="default"/>
          <w:pgSz w:w="11900" w:h="16843"/>
          <w:pgMar w:top="1417" w:right="1559" w:bottom="1417" w:left="1559" w:header="0" w:footer="1020" w:gutter="0"/>
          <w:pgNumType w:start="1"/>
          <w:cols w:space="720" w:num="1"/>
        </w:sectPr>
      </w:pPr>
      <w:r>
        <w:rPr>
          <w:rFonts w:hint="eastAsia" w:ascii="仿宋_GB2312" w:hAnsi="Arial" w:eastAsia="仿宋_GB2312" w:cs="Arial"/>
          <w:color w:val="000000" w:themeColor="text1"/>
          <w:kern w:val="0"/>
          <w:szCs w:val="21"/>
          <w:highlight w:val="none"/>
          <w14:textFill>
            <w14:solidFill>
              <w14:schemeClr w14:val="tx1"/>
            </w14:solidFill>
          </w14:textFill>
        </w:rPr>
        <w:t xml:space="preserve"> </w:t>
      </w:r>
    </w:p>
    <w:p w14:paraId="7229283B">
      <w:pPr>
        <w:pStyle w:val="3"/>
        <w:numPr>
          <w:ilvl w:val="0"/>
          <w:numId w:val="0"/>
        </w:numPr>
        <w:spacing w:before="120" w:after="120" w:line="400" w:lineRule="exact"/>
        <w:jc w:val="center"/>
        <w:rPr>
          <w:rFonts w:hint="eastAsia" w:ascii="宋体" w:hAnsi="宋体" w:eastAsia="宋体" w:cs="宋体"/>
          <w:bCs w:val="0"/>
          <w:sz w:val="36"/>
          <w:szCs w:val="36"/>
          <w:lang w:eastAsia="zh-CN"/>
        </w:rPr>
      </w:pPr>
      <w:bookmarkStart w:id="107" w:name="_Toc31962"/>
      <w:bookmarkStart w:id="108" w:name="_Toc22583"/>
      <w:bookmarkStart w:id="109" w:name="_Toc152045609"/>
      <w:bookmarkStart w:id="110" w:name="_Toc152042387"/>
      <w:bookmarkStart w:id="111" w:name="_Toc144974577"/>
      <w:bookmarkStart w:id="112" w:name="_Toc509667315"/>
      <w:bookmarkStart w:id="113" w:name="_Toc21413"/>
      <w:r>
        <w:rPr>
          <w:rFonts w:hint="eastAsia" w:ascii="宋体" w:hAnsi="宋体" w:cs="宋体"/>
          <w:bCs w:val="0"/>
          <w:sz w:val="36"/>
          <w:szCs w:val="36"/>
        </w:rPr>
        <w:t>第</w:t>
      </w:r>
      <w:r>
        <w:rPr>
          <w:rFonts w:hint="eastAsia" w:ascii="宋体" w:hAnsi="宋体" w:cs="宋体"/>
          <w:bCs w:val="0"/>
          <w:sz w:val="32"/>
          <w:szCs w:val="32"/>
        </w:rPr>
        <w:t>四章 合同</w:t>
      </w:r>
      <w:bookmarkEnd w:id="107"/>
      <w:bookmarkEnd w:id="108"/>
    </w:p>
    <w:bookmarkEnd w:id="109"/>
    <w:bookmarkEnd w:id="110"/>
    <w:bookmarkEnd w:id="111"/>
    <w:bookmarkEnd w:id="112"/>
    <w:p w14:paraId="4BCC5060">
      <w:pPr>
        <w:widowControl/>
        <w:kinsoku w:val="0"/>
        <w:adjustRightInd w:val="0"/>
        <w:snapToGrid w:val="0"/>
        <w:spacing w:line="271" w:lineRule="auto"/>
        <w:jc w:val="center"/>
        <w:textAlignment w:val="baseline"/>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rPr>
        <w:t>河南法官进修学院法官培训中心后厨劳务外包项目合同</w:t>
      </w:r>
      <w:r>
        <w:rPr>
          <w:rFonts w:hint="eastAsia" w:ascii="仿宋" w:hAnsi="仿宋" w:eastAsia="仿宋" w:cs="仿宋"/>
          <w:snapToGrid w:val="0"/>
          <w:kern w:val="0"/>
          <w:sz w:val="28"/>
          <w:szCs w:val="28"/>
          <w:lang w:eastAsia="zh-CN"/>
        </w:rPr>
        <w:t>（草案）</w:t>
      </w:r>
    </w:p>
    <w:p w14:paraId="452B5F83">
      <w:pPr>
        <w:pStyle w:val="20"/>
        <w:ind w:left="0" w:leftChars="0" w:firstLine="0" w:firstLineChars="0"/>
        <w:jc w:val="center"/>
        <w:rPr>
          <w:rFonts w:hint="eastAsia"/>
          <w:lang w:eastAsia="zh-CN"/>
        </w:rPr>
      </w:pPr>
      <w:r>
        <w:rPr>
          <w:rFonts w:hint="eastAsia" w:ascii="仿宋" w:hAnsi="仿宋" w:eastAsia="仿宋" w:cs="仿宋"/>
          <w:snapToGrid w:val="0"/>
          <w:kern w:val="0"/>
          <w:sz w:val="28"/>
          <w:szCs w:val="28"/>
          <w:lang w:eastAsia="zh-CN"/>
        </w:rPr>
        <w:t>（具体以实际签订合同为准）</w:t>
      </w:r>
    </w:p>
    <w:p w14:paraId="5841B3AD">
      <w:pPr>
        <w:widowControl/>
        <w:kinsoku w:val="0"/>
        <w:adjustRightInd w:val="0"/>
        <w:snapToGrid w:val="0"/>
        <w:spacing w:line="271" w:lineRule="auto"/>
        <w:textAlignment w:val="baseline"/>
        <w:rPr>
          <w:snapToGrid w:val="0"/>
          <w:sz w:val="28"/>
          <w:szCs w:val="28"/>
        </w:rPr>
      </w:pPr>
    </w:p>
    <w:p w14:paraId="4203E82E">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甲方：河南法官进修学院</w:t>
      </w:r>
    </w:p>
    <w:p w14:paraId="7F694BB5">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乙方：_________________</w:t>
      </w:r>
    </w:p>
    <w:p w14:paraId="10880680">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按照《中华人民共和国民法典》《中华人民共和国食品卫生法》及其它有关法律法规、河南法官进修学院法官培训中心后厨劳务外包采购项目竞争性磋商文件和响应文件，本着平等、自愿、公平的原则，经甲乙双方充分协商同意，订立本合同。磋商文件和响应文件是本合同组成部分，具有同等法律效力。</w:t>
      </w:r>
    </w:p>
    <w:p w14:paraId="2022291D">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第一条  外包承揽方式</w:t>
      </w:r>
    </w:p>
    <w:p w14:paraId="6D085B6B">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在本合同约定的范围内根据甲方的要求，乙方组织选派人员到甲方，提供劳务服务，完成外包承揽目标，甲方向乙方支付劳务承揽服务费。乙方应遵守国家法律法规。乙方人员与甲方没有劳动关系，其劳动劳务关系、薪酬社保、个税扣缴、计提费用、劳动保护、从业资质、业务培训、事故工伤处理、劳动纠纷、招聘解聘、遣散安置等均由乙方负责，甲方不承担责任。</w:t>
      </w:r>
    </w:p>
    <w:p w14:paraId="6484B758">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第二条  外包承揽范围</w:t>
      </w:r>
    </w:p>
    <w:p w14:paraId="3A879568">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1、甲方厨房（含洗碗间）区域内的工作等方面的运转、管理和维护。</w:t>
      </w:r>
    </w:p>
    <w:p w14:paraId="436808B3">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2、甲方设备设施的日常管理、维护。</w:t>
      </w:r>
    </w:p>
    <w:p w14:paraId="129BE234">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3、根据甲方需要，负责甲方及与甲方有劳动、劳务关系人员的工作餐制作等餐饮生活的保障，按甲方要求控制餐饮成本。</w:t>
      </w:r>
    </w:p>
    <w:p w14:paraId="4BAC8488">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第三条  合同期限及履约保证金</w:t>
      </w:r>
    </w:p>
    <w:p w14:paraId="7C33C2B6">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1、合同期限为一年，自  年  月 日至  年  月  日止。</w:t>
      </w:r>
    </w:p>
    <w:p w14:paraId="354ACC67">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2、履约保证金：乙方在合同签订前，按磋商文件规定一次性交纳食品安全风险与履约金__________元（小写________元）。双方合同到期后，甲方在乙方交接完毕撤场后15日内无息退还履约保证金。</w:t>
      </w:r>
    </w:p>
    <w:p w14:paraId="53DCA234">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第四条  合同价款及支付</w:t>
      </w:r>
    </w:p>
    <w:p w14:paraId="5794C62E">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1、合同总价即外包承揽服务费年度总额：人民__________元（小写________元）。</w:t>
      </w:r>
    </w:p>
    <w:p w14:paraId="6C56312D">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 xml:space="preserve">2、服务费按月支付，每月支付金额为__________元（小写________元）。剩余部分并入最后一个月服务费，计__________元（小写________元）在合同结束交接后支付。乙方按甲方要求向甲方提供增值税发票，甲方次月15日前将上月度服务费转至乙方账户（如遇休息日或节假日顺延）。 </w:t>
      </w:r>
    </w:p>
    <w:p w14:paraId="1DF75451">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第五条  甲方的权利和义务</w:t>
      </w:r>
    </w:p>
    <w:p w14:paraId="4836810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1、为乙方提供服务过程所需场地（地理位置：</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）以及必要的餐厨设备及水、电、燃气，负责基础设施（房屋、水、电）的管理、维修、保养。</w:t>
      </w:r>
    </w:p>
    <w:p w14:paraId="1F1A1D81">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2、监督乙方是否按照响应文件中相关规定及本合同约定内容落实。</w:t>
      </w:r>
    </w:p>
    <w:p w14:paraId="51AAB802">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3、每月按时支付甲乙双方认可的，合同条款所约定的服务费用。</w:t>
      </w:r>
    </w:p>
    <w:p w14:paraId="28F6FB8C">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4、对饭菜质量、是否供应充足、人员卫生、后厨卫生、食品卫生安全、餐具卫生实施监督检查，对发现的问题有权责令乙方整改，若乙方整改不到位，每次扣减当月服务费500-2000元。</w:t>
      </w:r>
    </w:p>
    <w:p w14:paraId="60BA74F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5、保证厨房及餐厅用水、电、气的供应，如出现停水、电、气等情况负责协调解决。</w:t>
      </w:r>
    </w:p>
    <w:p w14:paraId="6EDDBD21">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6、对乙方在岗员工由于达不到业务技术要求或工作、服务态度不端正，经多次纠错无效的，甲方有权责令乙方进行人员调整。</w:t>
      </w:r>
    </w:p>
    <w:p w14:paraId="68F352B7">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7、乙方从业人员有违法乱纪行为，甲方责令乙方立即辞退相关人员，并扣减当月服务费。</w:t>
      </w:r>
    </w:p>
    <w:p w14:paraId="2B25DA4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8、对乙方从业人员身份和健康等进行监督、检查和指导。</w:t>
      </w:r>
    </w:p>
    <w:p w14:paraId="075E14B6">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9、通知乙方就餐人数，乙方根据就餐人数准备食材。如特殊情况甲方就餐人员大量增加，乙方应积极协助甲方提供各项服务。甲方有重大活动或节假日等情况时，提前3日通知乙方，由乙方根据计划配合并提供保障。</w:t>
      </w:r>
    </w:p>
    <w:p w14:paraId="67120EEF">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第六条  乙方的权利和义务</w:t>
      </w:r>
    </w:p>
    <w:p w14:paraId="612E2AB2">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1、根据有关法律、法规政策及本合同的规定，乙方为履行本合同负责制订餐厅后厨业务的各项管理办法，实施细则，并高质量开展餐厅各项服务活动。</w:t>
      </w:r>
    </w:p>
    <w:p w14:paraId="1FAD1345">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2、为餐厅提供点餐、自助餐等。</w:t>
      </w:r>
    </w:p>
    <w:p w14:paraId="0E0E1BB6">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3、乙方做好伙食调剂，凡有条件加工制作的，不得购买成品或半成品。确保伙食品种、数量、质量、热量适应就餐者的身心健康要求，达到营养、健康、绿色、可口等要求。</w:t>
      </w:r>
    </w:p>
    <w:p w14:paraId="78AEC4F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4、每周五前须提供下周自助餐食谱,由甲方审阅同意后按照食谱精心制作。</w:t>
      </w:r>
    </w:p>
    <w:p w14:paraId="77F36E9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5、负责营造可以提高员工工作责任心及工作效率的厨房文化；乙方应要求员工每天上班期间着统一的工作服装、卫生设备，讲文明、讲礼仪、讲卫生；在服务中不得以任何理由与甲方就餐人员发生分歧、争执、口角、身体侵害等行为，若出现以上事件，甲乙双方应立即成立事故调查小组，经查确属乙方责任，轻者由乙方批评教育，重者辞退，触犯法律者交由司法机关处理。</w:t>
      </w:r>
    </w:p>
    <w:p w14:paraId="336967C8">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6、负责操作间、过道、洗手区、门窗玻璃及员工宿舍区域的日常清扫和保洁工作。</w:t>
      </w:r>
    </w:p>
    <w:p w14:paraId="268A22A1">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7、积极采纳甲方对食材加工、食品色香味等提出的各项建议。所有乙方上岗人员必须体检合格，没有患任何餐饮从业禁止的疾病，并取得由县级以上主管部门颁发的健康证；持有（有效）厨师等级职业资格证书；健康证过期的应暂停上岗，待重新体检合格后方可重新上岗。人员增减公示栏信息必须当天及时更新，不得以任何理由或借口搪塞。人数配置必须按竞争性磋商响应文件足额到位，服务人员配备必须满足就餐需求。人身安全、防火安全、及食品加工区与污染区分离等必须接受甲方监督，发现问题及时解决。</w:t>
      </w:r>
    </w:p>
    <w:p w14:paraId="2AE0C128">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8、乙方应当培训自身员工必须按章操作，提高安全生产意识和技能，严禁违章冒险作业。如在工作服务过程中操作不当、疏忽大意、故意等造成任何安全事故，乙方负担全部责任，对甲方造成损失的，按损失的100%赔偿。</w:t>
      </w:r>
    </w:p>
    <w:p w14:paraId="61FF8DB1">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9、未经甲方同意，乙方不得在餐厅内外擅自乱搭乱建。</w:t>
      </w:r>
    </w:p>
    <w:p w14:paraId="3A4CC9D2">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10、乙方所有派驻员工的工资、福利及其他待遇均由乙方自行负责，并且须与其从事服务人员签订相关劳动合同，如发生用工、人身、财产等任何纠纷，由乙方自行承担法律责任，与甲方无关。</w:t>
      </w:r>
    </w:p>
    <w:p w14:paraId="31770019">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11、对其员工宿舍及办公场所的消防等安全工作负责，接受消防、卫生等相关部门和甲方的监督检查，必须接受甲方的监督。</w:t>
      </w:r>
    </w:p>
    <w:p w14:paraId="26778FC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12、按照甲方要求按时供餐，未经甲方同意不得提前、延后开餐。</w:t>
      </w:r>
    </w:p>
    <w:p w14:paraId="14D5CA2E">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13、根据实际需要定期或不定期对菜品更新，合理搭配。</w:t>
      </w:r>
    </w:p>
    <w:p w14:paraId="6B60FA4F">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14、要厉行节约，反对浪费，后厨原材料做到物尽其用，杜绝长流水、长明灯等现象。一经发现，出现第一次进行警告，再次出现的扣减当月服务费。</w:t>
      </w:r>
    </w:p>
    <w:p w14:paraId="294693A3">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15、本合同有效期内，乙方与甲方以外的第三方发生的一切债务、债权等纠纷，与甲方无关。如影响乙方正常服务，甲方有权解除合同，要求乙方3日内立即退场并办理交接。逾期，甲方有权自行组织强制清场，乙方承担相关费用及场内乙方遗留物品在内的全部损失。</w:t>
      </w:r>
    </w:p>
    <w:p w14:paraId="301A31CF">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16、对所有采购的食材进行验收，并对质量负责。</w:t>
      </w:r>
    </w:p>
    <w:p w14:paraId="48272D7C">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17、甲方院区处于封管控、设卡、征用或假期等不能正常工作状态时，甲方提出要求的，乙方必须保留足够的人员保障甲方留院和其他办事人员。</w:t>
      </w:r>
    </w:p>
    <w:p w14:paraId="66761DC2">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第七条  餐厅设备的管理</w:t>
      </w:r>
    </w:p>
    <w:p w14:paraId="2E674785">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甲方采购的所有设备、设施、用品、用具（以下简称甲方资产）的所有权归甲方；乙方进场后，甲乙双方共同确认相关设备能正常使用，乙方按甲方提供的资产清单盘点确认，并签字确认；办完移交手续后，合同期内甲方资产使用权由乙方行使，乙方应当妥善保管、使用、维护。若因使用不当造成设备损坏的，由乙方进行修复或赔偿。</w:t>
      </w:r>
    </w:p>
    <w:p w14:paraId="22AFAA6B">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2、在合同有效期内，乙方可以免费合理使用甲方资产，但不得外借，外租或以甲方资产做抵押、质押对外担保或贷款、融资等，未经甲方允许，不得使用甲方资产为任何第三方提供服务。</w:t>
      </w:r>
    </w:p>
    <w:p w14:paraId="723D55FC">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3、乙方在对甲方资产的使用中，应对甲方资产负责，进行妥善保养和维护，出现安全隐患时应及时整改并通知甲方；合同有效期内，所有设备、设施、用品、用具的日常维护维修费用由乙方负责。</w:t>
      </w:r>
    </w:p>
    <w:p w14:paraId="43381FAC">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4、合同有效期内，甲方资产达到报废条件的，由乙方提出，甲方协调有关职能部门办理报废手续。</w:t>
      </w:r>
    </w:p>
    <w:p w14:paraId="6ABAAA79">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5、合同到期后，乙方须按甲方资产清单（已批准报废，正常损耗的除外）如数交还所有甲方资产。</w:t>
      </w:r>
    </w:p>
    <w:p w14:paraId="2648B4CF">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第八条  违约责任</w:t>
      </w:r>
    </w:p>
    <w:p w14:paraId="60ECDF4D">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1、甲乙双方要严格遵守合同约定的各类事项，若一方违约，违约方必须承担违约责任并向对方承担因违约而造成的经济损失。</w:t>
      </w:r>
    </w:p>
    <w:p w14:paraId="5F57A476">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2、严禁乙方违法违规操作、转包分包，一经发现，甲方有权没收履约保证金并解除合同。</w:t>
      </w:r>
    </w:p>
    <w:p w14:paraId="1242C40A">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3、因乙方违反国家和地方食品卫生管理法规以及公司有关职工餐厅的卫生管理制度，食品质量不合格、对甲方就餐人员的健康、人身安全造成损害的或者造成食物中毒的，全部由乙方负责赔偿并承担相应的法律责任，且甲方有权单方面解除合同，并按相关法律法规处理。</w:t>
      </w:r>
    </w:p>
    <w:p w14:paraId="672918B6">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4、因乙方管理不善，造成饭菜质量差、卫生差等，就餐人员意见大，经甲方多次督促整改无效，甲方有权单方面终止合同，由乙方承担违约责任。</w:t>
      </w:r>
    </w:p>
    <w:p w14:paraId="59026B83">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5、甲乙双方无正当理由终止本合同应向对方赔偿违约金人民币10万元整（大写：壹拾万元整）。</w:t>
      </w:r>
    </w:p>
    <w:p w14:paraId="2750DB68">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6、合同履行期间，甲方对乙方服务质量进行满意度调查，30天内两次满意率</w:t>
      </w:r>
      <w:r>
        <w:rPr>
          <w:rFonts w:hint="eastAsia" w:ascii="宋体" w:hAnsi="宋体" w:cs="宋体"/>
          <w:snapToGrid w:val="0"/>
          <w:kern w:val="0"/>
          <w:szCs w:val="21"/>
          <w:lang w:val="en-US" w:eastAsia="zh-CN"/>
        </w:rPr>
        <w:t>90</w:t>
      </w:r>
      <w:r>
        <w:rPr>
          <w:rFonts w:hint="eastAsia" w:ascii="宋体" w:hAnsi="宋体" w:cs="宋体"/>
          <w:snapToGrid w:val="0"/>
          <w:kern w:val="0"/>
          <w:szCs w:val="21"/>
        </w:rPr>
        <w:t xml:space="preserve">%及以下的，视为服务质量不达标，甲方保留解除合同的权力。 </w:t>
      </w:r>
    </w:p>
    <w:p w14:paraId="3269BC94">
      <w:pPr>
        <w:widowControl/>
        <w:kinsoku w:val="0"/>
        <w:adjustRightInd w:val="0"/>
        <w:snapToGrid w:val="0"/>
        <w:spacing w:line="360" w:lineRule="auto"/>
        <w:textAlignment w:val="baseline"/>
        <w:rPr>
          <w:rFonts w:ascii="宋体" w:hAnsi="宋体" w:cs="宋体"/>
          <w:snapToGrid w:val="0"/>
          <w:szCs w:val="21"/>
        </w:rPr>
      </w:pPr>
      <w:r>
        <w:rPr>
          <w:rFonts w:hint="eastAsia" w:ascii="宋体" w:hAnsi="宋体" w:cs="宋体"/>
          <w:snapToGrid w:val="0"/>
          <w:kern w:val="0"/>
          <w:szCs w:val="21"/>
        </w:rPr>
        <w:t>第九条  其他事项</w:t>
      </w:r>
    </w:p>
    <w:p w14:paraId="4102DB65">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1、双方理解地址送达的法律内涵，确认本合同填写的指定联络人、地址、电话等信息准确有效，任何书面通知应充分按照上述方式联络，且一经发出2日后即为有效送达。如信息变动，应在24小时内向对方送达变更通知；否则，对方按原方式仍为有效送达。若因本合同纠纷涉诉时，本条款适用于法院诉讼、执行等程序对司法文书的送达。</w:t>
      </w:r>
    </w:p>
    <w:p w14:paraId="43B77CEB">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2、本合同未规定的事项，均按照磋商文件所规定的内容及有关法律、法规执行。</w:t>
      </w:r>
    </w:p>
    <w:p w14:paraId="0524BBF0">
      <w:pPr>
        <w:widowControl/>
        <w:kinsoku w:val="0"/>
        <w:adjustRightInd w:val="0"/>
        <w:snapToGrid w:val="0"/>
        <w:spacing w:line="360" w:lineRule="auto"/>
        <w:ind w:firstLine="420" w:firstLineChars="200"/>
        <w:textAlignment w:val="baseline"/>
        <w:rPr>
          <w:rFonts w:ascii="宋体" w:hAnsi="宋体" w:cs="宋体"/>
          <w:snapToGrid w:val="0"/>
          <w:szCs w:val="21"/>
        </w:rPr>
      </w:pPr>
      <w:r>
        <w:rPr>
          <w:rFonts w:hint="eastAsia" w:ascii="宋体" w:hAnsi="宋体" w:cs="宋体"/>
          <w:snapToGrid w:val="0"/>
          <w:kern w:val="0"/>
          <w:szCs w:val="21"/>
        </w:rPr>
        <w:t>3、发生争议或纠纷，双方友好协商解决。协商不成，任何一方均可向甲方所在地人民法院提起诉讼。</w:t>
      </w:r>
    </w:p>
    <w:p w14:paraId="48F268AD">
      <w:pPr>
        <w:widowControl/>
        <w:kinsoku w:val="0"/>
        <w:adjustRightInd w:val="0"/>
        <w:snapToGrid w:val="0"/>
        <w:spacing w:line="360" w:lineRule="auto"/>
        <w:ind w:firstLine="420" w:firstLineChars="200"/>
        <w:textAlignment w:val="baseline"/>
        <w:rPr>
          <w:rFonts w:ascii="宋体" w:hAnsi="宋体" w:cs="宋体"/>
          <w:szCs w:val="21"/>
        </w:rPr>
      </w:pPr>
      <w:r>
        <w:rPr>
          <w:rFonts w:hint="eastAsia" w:ascii="宋体" w:hAnsi="宋体" w:cs="宋体"/>
          <w:snapToGrid w:val="0"/>
          <w:kern w:val="0"/>
          <w:szCs w:val="21"/>
        </w:rPr>
        <w:t>4、未尽事宜，双方协商解决。本合同一式四份，双方各执两份，双方签字盖章后生效。</w:t>
      </w:r>
    </w:p>
    <w:p w14:paraId="2374731B">
      <w:pPr>
        <w:pStyle w:val="10"/>
        <w:snapToGrid w:val="0"/>
        <w:spacing w:before="120" w:after="120" w:line="360" w:lineRule="auto"/>
        <w:ind w:firstLine="720" w:firstLineChars="300"/>
        <w:rPr>
          <w:rFonts w:hAnsi="宋体" w:cs="宋体"/>
          <w:sz w:val="24"/>
          <w:szCs w:val="24"/>
        </w:rPr>
      </w:pPr>
    </w:p>
    <w:p w14:paraId="46A20C3B">
      <w:pPr>
        <w:pStyle w:val="10"/>
        <w:snapToGrid w:val="0"/>
        <w:spacing w:before="120" w:after="120" w:line="360" w:lineRule="auto"/>
        <w:ind w:firstLine="630" w:firstLineChars="300"/>
        <w:rPr>
          <w:rFonts w:hAnsi="宋体" w:cs="宋体"/>
          <w:szCs w:val="21"/>
        </w:rPr>
      </w:pPr>
      <w:r>
        <w:rPr>
          <w:rFonts w:hint="eastAsia" w:hAnsi="宋体" w:cs="宋体"/>
          <w:szCs w:val="21"/>
        </w:rPr>
        <w:t xml:space="preserve">甲方：                                   乙方： </w:t>
      </w:r>
    </w:p>
    <w:p w14:paraId="530A7680">
      <w:pPr>
        <w:spacing w:line="360" w:lineRule="auto"/>
        <w:ind w:firstLine="420" w:firstLineChars="200"/>
        <w:rPr>
          <w:rFonts w:ascii="宋体" w:hAnsi="宋体" w:cs="宋体"/>
          <w:szCs w:val="21"/>
        </w:rPr>
      </w:pPr>
      <w:r>
        <w:rPr>
          <w:rFonts w:hint="eastAsia" w:ascii="宋体" w:hAnsi="宋体" w:cs="宋体"/>
          <w:szCs w:val="21"/>
        </w:rPr>
        <w:t xml:space="preserve">  地址：                                   地址： </w:t>
      </w:r>
    </w:p>
    <w:p w14:paraId="4553361A">
      <w:pPr>
        <w:spacing w:line="360" w:lineRule="auto"/>
        <w:ind w:firstLine="420" w:firstLineChars="200"/>
        <w:rPr>
          <w:rFonts w:ascii="宋体" w:hAnsi="宋体" w:cs="宋体"/>
          <w:szCs w:val="21"/>
        </w:rPr>
      </w:pPr>
      <w:r>
        <w:rPr>
          <w:rFonts w:hint="eastAsia" w:ascii="宋体" w:hAnsi="宋体" w:cs="宋体"/>
          <w:szCs w:val="21"/>
        </w:rPr>
        <w:t xml:space="preserve">  法定（授权）代表人：                     法定（授权）代表人：</w:t>
      </w:r>
    </w:p>
    <w:p w14:paraId="463CA154">
      <w:pPr>
        <w:spacing w:line="360" w:lineRule="auto"/>
        <w:ind w:firstLine="420" w:firstLineChars="200"/>
        <w:rPr>
          <w:rFonts w:ascii="宋体" w:hAnsi="宋体" w:cs="宋体"/>
          <w:szCs w:val="21"/>
        </w:rPr>
      </w:pPr>
      <w:r>
        <w:rPr>
          <w:rFonts w:hint="eastAsia" w:ascii="宋体" w:hAnsi="宋体" w:cs="宋体"/>
          <w:szCs w:val="21"/>
        </w:rPr>
        <w:t xml:space="preserve">  签字日期：      年  月  日               签字日期：      年  月  日</w:t>
      </w:r>
    </w:p>
    <w:p w14:paraId="50174C01">
      <w:pPr>
        <w:rPr>
          <w:rFonts w:hint="eastAsia" w:ascii="宋体" w:hAnsi="宋体" w:cs="宋体"/>
          <w:color w:val="000000" w:themeColor="text1"/>
          <w:sz w:val="36"/>
          <w:szCs w:val="24"/>
          <w:highlight w:val="none"/>
          <w14:textFill>
            <w14:solidFill>
              <w14:schemeClr w14:val="tx1"/>
            </w14:solidFill>
          </w14:textFill>
        </w:rPr>
      </w:pPr>
      <w:r>
        <w:rPr>
          <w:rFonts w:hint="eastAsia" w:ascii="宋体" w:hAnsi="宋体" w:cs="宋体"/>
          <w:color w:val="000000" w:themeColor="text1"/>
          <w:sz w:val="36"/>
          <w:szCs w:val="24"/>
          <w:highlight w:val="none"/>
          <w14:textFill>
            <w14:solidFill>
              <w14:schemeClr w14:val="tx1"/>
            </w14:solidFill>
          </w14:textFill>
        </w:rPr>
        <w:br w:type="page"/>
      </w:r>
    </w:p>
    <w:p w14:paraId="44E0629C">
      <w:pPr>
        <w:pStyle w:val="3"/>
        <w:jc w:val="center"/>
        <w:rPr>
          <w:rFonts w:ascii="宋体" w:hAnsi="宋体" w:cs="宋体"/>
          <w:color w:val="000000" w:themeColor="text1"/>
          <w:sz w:val="36"/>
          <w:szCs w:val="24"/>
          <w:highlight w:val="none"/>
          <w14:textFill>
            <w14:solidFill>
              <w14:schemeClr w14:val="tx1"/>
            </w14:solidFill>
          </w14:textFill>
        </w:rPr>
      </w:pPr>
      <w:bookmarkStart w:id="114" w:name="_Toc29547"/>
      <w:r>
        <w:rPr>
          <w:rFonts w:hint="eastAsia" w:ascii="宋体" w:hAnsi="宋体" w:cs="宋体"/>
          <w:color w:val="000000" w:themeColor="text1"/>
          <w:sz w:val="36"/>
          <w:szCs w:val="24"/>
          <w:highlight w:val="none"/>
          <w14:textFill>
            <w14:solidFill>
              <w14:schemeClr w14:val="tx1"/>
            </w14:solidFill>
          </w14:textFill>
        </w:rPr>
        <w:t>第五章 采购需求</w:t>
      </w:r>
      <w:bookmarkEnd w:id="113"/>
      <w:bookmarkEnd w:id="114"/>
    </w:p>
    <w:p w14:paraId="69225D99">
      <w:pPr>
        <w:pStyle w:val="9"/>
        <w:ind w:leftChars="0" w:hanging="100" w:firstLineChars="0"/>
        <w:rPr>
          <w:rFonts w:ascii="宋体" w:hAnsi="宋体" w:cs="宋体"/>
          <w:color w:val="000000" w:themeColor="text1"/>
          <w:highlight w:val="none"/>
          <w14:textFill>
            <w14:solidFill>
              <w14:schemeClr w14:val="tx1"/>
            </w14:solidFill>
          </w14:textFill>
        </w:rPr>
      </w:pPr>
    </w:p>
    <w:p w14:paraId="35FEEF52">
      <w:pPr>
        <w:pStyle w:val="49"/>
        <w:spacing w:line="360" w:lineRule="auto"/>
        <w:ind w:left="0" w:leftChars="0" w:firstLine="0" w:firstLineChars="0"/>
        <w:rPr>
          <w:rFonts w:ascii="宋体" w:hAnsi="宋体" w:eastAsia="宋体" w:cs="宋体"/>
          <w:sz w:val="24"/>
          <w:szCs w:val="24"/>
        </w:rPr>
      </w:pPr>
      <w:bookmarkStart w:id="115" w:name="_Toc30638"/>
      <w:bookmarkStart w:id="116" w:name="_Toc28969"/>
      <w:r>
        <w:rPr>
          <w:rFonts w:hint="eastAsia" w:ascii="宋体" w:hAnsi="宋体" w:eastAsia="宋体" w:cs="宋体"/>
          <w:sz w:val="24"/>
          <w:szCs w:val="24"/>
          <w:lang w:val="en-US"/>
        </w:rPr>
        <w:t>一、</w:t>
      </w:r>
      <w:r>
        <w:rPr>
          <w:rFonts w:hint="eastAsia" w:ascii="宋体" w:hAnsi="宋体" w:eastAsia="宋体" w:cs="宋体"/>
          <w:sz w:val="24"/>
          <w:szCs w:val="24"/>
        </w:rPr>
        <w:t>项目名称：</w:t>
      </w:r>
      <w:bookmarkEnd w:id="115"/>
      <w:bookmarkStart w:id="117" w:name="_Toc1810"/>
      <w:r>
        <w:rPr>
          <w:rFonts w:hint="eastAsia" w:ascii="宋体" w:hAnsi="宋体" w:eastAsia="宋体" w:cs="宋体"/>
          <w:sz w:val="24"/>
          <w:szCs w:val="24"/>
        </w:rPr>
        <w:t>河南法官进修学院后厨劳务外包项目</w:t>
      </w:r>
    </w:p>
    <w:p w14:paraId="617C33DF">
      <w:pPr>
        <w:pStyle w:val="49"/>
        <w:spacing w:line="360" w:lineRule="auto"/>
        <w:ind w:left="0" w:leftChars="0" w:firstLine="0" w:firstLineChars="0"/>
        <w:rPr>
          <w:rFonts w:ascii="宋体" w:hAnsi="宋体" w:eastAsia="宋体" w:cs="宋体"/>
          <w:sz w:val="24"/>
          <w:szCs w:val="24"/>
        </w:rPr>
      </w:pPr>
      <w:r>
        <w:rPr>
          <w:rFonts w:hint="eastAsia" w:ascii="宋体" w:hAnsi="宋体" w:eastAsia="宋体" w:cs="宋体"/>
          <w:sz w:val="24"/>
          <w:szCs w:val="24"/>
          <w:lang w:val="en-US"/>
        </w:rPr>
        <w:t>二、</w:t>
      </w:r>
      <w:r>
        <w:rPr>
          <w:rFonts w:hint="eastAsia" w:ascii="宋体" w:hAnsi="宋体" w:eastAsia="宋体" w:cs="宋体"/>
          <w:sz w:val="24"/>
          <w:szCs w:val="24"/>
        </w:rPr>
        <w:t>项目简要说明：</w:t>
      </w:r>
      <w:bookmarkEnd w:id="117"/>
    </w:p>
    <w:p w14:paraId="482B672A">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采购人：河南法官进修学院</w:t>
      </w:r>
    </w:p>
    <w:p w14:paraId="480E048B">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预算：</w:t>
      </w:r>
      <w:r>
        <w:rPr>
          <w:rFonts w:hint="eastAsia" w:ascii="宋体" w:hAnsi="宋体" w:eastAsia="宋体" w:cs="宋体"/>
          <w:sz w:val="24"/>
          <w:szCs w:val="24"/>
          <w:lang w:val="en-US" w:eastAsia="zh-CN"/>
        </w:rPr>
        <w:t>100</w:t>
      </w:r>
      <w:r>
        <w:rPr>
          <w:rFonts w:hint="eastAsia" w:ascii="宋体" w:hAnsi="宋体" w:eastAsia="宋体" w:cs="宋体"/>
          <w:sz w:val="24"/>
          <w:szCs w:val="24"/>
        </w:rPr>
        <w:t>万元/年（含税）。</w:t>
      </w:r>
    </w:p>
    <w:p w14:paraId="360B8BE1">
      <w:pPr>
        <w:pStyle w:val="49"/>
        <w:spacing w:line="360" w:lineRule="auto"/>
        <w:ind w:left="0" w:firstLineChars="200"/>
        <w:rPr>
          <w:rFonts w:ascii="宋体" w:hAnsi="宋体" w:eastAsia="宋体" w:cs="宋体"/>
          <w:sz w:val="24"/>
          <w:szCs w:val="24"/>
        </w:rPr>
      </w:pPr>
      <w:bookmarkStart w:id="118" w:name="_Toc23449"/>
      <w:r>
        <w:rPr>
          <w:rFonts w:hint="eastAsia" w:ascii="宋体" w:hAnsi="宋体" w:eastAsia="宋体" w:cs="宋体"/>
          <w:sz w:val="24"/>
          <w:szCs w:val="24"/>
        </w:rPr>
        <w:t>采购内容及标准：</w:t>
      </w:r>
      <w:bookmarkEnd w:id="118"/>
    </w:p>
    <w:p w14:paraId="6EB39325">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（1）内容：</w:t>
      </w:r>
      <w:r>
        <w:rPr>
          <w:rFonts w:hint="eastAsia" w:ascii="宋体" w:hAnsi="宋体" w:eastAsia="宋体" w:cs="宋体"/>
          <w:sz w:val="24"/>
          <w:szCs w:val="24"/>
          <w:lang w:eastAsia="zh-CN"/>
        </w:rPr>
        <w:t>后厨劳务外包，供应商提供工作人员不少于20人，工作人员要求政治可靠，作风正派，身体健康，能胜任岗位职责，无违法犯罪记录，无失信人、黑名单记录。所有工作人员身份证明、技术资格证、健康证明要在我院登记备案。供应商负责其工作人员工资福利、个人所得税、社会保险和公积金缴费、工会经费、残疾人就业保障金等事宜</w:t>
      </w:r>
      <w:r>
        <w:rPr>
          <w:rFonts w:hint="eastAsia" w:ascii="宋体" w:hAnsi="宋体" w:eastAsia="宋体" w:cs="宋体"/>
          <w:sz w:val="24"/>
          <w:szCs w:val="24"/>
        </w:rPr>
        <w:t>。</w:t>
      </w:r>
      <w:r>
        <w:rPr>
          <w:rFonts w:hint="eastAsia" w:ascii="宋体" w:hAnsi="宋体" w:eastAsia="宋体" w:cs="宋体"/>
          <w:sz w:val="24"/>
          <w:szCs w:val="24"/>
          <w:lang w:val="en-US"/>
        </w:rPr>
        <w:t xml:space="preserve"> </w:t>
      </w:r>
    </w:p>
    <w:p w14:paraId="75DA52CA">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2）服务要求：供应商必须有固定的服务团队，包括管理、后厨（含餐具清洗）、食品安全人员等。所有人员需持有“服务行业从业人员健康证”上岗，其劳动关系、薪酬和管理均由成交人负责。合同服务期间必须接受采购人对食谱制定、食材来源、饭菜制作、食品留样、服务人员等多环节全程参与监督，确保食材价格合理，饮食卫生安全，保质保量提供就餐服务，严禁违规操作、转包分包。</w:t>
      </w:r>
    </w:p>
    <w:p w14:paraId="2778A248">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sz w:val="24"/>
          <w:szCs w:val="24"/>
          <w:lang w:val="en-US" w:eastAsia="zh-CN"/>
        </w:rPr>
        <w:t>合同签订之日起</w:t>
      </w:r>
      <w:r>
        <w:rPr>
          <w:rFonts w:hint="eastAsia" w:ascii="宋体" w:hAnsi="宋体" w:eastAsia="宋体" w:cs="宋体"/>
          <w:sz w:val="24"/>
          <w:szCs w:val="24"/>
          <w:lang w:val="en-US"/>
        </w:rPr>
        <w:t>1年。</w:t>
      </w:r>
    </w:p>
    <w:p w14:paraId="439FB553">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合同签订后，收到采购人进场通知日起，5个</w:t>
      </w:r>
      <w:r>
        <w:rPr>
          <w:rFonts w:hint="eastAsia" w:ascii="宋体" w:hAnsi="宋体" w:eastAsia="宋体" w:cs="宋体"/>
          <w:sz w:val="24"/>
          <w:szCs w:val="24"/>
          <w:lang w:val="en-US" w:eastAsia="zh-CN"/>
        </w:rPr>
        <w:t>工作</w:t>
      </w:r>
      <w:r>
        <w:rPr>
          <w:rFonts w:hint="eastAsia" w:ascii="宋体" w:hAnsi="宋体" w:eastAsia="宋体" w:cs="宋体"/>
          <w:sz w:val="24"/>
          <w:szCs w:val="24"/>
        </w:rPr>
        <w:t>日内，成交人的餐饮企业服务团队全部到岗提供服务。</w:t>
      </w:r>
    </w:p>
    <w:p w14:paraId="251953EC">
      <w:pPr>
        <w:pStyle w:val="49"/>
        <w:spacing w:line="360" w:lineRule="auto"/>
        <w:ind w:left="0" w:firstLineChars="200"/>
        <w:rPr>
          <w:rFonts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w:t>
      </w:r>
      <w:r>
        <w:rPr>
          <w:rFonts w:hint="eastAsia" w:ascii="宋体" w:hAnsi="宋体" w:eastAsia="宋体" w:cs="宋体"/>
          <w:sz w:val="24"/>
          <w:szCs w:val="24"/>
          <w:lang w:val="en-US"/>
        </w:rPr>
        <w:t>服务地点：</w:t>
      </w:r>
      <w:r>
        <w:rPr>
          <w:rFonts w:hint="eastAsia" w:ascii="宋体" w:hAnsi="宋体" w:eastAsia="宋体" w:cs="宋体"/>
          <w:sz w:val="24"/>
          <w:szCs w:val="24"/>
          <w:lang w:val="en-US" w:eastAsia="zh-CN"/>
        </w:rPr>
        <w:t>采购人指定地点</w:t>
      </w:r>
      <w:r>
        <w:rPr>
          <w:rFonts w:hint="eastAsia" w:ascii="宋体" w:hAnsi="宋体" w:eastAsia="宋体" w:cs="宋体"/>
          <w:sz w:val="24"/>
          <w:szCs w:val="24"/>
          <w:lang w:val="en-US"/>
        </w:rPr>
        <w:t>。</w:t>
      </w:r>
    </w:p>
    <w:p w14:paraId="56E53046">
      <w:pPr>
        <w:pStyle w:val="49"/>
        <w:spacing w:line="360" w:lineRule="auto"/>
        <w:ind w:left="0" w:leftChars="0" w:firstLine="0" w:firstLineChars="0"/>
        <w:rPr>
          <w:rFonts w:ascii="宋体" w:hAnsi="宋体" w:eastAsia="宋体" w:cs="宋体"/>
          <w:sz w:val="24"/>
          <w:szCs w:val="24"/>
        </w:rPr>
      </w:pPr>
      <w:bookmarkStart w:id="119" w:name="_Toc20380"/>
      <w:r>
        <w:rPr>
          <w:rFonts w:hint="eastAsia" w:ascii="宋体" w:hAnsi="宋体" w:eastAsia="宋体" w:cs="宋体"/>
          <w:sz w:val="24"/>
          <w:szCs w:val="24"/>
        </w:rPr>
        <w:t>三、项目服务要求及有关说明：</w:t>
      </w:r>
      <w:bookmarkEnd w:id="119"/>
    </w:p>
    <w:p w14:paraId="0A6010E6">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1、此次采购，是对报价企业资质、经营理念、管理模式、食品卫生安全，以及信誉、特色、服务、文化、饮食搭配等多个方面的综合体现。</w:t>
      </w:r>
    </w:p>
    <w:p w14:paraId="0159C86B">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2、成交人服务期间须接受采购人的统一管理和监督，如有异议，双方友好协商解决。</w:t>
      </w:r>
    </w:p>
    <w:p w14:paraId="25C18A11">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3、严禁成交人违规操作、转包分包，一经发现，</w:t>
      </w:r>
      <w:r>
        <w:rPr>
          <w:rFonts w:hint="eastAsia" w:ascii="宋体" w:hAnsi="宋体" w:eastAsia="宋体" w:cs="宋体"/>
          <w:sz w:val="24"/>
          <w:szCs w:val="24"/>
          <w:lang w:val="en-US"/>
        </w:rPr>
        <w:t>采购人</w:t>
      </w:r>
      <w:r>
        <w:rPr>
          <w:rFonts w:hint="eastAsia" w:ascii="宋体" w:hAnsi="宋体" w:eastAsia="宋体" w:cs="宋体"/>
          <w:sz w:val="24"/>
          <w:szCs w:val="24"/>
        </w:rPr>
        <w:t>有权没收履约保证金并取消合同，同时给予经济处罚或法律诉讼。</w:t>
      </w:r>
    </w:p>
    <w:p w14:paraId="61F9B2B1">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4、采购人对餐饮、食材和服务质量有监督并提出意见建议的权利，对关键岗位人员有建议调整的权利，并将定期或不定期的对成交人进行合同履约等方面的考核，发现有违反食品、卫生安全，弄虚作假，偷工减料，以次充好，达不到国家、行业有关标准和技术文件规定，以及不接受采购人监督管理的，一经查实，限期整改，到期整改不到位的，采购人将视情况没收履约保证金，终止合同，并提请相关监督管理部门给予相应处罚。</w:t>
      </w:r>
    </w:p>
    <w:p w14:paraId="300D3A15">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5、成交人的工作人员需持有健康证上岗，卫生检疫、体检等费用均由成交人自理，后厨的卫生防疫、就餐环境必须达到卫生食品监督部门制定的标准，采购人有权监督和检查。成交人需提供</w:t>
      </w:r>
      <w:r>
        <w:rPr>
          <w:rFonts w:hint="eastAsia" w:ascii="宋体" w:hAnsi="宋体" w:eastAsia="宋体" w:cs="宋体"/>
          <w:sz w:val="24"/>
          <w:szCs w:val="24"/>
          <w:lang w:val="en-US"/>
        </w:rPr>
        <w:t>不</w:t>
      </w:r>
      <w:r>
        <w:rPr>
          <w:rFonts w:hint="eastAsia" w:ascii="宋体" w:hAnsi="宋体" w:eastAsia="宋体" w:cs="宋体"/>
          <w:sz w:val="24"/>
          <w:szCs w:val="24"/>
          <w:highlight w:val="none"/>
          <w:lang w:val="en-US"/>
        </w:rPr>
        <w:t>少于</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人的</w:t>
      </w:r>
      <w:r>
        <w:rPr>
          <w:rFonts w:hint="eastAsia" w:ascii="宋体" w:hAnsi="宋体" w:eastAsia="宋体" w:cs="宋体"/>
          <w:sz w:val="24"/>
          <w:szCs w:val="24"/>
        </w:rPr>
        <w:t>服务团队成员，以满足采购人的餐厅服务。</w:t>
      </w:r>
    </w:p>
    <w:p w14:paraId="2789309B">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6、餐饮企业在接受采购人对其监督与管理的同时，更应加强餐饮企业内部管理，因餐饮企业管理不善而造成食物中毒等事件，餐饮企业应承担全部责任。</w:t>
      </w:r>
    </w:p>
    <w:p w14:paraId="33E64B88">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7、采购人提供职工餐厅场地、设备、能源，以及负责基础设施的管理、维修、保养（房屋、水、电）。成交人应保证房屋、设备、设施、墙面、地面的完好，若有损坏必须承担由此产生的相关费用。餐厅所有设施及后厨设备维修保养费用由成交人负责。</w:t>
      </w:r>
    </w:p>
    <w:p w14:paraId="13F76D9F">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rPr>
        <w:t>成交人自行为</w:t>
      </w:r>
      <w:r>
        <w:rPr>
          <w:rFonts w:hint="eastAsia" w:ascii="宋体" w:hAnsi="宋体" w:eastAsia="宋体" w:cs="宋体"/>
          <w:sz w:val="24"/>
          <w:szCs w:val="24"/>
        </w:rPr>
        <w:t>服务人员提供住宿场所，成交人对宿舍及办公场所的消防等安全工作负责。</w:t>
      </w:r>
    </w:p>
    <w:p w14:paraId="25693F03">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9、成交人服务期间</w:t>
      </w:r>
      <w:r>
        <w:rPr>
          <w:rFonts w:hint="eastAsia" w:ascii="宋体" w:hAnsi="宋体" w:eastAsia="宋体" w:cs="宋体"/>
          <w:sz w:val="24"/>
          <w:szCs w:val="24"/>
          <w:lang w:val="en-US"/>
        </w:rPr>
        <w:t>自备</w:t>
      </w:r>
      <w:r>
        <w:rPr>
          <w:rFonts w:hint="eastAsia" w:ascii="宋体" w:hAnsi="宋体" w:eastAsia="宋体" w:cs="宋体"/>
          <w:sz w:val="24"/>
          <w:szCs w:val="24"/>
        </w:rPr>
        <w:t>服装和其他小件设备，并负责管理、维修、保养。</w:t>
      </w:r>
    </w:p>
    <w:p w14:paraId="268AD3EB">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10、未经采购人同意，成交人不得在餐厅内外擅自乱搭乱建。若因经营服务需对场所进行设计装修的，必须以书面形式向采购人建议，由采购人论证同意后实施。</w:t>
      </w:r>
    </w:p>
    <w:p w14:paraId="25942113">
      <w:pPr>
        <w:pStyle w:val="49"/>
        <w:spacing w:line="360" w:lineRule="auto"/>
        <w:ind w:left="0" w:firstLineChars="200"/>
        <w:rPr>
          <w:rFonts w:ascii="宋体" w:hAnsi="宋体" w:eastAsia="宋体" w:cs="宋体"/>
          <w:sz w:val="24"/>
          <w:szCs w:val="24"/>
          <w:lang w:val="en-US"/>
        </w:rPr>
      </w:pPr>
      <w:r>
        <w:rPr>
          <w:rFonts w:hint="eastAsia" w:ascii="宋体" w:hAnsi="宋体" w:eastAsia="宋体" w:cs="宋体"/>
          <w:sz w:val="24"/>
          <w:szCs w:val="24"/>
        </w:rPr>
        <w:t>11、成交人需</w:t>
      </w:r>
      <w:r>
        <w:rPr>
          <w:rFonts w:hint="eastAsia" w:ascii="宋体" w:hAnsi="宋体" w:eastAsia="宋体" w:cs="宋体"/>
          <w:sz w:val="24"/>
          <w:szCs w:val="24"/>
          <w:lang w:val="en-US"/>
        </w:rPr>
        <w:t>及时接收并配合甲方采购人员对后厨原材料数量和质量的验收。</w:t>
      </w:r>
    </w:p>
    <w:p w14:paraId="2B5AB1AE">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12、成交人用工必须符合《中华人民共和国劳动法》、《中华人民共和国民法典》要求，依法用工。如发生用工纠纷，由成交人自行承担责任。</w:t>
      </w:r>
    </w:p>
    <w:p w14:paraId="383854B8">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13、成交人必须主动接受采购人有关部门及市场监管部门的监督、检查，确保饮食安全卫生，保证就餐人员正常用餐。</w:t>
      </w:r>
    </w:p>
    <w:p w14:paraId="7A9977BC">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14、在合同服务期间由于成交人造成的安全责任事故或市场监管部门检查时给采购人造成的损失，成交人承担全部经济赔偿和法律责任。</w:t>
      </w:r>
    </w:p>
    <w:p w14:paraId="26B88EAA">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15、在合同服务期间成交人的工作人员行为规范，应符合采购方要求。</w:t>
      </w:r>
    </w:p>
    <w:p w14:paraId="3B76A7AC">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16、成交人按月提供符合采购人要求的增值税发票，采购人收到发票后支付服务费用。</w:t>
      </w:r>
    </w:p>
    <w:p w14:paraId="2ABF14D1">
      <w:pPr>
        <w:pStyle w:val="49"/>
        <w:spacing w:line="360" w:lineRule="auto"/>
        <w:ind w:left="0" w:firstLineChars="200"/>
        <w:rPr>
          <w:rFonts w:ascii="宋体" w:hAnsi="宋体" w:eastAsia="宋体" w:cs="宋体"/>
          <w:sz w:val="24"/>
          <w:szCs w:val="24"/>
        </w:rPr>
      </w:pPr>
      <w:r>
        <w:rPr>
          <w:rFonts w:hint="eastAsia" w:ascii="宋体" w:hAnsi="宋体" w:eastAsia="宋体" w:cs="宋体"/>
          <w:sz w:val="24"/>
          <w:szCs w:val="24"/>
        </w:rPr>
        <w:t>17、勘察现场时间：报价者自行勘察现场，不安排集中统一勘察现场。报价人自行勘察后如有疑问，在规定的时间内向采购代理机构提出疑问，采购人与采购代理机构将疑问内容汇总后，对于认为有必要解释的问题进行解释，解释内容在网上进行发布。</w:t>
      </w:r>
    </w:p>
    <w:p w14:paraId="672044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18、其他要求：为了责任到位，</w:t>
      </w:r>
      <w:r>
        <w:rPr>
          <w:rFonts w:hint="eastAsia" w:ascii="宋体" w:hAnsi="宋体" w:eastAsia="宋体" w:cs="宋体"/>
          <w:sz w:val="24"/>
          <w:szCs w:val="24"/>
          <w:lang w:val="en-US"/>
        </w:rPr>
        <w:t>供应商</w:t>
      </w:r>
      <w:r>
        <w:rPr>
          <w:rFonts w:hint="eastAsia" w:ascii="宋体" w:hAnsi="宋体" w:eastAsia="宋体" w:cs="宋体"/>
          <w:sz w:val="24"/>
          <w:szCs w:val="24"/>
        </w:rPr>
        <w:t>应就本次采购项目选派经验丰富的项目经理一名，被选派的项目经理应由</w:t>
      </w:r>
      <w:r>
        <w:rPr>
          <w:rFonts w:hint="eastAsia" w:ascii="宋体" w:hAnsi="宋体" w:eastAsia="宋体" w:cs="宋体"/>
          <w:sz w:val="24"/>
          <w:szCs w:val="24"/>
          <w:lang w:val="en-US"/>
        </w:rPr>
        <w:t>供应商</w:t>
      </w:r>
      <w:r>
        <w:rPr>
          <w:rFonts w:hint="eastAsia" w:ascii="宋体" w:hAnsi="宋体" w:eastAsia="宋体" w:cs="宋体"/>
          <w:sz w:val="24"/>
          <w:szCs w:val="24"/>
        </w:rPr>
        <w:t>为其缴纳社保。</w:t>
      </w:r>
    </w:p>
    <w:p w14:paraId="014D2EE5">
      <w:pPr>
        <w:spacing w:line="360" w:lineRule="auto"/>
        <w:ind w:firstLine="480" w:firstLineChars="200"/>
        <w:rPr>
          <w:rFonts w:hint="eastAsia" w:ascii="宋体" w:hAnsi="宋体" w:eastAsia="宋体" w:cs="宋体"/>
          <w:sz w:val="24"/>
          <w:szCs w:val="24"/>
        </w:rPr>
      </w:pPr>
    </w:p>
    <w:p w14:paraId="054B0FF3">
      <w:pPr>
        <w:spacing w:line="360" w:lineRule="auto"/>
        <w:rPr>
          <w:rFonts w:hint="default" w:ascii="宋体" w:hAnsi="宋体" w:eastAsia="宋体" w:cs="宋体"/>
          <w:sz w:val="24"/>
          <w:szCs w:val="24"/>
          <w:lang w:val="en-US" w:eastAsia="zh-CN"/>
        </w:rPr>
        <w:sectPr>
          <w:footerReference r:id="rId7" w:type="default"/>
          <w:pgSz w:w="11907" w:h="16839"/>
          <w:pgMar w:top="1431" w:right="1715" w:bottom="1128" w:left="1785" w:header="0" w:footer="876" w:gutter="0"/>
          <w:cols w:space="720" w:num="1"/>
        </w:sectPr>
      </w:pPr>
    </w:p>
    <w:p w14:paraId="351F5BCE">
      <w:pPr>
        <w:pStyle w:val="9"/>
        <w:spacing w:line="360" w:lineRule="auto"/>
        <w:ind w:leftChars="0" w:hanging="10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344097A0">
      <w:pPr>
        <w:pStyle w:val="3"/>
        <w:rPr>
          <w:rFonts w:ascii="宋体" w:hAnsi="宋体" w:cs="宋体"/>
          <w:color w:val="000000" w:themeColor="text1"/>
          <w:sz w:val="36"/>
          <w:szCs w:val="24"/>
          <w:highlight w:val="none"/>
          <w14:textFill>
            <w14:solidFill>
              <w14:schemeClr w14:val="tx1"/>
            </w14:solidFill>
          </w14:textFill>
        </w:rPr>
      </w:pPr>
      <w:bookmarkStart w:id="120" w:name="_Toc9533"/>
      <w:r>
        <w:rPr>
          <w:rFonts w:hint="eastAsia" w:ascii="宋体" w:hAnsi="宋体" w:cs="宋体"/>
          <w:color w:val="000000" w:themeColor="text1"/>
          <w:sz w:val="36"/>
          <w:szCs w:val="24"/>
          <w:highlight w:val="none"/>
          <w14:textFill>
            <w14:solidFill>
              <w14:schemeClr w14:val="tx1"/>
            </w14:solidFill>
          </w14:textFill>
        </w:rPr>
        <w:t>第六章 响应文件格式</w:t>
      </w:r>
      <w:bookmarkEnd w:id="116"/>
      <w:bookmarkEnd w:id="120"/>
    </w:p>
    <w:p w14:paraId="5814C53C">
      <w:pPr>
        <w:outlineLvl w:val="9"/>
        <w:rPr>
          <w:rFonts w:ascii="宋体" w:hAnsi="宋体" w:cs="宋体"/>
          <w:color w:val="000000" w:themeColor="text1"/>
          <w:sz w:val="36"/>
          <w:szCs w:val="24"/>
          <w:highlight w:val="none"/>
          <w14:textFill>
            <w14:solidFill>
              <w14:schemeClr w14:val="tx1"/>
            </w14:solidFill>
          </w14:textFill>
        </w:rPr>
      </w:pPr>
    </w:p>
    <w:p w14:paraId="49FA0DD0">
      <w:pPr>
        <w:spacing w:line="360" w:lineRule="auto"/>
        <w:jc w:val="right"/>
        <w:rPr>
          <w:rFonts w:ascii="宋体" w:hAnsi="宋体" w:cs="宋体"/>
          <w:b/>
          <w:bCs/>
          <w:sz w:val="28"/>
          <w:szCs w:val="28"/>
        </w:rPr>
      </w:pPr>
    </w:p>
    <w:p w14:paraId="782E2DC8">
      <w:pPr>
        <w:spacing w:line="360" w:lineRule="auto"/>
        <w:jc w:val="right"/>
        <w:rPr>
          <w:rFonts w:ascii="宋体" w:hAnsi="宋体" w:cs="宋体"/>
          <w:b/>
          <w:bCs/>
          <w:sz w:val="28"/>
          <w:szCs w:val="28"/>
        </w:rPr>
      </w:pPr>
      <w:r>
        <w:rPr>
          <w:rFonts w:hint="eastAsia" w:ascii="宋体" w:hAnsi="宋体" w:cs="宋体"/>
          <w:b/>
          <w:bCs/>
          <w:sz w:val="28"/>
          <w:szCs w:val="28"/>
        </w:rPr>
        <w:t>正/副本</w:t>
      </w:r>
    </w:p>
    <w:p w14:paraId="529DA4DA">
      <w:pPr>
        <w:pStyle w:val="60"/>
      </w:pPr>
    </w:p>
    <w:p w14:paraId="05224FE2">
      <w:pPr>
        <w:spacing w:line="440" w:lineRule="exact"/>
        <w:rPr>
          <w:rFonts w:ascii="宋体" w:hAnsi="宋体" w:cs="宋体"/>
          <w:sz w:val="20"/>
          <w:szCs w:val="20"/>
        </w:rPr>
      </w:pPr>
    </w:p>
    <w:p w14:paraId="4FBB0CDB">
      <w:pPr>
        <w:spacing w:line="360" w:lineRule="auto"/>
        <w:jc w:val="center"/>
        <w:rPr>
          <w:rFonts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（项目名称）竞争性磋商</w:t>
      </w:r>
    </w:p>
    <w:p w14:paraId="2EB4FFB5">
      <w:pPr>
        <w:spacing w:line="360" w:lineRule="auto"/>
        <w:jc w:val="center"/>
        <w:rPr>
          <w:rFonts w:ascii="宋体" w:hAnsi="宋体" w:cs="宋体"/>
          <w:sz w:val="28"/>
          <w:szCs w:val="28"/>
        </w:rPr>
      </w:pPr>
    </w:p>
    <w:p w14:paraId="2B4DC86E">
      <w:pPr>
        <w:jc w:val="center"/>
        <w:rPr>
          <w:rFonts w:ascii="宋体" w:hAnsi="宋体" w:cs="宋体"/>
          <w:sz w:val="28"/>
          <w:szCs w:val="28"/>
        </w:rPr>
      </w:pPr>
    </w:p>
    <w:p w14:paraId="08F2F853">
      <w:pPr>
        <w:jc w:val="center"/>
        <w:rPr>
          <w:rFonts w:ascii="宋体" w:hAnsi="宋体" w:cs="宋体"/>
          <w:sz w:val="28"/>
          <w:szCs w:val="28"/>
        </w:rPr>
      </w:pPr>
    </w:p>
    <w:p w14:paraId="35C8820D">
      <w:pPr>
        <w:jc w:val="center"/>
        <w:rPr>
          <w:rFonts w:ascii="宋体" w:hAnsi="宋体" w:cs="宋体"/>
          <w:sz w:val="28"/>
          <w:szCs w:val="28"/>
        </w:rPr>
      </w:pPr>
    </w:p>
    <w:p w14:paraId="399850AD">
      <w:pPr>
        <w:jc w:val="center"/>
        <w:rPr>
          <w:rFonts w:ascii="宋体" w:hAnsi="宋体" w:cs="宋体"/>
          <w:sz w:val="84"/>
          <w:szCs w:val="84"/>
        </w:rPr>
      </w:pPr>
      <w:r>
        <w:rPr>
          <w:rFonts w:hint="eastAsia" w:ascii="宋体" w:hAnsi="宋体" w:cs="宋体"/>
          <w:sz w:val="84"/>
          <w:szCs w:val="84"/>
        </w:rPr>
        <w:t>响 应 文 件</w:t>
      </w:r>
    </w:p>
    <w:p w14:paraId="63E05413">
      <w:pPr>
        <w:spacing w:line="400" w:lineRule="exact"/>
        <w:rPr>
          <w:rFonts w:ascii="宋体" w:hAnsi="宋体" w:cs="宋体"/>
          <w:sz w:val="28"/>
          <w:szCs w:val="28"/>
        </w:rPr>
      </w:pPr>
    </w:p>
    <w:p w14:paraId="4ED93CCB">
      <w:pPr>
        <w:spacing w:line="400" w:lineRule="exact"/>
        <w:rPr>
          <w:rFonts w:ascii="宋体" w:hAnsi="宋体" w:cs="宋体"/>
          <w:sz w:val="28"/>
          <w:szCs w:val="28"/>
        </w:rPr>
      </w:pPr>
    </w:p>
    <w:p w14:paraId="2773BC46">
      <w:pPr>
        <w:spacing w:line="400" w:lineRule="exact"/>
        <w:rPr>
          <w:rFonts w:ascii="宋体" w:hAnsi="宋体" w:cs="宋体"/>
          <w:sz w:val="28"/>
          <w:szCs w:val="28"/>
        </w:rPr>
      </w:pPr>
    </w:p>
    <w:p w14:paraId="207B732A">
      <w:pPr>
        <w:spacing w:line="400" w:lineRule="exact"/>
        <w:rPr>
          <w:rFonts w:ascii="宋体" w:hAnsi="宋体" w:cs="宋体"/>
          <w:sz w:val="28"/>
          <w:szCs w:val="28"/>
        </w:rPr>
      </w:pPr>
    </w:p>
    <w:p w14:paraId="35EF7B6B">
      <w:pPr>
        <w:spacing w:line="400" w:lineRule="exact"/>
        <w:rPr>
          <w:rFonts w:ascii="宋体" w:hAnsi="宋体" w:cs="宋体"/>
          <w:sz w:val="28"/>
          <w:szCs w:val="28"/>
        </w:rPr>
      </w:pPr>
    </w:p>
    <w:p w14:paraId="63D02683">
      <w:pPr>
        <w:spacing w:line="400" w:lineRule="exact"/>
        <w:rPr>
          <w:rFonts w:ascii="宋体" w:hAnsi="宋体" w:cs="宋体"/>
          <w:sz w:val="28"/>
          <w:szCs w:val="28"/>
        </w:rPr>
      </w:pPr>
    </w:p>
    <w:p w14:paraId="2E298205">
      <w:pPr>
        <w:spacing w:line="400" w:lineRule="exact"/>
        <w:rPr>
          <w:rFonts w:ascii="宋体" w:hAnsi="宋体" w:cs="宋体"/>
          <w:sz w:val="28"/>
          <w:szCs w:val="28"/>
        </w:rPr>
      </w:pPr>
    </w:p>
    <w:p w14:paraId="323ADA5D">
      <w:pPr>
        <w:spacing w:line="400" w:lineRule="exact"/>
        <w:rPr>
          <w:rFonts w:ascii="宋体" w:hAnsi="宋体" w:cs="宋体"/>
          <w:sz w:val="28"/>
          <w:szCs w:val="28"/>
        </w:rPr>
      </w:pPr>
    </w:p>
    <w:p w14:paraId="7B3B48CE">
      <w:pPr>
        <w:spacing w:line="400" w:lineRule="exact"/>
        <w:rPr>
          <w:rFonts w:ascii="宋体" w:hAnsi="宋体" w:cs="宋体"/>
          <w:sz w:val="28"/>
          <w:szCs w:val="28"/>
        </w:rPr>
      </w:pPr>
    </w:p>
    <w:p w14:paraId="490C8436">
      <w:pPr>
        <w:spacing w:line="400" w:lineRule="exact"/>
        <w:rPr>
          <w:rFonts w:ascii="宋体" w:hAnsi="宋体" w:cs="宋体"/>
          <w:sz w:val="28"/>
          <w:szCs w:val="28"/>
        </w:rPr>
      </w:pPr>
    </w:p>
    <w:p w14:paraId="74CAA4A1">
      <w:pPr>
        <w:pStyle w:val="61"/>
        <w:ind w:firstLine="560"/>
        <w:rPr>
          <w:rFonts w:hAnsi="宋体" w:cs="宋体"/>
          <w:sz w:val="28"/>
          <w:szCs w:val="28"/>
        </w:rPr>
      </w:pPr>
    </w:p>
    <w:p w14:paraId="252A0D86"/>
    <w:p w14:paraId="28FD136C">
      <w:pPr>
        <w:spacing w:line="480" w:lineRule="auto"/>
        <w:jc w:val="center"/>
        <w:rPr>
          <w:rFonts w:ascii="宋体" w:hAnsi="宋体" w:cs="宋体"/>
          <w:sz w:val="28"/>
          <w:szCs w:val="28"/>
          <w:u w:val="single"/>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（盖单位公章）</w:t>
      </w:r>
    </w:p>
    <w:p w14:paraId="5A034B5A">
      <w:pPr>
        <w:spacing w:line="480" w:lineRule="auto"/>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27EDB27E">
      <w:pPr>
        <w:spacing w:line="48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4FA0F32B">
      <w:pPr>
        <w:spacing w:line="440" w:lineRule="exact"/>
        <w:rPr>
          <w:rFonts w:ascii="宋体" w:hAnsi="宋体" w:cs="宋体"/>
          <w:sz w:val="20"/>
          <w:szCs w:val="20"/>
        </w:rPr>
      </w:pPr>
    </w:p>
    <w:p w14:paraId="2AA04353">
      <w:pPr>
        <w:spacing w:line="400" w:lineRule="exact"/>
        <w:rPr>
          <w:rFonts w:ascii="宋体" w:hAnsi="宋体" w:cs="宋体"/>
        </w:rPr>
      </w:pPr>
      <w:r>
        <w:rPr>
          <w:rFonts w:hint="eastAsia" w:ascii="宋体" w:hAnsi="宋体" w:cs="宋体"/>
        </w:rPr>
        <w:br w:type="page"/>
      </w:r>
    </w:p>
    <w:p w14:paraId="29B36683">
      <w:pPr>
        <w:pStyle w:val="62"/>
        <w:jc w:val="center"/>
        <w:outlineLvl w:val="9"/>
        <w:rPr>
          <w:rFonts w:ascii="宋体" w:hAnsi="宋体" w:eastAsia="宋体"/>
          <w:szCs w:val="28"/>
        </w:rPr>
      </w:pPr>
      <w:bookmarkStart w:id="121" w:name="_Toc23656"/>
      <w:bookmarkStart w:id="122" w:name="_Toc509667321"/>
      <w:bookmarkStart w:id="123" w:name="_Toc16362"/>
      <w:bookmarkStart w:id="124" w:name="_Toc32443"/>
      <w:bookmarkStart w:id="125" w:name="_Toc8413"/>
      <w:bookmarkStart w:id="126" w:name="_Toc466298157"/>
      <w:bookmarkStart w:id="127" w:name="_Toc144974856"/>
      <w:bookmarkStart w:id="128" w:name="_Toc28226"/>
      <w:bookmarkStart w:id="129" w:name="_Toc152042576"/>
      <w:bookmarkStart w:id="130" w:name="_Toc32683"/>
      <w:bookmarkStart w:id="131" w:name="_Toc10473"/>
      <w:bookmarkStart w:id="132" w:name="_Toc2645"/>
      <w:bookmarkStart w:id="133" w:name="_Toc152045787"/>
      <w:bookmarkStart w:id="134" w:name="_Toc277"/>
      <w:r>
        <w:rPr>
          <w:rFonts w:hint="eastAsia" w:ascii="宋体" w:hAnsi="宋体" w:eastAsia="宋体"/>
          <w:szCs w:val="28"/>
        </w:rPr>
        <w:t>目    录</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4736951">
      <w:pPr>
        <w:spacing w:line="540" w:lineRule="exact"/>
        <w:rPr>
          <w:rFonts w:ascii="宋体" w:hAnsi="宋体" w:cs="宋体"/>
        </w:rPr>
      </w:pPr>
      <w:r>
        <w:rPr>
          <w:rFonts w:hint="eastAsia" w:ascii="宋体" w:hAnsi="宋体" w:cs="宋体"/>
        </w:rPr>
        <w:t>一、磋商函及磋商函附录</w:t>
      </w:r>
      <w:r>
        <w:rPr>
          <w:rFonts w:hint="eastAsia" w:ascii="宋体" w:hAnsi="宋体" w:cs="宋体"/>
        </w:rPr>
        <w:tab/>
      </w:r>
    </w:p>
    <w:p w14:paraId="2D4D0B68">
      <w:pPr>
        <w:spacing w:line="540" w:lineRule="exact"/>
        <w:rPr>
          <w:rFonts w:ascii="宋体" w:hAnsi="宋体" w:cs="宋体"/>
        </w:rPr>
      </w:pPr>
      <w:r>
        <w:rPr>
          <w:rFonts w:hint="eastAsia" w:ascii="宋体" w:hAnsi="宋体" w:cs="宋体"/>
        </w:rPr>
        <w:t>二、法定代表身份证明</w:t>
      </w:r>
    </w:p>
    <w:p w14:paraId="596A2FBD">
      <w:pPr>
        <w:spacing w:line="540" w:lineRule="exact"/>
        <w:rPr>
          <w:rFonts w:ascii="宋体" w:hAnsi="宋体" w:cs="宋体"/>
        </w:rPr>
      </w:pPr>
      <w:r>
        <w:rPr>
          <w:rFonts w:hint="eastAsia" w:ascii="宋体" w:hAnsi="宋体" w:cs="宋体"/>
        </w:rPr>
        <w:t>三、授权委托书</w:t>
      </w:r>
    </w:p>
    <w:p w14:paraId="5C3639D7">
      <w:pPr>
        <w:spacing w:line="540" w:lineRule="exact"/>
        <w:rPr>
          <w:rFonts w:ascii="宋体" w:hAnsi="宋体" w:cs="宋体"/>
        </w:rPr>
      </w:pPr>
      <w:r>
        <w:rPr>
          <w:rFonts w:hint="eastAsia" w:ascii="宋体" w:hAnsi="宋体" w:cs="宋体"/>
          <w:lang w:val="en-US" w:eastAsia="zh-CN"/>
        </w:rPr>
        <w:t>四</w:t>
      </w:r>
      <w:r>
        <w:rPr>
          <w:rFonts w:hint="eastAsia" w:ascii="宋体" w:hAnsi="宋体" w:cs="宋体"/>
        </w:rPr>
        <w:t>、资格审查资料</w:t>
      </w:r>
    </w:p>
    <w:p w14:paraId="21B52D69">
      <w:pPr>
        <w:spacing w:line="540" w:lineRule="exact"/>
        <w:rPr>
          <w:rFonts w:ascii="宋体" w:hAnsi="宋体" w:cs="宋体"/>
        </w:rPr>
      </w:pPr>
      <w:r>
        <w:rPr>
          <w:rFonts w:hint="eastAsia" w:ascii="宋体" w:hAnsi="宋体" w:cs="宋体"/>
          <w:lang w:val="en-US" w:eastAsia="zh-CN"/>
        </w:rPr>
        <w:t>五</w:t>
      </w:r>
      <w:r>
        <w:rPr>
          <w:rFonts w:hint="eastAsia" w:ascii="宋体" w:hAnsi="宋体" w:cs="宋体"/>
        </w:rPr>
        <w:t>、</w:t>
      </w:r>
      <w:r>
        <w:rPr>
          <w:rFonts w:hint="eastAsia" w:ascii="宋体" w:hAnsi="宋体" w:cs="宋体"/>
          <w:lang w:val="en-US" w:eastAsia="zh-CN"/>
        </w:rPr>
        <w:t>服务</w:t>
      </w:r>
      <w:r>
        <w:rPr>
          <w:rFonts w:hint="eastAsia" w:ascii="宋体" w:hAnsi="宋体" w:cs="宋体"/>
        </w:rPr>
        <w:t>方案</w:t>
      </w:r>
    </w:p>
    <w:p w14:paraId="49A77990">
      <w:pPr>
        <w:spacing w:line="540" w:lineRule="exact"/>
        <w:rPr>
          <w:rFonts w:ascii="宋体" w:hAnsi="宋体" w:cs="宋体"/>
        </w:rPr>
      </w:pPr>
      <w:r>
        <w:rPr>
          <w:rFonts w:hint="eastAsia" w:ascii="宋体" w:hAnsi="宋体" w:cs="宋体"/>
          <w:lang w:val="en-US" w:eastAsia="zh-CN"/>
        </w:rPr>
        <w:t>六</w:t>
      </w:r>
      <w:r>
        <w:rPr>
          <w:rFonts w:hint="eastAsia" w:ascii="宋体" w:hAnsi="宋体" w:cs="宋体"/>
        </w:rPr>
        <w:t>、其他材料</w:t>
      </w:r>
    </w:p>
    <w:p w14:paraId="7CA4E2C8">
      <w:pPr>
        <w:spacing w:line="540" w:lineRule="exact"/>
        <w:rPr>
          <w:rFonts w:hint="eastAsia" w:ascii="宋体" w:hAnsi="宋体" w:eastAsia="宋体" w:cs="宋体"/>
          <w:lang w:eastAsia="zh-CN"/>
        </w:rPr>
      </w:pPr>
      <w:r>
        <w:rPr>
          <w:rFonts w:hint="eastAsia" w:ascii="宋体" w:hAnsi="宋体" w:cs="宋体"/>
          <w:lang w:val="en-US" w:eastAsia="zh-CN"/>
        </w:rPr>
        <w:t>七</w:t>
      </w:r>
      <w:r>
        <w:rPr>
          <w:rFonts w:hint="eastAsia" w:ascii="宋体" w:hAnsi="宋体" w:cs="宋体"/>
        </w:rPr>
        <w:t>、</w:t>
      </w:r>
      <w:r>
        <w:rPr>
          <w:rFonts w:hint="eastAsia" w:ascii="宋体" w:hAnsi="宋体" w:cs="宋体"/>
          <w:lang w:eastAsia="zh-CN"/>
        </w:rPr>
        <w:t>享有的政府采购优惠政策</w:t>
      </w:r>
    </w:p>
    <w:p w14:paraId="1D677017">
      <w:pPr>
        <w:spacing w:line="540" w:lineRule="exact"/>
        <w:rPr>
          <w:rFonts w:ascii="宋体" w:hAnsi="宋体" w:cs="宋体"/>
        </w:rPr>
      </w:pPr>
    </w:p>
    <w:p w14:paraId="7A6C72F2">
      <w:pPr>
        <w:spacing w:line="540" w:lineRule="exact"/>
        <w:rPr>
          <w:rFonts w:ascii="宋体" w:hAnsi="宋体" w:cs="宋体"/>
        </w:rPr>
      </w:pPr>
    </w:p>
    <w:p w14:paraId="56317301">
      <w:pPr>
        <w:spacing w:line="540" w:lineRule="exact"/>
        <w:rPr>
          <w:rFonts w:ascii="宋体" w:hAnsi="宋体" w:cs="宋体"/>
        </w:rPr>
      </w:pPr>
    </w:p>
    <w:p w14:paraId="4741B0B1">
      <w:pPr>
        <w:spacing w:line="540" w:lineRule="exact"/>
        <w:rPr>
          <w:rFonts w:ascii="宋体" w:hAnsi="宋体" w:cs="宋体"/>
        </w:rPr>
      </w:pPr>
    </w:p>
    <w:p w14:paraId="0700BDDE">
      <w:pPr>
        <w:spacing w:line="540" w:lineRule="exact"/>
        <w:rPr>
          <w:rFonts w:ascii="宋体" w:hAnsi="宋体" w:cs="宋体"/>
        </w:rPr>
      </w:pPr>
    </w:p>
    <w:p w14:paraId="744F9FA1">
      <w:pPr>
        <w:spacing w:line="540" w:lineRule="exact"/>
        <w:rPr>
          <w:rFonts w:ascii="宋体" w:hAnsi="宋体" w:cs="宋体"/>
          <w:sz w:val="20"/>
          <w:szCs w:val="20"/>
        </w:rPr>
      </w:pPr>
    </w:p>
    <w:p w14:paraId="4A5C1E65">
      <w:pPr>
        <w:spacing w:line="540" w:lineRule="exact"/>
        <w:rPr>
          <w:rFonts w:ascii="宋体" w:hAnsi="宋体" w:cs="宋体"/>
          <w:sz w:val="20"/>
          <w:szCs w:val="20"/>
        </w:rPr>
      </w:pPr>
    </w:p>
    <w:p w14:paraId="1EC7E188">
      <w:pPr>
        <w:spacing w:line="540" w:lineRule="exact"/>
        <w:rPr>
          <w:rFonts w:ascii="宋体" w:hAnsi="宋体" w:cs="宋体"/>
          <w:sz w:val="20"/>
          <w:szCs w:val="20"/>
        </w:rPr>
      </w:pPr>
    </w:p>
    <w:p w14:paraId="75451EC5">
      <w:pPr>
        <w:spacing w:line="540" w:lineRule="exact"/>
        <w:rPr>
          <w:rFonts w:ascii="宋体" w:hAnsi="宋体" w:cs="宋体"/>
          <w:sz w:val="20"/>
          <w:szCs w:val="20"/>
        </w:rPr>
      </w:pPr>
      <w:r>
        <w:rPr>
          <w:rFonts w:hint="eastAsia" w:ascii="宋体" w:hAnsi="宋体" w:cs="宋体"/>
          <w:sz w:val="20"/>
          <w:szCs w:val="20"/>
        </w:rPr>
        <w:br w:type="page"/>
      </w:r>
    </w:p>
    <w:p w14:paraId="7D47A267">
      <w:pPr>
        <w:pStyle w:val="62"/>
        <w:numPr>
          <w:ilvl w:val="0"/>
          <w:numId w:val="8"/>
        </w:numPr>
        <w:jc w:val="center"/>
        <w:rPr>
          <w:rFonts w:ascii="宋体" w:hAnsi="宋体" w:eastAsia="宋体"/>
          <w:b/>
        </w:rPr>
      </w:pPr>
      <w:bookmarkStart w:id="135" w:name="_Toc144974857"/>
      <w:bookmarkStart w:id="136" w:name="_Toc152045788"/>
      <w:bookmarkStart w:id="137" w:name="_Toc152042577"/>
      <w:bookmarkStart w:id="138" w:name="_Toc466298158"/>
      <w:bookmarkStart w:id="139" w:name="_Toc19818"/>
      <w:bookmarkStart w:id="140" w:name="_Toc9437"/>
      <w:bookmarkStart w:id="141" w:name="_Toc509667322"/>
      <w:r>
        <w:rPr>
          <w:rFonts w:hint="eastAsia" w:ascii="宋体" w:hAnsi="宋体" w:eastAsia="宋体"/>
          <w:b/>
        </w:rPr>
        <w:t>磋商函及</w:t>
      </w:r>
      <w:bookmarkEnd w:id="135"/>
      <w:bookmarkEnd w:id="136"/>
      <w:bookmarkEnd w:id="137"/>
      <w:r>
        <w:rPr>
          <w:rFonts w:hint="eastAsia" w:ascii="宋体" w:hAnsi="宋体" w:eastAsia="宋体"/>
          <w:b/>
        </w:rPr>
        <w:t>磋商函附录</w:t>
      </w:r>
      <w:bookmarkEnd w:id="138"/>
      <w:bookmarkEnd w:id="139"/>
      <w:bookmarkEnd w:id="140"/>
      <w:bookmarkEnd w:id="141"/>
    </w:p>
    <w:p w14:paraId="5CFD83E7">
      <w:pPr>
        <w:pStyle w:val="63"/>
        <w:numPr>
          <w:ilvl w:val="0"/>
          <w:numId w:val="9"/>
        </w:numPr>
        <w:jc w:val="center"/>
        <w:rPr>
          <w:rFonts w:ascii="宋体" w:hAnsi="宋体" w:eastAsia="宋体"/>
          <w:b/>
          <w:szCs w:val="23"/>
        </w:rPr>
      </w:pPr>
      <w:bookmarkStart w:id="142" w:name="_Toc318450744"/>
      <w:bookmarkStart w:id="143" w:name="_Toc26262"/>
      <w:bookmarkStart w:id="144" w:name="_Toc30581"/>
      <w:bookmarkStart w:id="145" w:name="_Toc455080170"/>
      <w:bookmarkStart w:id="146" w:name="_Toc152042578"/>
      <w:bookmarkStart w:id="147" w:name="_Toc455867830"/>
      <w:bookmarkStart w:id="148" w:name="_Toc18705"/>
      <w:bookmarkStart w:id="149" w:name="_Toc8915"/>
      <w:bookmarkStart w:id="150" w:name="_Toc144974858"/>
      <w:bookmarkStart w:id="151" w:name="_Toc466298159"/>
      <w:bookmarkStart w:id="152" w:name="_Toc509667323"/>
      <w:bookmarkStart w:id="153" w:name="_Toc490667892"/>
      <w:bookmarkStart w:id="154" w:name="_Toc23888"/>
      <w:bookmarkStart w:id="155" w:name="_Toc11855"/>
      <w:bookmarkStart w:id="156" w:name="_Toc152045789"/>
      <w:r>
        <w:rPr>
          <w:rFonts w:hint="eastAsia" w:ascii="宋体" w:hAnsi="宋体" w:eastAsia="宋体"/>
          <w:b/>
          <w:szCs w:val="23"/>
        </w:rPr>
        <w:t>磋商函</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68F216D">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14:paraId="4D57497B">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（项目名称）磋商文件的全部内容，愿意以</w:t>
      </w:r>
      <w:r>
        <w:rPr>
          <w:rFonts w:hint="eastAsia" w:ascii="宋体" w:hAnsi="宋体" w:cs="宋体"/>
          <w:sz w:val="24"/>
          <w:highlight w:val="red"/>
        </w:rPr>
        <w:t>人民币</w:t>
      </w:r>
      <w:r>
        <w:rPr>
          <w:rFonts w:hint="eastAsia" w:ascii="宋体" w:hAnsi="宋体" w:cs="宋体"/>
          <w:sz w:val="24"/>
          <w:highlight w:val="red"/>
          <w:u w:val="single"/>
        </w:rPr>
        <w:t xml:space="preserve">       </w:t>
      </w:r>
      <w:r>
        <w:rPr>
          <w:rFonts w:hint="eastAsia" w:ascii="宋体" w:hAnsi="宋体" w:cs="宋体"/>
          <w:sz w:val="24"/>
          <w:highlight w:val="red"/>
        </w:rPr>
        <w:t>）的</w:t>
      </w:r>
      <w:r>
        <w:rPr>
          <w:rFonts w:hint="eastAsia" w:ascii="宋体" w:hAnsi="宋体" w:cs="宋体"/>
          <w:sz w:val="24"/>
        </w:rPr>
        <w:t>投标报价，</w:t>
      </w:r>
      <w:r>
        <w:rPr>
          <w:rFonts w:hint="eastAsia" w:ascii="宋体" w:hAnsi="宋体" w:cs="宋体"/>
          <w:sz w:val="24"/>
          <w:lang w:val="en-US" w:eastAsia="zh-CN"/>
        </w:rPr>
        <w:t>服务</w:t>
      </w:r>
      <w:r>
        <w:rPr>
          <w:rFonts w:hint="eastAsia" w:ascii="宋体" w:hAnsi="宋体" w:cs="宋体"/>
          <w:sz w:val="24"/>
          <w:lang w:eastAsia="zh-CN"/>
        </w:rPr>
        <w:t>期限</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，按合同约定实施和完成本项目，质量要求达到：</w:t>
      </w:r>
      <w:r>
        <w:rPr>
          <w:rFonts w:hint="eastAsia" w:ascii="宋体" w:hAnsi="宋体" w:cs="宋体"/>
          <w:sz w:val="24"/>
          <w:u w:val="single"/>
        </w:rPr>
        <w:t xml:space="preserve">           </w:t>
      </w:r>
      <w:r>
        <w:rPr>
          <w:rFonts w:hint="eastAsia" w:ascii="宋体" w:hAnsi="宋体" w:cs="宋体"/>
          <w:sz w:val="24"/>
        </w:rPr>
        <w:t xml:space="preserve">。 </w:t>
      </w:r>
    </w:p>
    <w:p w14:paraId="6323E7D1">
      <w:pPr>
        <w:spacing w:line="360" w:lineRule="auto"/>
        <w:ind w:firstLine="480" w:firstLineChars="200"/>
        <w:rPr>
          <w:rFonts w:ascii="宋体" w:hAnsi="宋体" w:cs="宋体"/>
          <w:sz w:val="24"/>
          <w:szCs w:val="21"/>
        </w:rPr>
      </w:pPr>
      <w:bookmarkStart w:id="157" w:name="_Toc466298160"/>
      <w:bookmarkStart w:id="158" w:name="_Toc447888814"/>
      <w:r>
        <w:rPr>
          <w:rFonts w:hint="eastAsia" w:ascii="宋体" w:hAnsi="宋体" w:cs="宋体"/>
          <w:sz w:val="24"/>
          <w:szCs w:val="21"/>
        </w:rPr>
        <w:t>2．我方承诺在磋商有效期</w:t>
      </w:r>
      <w:r>
        <w:rPr>
          <w:rFonts w:hint="eastAsia" w:ascii="宋体" w:hAnsi="宋体" w:cs="宋体"/>
          <w:sz w:val="24"/>
          <w:szCs w:val="21"/>
          <w:u w:val="single"/>
        </w:rPr>
        <w:t xml:space="preserve"> 60</w:t>
      </w:r>
      <w:r>
        <w:rPr>
          <w:rFonts w:hint="eastAsia" w:ascii="宋体" w:hAnsi="宋体" w:cs="宋体"/>
          <w:sz w:val="24"/>
          <w:szCs w:val="21"/>
        </w:rPr>
        <w:t>日历天内不修改、撤销响应文件。</w:t>
      </w:r>
    </w:p>
    <w:p w14:paraId="7CECDFA4">
      <w:pPr>
        <w:spacing w:line="360" w:lineRule="auto"/>
        <w:ind w:firstLine="480" w:firstLineChars="200"/>
        <w:rPr>
          <w:rFonts w:ascii="宋体" w:hAnsi="宋体" w:cs="宋体"/>
          <w:sz w:val="24"/>
          <w:szCs w:val="21"/>
        </w:rPr>
      </w:pPr>
      <w:r>
        <w:rPr>
          <w:rFonts w:hint="eastAsia" w:ascii="宋体" w:hAnsi="宋体" w:cs="宋体"/>
          <w:sz w:val="24"/>
          <w:szCs w:val="21"/>
        </w:rPr>
        <w:t>3．如我方中标：</w:t>
      </w:r>
    </w:p>
    <w:p w14:paraId="08C9E81C">
      <w:pPr>
        <w:spacing w:line="360" w:lineRule="auto"/>
        <w:ind w:firstLine="480" w:firstLineChars="200"/>
        <w:rPr>
          <w:rFonts w:ascii="宋体" w:hAnsi="宋体" w:cs="宋体"/>
          <w:sz w:val="24"/>
          <w:szCs w:val="21"/>
        </w:rPr>
      </w:pPr>
      <w:r>
        <w:rPr>
          <w:rFonts w:hint="eastAsia" w:ascii="宋体" w:hAnsi="宋体" w:cs="宋体"/>
          <w:sz w:val="24"/>
          <w:szCs w:val="21"/>
        </w:rPr>
        <w:t>(l）我方承诺在收到成交通知书后，在成交通知书规定的期限内与你方签订合同。</w:t>
      </w:r>
    </w:p>
    <w:p w14:paraId="4E3CDF7A">
      <w:pPr>
        <w:spacing w:line="360" w:lineRule="auto"/>
        <w:ind w:firstLine="480" w:firstLineChars="200"/>
        <w:rPr>
          <w:rFonts w:ascii="宋体" w:hAnsi="宋体" w:cs="宋体"/>
          <w:sz w:val="24"/>
          <w:szCs w:val="21"/>
        </w:rPr>
      </w:pPr>
      <w:r>
        <w:rPr>
          <w:rFonts w:hint="eastAsia" w:ascii="宋体" w:hAnsi="宋体" w:cs="宋体"/>
          <w:sz w:val="24"/>
          <w:szCs w:val="21"/>
        </w:rPr>
        <w:t>(2）随同本磋商函递交的磋商函附录属于合同文件的组成部分。</w:t>
      </w:r>
    </w:p>
    <w:p w14:paraId="2C0F2BB1">
      <w:pPr>
        <w:spacing w:line="360" w:lineRule="auto"/>
        <w:ind w:firstLine="480" w:firstLineChars="200"/>
        <w:rPr>
          <w:rFonts w:ascii="宋体" w:hAnsi="宋体" w:cs="宋体"/>
          <w:sz w:val="24"/>
          <w:szCs w:val="21"/>
        </w:rPr>
      </w:pPr>
      <w:r>
        <w:rPr>
          <w:rFonts w:hint="eastAsia" w:ascii="宋体" w:hAnsi="宋体" w:cs="宋体"/>
          <w:sz w:val="24"/>
          <w:szCs w:val="21"/>
        </w:rPr>
        <w:t>(3）我方承诺按照磋商文件规定向你方递交履约担保。</w:t>
      </w:r>
    </w:p>
    <w:p w14:paraId="7475F549">
      <w:pPr>
        <w:spacing w:line="360" w:lineRule="auto"/>
        <w:ind w:firstLine="480" w:firstLineChars="200"/>
        <w:rPr>
          <w:rFonts w:ascii="宋体" w:hAnsi="宋体" w:cs="宋体"/>
          <w:sz w:val="24"/>
          <w:szCs w:val="21"/>
        </w:rPr>
      </w:pPr>
      <w:r>
        <w:rPr>
          <w:rFonts w:hint="eastAsia" w:ascii="宋体" w:hAnsi="宋体" w:cs="宋体"/>
          <w:sz w:val="24"/>
          <w:szCs w:val="21"/>
        </w:rPr>
        <w:t>(4）我方承诺在合同约定的期限内完成本项目。</w:t>
      </w:r>
    </w:p>
    <w:p w14:paraId="1390F2CB">
      <w:pPr>
        <w:spacing w:line="360" w:lineRule="auto"/>
        <w:ind w:firstLine="480" w:firstLineChars="200"/>
        <w:rPr>
          <w:rFonts w:ascii="宋体" w:hAnsi="宋体" w:cs="宋体"/>
          <w:sz w:val="24"/>
          <w:szCs w:val="21"/>
        </w:rPr>
      </w:pPr>
      <w:r>
        <w:rPr>
          <w:rFonts w:hint="eastAsia" w:ascii="宋体" w:hAnsi="宋体" w:cs="宋体"/>
          <w:sz w:val="24"/>
          <w:szCs w:val="21"/>
        </w:rPr>
        <w:t>4．我方在此声明，所递交的响应文件及有关资料内容完整、真实和准确。</w:t>
      </w:r>
    </w:p>
    <w:p w14:paraId="3B01E5DD">
      <w:pPr>
        <w:spacing w:line="360" w:lineRule="auto"/>
        <w:ind w:firstLine="480" w:firstLineChars="200"/>
        <w:rPr>
          <w:rFonts w:ascii="宋体" w:hAnsi="宋体" w:cs="宋体"/>
          <w:sz w:val="24"/>
          <w:szCs w:val="21"/>
        </w:rPr>
      </w:pPr>
      <w:r>
        <w:rPr>
          <w:rFonts w:hint="eastAsia" w:ascii="宋体" w:hAnsi="宋体" w:cs="宋体"/>
          <w:sz w:val="24"/>
          <w:szCs w:val="21"/>
        </w:rPr>
        <w:t xml:space="preserve">5. </w:t>
      </w:r>
      <w:r>
        <w:rPr>
          <w:rFonts w:hint="eastAsia" w:ascii="宋体" w:hAnsi="宋体" w:cs="宋体"/>
          <w:sz w:val="24"/>
          <w:szCs w:val="21"/>
          <w:u w:val="single"/>
        </w:rPr>
        <w:t xml:space="preserve">                     </w:t>
      </w:r>
      <w:r>
        <w:rPr>
          <w:rFonts w:hint="eastAsia" w:ascii="宋体" w:hAnsi="宋体" w:cs="宋体"/>
          <w:sz w:val="24"/>
          <w:szCs w:val="21"/>
        </w:rPr>
        <w:t>（其他补充说明）。</w:t>
      </w:r>
    </w:p>
    <w:p w14:paraId="2419EB3F">
      <w:pPr>
        <w:spacing w:line="360" w:lineRule="auto"/>
        <w:ind w:firstLine="480" w:firstLineChars="200"/>
        <w:rPr>
          <w:rFonts w:ascii="宋体" w:hAnsi="宋体" w:cs="宋体"/>
          <w:sz w:val="24"/>
          <w:szCs w:val="21"/>
        </w:rPr>
      </w:pPr>
    </w:p>
    <w:p w14:paraId="4EA02223">
      <w:pPr>
        <w:spacing w:line="360" w:lineRule="auto"/>
        <w:ind w:left="3780" w:leftChars="1800" w:firstLine="600" w:firstLineChars="250"/>
        <w:rPr>
          <w:rFonts w:ascii="宋体" w:hAnsi="宋体" w:cs="宋体"/>
          <w:sz w:val="24"/>
          <w:szCs w:val="21"/>
        </w:rPr>
      </w:pPr>
    </w:p>
    <w:p w14:paraId="3471E077">
      <w:pPr>
        <w:spacing w:line="360" w:lineRule="auto"/>
        <w:ind w:left="3778" w:leftChars="1620" w:hanging="376" w:hangingChars="157"/>
        <w:rPr>
          <w:rFonts w:ascii="宋体" w:hAnsi="宋体" w:cs="宋体"/>
          <w:sz w:val="24"/>
          <w:szCs w:val="21"/>
        </w:rPr>
      </w:pPr>
      <w:r>
        <w:rPr>
          <w:rFonts w:hint="eastAsia" w:ascii="宋体" w:hAnsi="宋体" w:cs="宋体"/>
          <w:sz w:val="24"/>
          <w:szCs w:val="21"/>
        </w:rPr>
        <w:t>供应商：</w:t>
      </w:r>
      <w:r>
        <w:rPr>
          <w:rFonts w:hint="eastAsia" w:ascii="宋体" w:hAnsi="宋体" w:cs="宋体"/>
          <w:sz w:val="24"/>
          <w:szCs w:val="21"/>
          <w:u w:val="single"/>
        </w:rPr>
        <w:t xml:space="preserve">                        </w:t>
      </w:r>
      <w:r>
        <w:rPr>
          <w:rFonts w:hint="eastAsia" w:ascii="宋体" w:hAnsi="宋体" w:cs="宋体"/>
          <w:sz w:val="24"/>
          <w:szCs w:val="21"/>
        </w:rPr>
        <w:t>（盖单位章）</w:t>
      </w:r>
    </w:p>
    <w:p w14:paraId="04A1BD25">
      <w:pPr>
        <w:spacing w:line="360" w:lineRule="auto"/>
        <w:ind w:left="3778" w:leftChars="1620" w:hanging="376" w:hangingChars="157"/>
        <w:rPr>
          <w:rFonts w:ascii="宋体" w:hAnsi="宋体" w:cs="宋体"/>
          <w:sz w:val="24"/>
          <w:szCs w:val="21"/>
        </w:rPr>
      </w:pPr>
      <w:r>
        <w:rPr>
          <w:rFonts w:hint="eastAsia" w:ascii="宋体" w:hAnsi="宋体" w:cs="宋体"/>
          <w:sz w:val="24"/>
          <w:szCs w:val="21"/>
        </w:rPr>
        <w:t>法定代表人或其委托代理人：</w:t>
      </w:r>
      <w:r>
        <w:rPr>
          <w:rFonts w:hint="eastAsia" w:ascii="宋体" w:hAnsi="宋体" w:cs="宋体"/>
          <w:sz w:val="24"/>
          <w:szCs w:val="21"/>
          <w:u w:val="single"/>
        </w:rPr>
        <w:t xml:space="preserve">      </w:t>
      </w:r>
      <w:r>
        <w:rPr>
          <w:rFonts w:hint="eastAsia" w:ascii="宋体" w:hAnsi="宋体" w:cs="宋体"/>
          <w:sz w:val="24"/>
          <w:szCs w:val="21"/>
        </w:rPr>
        <w:t>（签字或盖章）</w:t>
      </w:r>
    </w:p>
    <w:p w14:paraId="46D25821">
      <w:pPr>
        <w:spacing w:line="360" w:lineRule="auto"/>
        <w:ind w:firstLine="3400" w:firstLineChars="1417"/>
        <w:rPr>
          <w:rFonts w:ascii="宋体" w:hAnsi="宋体" w:cs="宋体"/>
          <w:sz w:val="24"/>
          <w:szCs w:val="21"/>
        </w:rPr>
      </w:pPr>
      <w:r>
        <w:rPr>
          <w:rFonts w:hint="eastAsia" w:ascii="宋体" w:hAnsi="宋体" w:cs="宋体"/>
          <w:sz w:val="24"/>
          <w:szCs w:val="21"/>
        </w:rPr>
        <w:t>地址：</w:t>
      </w:r>
      <w:r>
        <w:rPr>
          <w:rFonts w:hint="eastAsia" w:ascii="宋体" w:hAnsi="宋体" w:cs="宋体"/>
          <w:sz w:val="24"/>
          <w:szCs w:val="21"/>
          <w:u w:val="single"/>
        </w:rPr>
        <w:t xml:space="preserve">                                 </w:t>
      </w:r>
    </w:p>
    <w:p w14:paraId="6D587557">
      <w:pPr>
        <w:spacing w:line="360" w:lineRule="auto"/>
        <w:ind w:firstLine="3400" w:firstLineChars="1417"/>
        <w:rPr>
          <w:rFonts w:ascii="宋体" w:hAnsi="宋体" w:cs="宋体"/>
          <w:sz w:val="24"/>
          <w:szCs w:val="21"/>
        </w:rPr>
      </w:pPr>
      <w:r>
        <w:rPr>
          <w:rFonts w:hint="eastAsia" w:ascii="宋体" w:hAnsi="宋体" w:cs="宋体"/>
          <w:sz w:val="24"/>
          <w:szCs w:val="21"/>
        </w:rPr>
        <w:t>网址：</w:t>
      </w:r>
      <w:r>
        <w:rPr>
          <w:rFonts w:hint="eastAsia" w:ascii="宋体" w:hAnsi="宋体" w:cs="宋体"/>
          <w:sz w:val="24"/>
          <w:szCs w:val="21"/>
          <w:u w:val="single"/>
        </w:rPr>
        <w:t xml:space="preserve">                                 </w:t>
      </w:r>
    </w:p>
    <w:p w14:paraId="5F49A363">
      <w:pPr>
        <w:spacing w:line="360" w:lineRule="auto"/>
        <w:ind w:firstLine="3400" w:firstLineChars="1417"/>
        <w:rPr>
          <w:rFonts w:ascii="宋体" w:hAnsi="宋体" w:cs="宋体"/>
          <w:sz w:val="24"/>
          <w:szCs w:val="21"/>
        </w:rPr>
      </w:pPr>
      <w:r>
        <w:rPr>
          <w:rFonts w:hint="eastAsia" w:ascii="宋体" w:hAnsi="宋体" w:cs="宋体"/>
          <w:sz w:val="24"/>
          <w:szCs w:val="21"/>
        </w:rPr>
        <w:t>电话：</w:t>
      </w:r>
      <w:r>
        <w:rPr>
          <w:rFonts w:hint="eastAsia" w:ascii="宋体" w:hAnsi="宋体" w:cs="宋体"/>
          <w:sz w:val="24"/>
          <w:szCs w:val="21"/>
          <w:u w:val="single"/>
        </w:rPr>
        <w:t xml:space="preserve">                                 </w:t>
      </w:r>
    </w:p>
    <w:p w14:paraId="3FCC44B2">
      <w:pPr>
        <w:spacing w:line="360" w:lineRule="auto"/>
        <w:ind w:firstLine="3400" w:firstLineChars="1417"/>
        <w:rPr>
          <w:rFonts w:ascii="宋体" w:hAnsi="宋体" w:cs="宋体"/>
          <w:sz w:val="24"/>
          <w:szCs w:val="21"/>
        </w:rPr>
      </w:pPr>
      <w:r>
        <w:rPr>
          <w:rFonts w:hint="eastAsia" w:ascii="宋体" w:hAnsi="宋体" w:cs="宋体"/>
          <w:sz w:val="24"/>
          <w:szCs w:val="21"/>
        </w:rPr>
        <w:t>传真：</w:t>
      </w:r>
      <w:r>
        <w:rPr>
          <w:rFonts w:hint="eastAsia" w:ascii="宋体" w:hAnsi="宋体" w:cs="宋体"/>
          <w:sz w:val="24"/>
          <w:szCs w:val="21"/>
          <w:u w:val="single"/>
        </w:rPr>
        <w:t xml:space="preserve">                                 </w:t>
      </w:r>
    </w:p>
    <w:p w14:paraId="446F32C3">
      <w:pPr>
        <w:spacing w:line="360" w:lineRule="auto"/>
        <w:ind w:firstLine="3400" w:firstLineChars="1417"/>
        <w:rPr>
          <w:rFonts w:ascii="宋体" w:hAnsi="宋体" w:cs="宋体"/>
          <w:sz w:val="24"/>
          <w:szCs w:val="21"/>
        </w:rPr>
      </w:pPr>
      <w:r>
        <w:rPr>
          <w:rFonts w:hint="eastAsia" w:ascii="宋体" w:hAnsi="宋体" w:cs="宋体"/>
          <w:sz w:val="24"/>
          <w:szCs w:val="21"/>
        </w:rPr>
        <w:t>邮政编码：</w:t>
      </w:r>
      <w:r>
        <w:rPr>
          <w:rFonts w:hint="eastAsia" w:ascii="宋体" w:hAnsi="宋体" w:cs="宋体"/>
          <w:sz w:val="24"/>
          <w:szCs w:val="21"/>
          <w:u w:val="single"/>
        </w:rPr>
        <w:t xml:space="preserve">                             </w:t>
      </w:r>
    </w:p>
    <w:p w14:paraId="439583EC">
      <w:pPr>
        <w:spacing w:line="360" w:lineRule="auto"/>
        <w:ind w:firstLine="3400" w:firstLineChars="1417"/>
        <w:rPr>
          <w:rFonts w:ascii="宋体" w:hAnsi="宋体" w:cs="宋体"/>
          <w:sz w:val="24"/>
          <w:szCs w:val="21"/>
        </w:rPr>
      </w:pPr>
      <w:r>
        <w:rPr>
          <w:rFonts w:hint="eastAsia" w:ascii="宋体" w:hAnsi="宋体" w:cs="宋体"/>
          <w:sz w:val="24"/>
          <w:szCs w:val="21"/>
          <w:u w:val="single"/>
        </w:rPr>
        <w:t xml:space="preserve">        </w:t>
      </w: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日</w:t>
      </w:r>
    </w:p>
    <w:p w14:paraId="253BF575">
      <w:pPr>
        <w:pStyle w:val="4"/>
        <w:numPr>
          <w:ilvl w:val="0"/>
          <w:numId w:val="0"/>
        </w:numPr>
        <w:jc w:val="center"/>
        <w:rPr>
          <w:rFonts w:ascii="宋体" w:hAnsi="宋体" w:eastAsia="宋体" w:cs="宋体"/>
          <w:sz w:val="28"/>
          <w:szCs w:val="28"/>
        </w:rPr>
      </w:pPr>
      <w:bookmarkStart w:id="159" w:name="_Toc509667324"/>
      <w:bookmarkStart w:id="160" w:name="_Toc490667893"/>
      <w:r>
        <w:rPr>
          <w:rFonts w:hint="eastAsia" w:ascii="宋体" w:hAnsi="宋体" w:eastAsia="宋体" w:cs="宋体"/>
          <w:sz w:val="28"/>
          <w:szCs w:val="28"/>
        </w:rPr>
        <w:br w:type="page"/>
      </w:r>
      <w:r>
        <w:rPr>
          <w:rFonts w:hint="eastAsia" w:ascii="宋体" w:hAnsi="宋体" w:eastAsia="宋体" w:cs="宋体"/>
          <w:sz w:val="28"/>
          <w:szCs w:val="28"/>
        </w:rPr>
        <w:t>（二）</w:t>
      </w:r>
      <w:bookmarkEnd w:id="157"/>
      <w:bookmarkEnd w:id="158"/>
      <w:r>
        <w:rPr>
          <w:rFonts w:hint="eastAsia" w:ascii="宋体" w:hAnsi="宋体" w:eastAsia="宋体" w:cs="宋体"/>
        </w:rPr>
        <w:t>磋商函附录</w:t>
      </w:r>
      <w:bookmarkEnd w:id="159"/>
      <w:bookmarkEnd w:id="16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435"/>
        <w:gridCol w:w="148"/>
        <w:gridCol w:w="1155"/>
        <w:gridCol w:w="2123"/>
      </w:tblGrid>
      <w:tr w14:paraId="34B9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0FEEEEB4">
            <w:pPr>
              <w:jc w:val="center"/>
              <w:rPr>
                <w:rFonts w:ascii="宋体" w:hAnsi="宋体" w:cs="宋体"/>
                <w:szCs w:val="21"/>
              </w:rPr>
            </w:pPr>
            <w:r>
              <w:rPr>
                <w:rFonts w:hint="eastAsia" w:ascii="宋体" w:hAnsi="宋体" w:cs="宋体"/>
                <w:szCs w:val="21"/>
              </w:rPr>
              <w:t>项目名称</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0A946ABA">
            <w:pPr>
              <w:rPr>
                <w:rFonts w:ascii="宋体" w:hAnsi="宋体" w:cs="宋体"/>
                <w:szCs w:val="21"/>
              </w:rPr>
            </w:pPr>
          </w:p>
        </w:tc>
      </w:tr>
      <w:tr w14:paraId="0228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4D08DEE8">
            <w:pPr>
              <w:jc w:val="center"/>
              <w:rPr>
                <w:rFonts w:ascii="宋体" w:hAnsi="宋体" w:cs="宋体"/>
                <w:szCs w:val="21"/>
              </w:rPr>
            </w:pPr>
            <w:r>
              <w:rPr>
                <w:rFonts w:hint="eastAsia" w:ascii="宋体" w:hAnsi="宋体" w:cs="宋体"/>
                <w:szCs w:val="21"/>
              </w:rPr>
              <w:t>供应商</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649A7DCF">
            <w:pPr>
              <w:rPr>
                <w:rFonts w:ascii="宋体" w:hAnsi="宋体" w:cs="宋体"/>
                <w:szCs w:val="21"/>
              </w:rPr>
            </w:pPr>
          </w:p>
        </w:tc>
      </w:tr>
      <w:tr w14:paraId="75D1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4E0169C">
            <w:pPr>
              <w:jc w:val="center"/>
              <w:rPr>
                <w:rFonts w:hint="eastAsia" w:ascii="宋体" w:hAnsi="宋体" w:eastAsia="宋体" w:cs="宋体"/>
                <w:szCs w:val="21"/>
                <w:lang w:eastAsia="zh-CN"/>
              </w:rPr>
            </w:pPr>
            <w:r>
              <w:rPr>
                <w:rFonts w:hint="eastAsia" w:ascii="宋体" w:hAnsi="宋体" w:cs="宋体"/>
                <w:szCs w:val="21"/>
              </w:rPr>
              <w:t>磋商内容</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02B74726">
            <w:pPr>
              <w:jc w:val="center"/>
              <w:rPr>
                <w:rFonts w:ascii="宋体" w:hAnsi="宋体" w:cs="宋体"/>
                <w:szCs w:val="21"/>
              </w:rPr>
            </w:pPr>
          </w:p>
        </w:tc>
      </w:tr>
      <w:tr w14:paraId="0DE0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F78561E">
            <w:pPr>
              <w:spacing w:line="360" w:lineRule="exact"/>
              <w:jc w:val="center"/>
              <w:rPr>
                <w:rFonts w:ascii="宋体" w:hAnsi="宋体" w:cs="宋体"/>
                <w:szCs w:val="21"/>
              </w:rPr>
            </w:pPr>
            <w:r>
              <w:rPr>
                <w:rFonts w:hint="eastAsia" w:ascii="宋体" w:hAnsi="宋体" w:cs="宋体"/>
                <w:szCs w:val="21"/>
              </w:rPr>
              <w:t>首次报价</w:t>
            </w:r>
          </w:p>
        </w:tc>
        <w:tc>
          <w:tcPr>
            <w:tcW w:w="3435" w:type="dxa"/>
            <w:tcBorders>
              <w:top w:val="single" w:color="auto" w:sz="4" w:space="0"/>
              <w:left w:val="single" w:color="auto" w:sz="4" w:space="0"/>
              <w:bottom w:val="single" w:color="auto" w:sz="4" w:space="0"/>
              <w:right w:val="single" w:color="auto" w:sz="4" w:space="0"/>
            </w:tcBorders>
            <w:vAlign w:val="center"/>
          </w:tcPr>
          <w:p w14:paraId="5FC2DB6D">
            <w:pPr>
              <w:rPr>
                <w:rFonts w:ascii="宋体" w:hAnsi="宋体" w:cs="宋体"/>
                <w:szCs w:val="21"/>
              </w:rPr>
            </w:pPr>
            <w:r>
              <w:rPr>
                <w:rFonts w:hint="eastAsia" w:ascii="宋体" w:hAnsi="宋体" w:cs="宋体"/>
                <w:szCs w:val="21"/>
              </w:rPr>
              <w:t>（大写）</w:t>
            </w:r>
          </w:p>
        </w:tc>
        <w:tc>
          <w:tcPr>
            <w:tcW w:w="3426" w:type="dxa"/>
            <w:gridSpan w:val="3"/>
            <w:tcBorders>
              <w:top w:val="single" w:color="auto" w:sz="4" w:space="0"/>
              <w:left w:val="single" w:color="auto" w:sz="4" w:space="0"/>
              <w:bottom w:val="single" w:color="auto" w:sz="4" w:space="0"/>
              <w:right w:val="single" w:color="auto" w:sz="4" w:space="0"/>
            </w:tcBorders>
            <w:vAlign w:val="center"/>
          </w:tcPr>
          <w:p w14:paraId="20B59F20">
            <w:pPr>
              <w:rPr>
                <w:rFonts w:ascii="宋体" w:hAnsi="宋体" w:cs="宋体"/>
                <w:szCs w:val="21"/>
              </w:rPr>
            </w:pPr>
            <w:r>
              <w:rPr>
                <w:rFonts w:hint="eastAsia" w:ascii="宋体" w:hAnsi="宋体" w:cs="宋体"/>
                <w:szCs w:val="21"/>
              </w:rPr>
              <w:t>（小写）</w:t>
            </w:r>
          </w:p>
        </w:tc>
      </w:tr>
      <w:tr w14:paraId="1434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E8B4084">
            <w:pPr>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地点</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69AC148B">
            <w:pPr>
              <w:jc w:val="center"/>
              <w:rPr>
                <w:rFonts w:ascii="宋体" w:hAnsi="宋体" w:cs="宋体"/>
                <w:szCs w:val="21"/>
              </w:rPr>
            </w:pPr>
          </w:p>
        </w:tc>
      </w:tr>
      <w:tr w14:paraId="783D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4F13879">
            <w:pPr>
              <w:jc w:val="center"/>
              <w:rPr>
                <w:rFonts w:hint="eastAsia" w:ascii="宋体" w:hAnsi="宋体" w:eastAsia="宋体" w:cs="宋体"/>
                <w:szCs w:val="21"/>
                <w:lang w:eastAsia="zh-CN"/>
              </w:rPr>
            </w:pPr>
            <w:r>
              <w:rPr>
                <w:rFonts w:hint="eastAsia" w:ascii="宋体" w:hAnsi="宋体" w:cs="宋体"/>
                <w:szCs w:val="21"/>
                <w:lang w:val="en-US" w:eastAsia="zh-CN"/>
              </w:rPr>
              <w:t>服务</w:t>
            </w:r>
            <w:r>
              <w:rPr>
                <w:rFonts w:hint="eastAsia" w:ascii="宋体" w:hAnsi="宋体" w:cs="宋体"/>
                <w:szCs w:val="21"/>
                <w:lang w:eastAsia="zh-CN"/>
              </w:rPr>
              <w:t>期限</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1DAEFE77">
            <w:pPr>
              <w:jc w:val="center"/>
              <w:rPr>
                <w:rFonts w:ascii="宋体" w:hAnsi="宋体" w:cs="宋体"/>
                <w:szCs w:val="21"/>
              </w:rPr>
            </w:pPr>
          </w:p>
        </w:tc>
      </w:tr>
      <w:tr w14:paraId="50D1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06A888EC">
            <w:pPr>
              <w:jc w:val="center"/>
              <w:rPr>
                <w:rFonts w:hint="eastAsia" w:ascii="宋体" w:hAnsi="宋体" w:eastAsia="宋体" w:cs="宋体"/>
                <w:szCs w:val="21"/>
                <w:lang w:eastAsia="zh-CN"/>
              </w:rPr>
            </w:pPr>
            <w:r>
              <w:rPr>
                <w:rFonts w:hint="eastAsia" w:ascii="宋体" w:hAnsi="宋体" w:cs="宋体"/>
                <w:szCs w:val="21"/>
                <w:lang w:val="en-US" w:eastAsia="zh-CN"/>
              </w:rPr>
              <w:t>服务要求</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6EE4FCDB">
            <w:pPr>
              <w:jc w:val="center"/>
              <w:rPr>
                <w:rFonts w:ascii="宋体" w:hAnsi="宋体" w:cs="宋体"/>
                <w:szCs w:val="21"/>
              </w:rPr>
            </w:pPr>
          </w:p>
        </w:tc>
      </w:tr>
      <w:tr w14:paraId="17B3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C185F55">
            <w:pPr>
              <w:jc w:val="center"/>
              <w:rPr>
                <w:rFonts w:hint="default" w:ascii="宋体" w:hAnsi="宋体" w:eastAsia="宋体" w:cs="宋体"/>
                <w:szCs w:val="21"/>
                <w:lang w:val="en-US" w:eastAsia="zh-CN"/>
              </w:rPr>
            </w:pPr>
            <w:r>
              <w:rPr>
                <w:rFonts w:hint="eastAsia" w:ascii="宋体" w:hAnsi="宋体" w:cs="宋体"/>
                <w:szCs w:val="21"/>
                <w:lang w:val="en-US" w:eastAsia="zh-CN"/>
              </w:rPr>
              <w:t>项目负责人</w:t>
            </w:r>
          </w:p>
        </w:tc>
        <w:tc>
          <w:tcPr>
            <w:tcW w:w="3583" w:type="dxa"/>
            <w:gridSpan w:val="2"/>
            <w:tcBorders>
              <w:top w:val="single" w:color="auto" w:sz="4" w:space="0"/>
              <w:left w:val="single" w:color="auto" w:sz="4" w:space="0"/>
              <w:bottom w:val="single" w:color="auto" w:sz="4" w:space="0"/>
              <w:right w:val="single" w:color="auto" w:sz="4" w:space="0"/>
            </w:tcBorders>
            <w:vAlign w:val="center"/>
          </w:tcPr>
          <w:p w14:paraId="3FDCA669">
            <w:pPr>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57C74DC">
            <w:pPr>
              <w:jc w:val="center"/>
              <w:rPr>
                <w:rFonts w:hint="default" w:ascii="宋体" w:hAnsi="宋体" w:eastAsia="宋体" w:cs="宋体"/>
                <w:szCs w:val="21"/>
                <w:lang w:val="en-US" w:eastAsia="zh-CN"/>
              </w:rPr>
            </w:pPr>
            <w:r>
              <w:rPr>
                <w:rFonts w:hint="eastAsia" w:ascii="宋体" w:hAnsi="宋体" w:cs="宋体"/>
                <w:szCs w:val="21"/>
                <w:lang w:val="en-US" w:eastAsia="zh-CN"/>
              </w:rPr>
              <w:t>证书编号（如有）</w:t>
            </w:r>
          </w:p>
        </w:tc>
        <w:tc>
          <w:tcPr>
            <w:tcW w:w="2123" w:type="dxa"/>
            <w:tcBorders>
              <w:top w:val="single" w:color="auto" w:sz="4" w:space="0"/>
              <w:left w:val="single" w:color="auto" w:sz="4" w:space="0"/>
              <w:bottom w:val="single" w:color="auto" w:sz="4" w:space="0"/>
              <w:right w:val="single" w:color="auto" w:sz="4" w:space="0"/>
            </w:tcBorders>
            <w:vAlign w:val="center"/>
          </w:tcPr>
          <w:p w14:paraId="62C8BC60">
            <w:pPr>
              <w:jc w:val="center"/>
              <w:rPr>
                <w:rFonts w:ascii="宋体" w:hAnsi="宋体" w:cs="宋体"/>
                <w:szCs w:val="21"/>
              </w:rPr>
            </w:pPr>
          </w:p>
        </w:tc>
      </w:tr>
      <w:tr w14:paraId="049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42639361">
            <w:pPr>
              <w:jc w:val="center"/>
              <w:rPr>
                <w:rFonts w:ascii="宋体" w:hAnsi="宋体" w:cs="宋体"/>
                <w:szCs w:val="21"/>
              </w:rPr>
            </w:pPr>
            <w:r>
              <w:rPr>
                <w:rFonts w:hint="eastAsia" w:ascii="宋体" w:hAnsi="宋体" w:cs="宋体"/>
                <w:szCs w:val="21"/>
              </w:rPr>
              <w:t>磋商有效期</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35119A99">
            <w:pPr>
              <w:jc w:val="center"/>
              <w:rPr>
                <w:rFonts w:ascii="宋体" w:hAnsi="宋体" w:cs="宋体"/>
                <w:szCs w:val="21"/>
              </w:rPr>
            </w:pPr>
            <w:r>
              <w:rPr>
                <w:rFonts w:hint="eastAsia" w:ascii="宋体" w:hAnsi="宋体" w:cs="宋体"/>
                <w:szCs w:val="21"/>
              </w:rPr>
              <w:t>60日历天（响应文件截止之日起）</w:t>
            </w:r>
          </w:p>
        </w:tc>
      </w:tr>
      <w:tr w14:paraId="6CDF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34F76FFE">
            <w:pPr>
              <w:jc w:val="center"/>
              <w:rPr>
                <w:rFonts w:ascii="宋体" w:hAnsi="宋体" w:cs="宋体"/>
                <w:szCs w:val="21"/>
              </w:rPr>
            </w:pPr>
            <w:r>
              <w:rPr>
                <w:rFonts w:hint="eastAsia" w:ascii="宋体" w:hAnsi="宋体" w:cs="宋体"/>
                <w:szCs w:val="21"/>
              </w:rPr>
              <w:t>承诺</w:t>
            </w:r>
          </w:p>
        </w:tc>
        <w:tc>
          <w:tcPr>
            <w:tcW w:w="6861" w:type="dxa"/>
            <w:gridSpan w:val="4"/>
            <w:tcBorders>
              <w:top w:val="single" w:color="auto" w:sz="4" w:space="0"/>
              <w:left w:val="single" w:color="auto" w:sz="4" w:space="0"/>
              <w:bottom w:val="single" w:color="auto" w:sz="4" w:space="0"/>
              <w:right w:val="single" w:color="auto" w:sz="4" w:space="0"/>
            </w:tcBorders>
            <w:vAlign w:val="center"/>
          </w:tcPr>
          <w:p w14:paraId="0103747D">
            <w:pPr>
              <w:jc w:val="center"/>
              <w:rPr>
                <w:rFonts w:ascii="宋体" w:hAnsi="宋体" w:cs="宋体"/>
                <w:szCs w:val="21"/>
              </w:rPr>
            </w:pPr>
          </w:p>
        </w:tc>
      </w:tr>
      <w:tr w14:paraId="08A4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020" w:type="dxa"/>
            <w:gridSpan w:val="5"/>
            <w:tcBorders>
              <w:top w:val="single" w:color="auto" w:sz="4" w:space="0"/>
              <w:left w:val="single" w:color="auto" w:sz="4" w:space="0"/>
              <w:bottom w:val="single" w:color="auto" w:sz="4" w:space="0"/>
              <w:right w:val="single" w:color="auto" w:sz="4" w:space="0"/>
            </w:tcBorders>
          </w:tcPr>
          <w:p w14:paraId="5541111B">
            <w:pPr>
              <w:rPr>
                <w:rFonts w:ascii="宋体" w:hAnsi="宋体" w:cs="宋体"/>
                <w:szCs w:val="21"/>
              </w:rPr>
            </w:pPr>
            <w:r>
              <w:rPr>
                <w:rFonts w:hint="eastAsia" w:ascii="宋体" w:hAnsi="宋体" w:cs="宋体"/>
                <w:b/>
                <w:szCs w:val="21"/>
              </w:rPr>
              <w:t>备注：供应商在竞争性磋商文件中规定的实质性要求和条件的基础上，可做出其他有利于采购人的承诺。此类承诺可在本表中予以补充填写，可另附页。</w:t>
            </w:r>
          </w:p>
        </w:tc>
      </w:tr>
    </w:tbl>
    <w:p w14:paraId="1412C043">
      <w:pPr>
        <w:rPr>
          <w:rFonts w:ascii="宋体" w:hAnsi="宋体" w:cs="宋体"/>
          <w:sz w:val="24"/>
        </w:rPr>
      </w:pPr>
    </w:p>
    <w:p w14:paraId="0AE35B0C">
      <w:pPr>
        <w:rPr>
          <w:rFonts w:ascii="宋体" w:hAnsi="宋体" w:cs="宋体"/>
          <w:sz w:val="24"/>
        </w:rPr>
      </w:pPr>
      <w:r>
        <w:rPr>
          <w:rFonts w:hint="eastAsia" w:ascii="宋体" w:hAnsi="宋体" w:cs="宋体"/>
          <w:sz w:val="24"/>
        </w:rPr>
        <w:t>供应商(盖章)</w:t>
      </w:r>
      <w:r>
        <w:rPr>
          <w:rFonts w:hint="eastAsia" w:ascii="宋体" w:hAnsi="宋体" w:cs="宋体"/>
          <w:sz w:val="24"/>
          <w:u w:val="single"/>
        </w:rPr>
        <w:t>:</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14:paraId="6ED6791D">
      <w:pPr>
        <w:rPr>
          <w:rFonts w:ascii="宋体" w:hAnsi="宋体" w:cs="宋体"/>
          <w:sz w:val="24"/>
        </w:rPr>
      </w:pPr>
    </w:p>
    <w:p w14:paraId="20E3010A">
      <w:pPr>
        <w:rPr>
          <w:rFonts w:ascii="宋体" w:hAnsi="宋体" w:cs="宋体"/>
          <w:sz w:val="24"/>
        </w:rPr>
      </w:pPr>
      <w:r>
        <w:rPr>
          <w:rFonts w:hint="eastAsia" w:ascii="宋体" w:hAnsi="宋体" w:cs="宋体"/>
          <w:sz w:val="24"/>
        </w:rPr>
        <w:t>供应商法定代表人或其授权委托人(签字或盖章)___________________</w:t>
      </w:r>
    </w:p>
    <w:p w14:paraId="3A7CE380">
      <w:pPr>
        <w:ind w:firstLine="240" w:firstLineChars="100"/>
        <w:rPr>
          <w:rFonts w:ascii="宋体" w:hAnsi="宋体" w:cs="宋体"/>
          <w:sz w:val="24"/>
        </w:rPr>
      </w:pPr>
    </w:p>
    <w:p w14:paraId="6E06D8B7">
      <w:pPr>
        <w:ind w:firstLine="4080" w:firstLineChars="1700"/>
        <w:rPr>
          <w:rFonts w:ascii="宋体" w:hAnsi="宋体" w:cs="宋体"/>
          <w:sz w:val="24"/>
        </w:rPr>
      </w:pPr>
      <w:r>
        <w:rPr>
          <w:rFonts w:hint="eastAsia" w:ascii="宋体" w:hAnsi="宋体" w:cs="宋体"/>
          <w:sz w:val="24"/>
        </w:rPr>
        <w:t>年  月  日</w:t>
      </w:r>
      <w:bookmarkStart w:id="161" w:name="_Toc152045791"/>
      <w:bookmarkStart w:id="162" w:name="_Toc287367268"/>
      <w:bookmarkStart w:id="163" w:name="_Toc152042580"/>
      <w:bookmarkStart w:id="164" w:name="_Toc144974860"/>
    </w:p>
    <w:p w14:paraId="7DEB8FB9">
      <w:pPr>
        <w:pStyle w:val="62"/>
        <w:jc w:val="center"/>
        <w:rPr>
          <w:rFonts w:ascii="宋体" w:hAnsi="宋体" w:eastAsia="宋体"/>
          <w:b/>
          <w:sz w:val="24"/>
        </w:rPr>
      </w:pPr>
      <w:bookmarkStart w:id="165" w:name="_Toc509667325"/>
      <w:bookmarkStart w:id="166" w:name="_Toc466298161"/>
      <w:r>
        <w:rPr>
          <w:rFonts w:hint="eastAsia" w:ascii="宋体" w:hAnsi="宋体" w:eastAsia="宋体"/>
          <w:b/>
        </w:rPr>
        <w:br w:type="page"/>
      </w:r>
      <w:bookmarkStart w:id="167" w:name="_Toc643"/>
      <w:bookmarkStart w:id="168" w:name="_Toc31578"/>
      <w:r>
        <w:rPr>
          <w:rFonts w:hint="eastAsia" w:ascii="宋体" w:hAnsi="宋体" w:eastAsia="宋体"/>
          <w:b/>
        </w:rPr>
        <w:t>二、</w:t>
      </w:r>
      <w:bookmarkEnd w:id="161"/>
      <w:bookmarkEnd w:id="162"/>
      <w:bookmarkEnd w:id="163"/>
      <w:bookmarkEnd w:id="164"/>
      <w:r>
        <w:rPr>
          <w:rFonts w:hint="eastAsia" w:ascii="宋体" w:hAnsi="宋体" w:eastAsia="宋体"/>
          <w:b/>
        </w:rPr>
        <w:t>法定代表身份证明</w:t>
      </w:r>
      <w:bookmarkEnd w:id="165"/>
      <w:bookmarkEnd w:id="166"/>
      <w:bookmarkEnd w:id="167"/>
      <w:bookmarkEnd w:id="168"/>
    </w:p>
    <w:p w14:paraId="3FEB9B10">
      <w:pPr>
        <w:spacing w:line="440" w:lineRule="exact"/>
        <w:jc w:val="center"/>
        <w:rPr>
          <w:rFonts w:ascii="宋体" w:hAnsi="宋体" w:cs="宋体"/>
          <w:szCs w:val="21"/>
        </w:rPr>
      </w:pPr>
    </w:p>
    <w:p w14:paraId="0E33B8E7">
      <w:pPr>
        <w:spacing w:line="440" w:lineRule="exact"/>
        <w:rPr>
          <w:rFonts w:ascii="宋体" w:hAnsi="宋体" w:cs="宋体"/>
          <w:sz w:val="24"/>
          <w:szCs w:val="21"/>
        </w:rPr>
      </w:pPr>
      <w:r>
        <w:rPr>
          <w:rFonts w:hint="eastAsia" w:ascii="宋体" w:hAnsi="宋体" w:cs="宋体"/>
          <w:sz w:val="24"/>
          <w:szCs w:val="21"/>
        </w:rPr>
        <w:t>供应商名称：</w:t>
      </w:r>
      <w:r>
        <w:rPr>
          <w:rFonts w:hint="eastAsia" w:ascii="宋体" w:hAnsi="宋体" w:cs="宋体"/>
          <w:sz w:val="24"/>
          <w:szCs w:val="21"/>
          <w:u w:val="single"/>
        </w:rPr>
        <w:t xml:space="preserve">                            </w:t>
      </w:r>
      <w:r>
        <w:rPr>
          <w:rFonts w:hint="eastAsia" w:ascii="宋体" w:hAnsi="宋体" w:cs="宋体"/>
          <w:sz w:val="24"/>
          <w:szCs w:val="21"/>
        </w:rPr>
        <w:t xml:space="preserve"> </w:t>
      </w:r>
    </w:p>
    <w:p w14:paraId="10AB59CC">
      <w:pPr>
        <w:spacing w:line="440" w:lineRule="exact"/>
        <w:rPr>
          <w:rFonts w:ascii="宋体" w:hAnsi="宋体" w:cs="宋体"/>
          <w:sz w:val="24"/>
          <w:szCs w:val="21"/>
        </w:rPr>
      </w:pPr>
      <w:r>
        <w:rPr>
          <w:rFonts w:hint="eastAsia" w:ascii="宋体" w:hAnsi="宋体" w:cs="宋体"/>
          <w:sz w:val="24"/>
          <w:szCs w:val="21"/>
        </w:rPr>
        <w:t>单位性质：</w:t>
      </w:r>
      <w:r>
        <w:rPr>
          <w:rFonts w:hint="eastAsia" w:ascii="宋体" w:hAnsi="宋体" w:cs="宋体"/>
          <w:sz w:val="24"/>
          <w:szCs w:val="21"/>
          <w:u w:val="single"/>
        </w:rPr>
        <w:t xml:space="preserve">                               </w:t>
      </w:r>
      <w:r>
        <w:rPr>
          <w:rFonts w:hint="eastAsia" w:ascii="宋体" w:hAnsi="宋体" w:cs="宋体"/>
          <w:sz w:val="24"/>
          <w:szCs w:val="21"/>
        </w:rPr>
        <w:t xml:space="preserve"> </w:t>
      </w:r>
    </w:p>
    <w:p w14:paraId="1C05CB5F">
      <w:pPr>
        <w:spacing w:line="440" w:lineRule="exact"/>
        <w:rPr>
          <w:rFonts w:ascii="宋体" w:hAnsi="宋体" w:cs="宋体"/>
          <w:sz w:val="24"/>
          <w:szCs w:val="21"/>
        </w:rPr>
      </w:pPr>
      <w:r>
        <w:rPr>
          <w:rFonts w:hint="eastAsia" w:ascii="宋体" w:hAnsi="宋体" w:cs="宋体"/>
          <w:sz w:val="24"/>
          <w:szCs w:val="21"/>
        </w:rPr>
        <w:t>地址：</w:t>
      </w:r>
      <w:r>
        <w:rPr>
          <w:rFonts w:hint="eastAsia" w:ascii="宋体" w:hAnsi="宋体" w:cs="宋体"/>
          <w:sz w:val="24"/>
          <w:szCs w:val="21"/>
          <w:u w:val="single"/>
        </w:rPr>
        <w:t xml:space="preserve">                                   </w:t>
      </w:r>
    </w:p>
    <w:p w14:paraId="5D092181">
      <w:pPr>
        <w:spacing w:line="440" w:lineRule="exact"/>
        <w:rPr>
          <w:rFonts w:ascii="宋体" w:hAnsi="宋体" w:cs="宋体"/>
          <w:sz w:val="24"/>
          <w:szCs w:val="21"/>
        </w:rPr>
      </w:pPr>
      <w:r>
        <w:rPr>
          <w:rFonts w:hint="eastAsia" w:ascii="宋体" w:hAnsi="宋体" w:cs="宋体"/>
          <w:sz w:val="24"/>
          <w:szCs w:val="21"/>
        </w:rPr>
        <w:t>成立时间：</w:t>
      </w:r>
      <w:r>
        <w:rPr>
          <w:rFonts w:hint="eastAsia" w:ascii="宋体" w:hAnsi="宋体" w:cs="宋体"/>
          <w:sz w:val="24"/>
          <w:szCs w:val="21"/>
          <w:u w:val="single"/>
        </w:rPr>
        <w:t xml:space="preserve">         </w:t>
      </w:r>
      <w:r>
        <w:rPr>
          <w:rFonts w:hint="eastAsia" w:ascii="宋体" w:hAnsi="宋体" w:cs="宋体"/>
          <w:sz w:val="24"/>
          <w:szCs w:val="21"/>
        </w:rPr>
        <w:t xml:space="preserve"> 年</w:t>
      </w:r>
      <w:r>
        <w:rPr>
          <w:rFonts w:hint="eastAsia" w:ascii="宋体" w:hAnsi="宋体" w:cs="宋体"/>
          <w:sz w:val="24"/>
          <w:szCs w:val="21"/>
          <w:u w:val="single"/>
        </w:rPr>
        <w:t xml:space="preserve">       </w:t>
      </w:r>
      <w:r>
        <w:rPr>
          <w:rFonts w:hint="eastAsia" w:ascii="宋体" w:hAnsi="宋体" w:cs="宋体"/>
          <w:sz w:val="24"/>
          <w:szCs w:val="21"/>
        </w:rPr>
        <w:t xml:space="preserve"> 月</w:t>
      </w:r>
      <w:r>
        <w:rPr>
          <w:rFonts w:hint="eastAsia" w:ascii="宋体" w:hAnsi="宋体" w:cs="宋体"/>
          <w:sz w:val="24"/>
          <w:szCs w:val="21"/>
          <w:u w:val="single"/>
        </w:rPr>
        <w:t xml:space="preserve">       </w:t>
      </w:r>
      <w:r>
        <w:rPr>
          <w:rFonts w:hint="eastAsia" w:ascii="宋体" w:hAnsi="宋体" w:cs="宋体"/>
          <w:sz w:val="24"/>
          <w:szCs w:val="21"/>
        </w:rPr>
        <w:t xml:space="preserve"> 日</w:t>
      </w:r>
    </w:p>
    <w:p w14:paraId="4FD21237">
      <w:pPr>
        <w:spacing w:line="440" w:lineRule="exact"/>
        <w:rPr>
          <w:rFonts w:ascii="宋体" w:hAnsi="宋体" w:cs="宋体"/>
          <w:sz w:val="24"/>
          <w:szCs w:val="21"/>
        </w:rPr>
      </w:pPr>
      <w:r>
        <w:rPr>
          <w:rFonts w:hint="eastAsia" w:ascii="宋体" w:hAnsi="宋体" w:cs="宋体"/>
          <w:sz w:val="24"/>
          <w:szCs w:val="21"/>
        </w:rPr>
        <w:t>经营期限：</w:t>
      </w:r>
      <w:r>
        <w:rPr>
          <w:rFonts w:hint="eastAsia" w:ascii="宋体" w:hAnsi="宋体" w:cs="宋体"/>
          <w:sz w:val="24"/>
          <w:szCs w:val="21"/>
          <w:u w:val="single"/>
        </w:rPr>
        <w:t xml:space="preserve">                               </w:t>
      </w:r>
    </w:p>
    <w:p w14:paraId="1231112D">
      <w:pPr>
        <w:spacing w:line="440" w:lineRule="exact"/>
        <w:rPr>
          <w:rFonts w:ascii="宋体" w:hAnsi="宋体" w:cs="宋体"/>
          <w:sz w:val="24"/>
          <w:szCs w:val="21"/>
        </w:rPr>
      </w:pP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 xml:space="preserve"> 性别：</w:t>
      </w:r>
      <w:r>
        <w:rPr>
          <w:rFonts w:hint="eastAsia" w:ascii="宋体" w:hAnsi="宋体" w:cs="宋体"/>
          <w:sz w:val="24"/>
          <w:szCs w:val="21"/>
          <w:u w:val="single"/>
        </w:rPr>
        <w:t xml:space="preserve">         </w:t>
      </w:r>
      <w:r>
        <w:rPr>
          <w:rFonts w:hint="eastAsia" w:ascii="宋体" w:hAnsi="宋体" w:cs="宋体"/>
          <w:sz w:val="24"/>
          <w:szCs w:val="21"/>
        </w:rPr>
        <w:t xml:space="preserve"> 年龄：</w:t>
      </w:r>
      <w:r>
        <w:rPr>
          <w:rFonts w:hint="eastAsia" w:ascii="宋体" w:hAnsi="宋体" w:cs="宋体"/>
          <w:sz w:val="24"/>
          <w:szCs w:val="21"/>
          <w:u w:val="single"/>
        </w:rPr>
        <w:t xml:space="preserve">        </w:t>
      </w:r>
      <w:r>
        <w:rPr>
          <w:rFonts w:hint="eastAsia" w:ascii="宋体" w:hAnsi="宋体" w:cs="宋体"/>
          <w:sz w:val="24"/>
          <w:szCs w:val="21"/>
        </w:rPr>
        <w:t>职务：</w:t>
      </w:r>
      <w:r>
        <w:rPr>
          <w:rFonts w:hint="eastAsia" w:ascii="宋体" w:hAnsi="宋体" w:cs="宋体"/>
          <w:sz w:val="24"/>
          <w:szCs w:val="21"/>
          <w:u w:val="single"/>
        </w:rPr>
        <w:t xml:space="preserve">        </w:t>
      </w:r>
    </w:p>
    <w:p w14:paraId="683CEB1E">
      <w:pPr>
        <w:spacing w:line="440" w:lineRule="exact"/>
        <w:rPr>
          <w:rFonts w:ascii="宋体" w:hAnsi="宋体" w:cs="宋体"/>
          <w:sz w:val="24"/>
          <w:szCs w:val="21"/>
        </w:rPr>
      </w:pPr>
      <w:r>
        <w:rPr>
          <w:rFonts w:hint="eastAsia" w:ascii="宋体" w:hAnsi="宋体" w:cs="宋体"/>
          <w:sz w:val="24"/>
          <w:szCs w:val="21"/>
        </w:rPr>
        <w:t>系</w:t>
      </w:r>
      <w:r>
        <w:rPr>
          <w:rFonts w:hint="eastAsia" w:ascii="宋体" w:hAnsi="宋体" w:cs="宋体"/>
          <w:sz w:val="24"/>
          <w:szCs w:val="21"/>
          <w:u w:val="single"/>
        </w:rPr>
        <w:t xml:space="preserve">                             </w:t>
      </w:r>
      <w:r>
        <w:rPr>
          <w:rFonts w:hint="eastAsia" w:ascii="宋体" w:hAnsi="宋体" w:cs="宋体"/>
          <w:sz w:val="24"/>
          <w:szCs w:val="21"/>
        </w:rPr>
        <w:t xml:space="preserve"> （供应商名称）的法定代表人。</w:t>
      </w:r>
    </w:p>
    <w:p w14:paraId="398274A5">
      <w:pPr>
        <w:spacing w:line="440" w:lineRule="exact"/>
        <w:ind w:firstLine="480" w:firstLineChars="200"/>
        <w:rPr>
          <w:rFonts w:ascii="宋体" w:hAnsi="宋体" w:cs="宋体"/>
          <w:sz w:val="24"/>
          <w:szCs w:val="21"/>
        </w:rPr>
      </w:pPr>
      <w:r>
        <w:rPr>
          <w:rFonts w:hint="eastAsia" w:ascii="宋体" w:hAnsi="宋体" w:cs="宋体"/>
          <w:sz w:val="24"/>
          <w:szCs w:val="21"/>
        </w:rPr>
        <w:t>特此证明。</w:t>
      </w:r>
    </w:p>
    <w:p w14:paraId="6A52199B">
      <w:pPr>
        <w:spacing w:line="440" w:lineRule="exact"/>
        <w:rPr>
          <w:rFonts w:ascii="宋体" w:hAnsi="宋体" w:cs="宋体"/>
          <w:sz w:val="24"/>
          <w:szCs w:val="21"/>
        </w:rPr>
      </w:pPr>
    </w:p>
    <w:p w14:paraId="22B96A57">
      <w:pPr>
        <w:spacing w:line="440" w:lineRule="exact"/>
        <w:rPr>
          <w:rFonts w:ascii="宋体" w:hAnsi="宋体" w:cs="宋体"/>
          <w:sz w:val="24"/>
          <w:szCs w:val="21"/>
        </w:rPr>
      </w:pPr>
    </w:p>
    <w:p w14:paraId="3D156EC1">
      <w:pPr>
        <w:spacing w:line="440" w:lineRule="exact"/>
        <w:jc w:val="right"/>
        <w:rPr>
          <w:rFonts w:ascii="宋体" w:hAnsi="宋体" w:cs="宋体"/>
          <w:sz w:val="24"/>
          <w:szCs w:val="21"/>
        </w:rPr>
      </w:pPr>
      <w:r>
        <w:rPr>
          <w:rFonts w:hint="eastAsia" w:ascii="宋体" w:hAnsi="宋体" w:cs="宋体"/>
          <w:sz w:val="24"/>
          <w:szCs w:val="21"/>
        </w:rPr>
        <w:t xml:space="preserve">                          供应商：</w:t>
      </w:r>
      <w:r>
        <w:rPr>
          <w:rFonts w:hint="eastAsia" w:ascii="宋体" w:hAnsi="宋体" w:cs="宋体"/>
          <w:sz w:val="24"/>
          <w:szCs w:val="21"/>
          <w:u w:val="single"/>
        </w:rPr>
        <w:t xml:space="preserve">                 </w:t>
      </w:r>
      <w:r>
        <w:rPr>
          <w:rFonts w:hint="eastAsia" w:ascii="宋体" w:hAnsi="宋体" w:cs="宋体"/>
          <w:sz w:val="24"/>
          <w:szCs w:val="21"/>
        </w:rPr>
        <w:t>（盖单位公章）</w:t>
      </w:r>
    </w:p>
    <w:p w14:paraId="41347116">
      <w:pPr>
        <w:spacing w:line="440" w:lineRule="exact"/>
        <w:jc w:val="right"/>
        <w:rPr>
          <w:rFonts w:ascii="宋体" w:hAnsi="宋体" w:cs="宋体"/>
          <w:sz w:val="24"/>
          <w:szCs w:val="21"/>
        </w:rPr>
      </w:pPr>
      <w:r>
        <w:rPr>
          <w:rFonts w:hint="eastAsia" w:ascii="宋体" w:hAnsi="宋体" w:cs="宋体"/>
          <w:sz w:val="24"/>
          <w:szCs w:val="21"/>
        </w:rPr>
        <w:t xml:space="preserve">                                   </w:t>
      </w:r>
      <w:r>
        <w:rPr>
          <w:rFonts w:hint="eastAsia" w:ascii="宋体" w:hAnsi="宋体" w:cs="宋体"/>
          <w:sz w:val="24"/>
          <w:szCs w:val="21"/>
          <w:u w:val="single"/>
        </w:rPr>
        <w:t xml:space="preserve">       </w:t>
      </w: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 xml:space="preserve">日 </w:t>
      </w:r>
    </w:p>
    <w:p w14:paraId="5E363057">
      <w:pPr>
        <w:spacing w:line="440" w:lineRule="exact"/>
        <w:rPr>
          <w:rFonts w:ascii="宋体" w:hAnsi="宋体" w:cs="宋体"/>
          <w:szCs w:val="21"/>
        </w:rPr>
      </w:pPr>
    </w:p>
    <w:p w14:paraId="026EB2CC">
      <w:pPr>
        <w:spacing w:line="440" w:lineRule="exact"/>
        <w:rPr>
          <w:rFonts w:ascii="宋体" w:hAnsi="宋体" w:cs="宋体"/>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BFE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vAlign w:val="center"/>
          </w:tcPr>
          <w:p w14:paraId="00F85C7D">
            <w:pPr>
              <w:spacing w:line="440" w:lineRule="exact"/>
              <w:jc w:val="center"/>
              <w:rPr>
                <w:rFonts w:ascii="宋体" w:hAnsi="宋体" w:cs="宋体"/>
                <w:sz w:val="32"/>
                <w:szCs w:val="32"/>
              </w:rPr>
            </w:pPr>
            <w:r>
              <w:rPr>
                <w:rFonts w:hint="eastAsia" w:ascii="宋体" w:hAnsi="宋体" w:cs="宋体"/>
                <w:sz w:val="32"/>
                <w:szCs w:val="32"/>
              </w:rPr>
              <w:t>法定代表人身份证原件扫描件</w:t>
            </w:r>
          </w:p>
          <w:p w14:paraId="7E394CE5">
            <w:pPr>
              <w:spacing w:line="440" w:lineRule="exact"/>
              <w:jc w:val="center"/>
              <w:rPr>
                <w:rFonts w:ascii="宋体" w:hAnsi="宋体" w:cs="宋体"/>
                <w:szCs w:val="21"/>
              </w:rPr>
            </w:pPr>
          </w:p>
        </w:tc>
      </w:tr>
    </w:tbl>
    <w:p w14:paraId="3C62D352">
      <w:pPr>
        <w:spacing w:line="440" w:lineRule="exact"/>
        <w:rPr>
          <w:rFonts w:ascii="宋体" w:hAnsi="宋体" w:cs="宋体"/>
          <w:szCs w:val="21"/>
        </w:rPr>
      </w:pPr>
    </w:p>
    <w:p w14:paraId="5A0617C4">
      <w:pPr>
        <w:spacing w:line="440" w:lineRule="exact"/>
        <w:rPr>
          <w:rFonts w:ascii="宋体" w:hAnsi="宋体" w:cs="宋体"/>
          <w:szCs w:val="21"/>
        </w:rPr>
      </w:pPr>
    </w:p>
    <w:p w14:paraId="630BBEE6">
      <w:pPr>
        <w:spacing w:line="440" w:lineRule="exact"/>
        <w:rPr>
          <w:rFonts w:ascii="宋体" w:hAnsi="宋体" w:cs="宋体"/>
          <w:sz w:val="20"/>
          <w:szCs w:val="20"/>
        </w:rPr>
      </w:pPr>
    </w:p>
    <w:p w14:paraId="6DF658A2">
      <w:pPr>
        <w:spacing w:line="440" w:lineRule="exact"/>
        <w:rPr>
          <w:rFonts w:ascii="宋体" w:hAnsi="宋体" w:cs="宋体"/>
          <w:sz w:val="20"/>
          <w:szCs w:val="20"/>
        </w:rPr>
      </w:pPr>
    </w:p>
    <w:p w14:paraId="6A19C54F">
      <w:pPr>
        <w:spacing w:line="440" w:lineRule="exact"/>
        <w:rPr>
          <w:rFonts w:ascii="宋体" w:hAnsi="宋体" w:cs="宋体"/>
          <w:sz w:val="20"/>
          <w:szCs w:val="20"/>
        </w:rPr>
      </w:pPr>
    </w:p>
    <w:p w14:paraId="76D2AEF6">
      <w:pPr>
        <w:spacing w:line="440" w:lineRule="exact"/>
        <w:rPr>
          <w:rFonts w:ascii="宋体" w:hAnsi="宋体" w:cs="宋体"/>
          <w:sz w:val="20"/>
          <w:szCs w:val="20"/>
        </w:rPr>
      </w:pPr>
    </w:p>
    <w:p w14:paraId="630E0051">
      <w:pPr>
        <w:pStyle w:val="2"/>
        <w:numPr>
          <w:ilvl w:val="0"/>
          <w:numId w:val="0"/>
        </w:numPr>
        <w:jc w:val="center"/>
        <w:rPr>
          <w:rFonts w:ascii="宋体" w:hAnsi="宋体" w:eastAsia="宋体" w:cs="宋体"/>
          <w:sz w:val="28"/>
        </w:rPr>
      </w:pPr>
      <w:bookmarkStart w:id="169" w:name="_Toc10207"/>
      <w:bookmarkStart w:id="170" w:name="_Toc318989765"/>
      <w:bookmarkStart w:id="171" w:name="_Toc509667326"/>
      <w:bookmarkStart w:id="172" w:name="_Toc3989"/>
      <w:bookmarkStart w:id="173" w:name="_Toc202941490"/>
      <w:bookmarkStart w:id="174" w:name="_Toc441791190"/>
      <w:bookmarkStart w:id="175" w:name="_Toc466298162"/>
      <w:r>
        <w:rPr>
          <w:rFonts w:hint="eastAsia" w:ascii="宋体" w:hAnsi="宋体" w:eastAsia="宋体" w:cs="宋体"/>
          <w:sz w:val="28"/>
        </w:rPr>
        <w:t>三、授权委托书</w:t>
      </w:r>
      <w:bookmarkEnd w:id="169"/>
      <w:bookmarkEnd w:id="170"/>
      <w:bookmarkEnd w:id="171"/>
      <w:bookmarkEnd w:id="172"/>
      <w:bookmarkEnd w:id="173"/>
      <w:bookmarkEnd w:id="174"/>
      <w:bookmarkEnd w:id="175"/>
    </w:p>
    <w:p w14:paraId="30C0586A">
      <w:pPr>
        <w:topLinePunct/>
        <w:spacing w:line="440" w:lineRule="exact"/>
        <w:ind w:firstLine="480" w:firstLineChars="200"/>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       </w:t>
      </w:r>
      <w:r>
        <w:rPr>
          <w:rFonts w:hint="eastAsia" w:ascii="宋体" w:hAnsi="宋体" w:cs="宋体"/>
          <w:sz w:val="24"/>
          <w:szCs w:val="21"/>
        </w:rPr>
        <w:t>（姓名）系</w:t>
      </w:r>
      <w:r>
        <w:rPr>
          <w:rFonts w:hint="eastAsia" w:ascii="宋体" w:hAnsi="宋体" w:cs="宋体"/>
          <w:sz w:val="24"/>
          <w:szCs w:val="21"/>
          <w:u w:val="single"/>
        </w:rPr>
        <w:t xml:space="preserve">        </w:t>
      </w:r>
      <w:r>
        <w:rPr>
          <w:rFonts w:hint="eastAsia" w:ascii="宋体" w:hAnsi="宋体" w:cs="宋体"/>
          <w:sz w:val="24"/>
          <w:szCs w:val="21"/>
        </w:rPr>
        <w:t>（供应商名称）的法定代表人，现委托</w:t>
      </w:r>
      <w:r>
        <w:rPr>
          <w:rFonts w:hint="eastAsia" w:ascii="宋体" w:hAnsi="宋体" w:cs="宋体"/>
          <w:sz w:val="24"/>
          <w:szCs w:val="21"/>
          <w:u w:val="single"/>
        </w:rPr>
        <w:t xml:space="preserve">        </w:t>
      </w:r>
      <w:r>
        <w:rPr>
          <w:rFonts w:hint="eastAsia" w:ascii="宋体" w:hAnsi="宋体" w:cs="宋体"/>
          <w:sz w:val="24"/>
          <w:szCs w:val="21"/>
        </w:rPr>
        <w:t>（姓名）为我方代理人。代理人根据授权，以我方名义签署、澄清、说明、补正、递交、撤回、修改</w:t>
      </w:r>
      <w:r>
        <w:rPr>
          <w:rFonts w:hint="eastAsia" w:ascii="宋体" w:hAnsi="宋体" w:cs="宋体"/>
          <w:sz w:val="24"/>
          <w:szCs w:val="21"/>
          <w:u w:val="single"/>
        </w:rPr>
        <w:t xml:space="preserve">                   </w:t>
      </w:r>
      <w:r>
        <w:rPr>
          <w:rFonts w:hint="eastAsia" w:ascii="宋体" w:hAnsi="宋体" w:cs="宋体"/>
          <w:sz w:val="24"/>
          <w:szCs w:val="21"/>
        </w:rPr>
        <w:t>（项目名称）响应文件、签订合同和处理有关事宜，其法律后果由我方承担。</w:t>
      </w:r>
    </w:p>
    <w:p w14:paraId="3F2D56B7">
      <w:pPr>
        <w:spacing w:line="440" w:lineRule="exact"/>
        <w:rPr>
          <w:rFonts w:ascii="宋体" w:hAnsi="宋体" w:cs="宋体"/>
          <w:sz w:val="24"/>
          <w:szCs w:val="21"/>
        </w:rPr>
      </w:pPr>
      <w:r>
        <w:rPr>
          <w:rFonts w:hint="eastAsia" w:ascii="宋体" w:hAnsi="宋体" w:cs="宋体"/>
          <w:sz w:val="24"/>
          <w:szCs w:val="21"/>
        </w:rPr>
        <w:t xml:space="preserve">    委托期限：</w:t>
      </w:r>
      <w:r>
        <w:rPr>
          <w:rFonts w:hint="eastAsia" w:ascii="宋体" w:hAnsi="宋体" w:cs="宋体"/>
          <w:sz w:val="24"/>
          <w:szCs w:val="21"/>
          <w:u w:val="single"/>
        </w:rPr>
        <w:t xml:space="preserve">             </w:t>
      </w:r>
      <w:r>
        <w:rPr>
          <w:rFonts w:hint="eastAsia" w:ascii="宋体" w:hAnsi="宋体" w:cs="宋体"/>
          <w:sz w:val="24"/>
          <w:szCs w:val="21"/>
        </w:rPr>
        <w:t>。</w:t>
      </w:r>
    </w:p>
    <w:p w14:paraId="3E88E524">
      <w:pPr>
        <w:spacing w:line="440" w:lineRule="exact"/>
        <w:ind w:firstLine="480" w:firstLineChars="200"/>
        <w:rPr>
          <w:rFonts w:ascii="宋体" w:hAnsi="宋体" w:cs="宋体"/>
          <w:sz w:val="24"/>
          <w:szCs w:val="21"/>
        </w:rPr>
      </w:pPr>
      <w:r>
        <w:rPr>
          <w:rFonts w:hint="eastAsia" w:ascii="宋体" w:hAnsi="宋体" w:cs="宋体"/>
          <w:sz w:val="24"/>
          <w:szCs w:val="21"/>
        </w:rPr>
        <w:t>代理人无转委托权。</w:t>
      </w:r>
    </w:p>
    <w:p w14:paraId="74FE1FB8">
      <w:pPr>
        <w:spacing w:line="440" w:lineRule="exact"/>
        <w:ind w:firstLine="480" w:firstLineChars="200"/>
        <w:rPr>
          <w:rFonts w:ascii="宋体" w:hAnsi="宋体" w:cs="宋体"/>
          <w:sz w:val="24"/>
          <w:szCs w:val="21"/>
        </w:rPr>
      </w:pPr>
      <w:r>
        <w:rPr>
          <w:rFonts w:hint="eastAsia" w:ascii="宋体" w:hAnsi="宋体" w:cs="宋体"/>
          <w:sz w:val="24"/>
          <w:szCs w:val="21"/>
        </w:rPr>
        <w:t>附：法定代表人身份证及委托代理人身份证原件扫描件</w:t>
      </w:r>
    </w:p>
    <w:p w14:paraId="4B64F556">
      <w:pPr>
        <w:spacing w:line="440" w:lineRule="exact"/>
        <w:rPr>
          <w:rFonts w:ascii="宋体" w:hAnsi="宋体" w:cs="宋体"/>
          <w:sz w:val="24"/>
          <w:szCs w:val="21"/>
        </w:rPr>
      </w:pPr>
    </w:p>
    <w:p w14:paraId="307EF0D1">
      <w:pPr>
        <w:spacing w:line="440" w:lineRule="exact"/>
        <w:rPr>
          <w:rFonts w:ascii="宋体" w:hAnsi="宋体" w:cs="宋体"/>
          <w:sz w:val="24"/>
          <w:szCs w:val="21"/>
        </w:rPr>
      </w:pPr>
    </w:p>
    <w:p w14:paraId="29CB50A4">
      <w:pPr>
        <w:spacing w:line="440" w:lineRule="exact"/>
        <w:rPr>
          <w:rFonts w:ascii="宋体" w:hAnsi="宋体" w:cs="宋体"/>
          <w:sz w:val="24"/>
          <w:szCs w:val="21"/>
        </w:rPr>
      </w:pPr>
    </w:p>
    <w:p w14:paraId="5047F764">
      <w:pPr>
        <w:spacing w:line="440" w:lineRule="exact"/>
        <w:jc w:val="right"/>
        <w:rPr>
          <w:rFonts w:ascii="宋体" w:hAnsi="宋体" w:cs="宋体"/>
          <w:sz w:val="24"/>
          <w:szCs w:val="21"/>
        </w:rPr>
      </w:pPr>
      <w:r>
        <w:rPr>
          <w:rFonts w:hint="eastAsia" w:ascii="宋体" w:hAnsi="宋体" w:cs="宋体"/>
          <w:sz w:val="24"/>
          <w:szCs w:val="21"/>
        </w:rPr>
        <w:t xml:space="preserve">   供应商：</w:t>
      </w:r>
      <w:r>
        <w:rPr>
          <w:rFonts w:hint="eastAsia" w:ascii="宋体" w:hAnsi="宋体" w:cs="宋体"/>
          <w:sz w:val="24"/>
          <w:szCs w:val="21"/>
          <w:u w:val="single"/>
        </w:rPr>
        <w:t xml:space="preserve">                         </w:t>
      </w:r>
      <w:r>
        <w:rPr>
          <w:rFonts w:hint="eastAsia" w:ascii="宋体" w:hAnsi="宋体" w:cs="宋体"/>
          <w:sz w:val="24"/>
          <w:szCs w:val="21"/>
        </w:rPr>
        <w:t>（盖单位公章）</w:t>
      </w:r>
    </w:p>
    <w:p w14:paraId="76DEA771">
      <w:pPr>
        <w:spacing w:line="440" w:lineRule="exact"/>
        <w:jc w:val="right"/>
        <w:rPr>
          <w:rFonts w:ascii="宋体" w:hAnsi="宋体" w:cs="宋体"/>
          <w:sz w:val="24"/>
          <w:szCs w:val="21"/>
        </w:rPr>
      </w:pPr>
      <w:r>
        <w:rPr>
          <w:rFonts w:hint="eastAsia" w:ascii="宋体" w:hAnsi="宋体" w:cs="宋体"/>
          <w:sz w:val="24"/>
          <w:szCs w:val="21"/>
        </w:rPr>
        <w:t>法定代表人：</w:t>
      </w:r>
      <w:r>
        <w:rPr>
          <w:rFonts w:hint="eastAsia" w:ascii="宋体" w:hAnsi="宋体" w:cs="宋体"/>
          <w:sz w:val="24"/>
          <w:szCs w:val="21"/>
          <w:u w:val="single"/>
        </w:rPr>
        <w:t xml:space="preserve">                     </w:t>
      </w:r>
      <w:r>
        <w:rPr>
          <w:rFonts w:hint="eastAsia" w:ascii="宋体" w:hAnsi="宋体" w:cs="宋体"/>
          <w:sz w:val="24"/>
          <w:szCs w:val="21"/>
        </w:rPr>
        <w:t>（签字或盖章）</w:t>
      </w:r>
    </w:p>
    <w:p w14:paraId="6202A356">
      <w:pPr>
        <w:spacing w:line="440" w:lineRule="exact"/>
        <w:jc w:val="right"/>
        <w:rPr>
          <w:rFonts w:ascii="宋体" w:hAnsi="宋体" w:cs="宋体"/>
          <w:sz w:val="24"/>
          <w:szCs w:val="21"/>
        </w:rPr>
      </w:pPr>
      <w:r>
        <w:rPr>
          <w:rFonts w:hint="eastAsia" w:ascii="宋体" w:hAnsi="宋体" w:cs="宋体"/>
          <w:sz w:val="24"/>
          <w:szCs w:val="21"/>
        </w:rPr>
        <w:t xml:space="preserve"> 身份证号码：</w:t>
      </w:r>
      <w:r>
        <w:rPr>
          <w:rFonts w:hint="eastAsia" w:ascii="宋体" w:hAnsi="宋体" w:cs="宋体"/>
          <w:sz w:val="24"/>
          <w:szCs w:val="21"/>
          <w:u w:val="single"/>
        </w:rPr>
        <w:t xml:space="preserve">                                  </w:t>
      </w:r>
      <w:r>
        <w:rPr>
          <w:rFonts w:hint="eastAsia" w:ascii="宋体" w:hAnsi="宋体" w:cs="宋体"/>
          <w:color w:val="CCE8CF"/>
          <w:sz w:val="24"/>
          <w:szCs w:val="21"/>
        </w:rPr>
        <w:t>.</w:t>
      </w:r>
    </w:p>
    <w:p w14:paraId="5A6A8107">
      <w:pPr>
        <w:spacing w:line="440" w:lineRule="exact"/>
        <w:jc w:val="right"/>
        <w:rPr>
          <w:rFonts w:ascii="宋体" w:hAnsi="宋体" w:cs="宋体"/>
          <w:sz w:val="24"/>
          <w:szCs w:val="21"/>
        </w:rPr>
      </w:pPr>
      <w:r>
        <w:rPr>
          <w:rFonts w:hint="eastAsia" w:ascii="宋体" w:hAnsi="宋体" w:cs="宋体"/>
          <w:sz w:val="24"/>
          <w:szCs w:val="21"/>
        </w:rPr>
        <w:t>委托代理人：</w:t>
      </w:r>
      <w:r>
        <w:rPr>
          <w:rFonts w:hint="eastAsia" w:ascii="宋体" w:hAnsi="宋体" w:cs="宋体"/>
          <w:sz w:val="24"/>
          <w:szCs w:val="21"/>
          <w:u w:val="single"/>
        </w:rPr>
        <w:t xml:space="preserve">                           </w:t>
      </w:r>
      <w:r>
        <w:rPr>
          <w:rFonts w:hint="eastAsia" w:ascii="宋体" w:hAnsi="宋体" w:cs="宋体"/>
          <w:sz w:val="24"/>
          <w:szCs w:val="21"/>
        </w:rPr>
        <w:t>（签字）</w:t>
      </w:r>
    </w:p>
    <w:p w14:paraId="0D13E9FE">
      <w:pPr>
        <w:spacing w:line="440" w:lineRule="exact"/>
        <w:ind w:firstLine="3240" w:firstLineChars="1350"/>
        <w:rPr>
          <w:rFonts w:ascii="宋体" w:hAnsi="宋体" w:cs="宋体"/>
          <w:sz w:val="24"/>
          <w:szCs w:val="21"/>
          <w:u w:val="single"/>
        </w:rPr>
      </w:pPr>
      <w:r>
        <w:rPr>
          <w:rFonts w:hint="eastAsia" w:ascii="宋体" w:hAnsi="宋体" w:cs="宋体"/>
          <w:sz w:val="24"/>
          <w:szCs w:val="21"/>
        </w:rPr>
        <w:t>身份证号码：</w:t>
      </w:r>
      <w:r>
        <w:rPr>
          <w:rFonts w:hint="eastAsia" w:ascii="宋体" w:hAnsi="宋体" w:cs="宋体"/>
          <w:sz w:val="24"/>
          <w:szCs w:val="21"/>
          <w:u w:val="single"/>
        </w:rPr>
        <w:t xml:space="preserve">                                    </w:t>
      </w:r>
    </w:p>
    <w:p w14:paraId="450E8C62">
      <w:pPr>
        <w:spacing w:line="440" w:lineRule="exact"/>
        <w:ind w:firstLine="3240" w:firstLineChars="1350"/>
        <w:rPr>
          <w:rFonts w:ascii="宋体" w:hAnsi="宋体" w:cs="宋体"/>
          <w:sz w:val="24"/>
          <w:szCs w:val="21"/>
        </w:rPr>
      </w:pPr>
      <w:r>
        <w:rPr>
          <w:rFonts w:hint="eastAsia" w:ascii="宋体" w:hAnsi="宋体" w:cs="宋体"/>
          <w:sz w:val="24"/>
          <w:szCs w:val="21"/>
        </w:rPr>
        <w:t>联系电话：</w:t>
      </w:r>
      <w:r>
        <w:rPr>
          <w:rFonts w:hint="eastAsia" w:ascii="宋体" w:hAnsi="宋体" w:cs="宋体"/>
          <w:sz w:val="24"/>
          <w:szCs w:val="21"/>
          <w:u w:val="single"/>
        </w:rPr>
        <w:t xml:space="preserve">                                        </w:t>
      </w:r>
    </w:p>
    <w:p w14:paraId="30AEE249">
      <w:pPr>
        <w:spacing w:line="440" w:lineRule="exact"/>
        <w:jc w:val="right"/>
        <w:rPr>
          <w:rFonts w:ascii="宋体" w:hAnsi="宋体" w:cs="宋体"/>
          <w:sz w:val="24"/>
          <w:szCs w:val="21"/>
        </w:rPr>
      </w:pPr>
      <w:r>
        <w:rPr>
          <w:rFonts w:hint="eastAsia" w:ascii="宋体" w:hAnsi="宋体" w:cs="宋体"/>
          <w:sz w:val="24"/>
          <w:szCs w:val="21"/>
          <w:u w:val="single"/>
        </w:rPr>
        <w:t xml:space="preserve">       </w:t>
      </w:r>
      <w:r>
        <w:rPr>
          <w:rFonts w:hint="eastAsia" w:ascii="宋体" w:hAnsi="宋体" w:cs="宋体"/>
          <w:sz w:val="24"/>
          <w:szCs w:val="21"/>
        </w:rPr>
        <w:t>年</w:t>
      </w:r>
      <w:r>
        <w:rPr>
          <w:rFonts w:hint="eastAsia" w:ascii="宋体" w:hAnsi="宋体" w:cs="宋体"/>
          <w:sz w:val="24"/>
          <w:szCs w:val="21"/>
          <w:u w:val="single"/>
        </w:rPr>
        <w:t xml:space="preserve">       </w:t>
      </w:r>
      <w:r>
        <w:rPr>
          <w:rFonts w:hint="eastAsia" w:ascii="宋体" w:hAnsi="宋体" w:cs="宋体"/>
          <w:sz w:val="24"/>
          <w:szCs w:val="21"/>
        </w:rPr>
        <w:t>月</w:t>
      </w:r>
      <w:r>
        <w:rPr>
          <w:rFonts w:hint="eastAsia" w:ascii="宋体" w:hAnsi="宋体" w:cs="宋体"/>
          <w:sz w:val="24"/>
          <w:szCs w:val="21"/>
          <w:u w:val="single"/>
        </w:rPr>
        <w:t xml:space="preserve">       </w:t>
      </w:r>
      <w:r>
        <w:rPr>
          <w:rFonts w:hint="eastAsia" w:ascii="宋体" w:hAnsi="宋体" w:cs="宋体"/>
          <w:sz w:val="24"/>
          <w:szCs w:val="21"/>
        </w:rPr>
        <w:t>日</w:t>
      </w:r>
    </w:p>
    <w:p w14:paraId="5F655168">
      <w:pPr>
        <w:spacing w:line="440" w:lineRule="exact"/>
        <w:rPr>
          <w:rFonts w:ascii="宋体" w:hAnsi="宋体" w:cs="宋体"/>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14:paraId="799F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600" w:type="dxa"/>
            <w:vAlign w:val="center"/>
          </w:tcPr>
          <w:p w14:paraId="61C42E84">
            <w:pPr>
              <w:spacing w:line="440" w:lineRule="exact"/>
              <w:jc w:val="center"/>
              <w:rPr>
                <w:rFonts w:ascii="宋体" w:hAnsi="宋体" w:cs="宋体"/>
                <w:szCs w:val="21"/>
              </w:rPr>
            </w:pPr>
            <w:r>
              <w:rPr>
                <w:rFonts w:hint="eastAsia" w:ascii="宋体" w:hAnsi="宋体" w:cs="宋体"/>
                <w:sz w:val="32"/>
                <w:szCs w:val="32"/>
              </w:rPr>
              <w:t>法定代表人身份证原件扫描件</w:t>
            </w:r>
          </w:p>
        </w:tc>
      </w:tr>
      <w:tr w14:paraId="310C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8600" w:type="dxa"/>
            <w:vAlign w:val="center"/>
          </w:tcPr>
          <w:p w14:paraId="41B15F82">
            <w:pPr>
              <w:spacing w:line="440" w:lineRule="exact"/>
              <w:jc w:val="center"/>
              <w:rPr>
                <w:rFonts w:ascii="宋体" w:hAnsi="宋体" w:cs="宋体"/>
                <w:sz w:val="32"/>
                <w:szCs w:val="32"/>
              </w:rPr>
            </w:pPr>
            <w:r>
              <w:rPr>
                <w:rFonts w:hint="eastAsia" w:ascii="宋体" w:hAnsi="宋体" w:cs="宋体"/>
                <w:sz w:val="32"/>
                <w:szCs w:val="32"/>
              </w:rPr>
              <w:t>委托代理人身份证原件扫描件</w:t>
            </w:r>
          </w:p>
          <w:p w14:paraId="3836D95C">
            <w:pPr>
              <w:spacing w:line="440" w:lineRule="exact"/>
              <w:jc w:val="center"/>
              <w:rPr>
                <w:rFonts w:ascii="宋体" w:hAnsi="宋体" w:cs="宋体"/>
                <w:szCs w:val="21"/>
              </w:rPr>
            </w:pPr>
          </w:p>
        </w:tc>
      </w:tr>
    </w:tbl>
    <w:p w14:paraId="6DAD7760">
      <w:pPr>
        <w:jc w:val="center"/>
        <w:rPr>
          <w:rFonts w:ascii="宋体" w:hAnsi="宋体" w:cs="宋体"/>
          <w:szCs w:val="21"/>
        </w:rPr>
      </w:pPr>
      <w:r>
        <w:rPr>
          <w:rFonts w:hint="eastAsia" w:ascii="宋体" w:hAnsi="宋体" w:cs="宋体"/>
          <w:b/>
          <w:bCs/>
          <w:sz w:val="28"/>
        </w:rPr>
        <w:br w:type="page"/>
      </w:r>
    </w:p>
    <w:p w14:paraId="01D4A909">
      <w:pPr>
        <w:jc w:val="center"/>
        <w:rPr>
          <w:rFonts w:ascii="宋体" w:hAnsi="宋体" w:cs="宋体"/>
          <w:szCs w:val="21"/>
        </w:rPr>
      </w:pPr>
    </w:p>
    <w:p w14:paraId="615AA4CD">
      <w:pPr>
        <w:pStyle w:val="2"/>
        <w:numPr>
          <w:ilvl w:val="0"/>
          <w:numId w:val="0"/>
        </w:numPr>
        <w:jc w:val="center"/>
        <w:rPr>
          <w:rFonts w:ascii="宋体" w:hAnsi="宋体" w:eastAsia="宋体" w:cs="宋体"/>
          <w:sz w:val="28"/>
        </w:rPr>
      </w:pPr>
      <w:bookmarkStart w:id="176" w:name="_Toc475624458"/>
      <w:bookmarkStart w:id="177" w:name="_Toc509667331"/>
      <w:bookmarkStart w:id="178" w:name="_Toc13381"/>
      <w:bookmarkStart w:id="179" w:name="_Toc4488"/>
      <w:bookmarkStart w:id="180" w:name="_Toc18821"/>
      <w:r>
        <w:rPr>
          <w:rFonts w:hint="eastAsia" w:ascii="宋体" w:hAnsi="宋体" w:eastAsia="宋体" w:cs="宋体"/>
          <w:sz w:val="28"/>
          <w:lang w:val="en-US" w:eastAsia="zh-CN"/>
        </w:rPr>
        <w:t>四</w:t>
      </w:r>
      <w:r>
        <w:rPr>
          <w:rFonts w:hint="eastAsia" w:ascii="宋体" w:hAnsi="宋体" w:eastAsia="宋体" w:cs="宋体"/>
          <w:sz w:val="28"/>
        </w:rPr>
        <w:t>、资格审查资料</w:t>
      </w:r>
      <w:bookmarkEnd w:id="176"/>
      <w:bookmarkEnd w:id="177"/>
      <w:bookmarkEnd w:id="178"/>
      <w:bookmarkEnd w:id="179"/>
      <w:bookmarkEnd w:id="180"/>
    </w:p>
    <w:p w14:paraId="6BEBCC32">
      <w:pPr>
        <w:pStyle w:val="63"/>
        <w:jc w:val="center"/>
        <w:outlineLvl w:val="2"/>
        <w:rPr>
          <w:rFonts w:ascii="宋体" w:hAnsi="宋体" w:eastAsia="宋体"/>
          <w:b/>
          <w:bCs/>
          <w:szCs w:val="21"/>
        </w:rPr>
      </w:pPr>
      <w:bookmarkStart w:id="181" w:name="_Toc509667332"/>
      <w:bookmarkStart w:id="182" w:name="_Toc490667901"/>
      <w:bookmarkStart w:id="183" w:name="_Toc475624459"/>
      <w:bookmarkStart w:id="184" w:name="_Toc475341817"/>
      <w:r>
        <w:rPr>
          <w:rFonts w:hint="eastAsia" w:ascii="宋体" w:hAnsi="宋体" w:eastAsia="宋体"/>
          <w:b/>
          <w:bCs/>
          <w:szCs w:val="21"/>
          <w:lang w:val="en-US" w:eastAsia="zh-CN"/>
        </w:rPr>
        <w:t>（一）</w:t>
      </w:r>
      <w:r>
        <w:rPr>
          <w:rFonts w:hint="eastAsia" w:ascii="宋体" w:hAnsi="宋体" w:eastAsia="宋体"/>
          <w:b/>
          <w:bCs/>
          <w:szCs w:val="21"/>
        </w:rPr>
        <w:t>供应商基本情况表</w:t>
      </w:r>
      <w:bookmarkEnd w:id="181"/>
      <w:bookmarkEnd w:id="182"/>
      <w:bookmarkEnd w:id="183"/>
      <w:bookmarkEnd w:id="184"/>
    </w:p>
    <w:tbl>
      <w:tblPr>
        <w:tblStyle w:val="21"/>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113"/>
        <w:gridCol w:w="2731"/>
        <w:gridCol w:w="1366"/>
        <w:gridCol w:w="2613"/>
      </w:tblGrid>
      <w:tr w14:paraId="3D58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60092A92">
            <w:pPr>
              <w:jc w:val="center"/>
              <w:rPr>
                <w:rFonts w:ascii="宋体" w:hAnsi="宋体" w:cs="宋体"/>
                <w:sz w:val="22"/>
                <w:szCs w:val="21"/>
              </w:rPr>
            </w:pPr>
            <w:r>
              <w:rPr>
                <w:rFonts w:hint="eastAsia" w:ascii="宋体" w:hAnsi="宋体" w:cs="宋体"/>
                <w:sz w:val="22"/>
                <w:szCs w:val="21"/>
              </w:rPr>
              <w:t>供应商名称</w:t>
            </w:r>
          </w:p>
        </w:tc>
        <w:tc>
          <w:tcPr>
            <w:tcW w:w="7823" w:type="dxa"/>
            <w:gridSpan w:val="4"/>
            <w:vAlign w:val="center"/>
          </w:tcPr>
          <w:p w14:paraId="76A2D03A">
            <w:pPr>
              <w:jc w:val="center"/>
              <w:rPr>
                <w:rFonts w:ascii="宋体" w:hAnsi="宋体" w:cs="宋体"/>
                <w:sz w:val="22"/>
                <w:szCs w:val="21"/>
              </w:rPr>
            </w:pPr>
          </w:p>
        </w:tc>
      </w:tr>
      <w:tr w14:paraId="51D1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2D5AAF78">
            <w:pPr>
              <w:jc w:val="center"/>
              <w:rPr>
                <w:rFonts w:ascii="宋体" w:hAnsi="宋体" w:cs="宋体"/>
                <w:sz w:val="22"/>
                <w:szCs w:val="21"/>
              </w:rPr>
            </w:pPr>
            <w:r>
              <w:rPr>
                <w:rFonts w:hint="eastAsia" w:ascii="宋体" w:hAnsi="宋体" w:cs="宋体"/>
                <w:sz w:val="22"/>
                <w:szCs w:val="21"/>
              </w:rPr>
              <w:t>注册地址</w:t>
            </w:r>
          </w:p>
        </w:tc>
        <w:tc>
          <w:tcPr>
            <w:tcW w:w="3844" w:type="dxa"/>
            <w:gridSpan w:val="2"/>
            <w:vAlign w:val="center"/>
          </w:tcPr>
          <w:p w14:paraId="6F856CF6">
            <w:pPr>
              <w:jc w:val="center"/>
              <w:rPr>
                <w:rFonts w:ascii="宋体" w:hAnsi="宋体" w:cs="宋体"/>
                <w:sz w:val="22"/>
                <w:szCs w:val="21"/>
              </w:rPr>
            </w:pPr>
          </w:p>
        </w:tc>
        <w:tc>
          <w:tcPr>
            <w:tcW w:w="1366" w:type="dxa"/>
            <w:vAlign w:val="center"/>
          </w:tcPr>
          <w:p w14:paraId="47634CED">
            <w:pPr>
              <w:jc w:val="center"/>
              <w:rPr>
                <w:rFonts w:ascii="宋体" w:hAnsi="宋体" w:cs="宋体"/>
                <w:sz w:val="22"/>
                <w:szCs w:val="21"/>
              </w:rPr>
            </w:pPr>
            <w:r>
              <w:rPr>
                <w:rFonts w:hint="eastAsia" w:ascii="宋体" w:hAnsi="宋体" w:cs="宋体"/>
                <w:sz w:val="22"/>
                <w:szCs w:val="21"/>
              </w:rPr>
              <w:t>邮政编码</w:t>
            </w:r>
          </w:p>
        </w:tc>
        <w:tc>
          <w:tcPr>
            <w:tcW w:w="2613" w:type="dxa"/>
            <w:vAlign w:val="center"/>
          </w:tcPr>
          <w:p w14:paraId="0EF99C94">
            <w:pPr>
              <w:jc w:val="center"/>
              <w:rPr>
                <w:rFonts w:ascii="宋体" w:hAnsi="宋体" w:cs="宋体"/>
                <w:sz w:val="22"/>
                <w:szCs w:val="21"/>
              </w:rPr>
            </w:pPr>
          </w:p>
        </w:tc>
      </w:tr>
      <w:tr w14:paraId="0FCD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Merge w:val="restart"/>
            <w:vAlign w:val="center"/>
          </w:tcPr>
          <w:p w14:paraId="575EF5FB">
            <w:pPr>
              <w:jc w:val="center"/>
              <w:rPr>
                <w:rFonts w:ascii="宋体" w:hAnsi="宋体" w:cs="宋体"/>
                <w:sz w:val="22"/>
                <w:szCs w:val="21"/>
              </w:rPr>
            </w:pPr>
            <w:r>
              <w:rPr>
                <w:rFonts w:hint="eastAsia" w:ascii="宋体" w:hAnsi="宋体" w:cs="宋体"/>
                <w:sz w:val="22"/>
                <w:szCs w:val="21"/>
              </w:rPr>
              <w:t>联系方式</w:t>
            </w:r>
          </w:p>
        </w:tc>
        <w:tc>
          <w:tcPr>
            <w:tcW w:w="1113" w:type="dxa"/>
            <w:vAlign w:val="center"/>
          </w:tcPr>
          <w:p w14:paraId="1C80E27F">
            <w:pPr>
              <w:jc w:val="center"/>
              <w:rPr>
                <w:rFonts w:ascii="宋体" w:hAnsi="宋体" w:cs="宋体"/>
                <w:sz w:val="22"/>
                <w:szCs w:val="21"/>
              </w:rPr>
            </w:pPr>
            <w:r>
              <w:rPr>
                <w:rFonts w:hint="eastAsia" w:ascii="宋体" w:hAnsi="宋体" w:cs="宋体"/>
                <w:sz w:val="22"/>
                <w:szCs w:val="21"/>
              </w:rPr>
              <w:t>联系人</w:t>
            </w:r>
          </w:p>
        </w:tc>
        <w:tc>
          <w:tcPr>
            <w:tcW w:w="2731" w:type="dxa"/>
            <w:vAlign w:val="center"/>
          </w:tcPr>
          <w:p w14:paraId="76CA0FBA">
            <w:pPr>
              <w:jc w:val="center"/>
              <w:rPr>
                <w:rFonts w:ascii="宋体" w:hAnsi="宋体" w:cs="宋体"/>
                <w:sz w:val="22"/>
                <w:szCs w:val="21"/>
              </w:rPr>
            </w:pPr>
          </w:p>
        </w:tc>
        <w:tc>
          <w:tcPr>
            <w:tcW w:w="1366" w:type="dxa"/>
            <w:vAlign w:val="center"/>
          </w:tcPr>
          <w:p w14:paraId="2A75FA21">
            <w:pPr>
              <w:jc w:val="center"/>
              <w:rPr>
                <w:rFonts w:ascii="宋体" w:hAnsi="宋体" w:cs="宋体"/>
                <w:sz w:val="22"/>
                <w:szCs w:val="21"/>
              </w:rPr>
            </w:pPr>
            <w:r>
              <w:rPr>
                <w:rFonts w:hint="eastAsia" w:ascii="宋体" w:hAnsi="宋体" w:cs="宋体"/>
                <w:sz w:val="22"/>
                <w:szCs w:val="21"/>
              </w:rPr>
              <w:t>电  话</w:t>
            </w:r>
          </w:p>
        </w:tc>
        <w:tc>
          <w:tcPr>
            <w:tcW w:w="2613" w:type="dxa"/>
            <w:vAlign w:val="center"/>
          </w:tcPr>
          <w:p w14:paraId="06FF1913">
            <w:pPr>
              <w:jc w:val="center"/>
              <w:rPr>
                <w:rFonts w:ascii="宋体" w:hAnsi="宋体" w:cs="宋体"/>
                <w:sz w:val="22"/>
                <w:szCs w:val="21"/>
              </w:rPr>
            </w:pPr>
          </w:p>
        </w:tc>
      </w:tr>
      <w:tr w14:paraId="3D94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Merge w:val="continue"/>
            <w:vAlign w:val="center"/>
          </w:tcPr>
          <w:p w14:paraId="3012DAF2">
            <w:pPr>
              <w:jc w:val="center"/>
              <w:rPr>
                <w:rFonts w:ascii="宋体" w:hAnsi="宋体" w:cs="宋体"/>
                <w:sz w:val="22"/>
                <w:szCs w:val="21"/>
              </w:rPr>
            </w:pPr>
          </w:p>
        </w:tc>
        <w:tc>
          <w:tcPr>
            <w:tcW w:w="1113" w:type="dxa"/>
            <w:vAlign w:val="center"/>
          </w:tcPr>
          <w:p w14:paraId="3BE0DD23">
            <w:pPr>
              <w:jc w:val="center"/>
              <w:rPr>
                <w:rFonts w:ascii="宋体" w:hAnsi="宋体" w:cs="宋体"/>
                <w:sz w:val="22"/>
                <w:szCs w:val="21"/>
              </w:rPr>
            </w:pPr>
            <w:r>
              <w:rPr>
                <w:rFonts w:hint="eastAsia" w:ascii="宋体" w:hAnsi="宋体" w:cs="宋体"/>
                <w:sz w:val="22"/>
                <w:szCs w:val="21"/>
              </w:rPr>
              <w:t>传  真</w:t>
            </w:r>
          </w:p>
        </w:tc>
        <w:tc>
          <w:tcPr>
            <w:tcW w:w="2731" w:type="dxa"/>
            <w:vAlign w:val="center"/>
          </w:tcPr>
          <w:p w14:paraId="4953C503">
            <w:pPr>
              <w:jc w:val="center"/>
              <w:rPr>
                <w:rFonts w:ascii="宋体" w:hAnsi="宋体" w:cs="宋体"/>
                <w:sz w:val="22"/>
                <w:szCs w:val="21"/>
              </w:rPr>
            </w:pPr>
          </w:p>
        </w:tc>
        <w:tc>
          <w:tcPr>
            <w:tcW w:w="1366" w:type="dxa"/>
            <w:vAlign w:val="center"/>
          </w:tcPr>
          <w:p w14:paraId="4DEE1BD0">
            <w:pPr>
              <w:jc w:val="center"/>
              <w:rPr>
                <w:rFonts w:ascii="宋体" w:hAnsi="宋体" w:cs="宋体"/>
                <w:sz w:val="22"/>
                <w:szCs w:val="21"/>
              </w:rPr>
            </w:pPr>
            <w:r>
              <w:rPr>
                <w:rFonts w:hint="eastAsia" w:ascii="宋体" w:hAnsi="宋体" w:cs="宋体"/>
                <w:sz w:val="22"/>
                <w:szCs w:val="21"/>
              </w:rPr>
              <w:t>网  址</w:t>
            </w:r>
          </w:p>
        </w:tc>
        <w:tc>
          <w:tcPr>
            <w:tcW w:w="2613" w:type="dxa"/>
            <w:vAlign w:val="center"/>
          </w:tcPr>
          <w:p w14:paraId="0B92509C">
            <w:pPr>
              <w:jc w:val="center"/>
              <w:rPr>
                <w:rFonts w:ascii="宋体" w:hAnsi="宋体" w:cs="宋体"/>
                <w:sz w:val="22"/>
                <w:szCs w:val="21"/>
              </w:rPr>
            </w:pPr>
          </w:p>
        </w:tc>
      </w:tr>
      <w:tr w14:paraId="5617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7453DE98">
            <w:pPr>
              <w:jc w:val="center"/>
              <w:rPr>
                <w:rFonts w:ascii="宋体" w:hAnsi="宋体" w:cs="宋体"/>
                <w:sz w:val="22"/>
                <w:szCs w:val="21"/>
              </w:rPr>
            </w:pPr>
            <w:r>
              <w:rPr>
                <w:rFonts w:hint="eastAsia" w:ascii="宋体" w:hAnsi="宋体" w:cs="宋体"/>
                <w:sz w:val="22"/>
                <w:szCs w:val="21"/>
              </w:rPr>
              <w:t>法定代表人</w:t>
            </w:r>
          </w:p>
        </w:tc>
        <w:tc>
          <w:tcPr>
            <w:tcW w:w="1113" w:type="dxa"/>
            <w:vAlign w:val="center"/>
          </w:tcPr>
          <w:p w14:paraId="2AD2A7F3">
            <w:pPr>
              <w:jc w:val="center"/>
              <w:rPr>
                <w:rFonts w:ascii="宋体" w:hAnsi="宋体" w:cs="宋体"/>
                <w:sz w:val="22"/>
                <w:szCs w:val="21"/>
              </w:rPr>
            </w:pPr>
            <w:r>
              <w:rPr>
                <w:rFonts w:hint="eastAsia" w:ascii="宋体" w:hAnsi="宋体" w:cs="宋体"/>
                <w:sz w:val="22"/>
                <w:szCs w:val="21"/>
              </w:rPr>
              <w:t>姓  名</w:t>
            </w:r>
          </w:p>
        </w:tc>
        <w:tc>
          <w:tcPr>
            <w:tcW w:w="2731" w:type="dxa"/>
            <w:vAlign w:val="center"/>
          </w:tcPr>
          <w:p w14:paraId="4FEFAA2E">
            <w:pPr>
              <w:jc w:val="center"/>
              <w:rPr>
                <w:rFonts w:ascii="宋体" w:hAnsi="宋体" w:cs="宋体"/>
                <w:sz w:val="22"/>
                <w:szCs w:val="21"/>
              </w:rPr>
            </w:pPr>
          </w:p>
        </w:tc>
        <w:tc>
          <w:tcPr>
            <w:tcW w:w="1366" w:type="dxa"/>
            <w:vAlign w:val="center"/>
          </w:tcPr>
          <w:p w14:paraId="3E911749">
            <w:pPr>
              <w:jc w:val="center"/>
              <w:rPr>
                <w:rFonts w:ascii="宋体" w:hAnsi="宋体" w:cs="宋体"/>
                <w:sz w:val="22"/>
                <w:szCs w:val="21"/>
              </w:rPr>
            </w:pPr>
            <w:r>
              <w:rPr>
                <w:rFonts w:hint="eastAsia" w:ascii="宋体" w:hAnsi="宋体" w:cs="宋体"/>
                <w:sz w:val="22"/>
                <w:szCs w:val="21"/>
              </w:rPr>
              <w:t>电  话</w:t>
            </w:r>
          </w:p>
        </w:tc>
        <w:tc>
          <w:tcPr>
            <w:tcW w:w="2613" w:type="dxa"/>
            <w:vAlign w:val="center"/>
          </w:tcPr>
          <w:p w14:paraId="1902795C">
            <w:pPr>
              <w:jc w:val="center"/>
              <w:rPr>
                <w:rFonts w:ascii="宋体" w:hAnsi="宋体" w:cs="宋体"/>
                <w:sz w:val="22"/>
                <w:szCs w:val="21"/>
              </w:rPr>
            </w:pPr>
          </w:p>
        </w:tc>
      </w:tr>
      <w:tr w14:paraId="0296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74C034AE">
            <w:pPr>
              <w:jc w:val="center"/>
              <w:rPr>
                <w:rFonts w:ascii="宋体" w:hAnsi="宋体" w:cs="宋体"/>
                <w:sz w:val="22"/>
                <w:szCs w:val="21"/>
              </w:rPr>
            </w:pPr>
            <w:r>
              <w:rPr>
                <w:rFonts w:hint="eastAsia" w:ascii="宋体" w:hAnsi="宋体" w:cs="宋体"/>
                <w:sz w:val="22"/>
                <w:szCs w:val="21"/>
              </w:rPr>
              <w:t>成立时间</w:t>
            </w:r>
          </w:p>
        </w:tc>
        <w:tc>
          <w:tcPr>
            <w:tcW w:w="3844" w:type="dxa"/>
            <w:gridSpan w:val="2"/>
            <w:vAlign w:val="center"/>
          </w:tcPr>
          <w:p w14:paraId="6AA874F6">
            <w:pPr>
              <w:jc w:val="center"/>
              <w:rPr>
                <w:rFonts w:ascii="宋体" w:hAnsi="宋体" w:cs="宋体"/>
                <w:sz w:val="22"/>
                <w:szCs w:val="21"/>
              </w:rPr>
            </w:pPr>
          </w:p>
        </w:tc>
        <w:tc>
          <w:tcPr>
            <w:tcW w:w="3979" w:type="dxa"/>
            <w:gridSpan w:val="2"/>
            <w:vAlign w:val="center"/>
          </w:tcPr>
          <w:p w14:paraId="0FE35070">
            <w:pPr>
              <w:jc w:val="left"/>
              <w:rPr>
                <w:rFonts w:ascii="宋体" w:hAnsi="宋体" w:cs="宋体"/>
                <w:sz w:val="22"/>
                <w:szCs w:val="21"/>
              </w:rPr>
            </w:pPr>
            <w:r>
              <w:rPr>
                <w:rFonts w:hint="eastAsia" w:ascii="宋体" w:hAnsi="宋体" w:cs="宋体"/>
                <w:sz w:val="22"/>
                <w:szCs w:val="21"/>
              </w:rPr>
              <w:t>员工总人数：</w:t>
            </w:r>
          </w:p>
        </w:tc>
      </w:tr>
      <w:tr w14:paraId="69D1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7BDE8372">
            <w:pPr>
              <w:jc w:val="center"/>
              <w:rPr>
                <w:rFonts w:ascii="宋体" w:hAnsi="宋体" w:cs="宋体"/>
                <w:sz w:val="22"/>
                <w:szCs w:val="21"/>
              </w:rPr>
            </w:pPr>
            <w:r>
              <w:rPr>
                <w:rFonts w:hint="eastAsia" w:ascii="宋体" w:hAnsi="宋体" w:cs="宋体"/>
                <w:sz w:val="22"/>
                <w:szCs w:val="21"/>
              </w:rPr>
              <w:t>营业执照号</w:t>
            </w:r>
          </w:p>
        </w:tc>
        <w:tc>
          <w:tcPr>
            <w:tcW w:w="7823" w:type="dxa"/>
            <w:gridSpan w:val="4"/>
            <w:vAlign w:val="center"/>
          </w:tcPr>
          <w:p w14:paraId="1206796F">
            <w:pPr>
              <w:jc w:val="center"/>
              <w:rPr>
                <w:rFonts w:ascii="宋体" w:hAnsi="宋体" w:cs="宋体"/>
                <w:sz w:val="22"/>
                <w:szCs w:val="21"/>
              </w:rPr>
            </w:pPr>
          </w:p>
        </w:tc>
      </w:tr>
      <w:tr w14:paraId="2F3B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6D1CCB94">
            <w:pPr>
              <w:jc w:val="center"/>
              <w:rPr>
                <w:rFonts w:ascii="宋体" w:hAnsi="宋体" w:cs="宋体"/>
                <w:sz w:val="22"/>
                <w:szCs w:val="21"/>
              </w:rPr>
            </w:pPr>
            <w:r>
              <w:rPr>
                <w:rFonts w:hint="eastAsia" w:ascii="宋体" w:hAnsi="宋体" w:cs="宋体"/>
                <w:sz w:val="22"/>
                <w:szCs w:val="21"/>
              </w:rPr>
              <w:t>注册资金</w:t>
            </w:r>
          </w:p>
        </w:tc>
        <w:tc>
          <w:tcPr>
            <w:tcW w:w="7823" w:type="dxa"/>
            <w:gridSpan w:val="4"/>
            <w:vAlign w:val="center"/>
          </w:tcPr>
          <w:p w14:paraId="26BD584F">
            <w:pPr>
              <w:jc w:val="center"/>
              <w:rPr>
                <w:rFonts w:ascii="宋体" w:hAnsi="宋体" w:cs="宋体"/>
                <w:sz w:val="22"/>
                <w:szCs w:val="21"/>
              </w:rPr>
            </w:pPr>
          </w:p>
        </w:tc>
      </w:tr>
      <w:tr w14:paraId="759D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78B23AC1">
            <w:pPr>
              <w:jc w:val="center"/>
              <w:rPr>
                <w:rFonts w:ascii="宋体" w:hAnsi="宋体" w:cs="宋体"/>
                <w:sz w:val="22"/>
                <w:szCs w:val="21"/>
              </w:rPr>
            </w:pPr>
            <w:r>
              <w:rPr>
                <w:rFonts w:hint="eastAsia" w:ascii="宋体" w:hAnsi="宋体" w:cs="宋体"/>
                <w:sz w:val="22"/>
                <w:szCs w:val="21"/>
              </w:rPr>
              <w:t>开户银行</w:t>
            </w:r>
          </w:p>
        </w:tc>
        <w:tc>
          <w:tcPr>
            <w:tcW w:w="7823" w:type="dxa"/>
            <w:gridSpan w:val="4"/>
            <w:vAlign w:val="center"/>
          </w:tcPr>
          <w:p w14:paraId="4D547056">
            <w:pPr>
              <w:jc w:val="center"/>
              <w:rPr>
                <w:rFonts w:ascii="宋体" w:hAnsi="宋体" w:cs="宋体"/>
                <w:sz w:val="22"/>
                <w:szCs w:val="21"/>
              </w:rPr>
            </w:pPr>
          </w:p>
        </w:tc>
      </w:tr>
      <w:tr w14:paraId="1ED4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97" w:type="dxa"/>
            <w:vAlign w:val="center"/>
          </w:tcPr>
          <w:p w14:paraId="03AA9327">
            <w:pPr>
              <w:jc w:val="center"/>
              <w:rPr>
                <w:rFonts w:ascii="宋体" w:hAnsi="宋体" w:cs="宋体"/>
                <w:sz w:val="22"/>
                <w:szCs w:val="21"/>
              </w:rPr>
            </w:pPr>
            <w:r>
              <w:rPr>
                <w:rFonts w:hint="eastAsia" w:ascii="宋体" w:hAnsi="宋体" w:cs="宋体"/>
                <w:sz w:val="22"/>
                <w:szCs w:val="21"/>
              </w:rPr>
              <w:t>账号</w:t>
            </w:r>
          </w:p>
        </w:tc>
        <w:tc>
          <w:tcPr>
            <w:tcW w:w="7823" w:type="dxa"/>
            <w:gridSpan w:val="4"/>
            <w:vAlign w:val="center"/>
          </w:tcPr>
          <w:p w14:paraId="11C58F13">
            <w:pPr>
              <w:jc w:val="center"/>
              <w:rPr>
                <w:rFonts w:ascii="宋体" w:hAnsi="宋体" w:cs="宋体"/>
                <w:sz w:val="22"/>
                <w:szCs w:val="21"/>
              </w:rPr>
            </w:pPr>
          </w:p>
        </w:tc>
      </w:tr>
      <w:tr w14:paraId="1576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497" w:type="dxa"/>
            <w:vAlign w:val="center"/>
          </w:tcPr>
          <w:p w14:paraId="23BC063A">
            <w:pPr>
              <w:jc w:val="center"/>
              <w:rPr>
                <w:rFonts w:ascii="宋体" w:hAnsi="宋体" w:cs="宋体"/>
                <w:sz w:val="22"/>
                <w:szCs w:val="21"/>
              </w:rPr>
            </w:pPr>
            <w:r>
              <w:rPr>
                <w:rFonts w:hint="eastAsia" w:ascii="宋体" w:hAnsi="宋体" w:cs="宋体"/>
                <w:sz w:val="22"/>
                <w:szCs w:val="21"/>
              </w:rPr>
              <w:t>经营范围</w:t>
            </w:r>
          </w:p>
        </w:tc>
        <w:tc>
          <w:tcPr>
            <w:tcW w:w="7823" w:type="dxa"/>
            <w:gridSpan w:val="4"/>
            <w:vAlign w:val="center"/>
          </w:tcPr>
          <w:p w14:paraId="2ADE609D">
            <w:pPr>
              <w:jc w:val="center"/>
              <w:rPr>
                <w:rFonts w:ascii="宋体" w:hAnsi="宋体" w:cs="宋体"/>
                <w:sz w:val="22"/>
                <w:szCs w:val="21"/>
              </w:rPr>
            </w:pPr>
          </w:p>
        </w:tc>
      </w:tr>
      <w:tr w14:paraId="6D78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497" w:type="dxa"/>
            <w:vAlign w:val="center"/>
          </w:tcPr>
          <w:p w14:paraId="7AAB475C">
            <w:pPr>
              <w:jc w:val="center"/>
              <w:rPr>
                <w:rFonts w:ascii="宋体" w:hAnsi="宋体" w:cs="宋体"/>
                <w:sz w:val="22"/>
                <w:szCs w:val="21"/>
              </w:rPr>
            </w:pPr>
            <w:r>
              <w:rPr>
                <w:rFonts w:hint="eastAsia" w:ascii="宋体" w:hAnsi="宋体" w:cs="宋体"/>
                <w:sz w:val="22"/>
                <w:szCs w:val="21"/>
              </w:rPr>
              <w:t>备注</w:t>
            </w:r>
          </w:p>
        </w:tc>
        <w:tc>
          <w:tcPr>
            <w:tcW w:w="7823" w:type="dxa"/>
            <w:gridSpan w:val="4"/>
            <w:vAlign w:val="center"/>
          </w:tcPr>
          <w:p w14:paraId="4275EB29">
            <w:pPr>
              <w:jc w:val="center"/>
              <w:rPr>
                <w:rFonts w:ascii="宋体" w:hAnsi="宋体" w:cs="宋体"/>
                <w:sz w:val="22"/>
                <w:szCs w:val="21"/>
              </w:rPr>
            </w:pPr>
          </w:p>
        </w:tc>
      </w:tr>
    </w:tbl>
    <w:p w14:paraId="584C6D6C">
      <w:pPr>
        <w:spacing w:line="440" w:lineRule="exact"/>
        <w:rPr>
          <w:rFonts w:ascii="宋体" w:hAnsi="宋体" w:cs="宋体"/>
          <w:szCs w:val="21"/>
        </w:rPr>
        <w:sectPr>
          <w:pgSz w:w="11906" w:h="16838"/>
          <w:pgMar w:top="1559" w:right="1531" w:bottom="1418" w:left="1554" w:header="57" w:footer="992" w:gutter="0"/>
          <w:cols w:space="720" w:num="1"/>
          <w:titlePg/>
          <w:docGrid w:linePitch="312" w:charSpace="0"/>
        </w:sectPr>
      </w:pPr>
      <w:r>
        <w:rPr>
          <w:rFonts w:hint="eastAsia" w:ascii="宋体" w:hAnsi="宋体" w:cs="宋体"/>
          <w:szCs w:val="21"/>
        </w:rPr>
        <w:t>备注：本表后应附企业法人营业执照副本等资格要求的其他材料的原件扫描件</w:t>
      </w:r>
    </w:p>
    <w:p w14:paraId="4FF8D8C2">
      <w:pPr>
        <w:wordWrap w:val="0"/>
        <w:spacing w:line="360" w:lineRule="auto"/>
        <w:jc w:val="both"/>
        <w:outlineLvl w:val="3"/>
        <w:rPr>
          <w:rFonts w:hint="eastAsia" w:ascii="宋体" w:hAnsi="宋体" w:eastAsia="宋体" w:cs="宋体"/>
          <w:b/>
          <w:bCs/>
          <w:sz w:val="24"/>
          <w:lang w:val="en-US" w:eastAsia="zh-CN"/>
        </w:rPr>
      </w:pPr>
      <w:r>
        <w:rPr>
          <w:rFonts w:hint="eastAsia" w:ascii="宋体" w:hAnsi="宋体" w:cs="宋体"/>
          <w:b/>
          <w:bCs/>
          <w:sz w:val="24"/>
          <w:lang w:val="en-US" w:eastAsia="zh-CN"/>
        </w:rPr>
        <w:t>4.1.1</w:t>
      </w:r>
      <w:r>
        <w:rPr>
          <w:rFonts w:hint="eastAsia" w:ascii="宋体" w:hAnsi="宋体" w:cs="宋体"/>
          <w:b/>
          <w:bCs/>
          <w:sz w:val="24"/>
          <w:lang w:eastAsia="zh-CN"/>
        </w:rPr>
        <w:t>具有独立承担民事责任的能力</w:t>
      </w:r>
      <w:r>
        <w:rPr>
          <w:rFonts w:hint="eastAsia" w:ascii="宋体" w:hAnsi="宋体" w:cs="宋体"/>
          <w:b/>
          <w:bCs/>
          <w:sz w:val="24"/>
          <w:lang w:val="en-US" w:eastAsia="zh-CN"/>
        </w:rPr>
        <w:t>证明材料</w:t>
      </w:r>
    </w:p>
    <w:p w14:paraId="5B45814D">
      <w:pPr>
        <w:rPr>
          <w:rFonts w:hint="eastAsia" w:ascii="宋体" w:hAnsi="宋体" w:cs="宋体"/>
          <w:b/>
          <w:bCs/>
          <w:sz w:val="24"/>
        </w:rPr>
      </w:pPr>
      <w:r>
        <w:rPr>
          <w:rFonts w:hint="eastAsia" w:ascii="宋体" w:hAnsi="宋体" w:cs="宋体"/>
          <w:b/>
          <w:bCs/>
          <w:sz w:val="24"/>
        </w:rPr>
        <w:br w:type="page"/>
      </w:r>
    </w:p>
    <w:p w14:paraId="41DDB704">
      <w:pPr>
        <w:wordWrap w:val="0"/>
        <w:spacing w:line="360" w:lineRule="auto"/>
        <w:jc w:val="both"/>
        <w:outlineLvl w:val="3"/>
        <w:rPr>
          <w:rFonts w:hint="eastAsia" w:ascii="宋体" w:hAnsi="宋体" w:eastAsia="宋体" w:cs="宋体"/>
          <w:b/>
          <w:bCs/>
          <w:sz w:val="24"/>
          <w:lang w:val="en-US" w:eastAsia="zh-CN"/>
        </w:rPr>
      </w:pPr>
      <w:r>
        <w:rPr>
          <w:rFonts w:hint="eastAsia" w:ascii="宋体" w:hAnsi="宋体" w:cs="宋体"/>
          <w:b/>
          <w:bCs/>
          <w:sz w:val="24"/>
          <w:lang w:val="en-US" w:eastAsia="zh-CN"/>
        </w:rPr>
        <w:t>4.1.2</w:t>
      </w:r>
      <w:r>
        <w:rPr>
          <w:rFonts w:hint="eastAsia" w:ascii="宋体" w:hAnsi="宋体" w:cs="宋体"/>
          <w:b/>
          <w:bCs/>
          <w:sz w:val="24"/>
        </w:rPr>
        <w:t>具有良好的商业信誉和健全的财务会计制度</w:t>
      </w:r>
      <w:r>
        <w:rPr>
          <w:rFonts w:hint="eastAsia" w:ascii="宋体" w:hAnsi="宋体" w:cs="宋体"/>
          <w:b/>
          <w:bCs/>
          <w:sz w:val="24"/>
          <w:lang w:val="en-US" w:eastAsia="zh-CN"/>
        </w:rPr>
        <w:t>证明材料</w:t>
      </w:r>
    </w:p>
    <w:p w14:paraId="56A9385B">
      <w:pPr>
        <w:rPr>
          <w:rFonts w:hint="eastAsia" w:ascii="宋体" w:hAnsi="宋体" w:cs="宋体"/>
          <w:b/>
          <w:bCs/>
          <w:sz w:val="24"/>
          <w:lang w:eastAsia="zh-CN"/>
        </w:rPr>
      </w:pPr>
      <w:r>
        <w:rPr>
          <w:rFonts w:hint="eastAsia" w:ascii="宋体" w:hAnsi="宋体" w:cs="宋体"/>
          <w:b/>
          <w:bCs/>
          <w:sz w:val="24"/>
          <w:lang w:eastAsia="zh-CN"/>
        </w:rPr>
        <w:br w:type="page"/>
      </w:r>
    </w:p>
    <w:p w14:paraId="7D3F802C">
      <w:pPr>
        <w:wordWrap w:val="0"/>
        <w:spacing w:line="360" w:lineRule="auto"/>
        <w:jc w:val="both"/>
        <w:outlineLvl w:val="3"/>
        <w:rPr>
          <w:rFonts w:hint="default" w:ascii="宋体" w:hAnsi="宋体" w:eastAsia="宋体" w:cs="宋体"/>
          <w:b/>
          <w:bCs/>
          <w:sz w:val="24"/>
          <w:lang w:val="en-US" w:eastAsia="zh-CN"/>
        </w:rPr>
      </w:pPr>
      <w:r>
        <w:rPr>
          <w:rFonts w:hint="eastAsia" w:ascii="宋体" w:hAnsi="宋体" w:cs="宋体"/>
          <w:b/>
          <w:bCs/>
          <w:sz w:val="24"/>
          <w:lang w:val="en-US" w:eastAsia="zh-CN"/>
        </w:rPr>
        <w:t>4.1.3</w:t>
      </w:r>
      <w:r>
        <w:rPr>
          <w:rFonts w:hint="eastAsia" w:ascii="宋体" w:hAnsi="宋体" w:cs="宋体"/>
          <w:b/>
          <w:bCs/>
          <w:sz w:val="24"/>
          <w:lang w:eastAsia="zh-CN"/>
        </w:rPr>
        <w:t>具有履行合同所必需的设备和专业技术能力</w:t>
      </w:r>
      <w:r>
        <w:rPr>
          <w:rFonts w:hint="eastAsia" w:ascii="宋体" w:hAnsi="宋体" w:cs="宋体"/>
          <w:b/>
          <w:bCs/>
          <w:sz w:val="24"/>
          <w:lang w:val="en-US" w:eastAsia="zh-CN"/>
        </w:rPr>
        <w:t>证明材料</w:t>
      </w:r>
    </w:p>
    <w:p w14:paraId="4C28BE4A">
      <w:pPr>
        <w:rPr>
          <w:rFonts w:hint="eastAsia" w:ascii="宋体" w:hAnsi="宋体" w:cs="宋体"/>
          <w:b/>
          <w:bCs/>
          <w:sz w:val="24"/>
        </w:rPr>
      </w:pPr>
      <w:r>
        <w:rPr>
          <w:rFonts w:hint="eastAsia" w:ascii="宋体" w:hAnsi="宋体" w:cs="宋体"/>
          <w:b/>
          <w:bCs/>
          <w:sz w:val="24"/>
        </w:rPr>
        <w:br w:type="page"/>
      </w:r>
    </w:p>
    <w:p w14:paraId="19DC42BF">
      <w:pPr>
        <w:wordWrap w:val="0"/>
        <w:spacing w:line="360" w:lineRule="auto"/>
        <w:jc w:val="both"/>
        <w:outlineLvl w:val="3"/>
        <w:rPr>
          <w:rFonts w:hint="default" w:ascii="宋体" w:hAnsi="宋体" w:eastAsia="宋体" w:cs="宋体"/>
          <w:b/>
          <w:bCs/>
          <w:sz w:val="24"/>
          <w:lang w:val="en-US" w:eastAsia="zh-CN"/>
        </w:rPr>
      </w:pPr>
      <w:r>
        <w:rPr>
          <w:rFonts w:hint="eastAsia" w:ascii="宋体" w:hAnsi="宋体" w:cs="宋体"/>
          <w:b/>
          <w:bCs/>
          <w:sz w:val="24"/>
          <w:lang w:val="en-US" w:eastAsia="zh-CN"/>
        </w:rPr>
        <w:t>4.1.4</w:t>
      </w:r>
      <w:r>
        <w:rPr>
          <w:rFonts w:hint="eastAsia" w:ascii="宋体" w:hAnsi="宋体" w:cs="宋体"/>
          <w:b/>
          <w:bCs/>
          <w:sz w:val="24"/>
        </w:rPr>
        <w:t>具有依法缴纳税收和社会保障资金的良好记录</w:t>
      </w:r>
      <w:r>
        <w:rPr>
          <w:rFonts w:hint="eastAsia" w:ascii="宋体" w:hAnsi="宋体" w:cs="宋体"/>
          <w:b/>
          <w:bCs/>
          <w:sz w:val="24"/>
          <w:lang w:val="en-US" w:eastAsia="zh-CN"/>
        </w:rPr>
        <w:t>证明材料</w:t>
      </w:r>
    </w:p>
    <w:p w14:paraId="442C7052">
      <w:pPr>
        <w:rPr>
          <w:rFonts w:hint="eastAsia" w:ascii="宋体" w:hAnsi="宋体" w:cs="宋体"/>
          <w:b/>
          <w:bCs/>
          <w:sz w:val="24"/>
          <w:lang w:eastAsia="zh-CN"/>
        </w:rPr>
      </w:pPr>
      <w:r>
        <w:rPr>
          <w:rFonts w:hint="eastAsia" w:ascii="宋体" w:hAnsi="宋体" w:cs="宋体"/>
          <w:b/>
          <w:bCs/>
          <w:sz w:val="24"/>
          <w:lang w:eastAsia="zh-CN"/>
        </w:rPr>
        <w:br w:type="page"/>
      </w:r>
    </w:p>
    <w:p w14:paraId="7A41DBE0">
      <w:pPr>
        <w:wordWrap w:val="0"/>
        <w:spacing w:line="360" w:lineRule="auto"/>
        <w:jc w:val="both"/>
        <w:outlineLvl w:val="3"/>
        <w:rPr>
          <w:rFonts w:hint="default" w:ascii="宋体" w:hAnsi="宋体" w:eastAsia="宋体" w:cs="宋体"/>
          <w:b/>
          <w:bCs/>
          <w:sz w:val="24"/>
          <w:lang w:val="en-US" w:eastAsia="zh-CN"/>
        </w:rPr>
      </w:pPr>
      <w:r>
        <w:rPr>
          <w:rFonts w:hint="eastAsia" w:ascii="宋体" w:hAnsi="宋体" w:cs="宋体"/>
          <w:b/>
          <w:bCs/>
          <w:sz w:val="24"/>
          <w:lang w:val="en-US" w:eastAsia="zh-CN"/>
        </w:rPr>
        <w:t>4.1.5</w:t>
      </w:r>
      <w:r>
        <w:rPr>
          <w:rFonts w:hint="eastAsia" w:ascii="宋体" w:hAnsi="宋体" w:cs="宋体"/>
          <w:b/>
          <w:bCs/>
          <w:sz w:val="24"/>
          <w:lang w:eastAsia="zh-CN"/>
        </w:rPr>
        <w:t>参加政府采购活动前三年内，在经营活动中没有违法记录</w:t>
      </w:r>
      <w:r>
        <w:rPr>
          <w:rFonts w:hint="eastAsia" w:ascii="宋体" w:hAnsi="宋体" w:cs="宋体"/>
          <w:b/>
          <w:bCs/>
          <w:sz w:val="24"/>
          <w:lang w:val="en-US" w:eastAsia="zh-CN"/>
        </w:rPr>
        <w:t>证明材料</w:t>
      </w:r>
    </w:p>
    <w:p w14:paraId="63F1F149">
      <w:pPr>
        <w:rPr>
          <w:rFonts w:hint="eastAsia" w:ascii="宋体" w:hAnsi="宋体" w:cs="宋体"/>
          <w:b/>
          <w:bCs/>
          <w:sz w:val="24"/>
        </w:rPr>
      </w:pPr>
      <w:r>
        <w:rPr>
          <w:rFonts w:hint="eastAsia" w:ascii="宋体" w:hAnsi="宋体" w:cs="宋体"/>
          <w:b/>
          <w:bCs/>
          <w:sz w:val="24"/>
        </w:rPr>
        <w:br w:type="page"/>
      </w:r>
    </w:p>
    <w:p w14:paraId="7BEBAF7A">
      <w:pPr>
        <w:wordWrap w:val="0"/>
        <w:spacing w:line="360" w:lineRule="auto"/>
        <w:jc w:val="both"/>
        <w:outlineLvl w:val="3"/>
        <w:rPr>
          <w:rFonts w:hint="default" w:ascii="宋体" w:hAnsi="宋体" w:eastAsia="宋体" w:cs="宋体"/>
          <w:b/>
          <w:bCs/>
          <w:sz w:val="24"/>
          <w:lang w:val="en-US" w:eastAsia="zh-CN"/>
        </w:rPr>
      </w:pPr>
      <w:r>
        <w:rPr>
          <w:rFonts w:hint="eastAsia" w:ascii="宋体" w:hAnsi="宋体" w:cs="宋体"/>
          <w:b/>
          <w:bCs/>
          <w:sz w:val="24"/>
          <w:lang w:val="en-US" w:eastAsia="zh-CN"/>
        </w:rPr>
        <w:t>4.1.6相关许可证明材料</w:t>
      </w:r>
    </w:p>
    <w:p w14:paraId="06B7BFBB">
      <w:pPr>
        <w:rPr>
          <w:rFonts w:hint="eastAsia" w:ascii="宋体" w:hAnsi="宋体" w:cs="宋体"/>
          <w:b/>
          <w:bCs/>
          <w:sz w:val="24"/>
        </w:rPr>
      </w:pPr>
      <w:r>
        <w:rPr>
          <w:rFonts w:hint="eastAsia" w:ascii="宋体" w:hAnsi="宋体" w:cs="宋体"/>
          <w:b/>
          <w:bCs/>
          <w:sz w:val="24"/>
        </w:rPr>
        <w:br w:type="page"/>
      </w:r>
    </w:p>
    <w:p w14:paraId="5086A871">
      <w:pPr>
        <w:wordWrap w:val="0"/>
        <w:spacing w:line="360" w:lineRule="auto"/>
        <w:jc w:val="both"/>
        <w:outlineLvl w:val="3"/>
        <w:rPr>
          <w:rFonts w:hint="eastAsia" w:ascii="宋体" w:hAnsi="宋体" w:cs="宋体"/>
          <w:b/>
          <w:bCs/>
          <w:sz w:val="24"/>
          <w:lang w:val="en-US" w:eastAsia="zh-CN"/>
        </w:rPr>
      </w:pPr>
      <w:r>
        <w:rPr>
          <w:rFonts w:hint="eastAsia" w:ascii="宋体" w:hAnsi="宋体" w:cs="宋体"/>
          <w:b/>
          <w:bCs/>
          <w:sz w:val="24"/>
          <w:lang w:val="en-US" w:eastAsia="zh-CN"/>
        </w:rPr>
        <w:t>4.1.7</w:t>
      </w:r>
      <w:r>
        <w:rPr>
          <w:rFonts w:hint="eastAsia" w:ascii="宋体" w:hAnsi="宋体" w:cs="宋体"/>
          <w:b/>
          <w:bCs/>
          <w:sz w:val="24"/>
        </w:rPr>
        <w:t>信誉</w:t>
      </w:r>
      <w:r>
        <w:rPr>
          <w:rFonts w:hint="eastAsia" w:ascii="宋体" w:hAnsi="宋体" w:cs="宋体"/>
          <w:b/>
          <w:bCs/>
          <w:sz w:val="24"/>
          <w:lang w:val="en-US" w:eastAsia="zh-CN"/>
        </w:rPr>
        <w:t>证明材料</w:t>
      </w:r>
    </w:p>
    <w:p w14:paraId="0197FA86">
      <w:pPr>
        <w:rPr>
          <w:rFonts w:hint="eastAsia" w:ascii="宋体" w:hAnsi="宋体" w:cs="宋体"/>
          <w:b/>
          <w:bCs/>
          <w:sz w:val="24"/>
        </w:rPr>
      </w:pPr>
      <w:r>
        <w:rPr>
          <w:rFonts w:hint="eastAsia" w:ascii="宋体" w:hAnsi="宋体" w:cs="宋体"/>
          <w:b/>
          <w:bCs/>
          <w:sz w:val="24"/>
        </w:rPr>
        <w:br w:type="page"/>
      </w:r>
    </w:p>
    <w:p w14:paraId="07D21ACC">
      <w:pPr>
        <w:wordWrap w:val="0"/>
        <w:spacing w:line="360" w:lineRule="auto"/>
        <w:jc w:val="both"/>
        <w:outlineLvl w:val="3"/>
        <w:rPr>
          <w:rFonts w:hint="default" w:ascii="宋体" w:hAnsi="宋体" w:eastAsia="宋体" w:cs="宋体"/>
          <w:b/>
          <w:bCs/>
          <w:sz w:val="24"/>
          <w:lang w:val="en-US" w:eastAsia="zh-CN"/>
        </w:rPr>
      </w:pPr>
      <w:r>
        <w:rPr>
          <w:rFonts w:hint="eastAsia" w:ascii="宋体" w:hAnsi="宋体" w:cs="宋体"/>
          <w:b/>
          <w:bCs/>
          <w:sz w:val="24"/>
          <w:lang w:val="en-US" w:eastAsia="zh-CN"/>
        </w:rPr>
        <w:t>4.1.8其他要求证明材料</w:t>
      </w:r>
    </w:p>
    <w:p w14:paraId="13617B50">
      <w:pPr>
        <w:wordWrap w:val="0"/>
        <w:spacing w:line="360" w:lineRule="auto"/>
        <w:jc w:val="both"/>
        <w:outlineLvl w:val="9"/>
        <w:rPr>
          <w:rFonts w:hint="default" w:ascii="宋体" w:hAnsi="宋体" w:eastAsia="宋体" w:cs="宋体"/>
          <w:b/>
          <w:bCs/>
          <w:sz w:val="24"/>
          <w:lang w:val="en-US" w:eastAsia="zh-CN"/>
        </w:rPr>
      </w:pPr>
    </w:p>
    <w:p w14:paraId="3FA346FF">
      <w:pPr>
        <w:wordWrap w:val="0"/>
        <w:spacing w:line="360" w:lineRule="auto"/>
        <w:jc w:val="both"/>
        <w:outlineLvl w:val="9"/>
        <w:rPr>
          <w:rFonts w:ascii="宋体" w:hAnsi="宋体" w:cs="宋体"/>
          <w:b/>
          <w:bCs/>
          <w:sz w:val="24"/>
        </w:rPr>
      </w:pPr>
    </w:p>
    <w:p w14:paraId="665EFEA2">
      <w:pPr>
        <w:wordWrap w:val="0"/>
        <w:spacing w:line="360" w:lineRule="auto"/>
        <w:jc w:val="center"/>
        <w:outlineLvl w:val="2"/>
        <w:rPr>
          <w:rFonts w:ascii="宋体" w:hAnsi="宋体" w:cs="宋体"/>
          <w:b/>
          <w:bCs/>
          <w:sz w:val="24"/>
        </w:rPr>
      </w:pPr>
      <w:r>
        <w:rPr>
          <w:rFonts w:hint="eastAsia"/>
        </w:rPr>
        <w:br w:type="page"/>
      </w:r>
      <w:r>
        <w:rPr>
          <w:rFonts w:hint="eastAsia" w:ascii="宋体" w:hAnsi="宋体" w:cs="宋体"/>
          <w:b/>
          <w:bCs/>
          <w:sz w:val="24"/>
        </w:rPr>
        <w:t>（</w:t>
      </w:r>
      <w:r>
        <w:rPr>
          <w:rFonts w:hint="eastAsia" w:ascii="宋体" w:hAnsi="宋体" w:cs="宋体"/>
          <w:b/>
          <w:bCs/>
          <w:sz w:val="24"/>
          <w:lang w:val="en-US" w:eastAsia="zh-CN"/>
        </w:rPr>
        <w:t>二</w:t>
      </w:r>
      <w:r>
        <w:rPr>
          <w:rFonts w:hint="eastAsia" w:ascii="宋体" w:hAnsi="宋体" w:cs="宋体"/>
          <w:b/>
          <w:bCs/>
          <w:sz w:val="24"/>
        </w:rPr>
        <w:t>）近年完成的类似项目</w:t>
      </w:r>
    </w:p>
    <w:p w14:paraId="1AE28358"/>
    <w:tbl>
      <w:tblPr>
        <w:tblStyle w:val="2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6492"/>
      </w:tblGrid>
      <w:tr w14:paraId="69A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620" w:type="dxa"/>
            <w:noWrap/>
            <w:vAlign w:val="center"/>
          </w:tcPr>
          <w:p w14:paraId="247ED7DF">
            <w:pPr>
              <w:topLinePunct/>
              <w:spacing w:line="360" w:lineRule="auto"/>
              <w:jc w:val="center"/>
              <w:rPr>
                <w:rFonts w:ascii="宋体" w:hAnsi="宋体"/>
                <w:sz w:val="24"/>
              </w:rPr>
            </w:pPr>
            <w:r>
              <w:rPr>
                <w:rFonts w:hint="eastAsia" w:ascii="宋体" w:hAnsi="宋体"/>
                <w:sz w:val="24"/>
              </w:rPr>
              <w:t>项目名称</w:t>
            </w:r>
          </w:p>
        </w:tc>
        <w:tc>
          <w:tcPr>
            <w:tcW w:w="6492" w:type="dxa"/>
            <w:noWrap/>
          </w:tcPr>
          <w:p w14:paraId="7CFDB3DA">
            <w:pPr>
              <w:topLinePunct/>
              <w:spacing w:line="360" w:lineRule="auto"/>
              <w:rPr>
                <w:rFonts w:ascii="宋体" w:hAnsi="宋体"/>
                <w:sz w:val="24"/>
              </w:rPr>
            </w:pPr>
          </w:p>
        </w:tc>
      </w:tr>
      <w:tr w14:paraId="11DA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0" w:type="dxa"/>
            <w:noWrap/>
            <w:vAlign w:val="center"/>
          </w:tcPr>
          <w:p w14:paraId="337EC0D6">
            <w:pPr>
              <w:topLinePunct/>
              <w:spacing w:line="360" w:lineRule="auto"/>
              <w:jc w:val="center"/>
              <w:rPr>
                <w:rFonts w:ascii="宋体" w:hAnsi="宋体"/>
                <w:sz w:val="24"/>
              </w:rPr>
            </w:pPr>
            <w:r>
              <w:rPr>
                <w:rFonts w:hint="eastAsia" w:ascii="宋体" w:hAnsi="宋体"/>
                <w:sz w:val="24"/>
              </w:rPr>
              <w:t>项目所在地</w:t>
            </w:r>
          </w:p>
        </w:tc>
        <w:tc>
          <w:tcPr>
            <w:tcW w:w="6492" w:type="dxa"/>
            <w:noWrap/>
          </w:tcPr>
          <w:p w14:paraId="57574C51">
            <w:pPr>
              <w:topLinePunct/>
              <w:spacing w:line="360" w:lineRule="auto"/>
              <w:rPr>
                <w:rFonts w:ascii="宋体" w:hAnsi="宋体"/>
                <w:sz w:val="24"/>
              </w:rPr>
            </w:pPr>
          </w:p>
        </w:tc>
      </w:tr>
      <w:tr w14:paraId="1A12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620" w:type="dxa"/>
            <w:noWrap/>
            <w:vAlign w:val="center"/>
          </w:tcPr>
          <w:p w14:paraId="049934E3">
            <w:pPr>
              <w:topLinePunct/>
              <w:spacing w:line="360" w:lineRule="auto"/>
              <w:jc w:val="center"/>
              <w:rPr>
                <w:rFonts w:ascii="宋体" w:hAnsi="宋体"/>
                <w:sz w:val="24"/>
              </w:rPr>
            </w:pPr>
            <w:r>
              <w:rPr>
                <w:rFonts w:hint="eastAsia" w:ascii="宋体" w:hAnsi="宋体"/>
                <w:sz w:val="24"/>
              </w:rPr>
              <w:t>采购人名称</w:t>
            </w:r>
          </w:p>
        </w:tc>
        <w:tc>
          <w:tcPr>
            <w:tcW w:w="6492" w:type="dxa"/>
            <w:noWrap/>
          </w:tcPr>
          <w:p w14:paraId="23F92D8F">
            <w:pPr>
              <w:topLinePunct/>
              <w:spacing w:line="360" w:lineRule="auto"/>
              <w:rPr>
                <w:rFonts w:ascii="宋体" w:hAnsi="宋体"/>
                <w:sz w:val="24"/>
              </w:rPr>
            </w:pPr>
          </w:p>
        </w:tc>
      </w:tr>
      <w:tr w14:paraId="7A67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620" w:type="dxa"/>
            <w:noWrap/>
            <w:vAlign w:val="center"/>
          </w:tcPr>
          <w:p w14:paraId="576ACDD3">
            <w:pPr>
              <w:topLinePunct/>
              <w:spacing w:line="360" w:lineRule="auto"/>
              <w:jc w:val="center"/>
              <w:rPr>
                <w:rFonts w:ascii="宋体" w:hAnsi="宋体"/>
                <w:sz w:val="24"/>
              </w:rPr>
            </w:pPr>
            <w:r>
              <w:rPr>
                <w:rFonts w:hint="eastAsia" w:ascii="宋体" w:hAnsi="宋体"/>
                <w:sz w:val="24"/>
              </w:rPr>
              <w:t>采购人地址</w:t>
            </w:r>
          </w:p>
        </w:tc>
        <w:tc>
          <w:tcPr>
            <w:tcW w:w="6492" w:type="dxa"/>
            <w:noWrap/>
          </w:tcPr>
          <w:p w14:paraId="02749CE1">
            <w:pPr>
              <w:topLinePunct/>
              <w:spacing w:line="360" w:lineRule="auto"/>
              <w:rPr>
                <w:rFonts w:ascii="宋体" w:hAnsi="宋体"/>
                <w:sz w:val="24"/>
              </w:rPr>
            </w:pPr>
          </w:p>
        </w:tc>
      </w:tr>
      <w:tr w14:paraId="4B43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620" w:type="dxa"/>
            <w:noWrap/>
            <w:vAlign w:val="center"/>
          </w:tcPr>
          <w:p w14:paraId="33B0D817">
            <w:pPr>
              <w:topLinePunct/>
              <w:spacing w:line="360" w:lineRule="auto"/>
              <w:jc w:val="center"/>
              <w:rPr>
                <w:rFonts w:ascii="宋体" w:hAnsi="宋体"/>
                <w:sz w:val="24"/>
              </w:rPr>
            </w:pPr>
            <w:r>
              <w:rPr>
                <w:rFonts w:hint="eastAsia" w:ascii="宋体" w:hAnsi="宋体"/>
                <w:sz w:val="24"/>
              </w:rPr>
              <w:t>采购人电话</w:t>
            </w:r>
          </w:p>
        </w:tc>
        <w:tc>
          <w:tcPr>
            <w:tcW w:w="6492" w:type="dxa"/>
            <w:noWrap/>
          </w:tcPr>
          <w:p w14:paraId="466D8438">
            <w:pPr>
              <w:topLinePunct/>
              <w:spacing w:line="360" w:lineRule="auto"/>
              <w:rPr>
                <w:rFonts w:ascii="宋体" w:hAnsi="宋体"/>
                <w:sz w:val="24"/>
              </w:rPr>
            </w:pPr>
          </w:p>
        </w:tc>
      </w:tr>
      <w:tr w14:paraId="3A8C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20" w:type="dxa"/>
            <w:noWrap/>
            <w:vAlign w:val="center"/>
          </w:tcPr>
          <w:p w14:paraId="6BB734B4">
            <w:pPr>
              <w:topLinePunct/>
              <w:spacing w:line="360" w:lineRule="auto"/>
              <w:jc w:val="center"/>
              <w:rPr>
                <w:rFonts w:ascii="宋体" w:hAnsi="宋体"/>
                <w:sz w:val="24"/>
              </w:rPr>
            </w:pPr>
            <w:r>
              <w:rPr>
                <w:rFonts w:hint="eastAsia" w:ascii="宋体" w:hAnsi="宋体"/>
                <w:sz w:val="24"/>
              </w:rPr>
              <w:t>合同签订日期</w:t>
            </w:r>
          </w:p>
        </w:tc>
        <w:tc>
          <w:tcPr>
            <w:tcW w:w="6492" w:type="dxa"/>
            <w:noWrap/>
          </w:tcPr>
          <w:p w14:paraId="45660E72">
            <w:pPr>
              <w:topLinePunct/>
              <w:spacing w:line="360" w:lineRule="auto"/>
              <w:rPr>
                <w:rFonts w:ascii="宋体" w:hAnsi="宋体"/>
                <w:sz w:val="24"/>
              </w:rPr>
            </w:pPr>
          </w:p>
        </w:tc>
      </w:tr>
      <w:tr w14:paraId="2AF9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20" w:type="dxa"/>
            <w:noWrap/>
            <w:vAlign w:val="center"/>
          </w:tcPr>
          <w:p w14:paraId="3E2FEBA6">
            <w:pPr>
              <w:topLinePunct/>
              <w:spacing w:line="360" w:lineRule="auto"/>
              <w:jc w:val="center"/>
              <w:rPr>
                <w:rFonts w:ascii="宋体" w:hAnsi="宋体"/>
                <w:sz w:val="24"/>
              </w:rPr>
            </w:pPr>
            <w:r>
              <w:rPr>
                <w:rFonts w:hint="eastAsia" w:ascii="宋体" w:hAnsi="宋体"/>
                <w:sz w:val="24"/>
                <w:lang w:val="en-US" w:eastAsia="zh-CN"/>
              </w:rPr>
              <w:t>完成</w:t>
            </w:r>
            <w:r>
              <w:rPr>
                <w:rFonts w:hint="eastAsia" w:ascii="宋体" w:hAnsi="宋体"/>
                <w:sz w:val="24"/>
              </w:rPr>
              <w:t>日期</w:t>
            </w:r>
          </w:p>
        </w:tc>
        <w:tc>
          <w:tcPr>
            <w:tcW w:w="6492" w:type="dxa"/>
            <w:noWrap/>
          </w:tcPr>
          <w:p w14:paraId="2A228B51">
            <w:pPr>
              <w:topLinePunct/>
              <w:spacing w:line="360" w:lineRule="auto"/>
              <w:rPr>
                <w:rFonts w:ascii="宋体" w:hAnsi="宋体"/>
                <w:sz w:val="24"/>
              </w:rPr>
            </w:pPr>
          </w:p>
        </w:tc>
      </w:tr>
      <w:tr w14:paraId="018A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620" w:type="dxa"/>
            <w:noWrap/>
            <w:vAlign w:val="center"/>
          </w:tcPr>
          <w:p w14:paraId="07AAFE1D">
            <w:pPr>
              <w:topLinePunct/>
              <w:spacing w:line="360" w:lineRule="auto"/>
              <w:jc w:val="center"/>
              <w:rPr>
                <w:rFonts w:ascii="宋体" w:hAnsi="宋体"/>
                <w:sz w:val="24"/>
              </w:rPr>
            </w:pPr>
            <w:r>
              <w:rPr>
                <w:rFonts w:hint="eastAsia" w:ascii="宋体" w:hAnsi="宋体"/>
                <w:sz w:val="24"/>
              </w:rPr>
              <w:t>供货描述</w:t>
            </w:r>
          </w:p>
        </w:tc>
        <w:tc>
          <w:tcPr>
            <w:tcW w:w="6492" w:type="dxa"/>
            <w:noWrap/>
          </w:tcPr>
          <w:p w14:paraId="2973F707">
            <w:pPr>
              <w:topLinePunct/>
              <w:spacing w:line="360" w:lineRule="auto"/>
              <w:rPr>
                <w:rFonts w:ascii="宋体" w:hAnsi="宋体"/>
                <w:sz w:val="24"/>
              </w:rPr>
            </w:pPr>
          </w:p>
          <w:p w14:paraId="3A182813">
            <w:pPr>
              <w:topLinePunct/>
              <w:spacing w:line="360" w:lineRule="auto"/>
              <w:rPr>
                <w:rFonts w:ascii="宋体" w:hAnsi="宋体"/>
                <w:sz w:val="24"/>
              </w:rPr>
            </w:pPr>
          </w:p>
          <w:p w14:paraId="7F208EC5">
            <w:pPr>
              <w:topLinePunct/>
              <w:spacing w:line="360" w:lineRule="auto"/>
              <w:rPr>
                <w:rFonts w:ascii="宋体" w:hAnsi="宋体"/>
                <w:sz w:val="24"/>
              </w:rPr>
            </w:pPr>
          </w:p>
          <w:p w14:paraId="716AC6E0">
            <w:pPr>
              <w:topLinePunct/>
              <w:spacing w:line="360" w:lineRule="auto"/>
              <w:rPr>
                <w:rFonts w:ascii="宋体" w:hAnsi="宋体"/>
                <w:sz w:val="24"/>
              </w:rPr>
            </w:pPr>
          </w:p>
          <w:p w14:paraId="2C639D20">
            <w:pPr>
              <w:topLinePunct/>
              <w:spacing w:line="360" w:lineRule="auto"/>
              <w:rPr>
                <w:rFonts w:ascii="宋体" w:hAnsi="宋体"/>
                <w:sz w:val="24"/>
              </w:rPr>
            </w:pPr>
          </w:p>
        </w:tc>
      </w:tr>
      <w:tr w14:paraId="69B5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620" w:type="dxa"/>
            <w:noWrap/>
            <w:vAlign w:val="center"/>
          </w:tcPr>
          <w:p w14:paraId="1D4E1C6A">
            <w:pPr>
              <w:topLinePunct/>
              <w:spacing w:line="360" w:lineRule="auto"/>
              <w:jc w:val="center"/>
              <w:rPr>
                <w:rFonts w:ascii="宋体" w:hAnsi="宋体"/>
                <w:sz w:val="24"/>
              </w:rPr>
            </w:pPr>
            <w:r>
              <w:rPr>
                <w:rFonts w:hint="eastAsia" w:ascii="宋体" w:hAnsi="宋体"/>
                <w:sz w:val="24"/>
              </w:rPr>
              <w:t>备注</w:t>
            </w:r>
          </w:p>
        </w:tc>
        <w:tc>
          <w:tcPr>
            <w:tcW w:w="6492" w:type="dxa"/>
            <w:noWrap/>
          </w:tcPr>
          <w:p w14:paraId="373F25D6">
            <w:pPr>
              <w:topLinePunct/>
              <w:spacing w:line="360" w:lineRule="auto"/>
              <w:rPr>
                <w:rFonts w:ascii="宋体" w:hAnsi="宋体"/>
                <w:sz w:val="24"/>
              </w:rPr>
            </w:pPr>
          </w:p>
        </w:tc>
      </w:tr>
    </w:tbl>
    <w:p w14:paraId="447336FD">
      <w:pPr>
        <w:pStyle w:val="2"/>
        <w:sectPr>
          <w:pgSz w:w="11906" w:h="16838"/>
          <w:pgMar w:top="1559" w:right="1531" w:bottom="1418" w:left="1554" w:header="57" w:footer="992" w:gutter="0"/>
          <w:cols w:space="720" w:num="1"/>
          <w:titlePg/>
          <w:docGrid w:linePitch="312" w:charSpace="0"/>
        </w:sectPr>
      </w:pPr>
    </w:p>
    <w:p w14:paraId="4A5381FA">
      <w:pPr>
        <w:pStyle w:val="2"/>
        <w:numPr>
          <w:ilvl w:val="0"/>
          <w:numId w:val="0"/>
        </w:numPr>
        <w:jc w:val="center"/>
        <w:rPr>
          <w:rFonts w:ascii="宋体" w:hAnsi="宋体" w:eastAsia="宋体" w:cs="宋体"/>
          <w:sz w:val="28"/>
        </w:rPr>
      </w:pPr>
      <w:bookmarkStart w:id="185" w:name="_Toc20387"/>
      <w:bookmarkStart w:id="186" w:name="_Toc17188"/>
      <w:bookmarkStart w:id="187" w:name="_Toc4163"/>
      <w:r>
        <w:rPr>
          <w:rFonts w:hint="eastAsia" w:ascii="宋体" w:hAnsi="宋体" w:eastAsia="宋体" w:cs="宋体"/>
          <w:sz w:val="28"/>
          <w:lang w:val="en-US" w:eastAsia="zh-CN"/>
        </w:rPr>
        <w:t>五</w:t>
      </w:r>
      <w:r>
        <w:rPr>
          <w:rFonts w:hint="eastAsia" w:ascii="宋体" w:hAnsi="宋体" w:eastAsia="宋体" w:cs="宋体"/>
          <w:sz w:val="28"/>
        </w:rPr>
        <w:t>、</w:t>
      </w:r>
      <w:r>
        <w:rPr>
          <w:rFonts w:hint="eastAsia" w:ascii="宋体" w:hAnsi="宋体" w:eastAsia="宋体" w:cs="宋体"/>
          <w:sz w:val="28"/>
          <w:lang w:val="en-US" w:eastAsia="zh-CN"/>
        </w:rPr>
        <w:t>服务</w:t>
      </w:r>
      <w:r>
        <w:rPr>
          <w:rFonts w:hint="eastAsia" w:ascii="宋体" w:hAnsi="宋体" w:eastAsia="宋体" w:cs="宋体"/>
          <w:sz w:val="28"/>
        </w:rPr>
        <w:t>方案</w:t>
      </w:r>
      <w:bookmarkEnd w:id="185"/>
      <w:bookmarkEnd w:id="186"/>
      <w:bookmarkEnd w:id="187"/>
    </w:p>
    <w:p w14:paraId="36F30335">
      <w:pPr>
        <w:jc w:val="center"/>
        <w:sectPr>
          <w:pgSz w:w="11906" w:h="16838"/>
          <w:pgMar w:top="1559" w:right="1531" w:bottom="1418" w:left="1554" w:header="57" w:footer="992" w:gutter="0"/>
          <w:cols w:space="720" w:num="1"/>
          <w:titlePg/>
          <w:docGrid w:linePitch="312" w:charSpace="0"/>
        </w:sectPr>
      </w:pPr>
      <w:bookmarkStart w:id="188" w:name="_Toc12212"/>
      <w:bookmarkStart w:id="189" w:name="_Toc21476"/>
      <w:bookmarkStart w:id="190" w:name="_Toc7147"/>
      <w:r>
        <w:rPr>
          <w:rFonts w:hint="eastAsia" w:ascii="宋体" w:hAnsi="宋体" w:cs="宋体"/>
          <w:sz w:val="28"/>
        </w:rPr>
        <w:t>（格式自拟）</w:t>
      </w:r>
      <w:bookmarkEnd w:id="188"/>
      <w:bookmarkEnd w:id="189"/>
      <w:bookmarkEnd w:id="190"/>
    </w:p>
    <w:p w14:paraId="50399004">
      <w:pPr>
        <w:pStyle w:val="2"/>
        <w:numPr>
          <w:ilvl w:val="0"/>
          <w:numId w:val="0"/>
        </w:numPr>
        <w:jc w:val="center"/>
        <w:rPr>
          <w:rFonts w:ascii="宋体" w:hAnsi="宋体" w:eastAsia="宋体" w:cs="宋体"/>
          <w:sz w:val="28"/>
        </w:rPr>
      </w:pPr>
      <w:bookmarkStart w:id="191" w:name="_Toc509667338"/>
      <w:bookmarkStart w:id="192" w:name="_Toc17948"/>
      <w:bookmarkStart w:id="193" w:name="_Toc2608"/>
      <w:bookmarkStart w:id="194" w:name="_Toc475624464"/>
      <w:bookmarkStart w:id="195" w:name="_Toc30888"/>
      <w:bookmarkStart w:id="196" w:name="_Toc14632"/>
      <w:r>
        <w:rPr>
          <w:rFonts w:hint="eastAsia" w:ascii="宋体" w:hAnsi="宋体" w:eastAsia="宋体" w:cs="宋体"/>
          <w:sz w:val="28"/>
          <w:lang w:val="en-US" w:eastAsia="zh-CN"/>
        </w:rPr>
        <w:t>六</w:t>
      </w:r>
      <w:r>
        <w:rPr>
          <w:rFonts w:hint="eastAsia" w:ascii="宋体" w:hAnsi="宋体" w:eastAsia="宋体" w:cs="宋体"/>
          <w:sz w:val="28"/>
        </w:rPr>
        <w:t>、其他材料</w:t>
      </w:r>
      <w:bookmarkEnd w:id="191"/>
      <w:bookmarkEnd w:id="192"/>
      <w:bookmarkEnd w:id="193"/>
      <w:bookmarkEnd w:id="194"/>
      <w:bookmarkEnd w:id="195"/>
      <w:bookmarkEnd w:id="196"/>
    </w:p>
    <w:p w14:paraId="1AEC53B6">
      <w:pPr>
        <w:numPr>
          <w:ilvl w:val="0"/>
          <w:numId w:val="10"/>
        </w:numPr>
        <w:spacing w:line="480" w:lineRule="auto"/>
        <w:jc w:val="left"/>
        <w:rPr>
          <w:rFonts w:ascii="宋体" w:hAnsi="宋体" w:cs="宋体"/>
          <w:b/>
          <w:bCs/>
          <w:kern w:val="0"/>
          <w:sz w:val="24"/>
        </w:rPr>
      </w:pPr>
      <w:r>
        <w:rPr>
          <w:rFonts w:hint="eastAsia" w:ascii="宋体" w:hAnsi="宋体" w:cs="宋体"/>
          <w:b/>
          <w:bCs/>
          <w:kern w:val="0"/>
          <w:sz w:val="24"/>
        </w:rPr>
        <w:t>反商业贿赂承诺书</w:t>
      </w:r>
    </w:p>
    <w:p w14:paraId="54826B28">
      <w:pPr>
        <w:spacing w:line="500" w:lineRule="exact"/>
        <w:rPr>
          <w:rFonts w:ascii="宋体" w:hAnsi="宋体" w:cs="宋体"/>
          <w:kern w:val="0"/>
          <w:sz w:val="24"/>
        </w:rPr>
      </w:pPr>
      <w:r>
        <w:rPr>
          <w:rFonts w:hint="eastAsia" w:ascii="宋体" w:hAnsi="宋体" w:cs="宋体"/>
          <w:kern w:val="0"/>
          <w:sz w:val="24"/>
        </w:rPr>
        <w:t>我公司承诺：</w:t>
      </w:r>
    </w:p>
    <w:p w14:paraId="5CBEFE24">
      <w:pPr>
        <w:spacing w:line="500" w:lineRule="exact"/>
        <w:ind w:firstLine="555"/>
        <w:rPr>
          <w:rFonts w:ascii="宋体" w:hAnsi="宋体" w:cs="宋体"/>
          <w:kern w:val="0"/>
          <w:sz w:val="24"/>
        </w:rPr>
      </w:pPr>
      <w:r>
        <w:rPr>
          <w:rFonts w:hint="eastAsia" w:ascii="宋体" w:hAnsi="宋体" w:cs="宋体"/>
          <w:kern w:val="0"/>
          <w:sz w:val="24"/>
        </w:rPr>
        <w:t>在</w:t>
      </w:r>
      <w:r>
        <w:rPr>
          <w:rFonts w:hint="eastAsia" w:ascii="宋体" w:hAnsi="宋体" w:cs="宋体"/>
          <w:kern w:val="0"/>
          <w:sz w:val="24"/>
          <w:u w:val="single"/>
        </w:rPr>
        <w:t xml:space="preserve">                              </w:t>
      </w:r>
      <w:r>
        <w:rPr>
          <w:rFonts w:hint="eastAsia" w:ascii="宋体" w:hAnsi="宋体" w:cs="宋体"/>
          <w:kern w:val="0"/>
          <w:sz w:val="24"/>
        </w:rPr>
        <w:t>招标活动中，我公司保证做到：</w:t>
      </w:r>
    </w:p>
    <w:p w14:paraId="5ADF8B22">
      <w:pPr>
        <w:spacing w:line="500" w:lineRule="exact"/>
        <w:ind w:firstLine="555"/>
        <w:rPr>
          <w:rFonts w:ascii="宋体" w:hAnsi="宋体" w:cs="宋体"/>
          <w:kern w:val="0"/>
          <w:sz w:val="24"/>
        </w:rPr>
      </w:pPr>
      <w:r>
        <w:rPr>
          <w:rFonts w:hint="eastAsia" w:ascii="宋体" w:hAnsi="宋体" w:cs="宋体"/>
          <w:kern w:val="0"/>
          <w:sz w:val="24"/>
        </w:rPr>
        <w:t>一、公平竞争参见本次招标活动。</w:t>
      </w:r>
    </w:p>
    <w:p w14:paraId="06D1CBE0">
      <w:pPr>
        <w:spacing w:line="500" w:lineRule="exact"/>
        <w:ind w:firstLine="555"/>
        <w:rPr>
          <w:rFonts w:ascii="宋体" w:hAnsi="宋体" w:cs="宋体"/>
          <w:kern w:val="0"/>
          <w:sz w:val="24"/>
        </w:rPr>
      </w:pPr>
      <w:r>
        <w:rPr>
          <w:rFonts w:hint="eastAsia" w:ascii="宋体" w:hAnsi="宋体" w:cs="宋体"/>
          <w:kern w:val="0"/>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14:paraId="25CDE884">
      <w:pPr>
        <w:spacing w:line="500" w:lineRule="exact"/>
        <w:ind w:firstLine="555"/>
        <w:rPr>
          <w:rFonts w:ascii="宋体" w:hAnsi="宋体" w:cs="宋体"/>
          <w:kern w:val="0"/>
          <w:sz w:val="24"/>
        </w:rPr>
      </w:pPr>
      <w:r>
        <w:rPr>
          <w:rFonts w:hint="eastAsia" w:ascii="宋体" w:hAnsi="宋体" w:cs="宋体"/>
          <w:kern w:val="0"/>
          <w:sz w:val="24"/>
        </w:rPr>
        <w:t>三、若出现上述行为，我公司及参与投标的工作人员愿意接受按照国家法律法规等有关规定给予的处罚。</w:t>
      </w:r>
    </w:p>
    <w:p w14:paraId="32F259C3">
      <w:pPr>
        <w:spacing w:line="500" w:lineRule="exact"/>
        <w:ind w:firstLine="555"/>
        <w:rPr>
          <w:rFonts w:ascii="宋体" w:hAnsi="宋体" w:cs="宋体"/>
          <w:kern w:val="0"/>
          <w:sz w:val="24"/>
        </w:rPr>
      </w:pPr>
    </w:p>
    <w:p w14:paraId="76076C29">
      <w:pPr>
        <w:spacing w:line="500" w:lineRule="exact"/>
        <w:ind w:firstLine="555"/>
        <w:rPr>
          <w:rFonts w:ascii="宋体" w:hAnsi="宋体" w:cs="宋体"/>
          <w:kern w:val="0"/>
          <w:sz w:val="24"/>
        </w:rPr>
      </w:pPr>
    </w:p>
    <w:p w14:paraId="75BDBEE4">
      <w:pPr>
        <w:spacing w:line="500" w:lineRule="exact"/>
        <w:ind w:firstLine="555"/>
        <w:rPr>
          <w:rFonts w:ascii="宋体" w:hAnsi="宋体" w:cs="宋体"/>
          <w:kern w:val="0"/>
          <w:sz w:val="24"/>
        </w:rPr>
      </w:pPr>
      <w:r>
        <w:rPr>
          <w:rFonts w:hint="eastAsia" w:ascii="宋体" w:hAnsi="宋体" w:cs="宋体"/>
          <w:kern w:val="0"/>
          <w:sz w:val="24"/>
        </w:rPr>
        <w:t>供应商：（盖单位章）</w:t>
      </w:r>
    </w:p>
    <w:p w14:paraId="7943A6E2">
      <w:pPr>
        <w:spacing w:line="500" w:lineRule="exact"/>
        <w:ind w:firstLine="555"/>
        <w:rPr>
          <w:rFonts w:ascii="宋体" w:hAnsi="宋体" w:cs="宋体"/>
          <w:kern w:val="0"/>
          <w:sz w:val="24"/>
        </w:rPr>
      </w:pPr>
      <w:r>
        <w:rPr>
          <w:rFonts w:hint="eastAsia" w:ascii="宋体" w:hAnsi="宋体" w:cs="宋体"/>
          <w:sz w:val="24"/>
        </w:rPr>
        <w:t>法定代表人（单位负责人）或其委托代理人</w:t>
      </w:r>
      <w:r>
        <w:rPr>
          <w:rFonts w:hint="eastAsia" w:ascii="宋体" w:hAnsi="宋体" w:cs="宋体"/>
          <w:kern w:val="0"/>
          <w:sz w:val="24"/>
        </w:rPr>
        <w:t>：（签字或盖章）</w:t>
      </w:r>
    </w:p>
    <w:p w14:paraId="47F2EF87">
      <w:pPr>
        <w:spacing w:line="500" w:lineRule="exact"/>
        <w:ind w:firstLine="555"/>
        <w:rPr>
          <w:rFonts w:ascii="宋体" w:hAnsi="宋体" w:cs="宋体"/>
          <w:kern w:val="0"/>
          <w:sz w:val="24"/>
        </w:rPr>
      </w:pPr>
      <w:r>
        <w:rPr>
          <w:rFonts w:hint="eastAsia" w:ascii="宋体" w:hAnsi="宋体" w:cs="宋体"/>
          <w:kern w:val="0"/>
          <w:sz w:val="24"/>
        </w:rPr>
        <w:t xml:space="preserve">  </w:t>
      </w:r>
    </w:p>
    <w:p w14:paraId="31D89EB6">
      <w:pPr>
        <w:spacing w:line="500" w:lineRule="exact"/>
        <w:ind w:firstLine="555"/>
        <w:rPr>
          <w:rFonts w:hAnsi="宋体"/>
          <w:b/>
          <w:bCs/>
          <w:color w:val="auto"/>
        </w:rPr>
      </w:pPr>
      <w:r>
        <w:rPr>
          <w:rFonts w:hint="eastAsia" w:ascii="宋体" w:hAnsi="宋体" w:cs="宋体"/>
          <w:kern w:val="0"/>
          <w:sz w:val="24"/>
        </w:rPr>
        <w:t xml:space="preserve">                                                年   月   日</w:t>
      </w:r>
      <w:bookmarkStart w:id="197" w:name="_Toc341106712"/>
      <w:bookmarkStart w:id="198" w:name="_Toc341098399"/>
      <w:bookmarkStart w:id="199" w:name="_Toc380401445"/>
      <w:bookmarkStart w:id="200" w:name="_Toc305822482"/>
    </w:p>
    <w:p w14:paraId="299C9A53">
      <w:pPr>
        <w:pStyle w:val="15"/>
        <w:rPr>
          <w:rFonts w:ascii="宋体" w:hAnsi="宋体" w:cs="宋体"/>
          <w:b/>
          <w:bCs/>
          <w:kern w:val="0"/>
          <w:sz w:val="24"/>
        </w:rPr>
      </w:pPr>
    </w:p>
    <w:p w14:paraId="205A7A9F">
      <w:pPr>
        <w:pStyle w:val="15"/>
        <w:rPr>
          <w:rFonts w:ascii="宋体" w:hAnsi="宋体" w:cs="宋体"/>
          <w:b/>
          <w:bCs/>
          <w:kern w:val="0"/>
          <w:sz w:val="24"/>
        </w:rPr>
      </w:pPr>
    </w:p>
    <w:p w14:paraId="79929D93">
      <w:pPr>
        <w:pStyle w:val="15"/>
        <w:rPr>
          <w:rFonts w:ascii="宋体" w:hAnsi="宋体" w:cs="宋体"/>
          <w:b/>
          <w:bCs/>
          <w:kern w:val="0"/>
          <w:sz w:val="24"/>
        </w:rPr>
      </w:pPr>
    </w:p>
    <w:p w14:paraId="53A982FC">
      <w:pPr>
        <w:pStyle w:val="15"/>
        <w:rPr>
          <w:rFonts w:ascii="宋体" w:hAnsi="宋体" w:cs="宋体"/>
          <w:b/>
          <w:bCs/>
          <w:kern w:val="0"/>
          <w:sz w:val="24"/>
        </w:rPr>
      </w:pPr>
    </w:p>
    <w:p w14:paraId="0C8CA69B">
      <w:pPr>
        <w:pStyle w:val="15"/>
        <w:rPr>
          <w:rFonts w:ascii="宋体" w:hAnsi="宋体" w:cs="宋体"/>
          <w:b/>
          <w:bCs/>
          <w:kern w:val="0"/>
          <w:sz w:val="24"/>
        </w:rPr>
      </w:pPr>
    </w:p>
    <w:bookmarkEnd w:id="197"/>
    <w:bookmarkEnd w:id="198"/>
    <w:bookmarkEnd w:id="199"/>
    <w:bookmarkEnd w:id="200"/>
    <w:p w14:paraId="5F9BB40F">
      <w:pPr>
        <w:ind w:firstLine="2380" w:firstLineChars="850"/>
        <w:rPr>
          <w:rFonts w:ascii="宋体" w:hAnsi="宋体" w:cs="宋体"/>
          <w:kern w:val="0"/>
          <w:sz w:val="28"/>
          <w:szCs w:val="28"/>
        </w:rPr>
      </w:pPr>
    </w:p>
    <w:p w14:paraId="3FB149B6">
      <w:pPr>
        <w:rPr>
          <w:rFonts w:hint="eastAsia" w:ascii="宋体" w:hAnsi="宋体" w:cs="宋体"/>
          <w:b/>
          <w:bCs/>
          <w:kern w:val="0"/>
          <w:sz w:val="24"/>
          <w:lang w:val="en-US" w:eastAsia="zh-CN"/>
        </w:rPr>
      </w:pPr>
      <w:r>
        <w:rPr>
          <w:rFonts w:hint="eastAsia" w:ascii="宋体" w:hAnsi="宋体" w:cs="宋体"/>
          <w:b/>
          <w:bCs/>
          <w:kern w:val="0"/>
          <w:sz w:val="24"/>
          <w:lang w:val="en-US" w:eastAsia="zh-CN"/>
        </w:rPr>
        <w:br w:type="page"/>
      </w:r>
    </w:p>
    <w:p w14:paraId="019AD861">
      <w:pPr>
        <w:rPr>
          <w:rFonts w:ascii="宋体" w:hAnsi="宋体" w:cs="宋体"/>
          <w:b/>
          <w:bCs/>
          <w:kern w:val="0"/>
          <w:sz w:val="24"/>
        </w:rPr>
      </w:pPr>
      <w:r>
        <w:rPr>
          <w:rFonts w:hint="eastAsia" w:ascii="宋体" w:hAnsi="宋体" w:cs="宋体"/>
          <w:b/>
          <w:bCs/>
          <w:kern w:val="0"/>
          <w:sz w:val="24"/>
          <w:lang w:val="en-US" w:eastAsia="zh-CN"/>
        </w:rPr>
        <w:t>2</w:t>
      </w:r>
      <w:r>
        <w:rPr>
          <w:rFonts w:hint="eastAsia" w:ascii="宋体" w:hAnsi="宋体" w:cs="宋体"/>
          <w:b/>
          <w:bCs/>
          <w:kern w:val="0"/>
          <w:sz w:val="24"/>
        </w:rPr>
        <w:t>、根据竞争性磋商文件要求的，或供应商认为需要提交的资料（如有）</w:t>
      </w:r>
    </w:p>
    <w:p w14:paraId="559469E2">
      <w:pPr>
        <w:spacing w:line="460" w:lineRule="exact"/>
        <w:ind w:firstLine="480" w:firstLineChars="200"/>
        <w:jc w:val="left"/>
        <w:rPr>
          <w:rFonts w:ascii="宋体" w:hAnsi="宋体" w:cs="宋体"/>
          <w:kern w:val="0"/>
          <w:sz w:val="24"/>
        </w:rPr>
        <w:sectPr>
          <w:headerReference r:id="rId8" w:type="default"/>
          <w:footerReference r:id="rId9" w:type="default"/>
          <w:pgSz w:w="11906" w:h="16838"/>
          <w:pgMar w:top="1440" w:right="1511" w:bottom="1440" w:left="1800" w:header="851" w:footer="992" w:gutter="0"/>
          <w:cols w:space="720" w:num="1"/>
          <w:docGrid w:type="lines" w:linePitch="312" w:charSpace="0"/>
        </w:sectPr>
      </w:pPr>
    </w:p>
    <w:p w14:paraId="7B2ADD83">
      <w:pPr>
        <w:pStyle w:val="2"/>
        <w:numPr>
          <w:ilvl w:val="1"/>
          <w:numId w:val="0"/>
        </w:numPr>
        <w:tabs>
          <w:tab w:val="left" w:pos="420"/>
          <w:tab w:val="left" w:pos="840"/>
        </w:tabs>
        <w:spacing w:before="0" w:after="0" w:line="360" w:lineRule="auto"/>
        <w:ind w:leftChars="0"/>
        <w:jc w:val="both"/>
        <w:rPr>
          <w:rFonts w:hint="eastAsia" w:ascii="Times New Roman" w:hAnsi="Times New Roman" w:eastAsia="宋体"/>
          <w:color w:val="auto"/>
          <w:highlight w:val="none"/>
          <w:lang w:eastAsia="zh-CN"/>
        </w:rPr>
      </w:pPr>
      <w:bookmarkStart w:id="201" w:name="_Toc20493"/>
      <w:bookmarkStart w:id="202" w:name="_Toc248559960"/>
      <w:bookmarkStart w:id="203" w:name="_Toc57835574"/>
      <w:bookmarkStart w:id="204" w:name="_Toc234919402"/>
      <w:bookmarkStart w:id="205" w:name="_Toc7909"/>
      <w:bookmarkStart w:id="206" w:name="_Toc30077"/>
      <w:bookmarkStart w:id="207" w:name="_Toc22597"/>
      <w:r>
        <w:rPr>
          <w:rFonts w:hint="eastAsia" w:ascii="宋体" w:hAnsi="宋体" w:eastAsia="宋体"/>
          <w:lang w:val="en-US" w:eastAsia="zh-CN"/>
        </w:rPr>
        <w:t>七</w:t>
      </w:r>
      <w:r>
        <w:rPr>
          <w:rFonts w:hint="eastAsia" w:ascii="宋体" w:hAnsi="宋体" w:eastAsia="宋体"/>
        </w:rPr>
        <w:t>、</w:t>
      </w:r>
      <w:bookmarkEnd w:id="201"/>
      <w:bookmarkEnd w:id="202"/>
      <w:bookmarkEnd w:id="203"/>
      <w:bookmarkEnd w:id="204"/>
      <w:r>
        <w:rPr>
          <w:rFonts w:hint="eastAsia" w:ascii="Times New Roman" w:hAnsi="Times New Roman" w:eastAsia="宋体"/>
          <w:color w:val="auto"/>
          <w:highlight w:val="none"/>
          <w:lang w:eastAsia="zh-CN"/>
        </w:rPr>
        <w:t>享有的政府采购优惠政策</w:t>
      </w:r>
      <w:bookmarkEnd w:id="205"/>
      <w:bookmarkEnd w:id="206"/>
      <w:bookmarkEnd w:id="207"/>
    </w:p>
    <w:p w14:paraId="4E7FF601">
      <w:pPr>
        <w:jc w:val="center"/>
        <w:rPr>
          <w:color w:val="auto"/>
          <w:sz w:val="24"/>
          <w:highlight w:val="none"/>
        </w:rPr>
      </w:pPr>
    </w:p>
    <w:p w14:paraId="1CE1EA40">
      <w:pPr>
        <w:tabs>
          <w:tab w:val="left" w:pos="3600"/>
        </w:tabs>
        <w:adjustRightInd w:val="0"/>
        <w:snapToGrid w:val="0"/>
        <w:jc w:val="center"/>
        <w:rPr>
          <w:rFonts w:ascii="宋体" w:hAnsi="宋体" w:cs="宋体"/>
          <w:b/>
          <w:kern w:val="0"/>
          <w:sz w:val="28"/>
          <w:szCs w:val="28"/>
        </w:rPr>
      </w:pPr>
      <w:r>
        <w:rPr>
          <w:rFonts w:hint="eastAsia" w:ascii="宋体" w:hAnsi="宋体" w:cs="宋体"/>
          <w:b/>
          <w:bCs/>
          <w:spacing w:val="6"/>
          <w:kern w:val="0"/>
          <w:sz w:val="28"/>
          <w:szCs w:val="28"/>
        </w:rPr>
        <w:t>1、中小企业声明函</w:t>
      </w:r>
    </w:p>
    <w:p w14:paraId="2970126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本公司（联合体）郑重声明，根据《政府采购促进中小 企业发展管理办法》（财库﹝2020﹞46 号）的规定，本公司（联合体）参加</w:t>
      </w:r>
      <w:r>
        <w:rPr>
          <w:rFonts w:hint="eastAsia" w:ascii="宋体" w:hAnsi="宋体" w:eastAsia="宋体" w:cs="宋体"/>
          <w:i w:val="0"/>
          <w:iCs w:val="0"/>
          <w:color w:val="auto"/>
          <w:kern w:val="0"/>
          <w:sz w:val="21"/>
          <w:szCs w:val="21"/>
          <w:highlight w:val="none"/>
          <w:u w:val="single"/>
          <w:lang w:val="en-US" w:eastAsia="zh-CN" w:bidi="ar"/>
        </w:rPr>
        <w:t>（单位名称）</w:t>
      </w:r>
      <w:r>
        <w:rPr>
          <w:rFonts w:hint="eastAsia" w:ascii="宋体" w:hAnsi="宋体" w:eastAsia="宋体" w:cs="宋体"/>
          <w:i w:val="0"/>
          <w:iCs w:val="0"/>
          <w:color w:val="auto"/>
          <w:kern w:val="0"/>
          <w:sz w:val="21"/>
          <w:szCs w:val="21"/>
          <w:highlight w:val="none"/>
          <w:lang w:val="en-US" w:eastAsia="zh-CN" w:bidi="ar"/>
        </w:rPr>
        <w:t>的</w:t>
      </w:r>
      <w:r>
        <w:rPr>
          <w:rFonts w:hint="eastAsia" w:ascii="宋体" w:hAnsi="宋体" w:eastAsia="宋体" w:cs="宋体"/>
          <w:i w:val="0"/>
          <w:iCs w:val="0"/>
          <w:color w:val="auto"/>
          <w:kern w:val="0"/>
          <w:sz w:val="21"/>
          <w:szCs w:val="21"/>
          <w:highlight w:val="none"/>
          <w:u w:val="single"/>
          <w:lang w:val="en-US" w:eastAsia="zh-CN" w:bidi="ar"/>
        </w:rPr>
        <w:t>（项目名称）</w:t>
      </w:r>
      <w:r>
        <w:rPr>
          <w:rFonts w:hint="eastAsia" w:ascii="宋体" w:hAnsi="宋体" w:eastAsia="宋体" w:cs="宋体"/>
          <w:i w:val="0"/>
          <w:iCs w:val="0"/>
          <w:color w:val="auto"/>
          <w:kern w:val="0"/>
          <w:sz w:val="21"/>
          <w:szCs w:val="21"/>
          <w:highlight w:val="none"/>
          <w:lang w:val="en-US" w:eastAsia="zh-CN" w:bidi="ar"/>
        </w:rPr>
        <w:t>采购活动，服务全部由符合政策要求的中小企业承接。相关企业（含联合体中的中小企业、签订分包意向协议的中小企业）的具体情况如下：</w:t>
      </w:r>
    </w:p>
    <w:p w14:paraId="444DF00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single"/>
          <w:lang w:val="en-US" w:eastAsia="zh-CN" w:bidi="ar"/>
        </w:rPr>
        <w:t xml:space="preserve">（标的名称） </w:t>
      </w:r>
      <w:r>
        <w:rPr>
          <w:rFonts w:hint="eastAsia" w:ascii="宋体" w:hAnsi="宋体" w:eastAsia="宋体" w:cs="宋体"/>
          <w:i w:val="0"/>
          <w:iCs w:val="0"/>
          <w:color w:val="auto"/>
          <w:kern w:val="0"/>
          <w:sz w:val="21"/>
          <w:szCs w:val="21"/>
          <w:highlight w:val="none"/>
          <w:lang w:val="en-US" w:eastAsia="zh-CN" w:bidi="ar"/>
        </w:rPr>
        <w:t>，属于</w:t>
      </w:r>
      <w:r>
        <w:rPr>
          <w:rFonts w:hint="eastAsia" w:ascii="宋体" w:hAnsi="宋体" w:eastAsia="宋体" w:cs="宋体"/>
          <w:i w:val="0"/>
          <w:iCs w:val="0"/>
          <w:color w:val="auto"/>
          <w:kern w:val="0"/>
          <w:sz w:val="21"/>
          <w:szCs w:val="21"/>
          <w:highlight w:val="none"/>
          <w:u w:val="single"/>
          <w:lang w:val="en-US" w:eastAsia="zh-CN" w:bidi="ar"/>
        </w:rPr>
        <w:t>（采购文件中明确的所属行业）</w:t>
      </w:r>
      <w:r>
        <w:rPr>
          <w:rFonts w:hint="eastAsia" w:ascii="宋体" w:hAnsi="宋体" w:eastAsia="宋体" w:cs="宋体"/>
          <w:i w:val="0"/>
          <w:iCs w:val="0"/>
          <w:color w:val="auto"/>
          <w:kern w:val="0"/>
          <w:sz w:val="21"/>
          <w:szCs w:val="21"/>
          <w:highlight w:val="none"/>
          <w:lang w:val="en-US" w:eastAsia="zh-CN" w:bidi="ar"/>
        </w:rPr>
        <w:t>； 承建（承接）企业为</w:t>
      </w:r>
      <w:r>
        <w:rPr>
          <w:rFonts w:hint="eastAsia" w:ascii="宋体" w:hAnsi="宋体" w:eastAsia="宋体" w:cs="宋体"/>
          <w:i w:val="0"/>
          <w:iCs w:val="0"/>
          <w:color w:val="auto"/>
          <w:kern w:val="0"/>
          <w:sz w:val="21"/>
          <w:szCs w:val="21"/>
          <w:highlight w:val="none"/>
          <w:u w:val="single"/>
          <w:lang w:val="en-US" w:eastAsia="zh-CN" w:bidi="ar"/>
        </w:rPr>
        <w:t>（企业名称）</w:t>
      </w:r>
      <w:r>
        <w:rPr>
          <w:rFonts w:hint="eastAsia" w:ascii="宋体" w:hAnsi="宋体" w:eastAsia="宋体" w:cs="宋体"/>
          <w:i w:val="0"/>
          <w:iCs w:val="0"/>
          <w:color w:val="auto"/>
          <w:kern w:val="0"/>
          <w:sz w:val="21"/>
          <w:szCs w:val="21"/>
          <w:highlight w:val="none"/>
          <w:lang w:val="en-US" w:eastAsia="zh-CN" w:bidi="ar"/>
        </w:rPr>
        <w:t>，从业人员</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人，营业收入为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万元，资产总额为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w:t>
      </w:r>
      <w:r>
        <w:rPr>
          <w:rFonts w:hint="eastAsia" w:ascii="宋体" w:hAnsi="宋体" w:eastAsia="宋体" w:cs="宋体"/>
          <w:color w:val="auto"/>
          <w:kern w:val="0"/>
          <w:sz w:val="21"/>
          <w:szCs w:val="21"/>
          <w:highlight w:val="none"/>
          <w:lang w:val="en-US" w:eastAsia="en-US" w:bidi="ar"/>
        </w:rPr>
        <w:t>①</w:t>
      </w:r>
      <w:r>
        <w:rPr>
          <w:rFonts w:hint="eastAsia" w:ascii="宋体" w:hAnsi="宋体" w:eastAsia="宋体" w:cs="宋体"/>
          <w:i w:val="0"/>
          <w:iCs w:val="0"/>
          <w:color w:val="auto"/>
          <w:kern w:val="0"/>
          <w:sz w:val="21"/>
          <w:szCs w:val="21"/>
          <w:highlight w:val="none"/>
          <w:lang w:val="en-US" w:eastAsia="zh-CN" w:bidi="ar"/>
        </w:rPr>
        <w:t>，属于</w:t>
      </w:r>
      <w:r>
        <w:rPr>
          <w:rFonts w:hint="eastAsia" w:ascii="宋体" w:hAnsi="宋体" w:eastAsia="宋体" w:cs="宋体"/>
          <w:i w:val="0"/>
          <w:iCs w:val="0"/>
          <w:color w:val="auto"/>
          <w:kern w:val="0"/>
          <w:sz w:val="21"/>
          <w:szCs w:val="21"/>
          <w:highlight w:val="none"/>
          <w:u w:val="single"/>
          <w:lang w:val="en-US" w:eastAsia="zh-CN" w:bidi="ar"/>
        </w:rPr>
        <w:t>（中型企业、 小型企业、微型企业）</w:t>
      </w:r>
      <w:r>
        <w:rPr>
          <w:rFonts w:hint="eastAsia" w:ascii="宋体" w:hAnsi="宋体" w:eastAsia="宋体" w:cs="宋体"/>
          <w:i w:val="0"/>
          <w:iCs w:val="0"/>
          <w:color w:val="auto"/>
          <w:kern w:val="0"/>
          <w:sz w:val="21"/>
          <w:szCs w:val="21"/>
          <w:highlight w:val="none"/>
          <w:lang w:val="en-US" w:eastAsia="zh-CN" w:bidi="ar"/>
        </w:rPr>
        <w:t xml:space="preserve">； </w:t>
      </w:r>
    </w:p>
    <w:p w14:paraId="205881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2.</w:t>
      </w:r>
      <w:r>
        <w:rPr>
          <w:rFonts w:hint="eastAsia" w:ascii="宋体" w:hAnsi="宋体" w:eastAsia="宋体" w:cs="宋体"/>
          <w:i w:val="0"/>
          <w:iCs w:val="0"/>
          <w:color w:val="auto"/>
          <w:kern w:val="0"/>
          <w:sz w:val="21"/>
          <w:szCs w:val="21"/>
          <w:highlight w:val="none"/>
          <w:u w:val="single"/>
          <w:lang w:val="en-US" w:eastAsia="zh-CN" w:bidi="ar"/>
        </w:rPr>
        <w:t xml:space="preserve">（标的名称） </w:t>
      </w:r>
      <w:r>
        <w:rPr>
          <w:rFonts w:hint="eastAsia" w:ascii="宋体" w:hAnsi="宋体" w:eastAsia="宋体" w:cs="宋体"/>
          <w:i w:val="0"/>
          <w:iCs w:val="0"/>
          <w:color w:val="auto"/>
          <w:kern w:val="0"/>
          <w:sz w:val="21"/>
          <w:szCs w:val="21"/>
          <w:highlight w:val="none"/>
          <w:lang w:val="en-US" w:eastAsia="zh-CN" w:bidi="ar"/>
        </w:rPr>
        <w:t>，属于</w:t>
      </w:r>
      <w:r>
        <w:rPr>
          <w:rFonts w:hint="eastAsia" w:ascii="宋体" w:hAnsi="宋体" w:eastAsia="宋体" w:cs="宋体"/>
          <w:i w:val="0"/>
          <w:iCs w:val="0"/>
          <w:color w:val="auto"/>
          <w:kern w:val="0"/>
          <w:sz w:val="21"/>
          <w:szCs w:val="21"/>
          <w:highlight w:val="none"/>
          <w:u w:val="single"/>
          <w:lang w:val="en-US" w:eastAsia="zh-CN" w:bidi="ar"/>
        </w:rPr>
        <w:t>（采购文件中明确的所属行业）</w:t>
      </w:r>
      <w:r>
        <w:rPr>
          <w:rFonts w:hint="eastAsia" w:ascii="宋体" w:hAnsi="宋体" w:eastAsia="宋体" w:cs="宋体"/>
          <w:i w:val="0"/>
          <w:iCs w:val="0"/>
          <w:color w:val="auto"/>
          <w:kern w:val="0"/>
          <w:sz w:val="21"/>
          <w:szCs w:val="21"/>
          <w:highlight w:val="none"/>
          <w:lang w:val="en-US" w:eastAsia="zh-CN" w:bidi="ar"/>
        </w:rPr>
        <w:t>； 承建（承接）企业为</w:t>
      </w:r>
      <w:r>
        <w:rPr>
          <w:rFonts w:hint="eastAsia" w:ascii="宋体" w:hAnsi="宋体" w:eastAsia="宋体" w:cs="宋体"/>
          <w:i w:val="0"/>
          <w:iCs w:val="0"/>
          <w:color w:val="auto"/>
          <w:kern w:val="0"/>
          <w:sz w:val="21"/>
          <w:szCs w:val="21"/>
          <w:highlight w:val="none"/>
          <w:u w:val="single"/>
          <w:lang w:val="en-US" w:eastAsia="zh-CN" w:bidi="ar"/>
        </w:rPr>
        <w:t>（企业名称）</w:t>
      </w:r>
      <w:r>
        <w:rPr>
          <w:rFonts w:hint="eastAsia" w:ascii="宋体" w:hAnsi="宋体" w:eastAsia="宋体" w:cs="宋体"/>
          <w:i w:val="0"/>
          <w:iCs w:val="0"/>
          <w:color w:val="auto"/>
          <w:kern w:val="0"/>
          <w:sz w:val="21"/>
          <w:szCs w:val="21"/>
          <w:highlight w:val="none"/>
          <w:lang w:val="en-US" w:eastAsia="zh-CN" w:bidi="ar"/>
        </w:rPr>
        <w:t>，从业人员</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人，营业收入为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万元，资产总额为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万元，属于</w:t>
      </w:r>
      <w:r>
        <w:rPr>
          <w:rFonts w:hint="eastAsia" w:ascii="宋体" w:hAnsi="宋体" w:eastAsia="宋体" w:cs="宋体"/>
          <w:i w:val="0"/>
          <w:iCs w:val="0"/>
          <w:color w:val="auto"/>
          <w:kern w:val="0"/>
          <w:sz w:val="21"/>
          <w:szCs w:val="21"/>
          <w:highlight w:val="none"/>
          <w:u w:val="single"/>
          <w:lang w:val="en-US" w:eastAsia="zh-CN" w:bidi="ar"/>
        </w:rPr>
        <w:t>（中型企业、 小型企业、微型企业）</w:t>
      </w:r>
      <w:r>
        <w:rPr>
          <w:rFonts w:hint="eastAsia" w:ascii="宋体" w:hAnsi="宋体" w:eastAsia="宋体" w:cs="宋体"/>
          <w:i w:val="0"/>
          <w:iCs w:val="0"/>
          <w:color w:val="auto"/>
          <w:kern w:val="0"/>
          <w:sz w:val="21"/>
          <w:szCs w:val="21"/>
          <w:highlight w:val="none"/>
          <w:lang w:val="en-US" w:eastAsia="zh-CN" w:bidi="ar"/>
        </w:rPr>
        <w:t xml:space="preserve">； </w:t>
      </w:r>
    </w:p>
    <w:p w14:paraId="71465B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w:t>
      </w:r>
    </w:p>
    <w:p w14:paraId="2A23E8E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以上企业，不属于大企业的分支机构，不存在控股股东 为大企业的情形，也不存在与大企业的负责人为同一人的情形。</w:t>
      </w:r>
    </w:p>
    <w:p w14:paraId="4F6593E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本企业对上述声明内容的真实性负责。如有虚假，将依法承担相应责任。 </w:t>
      </w:r>
    </w:p>
    <w:p w14:paraId="6FE1E428">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企业名称（盖章）： </w:t>
      </w:r>
    </w:p>
    <w:p w14:paraId="58249041">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日 期： </w:t>
      </w:r>
    </w:p>
    <w:p w14:paraId="6A9163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w:t>
      </w:r>
      <w:r>
        <w:rPr>
          <w:rFonts w:hint="eastAsia" w:ascii="宋体" w:hAnsi="宋体" w:eastAsia="宋体" w:cs="宋体"/>
          <w:color w:val="auto"/>
          <w:kern w:val="0"/>
          <w:sz w:val="21"/>
          <w:szCs w:val="21"/>
          <w:highlight w:val="none"/>
          <w:lang w:val="en-US" w:eastAsia="en-US" w:bidi="ar"/>
        </w:rPr>
        <w:t>①</w:t>
      </w:r>
      <w:r>
        <w:rPr>
          <w:rFonts w:hint="eastAsia" w:ascii="宋体" w:hAnsi="宋体" w:eastAsia="宋体" w:cs="宋体"/>
          <w:color w:val="auto"/>
          <w:kern w:val="0"/>
          <w:sz w:val="21"/>
          <w:szCs w:val="21"/>
          <w:highlight w:val="none"/>
          <w:lang w:val="en-US" w:eastAsia="zh-CN" w:bidi="ar"/>
        </w:rPr>
        <w:t>从业人员、营业收入、资产总额填报上一年度数据，无上一年度数据的新成立企业可不填报</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p>
    <w:p w14:paraId="2B9197B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val="en-US" w:eastAsia="en-US"/>
        </w:rPr>
        <w:t>②</w:t>
      </w:r>
      <w:r>
        <w:rPr>
          <w:rFonts w:hint="eastAsia" w:ascii="宋体" w:hAnsi="宋体" w:eastAsia="宋体" w:cs="宋体"/>
          <w:color w:val="auto"/>
          <w:kern w:val="0"/>
          <w:sz w:val="21"/>
          <w:szCs w:val="21"/>
          <w:highlight w:val="none"/>
          <w:lang w:val="en-US" w:eastAsia="zh-CN" w:bidi="ar"/>
        </w:rPr>
        <w:t xml:space="preserve">以联合体形式参加政府采购活动，联合体各方均为中小企业的，联合体视同中小企业。其中，联合体各方均为小微企业的，联合体视同小微企业。 </w:t>
      </w:r>
    </w:p>
    <w:p w14:paraId="4F2EB1B5">
      <w:pPr>
        <w:pStyle w:val="20"/>
        <w:keepNext w:val="0"/>
        <w:keepLines w:val="0"/>
        <w:pageBreakBefore w:val="0"/>
        <w:widowControl w:val="0"/>
        <w:tabs>
          <w:tab w:val="left" w:pos="945"/>
          <w:tab w:val="left" w:pos="1155"/>
        </w:tabs>
        <w:kinsoku/>
        <w:wordWrap/>
        <w:overflowPunct/>
        <w:topLinePunct w:val="0"/>
        <w:autoSpaceDE/>
        <w:autoSpaceDN/>
        <w:bidi w:val="0"/>
        <w:adjustRightInd/>
        <w:snapToGrid/>
        <w:spacing w:after="0" w:afterLines="0" w:line="360" w:lineRule="auto"/>
        <w:ind w:left="0" w:leftChars="0" w:firstLine="420" w:firstLineChars="200"/>
        <w:textAlignment w:val="auto"/>
        <w:rPr>
          <w:rFonts w:hint="eastAsia" w:cs="宋体"/>
          <w:i w:val="0"/>
          <w:iCs w:val="0"/>
          <w:color w:val="auto"/>
          <w:kern w:val="0"/>
          <w:sz w:val="21"/>
          <w:szCs w:val="21"/>
          <w:highlight w:val="none"/>
          <w:lang w:val="en-US" w:eastAsia="zh-CN" w:bidi="ar"/>
        </w:rPr>
      </w:pPr>
      <w:r>
        <w:rPr>
          <w:rFonts w:hint="eastAsia"/>
          <w:i w:val="0"/>
          <w:iCs w:val="0"/>
          <w:color w:val="auto"/>
          <w:sz w:val="21"/>
          <w:szCs w:val="21"/>
          <w:highlight w:val="none"/>
          <w:lang w:val="en-US" w:eastAsia="en-US"/>
        </w:rPr>
        <w:t>③</w:t>
      </w:r>
      <w:r>
        <w:rPr>
          <w:rFonts w:hint="eastAsia" w:ascii="宋体" w:hAnsi="宋体" w:eastAsia="宋体" w:cs="宋体"/>
          <w:i w:val="0"/>
          <w:iCs w:val="0"/>
          <w:color w:val="auto"/>
          <w:kern w:val="0"/>
          <w:sz w:val="21"/>
          <w:szCs w:val="21"/>
          <w:highlight w:val="none"/>
          <w:lang w:val="en-US" w:eastAsia="zh-CN" w:bidi="ar"/>
        </w:rPr>
        <w:t>在政府采购活动中，供应商提供</w:t>
      </w:r>
      <w:r>
        <w:rPr>
          <w:rFonts w:hint="eastAsia" w:ascii="宋体" w:hAnsi="宋体" w:cs="宋体"/>
          <w:i w:val="0"/>
          <w:iCs w:val="0"/>
          <w:color w:val="auto"/>
          <w:kern w:val="0"/>
          <w:sz w:val="21"/>
          <w:szCs w:val="21"/>
          <w:highlight w:val="none"/>
          <w:lang w:val="en-US" w:eastAsia="zh-CN" w:bidi="ar"/>
        </w:rPr>
        <w:t>的</w:t>
      </w:r>
      <w:r>
        <w:rPr>
          <w:rFonts w:hint="eastAsia" w:ascii="宋体" w:hAnsi="宋体" w:eastAsia="宋体" w:cs="宋体"/>
          <w:i w:val="0"/>
          <w:iCs w:val="0"/>
          <w:color w:val="auto"/>
          <w:kern w:val="0"/>
          <w:sz w:val="21"/>
          <w:szCs w:val="21"/>
          <w:highlight w:val="none"/>
          <w:lang w:val="en-US" w:eastAsia="zh-CN" w:bidi="ar"/>
        </w:rPr>
        <w:t>服务由中小企业承接，即提供服务的人员为中小企业依照《中华人民共和国劳动</w:t>
      </w:r>
      <w:r>
        <w:rPr>
          <w:rFonts w:hint="eastAsia" w:cs="宋体"/>
          <w:i w:val="0"/>
          <w:iCs w:val="0"/>
          <w:color w:val="auto"/>
          <w:kern w:val="0"/>
          <w:sz w:val="21"/>
          <w:szCs w:val="21"/>
          <w:highlight w:val="none"/>
          <w:lang w:val="en-US" w:eastAsia="zh-CN" w:bidi="ar"/>
        </w:rPr>
        <w:t>合同法</w:t>
      </w:r>
      <w:r>
        <w:rPr>
          <w:rFonts w:hint="eastAsia" w:ascii="宋体" w:hAnsi="宋体" w:eastAsia="宋体" w:cs="宋体"/>
          <w:i w:val="0"/>
          <w:iCs w:val="0"/>
          <w:color w:val="auto"/>
          <w:kern w:val="0"/>
          <w:sz w:val="21"/>
          <w:szCs w:val="21"/>
          <w:highlight w:val="none"/>
          <w:lang w:val="en-US" w:eastAsia="zh-CN" w:bidi="ar"/>
        </w:rPr>
        <w:t>》订立劳动合同的从业人员</w:t>
      </w:r>
      <w:r>
        <w:rPr>
          <w:rFonts w:hint="eastAsia" w:cs="宋体"/>
          <w:i w:val="0"/>
          <w:iCs w:val="0"/>
          <w:color w:val="auto"/>
          <w:kern w:val="0"/>
          <w:sz w:val="21"/>
          <w:szCs w:val="21"/>
          <w:highlight w:val="none"/>
          <w:lang w:val="en-US" w:eastAsia="zh-CN" w:bidi="ar"/>
        </w:rPr>
        <w:t>。</w:t>
      </w:r>
    </w:p>
    <w:p w14:paraId="4B7004E0">
      <w:pPr>
        <w:pStyle w:val="20"/>
        <w:keepNext w:val="0"/>
        <w:keepLines w:val="0"/>
        <w:pageBreakBefore w:val="0"/>
        <w:widowControl w:val="0"/>
        <w:tabs>
          <w:tab w:val="left" w:pos="945"/>
          <w:tab w:val="left" w:pos="1155"/>
        </w:tabs>
        <w:kinsoku/>
        <w:wordWrap/>
        <w:overflowPunct/>
        <w:topLinePunct w:val="0"/>
        <w:autoSpaceDE/>
        <w:autoSpaceDN/>
        <w:bidi w:val="0"/>
        <w:adjustRightInd/>
        <w:snapToGrid/>
        <w:spacing w:after="0" w:afterLines="0" w:line="360" w:lineRule="auto"/>
        <w:ind w:left="0" w:leftChars="0" w:firstLine="420" w:firstLineChars="200"/>
        <w:textAlignment w:val="auto"/>
        <w:rPr>
          <w:rFonts w:hint="eastAsia"/>
          <w:color w:val="auto"/>
          <w:highlight w:val="none"/>
          <w:lang w:val="en-US" w:eastAsia="zh-CN"/>
        </w:rPr>
      </w:pPr>
      <w:r>
        <w:rPr>
          <w:rFonts w:hint="eastAsia"/>
          <w:i w:val="0"/>
          <w:iCs w:val="0"/>
          <w:color w:val="auto"/>
          <w:sz w:val="21"/>
          <w:szCs w:val="21"/>
          <w:highlight w:val="none"/>
          <w:lang w:val="en-US" w:eastAsia="en-US"/>
        </w:rPr>
        <w:t>③</w:t>
      </w:r>
      <w:r>
        <w:rPr>
          <w:rFonts w:hint="eastAsia" w:ascii="宋体" w:hAnsi="宋体" w:eastAsia="宋体" w:cs="宋体"/>
          <w:i w:val="0"/>
          <w:iCs w:val="0"/>
          <w:color w:val="auto"/>
          <w:kern w:val="0"/>
          <w:sz w:val="21"/>
          <w:szCs w:val="21"/>
          <w:highlight w:val="none"/>
          <w:lang w:val="en-US" w:eastAsia="zh-CN" w:bidi="ar"/>
        </w:rPr>
        <w:t>在政府采购活动中，供应商提供</w:t>
      </w:r>
      <w:r>
        <w:rPr>
          <w:rFonts w:hint="eastAsia" w:ascii="宋体" w:hAnsi="宋体" w:cs="宋体"/>
          <w:i w:val="0"/>
          <w:iCs w:val="0"/>
          <w:color w:val="auto"/>
          <w:kern w:val="0"/>
          <w:sz w:val="21"/>
          <w:szCs w:val="21"/>
          <w:highlight w:val="none"/>
          <w:lang w:val="en-US" w:eastAsia="zh-CN" w:bidi="ar"/>
        </w:rPr>
        <w:t>的</w:t>
      </w:r>
      <w:r>
        <w:rPr>
          <w:rFonts w:hint="eastAsia" w:ascii="宋体" w:hAnsi="宋体" w:eastAsia="宋体" w:cs="宋体"/>
          <w:i w:val="0"/>
          <w:iCs w:val="0"/>
          <w:color w:val="auto"/>
          <w:kern w:val="0"/>
          <w:sz w:val="21"/>
          <w:szCs w:val="21"/>
          <w:highlight w:val="none"/>
          <w:lang w:val="en-US" w:eastAsia="zh-CN" w:bidi="ar"/>
        </w:rPr>
        <w:t>服务由小微企业承接，即提供服务的人员为小微企业依照《中华人民共和国劳动</w:t>
      </w:r>
      <w:r>
        <w:rPr>
          <w:rFonts w:hint="eastAsia" w:cs="宋体"/>
          <w:i w:val="0"/>
          <w:iCs w:val="0"/>
          <w:color w:val="auto"/>
          <w:kern w:val="0"/>
          <w:sz w:val="21"/>
          <w:szCs w:val="21"/>
          <w:highlight w:val="none"/>
          <w:lang w:val="en-US" w:eastAsia="zh-CN" w:bidi="ar"/>
        </w:rPr>
        <w:t>合同法</w:t>
      </w:r>
      <w:r>
        <w:rPr>
          <w:rFonts w:hint="eastAsia" w:ascii="宋体" w:hAnsi="宋体" w:eastAsia="宋体" w:cs="宋体"/>
          <w:i w:val="0"/>
          <w:iCs w:val="0"/>
          <w:color w:val="auto"/>
          <w:kern w:val="0"/>
          <w:sz w:val="21"/>
          <w:szCs w:val="21"/>
          <w:highlight w:val="none"/>
          <w:lang w:val="en-US" w:eastAsia="zh-CN" w:bidi="ar"/>
        </w:rPr>
        <w:t>》订立劳动合同的从业人员的，</w:t>
      </w:r>
      <w:r>
        <w:rPr>
          <w:rFonts w:hint="eastAsia" w:ascii="Times New Roman" w:hAnsi="Times New Roman" w:eastAsia="宋体" w:cs="Times New Roman"/>
          <w:color w:val="auto"/>
          <w:sz w:val="21"/>
          <w:szCs w:val="21"/>
          <w:highlight w:val="none"/>
          <w:lang w:val="en-US" w:eastAsia="zh-CN"/>
        </w:rPr>
        <w:t>才能享受《政府采购促进中小企业发展管理办法》规定的价格扣减</w:t>
      </w:r>
      <w:r>
        <w:rPr>
          <w:rFonts w:hint="eastAsia" w:cs="宋体"/>
          <w:i w:val="0"/>
          <w:iCs w:val="0"/>
          <w:color w:val="auto"/>
          <w:kern w:val="0"/>
          <w:sz w:val="21"/>
          <w:szCs w:val="21"/>
          <w:highlight w:val="none"/>
          <w:lang w:val="en-US" w:eastAsia="zh-CN" w:bidi="ar"/>
        </w:rPr>
        <w:t>。</w:t>
      </w:r>
    </w:p>
    <w:p w14:paraId="620E3D35">
      <w:pPr>
        <w:pStyle w:val="19"/>
        <w:tabs>
          <w:tab w:val="left" w:pos="567"/>
        </w:tabs>
        <w:rPr>
          <w:rFonts w:hint="eastAsia" w:ascii="宋体" w:hAnsi="宋体" w:eastAsia="宋体" w:cs="宋体"/>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④</w:t>
      </w:r>
      <w:r>
        <w:rPr>
          <w:rFonts w:hint="eastAsia" w:ascii="宋体" w:hAnsi="宋体" w:eastAsia="宋体" w:cs="宋体"/>
          <w:color w:val="auto"/>
          <w:kern w:val="0"/>
          <w:sz w:val="21"/>
          <w:szCs w:val="21"/>
          <w:highlight w:val="none"/>
          <w:lang w:val="en-US" w:eastAsia="zh-CN" w:bidi="ar"/>
        </w:rPr>
        <w:t>在服务采购项目中，服务的承接商应当为中小企业，不对其中涉及的货物的制造商作出要求。</w:t>
      </w:r>
    </w:p>
    <w:p w14:paraId="03D5F5BE">
      <w:pPr>
        <w:rPr>
          <w:rFonts w:hint="eastAsia" w:ascii="宋体" w:hAnsi="宋体" w:cs="宋体"/>
          <w:b/>
          <w:bCs/>
          <w:spacing w:val="6"/>
          <w:kern w:val="0"/>
          <w:sz w:val="28"/>
          <w:szCs w:val="28"/>
        </w:rPr>
      </w:pPr>
      <w:bookmarkStart w:id="208" w:name="OLE_LINK13"/>
      <w:bookmarkStart w:id="209" w:name="OLE_LINK14"/>
      <w:r>
        <w:rPr>
          <w:rFonts w:hint="eastAsia" w:ascii="宋体" w:hAnsi="宋体" w:cs="宋体"/>
          <w:b/>
          <w:bCs/>
          <w:spacing w:val="6"/>
          <w:kern w:val="0"/>
          <w:sz w:val="28"/>
          <w:szCs w:val="28"/>
        </w:rPr>
        <w:br w:type="page"/>
      </w:r>
    </w:p>
    <w:p w14:paraId="1A79DFD4">
      <w:pPr>
        <w:tabs>
          <w:tab w:val="left" w:pos="3600"/>
        </w:tabs>
        <w:adjustRightInd w:val="0"/>
        <w:snapToGrid w:val="0"/>
        <w:jc w:val="center"/>
        <w:rPr>
          <w:rFonts w:ascii="宋体" w:hAnsi="宋体" w:cs="宋体"/>
          <w:b/>
          <w:bCs/>
          <w:spacing w:val="6"/>
          <w:kern w:val="0"/>
          <w:sz w:val="28"/>
          <w:szCs w:val="28"/>
        </w:rPr>
      </w:pPr>
      <w:r>
        <w:rPr>
          <w:rFonts w:hint="eastAsia" w:ascii="宋体" w:hAnsi="宋体" w:cs="宋体"/>
          <w:b/>
          <w:bCs/>
          <w:spacing w:val="6"/>
          <w:kern w:val="0"/>
          <w:sz w:val="28"/>
          <w:szCs w:val="28"/>
        </w:rPr>
        <w:t>2、残疾人福利性单位声明函</w:t>
      </w:r>
    </w:p>
    <w:bookmarkEnd w:id="208"/>
    <w:bookmarkEnd w:id="209"/>
    <w:p w14:paraId="5F533751">
      <w:pPr>
        <w:spacing w:line="360" w:lineRule="auto"/>
        <w:rPr>
          <w:rFonts w:ascii="宋体" w:hAnsi="宋体" w:cs="宋体"/>
          <w:b/>
          <w:spacing w:val="6"/>
          <w:szCs w:val="21"/>
        </w:rPr>
      </w:pPr>
    </w:p>
    <w:p w14:paraId="5FB4CA37">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6F0F9BFB">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21EEF2AB">
      <w:pPr>
        <w:spacing w:line="360" w:lineRule="auto"/>
        <w:ind w:firstLine="444" w:firstLineChars="200"/>
        <w:rPr>
          <w:rFonts w:hint="eastAsia" w:ascii="宋体" w:hAnsi="宋体" w:cs="宋体"/>
          <w:color w:val="auto"/>
          <w:spacing w:val="6"/>
          <w:szCs w:val="21"/>
          <w:highlight w:val="none"/>
        </w:rPr>
      </w:pPr>
    </w:p>
    <w:p w14:paraId="3214C1A5">
      <w:pPr>
        <w:spacing w:line="360" w:lineRule="auto"/>
        <w:ind w:firstLine="444" w:firstLineChars="200"/>
        <w:rPr>
          <w:rFonts w:hint="eastAsia" w:ascii="宋体" w:hAnsi="宋体" w:cs="宋体"/>
          <w:color w:val="auto"/>
          <w:spacing w:val="6"/>
          <w:szCs w:val="21"/>
          <w:highlight w:val="none"/>
        </w:rPr>
      </w:pPr>
    </w:p>
    <w:p w14:paraId="3516D5F2">
      <w:pPr>
        <w:tabs>
          <w:tab w:val="left" w:pos="4860"/>
        </w:tabs>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14:paraId="1D2964A7">
      <w:pPr>
        <w:tabs>
          <w:tab w:val="left" w:pos="4860"/>
        </w:tabs>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14:paraId="711C0488">
      <w:pPr>
        <w:tabs>
          <w:tab w:val="left" w:pos="840"/>
        </w:tabs>
        <w:autoSpaceDE w:val="0"/>
        <w:autoSpaceDN w:val="0"/>
        <w:adjustRightInd w:val="0"/>
        <w:spacing w:line="360" w:lineRule="auto"/>
        <w:jc w:val="center"/>
        <w:rPr>
          <w:rFonts w:hint="eastAsia" w:ascii="宋体" w:hAnsi="宋体"/>
          <w:b/>
          <w:color w:val="auto"/>
          <w:sz w:val="24"/>
          <w:highlight w:val="none"/>
        </w:rPr>
      </w:pPr>
    </w:p>
    <w:p w14:paraId="4B9EE7AC">
      <w:pPr>
        <w:widowControl/>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（提醒：如果</w:t>
      </w:r>
      <w:r>
        <w:rPr>
          <w:rFonts w:hint="eastAsia" w:ascii="宋体" w:hAnsi="宋体" w:cs="宋体"/>
          <w:b/>
          <w:color w:val="auto"/>
          <w:szCs w:val="21"/>
          <w:highlight w:val="none"/>
          <w:lang w:eastAsia="zh-CN"/>
        </w:rPr>
        <w:t>供应商</w:t>
      </w:r>
      <w:r>
        <w:rPr>
          <w:rFonts w:hint="eastAsia" w:ascii="宋体" w:hAnsi="宋体" w:cs="宋体"/>
          <w:b/>
          <w:color w:val="auto"/>
          <w:spacing w:val="10"/>
          <w:kern w:val="0"/>
          <w:szCs w:val="21"/>
          <w:highlight w:val="none"/>
        </w:rPr>
        <w:t>不是残疾人福利性单位</w:t>
      </w:r>
      <w:r>
        <w:rPr>
          <w:rFonts w:hint="eastAsia" w:ascii="宋体" w:hAnsi="宋体" w:cs="宋体"/>
          <w:b/>
          <w:color w:val="auto"/>
          <w:szCs w:val="21"/>
          <w:highlight w:val="none"/>
        </w:rPr>
        <w:t>，则不需要提供《残疾人福利性单位声明函》。否则，因此导致虚假</w:t>
      </w:r>
      <w:r>
        <w:rPr>
          <w:rFonts w:hint="eastAsia" w:cs="宋体"/>
          <w:b/>
          <w:color w:val="auto"/>
          <w:szCs w:val="21"/>
          <w:highlight w:val="none"/>
          <w:lang w:eastAsia="zh-CN"/>
        </w:rPr>
        <w:t>响应</w:t>
      </w:r>
      <w:r>
        <w:rPr>
          <w:rFonts w:hint="eastAsia" w:ascii="宋体" w:hAnsi="宋体" w:cs="宋体"/>
          <w:b/>
          <w:color w:val="auto"/>
          <w:szCs w:val="21"/>
          <w:highlight w:val="none"/>
        </w:rPr>
        <w:t>的后果由</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自行承担。）</w:t>
      </w:r>
    </w:p>
    <w:p w14:paraId="2E02E67F">
      <w:pPr>
        <w:tabs>
          <w:tab w:val="left" w:pos="840"/>
        </w:tabs>
        <w:autoSpaceDE w:val="0"/>
        <w:autoSpaceDN w:val="0"/>
        <w:adjustRightInd w:val="0"/>
        <w:spacing w:line="360" w:lineRule="auto"/>
        <w:jc w:val="both"/>
        <w:rPr>
          <w:rFonts w:hint="eastAsia" w:ascii="宋体" w:hAnsi="宋体"/>
          <w:b/>
          <w:color w:val="auto"/>
          <w:sz w:val="24"/>
          <w:highlight w:val="none"/>
        </w:rPr>
      </w:pPr>
    </w:p>
    <w:p w14:paraId="7FD6D77B">
      <w:pPr>
        <w:spacing w:line="360" w:lineRule="auto"/>
        <w:rPr>
          <w:rFonts w:hint="eastAsia"/>
          <w:color w:val="auto"/>
          <w:highlight w:val="none"/>
        </w:rPr>
      </w:pPr>
      <w:r>
        <w:rPr>
          <w:rFonts w:hint="eastAsia"/>
          <w:color w:val="auto"/>
          <w:highlight w:val="none"/>
        </w:rPr>
        <w:t>《财政部民政部中国残疾人联合会关于促进残疾人就业政府采购政策的通知》（财库2017〔141〕号）的规定：</w:t>
      </w:r>
    </w:p>
    <w:p w14:paraId="7DC8F6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享受政府采购支持政策的残疾人福利性单位应当同时满足以下条件：</w:t>
      </w:r>
    </w:p>
    <w:p w14:paraId="78CA02FD">
      <w:pPr>
        <w:spacing w:line="360" w:lineRule="auto"/>
        <w:rPr>
          <w:rFonts w:hint="eastAsia"/>
          <w:color w:val="auto"/>
          <w:highlight w:val="none"/>
        </w:rPr>
      </w:pPr>
      <w:r>
        <w:rPr>
          <w:rFonts w:hint="eastAsia"/>
          <w:color w:val="auto"/>
          <w:highlight w:val="none"/>
        </w:rPr>
        <w:t>（1）安置的残疾人占本单位在职职工人数的比例不低于25%（含25%），并且安置的残疾人人数不少于10人（含10人）；</w:t>
      </w:r>
    </w:p>
    <w:p w14:paraId="66CFDBE5">
      <w:pPr>
        <w:spacing w:line="360" w:lineRule="auto"/>
        <w:rPr>
          <w:rFonts w:hint="eastAsia"/>
          <w:color w:val="auto"/>
          <w:highlight w:val="none"/>
        </w:rPr>
      </w:pPr>
      <w:r>
        <w:rPr>
          <w:rFonts w:hint="eastAsia"/>
          <w:color w:val="auto"/>
          <w:highlight w:val="none"/>
        </w:rPr>
        <w:t>（2）依法与安置的每位残疾人签订了一年以上（含一年）的劳动合同或服务协议；</w:t>
      </w:r>
    </w:p>
    <w:p w14:paraId="6C0D3BE1">
      <w:pPr>
        <w:spacing w:line="360" w:lineRule="auto"/>
        <w:rPr>
          <w:rFonts w:hint="eastAsia"/>
          <w:color w:val="auto"/>
          <w:highlight w:val="none"/>
        </w:rPr>
      </w:pPr>
      <w:r>
        <w:rPr>
          <w:rFonts w:hint="eastAsia"/>
          <w:color w:val="auto"/>
          <w:highlight w:val="none"/>
        </w:rPr>
        <w:t>（3）为安置的每位残疾人按月足额缴纳了基本养老保险、基本医疗保险、失业保险、工伤保险和生育保险等社会保险费；</w:t>
      </w:r>
    </w:p>
    <w:p w14:paraId="3BB5FDCC">
      <w:pPr>
        <w:spacing w:line="360" w:lineRule="auto"/>
        <w:rPr>
          <w:rFonts w:hint="eastAsia"/>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14:paraId="0633700C">
      <w:pPr>
        <w:spacing w:line="360" w:lineRule="auto"/>
        <w:rPr>
          <w:rFonts w:hint="eastAsia"/>
          <w:color w:val="auto"/>
          <w:highlight w:val="none"/>
        </w:rPr>
      </w:pPr>
      <w:r>
        <w:rPr>
          <w:rFonts w:hint="eastAsia"/>
          <w:color w:val="auto"/>
          <w:highlight w:val="none"/>
        </w:rPr>
        <w:t>（5）提供本单位制造的货物、承担的工程或者服务（以下简称产品），或者提供其他残疾人福利性单位制造的货物（不包括使用非残疾人福利性单位注册商标的货物）。</w:t>
      </w:r>
    </w:p>
    <w:p w14:paraId="36B1046E">
      <w:pPr>
        <w:spacing w:line="360" w:lineRule="auto"/>
        <w:ind w:firstLine="420" w:firstLineChars="200"/>
        <w:rPr>
          <w:rFonts w:hint="eastAsia" w:ascii="宋体" w:hAnsi="宋体"/>
          <w:b/>
          <w:color w:val="auto"/>
          <w:sz w:val="24"/>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为残疾人福利性单位的，采购人或者其委托的采购代理机构应当随</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、成交结果同时公告其《残疾人福利性单位声明函》，接受社会监督。</w:t>
      </w:r>
    </w:p>
    <w:p w14:paraId="01F08246">
      <w:pPr>
        <w:tabs>
          <w:tab w:val="left" w:pos="3600"/>
        </w:tabs>
        <w:adjustRightInd w:val="0"/>
        <w:snapToGrid w:val="0"/>
        <w:jc w:val="center"/>
        <w:rPr>
          <w:rFonts w:ascii="宋体" w:hAnsi="宋体" w:cs="宋体"/>
          <w:b/>
          <w:bCs/>
          <w:spacing w:val="6"/>
          <w:kern w:val="0"/>
          <w:sz w:val="28"/>
          <w:szCs w:val="28"/>
        </w:rPr>
      </w:pPr>
      <w:r>
        <w:rPr>
          <w:rFonts w:hint="eastAsia" w:ascii="宋体" w:hAnsi="宋体" w:cs="宋体"/>
          <w:b/>
          <w:bCs/>
          <w:spacing w:val="6"/>
          <w:kern w:val="0"/>
          <w:sz w:val="28"/>
          <w:szCs w:val="28"/>
        </w:rPr>
        <w:t>3、监狱企业证明文件</w:t>
      </w:r>
    </w:p>
    <w:p w14:paraId="42227392">
      <w:pPr>
        <w:adjustRightInd w:val="0"/>
        <w:snapToGrid w:val="0"/>
        <w:spacing w:line="360" w:lineRule="auto"/>
        <w:rPr>
          <w:rFonts w:ascii="宋体" w:hAnsi="宋体" w:cs="宋体"/>
        </w:rPr>
      </w:pPr>
    </w:p>
    <w:p w14:paraId="0CE2AA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GB" w:eastAsia="zh-CN"/>
        </w:rPr>
      </w:pPr>
      <w:r>
        <w:rPr>
          <w:rFonts w:hint="eastAsia"/>
          <w:color w:val="auto"/>
          <w:highlight w:val="none"/>
          <w:lang w:val="en-GB" w:eastAsia="zh-CN"/>
        </w:rPr>
        <w:t>监狱企业参加政府采购活动时，应当提供由省级以上监狱管理局、戒毒管理局（含新疆生产建设兵团）出具的属于监狱企业的证明文件。</w:t>
      </w:r>
    </w:p>
    <w:p w14:paraId="0BB89729">
      <w:pPr>
        <w:rPr>
          <w:rFonts w:hint="eastAsia"/>
          <w:highlight w:val="none"/>
          <w:lang w:val="en-US" w:eastAsia="zh-CN"/>
        </w:rPr>
      </w:pPr>
    </w:p>
    <w:p w14:paraId="47432BE8">
      <w:pPr>
        <w:rPr>
          <w:rFonts w:hint="eastAsia"/>
          <w:highlight w:val="none"/>
          <w:lang w:val="en-US" w:eastAsia="zh-CN"/>
        </w:rPr>
      </w:pPr>
    </w:p>
    <w:p w14:paraId="2E54ADE5">
      <w:pPr>
        <w:widowControl/>
        <w:spacing w:line="360" w:lineRule="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（提醒：如果</w:t>
      </w:r>
      <w:r>
        <w:rPr>
          <w:rFonts w:hint="eastAsia" w:cs="宋体"/>
          <w:b/>
          <w:bCs w:val="0"/>
          <w:color w:val="auto"/>
          <w:sz w:val="21"/>
          <w:szCs w:val="21"/>
          <w:highlight w:val="none"/>
          <w:lang w:eastAsia="zh-CN"/>
        </w:rPr>
        <w:t>供应商</w:t>
      </w:r>
      <w:r>
        <w:rPr>
          <w:rFonts w:hint="eastAsia" w:ascii="宋体" w:hAnsi="宋体" w:cs="宋体"/>
          <w:b/>
          <w:bCs w:val="0"/>
          <w:color w:val="auto"/>
          <w:spacing w:val="10"/>
          <w:kern w:val="0"/>
          <w:sz w:val="21"/>
          <w:szCs w:val="21"/>
          <w:highlight w:val="none"/>
        </w:rPr>
        <w:t>不是</w:t>
      </w:r>
      <w:r>
        <w:rPr>
          <w:rFonts w:hint="eastAsia" w:ascii="宋体" w:hAnsi="宋体" w:eastAsia="宋体"/>
          <w:b/>
          <w:bCs w:val="0"/>
          <w:color w:val="auto"/>
          <w:sz w:val="21"/>
          <w:szCs w:val="21"/>
          <w:highlight w:val="none"/>
          <w:lang w:val="en-GB" w:eastAsia="zh-CN"/>
        </w:rPr>
        <w:t>监狱企业</w:t>
      </w:r>
      <w:r>
        <w:rPr>
          <w:rFonts w:hint="eastAsia" w:ascii="宋体" w:hAnsi="宋体" w:cs="宋体"/>
          <w:b/>
          <w:bCs w:val="0"/>
          <w:color w:val="auto"/>
          <w:sz w:val="21"/>
          <w:szCs w:val="21"/>
          <w:highlight w:val="none"/>
        </w:rPr>
        <w:t>，则不需要提供</w:t>
      </w:r>
      <w:r>
        <w:rPr>
          <w:rFonts w:hint="eastAsia" w:ascii="宋体" w:hAnsi="宋体" w:cs="宋体"/>
          <w:b/>
          <w:bCs w:val="0"/>
          <w:color w:val="auto"/>
          <w:sz w:val="21"/>
          <w:szCs w:val="21"/>
          <w:highlight w:val="none"/>
          <w:lang w:val="en-GB" w:eastAsia="zh-CN"/>
        </w:rPr>
        <w:t>监狱企业证明材料</w:t>
      </w:r>
      <w:r>
        <w:rPr>
          <w:rFonts w:hint="eastAsia" w:ascii="宋体" w:hAnsi="宋体" w:cs="宋体"/>
          <w:b/>
          <w:bCs w:val="0"/>
          <w:color w:val="auto"/>
          <w:sz w:val="21"/>
          <w:szCs w:val="21"/>
          <w:highlight w:val="none"/>
        </w:rPr>
        <w:t>）</w:t>
      </w:r>
    </w:p>
    <w:p w14:paraId="049F8DDC">
      <w:pPr>
        <w:widowControl/>
        <w:spacing w:line="520" w:lineRule="exact"/>
        <w:rPr>
          <w:rFonts w:ascii="宋体" w:hAnsi="宋体"/>
          <w:sz w:val="28"/>
        </w:rPr>
        <w:sectPr>
          <w:footerReference r:id="rId10" w:type="default"/>
          <w:pgSz w:w="11906" w:h="16838"/>
          <w:pgMar w:top="1440" w:right="1706" w:bottom="1440" w:left="1800" w:header="851" w:footer="992" w:gutter="0"/>
          <w:pgNumType w:fmt="decimal"/>
          <w:cols w:space="720" w:num="1"/>
          <w:docGrid w:type="lines" w:linePitch="312" w:charSpace="0"/>
        </w:sectPr>
      </w:pPr>
    </w:p>
    <w:p w14:paraId="602FAC64">
      <w:pPr>
        <w:pStyle w:val="2"/>
        <w:numPr>
          <w:ilvl w:val="1"/>
          <w:numId w:val="0"/>
        </w:numPr>
        <w:spacing w:before="0" w:after="0" w:line="360" w:lineRule="auto"/>
        <w:ind w:leftChars="0"/>
        <w:jc w:val="center"/>
        <w:rPr>
          <w:rFonts w:ascii="宋体" w:hAnsi="宋体" w:eastAsia="宋体" w:cs="宋体"/>
          <w:color w:val="auto"/>
          <w:sz w:val="28"/>
          <w:szCs w:val="28"/>
          <w:highlight w:val="none"/>
        </w:rPr>
      </w:pPr>
      <w:bookmarkStart w:id="210" w:name="_Toc24821"/>
      <w:bookmarkStart w:id="211" w:name="_Toc6826"/>
      <w:bookmarkStart w:id="212" w:name="_Toc21124"/>
      <w:bookmarkStart w:id="213" w:name="_Toc17453"/>
      <w:bookmarkStart w:id="214" w:name="_Toc17645"/>
      <w:bookmarkStart w:id="215" w:name="_Toc13373"/>
      <w:bookmarkStart w:id="216" w:name="_Toc835"/>
      <w:r>
        <w:rPr>
          <w:rFonts w:hint="eastAsia" w:ascii="宋体" w:hAnsi="宋体" w:eastAsia="宋体" w:cs="宋体"/>
          <w:color w:val="auto"/>
          <w:kern w:val="0"/>
          <w:highlight w:val="none"/>
          <w:lang w:val="zh-CN"/>
        </w:rPr>
        <w:t>供应商最后报价表</w:t>
      </w:r>
      <w:bookmarkEnd w:id="210"/>
      <w:bookmarkEnd w:id="211"/>
      <w:bookmarkEnd w:id="212"/>
      <w:bookmarkEnd w:id="213"/>
      <w:bookmarkEnd w:id="214"/>
      <w:bookmarkEnd w:id="215"/>
      <w:bookmarkEnd w:id="216"/>
    </w:p>
    <w:p w14:paraId="5866B4DF">
      <w:pPr>
        <w:autoSpaceDE w:val="0"/>
        <w:autoSpaceDN w:val="0"/>
        <w:adjustRightInd w:val="0"/>
        <w:spacing w:line="360" w:lineRule="auto"/>
        <w:rPr>
          <w:rFonts w:hint="default" w:ascii="宋体" w:hAnsi="宋体" w:eastAsia="宋体" w:cs="宋体"/>
          <w:b/>
          <w:color w:val="000000"/>
          <w:kern w:val="0"/>
          <w:sz w:val="24"/>
          <w:lang w:val="en-US" w:eastAsia="zh-CN"/>
        </w:rPr>
      </w:pPr>
      <w:r>
        <w:rPr>
          <w:rFonts w:hint="eastAsia" w:ascii="宋体" w:hAnsi="宋体" w:cs="宋体"/>
          <w:b/>
          <w:color w:val="000000"/>
          <w:kern w:val="0"/>
          <w:sz w:val="24"/>
        </w:rPr>
        <w:t>供应商应通过河南省公共资源交易平台进行最后报价</w:t>
      </w:r>
    </w:p>
    <w:p w14:paraId="5683414D">
      <w:pPr>
        <w:rPr>
          <w:rFonts w:hint="eastAsia" w:ascii="宋体" w:hAnsi="宋体" w:cs="宋体"/>
          <w:color w:val="auto"/>
          <w:sz w:val="24"/>
          <w:highlight w:val="none"/>
        </w:rPr>
      </w:pPr>
    </w:p>
    <w:p w14:paraId="27BCA839">
      <w:pPr>
        <w:rPr>
          <w:color w:val="000000" w:themeColor="text1"/>
          <w:highlight w:val="none"/>
          <w14:textFill>
            <w14:solidFill>
              <w14:schemeClr w14:val="tx1"/>
            </w14:solidFill>
          </w14:textFill>
        </w:rPr>
      </w:pPr>
    </w:p>
    <w:sectPr>
      <w:headerReference r:id="rId11" w:type="default"/>
      <w:footerReference r:id="rId12" w:type="default"/>
      <w:footerReference r:id="rId13" w:type="even"/>
      <w:pgSz w:w="11900" w:h="16843"/>
      <w:pgMar w:top="1417" w:right="1559" w:bottom="1417" w:left="1559" w:header="0"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长城仿宋">
    <w:altName w:val="仿宋"/>
    <w:panose1 w:val="00000000000000000000"/>
    <w:charset w:val="00"/>
    <w:family w:val="moder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1C3F">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5E0D8">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625E0D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D949">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63C0E">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D63C0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405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CF44C">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6CF44C">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BB23">
    <w:pPr>
      <w:spacing w:before="1" w:line="179" w:lineRule="auto"/>
      <w:rPr>
        <w:rFonts w:eastAsia="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112F2">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E9112F2">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651B">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4F889">
                          <w:pPr>
                            <w:pStyle w:val="1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3364F889">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4BB8">
    <w:pPr>
      <w:pStyle w:val="11"/>
      <w:tabs>
        <w:tab w:val="clear" w:pos="4153"/>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AF66">
    <w:pPr>
      <w:pStyle w:val="11"/>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45B4A">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D645B4A">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C432">
    <w:pPr>
      <w:pStyle w:val="11"/>
      <w:framePr w:wrap="around" w:vAnchor="text" w:hAnchor="margin" w:xAlign="right" w:y="1"/>
      <w:rPr>
        <w:rStyle w:val="25"/>
      </w:rPr>
    </w:pPr>
    <w:r>
      <w:fldChar w:fldCharType="begin"/>
    </w:r>
    <w:r>
      <w:rPr>
        <w:rStyle w:val="25"/>
      </w:rPr>
      <w:instrText xml:space="preserve">PAGE  </w:instrText>
    </w:r>
    <w:r>
      <w:fldChar w:fldCharType="end"/>
    </w:r>
  </w:p>
  <w:p w14:paraId="15D53E38">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A205">
    <w:pPr>
      <w:pStyle w:val="13"/>
      <w:pBdr>
        <w:top w:val="none" w:color="auto" w:sz="0" w:space="1"/>
        <w:left w:val="none" w:color="auto" w:sz="0" w:space="4"/>
        <w:bottom w:val="none" w:color="auto" w:sz="0" w:space="1"/>
        <w:right w:val="none" w:color="auto" w:sz="0"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A526">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9EF0">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0D20E"/>
    <w:multiLevelType w:val="singleLevel"/>
    <w:tmpl w:val="8ED0D20E"/>
    <w:lvl w:ilvl="0" w:tentative="0">
      <w:start w:val="1"/>
      <w:numFmt w:val="decimal"/>
      <w:suff w:val="nothing"/>
      <w:lvlText w:val="%1、"/>
      <w:lvlJc w:val="left"/>
    </w:lvl>
  </w:abstractNum>
  <w:abstractNum w:abstractNumId="1">
    <w:nsid w:val="F3E0D7C0"/>
    <w:multiLevelType w:val="singleLevel"/>
    <w:tmpl w:val="F3E0D7C0"/>
    <w:lvl w:ilvl="0" w:tentative="0">
      <w:start w:val="3"/>
      <w:numFmt w:val="chineseCounting"/>
      <w:suff w:val="space"/>
      <w:lvlText w:val="第%1章"/>
      <w:lvlJc w:val="left"/>
      <w:rPr>
        <w:rFonts w:hint="eastAsia"/>
      </w:rPr>
    </w:lvl>
  </w:abstractNum>
  <w:abstractNum w:abstractNumId="2">
    <w:nsid w:val="0000000E"/>
    <w:multiLevelType w:val="multilevel"/>
    <w:tmpl w:val="0000000E"/>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A33460"/>
    <w:multiLevelType w:val="singleLevel"/>
    <w:tmpl w:val="25A33460"/>
    <w:lvl w:ilvl="0" w:tentative="0">
      <w:start w:val="6"/>
      <w:numFmt w:val="decimal"/>
      <w:lvlText w:val="%1."/>
      <w:lvlJc w:val="left"/>
      <w:pPr>
        <w:tabs>
          <w:tab w:val="left" w:pos="312"/>
        </w:tabs>
      </w:pPr>
    </w:lvl>
  </w:abstractNum>
  <w:abstractNum w:abstractNumId="5">
    <w:nsid w:val="411C17F8"/>
    <w:multiLevelType w:val="singleLevel"/>
    <w:tmpl w:val="411C17F8"/>
    <w:lvl w:ilvl="0" w:tentative="0">
      <w:start w:val="36"/>
      <w:numFmt w:val="decimal"/>
      <w:lvlText w:val="%1."/>
      <w:lvlJc w:val="left"/>
      <w:pPr>
        <w:tabs>
          <w:tab w:val="left" w:pos="312"/>
        </w:tabs>
      </w:pPr>
    </w:lvl>
  </w:abstractNum>
  <w:abstractNum w:abstractNumId="6">
    <w:nsid w:val="41EF30BC"/>
    <w:multiLevelType w:val="multilevel"/>
    <w:tmpl w:val="41EF30BC"/>
    <w:lvl w:ilvl="0" w:tentative="0">
      <w:start w:val="1"/>
      <w:numFmt w:val="chineseCountingThousand"/>
      <w:pStyle w:val="50"/>
      <w:suff w:val="space"/>
      <w:lvlText w:val="第%1条"/>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33CB10"/>
    <w:multiLevelType w:val="singleLevel"/>
    <w:tmpl w:val="6F33CB10"/>
    <w:lvl w:ilvl="0" w:tentative="0">
      <w:start w:val="7"/>
      <w:numFmt w:val="chineseCounting"/>
      <w:suff w:val="nothing"/>
      <w:lvlText w:val="%1、"/>
      <w:lvlJc w:val="left"/>
      <w:rPr>
        <w:rFonts w:hint="eastAsia"/>
      </w:rPr>
    </w:lvl>
  </w:abstractNum>
  <w:abstractNum w:abstractNumId="9">
    <w:nsid w:val="7FE830F6"/>
    <w:multiLevelType w:val="singleLevel"/>
    <w:tmpl w:val="7FE830F6"/>
    <w:lvl w:ilvl="0" w:tentative="0">
      <w:start w:val="4"/>
      <w:numFmt w:val="decimal"/>
      <w:suff w:val="nothing"/>
      <w:lvlText w:val="%1、"/>
      <w:lvlJc w:val="left"/>
    </w:lvl>
  </w:abstractNum>
  <w:num w:numId="1">
    <w:abstractNumId w:val="2"/>
  </w:num>
  <w:num w:numId="2">
    <w:abstractNumId w:val="6"/>
  </w:num>
  <w:num w:numId="3">
    <w:abstractNumId w:val="9"/>
  </w:num>
  <w:num w:numId="4">
    <w:abstractNumId w:val="8"/>
  </w:num>
  <w:num w:numId="5">
    <w:abstractNumId w:val="5"/>
  </w:num>
  <w:num w:numId="6">
    <w:abstractNumId w:val="1"/>
  </w:num>
  <w:num w:numId="7">
    <w:abstractNumId w:val="4"/>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zI0MjVlZDMwZmM2N2Y2MWRhNTNlMzAwNzY3ZjQifQ=="/>
  </w:docVars>
  <w:rsids>
    <w:rsidRoot w:val="01121E61"/>
    <w:rsid w:val="000D5616"/>
    <w:rsid w:val="00264E69"/>
    <w:rsid w:val="002B6923"/>
    <w:rsid w:val="005138B1"/>
    <w:rsid w:val="00536A17"/>
    <w:rsid w:val="006A446D"/>
    <w:rsid w:val="009533A5"/>
    <w:rsid w:val="00B20EAB"/>
    <w:rsid w:val="00B96B23"/>
    <w:rsid w:val="00C366A1"/>
    <w:rsid w:val="01121E61"/>
    <w:rsid w:val="0119677B"/>
    <w:rsid w:val="01293D06"/>
    <w:rsid w:val="01311D17"/>
    <w:rsid w:val="01787946"/>
    <w:rsid w:val="01791910"/>
    <w:rsid w:val="01B42948"/>
    <w:rsid w:val="01C25065"/>
    <w:rsid w:val="01F64D0F"/>
    <w:rsid w:val="022A6766"/>
    <w:rsid w:val="02474584"/>
    <w:rsid w:val="02B96468"/>
    <w:rsid w:val="032C4E8C"/>
    <w:rsid w:val="034321D6"/>
    <w:rsid w:val="03433852"/>
    <w:rsid w:val="0348489B"/>
    <w:rsid w:val="03BF6974"/>
    <w:rsid w:val="04272E41"/>
    <w:rsid w:val="0433224A"/>
    <w:rsid w:val="04512238"/>
    <w:rsid w:val="047274EA"/>
    <w:rsid w:val="04777E40"/>
    <w:rsid w:val="050D65F7"/>
    <w:rsid w:val="05524952"/>
    <w:rsid w:val="057E5747"/>
    <w:rsid w:val="05F6352F"/>
    <w:rsid w:val="06277B8D"/>
    <w:rsid w:val="06EB0473"/>
    <w:rsid w:val="070E48A8"/>
    <w:rsid w:val="073A6EFA"/>
    <w:rsid w:val="074D22E3"/>
    <w:rsid w:val="077C09B2"/>
    <w:rsid w:val="07A70F85"/>
    <w:rsid w:val="07AA39B0"/>
    <w:rsid w:val="08AD0F38"/>
    <w:rsid w:val="08D35DAA"/>
    <w:rsid w:val="08DB6A0C"/>
    <w:rsid w:val="09130467"/>
    <w:rsid w:val="09137F54"/>
    <w:rsid w:val="09153CCC"/>
    <w:rsid w:val="09267C87"/>
    <w:rsid w:val="09BB0D18"/>
    <w:rsid w:val="09BE6112"/>
    <w:rsid w:val="09BF4C3D"/>
    <w:rsid w:val="09C33728"/>
    <w:rsid w:val="09D5345C"/>
    <w:rsid w:val="09EA6548"/>
    <w:rsid w:val="0A157CFC"/>
    <w:rsid w:val="0A382368"/>
    <w:rsid w:val="0A4A209B"/>
    <w:rsid w:val="0A805ABD"/>
    <w:rsid w:val="0A8729A8"/>
    <w:rsid w:val="0AB539B9"/>
    <w:rsid w:val="0ACB635E"/>
    <w:rsid w:val="0ACC0D02"/>
    <w:rsid w:val="0B3B3792"/>
    <w:rsid w:val="0B865355"/>
    <w:rsid w:val="0B9432B1"/>
    <w:rsid w:val="0BF16C73"/>
    <w:rsid w:val="0C1B3CF0"/>
    <w:rsid w:val="0C6531BD"/>
    <w:rsid w:val="0C9D2956"/>
    <w:rsid w:val="0CE30109"/>
    <w:rsid w:val="0CEF4568"/>
    <w:rsid w:val="0DAB10A3"/>
    <w:rsid w:val="0E042561"/>
    <w:rsid w:val="0E407A3D"/>
    <w:rsid w:val="0E552DBD"/>
    <w:rsid w:val="0E5C3CD8"/>
    <w:rsid w:val="0E7476AF"/>
    <w:rsid w:val="0E76520D"/>
    <w:rsid w:val="0EC1590B"/>
    <w:rsid w:val="0ED308B1"/>
    <w:rsid w:val="0EF00B8E"/>
    <w:rsid w:val="0F024CF3"/>
    <w:rsid w:val="0F36499C"/>
    <w:rsid w:val="0F3D3AB4"/>
    <w:rsid w:val="0F8A6A96"/>
    <w:rsid w:val="0FC14BAE"/>
    <w:rsid w:val="0FD348E1"/>
    <w:rsid w:val="102E1B18"/>
    <w:rsid w:val="10352EA6"/>
    <w:rsid w:val="10437371"/>
    <w:rsid w:val="105A46BB"/>
    <w:rsid w:val="105C6FA6"/>
    <w:rsid w:val="10663FA6"/>
    <w:rsid w:val="10857989"/>
    <w:rsid w:val="10AA73F0"/>
    <w:rsid w:val="11274EE5"/>
    <w:rsid w:val="11365128"/>
    <w:rsid w:val="117D4B05"/>
    <w:rsid w:val="11BB03D1"/>
    <w:rsid w:val="12210C8B"/>
    <w:rsid w:val="125F5BBA"/>
    <w:rsid w:val="12DA0B84"/>
    <w:rsid w:val="13250FB0"/>
    <w:rsid w:val="13366ECA"/>
    <w:rsid w:val="134E49AB"/>
    <w:rsid w:val="13834BB0"/>
    <w:rsid w:val="13902179"/>
    <w:rsid w:val="13DC1FB6"/>
    <w:rsid w:val="13F4249E"/>
    <w:rsid w:val="14127DEE"/>
    <w:rsid w:val="144935C3"/>
    <w:rsid w:val="157F1C29"/>
    <w:rsid w:val="15D05B4B"/>
    <w:rsid w:val="15D55E23"/>
    <w:rsid w:val="164819A1"/>
    <w:rsid w:val="1689368C"/>
    <w:rsid w:val="16D276A1"/>
    <w:rsid w:val="17330822"/>
    <w:rsid w:val="178F2FEA"/>
    <w:rsid w:val="17D336D0"/>
    <w:rsid w:val="18271890"/>
    <w:rsid w:val="185760AF"/>
    <w:rsid w:val="1862194C"/>
    <w:rsid w:val="18B40FA7"/>
    <w:rsid w:val="195C5A1A"/>
    <w:rsid w:val="19834C82"/>
    <w:rsid w:val="19864D35"/>
    <w:rsid w:val="19A223C6"/>
    <w:rsid w:val="19AA0461"/>
    <w:rsid w:val="1A0175FF"/>
    <w:rsid w:val="1A2975D8"/>
    <w:rsid w:val="1A725422"/>
    <w:rsid w:val="1AEA1010"/>
    <w:rsid w:val="1B2B3823"/>
    <w:rsid w:val="1B9C64CF"/>
    <w:rsid w:val="1C16002F"/>
    <w:rsid w:val="1C4050AC"/>
    <w:rsid w:val="1C50423D"/>
    <w:rsid w:val="1C7D3C0B"/>
    <w:rsid w:val="1CA76EDA"/>
    <w:rsid w:val="1CCE25C1"/>
    <w:rsid w:val="1D1F4CC2"/>
    <w:rsid w:val="1D383FD6"/>
    <w:rsid w:val="1D436C02"/>
    <w:rsid w:val="1D4D5CD3"/>
    <w:rsid w:val="1E2C3B3A"/>
    <w:rsid w:val="1E507BDD"/>
    <w:rsid w:val="1E8D2E73"/>
    <w:rsid w:val="1E933BB9"/>
    <w:rsid w:val="1F8E7021"/>
    <w:rsid w:val="1FA752D0"/>
    <w:rsid w:val="200A3A07"/>
    <w:rsid w:val="20246A20"/>
    <w:rsid w:val="204D09BC"/>
    <w:rsid w:val="204D7D98"/>
    <w:rsid w:val="20AD62F4"/>
    <w:rsid w:val="21336F8E"/>
    <w:rsid w:val="216D6944"/>
    <w:rsid w:val="21AC3BEE"/>
    <w:rsid w:val="21DE6493"/>
    <w:rsid w:val="22394A78"/>
    <w:rsid w:val="227B5090"/>
    <w:rsid w:val="232A616E"/>
    <w:rsid w:val="235F7681"/>
    <w:rsid w:val="23EC2B8F"/>
    <w:rsid w:val="240D7F6A"/>
    <w:rsid w:val="2421453C"/>
    <w:rsid w:val="244D0366"/>
    <w:rsid w:val="24AD5D0E"/>
    <w:rsid w:val="24BB79C6"/>
    <w:rsid w:val="24BF4A3A"/>
    <w:rsid w:val="24C3687B"/>
    <w:rsid w:val="24E231A5"/>
    <w:rsid w:val="24FD7FDE"/>
    <w:rsid w:val="254A0D4A"/>
    <w:rsid w:val="25626093"/>
    <w:rsid w:val="258C1362"/>
    <w:rsid w:val="25C805EC"/>
    <w:rsid w:val="25E80121"/>
    <w:rsid w:val="25F969F8"/>
    <w:rsid w:val="260145C4"/>
    <w:rsid w:val="26282E39"/>
    <w:rsid w:val="26A85D28"/>
    <w:rsid w:val="26DE5BE2"/>
    <w:rsid w:val="27160EE4"/>
    <w:rsid w:val="2742617D"/>
    <w:rsid w:val="27CF4537"/>
    <w:rsid w:val="286D547B"/>
    <w:rsid w:val="28AD1D1C"/>
    <w:rsid w:val="28DE1D6B"/>
    <w:rsid w:val="291B0A33"/>
    <w:rsid w:val="296A3769"/>
    <w:rsid w:val="29C42E79"/>
    <w:rsid w:val="2A227706"/>
    <w:rsid w:val="2AB82B65"/>
    <w:rsid w:val="2AD25A69"/>
    <w:rsid w:val="2AD46A97"/>
    <w:rsid w:val="2B1A4D1A"/>
    <w:rsid w:val="2B3943B1"/>
    <w:rsid w:val="2B8F5708"/>
    <w:rsid w:val="2BB331A5"/>
    <w:rsid w:val="2C2936EE"/>
    <w:rsid w:val="2C307849"/>
    <w:rsid w:val="2C732934"/>
    <w:rsid w:val="2CB847EB"/>
    <w:rsid w:val="2CBE100D"/>
    <w:rsid w:val="2CCE3AD5"/>
    <w:rsid w:val="2CEA709A"/>
    <w:rsid w:val="2D08043D"/>
    <w:rsid w:val="2E020414"/>
    <w:rsid w:val="2E6046D7"/>
    <w:rsid w:val="2E9279E9"/>
    <w:rsid w:val="2E960B5C"/>
    <w:rsid w:val="2EC4698F"/>
    <w:rsid w:val="2F041F69"/>
    <w:rsid w:val="2F713AA3"/>
    <w:rsid w:val="303C3A3A"/>
    <w:rsid w:val="307C26FF"/>
    <w:rsid w:val="307F5D4C"/>
    <w:rsid w:val="30E107B4"/>
    <w:rsid w:val="30FE6600"/>
    <w:rsid w:val="3106646D"/>
    <w:rsid w:val="310A4565"/>
    <w:rsid w:val="312623FE"/>
    <w:rsid w:val="313D5470"/>
    <w:rsid w:val="314825E1"/>
    <w:rsid w:val="31592A40"/>
    <w:rsid w:val="316E7B6E"/>
    <w:rsid w:val="31761E32"/>
    <w:rsid w:val="31AF08B2"/>
    <w:rsid w:val="31CD2AE7"/>
    <w:rsid w:val="31D43E75"/>
    <w:rsid w:val="31F45406"/>
    <w:rsid w:val="32234617"/>
    <w:rsid w:val="32655415"/>
    <w:rsid w:val="328D2734"/>
    <w:rsid w:val="32BC3287"/>
    <w:rsid w:val="32D06D32"/>
    <w:rsid w:val="32DF6F75"/>
    <w:rsid w:val="331C1F78"/>
    <w:rsid w:val="334943EF"/>
    <w:rsid w:val="33A31D51"/>
    <w:rsid w:val="33A37FA3"/>
    <w:rsid w:val="33B421B0"/>
    <w:rsid w:val="34052A0C"/>
    <w:rsid w:val="341D1E88"/>
    <w:rsid w:val="34CD18E8"/>
    <w:rsid w:val="353C420B"/>
    <w:rsid w:val="354573E8"/>
    <w:rsid w:val="35527ED3"/>
    <w:rsid w:val="356814A4"/>
    <w:rsid w:val="357C6CFE"/>
    <w:rsid w:val="35D8183C"/>
    <w:rsid w:val="35DF523C"/>
    <w:rsid w:val="36B85B13"/>
    <w:rsid w:val="36BD312A"/>
    <w:rsid w:val="379D4EBE"/>
    <w:rsid w:val="38526E65"/>
    <w:rsid w:val="385A4F72"/>
    <w:rsid w:val="38EE1885"/>
    <w:rsid w:val="391B6628"/>
    <w:rsid w:val="39EC3D26"/>
    <w:rsid w:val="3A5C70FE"/>
    <w:rsid w:val="3A7B3A28"/>
    <w:rsid w:val="3B84690C"/>
    <w:rsid w:val="3BC66F24"/>
    <w:rsid w:val="3C047A4D"/>
    <w:rsid w:val="3D0E0B83"/>
    <w:rsid w:val="3D6937CD"/>
    <w:rsid w:val="3DC56D68"/>
    <w:rsid w:val="3E2148E6"/>
    <w:rsid w:val="3E577358"/>
    <w:rsid w:val="3F0A3AFD"/>
    <w:rsid w:val="3F0D4E6A"/>
    <w:rsid w:val="3F6F51DD"/>
    <w:rsid w:val="3F9F1F66"/>
    <w:rsid w:val="3FF71F14"/>
    <w:rsid w:val="40813AF9"/>
    <w:rsid w:val="408178BE"/>
    <w:rsid w:val="40A83D8E"/>
    <w:rsid w:val="41FE3B4C"/>
    <w:rsid w:val="421F738E"/>
    <w:rsid w:val="42206C63"/>
    <w:rsid w:val="424D6A50"/>
    <w:rsid w:val="42645DC4"/>
    <w:rsid w:val="43065E58"/>
    <w:rsid w:val="43922065"/>
    <w:rsid w:val="439717F6"/>
    <w:rsid w:val="43B342D5"/>
    <w:rsid w:val="43D83C99"/>
    <w:rsid w:val="449750E1"/>
    <w:rsid w:val="449820DA"/>
    <w:rsid w:val="44D61706"/>
    <w:rsid w:val="44EE129A"/>
    <w:rsid w:val="45C6385F"/>
    <w:rsid w:val="45CB798D"/>
    <w:rsid w:val="4613720A"/>
    <w:rsid w:val="46317690"/>
    <w:rsid w:val="464C0026"/>
    <w:rsid w:val="466C2476"/>
    <w:rsid w:val="47305B9A"/>
    <w:rsid w:val="478D08F6"/>
    <w:rsid w:val="47AD2D46"/>
    <w:rsid w:val="47C84024"/>
    <w:rsid w:val="47F44E19"/>
    <w:rsid w:val="48036E0A"/>
    <w:rsid w:val="482C45B3"/>
    <w:rsid w:val="48EC3D42"/>
    <w:rsid w:val="48EE3617"/>
    <w:rsid w:val="49663AF5"/>
    <w:rsid w:val="496C34A6"/>
    <w:rsid w:val="49725FF6"/>
    <w:rsid w:val="497438E3"/>
    <w:rsid w:val="49900B72"/>
    <w:rsid w:val="49A81A17"/>
    <w:rsid w:val="49D14E84"/>
    <w:rsid w:val="4A915507"/>
    <w:rsid w:val="4A9401EE"/>
    <w:rsid w:val="4ACF1226"/>
    <w:rsid w:val="4B39373D"/>
    <w:rsid w:val="4B5D6832"/>
    <w:rsid w:val="4B8F7333"/>
    <w:rsid w:val="4C231829"/>
    <w:rsid w:val="4C2D4456"/>
    <w:rsid w:val="4C355756"/>
    <w:rsid w:val="4C891FD4"/>
    <w:rsid w:val="4C940979"/>
    <w:rsid w:val="4CCE79E7"/>
    <w:rsid w:val="4CE41429"/>
    <w:rsid w:val="4D21045F"/>
    <w:rsid w:val="4DAE15C6"/>
    <w:rsid w:val="4DDB619E"/>
    <w:rsid w:val="4E323096"/>
    <w:rsid w:val="4E375A60"/>
    <w:rsid w:val="4F6B0EDA"/>
    <w:rsid w:val="4FB1350F"/>
    <w:rsid w:val="50050A2B"/>
    <w:rsid w:val="500A342C"/>
    <w:rsid w:val="50F1639A"/>
    <w:rsid w:val="51574732"/>
    <w:rsid w:val="516E3547"/>
    <w:rsid w:val="517B1C76"/>
    <w:rsid w:val="519531C9"/>
    <w:rsid w:val="51A056CA"/>
    <w:rsid w:val="51BF1FF4"/>
    <w:rsid w:val="528608AB"/>
    <w:rsid w:val="52AD009F"/>
    <w:rsid w:val="52C8137C"/>
    <w:rsid w:val="52CD6993"/>
    <w:rsid w:val="53034162"/>
    <w:rsid w:val="53F52A81"/>
    <w:rsid w:val="540E2DBF"/>
    <w:rsid w:val="54882B71"/>
    <w:rsid w:val="549332C4"/>
    <w:rsid w:val="54A13C33"/>
    <w:rsid w:val="54D9161F"/>
    <w:rsid w:val="554618F6"/>
    <w:rsid w:val="5565391B"/>
    <w:rsid w:val="55AD03B6"/>
    <w:rsid w:val="56130B60"/>
    <w:rsid w:val="56431446"/>
    <w:rsid w:val="564B654C"/>
    <w:rsid w:val="566C3E09"/>
    <w:rsid w:val="56FB1D20"/>
    <w:rsid w:val="57450FFA"/>
    <w:rsid w:val="578F1BAA"/>
    <w:rsid w:val="57AD28EF"/>
    <w:rsid w:val="582157B7"/>
    <w:rsid w:val="58AD704A"/>
    <w:rsid w:val="59636026"/>
    <w:rsid w:val="59821829"/>
    <w:rsid w:val="5A117165"/>
    <w:rsid w:val="5A6E07BD"/>
    <w:rsid w:val="5ADF13D3"/>
    <w:rsid w:val="5AFD593B"/>
    <w:rsid w:val="5B803978"/>
    <w:rsid w:val="5B8B735D"/>
    <w:rsid w:val="5BB97AB4"/>
    <w:rsid w:val="5BDC19F5"/>
    <w:rsid w:val="5CB87D6C"/>
    <w:rsid w:val="5D047455"/>
    <w:rsid w:val="5D1560FD"/>
    <w:rsid w:val="5D20445F"/>
    <w:rsid w:val="5D7874FB"/>
    <w:rsid w:val="5E3B2A02"/>
    <w:rsid w:val="5E4C4C10"/>
    <w:rsid w:val="5E9D4758"/>
    <w:rsid w:val="5EA06D09"/>
    <w:rsid w:val="5F392843"/>
    <w:rsid w:val="5F3D5E23"/>
    <w:rsid w:val="5F41229A"/>
    <w:rsid w:val="5F645F89"/>
    <w:rsid w:val="5F701483"/>
    <w:rsid w:val="5FB62BC7"/>
    <w:rsid w:val="60056FA4"/>
    <w:rsid w:val="605C0654"/>
    <w:rsid w:val="6078146D"/>
    <w:rsid w:val="608F5287"/>
    <w:rsid w:val="60CE5DB0"/>
    <w:rsid w:val="61137C66"/>
    <w:rsid w:val="61966640"/>
    <w:rsid w:val="61972646"/>
    <w:rsid w:val="629B43B7"/>
    <w:rsid w:val="62EC4C13"/>
    <w:rsid w:val="631B2082"/>
    <w:rsid w:val="637846F9"/>
    <w:rsid w:val="63A31776"/>
    <w:rsid w:val="63FC70D8"/>
    <w:rsid w:val="64562060"/>
    <w:rsid w:val="648D3899"/>
    <w:rsid w:val="64B145FA"/>
    <w:rsid w:val="64C179D9"/>
    <w:rsid w:val="65003F37"/>
    <w:rsid w:val="65366619"/>
    <w:rsid w:val="6587477F"/>
    <w:rsid w:val="65C13A86"/>
    <w:rsid w:val="65CE0600"/>
    <w:rsid w:val="66383CCB"/>
    <w:rsid w:val="6661370E"/>
    <w:rsid w:val="666F5074"/>
    <w:rsid w:val="66B46207"/>
    <w:rsid w:val="672A3F5C"/>
    <w:rsid w:val="673D3C8F"/>
    <w:rsid w:val="67AE20A4"/>
    <w:rsid w:val="682E3C2D"/>
    <w:rsid w:val="68F55527"/>
    <w:rsid w:val="692639E6"/>
    <w:rsid w:val="69A137DA"/>
    <w:rsid w:val="69F11740"/>
    <w:rsid w:val="69F12B0F"/>
    <w:rsid w:val="69F85C4B"/>
    <w:rsid w:val="69FF4345"/>
    <w:rsid w:val="6A102F95"/>
    <w:rsid w:val="6A1D3904"/>
    <w:rsid w:val="6AA06A0F"/>
    <w:rsid w:val="6AA54025"/>
    <w:rsid w:val="6AE10DD5"/>
    <w:rsid w:val="6AE61F48"/>
    <w:rsid w:val="6B641B0C"/>
    <w:rsid w:val="6B8005EE"/>
    <w:rsid w:val="6BA709B0"/>
    <w:rsid w:val="6BBF1117"/>
    <w:rsid w:val="6BFB7D7A"/>
    <w:rsid w:val="6C4E4249"/>
    <w:rsid w:val="6C68488F"/>
    <w:rsid w:val="6C991968"/>
    <w:rsid w:val="6CD02EB0"/>
    <w:rsid w:val="6CD3474E"/>
    <w:rsid w:val="6CDA5A16"/>
    <w:rsid w:val="6D40691B"/>
    <w:rsid w:val="6D9143ED"/>
    <w:rsid w:val="6DB74CDB"/>
    <w:rsid w:val="6E0225E3"/>
    <w:rsid w:val="6E1558F3"/>
    <w:rsid w:val="6E32327D"/>
    <w:rsid w:val="6EA73F07"/>
    <w:rsid w:val="6EBB1D37"/>
    <w:rsid w:val="6EF32E85"/>
    <w:rsid w:val="6F58441F"/>
    <w:rsid w:val="6F7B6FC4"/>
    <w:rsid w:val="6FE90F46"/>
    <w:rsid w:val="6FF179F0"/>
    <w:rsid w:val="70356606"/>
    <w:rsid w:val="70673B2B"/>
    <w:rsid w:val="70812E3F"/>
    <w:rsid w:val="70A94143"/>
    <w:rsid w:val="70B207C4"/>
    <w:rsid w:val="70B43760"/>
    <w:rsid w:val="70CD7E32"/>
    <w:rsid w:val="70E90EF5"/>
    <w:rsid w:val="70F74EAF"/>
    <w:rsid w:val="718C70C2"/>
    <w:rsid w:val="71950224"/>
    <w:rsid w:val="71CA611F"/>
    <w:rsid w:val="71D23226"/>
    <w:rsid w:val="726447C6"/>
    <w:rsid w:val="72B1108D"/>
    <w:rsid w:val="72CE4243"/>
    <w:rsid w:val="73243F55"/>
    <w:rsid w:val="73A32B19"/>
    <w:rsid w:val="73C82B32"/>
    <w:rsid w:val="74024296"/>
    <w:rsid w:val="741713C4"/>
    <w:rsid w:val="746E0CCF"/>
    <w:rsid w:val="74B80DF9"/>
    <w:rsid w:val="74DD616A"/>
    <w:rsid w:val="74FD7ACC"/>
    <w:rsid w:val="750B5FA9"/>
    <w:rsid w:val="751A7FB2"/>
    <w:rsid w:val="75357D54"/>
    <w:rsid w:val="76BE5591"/>
    <w:rsid w:val="76D161A2"/>
    <w:rsid w:val="76D90BB3"/>
    <w:rsid w:val="76EF432B"/>
    <w:rsid w:val="76F1414E"/>
    <w:rsid w:val="770C71DA"/>
    <w:rsid w:val="771163BF"/>
    <w:rsid w:val="77361410"/>
    <w:rsid w:val="7808777E"/>
    <w:rsid w:val="780954C8"/>
    <w:rsid w:val="78542BE7"/>
    <w:rsid w:val="78886D34"/>
    <w:rsid w:val="7A094A4C"/>
    <w:rsid w:val="7A173ECC"/>
    <w:rsid w:val="7A8157E9"/>
    <w:rsid w:val="7B3F7B7E"/>
    <w:rsid w:val="7B4E7DC1"/>
    <w:rsid w:val="7B6F1AE6"/>
    <w:rsid w:val="7B9638E8"/>
    <w:rsid w:val="7C0E57A2"/>
    <w:rsid w:val="7C1C7EBF"/>
    <w:rsid w:val="7CDD1B87"/>
    <w:rsid w:val="7DB47125"/>
    <w:rsid w:val="7E4436FD"/>
    <w:rsid w:val="7E5F22E5"/>
    <w:rsid w:val="7E7C2E71"/>
    <w:rsid w:val="7F2A2589"/>
    <w:rsid w:val="7F590AE3"/>
    <w:rsid w:val="7F7F60DF"/>
    <w:rsid w:val="7FF8479F"/>
    <w:rsid w:val="7FF9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autoRedefine/>
    <w:qFormat/>
    <w:uiPriority w:val="0"/>
    <w:pPr>
      <w:keepNext/>
      <w:jc w:val="center"/>
      <w:outlineLvl w:val="0"/>
    </w:pPr>
    <w:rPr>
      <w:b/>
      <w:bCs/>
      <w:sz w:val="24"/>
      <w:szCs w:val="20"/>
    </w:rPr>
  </w:style>
  <w:style w:type="paragraph" w:styleId="2">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qFormat/>
    <w:uiPriority w:val="0"/>
    <w:pPr>
      <w:keepNext/>
      <w:keepLines/>
      <w:numPr>
        <w:ilvl w:val="2"/>
        <w:numId w:val="1"/>
      </w:numPr>
      <w:spacing w:before="260" w:after="260" w:line="415" w:lineRule="auto"/>
      <w:outlineLvl w:val="2"/>
    </w:pPr>
    <w:rPr>
      <w:rFonts w:eastAsia="仿宋_GB2312"/>
      <w:b/>
      <w:bCs/>
      <w:kern w:val="0"/>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spacing w:after="120"/>
      <w:ind w:left="420" w:leftChars="200"/>
    </w:pPr>
  </w:style>
  <w:style w:type="paragraph" w:styleId="9">
    <w:name w:val="List 2"/>
    <w:basedOn w:val="1"/>
    <w:autoRedefine/>
    <w:qFormat/>
    <w:uiPriority w:val="0"/>
    <w:pPr>
      <w:ind w:left="100" w:leftChars="200" w:hanging="200" w:hangingChars="200"/>
    </w:pPr>
  </w:style>
  <w:style w:type="paragraph" w:styleId="10">
    <w:name w:val="Plain Text"/>
    <w:basedOn w:val="1"/>
    <w:autoRedefine/>
    <w:qFormat/>
    <w:uiPriority w:val="0"/>
    <w:rPr>
      <w:rFonts w:ascii="宋体" w:hAnsi="Courier New" w:cs="Courier New"/>
      <w:szCs w:val="21"/>
    </w:rPr>
  </w:style>
  <w:style w:type="paragraph" w:styleId="11">
    <w:name w:val="footer"/>
    <w:basedOn w:val="1"/>
    <w:link w:val="51"/>
    <w:autoRedefine/>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39"/>
    <w:pPr>
      <w:ind w:left="420" w:leftChars="200"/>
    </w:pPr>
  </w:style>
  <w:style w:type="paragraph" w:styleId="17">
    <w:name w:val="Body Text 2"/>
    <w:basedOn w:val="1"/>
    <w:autoRedefine/>
    <w:qFormat/>
    <w:uiPriority w:val="0"/>
    <w:pPr>
      <w:spacing w:after="120" w:line="480" w:lineRule="auto"/>
    </w:p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w:basedOn w:val="7"/>
    <w:next w:val="1"/>
    <w:autoRedefine/>
    <w:qFormat/>
    <w:uiPriority w:val="0"/>
    <w:pPr>
      <w:ind w:firstLine="420" w:firstLineChars="100"/>
    </w:pPr>
  </w:style>
  <w:style w:type="paragraph" w:styleId="20">
    <w:name w:val="Body Text First Indent 2"/>
    <w:basedOn w:val="8"/>
    <w:autoRedefine/>
    <w:qFormat/>
    <w:uiPriority w:val="0"/>
    <w:pPr>
      <w:ind w:firstLine="420" w:firstLineChars="200"/>
    </w:p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basedOn w:val="23"/>
    <w:autoRedefine/>
    <w:qFormat/>
    <w:uiPriority w:val="0"/>
    <w:rPr>
      <w:color w:val="5C5C5C"/>
      <w:u w:val="none"/>
    </w:rPr>
  </w:style>
  <w:style w:type="character" w:styleId="27">
    <w:name w:val="Emphasis"/>
    <w:autoRedefine/>
    <w:qFormat/>
    <w:uiPriority w:val="20"/>
    <w:rPr>
      <w:rFonts w:ascii="Times New Roman" w:hAnsi="Times New Roman" w:eastAsia="宋体"/>
    </w:rPr>
  </w:style>
  <w:style w:type="character" w:styleId="28">
    <w:name w:val="HTML Definition"/>
    <w:basedOn w:val="23"/>
    <w:autoRedefine/>
    <w:qFormat/>
    <w:uiPriority w:val="0"/>
  </w:style>
  <w:style w:type="character" w:styleId="29">
    <w:name w:val="HTML Typewriter"/>
    <w:basedOn w:val="23"/>
    <w:autoRedefine/>
    <w:qFormat/>
    <w:uiPriority w:val="0"/>
    <w:rPr>
      <w:rFonts w:ascii="monospace" w:hAnsi="monospace" w:eastAsia="monospace" w:cs="monospace"/>
      <w:sz w:val="20"/>
    </w:rPr>
  </w:style>
  <w:style w:type="character" w:styleId="30">
    <w:name w:val="HTML Acronym"/>
    <w:basedOn w:val="23"/>
    <w:autoRedefine/>
    <w:qFormat/>
    <w:uiPriority w:val="0"/>
  </w:style>
  <w:style w:type="character" w:styleId="31">
    <w:name w:val="HTML Variable"/>
    <w:basedOn w:val="23"/>
    <w:autoRedefine/>
    <w:qFormat/>
    <w:uiPriority w:val="0"/>
  </w:style>
  <w:style w:type="character" w:styleId="32">
    <w:name w:val="Hyperlink"/>
    <w:autoRedefine/>
    <w:qFormat/>
    <w:uiPriority w:val="99"/>
    <w:rPr>
      <w:color w:val="136EC2"/>
      <w:u w:val="single"/>
    </w:rPr>
  </w:style>
  <w:style w:type="character" w:styleId="33">
    <w:name w:val="HTML Code"/>
    <w:basedOn w:val="23"/>
    <w:autoRedefine/>
    <w:qFormat/>
    <w:uiPriority w:val="0"/>
    <w:rPr>
      <w:rFonts w:hint="default" w:ascii="monospace" w:hAnsi="monospace" w:eastAsia="monospace" w:cs="monospace"/>
      <w:sz w:val="20"/>
    </w:rPr>
  </w:style>
  <w:style w:type="character" w:styleId="34">
    <w:name w:val="annotation reference"/>
    <w:autoRedefine/>
    <w:qFormat/>
    <w:uiPriority w:val="99"/>
    <w:rPr>
      <w:sz w:val="21"/>
      <w:szCs w:val="21"/>
    </w:rPr>
  </w:style>
  <w:style w:type="character" w:styleId="35">
    <w:name w:val="HTML Cite"/>
    <w:basedOn w:val="23"/>
    <w:autoRedefine/>
    <w:qFormat/>
    <w:uiPriority w:val="0"/>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hint="default" w:ascii="monospace" w:hAnsi="monospace" w:eastAsia="monospace" w:cs="monospace"/>
    </w:rPr>
  </w:style>
  <w:style w:type="paragraph" w:customStyle="1" w:styleId="38">
    <w:name w:val="Default"/>
    <w:next w:val="15"/>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9">
    <w:name w:val="正文1"/>
    <w:autoRedefine/>
    <w:qFormat/>
    <w:uiPriority w:val="0"/>
    <w:pPr>
      <w:widowControl w:val="0"/>
      <w:adjustRightInd w:val="0"/>
      <w:spacing w:line="360" w:lineRule="atLeast"/>
      <w:textAlignment w:val="baseline"/>
    </w:pPr>
    <w:rPr>
      <w:rFonts w:ascii="宋体" w:hAnsi="Calibri" w:eastAsia="宋体" w:cs="Times New Roman"/>
      <w:sz w:val="24"/>
      <w:szCs w:val="22"/>
      <w:lang w:val="en-US" w:eastAsia="zh-CN" w:bidi="ar-SA"/>
    </w:rPr>
  </w:style>
  <w:style w:type="paragraph" w:customStyle="1" w:styleId="4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1">
    <w:name w:val="标题 1 Char"/>
    <w:link w:val="3"/>
    <w:autoRedefine/>
    <w:qFormat/>
    <w:uiPriority w:val="0"/>
    <w:rPr>
      <w:b/>
      <w:bCs/>
      <w:sz w:val="24"/>
      <w:szCs w:val="20"/>
    </w:rPr>
  </w:style>
  <w:style w:type="paragraph" w:customStyle="1" w:styleId="42">
    <w:name w:val="cjk"/>
    <w:basedOn w:val="1"/>
    <w:autoRedefine/>
    <w:qFormat/>
    <w:uiPriority w:val="99"/>
    <w:pPr>
      <w:widowControl/>
      <w:spacing w:line="480" w:lineRule="auto"/>
      <w:jc w:val="left"/>
    </w:pPr>
    <w:rPr>
      <w:rFonts w:ascii="宋体" w:hAnsi="宋体" w:cs="宋体"/>
      <w:kern w:val="0"/>
      <w:sz w:val="24"/>
    </w:rPr>
  </w:style>
  <w:style w:type="character" w:customStyle="1" w:styleId="43">
    <w:name w:val="纯文本 Char1"/>
    <w:autoRedefine/>
    <w:qFormat/>
    <w:uiPriority w:val="0"/>
    <w:rPr>
      <w:rFonts w:ascii="宋体" w:hAnsi="Courier New"/>
      <w:kern w:val="2"/>
      <w:sz w:val="21"/>
    </w:rPr>
  </w:style>
  <w:style w:type="paragraph" w:customStyle="1" w:styleId="44">
    <w:name w:val="无间隔1"/>
    <w:basedOn w:val="1"/>
    <w:autoRedefine/>
    <w:qFormat/>
    <w:uiPriority w:val="1"/>
    <w:pPr>
      <w:spacing w:line="400" w:lineRule="exact"/>
    </w:pPr>
    <w:rPr>
      <w:sz w:val="24"/>
      <w:lang w:bidi="ar-DZ"/>
    </w:rPr>
  </w:style>
  <w:style w:type="paragraph" w:customStyle="1" w:styleId="45">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46">
    <w:name w:val="NO3"/>
    <w:basedOn w:val="1"/>
    <w:autoRedefine/>
    <w:qFormat/>
    <w:uiPriority w:val="0"/>
    <w:pPr>
      <w:tabs>
        <w:tab w:val="left" w:pos="907"/>
      </w:tabs>
      <w:spacing w:line="360" w:lineRule="auto"/>
    </w:pPr>
    <w:rPr>
      <w:rFonts w:ascii="宋体" w:hAnsi="宋体"/>
      <w:sz w:val="24"/>
    </w:rPr>
  </w:style>
  <w:style w:type="paragraph" w:customStyle="1" w:styleId="47">
    <w:name w:val="Table Text"/>
    <w:basedOn w:val="1"/>
    <w:autoRedefine/>
    <w:semiHidden/>
    <w:qFormat/>
    <w:uiPriority w:val="0"/>
    <w:rPr>
      <w:rFonts w:ascii="微软雅黑" w:hAnsi="微软雅黑" w:eastAsia="微软雅黑" w:cs="微软雅黑"/>
      <w:szCs w:val="21"/>
      <w:lang w:eastAsia="en-US"/>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styleId="49">
    <w:name w:val="List Paragraph"/>
    <w:basedOn w:val="1"/>
    <w:autoRedefine/>
    <w:qFormat/>
    <w:uiPriority w:val="34"/>
    <w:pPr>
      <w:ind w:firstLine="420" w:firstLineChars="200"/>
    </w:pPr>
    <w:rPr>
      <w:rFonts w:ascii="等线" w:hAnsi="等线" w:eastAsia="等线"/>
      <w:szCs w:val="22"/>
    </w:rPr>
  </w:style>
  <w:style w:type="paragraph" w:customStyle="1" w:styleId="50">
    <w:name w:val="DS-正文样式"/>
    <w:basedOn w:val="1"/>
    <w:autoRedefine/>
    <w:qFormat/>
    <w:uiPriority w:val="0"/>
    <w:pPr>
      <w:numPr>
        <w:ilvl w:val="0"/>
        <w:numId w:val="2"/>
      </w:numPr>
      <w:spacing w:line="360" w:lineRule="auto"/>
      <w:ind w:left="0" w:firstLine="560" w:firstLineChars="200"/>
    </w:pPr>
    <w:rPr>
      <w:rFonts w:ascii="仿宋" w:hAnsi="仿宋" w:eastAsia="仿宋" w:cs="宋体"/>
      <w:sz w:val="28"/>
      <w:szCs w:val="28"/>
    </w:rPr>
  </w:style>
  <w:style w:type="character" w:customStyle="1" w:styleId="51">
    <w:name w:val="页脚 Char"/>
    <w:link w:val="11"/>
    <w:autoRedefine/>
    <w:qFormat/>
    <w:uiPriority w:val="99"/>
    <w:rPr>
      <w:kern w:val="2"/>
      <w:sz w:val="18"/>
      <w:szCs w:val="18"/>
    </w:rPr>
  </w:style>
  <w:style w:type="character" w:customStyle="1" w:styleId="52">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53">
    <w:name w:val="hover"/>
    <w:basedOn w:val="23"/>
    <w:autoRedefine/>
    <w:qFormat/>
    <w:uiPriority w:val="0"/>
    <w:rPr>
      <w:color w:val="2590EB"/>
    </w:rPr>
  </w:style>
  <w:style w:type="character" w:customStyle="1" w:styleId="54">
    <w:name w:val="hover1"/>
    <w:basedOn w:val="23"/>
    <w:autoRedefine/>
    <w:qFormat/>
    <w:uiPriority w:val="0"/>
  </w:style>
  <w:style w:type="character" w:customStyle="1" w:styleId="55">
    <w:name w:val="hover2"/>
    <w:basedOn w:val="23"/>
    <w:autoRedefine/>
    <w:qFormat/>
    <w:uiPriority w:val="0"/>
    <w:rPr>
      <w:color w:val="2590EB"/>
      <w:shd w:val="clear" w:fill="E9F4FD"/>
    </w:rPr>
  </w:style>
  <w:style w:type="character" w:customStyle="1" w:styleId="56">
    <w:name w:val="hover3"/>
    <w:basedOn w:val="23"/>
    <w:autoRedefine/>
    <w:qFormat/>
    <w:uiPriority w:val="0"/>
    <w:rPr>
      <w:color w:val="2590EB"/>
    </w:rPr>
  </w:style>
  <w:style w:type="character" w:customStyle="1" w:styleId="57">
    <w:name w:val="hover4"/>
    <w:basedOn w:val="23"/>
    <w:autoRedefine/>
    <w:qFormat/>
    <w:uiPriority w:val="0"/>
    <w:rPr>
      <w:color w:val="2590EB"/>
      <w:shd w:val="clear" w:fill="E9F4FD"/>
    </w:rPr>
  </w:style>
  <w:style w:type="paragraph" w:customStyle="1" w:styleId="58">
    <w:name w:val="标题 41"/>
    <w:basedOn w:val="1"/>
    <w:autoRedefine/>
    <w:qFormat/>
    <w:uiPriority w:val="1"/>
    <w:pPr>
      <w:ind w:left="1205" w:hanging="486"/>
      <w:outlineLvl w:val="4"/>
    </w:pPr>
    <w:rPr>
      <w:b/>
      <w:bCs/>
      <w:sz w:val="24"/>
    </w:rPr>
  </w:style>
  <w:style w:type="paragraph" w:customStyle="1" w:styleId="59">
    <w:name w:val="Table Paragraph"/>
    <w:autoRedefine/>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60">
    <w:name w:val="无间隔11"/>
    <w:autoRedefine/>
    <w:qFormat/>
    <w:uiPriority w:val="0"/>
    <w:pPr>
      <w:widowControl w:val="0"/>
      <w:jc w:val="both"/>
    </w:pPr>
    <w:rPr>
      <w:rFonts w:ascii="Calibri" w:hAnsi="Calibri" w:eastAsia="宋体" w:cs="Times New Roman"/>
      <w:kern w:val="1"/>
      <w:sz w:val="21"/>
      <w:szCs w:val="22"/>
      <w:lang w:val="en-US" w:eastAsia="zh-CN" w:bidi="ar-SA"/>
    </w:rPr>
  </w:style>
  <w:style w:type="paragraph" w:customStyle="1" w:styleId="61">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2">
    <w:name w:val="样式 标题 2 + Times New Roman 四号 非加粗 段前: 5 磅 段后: 0 磅 行距: 固定值 20..."/>
    <w:basedOn w:val="2"/>
    <w:autoRedefine/>
    <w:qFormat/>
    <w:uiPriority w:val="0"/>
    <w:pPr>
      <w:numPr>
        <w:ilvl w:val="0"/>
        <w:numId w:val="0"/>
      </w:numPr>
      <w:spacing w:before="100" w:after="0" w:line="400" w:lineRule="exact"/>
    </w:pPr>
    <w:rPr>
      <w:rFonts w:ascii="Times New Roman" w:hAnsi="Times New Roman" w:cs="宋体"/>
      <w:b w:val="0"/>
      <w:sz w:val="28"/>
    </w:rPr>
  </w:style>
  <w:style w:type="paragraph" w:customStyle="1" w:styleId="63">
    <w:name w:val="样式 标题 3 + (中文) 黑体 小四 非加粗 段前: 7.8 磅 段后: 0 磅 行距: 固定值 20 磅"/>
    <w:basedOn w:val="4"/>
    <w:autoRedefine/>
    <w:qFormat/>
    <w:uiPriority w:val="0"/>
    <w:pPr>
      <w:numPr>
        <w:numId w:val="0"/>
      </w:num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30860</Words>
  <Characters>32449</Characters>
  <Lines>545</Lines>
  <Paragraphs>153</Paragraphs>
  <TotalTime>31</TotalTime>
  <ScaleCrop>false</ScaleCrop>
  <LinksUpToDate>false</LinksUpToDate>
  <CharactersWithSpaces>34077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2023-06-19T05:16:00Z</dcterms:created>
  <dc:creator>admin</dc:creator>
  <cp:lastModifiedBy>云淡风轻</cp:lastModifiedBy>
  <cp:lastPrinted>2024-06-28T09:11:00Z</cp:lastPrinted>
  <dcterms:modified xsi:type="dcterms:W3CDTF">2024-07-17T01:31:36Z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64E3606027B74703A826126CAE69AFE3_13</vt:lpwstr>
  </property>
</Properties>
</file>