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5DB7B">
      <w:pPr>
        <w:widowControl/>
        <w:jc w:val="center"/>
        <w:outlineLvl w:val="0"/>
        <w:rPr>
          <w:rFonts w:hint="eastAsia" w:ascii="宋体" w:hAnsi="宋体" w:eastAsia="宋体" w:cs="Times New Roman"/>
          <w:b/>
          <w:bCs/>
          <w:color w:val="auto"/>
          <w:kern w:val="28"/>
          <w:sz w:val="44"/>
          <w:highlight w:val="none"/>
          <w:lang w:val="en-US" w:eastAsia="zh-CN" w:bidi="en-US"/>
        </w:rPr>
      </w:pPr>
      <w:bookmarkStart w:id="0" w:name="_Toc18329"/>
      <w:r>
        <w:rPr>
          <w:rFonts w:hint="eastAsia" w:ascii="宋体" w:hAnsi="宋体" w:eastAsia="宋体" w:cs="Times New Roman"/>
          <w:b/>
          <w:bCs/>
          <w:color w:val="auto"/>
          <w:kern w:val="28"/>
          <w:sz w:val="44"/>
          <w:highlight w:val="none"/>
          <w:lang w:val="en-US" w:eastAsia="zh-CN" w:bidi="en-US"/>
        </w:rPr>
        <w:t>第三章  采购需求</w:t>
      </w:r>
      <w:bookmarkEnd w:id="0"/>
      <w:bookmarkStart w:id="8" w:name="_GoBack"/>
      <w:bookmarkEnd w:id="8"/>
    </w:p>
    <w:p w14:paraId="3FF92B36">
      <w:pPr>
        <w:keepNext/>
        <w:keepLines/>
        <w:widowControl w:val="0"/>
        <w:spacing w:line="400" w:lineRule="exact"/>
        <w:jc w:val="both"/>
        <w:outlineLvl w:val="2"/>
        <w:rPr>
          <w:rFonts w:hint="eastAsia" w:ascii="宋体" w:hAnsi="宋体" w:eastAsia="宋体" w:cs="Times New Roman"/>
          <w:b/>
          <w:bCs/>
          <w:color w:val="auto"/>
          <w:sz w:val="21"/>
          <w:szCs w:val="21"/>
          <w:highlight w:val="none"/>
          <w:lang w:val="en-US" w:eastAsia="zh-CN" w:bidi="ar-SA"/>
        </w:rPr>
      </w:pPr>
      <w:bookmarkStart w:id="1" w:name="_Toc26534"/>
      <w:bookmarkStart w:id="2" w:name="_Toc1721463"/>
      <w:bookmarkStart w:id="3" w:name="_Toc106903034"/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highlight w:val="none"/>
          <w:lang w:val="en-US" w:eastAsia="zh-CN" w:bidi="ar-SA"/>
        </w:rPr>
        <w:t>一、</w:t>
      </w:r>
      <w:bookmarkEnd w:id="1"/>
      <w:bookmarkEnd w:id="2"/>
      <w:bookmarkEnd w:id="3"/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highlight w:val="none"/>
          <w:lang w:val="en-US" w:eastAsia="zh-CN" w:bidi="ar-SA"/>
        </w:rPr>
        <w:t>项目概况</w:t>
      </w:r>
    </w:p>
    <w:p w14:paraId="44F8024B">
      <w:pPr>
        <w:widowControl/>
        <w:spacing w:line="400" w:lineRule="exact"/>
        <w:ind w:firstLine="482"/>
        <w:jc w:val="both"/>
        <w:rPr>
          <w:rFonts w:hint="eastAsia" w:ascii="微软雅黑" w:hAnsi="微软雅黑" w:eastAsia="微软雅黑" w:cs="Times New Roman"/>
          <w:color w:val="auto"/>
          <w:sz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pacing w:val="14"/>
          <w:sz w:val="21"/>
          <w:szCs w:val="21"/>
          <w:highlight w:val="none"/>
          <w:lang w:val="en-US" w:eastAsia="zh-CN" w:bidi="ar-SA"/>
        </w:rPr>
        <w:t>本次采购项目为</w:t>
      </w:r>
      <w:r>
        <w:rPr>
          <w:rFonts w:hint="eastAsia" w:ascii="宋体" w:hAnsi="宋体" w:eastAsia="宋体" w:cs="Times New Roman"/>
          <w:color w:val="auto"/>
          <w:spacing w:val="14"/>
          <w:sz w:val="21"/>
          <w:szCs w:val="21"/>
          <w:highlight w:val="none"/>
          <w:u w:val="single"/>
          <w:lang w:val="en-US" w:eastAsia="zh-CN" w:bidi="ar-SA"/>
        </w:rPr>
        <w:t>河南经贸职业学院校园宣传文化升级改造项目包2</w:t>
      </w:r>
      <w:r>
        <w:rPr>
          <w:rFonts w:hint="eastAsia" w:ascii="宋体" w:hAnsi="宋体" w:eastAsia="宋体" w:cs="Times New Roman"/>
          <w:color w:val="auto"/>
          <w:spacing w:val="14"/>
          <w:sz w:val="21"/>
          <w:szCs w:val="21"/>
          <w:highlight w:val="none"/>
          <w:lang w:val="en-US" w:eastAsia="zh-CN" w:bidi="ar-SA"/>
        </w:rPr>
        <w:t>，共2个包。</w:t>
      </w:r>
    </w:p>
    <w:p w14:paraId="0CF46141">
      <w:pPr>
        <w:widowControl/>
        <w:spacing w:line="400" w:lineRule="exact"/>
        <w:ind w:firstLine="482"/>
        <w:jc w:val="both"/>
        <w:rPr>
          <w:rFonts w:hint="eastAsia" w:ascii="宋体" w:hAnsi="宋体" w:eastAsia="宋体" w:cs="Times New Roman"/>
          <w:color w:val="auto"/>
          <w:spacing w:val="14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pacing w:val="14"/>
          <w:sz w:val="21"/>
          <w:szCs w:val="21"/>
          <w:highlight w:val="none"/>
          <w:lang w:val="en-US" w:eastAsia="zh-CN" w:bidi="ar-SA"/>
        </w:rPr>
        <w:t>本次采购标的对应的中小企业划分标准所属行业为：</w:t>
      </w:r>
      <w:r>
        <w:rPr>
          <w:rFonts w:hint="eastAsia" w:ascii="宋体" w:hAnsi="宋体" w:eastAsia="宋体" w:cs="Times New Roman"/>
          <w:b/>
          <w:bCs/>
          <w:color w:val="auto"/>
          <w:spacing w:val="14"/>
          <w:sz w:val="21"/>
          <w:szCs w:val="21"/>
          <w:highlight w:val="none"/>
          <w:u w:val="single"/>
          <w:lang w:val="en-US" w:eastAsia="zh-CN" w:bidi="ar-SA"/>
        </w:rPr>
        <w:t>工业</w:t>
      </w:r>
      <w:r>
        <w:rPr>
          <w:rFonts w:hint="eastAsia" w:ascii="宋体" w:hAnsi="宋体" w:eastAsia="宋体" w:cs="Times New Roman"/>
          <w:color w:val="auto"/>
          <w:spacing w:val="14"/>
          <w:sz w:val="21"/>
          <w:szCs w:val="21"/>
          <w:highlight w:val="none"/>
          <w:lang w:val="en-US" w:eastAsia="zh-CN" w:bidi="ar-SA"/>
        </w:rPr>
        <w:t>。</w:t>
      </w:r>
    </w:p>
    <w:p w14:paraId="16376239">
      <w:pPr>
        <w:keepNext/>
        <w:keepLines/>
        <w:widowControl w:val="0"/>
        <w:spacing w:line="400" w:lineRule="exact"/>
        <w:jc w:val="both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bookmarkStart w:id="4" w:name="_Toc106903035"/>
      <w:bookmarkStart w:id="5" w:name="_Toc26447"/>
      <w:bookmarkStart w:id="6" w:name="_Toc1721464"/>
      <w:bookmarkStart w:id="7" w:name="_Toc238530903"/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highlight w:val="none"/>
          <w:lang w:val="en-US" w:eastAsia="zh-CN" w:bidi="ar-SA"/>
        </w:rPr>
        <w:t>二、</w:t>
      </w:r>
      <w:bookmarkEnd w:id="4"/>
      <w:bookmarkEnd w:id="5"/>
      <w:bookmarkEnd w:id="6"/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highlight w:val="none"/>
          <w:lang w:val="en-US" w:eastAsia="zh-CN" w:bidi="ar-SA"/>
        </w:rPr>
        <w:t>招标清单及技术参数/服务要求</w:t>
      </w:r>
    </w:p>
    <w:bookmarkEnd w:id="7"/>
    <w:tbl>
      <w:tblPr>
        <w:tblStyle w:val="6"/>
        <w:tblW w:w="98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75"/>
        <w:gridCol w:w="6537"/>
        <w:gridCol w:w="675"/>
        <w:gridCol w:w="675"/>
      </w:tblGrid>
      <w:tr w14:paraId="0D5E7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0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6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7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F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D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 w14:paraId="788A1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1E8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84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EB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5E2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82F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</w:p>
        </w:tc>
      </w:tr>
      <w:tr w14:paraId="79F7A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D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B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户外显示屏体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E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1、尺寸：2400*1200mm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2、产品LED像素点间距≤1.86mm;像素密度≥288906点/㎡，每个像素点采用1纯红1纯绿1纯蓝三像素，表贴三合一封装。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3、模组平整度0.1mm；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4、像素中心距偏差≤3%，白平衡≥450cd/m²。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5、水平/垂直视角：160°；最高对比度≥5000：1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6、支持亮度色度矫正；亮度均匀性：97%；色度均匀度：±0.003Cx，Cy之内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7、刷新率：3840Hz恒流驱动；换帧频率≥60Hz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8、亮度可随环境亮度的变化自动调节1-100%；灰度等级14/16Bit：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9、像素失控点≤1/100000，无连续失控点；色温3000K-15000K可调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10、峰值功耗≤439W/m²；平均功耗≤200W/m²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11、LED使用寿命≥100000H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6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D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5CC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8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A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信号接收卡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D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1.单卡最大带载 512×512像素，最多支持 24 组RGB 并行数据；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2.支持色彩管理，将显示色域在多个色域之间自由切换，使显示屏色彩更精准。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3.支持18Bit+,使LED显示屏灰阶提升4倍，有效处理低亮时灰度丢失问题，使图像显示更细腻。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4.采用 08 个标准HUB75接口，具有高稳定性和高可靠性，适用于多种环境的搭建；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5.支持逐点亮色度校正，可以对每个灯点的亮度和色度进行校正，有效消除色差，使整屏的亮度和色度达到高度均匀一致，提高显示屏的画质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6.快速亮暗线调节在调试软件上进行快速亮暗线调节，快速解决因箱体及模组拼接造成的显示屏亮暗线，调节过程中即时生效，简单易用。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配合支持 3D 功能的独立主控，在软件或独立主控的操作面板上开启 3D 功能，并设置 3D 参数，使画面显示 3D 效果。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7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5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282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6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2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模组电源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E1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1、输出纹波&amp;噪声≤200mV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2、输入特性：额定输入电压范围200-240Vac；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3、输入频率范围50 / 60HZ；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4、输出电压3.8-5V；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B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9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A6AF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3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5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EA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性能参数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硬件性能 1.6GH, 四核CPU,3D GPU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1GB@600MHz DDR3 高速内存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支持1080p@60fps硬解码播放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支持1080p@30fps硬件编码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存储空间 内置8GB存储(用户可用4G)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带载大小 单网口65万点，整机130万点，最宽3840，最高2000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Wifi连接距离 20米（无遮挡）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9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F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851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B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5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LED播放软件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6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 多显示屏导播:软件可同时导播多个映射位置不同的显示屏，每个显示屏可设置不同的播放方案；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 多日期多时段调度功能:可设置不同的日期和时间播放不同的节目页内容；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 多节目页功能:每个播放时段可包含多个“窗口布局不同的节目页”；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 多种媒体类型:支持视频，音频、图片、Flash、自定义文本、单行文本、静态文本、走马灯、模拟时钟、数字时钟、天气预报、倒计时、视频设备、网页等；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 丰富的媒体属性:支持媒体的背景颜色、背景图片、透明度、音量、显示比例、出入场特效、特效速度、文字颜色、文字效果、字体、风格、透明等属性设置；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 多种文字图片特效，平滑流畅:40多种常用特效，且播放时平滑流畅，无水平切割线，无撕裂；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 支持时钟、倒计时、文字、文件、天气预报的透明播放；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 实用的日志管理功能,可查看任意日期的播放日志，或导出为Execel报表文件,可对任意日期的媒体做播放统计,并导出为Excel报表文件;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7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0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9C4C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0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7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显示屏综合布线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E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控制线材/综合布线/线管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0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9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E21F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B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显示屏控制设备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9A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1、规格尺寸：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12英寸</w:t>
            </w:r>
          </w:p>
          <w:p w14:paraId="47741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2、分辨率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2800*1840</w:t>
            </w:r>
          </w:p>
          <w:p w14:paraId="7DA25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3、屏幕类型：LCD，刷新率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144Hz</w:t>
            </w:r>
          </w:p>
          <w:p w14:paraId="6DEAE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4、存储空间 ：运行内存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存储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128GB</w:t>
            </w:r>
          </w:p>
          <w:p w14:paraId="25732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5、后置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摄像头：≥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1300万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像素主摄像头，≥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800万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像素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广角，前置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摄像头≥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800万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像素</w:t>
            </w:r>
          </w:p>
          <w:p w14:paraId="2AA96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6、能效等级：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一级能效</w:t>
            </w:r>
          </w:p>
          <w:p w14:paraId="37D9B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7、电池容量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不小于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10100mAh</w:t>
            </w:r>
          </w:p>
          <w:p w14:paraId="52713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  <w:t>8、充电规格：支持快充，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8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D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75B5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8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8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宣传栏– JMXC-ZA01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61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1.基层规格:20mm厚双层雪弗板基层</w:t>
            </w:r>
          </w:p>
          <w:p w14:paraId="5D041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2.尺寸规格:2600*2700mm成品定制装置</w:t>
            </w:r>
          </w:p>
          <w:p w14:paraId="00283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3.磁性画框或UV背胶贴、金属收边条与亚克力同色、15mm厚见光面白色烤</w:t>
            </w:r>
          </w:p>
          <w:p w14:paraId="62B80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漆板、面层5mm厚亚克力雕刻立体字及UV印刷、20mm厚彩色亚克力面层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F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2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B31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9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艺术馆专用铝合金挂画系统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2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1.艺术馆专用铝合金挂画轨道控制系统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2.含同步伺服电机；含减速器；驱动电；PLC；坦克链、滑台等。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3.安装部位：艺术馆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3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865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F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4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艺术馆专用射灯及照明控制系统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7B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1.艺术馆专用射灯及照明控制系统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2.规格:8路继电器；通讯接口：RJ45；支持TCP客户端或服务端；支持UDP客户端或服务端；具备常开或常闭两种状态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3.安装部位：艺术馆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4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B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303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7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6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宣传栏及展板图文设计排版及修复校对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C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宣传栏及展板图文设计排版及修复校对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1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8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A38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定制长条型木质造型坐凳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4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1.定制长条型木质造型坐凳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2.安装部位：1#2#3#4#5#楼架空层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3.坐凳尺寸：1800*390mm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A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C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6B1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1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E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定制长条型木质造型坐凳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4D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1.定制长条型木质造型坐凳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2.安装部位：1#2#3#4#5#楼架空层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3.坐凳尺寸：1300*400mm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7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D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2220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9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定制长条型木质造型坐凳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B1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1.定制长条型木质造型坐凳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2.安装部位：1#2#3#4#5#楼架空层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3.坐凳尺寸：800*390mm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3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7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3013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5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4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定制长条型木质造型坐凳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8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1.定制长条型木质造型坐凳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2.安装部位：1#2#3#4#5#楼架空层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3.坐凳尺寸：2300*390mm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6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9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B23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3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4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定制长条型木质造型坐凳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CB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1.定制长条型木质造型坐凳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2.安装部位：1#2#3#4#5#楼架空层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3.坐凳尺寸：3000*390mm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7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0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3851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3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定制长条型木质造型坐凳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DE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1.定制长条型木质造型坐凳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2.安装部位：1#2#3#4#5#楼架空层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3.坐凳尺寸：1000*390mm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4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6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1077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5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定制长条型木质造型坐凳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25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1.定制长条型木质造型坐凳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2.安装部位：1#2#3#4#5#楼架空层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3.坐凳尺寸：2600*390mm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5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9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D3F7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8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定制长条型木质造型坐凳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D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1.定制长条型木质造型坐凳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2.安装部位：1#2#3#4#5#楼架空层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3.坐凳尺寸：1400*390mm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8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B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AE7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0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定制长条型木质造型坐凳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82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1.定制长条型木质造型坐凳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2.安装部位：1#2#3#4#5#楼架空层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3.坐凳尺寸：2400*390mm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8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C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A5C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B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E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定制不锈钢造型一体板窗框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DC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1.定制不锈钢造型一体板窗框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2.不锈钢厚度：1.2mm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3.安装部位：1#2#3#4#5#楼架空层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4.窗户尺寸：1760*1150mm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7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9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104F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定制成品木纹铝方通造型金属隔断（1#2#楼架空层）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7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1.成品定制成品木纹铝方通造型金属隔断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2.方通规格:50*100mm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3.方通间距:80mm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4.安装部位：1#2#楼架空层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5.隔断尺寸：570*3435mm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2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32069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3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1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定制成品铝方通造型金属隔断（3#4#5#楼架空层）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7F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1.成品定制成品铝方通造型金属隔断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2.方通规格:50*100mm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3.方通间距:80mm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4.安装部位：3#4#5#楼架空层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5.隔断尺寸尺寸：570*4070mm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D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3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 w14:paraId="04D0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D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9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定制成品金属瓦楞造型一体饰面板（3#4#5#楼架空层）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6F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1.定制成品金属瓦楞造型一体饰面板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2.安装部位：3#4#5#楼架空层墙面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3.尺寸：7890*1750mm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6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9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4292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E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室外定制成品梁下及吊顶侧边金属装饰一体板收口造型</w:t>
            </w:r>
          </w:p>
        </w:tc>
        <w:tc>
          <w:tcPr>
            <w:tcW w:w="6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F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1.室外定制成品梁下及吊顶侧边金属装饰一体板收口造型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2.安装部位：1#2#3#4#5#楼架空层、西大门门头梁下侧边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4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F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205</w:t>
            </w:r>
          </w:p>
        </w:tc>
      </w:tr>
    </w:tbl>
    <w:p w14:paraId="4FE31D40">
      <w:pPr>
        <w:widowControl/>
        <w:spacing w:before="120" w:line="360" w:lineRule="auto"/>
        <w:jc w:val="left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highlight w:val="none"/>
          <w:lang w:val="en-US" w:eastAsia="zh-CN" w:bidi="ar-SA"/>
        </w:rPr>
        <w:t>三、效果图（另附，通过交易中心系统下载。效果图仅作参考，以磋商文件为准。）</w:t>
      </w:r>
    </w:p>
    <w:p w14:paraId="1797E1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16131"/>
    <w:rsid w:val="03D16131"/>
    <w:rsid w:val="1AB73573"/>
    <w:rsid w:val="2708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eastAsia="仿宋"/>
      <w:b/>
      <w:bCs/>
      <w:sz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kern w:val="2"/>
      <w:sz w:val="30"/>
      <w:szCs w:val="30"/>
    </w:rPr>
  </w:style>
  <w:style w:type="paragraph" w:styleId="5">
    <w:name w:val="Title"/>
    <w:basedOn w:val="1"/>
    <w:next w:val="1"/>
    <w:qFormat/>
    <w:uiPriority w:val="0"/>
    <w:pPr>
      <w:widowControl/>
      <w:jc w:val="center"/>
      <w:outlineLvl w:val="0"/>
    </w:pPr>
    <w:rPr>
      <w:rFonts w:ascii="Cambria" w:hAnsi="Cambria" w:eastAsia="微软雅黑"/>
      <w:b/>
      <w:bCs/>
      <w:kern w:val="28"/>
      <w:sz w:val="44"/>
      <w:lang w:eastAsia="en-US" w:bidi="en-US"/>
    </w:rPr>
  </w:style>
  <w:style w:type="paragraph" w:customStyle="1" w:styleId="8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2024-12-04T06:16:00Z</dcterms:created>
  <dc:creator>河南省通力建设工程咨询有限公司:闫信强</dc:creator>
  <cp:lastModifiedBy>河南省通力建设工程咨询有限公司:闫信强</cp:lastModifiedBy>
  <dcterms:modified xsi:type="dcterms:W3CDTF">2024-12-04T06:17:56Z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B698AE60A20A4B7B98290DCA65659E92_11</vt:lpwstr>
  </property>
</Properties>
</file>