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88B70">
      <w:pPr>
        <w:bidi w:val="0"/>
        <w:spacing w:line="240" w:lineRule="auto"/>
        <w:ind w:left="0" w:leftChars="0" w:firstLine="0" w:firstLineChars="0"/>
        <w:jc w:val="both"/>
        <w:rPr>
          <w:rFonts w:hint="eastAsia" w:asciiTheme="minorEastAsia" w:hAnsiTheme="minorEastAsia" w:eastAsiaTheme="minorEastAsia" w:cstheme="minorEastAsia"/>
          <w:b/>
          <w:bCs/>
          <w:sz w:val="44"/>
          <w:szCs w:val="44"/>
        </w:rPr>
      </w:pPr>
      <w:bookmarkStart w:id="0" w:name="_Toc152042286"/>
      <w:bookmarkStart w:id="1" w:name="_Toc144974478"/>
      <w:r>
        <w:rPr>
          <w:rFonts w:hint="eastAsia" w:asciiTheme="minorEastAsia" w:hAnsiTheme="minorEastAsia" w:eastAsiaTheme="minorEastAsia" w:cstheme="minorEastAsia"/>
          <w:b/>
          <w:bCs/>
          <w:sz w:val="44"/>
          <w:szCs w:val="44"/>
        </w:rPr>
        <w:t>潢川县城区学校AI人像车辆监控设施设备</w:t>
      </w:r>
    </w:p>
    <w:p w14:paraId="7359399B">
      <w:pPr>
        <w:bidi w:val="0"/>
        <w:ind w:left="0" w:leftChars="0" w:firstLine="0" w:firstLineChars="0"/>
        <w:jc w:val="center"/>
        <w:rPr>
          <w:rFonts w:hint="eastAsia" w:ascii="宋体" w:hAnsi="宋体"/>
          <w:b/>
          <w:bCs w:val="0"/>
          <w:color w:val="auto"/>
          <w:sz w:val="72"/>
          <w:szCs w:val="72"/>
          <w:highlight w:val="none"/>
          <w:lang w:val="en-US" w:eastAsia="zh-CN"/>
        </w:rPr>
      </w:pPr>
      <w:r>
        <w:rPr>
          <w:rFonts w:hint="eastAsia" w:asciiTheme="minorEastAsia" w:hAnsiTheme="minorEastAsia" w:eastAsiaTheme="minorEastAsia" w:cstheme="minorEastAsia"/>
          <w:b/>
          <w:bCs/>
          <w:sz w:val="44"/>
          <w:szCs w:val="44"/>
        </w:rPr>
        <w:t>系统项目</w:t>
      </w:r>
    </w:p>
    <w:p w14:paraId="148C4D21">
      <w:pPr>
        <w:bidi w:val="0"/>
        <w:spacing w:line="480" w:lineRule="auto"/>
        <w:ind w:left="0" w:leftChars="0" w:firstLine="0" w:firstLineChars="0"/>
        <w:jc w:val="center"/>
        <w:rPr>
          <w:rFonts w:hint="eastAsia" w:ascii="宋体" w:hAnsi="宋体"/>
          <w:b/>
          <w:bCs w:val="0"/>
          <w:color w:val="auto"/>
          <w:sz w:val="72"/>
          <w:szCs w:val="72"/>
          <w:highlight w:val="none"/>
          <w:lang w:val="en-US" w:eastAsia="zh-CN"/>
        </w:rPr>
      </w:pPr>
    </w:p>
    <w:p w14:paraId="4768EC1C">
      <w:pPr>
        <w:bidi w:val="0"/>
        <w:spacing w:line="480" w:lineRule="auto"/>
        <w:ind w:left="0" w:leftChars="0" w:firstLine="0" w:firstLineChars="0"/>
        <w:jc w:val="center"/>
        <w:rPr>
          <w:rFonts w:hint="eastAsia"/>
          <w:color w:val="auto"/>
          <w:highlight w:val="none"/>
        </w:rPr>
      </w:pPr>
      <w:r>
        <w:rPr>
          <w:rFonts w:hint="eastAsia" w:ascii="宋体" w:hAnsi="宋体"/>
          <w:b/>
          <w:bCs w:val="0"/>
          <w:color w:val="auto"/>
          <w:sz w:val="72"/>
          <w:szCs w:val="72"/>
          <w:highlight w:val="none"/>
          <w:lang w:val="en-US" w:eastAsia="zh-CN"/>
        </w:rPr>
        <w:t>竞争性</w:t>
      </w:r>
      <w:r>
        <w:rPr>
          <w:rFonts w:hint="eastAsia" w:ascii="宋体" w:hAnsi="宋体"/>
          <w:b/>
          <w:bCs w:val="0"/>
          <w:color w:val="auto"/>
          <w:sz w:val="72"/>
          <w:szCs w:val="72"/>
          <w:highlight w:val="none"/>
          <w:lang w:eastAsia="zh-CN"/>
        </w:rPr>
        <w:t>磋商文件</w:t>
      </w:r>
    </w:p>
    <w:bookmarkEnd w:id="0"/>
    <w:bookmarkEnd w:id="1"/>
    <w:p w14:paraId="3A85377B">
      <w:pPr>
        <w:spacing w:line="360" w:lineRule="auto"/>
        <w:ind w:left="0" w:leftChars="0" w:firstLine="0" w:firstLineChars="0"/>
        <w:jc w:val="both"/>
        <w:rPr>
          <w:rFonts w:hint="eastAsia" w:ascii="宋体" w:hAnsi="宋体" w:cs="宋体"/>
          <w:b/>
          <w:color w:val="auto"/>
          <w:sz w:val="32"/>
          <w:szCs w:val="32"/>
          <w:highlight w:val="none"/>
        </w:rPr>
      </w:pPr>
      <w:bookmarkStart w:id="2" w:name="_Toc144974479"/>
      <w:bookmarkStart w:id="3" w:name="_Toc490667779"/>
      <w:bookmarkStart w:id="4" w:name="_Toc152045511"/>
      <w:bookmarkStart w:id="5" w:name="_Toc152042287"/>
    </w:p>
    <w:p w14:paraId="5BEE914F">
      <w:pPr>
        <w:spacing w:line="360" w:lineRule="auto"/>
        <w:jc w:val="center"/>
        <w:rPr>
          <w:rFonts w:hint="eastAsia" w:ascii="宋体" w:hAnsi="宋体" w:cs="宋体"/>
          <w:b/>
          <w:color w:val="auto"/>
          <w:sz w:val="32"/>
          <w:szCs w:val="32"/>
          <w:highlight w:val="none"/>
        </w:rPr>
      </w:pPr>
      <w:r>
        <w:rPr>
          <w:rFonts w:hint="eastAsia" w:eastAsia="宋体"/>
          <w:lang w:eastAsia="zh-CN"/>
        </w:rPr>
        <w:drawing>
          <wp:inline distT="0" distB="0" distL="114300" distR="114300">
            <wp:extent cx="2708275" cy="2561590"/>
            <wp:effectExtent l="0" t="0" r="15875" b="10160"/>
            <wp:docPr id="3" name="图片 2" descr="鑫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鑫诺logo"/>
                    <pic:cNvPicPr>
                      <a:picLocks noChangeAspect="1"/>
                    </pic:cNvPicPr>
                  </pic:nvPicPr>
                  <pic:blipFill>
                    <a:blip r:embed="rId12"/>
                    <a:stretch>
                      <a:fillRect/>
                    </a:stretch>
                  </pic:blipFill>
                  <pic:spPr>
                    <a:xfrm>
                      <a:off x="0" y="0"/>
                      <a:ext cx="2708275" cy="2561590"/>
                    </a:xfrm>
                    <a:prstGeom prst="rect">
                      <a:avLst/>
                    </a:prstGeom>
                    <a:noFill/>
                    <a:ln>
                      <a:noFill/>
                    </a:ln>
                  </pic:spPr>
                </pic:pic>
              </a:graphicData>
            </a:graphic>
          </wp:inline>
        </w:drawing>
      </w:r>
    </w:p>
    <w:p w14:paraId="22A790DB">
      <w:pPr>
        <w:spacing w:line="360" w:lineRule="auto"/>
        <w:jc w:val="center"/>
        <w:rPr>
          <w:rFonts w:hint="eastAsia" w:ascii="宋体" w:hAnsi="宋体" w:cs="宋体"/>
          <w:b/>
          <w:color w:val="auto"/>
          <w:sz w:val="32"/>
          <w:szCs w:val="32"/>
          <w:highlight w:val="none"/>
        </w:rPr>
      </w:pPr>
    </w:p>
    <w:p w14:paraId="39D8BD40">
      <w:pPr>
        <w:spacing w:line="360" w:lineRule="auto"/>
        <w:jc w:val="center"/>
        <w:rPr>
          <w:rFonts w:hint="eastAsia" w:ascii="宋体" w:hAnsi="宋体" w:cs="宋体"/>
          <w:b/>
          <w:color w:val="auto"/>
          <w:sz w:val="32"/>
          <w:szCs w:val="32"/>
          <w:highlight w:val="none"/>
        </w:rPr>
      </w:pPr>
    </w:p>
    <w:p w14:paraId="4EC5E98B">
      <w:pPr>
        <w:spacing w:line="360" w:lineRule="auto"/>
        <w:jc w:val="center"/>
        <w:rPr>
          <w:rFonts w:hint="eastAsia" w:ascii="宋体" w:hAnsi="宋体" w:cs="宋体"/>
          <w:b/>
          <w:color w:val="auto"/>
          <w:sz w:val="32"/>
          <w:szCs w:val="32"/>
          <w:highlight w:val="none"/>
        </w:rPr>
      </w:pPr>
    </w:p>
    <w:p w14:paraId="4B970186">
      <w:pPr>
        <w:spacing w:line="360" w:lineRule="auto"/>
        <w:ind w:firstLine="1285" w:firstLineChars="40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lang w:val="en-US" w:eastAsia="zh-CN"/>
        </w:rPr>
        <w:t>潢川县教育体育局</w:t>
      </w:r>
    </w:p>
    <w:p w14:paraId="605D30CD">
      <w:pPr>
        <w:spacing w:line="360" w:lineRule="auto"/>
        <w:ind w:left="0" w:leftChars="0" w:firstLine="0" w:firstLineChars="0"/>
        <w:jc w:val="center"/>
        <w:rPr>
          <w:rFonts w:hint="eastAsia"/>
          <w:color w:val="auto"/>
          <w:highlight w:val="none"/>
        </w:rPr>
      </w:pP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代理机构：潢川县</w:t>
      </w:r>
      <w:r>
        <w:rPr>
          <w:rFonts w:hint="eastAsia" w:ascii="宋体" w:hAnsi="宋体" w:cs="宋体"/>
          <w:b/>
          <w:color w:val="auto"/>
          <w:sz w:val="32"/>
          <w:szCs w:val="32"/>
          <w:highlight w:val="none"/>
          <w:lang w:val="en-US" w:eastAsia="zh-CN"/>
        </w:rPr>
        <w:t>产投鑫诺项目管理</w:t>
      </w:r>
      <w:r>
        <w:rPr>
          <w:rFonts w:hint="eastAsia" w:ascii="宋体" w:hAnsi="宋体" w:cs="宋体"/>
          <w:b/>
          <w:color w:val="auto"/>
          <w:sz w:val="32"/>
          <w:szCs w:val="32"/>
          <w:highlight w:val="none"/>
        </w:rPr>
        <w:t>有限公司</w:t>
      </w:r>
    </w:p>
    <w:p w14:paraId="13FF45AF">
      <w:pPr>
        <w:pStyle w:val="40"/>
        <w:ind w:firstLine="1285" w:firstLineChars="400"/>
        <w:jc w:val="both"/>
        <w:rPr>
          <w:rFonts w:hint="eastAsia" w:hAnsi="宋体"/>
          <w:b/>
          <w:color w:val="auto"/>
          <w:kern w:val="2"/>
          <w:sz w:val="32"/>
          <w:szCs w:val="32"/>
          <w:highlight w:val="none"/>
        </w:rPr>
      </w:pPr>
      <w:r>
        <w:rPr>
          <w:rFonts w:hint="eastAsia" w:hAnsi="宋体"/>
          <w:b/>
          <w:color w:val="auto"/>
          <w:sz w:val="32"/>
          <w:szCs w:val="32"/>
          <w:highlight w:val="none"/>
        </w:rPr>
        <w:t>日    期：</w:t>
      </w:r>
      <w:r>
        <w:rPr>
          <w:rFonts w:hint="eastAsia" w:hAnsi="宋体"/>
          <w:b/>
          <w:color w:val="auto"/>
          <w:kern w:val="2"/>
          <w:sz w:val="32"/>
          <w:szCs w:val="32"/>
          <w:highlight w:val="none"/>
        </w:rPr>
        <w:t>二</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rPr>
        <w:t>○</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lang w:val="en-US" w:eastAsia="zh-CN"/>
        </w:rPr>
        <w:t xml:space="preserve">二 五 </w:t>
      </w:r>
      <w:r>
        <w:rPr>
          <w:rFonts w:hint="eastAsia" w:hAnsi="宋体"/>
          <w:b/>
          <w:color w:val="auto"/>
          <w:kern w:val="2"/>
          <w:sz w:val="32"/>
          <w:szCs w:val="32"/>
          <w:highlight w:val="none"/>
        </w:rPr>
        <w:t>年</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lang w:val="en-US" w:eastAsia="zh-CN"/>
        </w:rPr>
        <w:t>六</w:t>
      </w:r>
      <w:r>
        <w:rPr>
          <w:rFonts w:hint="eastAsia" w:hAnsi="宋体"/>
          <w:b/>
          <w:color w:val="auto"/>
          <w:kern w:val="2"/>
          <w:sz w:val="32"/>
          <w:szCs w:val="32"/>
          <w:highlight w:val="none"/>
          <w:lang w:eastAsia="zh-CN"/>
        </w:rPr>
        <w:t xml:space="preserve"> </w:t>
      </w:r>
      <w:r>
        <w:rPr>
          <w:rFonts w:hint="eastAsia" w:hAnsi="宋体"/>
          <w:b/>
          <w:color w:val="auto"/>
          <w:kern w:val="2"/>
          <w:sz w:val="32"/>
          <w:szCs w:val="32"/>
          <w:highlight w:val="none"/>
        </w:rPr>
        <w:t>月</w:t>
      </w:r>
    </w:p>
    <w:p w14:paraId="3FB69F4A">
      <w:pPr>
        <w:spacing w:line="360" w:lineRule="auto"/>
        <w:rPr>
          <w:rFonts w:hint="eastAsia" w:ascii="宋体" w:hAnsi="宋体" w:cs="宋体"/>
          <w:b/>
          <w:color w:val="auto"/>
          <w:sz w:val="36"/>
          <w:szCs w:val="36"/>
          <w:highlight w:val="none"/>
        </w:rPr>
        <w:sectPr>
          <w:headerReference r:id="rId5" w:type="default"/>
          <w:footerReference r:id="rId6" w:type="default"/>
          <w:pgSz w:w="11900" w:h="16838"/>
          <w:pgMar w:top="1440" w:right="1800" w:bottom="1440" w:left="1800" w:header="907" w:footer="850" w:gutter="0"/>
          <w:pgNumType w:fmt="decimal" w:start="1"/>
          <w:cols w:space="720" w:num="1"/>
          <w:docGrid w:linePitch="360" w:charSpace="0"/>
        </w:sectPr>
      </w:pPr>
    </w:p>
    <w:sdt>
      <w:sdtPr>
        <w:rPr>
          <w:rFonts w:hint="eastAsia" w:asciiTheme="minorEastAsia" w:hAnsiTheme="minorEastAsia" w:eastAsiaTheme="minorEastAsia" w:cstheme="minorEastAsia"/>
          <w:b/>
          <w:bCs/>
          <w:color w:val="auto"/>
          <w:kern w:val="2"/>
          <w:sz w:val="30"/>
          <w:szCs w:val="30"/>
          <w:highlight w:val="none"/>
          <w:lang w:val="en-US" w:eastAsia="zh-CN" w:bidi="ar-SA"/>
        </w:rPr>
        <w:id w:val="147465954"/>
        <w15:color w:val="DBDBDB"/>
        <w:docPartObj>
          <w:docPartGallery w:val="Table of Contents"/>
          <w:docPartUnique/>
        </w:docPartObj>
      </w:sdtPr>
      <w:sdtEndPr>
        <w:rPr>
          <w:rFonts w:hint="eastAsia" w:ascii="宋体" w:hAnsi="宋体" w:cs="宋体" w:eastAsiaTheme="minorEastAsia"/>
          <w:b/>
          <w:bCs/>
          <w:color w:val="auto"/>
          <w:kern w:val="2"/>
          <w:sz w:val="21"/>
          <w:szCs w:val="30"/>
          <w:highlight w:val="none"/>
          <w:lang w:val="en-US" w:eastAsia="zh-CN" w:bidi="ar-SA"/>
        </w:rPr>
      </w:sdtEndPr>
      <w:sdtContent>
        <w:p w14:paraId="5B0D0396">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0"/>
              <w:szCs w:val="30"/>
              <w:highlight w:val="none"/>
            </w:rPr>
            <w:t>目</w:t>
          </w:r>
          <w:r>
            <w:rPr>
              <w:rFonts w:hint="eastAsia" w:asciiTheme="minorEastAsia" w:hAnsi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14:paraId="1EEB257F">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_Toc31411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第一章 </w:t>
          </w:r>
          <w:r>
            <w:rPr>
              <w:rFonts w:hint="eastAsia" w:asciiTheme="minorEastAsia" w:hAnsiTheme="minorEastAsia" w:eastAsiaTheme="minorEastAsia" w:cstheme="minorEastAsia"/>
              <w:bCs/>
              <w:color w:val="auto"/>
              <w:sz w:val="24"/>
              <w:szCs w:val="24"/>
              <w:highlight w:val="none"/>
              <w:lang w:eastAsia="zh-CN"/>
            </w:rPr>
            <w:t>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_Toc31411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80328E">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_Toc9581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第二章 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p w14:paraId="4F79E28E">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_Toc28924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第三章  评审办法（综合评分法）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_Toc28924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ABF0370">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_Toc18958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rPr>
            <w:t>河南省政府采购合同（</w:t>
          </w:r>
          <w:r>
            <w:rPr>
              <w:rFonts w:hint="eastAsia" w:asciiTheme="minorEastAsia" w:hAnsiTheme="minorEastAsia" w:eastAsiaTheme="minorEastAsia" w:cstheme="minorEastAsia"/>
              <w:color w:val="auto"/>
              <w:sz w:val="24"/>
              <w:szCs w:val="24"/>
              <w:highlight w:val="none"/>
              <w:lang w:eastAsia="zh-CN"/>
            </w:rPr>
            <w:t>参考文本</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_Toc18958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F9BC06A">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_Toc28362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第五章 采购需求及技术</w:t>
          </w:r>
          <w:r>
            <w:rPr>
              <w:rFonts w:hint="eastAsia" w:asciiTheme="minorEastAsia" w:hAnsiTheme="minorEastAsia" w:eastAsiaTheme="minorEastAsia" w:cstheme="minorEastAsia"/>
              <w:color w:val="auto"/>
              <w:sz w:val="24"/>
              <w:szCs w:val="24"/>
              <w:highlight w:val="none"/>
              <w:lang w:val="en-US" w:eastAsia="zh-CN"/>
            </w:rPr>
            <w:t>参数</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_Toc28362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2D4462B">
          <w:pPr>
            <w:pStyle w:val="44"/>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第六章 竞争性磋商响应文件格式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_Toc1837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576C99E">
          <w:pPr>
            <w:spacing w:line="480" w:lineRule="auto"/>
            <w:ind w:left="0" w:leftChars="0" w:firstLine="0" w:firstLineChars="0"/>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32D954B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3F38D647">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5FFFEBC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6979D416">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07139632">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11F5190B">
      <w:pPr>
        <w:ind w:left="0" w:leftChars="0" w:firstLine="0" w:firstLineChars="0"/>
        <w:rPr>
          <w:rFonts w:hint="eastAsia" w:ascii="宋体" w:hAnsi="宋体" w:eastAsia="宋体" w:cs="宋体"/>
          <w:b/>
          <w:color w:val="auto"/>
          <w:spacing w:val="14"/>
          <w:sz w:val="44"/>
          <w:szCs w:val="44"/>
          <w:highlight w:val="none"/>
        </w:rPr>
      </w:pPr>
    </w:p>
    <w:p w14:paraId="7C21D722">
      <w:pPr>
        <w:pStyle w:val="43"/>
        <w:bidi w:val="0"/>
        <w:jc w:val="center"/>
        <w:rPr>
          <w:rFonts w:hint="eastAsia" w:ascii="宋体" w:hAnsi="宋体" w:cs="宋体"/>
          <w:b/>
          <w:bCs/>
          <w:color w:val="auto"/>
          <w:sz w:val="24"/>
        </w:rPr>
      </w:pPr>
      <w:r>
        <w:rPr>
          <w:rFonts w:hint="eastAsia" w:ascii="宋体" w:hAnsi="宋体" w:eastAsia="宋体" w:cs="宋体"/>
          <w:b/>
          <w:color w:val="auto"/>
          <w:spacing w:val="14"/>
          <w:sz w:val="44"/>
          <w:szCs w:val="44"/>
        </w:rPr>
        <w:t>电子招投标特别提示</w:t>
      </w:r>
    </w:p>
    <w:p w14:paraId="4B641F92">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一、投标人（供应商）注册</w:t>
      </w:r>
    </w:p>
    <w:p w14:paraId="54627DFF">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凡有意参加本项目的投标人（供应商），请</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BE1C0D7">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二、办理CA数字证书</w:t>
      </w:r>
    </w:p>
    <w:p w14:paraId="60754F16">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楼CA窗口现场办理CA数字证书。</w:t>
      </w:r>
    </w:p>
    <w:p w14:paraId="0F8E4B5C">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三、招标（采购）文件获取方式</w:t>
      </w:r>
    </w:p>
    <w:p w14:paraId="4FB1908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投标人（供应商）凭CA数字证书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*.XYZF格式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下载后需使用“信阳市投标文件制作工具软件”打开（该工具软件可在“全国公共资源交易平台（河南省·信阳市）（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）”网站下载中心栏目内下载或在招标文件领取页面下载）。</w:t>
      </w:r>
    </w:p>
    <w:p w14:paraId="0B6DBF56">
      <w:pPr>
        <w:tabs>
          <w:tab w:val="left" w:pos="0"/>
        </w:tabs>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四、投标（响应）文件制作</w:t>
      </w:r>
    </w:p>
    <w:p w14:paraId="1A18AD63">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投标（响应）文件应使用信阳市公共资源交易系统投标文件制作专用工具软件编制，投标（响应）文件格式为“*.XYTF”。</w:t>
      </w:r>
    </w:p>
    <w:p w14:paraId="3AE5C24E">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投标人（供应商）须在投标（响应）文件递交截止时间前制作并提交。</w:t>
      </w:r>
    </w:p>
    <w:p w14:paraId="0D6A1CCD">
      <w:pPr>
        <w:pStyle w:val="9"/>
        <w:bidi w:val="0"/>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五、投标（响应）文件的签字和盖章要求</w:t>
      </w:r>
    </w:p>
    <w:p w14:paraId="3ECA8B01">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1、投标文件（响应）格式中所有要求投标人（供应商）加盖公章的地方都须加盖投标人（供应商）的 CA 印章。</w:t>
      </w:r>
    </w:p>
    <w:p w14:paraId="14C1F9B1">
      <w:pPr>
        <w:bidi w:val="0"/>
        <w:adjustRightInd w:val="0"/>
        <w:snapToGrid w:val="0"/>
        <w:spacing w:line="240" w:lineRule="auto"/>
        <w:ind w:left="-126" w:leftChars="-60" w:firstLine="525" w:firstLineChars="25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2、投标文件（响应）格式中所有要求法定代表人或其委托代理人签字或盖章的地方（不含授权委托书委托人签字）都须加盖法定代表人CA 印章。</w:t>
      </w:r>
    </w:p>
    <w:p w14:paraId="1D59EC84">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六、投标文件份数</w:t>
      </w:r>
    </w:p>
    <w:p w14:paraId="2BAD336B">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加密的电子投标（响应）文件壹份（*.XYTF 格式，在会员系统指定位置上传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157A8E48">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七、投标（响应）文件的递交</w:t>
      </w:r>
    </w:p>
    <w:p w14:paraId="4F10C0EA">
      <w:pPr>
        <w:bidi w:val="0"/>
        <w:adjustRightInd w:val="0"/>
        <w:snapToGrid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1、电子投标（响应）文件的递交</w:t>
      </w:r>
    </w:p>
    <w:p w14:paraId="15058631">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4095FCFF">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、除电子投标（响应）文件外，不再接受任何纸质文件、资料原件等。</w:t>
      </w:r>
    </w:p>
    <w:p w14:paraId="2A615448">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八、澄清与变更</w:t>
      </w:r>
    </w:p>
    <w:p w14:paraId="47AB1F3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7F96607">
      <w:pPr>
        <w:widowControl/>
        <w:numPr>
          <w:ilvl w:val="0"/>
          <w:numId w:val="1"/>
        </w:numPr>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 xml:space="preserve">其他注意事项 </w:t>
      </w:r>
    </w:p>
    <w:p w14:paraId="597CC4E0">
      <w:pPr>
        <w:widowControl/>
        <w:spacing w:line="240" w:lineRule="auto"/>
        <w:jc w:val="left"/>
        <w:rPr>
          <w:rFonts w:hint="eastAsia"/>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 xml:space="preserve">1、供应商编制投标文件时，涉及的营业执照、资质、获奖、社保、纳税等固定内容可在交易中心主体信用信息中录入。 </w:t>
      </w:r>
    </w:p>
    <w:p w14:paraId="5965240C">
      <w:pPr>
        <w:widowControl/>
        <w:bidi w:val="0"/>
        <w:spacing w:line="240" w:lineRule="auto"/>
        <w:jc w:val="left"/>
        <w:rPr>
          <w:rFonts w:hint="eastAsia"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w:t>
      </w:r>
    </w:p>
    <w:p w14:paraId="6FD41D51">
      <w:pPr>
        <w:pStyle w:val="23"/>
        <w:spacing w:line="240" w:lineRule="auto"/>
        <w:ind w:left="0" w:leftChars="0" w:firstLine="420" w:firstLineChars="200"/>
        <w:rPr>
          <w:rFonts w:hint="default"/>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3、中标企业认为投标文件中资料涉及商业秘密的，可以要求代理机构对相关信息模糊处理后公示。</w:t>
      </w:r>
    </w:p>
    <w:p w14:paraId="55107785">
      <w:pPr>
        <w:widowControl/>
        <w:bidi w:val="0"/>
        <w:spacing w:line="240" w:lineRule="auto"/>
        <w:jc w:val="left"/>
        <w:rPr>
          <w:rFonts w:hint="default"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7077708B">
      <w:pPr>
        <w:widowControl/>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highlight w:val="none"/>
          <w:u w:val="double"/>
          <w:lang w:val="en-US" w:eastAsia="zh-CN"/>
        </w:rPr>
        <w:t>5、投标文件中的扫描件，在确保清晰的前提下，每张最好控制在 500kb 内，生成的加密电子投标文件最好不要超过50MB。</w:t>
      </w:r>
    </w:p>
    <w:p w14:paraId="40812700">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十、特别提醒</w:t>
      </w:r>
    </w:p>
    <w:p w14:paraId="37DAA977">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sectPr>
          <w:pgSz w:w="11905" w:h="16838"/>
          <w:pgMar w:top="1440" w:right="1282" w:bottom="1440" w:left="1383" w:header="850" w:footer="850" w:gutter="0"/>
          <w:pgNumType w:fmt="decimal"/>
          <w:cols w:space="720" w:num="1"/>
          <w:docGrid w:type="lines" w:linePitch="411" w:charSpace="0"/>
        </w:sectPr>
      </w:pPr>
      <w:r>
        <w:rPr>
          <w:rFonts w:hint="eastAsia" w:ascii="宋体" w:hAnsi="宋体" w:eastAsia="宋体" w:cs="宋体"/>
          <w:b w:val="0"/>
          <w:bCs w:val="0"/>
          <w:color w:val="auto"/>
          <w:sz w:val="21"/>
          <w:szCs w:val="21"/>
        </w:rPr>
        <w:t>招标（响应）文件与此内容不符的，以此内容为准。</w:t>
      </w:r>
    </w:p>
    <w:p w14:paraId="005970EE">
      <w:pPr>
        <w:pStyle w:val="20"/>
        <w:keepNext w:val="0"/>
        <w:keepLines w:val="0"/>
        <w:pageBreakBefore w:val="0"/>
        <w:widowControl/>
        <w:tabs>
          <w:tab w:val="right" w:leader="underscore" w:pos="8296"/>
        </w:tabs>
        <w:kinsoku/>
        <w:wordWrap/>
        <w:overflowPunct/>
        <w:topLinePunct w:val="0"/>
        <w:autoSpaceDE/>
        <w:autoSpaceDN/>
        <w:bidi w:val="0"/>
        <w:adjustRightInd/>
        <w:snapToGrid/>
        <w:spacing w:after="0" w:afterLines="0" w:line="360" w:lineRule="auto"/>
        <w:ind w:left="0" w:leftChars="0" w:firstLine="0" w:firstLineChars="0"/>
        <w:jc w:val="center"/>
        <w:textAlignment w:val="auto"/>
        <w:outlineLvl w:val="0"/>
        <w:rPr>
          <w:rFonts w:hint="eastAsia" w:ascii="宋体" w:hAnsi="宋体" w:cs="宋体" w:eastAsiaTheme="minorEastAsia"/>
          <w:b/>
          <w:bCs/>
          <w:color w:val="auto"/>
          <w:sz w:val="32"/>
          <w:szCs w:val="32"/>
          <w:highlight w:val="none"/>
          <w:lang w:eastAsia="zh-CN"/>
        </w:rPr>
      </w:pPr>
      <w:bookmarkStart w:id="6" w:name="_Toc30363"/>
      <w:bookmarkStart w:id="7" w:name="_Toc31411"/>
      <w:bookmarkStart w:id="8" w:name="_Toc10356"/>
      <w:bookmarkStart w:id="9" w:name="_Toc9876"/>
      <w:bookmarkStart w:id="10" w:name="_Toc14361"/>
      <w:bookmarkStart w:id="11" w:name="_Toc23059"/>
      <w:bookmarkStart w:id="12" w:name="_Toc11788"/>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第一章 </w:t>
      </w:r>
      <w:bookmarkEnd w:id="2"/>
      <w:bookmarkEnd w:id="3"/>
      <w:bookmarkEnd w:id="4"/>
      <w:bookmarkEnd w:id="5"/>
      <w:bookmarkEnd w:id="6"/>
      <w:r>
        <w:rPr>
          <w:rFonts w:hint="eastAsia" w:ascii="宋体" w:hAnsi="宋体" w:cs="宋体"/>
          <w:b/>
          <w:bCs/>
          <w:color w:val="auto"/>
          <w:sz w:val="32"/>
          <w:szCs w:val="32"/>
          <w:highlight w:val="none"/>
          <w:lang w:eastAsia="zh-CN"/>
        </w:rPr>
        <w:t>竞争性磋商公告</w:t>
      </w:r>
      <w:bookmarkEnd w:id="7"/>
      <w:bookmarkEnd w:id="8"/>
      <w:bookmarkEnd w:id="9"/>
      <w:bookmarkEnd w:id="10"/>
      <w:bookmarkEnd w:id="11"/>
      <w:bookmarkEnd w:id="12"/>
      <w:bookmarkStart w:id="13" w:name="_Toc6735"/>
      <w:bookmarkStart w:id="14" w:name="_Toc9581"/>
      <w:bookmarkStart w:id="15" w:name="_Toc152045527"/>
      <w:bookmarkStart w:id="16" w:name="_Toc22351"/>
      <w:bookmarkStart w:id="17" w:name="_Toc8890"/>
      <w:bookmarkStart w:id="18" w:name="_Toc144974495"/>
      <w:bookmarkStart w:id="19" w:name="_Toc152042303"/>
      <w:r>
        <w:rPr>
          <w:rFonts w:hint="eastAsia" w:ascii="宋体" w:hAnsi="宋体" w:cs="宋体"/>
          <w:b/>
          <w:bCs/>
          <w:color w:val="auto"/>
          <w:sz w:val="32"/>
          <w:szCs w:val="32"/>
          <w:highlight w:val="none"/>
          <w:lang w:val="en-US" w:eastAsia="zh-CN"/>
        </w:rPr>
        <w:t xml:space="preserve"> </w:t>
      </w:r>
    </w:p>
    <w:p w14:paraId="042914B7">
      <w:pPr>
        <w:pStyle w:val="22"/>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bookmarkStart w:id="20" w:name="OLE_LINK1"/>
      <w:r>
        <w:rPr>
          <w:rFonts w:hint="eastAsia" w:ascii="宋体" w:hAnsi="宋体" w:eastAsia="宋体" w:cs="宋体"/>
          <w:b/>
          <w:color w:val="auto"/>
          <w:sz w:val="21"/>
          <w:szCs w:val="21"/>
          <w:highlight w:val="none"/>
        </w:rPr>
        <w:t>项目概况</w:t>
      </w:r>
    </w:p>
    <w:p w14:paraId="2F77BBC5">
      <w:pPr>
        <w:pStyle w:val="22"/>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wordWrap/>
        <w:overflowPunct/>
        <w:topLinePunct w:val="0"/>
        <w:autoSpaceDE/>
        <w:autoSpaceDN/>
        <w:bidi w:val="0"/>
        <w:adjustRightInd/>
        <w:snapToGri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潢川县城区学校AI人像车辆监控设施设备系统项目</w:t>
      </w:r>
      <w:r>
        <w:rPr>
          <w:rFonts w:hint="eastAsia" w:ascii="宋体" w:hAnsi="宋体" w:eastAsia="宋体" w:cs="宋体"/>
          <w:bCs/>
          <w:color w:val="auto"/>
          <w:sz w:val="21"/>
          <w:szCs w:val="21"/>
          <w:highlight w:val="none"/>
        </w:rPr>
        <w:t>的潜在供应商应</w:t>
      </w:r>
      <w:r>
        <w:rPr>
          <w:rFonts w:hint="eastAsia" w:ascii="宋体" w:hAnsi="宋体" w:eastAsia="宋体" w:cs="宋体"/>
          <w:bCs/>
          <w:color w:val="auto"/>
          <w:sz w:val="21"/>
          <w:szCs w:val="21"/>
          <w:highlight w:val="none"/>
          <w:lang w:eastAsia="zh-CN"/>
        </w:rPr>
        <w:t>在</w:t>
      </w:r>
      <w:r>
        <w:rPr>
          <w:rFonts w:hint="eastAsia" w:ascii="宋体" w:hAnsi="宋体" w:eastAsia="宋体" w:cs="宋体"/>
          <w:color w:val="auto"/>
          <w:kern w:val="0"/>
          <w:sz w:val="21"/>
          <w:szCs w:val="21"/>
          <w:highlight w:val="none"/>
        </w:rPr>
        <w:t>“全国公共资源交易平台（河南省·信阳市）（https://ggzyjy.xinyang.gov.cn）</w:t>
      </w:r>
      <w:r>
        <w:rPr>
          <w:rFonts w:hint="eastAsia"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凭办理的企业身份</w:t>
      </w:r>
      <w:r>
        <w:rPr>
          <w:rFonts w:hint="eastAsia" w:ascii="宋体" w:hAnsi="宋体" w:eastAsia="宋体" w:cs="宋体"/>
          <w:bCs/>
          <w:color w:val="auto"/>
          <w:sz w:val="21"/>
          <w:szCs w:val="21"/>
          <w:highlight w:val="none"/>
        </w:rPr>
        <w:t>认证锁（CA数字证书）</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会员系统获取</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，并于</w:t>
      </w:r>
      <w:r>
        <w:rPr>
          <w:rFonts w:hint="eastAsia" w:ascii="宋体" w:hAnsi="宋体" w:eastAsia="宋体" w:cs="宋体"/>
          <w:bCs/>
          <w:color w:val="auto"/>
          <w:sz w:val="21"/>
          <w:szCs w:val="21"/>
          <w:highlight w:val="none"/>
          <w:u w:val="single"/>
          <w:lang w:val="en-US" w:eastAsia="zh-CN"/>
        </w:rPr>
        <w:t>20</w:t>
      </w:r>
      <w:r>
        <w:rPr>
          <w:rFonts w:hint="eastAsia" w:ascii="宋体" w:hAnsi="宋体" w:eastAsia="宋体" w:cs="宋体"/>
          <w:bCs/>
          <w:color w:val="auto"/>
          <w:sz w:val="21"/>
          <w:szCs w:val="21"/>
          <w:highlight w:val="yellow"/>
          <w:u w:val="single"/>
          <w:lang w:val="en-US" w:eastAsia="zh-CN"/>
        </w:rPr>
        <w:t>25年0</w:t>
      </w:r>
      <w:r>
        <w:rPr>
          <w:rFonts w:hint="eastAsia" w:eastAsia="宋体" w:cs="宋体"/>
          <w:bCs/>
          <w:color w:val="auto"/>
          <w:sz w:val="21"/>
          <w:szCs w:val="21"/>
          <w:highlight w:val="yellow"/>
          <w:u w:val="single"/>
          <w:lang w:val="en-US" w:eastAsia="zh-CN"/>
        </w:rPr>
        <w:t>7</w:t>
      </w:r>
      <w:r>
        <w:rPr>
          <w:rFonts w:hint="eastAsia" w:ascii="宋体" w:hAnsi="宋体" w:eastAsia="宋体" w:cs="宋体"/>
          <w:bCs/>
          <w:color w:val="auto"/>
          <w:sz w:val="21"/>
          <w:szCs w:val="21"/>
          <w:highlight w:val="yellow"/>
          <w:u w:val="single"/>
          <w:lang w:val="en-US" w:eastAsia="zh-CN"/>
        </w:rPr>
        <w:t>月</w:t>
      </w:r>
      <w:r>
        <w:rPr>
          <w:rFonts w:hint="eastAsia" w:cs="宋体"/>
          <w:color w:val="auto"/>
          <w:kern w:val="0"/>
          <w:sz w:val="21"/>
          <w:szCs w:val="21"/>
          <w:highlight w:val="yellow"/>
          <w:u w:val="single"/>
          <w:lang w:val="en-US" w:eastAsia="zh-CN" w:bidi="ar-SA"/>
        </w:rPr>
        <w:t>7</w:t>
      </w:r>
      <w:r>
        <w:rPr>
          <w:rFonts w:hint="eastAsia" w:ascii="宋体" w:hAnsi="宋体" w:cs="宋体" w:eastAsiaTheme="minorEastAsia"/>
          <w:color w:val="auto"/>
          <w:kern w:val="0"/>
          <w:sz w:val="21"/>
          <w:szCs w:val="21"/>
          <w:highlight w:val="yellow"/>
          <w:u w:val="single"/>
          <w:lang w:val="en-US" w:eastAsia="zh-CN" w:bidi="ar-SA"/>
        </w:rPr>
        <w:t>日09时30分</w:t>
      </w:r>
      <w:r>
        <w:rPr>
          <w:rFonts w:hint="eastAsia" w:ascii="宋体" w:hAnsi="宋体" w:eastAsia="宋体" w:cs="宋体"/>
          <w:bCs/>
          <w:color w:val="auto"/>
          <w:sz w:val="21"/>
          <w:szCs w:val="21"/>
          <w:highlight w:val="yellow"/>
          <w:shd w:val="clear"/>
        </w:rPr>
        <w:t>（</w:t>
      </w:r>
      <w:r>
        <w:rPr>
          <w:rFonts w:hint="eastAsia" w:ascii="宋体" w:hAnsi="宋体" w:eastAsia="宋体" w:cs="宋体"/>
          <w:bCs/>
          <w:color w:val="auto"/>
          <w:sz w:val="21"/>
          <w:szCs w:val="21"/>
          <w:highlight w:val="none"/>
          <w:shd w:val="clear"/>
        </w:rPr>
        <w:t>北京时间</w:t>
      </w:r>
      <w:r>
        <w:rPr>
          <w:rFonts w:hint="eastAsia" w:ascii="宋体" w:hAnsi="宋体" w:eastAsia="宋体" w:cs="宋体"/>
          <w:bCs/>
          <w:color w:val="auto"/>
          <w:sz w:val="21"/>
          <w:szCs w:val="21"/>
          <w:highlight w:val="none"/>
        </w:rPr>
        <w:t>）前递交响应文件。</w:t>
      </w:r>
    </w:p>
    <w:p w14:paraId="08E7160F">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FBCE34A">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eastAsia" w:eastAsia="宋体" w:cs="宋体"/>
          <w:bCs/>
          <w:color w:val="auto"/>
          <w:sz w:val="21"/>
          <w:szCs w:val="21"/>
          <w:highlight w:val="none"/>
          <w:lang w:val="en-US" w:eastAsia="zh-CN"/>
        </w:rPr>
        <w:t xml:space="preserve">潢财竞磋采购-2025-23 </w:t>
      </w:r>
    </w:p>
    <w:p w14:paraId="545E7BEC">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2、项目名称：潢川县城区学校AI人像车辆监控设施设备系统项目</w:t>
      </w:r>
    </w:p>
    <w:p w14:paraId="46A8FFA6">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14:paraId="6BA64257">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4、预算金额：</w:t>
      </w:r>
      <w:r>
        <w:rPr>
          <w:rFonts w:hint="eastAsia" w:eastAsia="宋体" w:cs="宋体"/>
          <w:bCs/>
          <w:color w:val="auto"/>
          <w:sz w:val="21"/>
          <w:szCs w:val="21"/>
          <w:highlight w:val="none"/>
          <w:lang w:val="en-US" w:eastAsia="zh-CN"/>
        </w:rPr>
        <w:t>79.28万元</w:t>
      </w:r>
    </w:p>
    <w:p w14:paraId="51003F9B">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840" w:firstLineChars="400"/>
        <w:textAlignment w:val="auto"/>
        <w:rPr>
          <w:rFonts w:hint="eastAsia"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eastAsia="宋体" w:cs="宋体"/>
          <w:bCs/>
          <w:color w:val="auto"/>
          <w:sz w:val="21"/>
          <w:szCs w:val="21"/>
          <w:highlight w:val="none"/>
          <w:lang w:val="en-US" w:eastAsia="zh-CN"/>
        </w:rPr>
        <w:t>79.28万元</w:t>
      </w:r>
    </w:p>
    <w:tbl>
      <w:tblPr>
        <w:tblStyle w:val="26"/>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3011"/>
        <w:gridCol w:w="1455"/>
        <w:gridCol w:w="1710"/>
      </w:tblGrid>
      <w:tr w14:paraId="5BF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5" w:type="dxa"/>
            <w:noWrap w:val="0"/>
            <w:vAlign w:val="center"/>
          </w:tcPr>
          <w:p w14:paraId="1F74B7C6">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序号</w:t>
            </w:r>
          </w:p>
        </w:tc>
        <w:tc>
          <w:tcPr>
            <w:tcW w:w="1564" w:type="dxa"/>
            <w:noWrap w:val="0"/>
            <w:vAlign w:val="center"/>
          </w:tcPr>
          <w:p w14:paraId="6250C86B">
            <w:pPr>
              <w:keepNext w:val="0"/>
              <w:keepLines w:val="0"/>
              <w:widowControl/>
              <w:suppressLineNumbers w:val="0"/>
              <w:shd w:val="clear"/>
              <w:spacing w:before="0" w:beforeAutospacing="0" w:after="0" w:afterAutospacing="0" w:line="18" w:lineRule="atLeast"/>
              <w:ind w:left="0" w:leftChars="0"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包号</w:t>
            </w:r>
          </w:p>
        </w:tc>
        <w:tc>
          <w:tcPr>
            <w:tcW w:w="3011" w:type="dxa"/>
            <w:noWrap w:val="0"/>
            <w:vAlign w:val="center"/>
          </w:tcPr>
          <w:p w14:paraId="3A282268">
            <w:pPr>
              <w:keepNext w:val="0"/>
              <w:keepLines w:val="0"/>
              <w:widowControl/>
              <w:suppressLineNumbers w:val="0"/>
              <w:shd w:val="clear"/>
              <w:spacing w:before="0" w:beforeAutospacing="0" w:after="0" w:afterAutospacing="0" w:line="18" w:lineRule="atLeast"/>
              <w:ind w:left="0" w:leftChars="0"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包名称</w:t>
            </w:r>
          </w:p>
        </w:tc>
        <w:tc>
          <w:tcPr>
            <w:tcW w:w="1455" w:type="dxa"/>
            <w:noWrap w:val="0"/>
            <w:vAlign w:val="center"/>
          </w:tcPr>
          <w:p w14:paraId="3A827901">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包预算（元）</w:t>
            </w:r>
          </w:p>
        </w:tc>
        <w:tc>
          <w:tcPr>
            <w:tcW w:w="1710" w:type="dxa"/>
            <w:noWrap w:val="0"/>
            <w:vAlign w:val="center"/>
          </w:tcPr>
          <w:p w14:paraId="69159FC9">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包最高限价（元）</w:t>
            </w:r>
          </w:p>
        </w:tc>
      </w:tr>
      <w:tr w14:paraId="26F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9520B6F">
            <w:pPr>
              <w:pStyle w:val="22"/>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eastAsia="宋体" w:cs="宋体"/>
                <w:b w:val="0"/>
                <w:bCs/>
                <w:color w:val="auto"/>
                <w:sz w:val="21"/>
                <w:szCs w:val="21"/>
                <w:highlight w:val="none"/>
                <w:vertAlign w:val="baseline"/>
                <w:lang w:val="en-US" w:eastAsia="zh-CN"/>
              </w:rPr>
              <w:t>1</w:t>
            </w:r>
          </w:p>
        </w:tc>
        <w:tc>
          <w:tcPr>
            <w:tcW w:w="1564" w:type="dxa"/>
            <w:noWrap w:val="0"/>
            <w:vAlign w:val="center"/>
          </w:tcPr>
          <w:p w14:paraId="7016670D">
            <w:pPr>
              <w:pStyle w:val="22"/>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default" w:ascii="宋体" w:hAnsi="宋体" w:eastAsia="宋体" w:cs="宋体"/>
                <w:b w:val="0"/>
                <w:bCs/>
                <w:color w:val="auto"/>
                <w:sz w:val="21"/>
                <w:szCs w:val="21"/>
                <w:highlight w:val="none"/>
                <w:vertAlign w:val="baseline"/>
                <w:lang w:val="en-US" w:eastAsia="zh-CN"/>
              </w:rPr>
            </w:pPr>
            <w:r>
              <w:rPr>
                <w:rFonts w:hint="eastAsia" w:eastAsia="宋体" w:cs="宋体"/>
                <w:bCs/>
                <w:color w:val="auto"/>
                <w:sz w:val="21"/>
                <w:szCs w:val="21"/>
                <w:highlight w:val="none"/>
                <w:lang w:val="en-US" w:eastAsia="zh-CN"/>
              </w:rPr>
              <w:t>潢财竞磋采购-2025-23</w:t>
            </w:r>
          </w:p>
        </w:tc>
        <w:tc>
          <w:tcPr>
            <w:tcW w:w="3011" w:type="dxa"/>
            <w:noWrap w:val="0"/>
            <w:vAlign w:val="center"/>
          </w:tcPr>
          <w:p w14:paraId="559B9C65">
            <w:pPr>
              <w:pStyle w:val="22"/>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潢川县城区学校AI人像车辆监控设施设备系统项目</w:t>
            </w:r>
          </w:p>
        </w:tc>
        <w:tc>
          <w:tcPr>
            <w:tcW w:w="1455" w:type="dxa"/>
            <w:noWrap w:val="0"/>
            <w:vAlign w:val="center"/>
          </w:tcPr>
          <w:p w14:paraId="71CE1AB9">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default" w:ascii="宋体" w:hAnsi="宋体" w:eastAsia="宋体" w:cs="宋体"/>
                <w:b w:val="0"/>
                <w:bCs/>
                <w:color w:val="auto"/>
                <w:sz w:val="21"/>
                <w:szCs w:val="21"/>
                <w:highlight w:val="none"/>
                <w:vertAlign w:val="baseline"/>
                <w:lang w:val="en-US" w:eastAsia="zh-CN"/>
              </w:rPr>
              <w:t>792810</w:t>
            </w:r>
          </w:p>
        </w:tc>
        <w:tc>
          <w:tcPr>
            <w:tcW w:w="1710" w:type="dxa"/>
            <w:noWrap w:val="0"/>
            <w:vAlign w:val="center"/>
          </w:tcPr>
          <w:p w14:paraId="4160DD64">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default" w:ascii="宋体" w:hAnsi="宋体" w:eastAsia="宋体" w:cs="宋体"/>
                <w:b w:val="0"/>
                <w:bCs/>
                <w:color w:val="auto"/>
                <w:sz w:val="21"/>
                <w:szCs w:val="21"/>
                <w:highlight w:val="none"/>
                <w:vertAlign w:val="baseline"/>
                <w:lang w:val="en-US" w:eastAsia="zh-CN"/>
              </w:rPr>
              <w:t>792810</w:t>
            </w:r>
          </w:p>
        </w:tc>
      </w:tr>
    </w:tbl>
    <w:p w14:paraId="6C5F0CE3">
      <w:pPr>
        <w:pStyle w:val="22"/>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eastAsia="宋体" w:cs="宋体"/>
          <w:bCs/>
          <w:color w:val="auto"/>
          <w:sz w:val="21"/>
          <w:szCs w:val="21"/>
          <w:highlight w:val="none"/>
          <w:lang w:val="en-US" w:eastAsia="zh-CN"/>
        </w:rPr>
      </w:pPr>
    </w:p>
    <w:p w14:paraId="176CF955">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5、采购需求：城区37所学校大门卡口AI人像车辆监控系统设备（人脸识别系统），五年服务</w:t>
      </w:r>
      <w:r>
        <w:rPr>
          <w:rFonts w:hint="eastAsia" w:ascii="宋体" w:hAnsi="宋体" w:eastAsia="宋体" w:cs="宋体"/>
          <w:bCs/>
          <w:color w:val="auto"/>
          <w:sz w:val="21"/>
          <w:szCs w:val="21"/>
          <w:highlight w:val="none"/>
          <w:lang w:eastAsia="zh-CN"/>
        </w:rPr>
        <w:t>。</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详见采购清单）</w:t>
      </w:r>
    </w:p>
    <w:p w14:paraId="527C4A3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5.1服务要求：合格，并通过验收。</w:t>
      </w:r>
    </w:p>
    <w:p w14:paraId="0D0CC5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kern w:val="0"/>
          <w:szCs w:val="21"/>
          <w:lang w:val="en-US"/>
        </w:rPr>
      </w:pPr>
      <w:r>
        <w:rPr>
          <w:rFonts w:hint="eastAsia" w:ascii="宋体" w:hAnsi="宋体" w:eastAsia="宋体" w:cs="宋体"/>
          <w:color w:val="auto"/>
          <w:sz w:val="21"/>
          <w:szCs w:val="21"/>
          <w:highlight w:val="none"/>
          <w:lang w:val="en-US" w:eastAsia="zh-CN"/>
        </w:rPr>
        <w:t>5.2服务期：合同签订</w:t>
      </w:r>
      <w:r>
        <w:rPr>
          <w:rFonts w:hint="eastAsia" w:ascii="宋体" w:hAnsi="宋体" w:cs="宋体"/>
          <w:color w:val="auto"/>
          <w:sz w:val="21"/>
          <w:szCs w:val="21"/>
          <w:highlight w:val="none"/>
          <w:lang w:val="en-US" w:eastAsia="zh-CN"/>
        </w:rPr>
        <w:t>之日起</w:t>
      </w:r>
      <w:r>
        <w:rPr>
          <w:rFonts w:hint="eastAsia" w:ascii="宋体" w:hAnsi="宋体" w:cs="宋体"/>
          <w:color w:val="auto"/>
          <w:kern w:val="0"/>
          <w:szCs w:val="21"/>
          <w:lang w:val="en-US" w:eastAsia="zh-CN"/>
        </w:rPr>
        <w:t>5年</w:t>
      </w:r>
      <w:r>
        <w:rPr>
          <w:rFonts w:hint="eastAsia" w:ascii="宋体" w:hAnsi="宋体" w:cs="宋体"/>
          <w:color w:val="auto"/>
          <w:sz w:val="21"/>
          <w:szCs w:val="21"/>
          <w:highlight w:val="none"/>
          <w:lang w:val="en-US" w:eastAsia="zh-CN"/>
        </w:rPr>
        <w:t>；</w:t>
      </w:r>
    </w:p>
    <w:p w14:paraId="15613F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r>
        <w:rPr>
          <w:rFonts w:hint="eastAsia" w:ascii="宋体" w:hAnsi="宋体" w:cs="宋体"/>
          <w:color w:val="auto"/>
          <w:sz w:val="21"/>
          <w:szCs w:val="21"/>
          <w:highlight w:val="none"/>
          <w:lang w:val="en-US" w:eastAsia="zh-CN"/>
        </w:rPr>
        <w:t>质量要求</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合格，并通过验收。</w:t>
      </w:r>
    </w:p>
    <w:p w14:paraId="3A81FD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5.4交货期：合同签订之日起90日历天内；</w:t>
      </w:r>
    </w:p>
    <w:p w14:paraId="5A56752C">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合同履行期限：同服务期限</w:t>
      </w:r>
    </w:p>
    <w:p w14:paraId="385A847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7、本项目是否接受联合体投标：不接受</w:t>
      </w:r>
    </w:p>
    <w:p w14:paraId="13AC00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p>
    <w:p w14:paraId="08918D9C">
      <w:pPr>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lang w:val="en-US" w:eastAsia="zh-CN"/>
        </w:rPr>
        <w:t>9、是否专门面向中小企业：否</w:t>
      </w:r>
    </w:p>
    <w:p w14:paraId="7B0CB301">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7CACBE10">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6216B32">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2、落实政府采购政策满足的资格要求</w:t>
      </w:r>
      <w:r>
        <w:rPr>
          <w:rFonts w:hint="eastAsia" w:ascii="宋体" w:hAnsi="宋体" w:eastAsia="宋体" w:cs="宋体"/>
          <w:color w:val="auto"/>
          <w:sz w:val="21"/>
          <w:szCs w:val="21"/>
          <w:highlight w:val="none"/>
          <w:lang w:eastAsia="zh-CN"/>
        </w:rPr>
        <w:t>：</w:t>
      </w:r>
    </w:p>
    <w:p w14:paraId="39FDF682">
      <w:pPr>
        <w:adjustRightInd w:val="0"/>
        <w:snapToGrid w:val="0"/>
        <w:spacing w:line="360" w:lineRule="auto"/>
        <w:ind w:firstLine="420"/>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4011FBA4">
      <w:pPr>
        <w:pStyle w:val="23"/>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35F6CBBC">
      <w:pPr>
        <w:keepNext w:val="0"/>
        <w:keepLines w:val="0"/>
        <w:pageBreakBefore w:val="0"/>
        <w:numPr>
          <w:ilvl w:val="0"/>
          <w:numId w:val="3"/>
        </w:numPr>
        <w:kinsoku/>
        <w:overflowPunct/>
        <w:topLinePunct w:val="0"/>
        <w:autoSpaceDE/>
        <w:autoSpaceDN/>
        <w:bidi w:val="0"/>
        <w:snapToGrid w:val="0"/>
        <w:spacing w:line="360" w:lineRule="auto"/>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本项目的特定资格要求：</w:t>
      </w:r>
    </w:p>
    <w:p w14:paraId="1BB71D3A">
      <w:pPr>
        <w:keepNext w:val="0"/>
        <w:keepLines w:val="0"/>
        <w:pageBreakBefore w:val="0"/>
        <w:numPr>
          <w:ilvl w:val="0"/>
          <w:numId w:val="0"/>
        </w:numPr>
        <w:kinsoku/>
        <w:overflowPunct/>
        <w:topLinePunct w:val="0"/>
        <w:autoSpaceDE/>
        <w:autoSpaceDN/>
        <w:bidi w:val="0"/>
        <w:snapToGrid w:val="0"/>
        <w:spacing w:line="360" w:lineRule="auto"/>
        <w:ind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w:t>
      </w:r>
      <w:r>
        <w:rPr>
          <w:rFonts w:hint="eastAsia" w:ascii="宋体" w:hAnsi="宋体" w:eastAsia="宋体" w:cs="宋体"/>
          <w:b w:val="0"/>
          <w:bCs w:val="0"/>
          <w:color w:val="auto"/>
          <w:sz w:val="21"/>
          <w:szCs w:val="21"/>
          <w:highlight w:val="none"/>
          <w:lang w:val="en-US" w:eastAsia="zh-CN"/>
        </w:rPr>
        <w:t>项目不接受联合体投标。</w:t>
      </w:r>
    </w:p>
    <w:p w14:paraId="5D827C4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3B2D39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w:t>
      </w:r>
    </w:p>
    <w:p w14:paraId="107E3052">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6A52CA8">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19B14177">
      <w:pPr>
        <w:pStyle w:val="22"/>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45A74D57">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②符合国家相关规定的财务状况报告（默认</w:t>
      </w:r>
      <w:r>
        <w:rPr>
          <w:rFonts w:hint="eastAsia" w:eastAsia="宋体"/>
          <w:color w:val="auto"/>
          <w:sz w:val="21"/>
          <w:szCs w:val="21"/>
          <w:highlight w:val="none"/>
          <w:lang w:eastAsia="zh-CN"/>
        </w:rPr>
        <w:t>2023年度或2024年度财务审计报告</w:t>
      </w:r>
      <w:r>
        <w:rPr>
          <w:rFonts w:hint="eastAsia" w:eastAsia="宋体"/>
          <w:color w:val="auto"/>
          <w:sz w:val="21"/>
          <w:szCs w:val="21"/>
          <w:highlight w:val="none"/>
        </w:rPr>
        <w:t>，若企业成立年份不足年份的，则以企业成立年份向后推算，提供相应年度的财务审计报告或其基本开户银行出具的资信证明）；</w:t>
      </w:r>
    </w:p>
    <w:p w14:paraId="0361B3BA">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提供2024年以来任意3个月纳税证明，新成立公司不足3个月的</w:t>
      </w:r>
      <w:r>
        <w:rPr>
          <w:rFonts w:hint="eastAsia" w:eastAsia="宋体"/>
          <w:color w:val="auto"/>
          <w:sz w:val="21"/>
          <w:szCs w:val="21"/>
          <w:highlight w:val="none"/>
        </w:rPr>
        <w:t>，按已缴纳月份提供）；</w:t>
      </w:r>
    </w:p>
    <w:p w14:paraId="23CC0FE0">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2024年以来任意3个月缴纳社会保障证明</w:t>
      </w:r>
      <w:r>
        <w:rPr>
          <w:rFonts w:hint="eastAsia" w:eastAsia="宋体"/>
          <w:color w:val="auto"/>
          <w:sz w:val="21"/>
          <w:szCs w:val="21"/>
          <w:highlight w:val="none"/>
        </w:rPr>
        <w:t>，新成立公司不足3个月的，按已缴纳月份提供）；</w:t>
      </w:r>
    </w:p>
    <w:p w14:paraId="2EAADD8C">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 w:val="21"/>
          <w:szCs w:val="21"/>
          <w:highlight w:val="none"/>
        </w:rPr>
        <w:t>⑤</w:t>
      </w:r>
      <w:r>
        <w:rPr>
          <w:rFonts w:hint="eastAsia" w:eastAsia="宋体"/>
          <w:color w:val="auto"/>
          <w:sz w:val="21"/>
          <w:szCs w:val="21"/>
          <w:highlight w:val="none"/>
        </w:rPr>
        <w:t>具有履行合同所必需的设备和专业技术能力（格式自拟，并加盖本单位公章）；</w:t>
      </w:r>
    </w:p>
    <w:p w14:paraId="74C947BC">
      <w:pPr>
        <w:pStyle w:val="24"/>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2516B637">
      <w:pPr>
        <w:pStyle w:val="24"/>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0E5C3084">
      <w:pPr>
        <w:keepNext w:val="0"/>
        <w:keepLines w:val="0"/>
        <w:pageBreakBefore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供应商在中标（成交）后，采购人（采购代理机构）对证明材料核验，经核验无误后，由采购人发出中标（成交）通知书。采购人、采购代理机构在发布中标结果公告时，资格证明材料需同其他要求发布的文件一起发布。</w:t>
      </w:r>
    </w:p>
    <w:p w14:paraId="77DDF6CE">
      <w:pPr>
        <w:pStyle w:val="45"/>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14:paraId="598099EA">
      <w:pPr>
        <w:snapToGrid w:val="0"/>
        <w:spacing w:line="360" w:lineRule="auto"/>
        <w:ind w:firstLine="420"/>
        <w:jc w:val="left"/>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shd w:val="clear"/>
        </w:rPr>
        <w:t>1、时间：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06</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25</w:t>
      </w:r>
      <w:r>
        <w:rPr>
          <w:rFonts w:hint="eastAsia" w:ascii="宋体" w:hAnsi="宋体" w:cs="宋体"/>
          <w:color w:val="auto"/>
          <w:kern w:val="0"/>
          <w:szCs w:val="21"/>
          <w:highlight w:val="none"/>
          <w:u w:val="single"/>
        </w:rPr>
        <w:t>日至202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07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rPr>
        <w:t>，</w:t>
      </w:r>
      <w:r>
        <w:rPr>
          <w:rFonts w:hint="eastAsia" w:ascii="宋体" w:hAnsi="宋体" w:cs="宋体"/>
          <w:color w:val="auto"/>
          <w:kern w:val="0"/>
          <w:szCs w:val="21"/>
          <w:highlight w:val="none"/>
          <w:shd w:val="clear"/>
        </w:rPr>
        <w:t>每天上午00</w:t>
      </w:r>
      <w:r>
        <w:rPr>
          <w:rFonts w:hint="eastAsia" w:ascii="宋体" w:hAnsi="宋体" w:cs="宋体"/>
          <w:color w:val="auto"/>
          <w:kern w:val="0"/>
          <w:szCs w:val="21"/>
          <w:highlight w:val="none"/>
        </w:rPr>
        <w:t>:00至12:00，下午12:01至23:59（北京时间，法定节假日除外）</w:t>
      </w:r>
      <w:r>
        <w:rPr>
          <w:rFonts w:hint="eastAsia" w:ascii="宋体" w:hAnsi="宋体" w:cs="宋体"/>
          <w:color w:val="auto"/>
          <w:kern w:val="0"/>
          <w:szCs w:val="21"/>
          <w:highlight w:val="none"/>
          <w:lang w:eastAsia="zh-CN"/>
        </w:rPr>
        <w:t>。</w:t>
      </w:r>
    </w:p>
    <w:p w14:paraId="218EBF02">
      <w:pPr>
        <w:keepNext w:val="0"/>
        <w:keepLines w:val="0"/>
        <w:pageBreakBefore w:val="0"/>
        <w:widowControl w:val="0"/>
        <w:kinsoku/>
        <w:wordWrap w:val="0"/>
        <w:overflowPunct/>
        <w:topLinePunct w:val="0"/>
        <w:autoSpaceDE/>
        <w:autoSpaceDN/>
        <w:bidi w:val="0"/>
        <w:adjustRightInd/>
        <w:snapToGrid w:val="0"/>
        <w:spacing w:line="360" w:lineRule="auto"/>
        <w:ind w:firstLine="420"/>
        <w:jc w:val="left"/>
        <w:textAlignment w:val="auto"/>
        <w:rPr>
          <w:rFonts w:hint="eastAsia" w:ascii="宋体" w:hAnsi="宋体" w:cs="宋体" w:eastAsiaTheme="minorEastAsia"/>
          <w:color w:val="auto"/>
          <w:kern w:val="0"/>
          <w:szCs w:val="21"/>
          <w:highlight w:val="none"/>
          <w:u w:val="single"/>
          <w:lang w:eastAsia="zh-CN"/>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u w:val="single"/>
        </w:rPr>
        <w:t>登录“全国公共资源交易平台（河南省·信阳市）（https://ggzyjy.xinyang.gov.cn/）”网站，凭办理的企业身份认证锁（CA数字证书）登录会员系统进行网上投标</w:t>
      </w:r>
      <w:r>
        <w:rPr>
          <w:rFonts w:hint="eastAsia" w:ascii="宋体" w:hAnsi="宋体" w:cs="宋体"/>
          <w:color w:val="auto"/>
          <w:kern w:val="0"/>
          <w:szCs w:val="21"/>
          <w:highlight w:val="none"/>
          <w:u w:val="single"/>
          <w:lang w:eastAsia="zh-CN"/>
        </w:rPr>
        <w:t>。</w:t>
      </w:r>
    </w:p>
    <w:p w14:paraId="0CFD87BC">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3、方式：</w:t>
      </w:r>
      <w:r>
        <w:rPr>
          <w:rFonts w:hint="eastAsia" w:ascii="宋体" w:hAnsi="宋体" w:cs="宋体"/>
          <w:color w:val="auto"/>
          <w:szCs w:val="21"/>
          <w:lang w:val="en-US" w:eastAsia="zh-CN"/>
        </w:rPr>
        <w:t>详见“七、其他补充事宜”；</w:t>
      </w:r>
    </w:p>
    <w:p w14:paraId="655F1BCE">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4、售价：招标文件售价0元。</w:t>
      </w:r>
    </w:p>
    <w:p w14:paraId="38D64C92">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四、投标文件提交</w:t>
      </w:r>
    </w:p>
    <w:p w14:paraId="1A3EA143">
      <w:pPr>
        <w:pStyle w:val="22"/>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single"/>
          <w:lang w:val="en-US" w:eastAsia="zh-CN" w:bidi="ar-SA"/>
        </w:rPr>
        <w:t>2025年0</w:t>
      </w:r>
      <w:r>
        <w:rPr>
          <w:rFonts w:hint="eastAsia" w:cs="宋体"/>
          <w:color w:val="auto"/>
          <w:kern w:val="0"/>
          <w:sz w:val="21"/>
          <w:szCs w:val="21"/>
          <w:highlight w:val="none"/>
          <w:u w:val="single"/>
          <w:lang w:val="en-US" w:eastAsia="zh-CN" w:bidi="ar-SA"/>
        </w:rPr>
        <w:t>7</w:t>
      </w:r>
      <w:r>
        <w:rPr>
          <w:rFonts w:hint="eastAsia" w:ascii="宋体" w:hAnsi="宋体" w:cs="宋体" w:eastAsiaTheme="minorEastAsia"/>
          <w:color w:val="auto"/>
          <w:kern w:val="0"/>
          <w:sz w:val="21"/>
          <w:szCs w:val="21"/>
          <w:highlight w:val="none"/>
          <w:u w:val="single"/>
          <w:lang w:val="en-US" w:eastAsia="zh-CN" w:bidi="ar-SA"/>
        </w:rPr>
        <w:t>月</w:t>
      </w:r>
      <w:r>
        <w:rPr>
          <w:rFonts w:hint="eastAsia" w:cs="宋体"/>
          <w:color w:val="auto"/>
          <w:kern w:val="0"/>
          <w:sz w:val="21"/>
          <w:szCs w:val="21"/>
          <w:highlight w:val="none"/>
          <w:u w:val="single"/>
          <w:lang w:val="en-US" w:eastAsia="zh-CN" w:bidi="ar-SA"/>
        </w:rPr>
        <w:t>7</w:t>
      </w:r>
      <w:r>
        <w:rPr>
          <w:rFonts w:hint="eastAsia" w:ascii="宋体" w:hAnsi="宋体" w:cs="宋体" w:eastAsiaTheme="minorEastAsia"/>
          <w:color w:val="auto"/>
          <w:kern w:val="0"/>
          <w:sz w:val="21"/>
          <w:szCs w:val="21"/>
          <w:highlight w:val="none"/>
          <w:u w:val="single"/>
          <w:lang w:val="en-US" w:eastAsia="zh-CN" w:bidi="ar-SA"/>
        </w:rPr>
        <w:t>日09时30分</w:t>
      </w:r>
      <w:r>
        <w:rPr>
          <w:rFonts w:hint="eastAsia" w:eastAsia="宋体"/>
          <w:color w:val="auto"/>
          <w:sz w:val="21"/>
          <w:szCs w:val="21"/>
          <w:highlight w:val="none"/>
        </w:rPr>
        <w:t>（北京时间）。</w:t>
      </w:r>
    </w:p>
    <w:p w14:paraId="54880224">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2、地点：供应商必须在投标文件提交截止时间前通过信阳市公共资源交易中心电子招投标系统上传加密的电子投标文件(*.XYTF格式)。注：加密电子投标文件逾期上传采购人不予受理。</w:t>
      </w:r>
    </w:p>
    <w:p w14:paraId="3226D2B0">
      <w:pPr>
        <w:widowControl/>
        <w:snapToGrid w:val="0"/>
        <w:spacing w:line="360" w:lineRule="auto"/>
        <w:ind w:firstLine="422"/>
        <w:rPr>
          <w:rFonts w:hint="default" w:ascii="宋体" w:hAnsi="宋体" w:cs="宋体" w:eastAsiaTheme="minorEastAsia"/>
          <w:b/>
          <w:bCs/>
          <w:color w:val="auto"/>
          <w:kern w:val="0"/>
          <w:szCs w:val="21"/>
          <w:highlight w:val="none"/>
          <w:lang w:val="en-US" w:eastAsia="zh-CN"/>
        </w:rPr>
      </w:pPr>
      <w:r>
        <w:rPr>
          <w:rFonts w:hint="eastAsia" w:ascii="宋体" w:hAnsi="宋体" w:cs="宋体"/>
          <w:b/>
          <w:bCs/>
          <w:color w:val="auto"/>
          <w:kern w:val="0"/>
          <w:szCs w:val="21"/>
          <w:highlight w:val="none"/>
        </w:rPr>
        <w:t>五、投标文件</w:t>
      </w:r>
      <w:r>
        <w:rPr>
          <w:rFonts w:hint="eastAsia" w:ascii="宋体" w:hAnsi="宋体" w:cs="宋体"/>
          <w:b/>
          <w:bCs/>
          <w:color w:val="auto"/>
          <w:kern w:val="0"/>
          <w:szCs w:val="21"/>
          <w:highlight w:val="none"/>
          <w:lang w:val="en-US" w:eastAsia="zh-CN"/>
        </w:rPr>
        <w:t>的</w:t>
      </w:r>
      <w:r>
        <w:rPr>
          <w:rFonts w:hint="eastAsia" w:ascii="宋体" w:hAnsi="宋体" w:cs="宋体"/>
          <w:b/>
          <w:bCs/>
          <w:color w:val="auto"/>
          <w:kern w:val="0"/>
          <w:szCs w:val="21"/>
          <w:highlight w:val="none"/>
        </w:rPr>
        <w:t>开启</w:t>
      </w:r>
      <w:r>
        <w:rPr>
          <w:rFonts w:hint="eastAsia" w:ascii="宋体" w:hAnsi="宋体" w:cs="宋体"/>
          <w:b/>
          <w:bCs/>
          <w:color w:val="auto"/>
          <w:kern w:val="0"/>
          <w:szCs w:val="21"/>
          <w:highlight w:val="none"/>
          <w:lang w:val="en-US" w:eastAsia="zh-CN"/>
        </w:rPr>
        <w:t>时间及地点</w:t>
      </w:r>
    </w:p>
    <w:p w14:paraId="403121A3">
      <w:pPr>
        <w:pStyle w:val="22"/>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single"/>
          <w:lang w:val="en-US" w:eastAsia="zh-CN" w:bidi="ar-SA"/>
        </w:rPr>
        <w:t>2025年0</w:t>
      </w:r>
      <w:r>
        <w:rPr>
          <w:rFonts w:hint="eastAsia" w:cs="宋体"/>
          <w:color w:val="auto"/>
          <w:kern w:val="0"/>
          <w:sz w:val="21"/>
          <w:szCs w:val="21"/>
          <w:highlight w:val="none"/>
          <w:u w:val="single"/>
          <w:lang w:val="en-US" w:eastAsia="zh-CN" w:bidi="ar-SA"/>
        </w:rPr>
        <w:t>7</w:t>
      </w:r>
      <w:r>
        <w:rPr>
          <w:rFonts w:hint="eastAsia" w:ascii="宋体" w:hAnsi="宋体" w:cs="宋体" w:eastAsiaTheme="minorEastAsia"/>
          <w:color w:val="auto"/>
          <w:kern w:val="0"/>
          <w:sz w:val="21"/>
          <w:szCs w:val="21"/>
          <w:highlight w:val="none"/>
          <w:u w:val="single"/>
          <w:lang w:val="en-US" w:eastAsia="zh-CN" w:bidi="ar-SA"/>
        </w:rPr>
        <w:t>月</w:t>
      </w:r>
      <w:r>
        <w:rPr>
          <w:rFonts w:hint="eastAsia" w:cs="宋体"/>
          <w:color w:val="auto"/>
          <w:kern w:val="0"/>
          <w:sz w:val="21"/>
          <w:szCs w:val="21"/>
          <w:highlight w:val="none"/>
          <w:u w:val="single"/>
          <w:lang w:val="en-US" w:eastAsia="zh-CN" w:bidi="ar-SA"/>
        </w:rPr>
        <w:t>7</w:t>
      </w:r>
      <w:r>
        <w:rPr>
          <w:rFonts w:hint="eastAsia" w:ascii="宋体" w:hAnsi="宋体" w:cs="宋体" w:eastAsiaTheme="minorEastAsia"/>
          <w:color w:val="auto"/>
          <w:kern w:val="0"/>
          <w:sz w:val="21"/>
          <w:szCs w:val="21"/>
          <w:highlight w:val="none"/>
          <w:u w:val="single"/>
          <w:lang w:val="en-US" w:eastAsia="zh-CN" w:bidi="ar-SA"/>
        </w:rPr>
        <w:t xml:space="preserve">日09时30分 </w:t>
      </w:r>
      <w:r>
        <w:rPr>
          <w:rFonts w:hint="eastAsia" w:eastAsia="宋体"/>
          <w:color w:val="auto"/>
          <w:sz w:val="21"/>
          <w:szCs w:val="21"/>
          <w:highlight w:val="none"/>
        </w:rPr>
        <w:t>（北京时间）。</w:t>
      </w:r>
    </w:p>
    <w:p w14:paraId="2D51CE2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lang w:val="en-US" w:eastAsia="zh-CN"/>
        </w:rPr>
        <w:t>潢川县</w:t>
      </w:r>
      <w:r>
        <w:rPr>
          <w:rFonts w:hint="eastAsia" w:ascii="宋体" w:hAnsi="宋体" w:cs="宋体"/>
          <w:color w:val="auto"/>
          <w:kern w:val="0"/>
          <w:szCs w:val="21"/>
          <w:highlight w:val="none"/>
        </w:rPr>
        <w:t>公共资源交易中心第</w:t>
      </w:r>
      <w:r>
        <w:rPr>
          <w:rFonts w:hint="eastAsia" w:ascii="宋体" w:hAnsi="宋体" w:cs="宋体"/>
          <w:color w:val="auto"/>
          <w:kern w:val="0"/>
          <w:szCs w:val="21"/>
          <w:highlight w:val="none"/>
          <w:u w:val="single"/>
          <w:lang w:val="en-US" w:eastAsia="zh-CN"/>
        </w:rPr>
        <w:t xml:space="preserve"> 一 </w:t>
      </w:r>
      <w:r>
        <w:rPr>
          <w:rFonts w:hint="eastAsia" w:ascii="宋体" w:hAnsi="宋体" w:cs="宋体"/>
          <w:color w:val="auto"/>
          <w:kern w:val="0"/>
          <w:szCs w:val="21"/>
          <w:highlight w:val="none"/>
        </w:rPr>
        <w:t xml:space="preserve">开标室。  </w:t>
      </w:r>
    </w:p>
    <w:p w14:paraId="7A576D0B">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六、发布公告的媒介及招标公告期限</w:t>
      </w:r>
    </w:p>
    <w:p w14:paraId="0FFCE09A">
      <w:pPr>
        <w:widowControl/>
        <w:snapToGrid w:val="0"/>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本次招标公告在《河南省政府采购网》《全国公共资源交易平台（河南省·信阳市）》网上发布，招标公告期限为五个工作日。</w:t>
      </w:r>
    </w:p>
    <w:p w14:paraId="12A52F8F">
      <w:pPr>
        <w:pStyle w:val="9"/>
        <w:snapToGrid w:val="0"/>
        <w:spacing w:after="0"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七、其他补充事宜</w:t>
      </w:r>
    </w:p>
    <w:p w14:paraId="31A2BC3A">
      <w:pPr>
        <w:keepNext w:val="0"/>
        <w:keepLines w:val="0"/>
        <w:pageBreakBefore w:val="0"/>
        <w:widowControl/>
        <w:kinsoku/>
        <w:wordWrap w:val="0"/>
        <w:overflowPunct/>
        <w:topLinePunct w:val="0"/>
        <w:autoSpaceDE/>
        <w:autoSpaceDN/>
        <w:bidi w:val="0"/>
        <w:adjustRightInd/>
        <w:snapToGrid w:val="0"/>
        <w:spacing w:line="360" w:lineRule="auto"/>
        <w:ind w:firstLine="42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6A7CC62">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2、供应商应当在投标文件提交截止时间前，使用供应商CA数字证书登录不见面开标大厅，在线签到并准时参加开标活动，并在规定时间内完成投标文件解密、答疑澄清等。</w:t>
      </w:r>
    </w:p>
    <w:p w14:paraId="300C90F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3、逾期解密或者没有准时在线参加开标活动导致的一切后果供应商自行承担。</w:t>
      </w:r>
    </w:p>
    <w:p w14:paraId="053B4B0A">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4、不见面开标服务的具体事宜，请查阅信阳市公共资源交易中心网站首页—下载中心—信阳市不见面开标大厅系统操作手册。</w:t>
      </w:r>
    </w:p>
    <w:p w14:paraId="4A606B9C">
      <w:pPr>
        <w:widowControl/>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特别提示：供应商在线签到时，应如实准确的填写授权委托人的联系电话，开标当天请务必保证电话保持畅通。</w:t>
      </w:r>
    </w:p>
    <w:p w14:paraId="07E165BA">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7A6282B8">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5C7B695C">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4F11DA1">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请投标人下载招标文件后及时关注系统业务菜单（“答疑澄清文件领取”，“控制价文件领取”）内该项目是否有新的答疑澄清文件或控制价文件。如有请直接下载，不再另行通知。</w:t>
      </w:r>
    </w:p>
    <w:p w14:paraId="7F542685">
      <w:pPr>
        <w:widowControl/>
        <w:snapToGrid w:val="0"/>
        <w:spacing w:line="360" w:lineRule="auto"/>
        <w:ind w:firstLine="420"/>
        <w:jc w:val="left"/>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9、代理服务费的收取参照河南省招标代理服务收费指导意见《豫招协（2023）002号》文件的规定收取，收费金额为：13477元。</w:t>
      </w:r>
    </w:p>
    <w:p w14:paraId="3CCEBFF0">
      <w:pPr>
        <w:pStyle w:val="24"/>
        <w:ind w:left="0" w:leftChars="0" w:firstLine="420" w:firstLineChars="2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val="en-US" w:eastAsia="zh-CN"/>
        </w:rPr>
        <w:t>10</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rPr>
        <w:t>监督部门信息</w:t>
      </w:r>
    </w:p>
    <w:p w14:paraId="250A4C00">
      <w:pPr>
        <w:pStyle w:val="24"/>
        <w:ind w:left="0" w:leftChars="0" w:firstLine="630" w:firstLineChars="3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监督单位：</w:t>
      </w:r>
      <w:r>
        <w:rPr>
          <w:rFonts w:hint="eastAsia" w:ascii="宋体" w:hAnsi="宋体" w:eastAsia="宋体" w:cs="宋体"/>
          <w:bCs/>
          <w:color w:val="auto"/>
          <w:kern w:val="0"/>
          <w:szCs w:val="24"/>
          <w:highlight w:val="none"/>
          <w:lang w:eastAsia="zh-CN"/>
        </w:rPr>
        <w:t>潢川县政府采购管理办公室</w:t>
      </w:r>
      <w:r>
        <w:rPr>
          <w:rFonts w:hint="eastAsia" w:ascii="宋体" w:hAnsi="宋体" w:eastAsia="宋体" w:cs="宋体"/>
          <w:bCs/>
          <w:color w:val="auto"/>
          <w:kern w:val="0"/>
          <w:szCs w:val="24"/>
          <w:highlight w:val="none"/>
        </w:rPr>
        <w:t xml:space="preserve"> </w:t>
      </w:r>
    </w:p>
    <w:p w14:paraId="34958259">
      <w:pPr>
        <w:pStyle w:val="24"/>
        <w:spacing w:line="240" w:lineRule="auto"/>
        <w:ind w:left="0" w:leftChars="0" w:firstLine="630" w:firstLineChars="30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联系电话：</w:t>
      </w:r>
      <w:r>
        <w:rPr>
          <w:rFonts w:hint="eastAsia" w:ascii="宋体" w:hAnsi="宋体" w:eastAsia="宋体" w:cs="宋体"/>
          <w:bCs/>
          <w:color w:val="auto"/>
          <w:kern w:val="0"/>
          <w:szCs w:val="24"/>
          <w:highlight w:val="none"/>
          <w:lang w:val="en-US" w:eastAsia="zh-CN"/>
        </w:rPr>
        <w:t>0376-5528602</w:t>
      </w:r>
    </w:p>
    <w:p w14:paraId="3204E65F">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八、凡对本次招标提出询问，请按照以下方式联系</w:t>
      </w:r>
    </w:p>
    <w:p w14:paraId="3E2E7AD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1、采购人信息</w:t>
      </w:r>
      <w:r>
        <w:rPr>
          <w:rFonts w:hint="eastAsia" w:ascii="宋体" w:hAnsi="宋体" w:cs="宋体"/>
          <w:color w:val="auto"/>
          <w:sz w:val="21"/>
          <w:szCs w:val="21"/>
          <w:highlight w:val="none"/>
          <w:lang w:val="en-US" w:eastAsia="zh-CN"/>
        </w:rPr>
        <w:t xml:space="preserve"> </w:t>
      </w:r>
    </w:p>
    <w:p w14:paraId="7740E4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人：潢川县教育体育局 </w:t>
      </w:r>
    </w:p>
    <w:p w14:paraId="7068D8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址：潢川县跃进路 </w:t>
      </w:r>
    </w:p>
    <w:p w14:paraId="05B8DFB9">
      <w:pPr>
        <w:pStyle w:val="40"/>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人：陶千</w:t>
      </w:r>
    </w:p>
    <w:p w14:paraId="4E55EE6C">
      <w:pPr>
        <w:pStyle w:val="40"/>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话：13937629001</w:t>
      </w:r>
    </w:p>
    <w:p w14:paraId="412B2AC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2、采购代理机构信息 </w:t>
      </w:r>
    </w:p>
    <w:p w14:paraId="774053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 潢川县产投鑫诺项目管理有限公司</w:t>
      </w:r>
    </w:p>
    <w:p w14:paraId="26EEAE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Style w:val="58"/>
          <w:rFonts w:hint="default"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 河南省信阳市潢川县产业集聚区工业大道智慧大厦8楼</w:t>
      </w:r>
    </w:p>
    <w:p w14:paraId="2BCA41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 陈先生</w:t>
      </w:r>
    </w:p>
    <w:p w14:paraId="7A994F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    话： 13033736671 </w:t>
      </w:r>
    </w:p>
    <w:p w14:paraId="751CC932">
      <w:pPr>
        <w:pStyle w:val="24"/>
        <w:numPr>
          <w:ilvl w:val="0"/>
          <w:numId w:val="0"/>
        </w:numPr>
        <w:ind w:left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3、项目联系方式</w:t>
      </w:r>
    </w:p>
    <w:p w14:paraId="74D674E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联系人：陈先生</w:t>
      </w:r>
    </w:p>
    <w:p w14:paraId="058AF730">
      <w:pPr>
        <w:pStyle w:val="24"/>
        <w:ind w:left="0" w:leftChars="0" w:firstLine="420" w:firstLineChars="200"/>
        <w:rPr>
          <w:rFonts w:hint="default" w:ascii="宋体" w:hAnsi="宋体" w:eastAsia="宋体" w:cs="宋体"/>
          <w:bCs/>
          <w:color w:val="auto"/>
          <w:kern w:val="0"/>
          <w:szCs w:val="24"/>
          <w:highlight w:val="none"/>
          <w:lang w:val="en-US"/>
        </w:rPr>
      </w:pPr>
      <w:r>
        <w:rPr>
          <w:rFonts w:hint="eastAsia" w:ascii="宋体" w:hAnsi="宋体" w:cs="宋体"/>
          <w:color w:val="auto"/>
          <w:sz w:val="21"/>
          <w:szCs w:val="21"/>
          <w:highlight w:val="none"/>
          <w:lang w:val="en-US" w:eastAsia="zh-CN"/>
        </w:rPr>
        <w:t>联系电话：</w:t>
      </w:r>
      <w:bookmarkEnd w:id="20"/>
      <w:r>
        <w:rPr>
          <w:rFonts w:hint="eastAsia" w:ascii="宋体" w:hAnsi="宋体" w:cs="宋体"/>
          <w:color w:val="auto"/>
          <w:sz w:val="21"/>
          <w:szCs w:val="21"/>
          <w:highlight w:val="none"/>
          <w:lang w:val="en-US" w:eastAsia="zh-CN"/>
        </w:rPr>
        <w:t>13033736671</w:t>
      </w:r>
    </w:p>
    <w:p w14:paraId="67712A8D">
      <w:pPr>
        <w:rPr>
          <w:rFonts w:hint="eastAsia" w:ascii="宋体" w:hAnsi="宋体" w:cs="宋体"/>
          <w:b/>
          <w:bCs w:val="0"/>
          <w:color w:val="auto"/>
          <w:sz w:val="32"/>
          <w:highlight w:val="none"/>
        </w:rPr>
      </w:pPr>
      <w:r>
        <w:rPr>
          <w:rFonts w:hint="eastAsia" w:ascii="宋体" w:hAnsi="宋体" w:cs="宋体"/>
          <w:b/>
          <w:bCs w:val="0"/>
          <w:color w:val="auto"/>
          <w:sz w:val="32"/>
          <w:highlight w:val="none"/>
        </w:rPr>
        <w:br w:type="page"/>
      </w:r>
    </w:p>
    <w:p w14:paraId="5BDB629B">
      <w:pPr>
        <w:keepNext w:val="0"/>
        <w:keepLines w:val="0"/>
        <w:pageBreakBefore w:val="0"/>
        <w:widowControl/>
        <w:numPr>
          <w:ilvl w:val="0"/>
          <w:numId w:val="4"/>
        </w:numPr>
        <w:kinsoku/>
        <w:overflowPunct/>
        <w:topLinePunct w:val="0"/>
        <w:autoSpaceDE/>
        <w:autoSpaceDN/>
        <w:bidi w:val="0"/>
        <w:spacing w:line="360" w:lineRule="auto"/>
        <w:ind w:left="0" w:leftChars="0" w:firstLine="0" w:firstLineChars="0"/>
        <w:jc w:val="center"/>
        <w:textAlignment w:val="auto"/>
        <w:outlineLvl w:val="0"/>
        <w:rPr>
          <w:rFonts w:hint="eastAsia" w:ascii="宋体" w:hAnsi="宋体" w:cs="宋体"/>
          <w:b/>
          <w:bCs w:val="0"/>
          <w:color w:val="auto"/>
          <w:sz w:val="32"/>
          <w:highlight w:val="none"/>
        </w:rPr>
      </w:pPr>
      <w:r>
        <w:rPr>
          <w:rFonts w:hint="eastAsia" w:ascii="宋体" w:hAnsi="宋体" w:cs="宋体"/>
          <w:b/>
          <w:bCs w:val="0"/>
          <w:color w:val="auto"/>
          <w:sz w:val="32"/>
          <w:highlight w:val="none"/>
        </w:rPr>
        <w:t>供应商须知</w:t>
      </w:r>
      <w:bookmarkEnd w:id="13"/>
      <w:bookmarkEnd w:id="14"/>
      <w:bookmarkEnd w:id="15"/>
      <w:bookmarkEnd w:id="16"/>
      <w:bookmarkEnd w:id="17"/>
      <w:bookmarkEnd w:id="18"/>
      <w:bookmarkEnd w:id="19"/>
    </w:p>
    <w:p w14:paraId="2CA5D8F9">
      <w:pPr>
        <w:keepNext w:val="0"/>
        <w:keepLines w:val="0"/>
        <w:pageBreakBefore w:val="0"/>
        <w:widowControl/>
        <w:numPr>
          <w:ilvl w:val="0"/>
          <w:numId w:val="0"/>
        </w:numPr>
        <w:kinsoku/>
        <w:overflowPunct/>
        <w:topLinePunct w:val="0"/>
        <w:autoSpaceDE/>
        <w:autoSpaceDN/>
        <w:bidi w:val="0"/>
        <w:spacing w:line="360" w:lineRule="auto"/>
        <w:ind w:leftChars="0"/>
        <w:jc w:val="center"/>
        <w:textAlignment w:val="auto"/>
        <w:outlineLvl w:val="0"/>
        <w:rPr>
          <w:rFonts w:hint="eastAsia" w:ascii="宋体" w:hAnsi="宋体" w:cs="宋体"/>
          <w:b/>
          <w:bCs w:val="0"/>
          <w:color w:val="auto"/>
          <w:sz w:val="32"/>
          <w:highlight w:val="none"/>
          <w:lang w:eastAsia="zh-CN"/>
        </w:rPr>
      </w:pPr>
      <w:r>
        <w:rPr>
          <w:rFonts w:hint="eastAsia" w:ascii="宋体" w:hAnsi="宋体" w:cs="宋体"/>
          <w:b/>
          <w:bCs w:val="0"/>
          <w:color w:val="auto"/>
          <w:sz w:val="24"/>
          <w:szCs w:val="24"/>
          <w:lang w:val="en-US" w:eastAsia="zh-CN"/>
        </w:rPr>
        <w:t>供应商</w:t>
      </w:r>
      <w:r>
        <w:rPr>
          <w:rFonts w:hint="eastAsia" w:ascii="宋体" w:hAnsi="宋体" w:cs="宋体"/>
          <w:b/>
          <w:bCs w:val="0"/>
          <w:color w:val="auto"/>
          <w:sz w:val="24"/>
          <w:szCs w:val="24"/>
        </w:rPr>
        <w:t>须知前附表</w:t>
      </w:r>
    </w:p>
    <w:tbl>
      <w:tblPr>
        <w:tblStyle w:val="25"/>
        <w:tblW w:w="0" w:type="auto"/>
        <w:jc w:val="center"/>
        <w:tblLayout w:type="autofit"/>
        <w:tblCellMar>
          <w:top w:w="0" w:type="dxa"/>
          <w:left w:w="108" w:type="dxa"/>
          <w:bottom w:w="0" w:type="dxa"/>
          <w:right w:w="108" w:type="dxa"/>
        </w:tblCellMar>
      </w:tblPr>
      <w:tblGrid>
        <w:gridCol w:w="741"/>
        <w:gridCol w:w="1253"/>
        <w:gridCol w:w="7462"/>
      </w:tblGrid>
      <w:tr w14:paraId="075AB8AA">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9B1668">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C27B110">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78FF108">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编  列  内  容</w:t>
            </w:r>
          </w:p>
        </w:tc>
      </w:tr>
      <w:tr w14:paraId="21C45458">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C80AC0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7D614E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F9907F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人：潢川县教育体育局 </w:t>
            </w:r>
          </w:p>
          <w:p w14:paraId="2CB476F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址：潢川县跃进路</w:t>
            </w:r>
          </w:p>
          <w:p w14:paraId="0D69FF3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人：陶千</w:t>
            </w:r>
          </w:p>
          <w:p w14:paraId="641C5C6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 xml:space="preserve">电    话：13937629001 </w:t>
            </w:r>
          </w:p>
        </w:tc>
      </w:tr>
      <w:tr w14:paraId="2DB5EBAE">
        <w:tblPrEx>
          <w:tblCellMar>
            <w:top w:w="0" w:type="dxa"/>
            <w:left w:w="108" w:type="dxa"/>
            <w:bottom w:w="0" w:type="dxa"/>
            <w:right w:w="108" w:type="dxa"/>
          </w:tblCellMar>
        </w:tblPrEx>
        <w:trPr>
          <w:trHeight w:val="159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4F846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36930AF">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C823AA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代理机构：潢川县产投鑫诺项目管理有限公司</w:t>
            </w:r>
          </w:p>
          <w:p w14:paraId="722F0FE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Style w:val="58"/>
                <w:rFonts w:hint="eastAsia"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址：河南省信阳市潢川县产业集聚区工业大道智慧大厦8楼</w:t>
            </w:r>
          </w:p>
          <w:p w14:paraId="553B494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人：陈先生</w:t>
            </w:r>
          </w:p>
          <w:p w14:paraId="3E7FDC7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电    话：13033736671</w:t>
            </w:r>
          </w:p>
        </w:tc>
      </w:tr>
      <w:tr w14:paraId="77ABA66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7B22D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1A6701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AEFAFD9">
            <w:pPr>
              <w:keepNext w:val="0"/>
              <w:keepLines w:val="0"/>
              <w:pageBreakBefore w:val="0"/>
              <w:kinsoku/>
              <w:wordWrap/>
              <w:overflowPunct/>
              <w:bidi w:val="0"/>
              <w:snapToGrid w:val="0"/>
              <w:spacing w:line="360" w:lineRule="auto"/>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潢川县城区学校AI人像车辆监控设施设备系统项目</w:t>
            </w:r>
          </w:p>
        </w:tc>
      </w:tr>
      <w:tr w14:paraId="65C127F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415838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E8D13F8">
            <w:pPr>
              <w:keepNext w:val="0"/>
              <w:keepLines w:val="0"/>
              <w:pageBreakBefore w:val="0"/>
              <w:kinsoku/>
              <w:wordWrap/>
              <w:overflowPunct/>
              <w:topLinePunct w:val="0"/>
              <w:autoSpaceDE w:val="0"/>
              <w:autoSpaceDN w:val="0"/>
              <w:bidi w:val="0"/>
              <w:adjustRightInd w:val="0"/>
              <w:snapToGrid w:val="0"/>
              <w:spacing w:line="360" w:lineRule="auto"/>
              <w:ind w:left="0" w:leftChars="0" w:right="35" w:rightChars="0" w:firstLine="0" w:firstLineChars="0"/>
              <w:jc w:val="both"/>
              <w:rPr>
                <w:rFonts w:hint="eastAsia"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42FD7B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default"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val="en-US" w:eastAsia="zh-CN" w:bidi="ar-SA"/>
              </w:rPr>
              <w:t>竞争性磋商</w:t>
            </w:r>
          </w:p>
        </w:tc>
      </w:tr>
      <w:tr w14:paraId="0F3E65D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E3713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1.2.5</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1751D48">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预算价</w:t>
            </w:r>
          </w:p>
          <w:p w14:paraId="2289805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kern w:val="0"/>
                <w:sz w:val="21"/>
                <w:szCs w:val="21"/>
                <w:highlight w:val="none"/>
                <w:lang w:eastAsia="zh-CN"/>
              </w:rPr>
              <w:t>）</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713221E">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预算价（最高限价）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79.28万元</w:t>
            </w:r>
          </w:p>
          <w:p w14:paraId="67BF4704">
            <w:pPr>
              <w:pStyle w:val="49"/>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lang w:eastAsia="zh-CN"/>
              </w:rPr>
              <w:t>第一次</w:t>
            </w:r>
            <w:r>
              <w:rPr>
                <w:rFonts w:hint="eastAsia" w:ascii="宋体" w:hAnsi="宋体" w:eastAsia="宋体" w:cs="宋体"/>
                <w:b w:val="0"/>
                <w:bCs w:val="0"/>
                <w:color w:val="auto"/>
                <w:kern w:val="0"/>
                <w:szCs w:val="21"/>
                <w:highlight w:val="none"/>
              </w:rPr>
              <w:t>报价超过</w:t>
            </w:r>
            <w:r>
              <w:rPr>
                <w:rFonts w:hint="eastAsia" w:ascii="宋体" w:hAnsi="宋体" w:eastAsia="宋体" w:cs="宋体"/>
                <w:b w:val="0"/>
                <w:bCs w:val="0"/>
                <w:color w:val="auto"/>
                <w:kern w:val="0"/>
                <w:szCs w:val="21"/>
                <w:highlight w:val="none"/>
                <w:lang w:eastAsia="zh-CN"/>
              </w:rPr>
              <w:t>预算价</w:t>
            </w:r>
            <w:r>
              <w:rPr>
                <w:rFonts w:hint="eastAsia" w:ascii="宋体" w:hAnsi="宋体" w:eastAsia="宋体" w:cs="宋体"/>
                <w:b w:val="0"/>
                <w:bCs w:val="0"/>
                <w:color w:val="auto"/>
                <w:kern w:val="0"/>
                <w:sz w:val="21"/>
                <w:szCs w:val="21"/>
                <w:highlight w:val="none"/>
                <w:lang w:eastAsia="zh-CN"/>
              </w:rPr>
              <w:t>（最高限价）</w:t>
            </w:r>
            <w:r>
              <w:rPr>
                <w:rFonts w:hint="eastAsia" w:ascii="宋体" w:hAnsi="宋体" w:eastAsia="宋体" w:cs="宋体"/>
                <w:b w:val="0"/>
                <w:bCs w:val="0"/>
                <w:color w:val="auto"/>
                <w:kern w:val="0"/>
                <w:szCs w:val="21"/>
                <w:highlight w:val="none"/>
              </w:rPr>
              <w:t>按无效</w:t>
            </w:r>
            <w:r>
              <w:rPr>
                <w:rFonts w:hint="eastAsia" w:ascii="宋体" w:hAnsi="宋体" w:eastAsia="宋体" w:cs="宋体"/>
                <w:b w:val="0"/>
                <w:bCs w:val="0"/>
                <w:color w:val="auto"/>
                <w:kern w:val="0"/>
                <w:szCs w:val="21"/>
                <w:highlight w:val="none"/>
                <w:lang w:eastAsia="zh-CN"/>
              </w:rPr>
              <w:t>投标</w:t>
            </w:r>
            <w:r>
              <w:rPr>
                <w:rFonts w:hint="eastAsia" w:ascii="宋体" w:hAnsi="宋体" w:eastAsia="宋体" w:cs="宋体"/>
                <w:b w:val="0"/>
                <w:bCs w:val="0"/>
                <w:color w:val="auto"/>
                <w:kern w:val="0"/>
                <w:szCs w:val="21"/>
                <w:highlight w:val="none"/>
              </w:rPr>
              <w:t>处理</w:t>
            </w:r>
          </w:p>
        </w:tc>
      </w:tr>
      <w:tr w14:paraId="2425A24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727D63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4573587">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磋商内容</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B611783">
            <w:pPr>
              <w:keepNext w:val="0"/>
              <w:keepLines w:val="0"/>
              <w:pageBreakBefore w:val="0"/>
              <w:kinsoku/>
              <w:wordWrap/>
              <w:overflowPunct/>
              <w:topLinePunct w:val="0"/>
              <w:bidi w:val="0"/>
              <w:snapToGrid w:val="0"/>
              <w:spacing w:line="360" w:lineRule="auto"/>
              <w:ind w:left="0" w:leftChars="0" w:firstLine="0" w:firstLineChars="0"/>
              <w:rPr>
                <w:rFonts w:hint="default" w:ascii="宋体" w:hAnsi="宋体" w:cs="宋体" w:eastAsiaTheme="minorEastAsia"/>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城区37所学校大门卡口AI人像车辆监控系统设备（人脸识别系统），五年服务。</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详见采购清单）</w:t>
            </w:r>
          </w:p>
        </w:tc>
      </w:tr>
      <w:tr w14:paraId="6047C9E0">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1DA2E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200963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交货期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8E02689">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Theme="minorEastAsia"/>
                <w:color w:val="auto"/>
                <w:szCs w:val="21"/>
                <w:highlight w:val="none"/>
                <w:lang w:val="en-US" w:eastAsia="zh-CN"/>
              </w:rPr>
            </w:pPr>
            <w:r>
              <w:rPr>
                <w:rFonts w:hint="eastAsia" w:ascii="宋体" w:hAnsi="宋体" w:cs="宋体"/>
                <w:color w:val="auto"/>
                <w:sz w:val="21"/>
                <w:szCs w:val="21"/>
                <w:highlight w:val="none"/>
                <w:lang w:val="en-US" w:eastAsia="zh-CN"/>
              </w:rPr>
              <w:t>合同签订之日起90日历天内；</w:t>
            </w:r>
          </w:p>
        </w:tc>
      </w:tr>
      <w:tr w14:paraId="269288D5">
        <w:tblPrEx>
          <w:tblCellMar>
            <w:top w:w="0" w:type="dxa"/>
            <w:left w:w="108" w:type="dxa"/>
            <w:bottom w:w="0" w:type="dxa"/>
            <w:right w:w="108" w:type="dxa"/>
          </w:tblCellMar>
        </w:tblPrEx>
        <w:trPr>
          <w:trHeight w:val="52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FE4D2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A80417">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EF593A7">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合同签订</w:t>
            </w:r>
            <w:r>
              <w:rPr>
                <w:rFonts w:hint="eastAsia" w:ascii="宋体" w:hAnsi="宋体" w:cs="宋体"/>
                <w:color w:val="auto"/>
                <w:sz w:val="21"/>
                <w:szCs w:val="21"/>
                <w:highlight w:val="none"/>
                <w:lang w:val="en-US" w:eastAsia="zh-CN"/>
              </w:rPr>
              <w:t>之日起</w:t>
            </w:r>
            <w:r>
              <w:rPr>
                <w:rFonts w:hint="eastAsia" w:ascii="宋体" w:hAnsi="宋体" w:cs="宋体"/>
                <w:color w:val="auto"/>
                <w:kern w:val="0"/>
                <w:szCs w:val="21"/>
                <w:lang w:val="en-US" w:eastAsia="zh-CN"/>
              </w:rPr>
              <w:t>5年</w:t>
            </w:r>
            <w:r>
              <w:rPr>
                <w:rFonts w:hint="eastAsia" w:ascii="宋体" w:hAnsi="宋体" w:cs="宋体"/>
                <w:color w:val="auto"/>
                <w:sz w:val="21"/>
                <w:szCs w:val="21"/>
                <w:highlight w:val="none"/>
                <w:lang w:val="en-US" w:eastAsia="zh-CN"/>
              </w:rPr>
              <w:t>；</w:t>
            </w:r>
          </w:p>
        </w:tc>
      </w:tr>
      <w:tr w14:paraId="6DCF893F">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6C789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5B8A4E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26D4A0C">
            <w:pPr>
              <w:keepNext w:val="0"/>
              <w:keepLines w:val="0"/>
              <w:pageBreakBefore w:val="0"/>
              <w:kinsoku/>
              <w:wordWrap/>
              <w:overflowPunct/>
              <w:bidi w:val="0"/>
              <w:snapToGrid w:val="0"/>
              <w:spacing w:line="360" w:lineRule="auto"/>
              <w:ind w:left="0" w:leftChars="0" w:firstLine="0" w:firstLineChars="0"/>
              <w:jc w:val="left"/>
              <w:rPr>
                <w:rFonts w:hint="eastAsia" w:ascii="宋体" w:hAnsi="宋体" w:eastAsiaTheme="minorEastAsia"/>
                <w:color w:val="auto"/>
                <w:szCs w:val="21"/>
                <w:highlight w:val="none"/>
                <w:lang w:val="en-US" w:eastAsia="zh-CN"/>
              </w:rPr>
            </w:pPr>
            <w:r>
              <w:rPr>
                <w:rFonts w:hint="eastAsia" w:ascii="宋体" w:hAnsi="宋体" w:cs="宋体"/>
                <w:color w:val="auto"/>
                <w:sz w:val="21"/>
                <w:szCs w:val="21"/>
                <w:highlight w:val="none"/>
                <w:lang w:val="en-US" w:eastAsia="zh-CN"/>
              </w:rPr>
              <w:t>合格，并通过验收。</w:t>
            </w:r>
          </w:p>
        </w:tc>
      </w:tr>
      <w:tr w14:paraId="3A42ECC5">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6D114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5</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C95EDD5">
            <w:pPr>
              <w:keepNext w:val="0"/>
              <w:keepLines w:val="0"/>
              <w:pageBreakBefore w:val="0"/>
              <w:kinsoku/>
              <w:wordWrap/>
              <w:overflowPunct/>
              <w:bidi w:val="0"/>
              <w:snapToGrid w:val="0"/>
              <w:spacing w:line="360" w:lineRule="auto"/>
              <w:ind w:left="0" w:leftChars="0" w:firstLine="0" w:firstLineChars="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质量要求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08A5730">
            <w:pPr>
              <w:keepNext w:val="0"/>
              <w:keepLines w:val="0"/>
              <w:pageBreakBefore w:val="0"/>
              <w:kinsoku/>
              <w:wordWrap/>
              <w:overflowPunct/>
              <w:bidi w:val="0"/>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合格，并通过验收。</w:t>
            </w:r>
          </w:p>
        </w:tc>
      </w:tr>
      <w:tr w14:paraId="38C0872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35BE0D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1.4.6</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5E64BBE">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7E92BBF">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合同签订后付款30%，验收完成后付款70%</w:t>
            </w:r>
          </w:p>
        </w:tc>
      </w:tr>
      <w:tr w14:paraId="3DACF09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394C4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1.4.7</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EBD7E7B">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违约责任</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8C61090">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1、对涉及虚假应标、低价中标，低质履约或不能如期履行采购合同的供应商，采购人、采购代理机构将报告同级财政部门处理，并追究其违约责任。</w:t>
            </w:r>
          </w:p>
          <w:p w14:paraId="64EDCE83">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应按照招标文件要求如期完成采购人委托的相关事宜，不能如期履约，或履约不符合要求，应承担违约责任。如发现存在违约事件，经向县政府采购主管部门报告后，做出口头警告、书面警告、赔付违约金、直至解除合同等处理。因违约造成经济损失的，供应商在赔偿违约损失的同时，并支付违约金（合同金额的10%）。</w:t>
            </w:r>
          </w:p>
          <w:p w14:paraId="6FE935F3">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具体以合同签订为准。</w:t>
            </w:r>
          </w:p>
        </w:tc>
      </w:tr>
      <w:tr w14:paraId="27DBC05B">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674CF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3AAA6D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供应商资质条件及能力要求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0680429">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7E1065A">
            <w:pPr>
              <w:pStyle w:val="22"/>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2、落实政府采购政策满足的资格要求</w:t>
            </w:r>
            <w:r>
              <w:rPr>
                <w:rFonts w:hint="eastAsia" w:ascii="宋体" w:hAnsi="宋体" w:eastAsia="宋体" w:cs="宋体"/>
                <w:color w:val="auto"/>
                <w:sz w:val="21"/>
                <w:szCs w:val="21"/>
                <w:highlight w:val="none"/>
                <w:lang w:eastAsia="zh-CN"/>
              </w:rPr>
              <w:t>：</w:t>
            </w:r>
          </w:p>
          <w:p w14:paraId="55F0DA9D">
            <w:pPr>
              <w:adjustRightInd w:val="0"/>
              <w:snapToGrid w:val="0"/>
              <w:spacing w:line="360" w:lineRule="auto"/>
              <w:ind w:firstLine="420"/>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3B45CE4F">
            <w:pPr>
              <w:pStyle w:val="23"/>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C51BF9B">
            <w:pPr>
              <w:keepNext w:val="0"/>
              <w:keepLines w:val="0"/>
              <w:pageBreakBefore w:val="0"/>
              <w:numPr>
                <w:ilvl w:val="0"/>
                <w:numId w:val="3"/>
              </w:numPr>
              <w:kinsoku/>
              <w:overflowPunct/>
              <w:topLinePunct w:val="0"/>
              <w:autoSpaceDE/>
              <w:autoSpaceDN/>
              <w:bidi w:val="0"/>
              <w:snapToGrid w:val="0"/>
              <w:spacing w:line="360" w:lineRule="auto"/>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本项目的特定资格要求：</w:t>
            </w:r>
          </w:p>
          <w:p w14:paraId="698100B0">
            <w:pPr>
              <w:keepNext w:val="0"/>
              <w:keepLines w:val="0"/>
              <w:pageBreakBefore w:val="0"/>
              <w:numPr>
                <w:ilvl w:val="0"/>
                <w:numId w:val="0"/>
              </w:numPr>
              <w:kinsoku/>
              <w:overflowPunct/>
              <w:topLinePunct w:val="0"/>
              <w:autoSpaceDE/>
              <w:autoSpaceDN/>
              <w:bidi w:val="0"/>
              <w:snapToGrid w:val="0"/>
              <w:spacing w:line="360" w:lineRule="auto"/>
              <w:ind w:firstLine="840" w:firstLineChars="4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w:t>
            </w:r>
            <w:r>
              <w:rPr>
                <w:rFonts w:hint="eastAsia" w:ascii="宋体" w:hAnsi="宋体" w:eastAsia="宋体" w:cs="宋体"/>
                <w:b w:val="0"/>
                <w:bCs w:val="0"/>
                <w:color w:val="auto"/>
                <w:sz w:val="21"/>
                <w:szCs w:val="21"/>
                <w:highlight w:val="none"/>
                <w:lang w:val="en-US" w:eastAsia="zh-CN"/>
              </w:rPr>
              <w:t>项目不接受联合体投标。</w:t>
            </w:r>
          </w:p>
          <w:p w14:paraId="40A5FBF8">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2A9A286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提供加盖供应商公章的“国家企业信用信息公示系统”中公示的公司基础信息包含股东及出资信息）。</w:t>
            </w:r>
          </w:p>
          <w:p w14:paraId="6D56A27A">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BC5D99D">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7D366228">
            <w:pPr>
              <w:pStyle w:val="22"/>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35E0B2ED">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②符合国家相关规定的财务状况报告（默认</w:t>
            </w:r>
            <w:r>
              <w:rPr>
                <w:rFonts w:hint="eastAsia" w:eastAsia="宋体"/>
                <w:color w:val="auto"/>
                <w:sz w:val="21"/>
                <w:szCs w:val="21"/>
                <w:highlight w:val="none"/>
                <w:lang w:eastAsia="zh-CN"/>
              </w:rPr>
              <w:t>2023年度或2024年度财务审计报告</w:t>
            </w:r>
            <w:r>
              <w:rPr>
                <w:rFonts w:hint="eastAsia" w:eastAsia="宋体"/>
                <w:color w:val="auto"/>
                <w:sz w:val="21"/>
                <w:szCs w:val="21"/>
                <w:highlight w:val="none"/>
              </w:rPr>
              <w:t>，若企业成立年份不足年份的，则以企业成立年份向后推算，提供相应年度的财务审计报告或其基本开户银行出具的资信证明）；</w:t>
            </w:r>
          </w:p>
          <w:p w14:paraId="669078E2">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提供2024年以来任意3个月纳税证明，新成立公司不足3个月的</w:t>
            </w:r>
            <w:r>
              <w:rPr>
                <w:rFonts w:hint="eastAsia" w:eastAsia="宋体"/>
                <w:color w:val="auto"/>
                <w:sz w:val="21"/>
                <w:szCs w:val="21"/>
                <w:highlight w:val="none"/>
              </w:rPr>
              <w:t>，按已缴纳月份提供）；</w:t>
            </w:r>
          </w:p>
          <w:p w14:paraId="5FFA8925">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2024年以来任意3个月缴纳社会保障证明</w:t>
            </w:r>
            <w:r>
              <w:rPr>
                <w:rFonts w:hint="eastAsia" w:eastAsia="宋体"/>
                <w:color w:val="auto"/>
                <w:sz w:val="21"/>
                <w:szCs w:val="21"/>
                <w:highlight w:val="none"/>
              </w:rPr>
              <w:t>，新成立公司不足3个月的，按已缴纳月份提供）；</w:t>
            </w:r>
          </w:p>
          <w:p w14:paraId="35496A98">
            <w:pPr>
              <w:pStyle w:val="22"/>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Cs w:val="21"/>
                <w:highlight w:val="none"/>
              </w:rPr>
              <w:t>⑤</w:t>
            </w:r>
            <w:r>
              <w:rPr>
                <w:rFonts w:hint="eastAsia" w:eastAsia="宋体"/>
                <w:color w:val="auto"/>
                <w:sz w:val="21"/>
                <w:szCs w:val="21"/>
                <w:highlight w:val="none"/>
              </w:rPr>
              <w:t>具有履行合同所必需的设备和专业技术能力（格式自拟，并加盖本单位公章）；</w:t>
            </w:r>
          </w:p>
          <w:p w14:paraId="54236FAF">
            <w:pPr>
              <w:pStyle w:val="24"/>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4AD011FA">
            <w:pPr>
              <w:pStyle w:val="24"/>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2E2202F5">
            <w:pPr>
              <w:keepNext w:val="0"/>
              <w:keepLines w:val="0"/>
              <w:pageBreakBefore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二）供应商在中标（成交）后，采购人（采购代理机构）对证明材料核验，经核验无误后，由采购人发出中标（成交）通知书。采购人、采购代理机构在发布中标结果公告时，资格证明材料需同其他要求发布的文件一起发布。</w:t>
            </w:r>
          </w:p>
        </w:tc>
      </w:tr>
      <w:tr w14:paraId="1DDBD6C0">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DC738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ED510DD">
            <w:pPr>
              <w:keepNext w:val="0"/>
              <w:keepLines w:val="0"/>
              <w:pageBreakBefore w:val="0"/>
              <w:kinsoku/>
              <w:wordWrap/>
              <w:overflowPunct/>
              <w:bidi w:val="0"/>
              <w:snapToGrid w:val="0"/>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是否接受联合体</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75C6355">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不接受</w:t>
            </w:r>
          </w:p>
        </w:tc>
      </w:tr>
      <w:tr w14:paraId="7C14FD34">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C0178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1.10</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4AAA8E5">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现场踏勘</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629F353">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自行踏勘</w:t>
            </w:r>
          </w:p>
        </w:tc>
      </w:tr>
      <w:tr w14:paraId="69F5C032">
        <w:tblPrEx>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ED2E2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F6DC41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950749A">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084AD6B2">
        <w:tblPrEx>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DE1E90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6D0AD55">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构成磋商文件的其他材料</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119513A">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除磋商文件外，采购人在磋商期间发出的澄清、修改、补充、补遗和</w:t>
            </w:r>
            <w:r>
              <w:rPr>
                <w:rFonts w:hint="eastAsia" w:ascii="宋体" w:hAnsi="宋体" w:cs="宋体"/>
                <w:color w:val="auto"/>
                <w:szCs w:val="21"/>
                <w:highlight w:val="none"/>
                <w:lang w:eastAsia="zh-CN"/>
              </w:rPr>
              <w:t>其他有效</w:t>
            </w:r>
            <w:r>
              <w:rPr>
                <w:rFonts w:hint="eastAsia" w:ascii="宋体" w:hAnsi="宋体" w:cs="宋体"/>
                <w:color w:val="auto"/>
                <w:szCs w:val="21"/>
                <w:highlight w:val="none"/>
              </w:rPr>
              <w:t>正式函件等内容均是磋商文件的组成部分</w:t>
            </w:r>
          </w:p>
        </w:tc>
      </w:tr>
      <w:tr w14:paraId="550EDD4F">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C0797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22AFA4">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提出问题的</w:t>
            </w:r>
            <w:r>
              <w:rPr>
                <w:rFonts w:hint="eastAsia" w:ascii="宋体" w:hAnsi="宋体" w:cs="宋体"/>
                <w:color w:val="auto"/>
                <w:szCs w:val="21"/>
                <w:highlight w:val="none"/>
              </w:rPr>
              <w:t>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302D892">
            <w:pPr>
              <w:keepNext w:val="0"/>
              <w:keepLines w:val="0"/>
              <w:pageBreakBefore w:val="0"/>
              <w:kinsoku/>
              <w:wordWrap/>
              <w:overflowPunct/>
              <w:bidi w:val="0"/>
              <w:adjustRightInd w:val="0"/>
              <w:snapToGrid w:val="0"/>
              <w:spacing w:line="360" w:lineRule="auto"/>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公告发布之日起</w:t>
            </w:r>
            <w:r>
              <w:rPr>
                <w:rFonts w:hint="eastAsia" w:ascii="宋体" w:hAnsi="宋体" w:cs="宋体"/>
                <w:color w:val="auto"/>
                <w:szCs w:val="21"/>
                <w:highlight w:val="none"/>
                <w:lang w:val="en-US" w:eastAsia="zh-CN"/>
              </w:rPr>
              <w:t>5个工作日内</w:t>
            </w:r>
          </w:p>
        </w:tc>
      </w:tr>
      <w:tr w14:paraId="5079C5D9">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F659C71">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9320C71">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采购人澄清磋商文件的截止时间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6D34EBC6">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递交响应文件截止之日</w:t>
            </w:r>
            <w:r>
              <w:rPr>
                <w:rFonts w:hint="eastAsia" w:ascii="宋体" w:hAnsi="宋体" w:cs="宋体"/>
                <w:color w:val="auto"/>
                <w:szCs w:val="21"/>
                <w:highlight w:val="none"/>
                <w:u w:val="single"/>
              </w:rPr>
              <w:t>5</w:t>
            </w:r>
            <w:r>
              <w:rPr>
                <w:rFonts w:hint="eastAsia" w:ascii="宋体" w:hAnsi="宋体" w:cs="宋体"/>
                <w:color w:val="auto"/>
                <w:szCs w:val="21"/>
                <w:highlight w:val="none"/>
              </w:rPr>
              <w:t>天前</w:t>
            </w:r>
          </w:p>
        </w:tc>
      </w:tr>
      <w:tr w14:paraId="7564573E">
        <w:tblPrEx>
          <w:tblCellMar>
            <w:top w:w="0" w:type="dxa"/>
            <w:left w:w="108" w:type="dxa"/>
            <w:bottom w:w="0" w:type="dxa"/>
            <w:right w:w="108" w:type="dxa"/>
          </w:tblCellMar>
        </w:tblPrEx>
        <w:trPr>
          <w:trHeight w:val="11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D5F60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7F87FD0">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供应商确认收到磋商文件澄清的时间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5F44050">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在收到相应澄清文件后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3DC5A3F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438919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2.3.2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FDDA97A">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供应商确认收到磋商文件修改的时间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CBEC1A4">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在收到相应修改文件后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019FAD0F">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0ECF49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5DD6765">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6E1BFFB">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供应商认为需要提交的其他证明材料</w:t>
            </w:r>
          </w:p>
        </w:tc>
      </w:tr>
      <w:tr w14:paraId="5EA8E332">
        <w:tblPrEx>
          <w:tblCellMar>
            <w:top w:w="0" w:type="dxa"/>
            <w:left w:w="108" w:type="dxa"/>
            <w:bottom w:w="0" w:type="dxa"/>
            <w:right w:w="108"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06DB56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3.3.1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EA8946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磋商有效期</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F648CB3">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60日历天（响应文件</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截止之日起）</w:t>
            </w:r>
          </w:p>
        </w:tc>
      </w:tr>
      <w:tr w14:paraId="22278360">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157940">
            <w:pPr>
              <w:keepNext w:val="0"/>
              <w:keepLines w:val="0"/>
              <w:pageBreakBefore w:val="0"/>
              <w:kinsoku/>
              <w:wordWrap/>
              <w:overflowPunct/>
              <w:bidi w:val="0"/>
              <w:snapToGrid w:val="0"/>
              <w:spacing w:line="360" w:lineRule="auto"/>
              <w:ind w:left="0" w:leftChars="0" w:firstLine="0" w:firstLineChars="0"/>
              <w:jc w:val="center"/>
              <w:textAlignment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3.2.3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3BB9951">
            <w:pPr>
              <w:keepNext w:val="0"/>
              <w:keepLines w:val="0"/>
              <w:pageBreakBefore w:val="0"/>
              <w:kinsoku/>
              <w:wordWrap/>
              <w:overflowPunct/>
              <w:bidi w:val="0"/>
              <w:snapToGrid w:val="0"/>
              <w:spacing w:line="360" w:lineRule="auto"/>
              <w:ind w:left="0" w:leftChars="0" w:firstLine="0" w:firstLineChars="0"/>
              <w:jc w:val="both"/>
              <w:textAlignment w:val="center"/>
              <w:rPr>
                <w:rFonts w:hint="eastAsia"/>
                <w:color w:val="auto"/>
                <w:kern w:val="2"/>
                <w:sz w:val="21"/>
                <w:szCs w:val="24"/>
                <w:highlight w:val="none"/>
                <w:lang w:val="en-US" w:eastAsia="zh-CN" w:bidi="ar-SA"/>
              </w:rPr>
            </w:pPr>
            <w:r>
              <w:rPr>
                <w:color w:val="auto"/>
                <w:highlight w:val="none"/>
              </w:rPr>
              <w:t>报价方式</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490915D9">
            <w:pPr>
              <w:keepNext w:val="0"/>
              <w:keepLines w:val="0"/>
              <w:pageBreakBefore w:val="0"/>
              <w:kinsoku/>
              <w:wordWrap/>
              <w:overflowPunct/>
              <w:bidi w:val="0"/>
              <w:snapToGrid w:val="0"/>
              <w:spacing w:line="360" w:lineRule="auto"/>
              <w:jc w:val="left"/>
              <w:textAlignment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自主报价</w:t>
            </w:r>
          </w:p>
        </w:tc>
      </w:tr>
      <w:tr w14:paraId="28F03A5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884D5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3.6</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141347C">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是否允许递交备选磋商方案</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123CFA59">
            <w:pPr>
              <w:pStyle w:val="8"/>
              <w:keepNext w:val="0"/>
              <w:keepLines w:val="0"/>
              <w:pageBreakBefore w:val="0"/>
              <w:kinsoku/>
              <w:wordWrap/>
              <w:overflowPunct/>
              <w:topLinePunct/>
              <w:bidi w:val="0"/>
              <w:adjustRightInd w:val="0"/>
              <w:snapToGrid w:val="0"/>
              <w:spacing w:line="360" w:lineRule="auto"/>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417CFB3A">
        <w:tblPrEx>
          <w:tblCellMar>
            <w:top w:w="0" w:type="dxa"/>
            <w:left w:w="108" w:type="dxa"/>
            <w:bottom w:w="0" w:type="dxa"/>
            <w:right w:w="108" w:type="dxa"/>
          </w:tblCellMar>
        </w:tblPrEx>
        <w:trPr>
          <w:trHeight w:val="16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CA7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3.7.3</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BEB4C2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电子响应文件签字盖章要求</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83178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（1）所有要求供应商加盖公章的地方都须加盖供应商的 CA 印章。</w:t>
            </w:r>
          </w:p>
          <w:p w14:paraId="3FF37C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（2）所有要求法定代表人或其委托代理人签字的地方都须法定代表人或其委托代理人加盖CA印章或签字。</w:t>
            </w:r>
          </w:p>
        </w:tc>
      </w:tr>
      <w:tr w14:paraId="503A1FD9">
        <w:tblPrEx>
          <w:tblCellMar>
            <w:top w:w="0" w:type="dxa"/>
            <w:left w:w="108" w:type="dxa"/>
            <w:bottom w:w="0" w:type="dxa"/>
            <w:right w:w="108" w:type="dxa"/>
          </w:tblCellMar>
        </w:tblPrEx>
        <w:trPr>
          <w:trHeight w:val="78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5B7783">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3.7.4</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DFE974">
            <w:pPr>
              <w:keepNext w:val="0"/>
              <w:keepLines w:val="0"/>
              <w:pageBreakBefore w:val="0"/>
              <w:kinsoku/>
              <w:wordWrap/>
              <w:overflowPunct/>
              <w:bidi w:val="0"/>
              <w:adjustRightInd w:val="0"/>
              <w:snapToGrid w:val="0"/>
              <w:spacing w:line="360" w:lineRule="auto"/>
              <w:ind w:left="0" w:leftChars="0" w:firstLine="0" w:firstLineChars="0"/>
              <w:jc w:val="both"/>
              <w:rPr>
                <w:rFonts w:hint="eastAsia" w:ascii="宋体" w:hAnsi="宋体" w:cs="宋体"/>
                <w:bCs/>
                <w:color w:val="auto"/>
                <w:szCs w:val="21"/>
                <w:highlight w:val="none"/>
              </w:rPr>
            </w:pPr>
            <w:r>
              <w:rPr>
                <w:rFonts w:hint="eastAsia" w:ascii="宋体" w:hAnsi="宋体" w:cs="宋体"/>
                <w:bCs/>
                <w:color w:val="auto"/>
                <w:szCs w:val="21"/>
                <w:highlight w:val="none"/>
              </w:rPr>
              <w:t>响应文件份数</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0C17B78">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加密的电子响应文件壹份（*.XYTF 格式，在会员系统指定位置上传）</w:t>
            </w:r>
          </w:p>
        </w:tc>
      </w:tr>
      <w:tr w14:paraId="7C515970">
        <w:tblPrEx>
          <w:tblCellMar>
            <w:top w:w="0" w:type="dxa"/>
            <w:left w:w="108" w:type="dxa"/>
            <w:bottom w:w="0" w:type="dxa"/>
            <w:right w:w="108" w:type="dxa"/>
          </w:tblCellMar>
        </w:tblPrEx>
        <w:trPr>
          <w:trHeight w:val="61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3D03B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4.2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009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响应文件的递交</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5DC9AADE">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1、电子响应文件的递交</w:t>
            </w:r>
          </w:p>
          <w:p w14:paraId="7D547C10">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5456A8F">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 xml:space="preserve">2、本项目采用“不见面开标”交易方式，不见面开标大厅网址为 </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http://www.xyggzyjy.cn:8088/BidOpening，供应商无需寄送和递交非加密的电子响应文件，无需到现场参加开标会议，无需到达现场提交原件资料。</w:t>
            </w:r>
            <w:r>
              <w:rPr>
                <w:rFonts w:hint="eastAsia" w:ascii="宋体" w:hAnsi="宋体" w:cs="宋体"/>
                <w:color w:val="auto"/>
                <w:sz w:val="21"/>
                <w:szCs w:val="21"/>
                <w:highlight w:val="none"/>
                <w:lang w:val="en-US" w:eastAsia="zh-CN"/>
              </w:rPr>
              <w:fldChar w:fldCharType="end"/>
            </w:r>
          </w:p>
        </w:tc>
      </w:tr>
      <w:tr w14:paraId="70DCBD2E">
        <w:tblPrEx>
          <w:tblCellMar>
            <w:top w:w="0" w:type="dxa"/>
            <w:left w:w="108" w:type="dxa"/>
            <w:bottom w:w="0" w:type="dxa"/>
            <w:right w:w="108" w:type="dxa"/>
          </w:tblCellMar>
        </w:tblPrEx>
        <w:trPr>
          <w:trHeight w:val="91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E3DDE0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5.1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3AE95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CD01C67">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eastAsia="宋体" w:cs="宋体"/>
                <w:color w:val="auto"/>
                <w:szCs w:val="21"/>
                <w:highlight w:val="none"/>
                <w:lang w:eastAsia="zh-CN"/>
              </w:rPr>
            </w:pPr>
            <w:r>
              <w:rPr>
                <w:rFonts w:hint="eastAsia" w:eastAsia="宋体" w:cs="宋体"/>
                <w:bCs/>
                <w:color w:val="auto"/>
                <w:sz w:val="21"/>
                <w:szCs w:val="21"/>
                <w:highlight w:val="none"/>
                <w:lang w:val="en-US" w:eastAsia="zh-CN"/>
              </w:rPr>
              <w:t>2025年07月7</w:t>
            </w:r>
            <w:bookmarkStart w:id="957" w:name="_GoBack"/>
            <w:bookmarkEnd w:id="957"/>
            <w:r>
              <w:rPr>
                <w:rFonts w:hint="eastAsia" w:eastAsia="宋体" w:cs="宋体"/>
                <w:bCs/>
                <w:color w:val="auto"/>
                <w:sz w:val="21"/>
                <w:szCs w:val="21"/>
                <w:highlight w:val="none"/>
                <w:lang w:val="en-US" w:eastAsia="zh-CN"/>
              </w:rPr>
              <w:t>日09时30分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北京时间</w:t>
            </w:r>
            <w:r>
              <w:rPr>
                <w:rFonts w:hint="eastAsia" w:ascii="宋体" w:hAnsi="宋体" w:eastAsia="宋体" w:cs="宋体"/>
                <w:b w:val="0"/>
                <w:bCs/>
                <w:color w:val="auto"/>
                <w:sz w:val="21"/>
                <w:szCs w:val="21"/>
                <w:highlight w:val="none"/>
                <w:lang w:eastAsia="zh-CN"/>
              </w:rPr>
              <w:t>）</w:t>
            </w:r>
          </w:p>
        </w:tc>
      </w:tr>
      <w:tr w14:paraId="70774A82">
        <w:tblPrEx>
          <w:tblCellMar>
            <w:top w:w="0" w:type="dxa"/>
            <w:left w:w="108" w:type="dxa"/>
            <w:bottom w:w="0" w:type="dxa"/>
            <w:right w:w="108" w:type="dxa"/>
          </w:tblCellMar>
        </w:tblPrEx>
        <w:trPr>
          <w:trHeight w:val="68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9F4AF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5.1.1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501575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2C695925">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szCs w:val="21"/>
                <w:highlight w:val="none"/>
              </w:rPr>
              <w:t>磋商</w:t>
            </w:r>
            <w:r>
              <w:rPr>
                <w:rFonts w:hint="eastAsia" w:ascii="宋体" w:hAnsi="宋体" w:cs="宋体"/>
                <w:color w:val="auto"/>
                <w:kern w:val="0"/>
                <w:szCs w:val="21"/>
                <w:highlight w:val="none"/>
              </w:rPr>
              <w:t>时间：同</w:t>
            </w:r>
            <w:r>
              <w:rPr>
                <w:rFonts w:hint="eastAsia" w:ascii="宋体" w:hAnsi="宋体" w:cs="宋体"/>
                <w:color w:val="auto"/>
                <w:szCs w:val="21"/>
                <w:highlight w:val="none"/>
              </w:rPr>
              <w:t>响应文件提交</w:t>
            </w:r>
            <w:r>
              <w:rPr>
                <w:rFonts w:hint="eastAsia" w:ascii="宋体" w:hAnsi="宋体" w:cs="宋体"/>
                <w:color w:val="auto"/>
                <w:kern w:val="0"/>
                <w:szCs w:val="21"/>
                <w:highlight w:val="none"/>
              </w:rPr>
              <w:t>截止时间</w:t>
            </w:r>
          </w:p>
          <w:p w14:paraId="0D9ECA58">
            <w:pPr>
              <w:keepNext w:val="0"/>
              <w:keepLines w:val="0"/>
              <w:pageBreakBefore w:val="0"/>
              <w:kinsoku/>
              <w:wordWrap/>
              <w:overflowPunct/>
              <w:bidi w:val="0"/>
              <w:snapToGrid w:val="0"/>
              <w:spacing w:line="360" w:lineRule="auto"/>
              <w:ind w:left="0" w:leftChars="0" w:firstLine="0" w:firstLineChars="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磋商</w:t>
            </w:r>
            <w:r>
              <w:rPr>
                <w:rFonts w:hint="eastAsia" w:ascii="宋体" w:hAnsi="宋体" w:cs="宋体"/>
                <w:color w:val="auto"/>
                <w:kern w:val="0"/>
                <w:szCs w:val="21"/>
                <w:highlight w:val="none"/>
              </w:rPr>
              <w:t>地点：</w:t>
            </w:r>
            <w:r>
              <w:rPr>
                <w:rFonts w:hint="eastAsia" w:ascii="宋体" w:hAnsi="宋体" w:cs="宋体"/>
                <w:color w:val="auto"/>
                <w:kern w:val="0"/>
                <w:szCs w:val="21"/>
                <w:highlight w:val="none"/>
                <w:lang w:val="en-US" w:eastAsia="zh-CN"/>
              </w:rPr>
              <w:t>潢川县</w:t>
            </w:r>
            <w:r>
              <w:rPr>
                <w:rFonts w:hint="eastAsia" w:ascii="宋体" w:hAnsi="宋体" w:cs="宋体"/>
                <w:color w:val="auto"/>
                <w:kern w:val="0"/>
                <w:szCs w:val="21"/>
                <w:highlight w:val="none"/>
                <w:lang w:eastAsia="zh-CN"/>
              </w:rPr>
              <w:t>公共资源交易中心</w:t>
            </w:r>
            <w:r>
              <w:rPr>
                <w:rFonts w:hint="eastAsia" w:ascii="宋体" w:hAnsi="宋体" w:cs="宋体"/>
                <w:color w:val="auto"/>
                <w:kern w:val="0"/>
                <w:szCs w:val="21"/>
                <w:highlight w:val="none"/>
              </w:rPr>
              <w:t>第</w:t>
            </w:r>
            <w:r>
              <w:rPr>
                <w:rFonts w:hint="eastAsia" w:ascii="宋体" w:hAnsi="宋体" w:eastAsia="宋体" w:cs="宋体"/>
                <w:b w:val="0"/>
                <w:bCs/>
                <w:color w:val="auto"/>
                <w:sz w:val="21"/>
                <w:szCs w:val="21"/>
                <w:highlight w:val="none"/>
                <w:u w:val="single"/>
                <w:lang w:val="en-US" w:eastAsia="zh-CN"/>
              </w:rPr>
              <w:t xml:space="preserve">  一  </w:t>
            </w:r>
            <w:r>
              <w:rPr>
                <w:rFonts w:hint="eastAsia" w:ascii="宋体" w:hAnsi="宋体" w:cs="宋体"/>
                <w:color w:val="auto"/>
                <w:kern w:val="0"/>
                <w:szCs w:val="21"/>
                <w:highlight w:val="none"/>
              </w:rPr>
              <w:t>开标</w:t>
            </w:r>
            <w:r>
              <w:rPr>
                <w:rFonts w:hint="eastAsia" w:ascii="宋体" w:hAnsi="宋体" w:cs="宋体"/>
                <w:color w:val="auto"/>
                <w:kern w:val="0"/>
                <w:szCs w:val="21"/>
                <w:highlight w:val="none"/>
                <w:lang w:eastAsia="zh-CN"/>
              </w:rPr>
              <w:t>厅</w:t>
            </w:r>
          </w:p>
        </w:tc>
      </w:tr>
      <w:tr w14:paraId="07E2BD94">
        <w:tblPrEx>
          <w:tblCellMar>
            <w:top w:w="0" w:type="dxa"/>
            <w:left w:w="108" w:type="dxa"/>
            <w:bottom w:w="0" w:type="dxa"/>
            <w:right w:w="108" w:type="dxa"/>
          </w:tblCellMar>
        </w:tblPrEx>
        <w:trPr>
          <w:trHeight w:val="5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56D851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6.1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8ABA9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磋商小组的组建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33E7883B">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磋商小组构成：</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人，其中业主评委</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人，技术、经济类专家</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人；</w:t>
            </w:r>
          </w:p>
          <w:p w14:paraId="10F525A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专家确定方式：磋商前从政府采购专家库中随机抽取。</w:t>
            </w:r>
          </w:p>
        </w:tc>
      </w:tr>
      <w:tr w14:paraId="6D582B7B">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88DF5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7.1</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3DA4C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是否授权磋商小组确定成交人</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747D2105">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否；推荐的成交候选人数：3名</w:t>
            </w:r>
          </w:p>
        </w:tc>
      </w:tr>
      <w:tr w14:paraId="4400EB9F">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1E51A4">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7.2</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85341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6517" w:type="dxa"/>
            <w:tcBorders>
              <w:top w:val="single" w:color="auto" w:sz="4" w:space="0"/>
              <w:left w:val="single" w:color="auto" w:sz="4" w:space="0"/>
              <w:bottom w:val="single" w:color="auto" w:sz="4" w:space="0"/>
              <w:right w:val="single" w:color="auto" w:sz="4" w:space="0"/>
            </w:tcBorders>
            <w:noWrap w:val="0"/>
            <w:vAlign w:val="center"/>
          </w:tcPr>
          <w:p w14:paraId="02ACB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w:t>
            </w:r>
          </w:p>
        </w:tc>
      </w:tr>
      <w:tr w14:paraId="4CB2EDD0">
        <w:tblPrEx>
          <w:tblCellMar>
            <w:top w:w="0" w:type="dxa"/>
            <w:left w:w="108" w:type="dxa"/>
            <w:bottom w:w="0" w:type="dxa"/>
            <w:right w:w="108" w:type="dxa"/>
          </w:tblCellMar>
        </w:tblPrEx>
        <w:trPr>
          <w:trHeight w:val="538"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6FE1E279">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14:paraId="54E7A421">
        <w:tblPrEx>
          <w:tblCellMar>
            <w:top w:w="0" w:type="dxa"/>
            <w:left w:w="108" w:type="dxa"/>
            <w:bottom w:w="0" w:type="dxa"/>
            <w:right w:w="108" w:type="dxa"/>
          </w:tblCellMar>
        </w:tblPrEx>
        <w:trPr>
          <w:trHeight w:val="5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A5F6D2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B43A8D8">
            <w:pPr>
              <w:keepNext w:val="0"/>
              <w:keepLines w:val="0"/>
              <w:pageBreakBefore w:val="0"/>
              <w:kinsoku/>
              <w:wordWrap/>
              <w:overflowPunct/>
              <w:bidi w:val="0"/>
              <w:adjustRightInd w:val="0"/>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构成本磋商文件的各个组成文件应互为解释，互为说明；如有不明确或不一致，按</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、供应商须知、评审办法、</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83B9A9E">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1E97C2">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rPr>
              <w:t>其他补充内容</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4BB8160">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rPr>
              <w:t>标书雷同性分析</w:t>
            </w:r>
          </w:p>
        </w:tc>
      </w:tr>
      <w:tr w14:paraId="242C8A31">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7C44BF">
            <w:pPr>
              <w:keepNext w:val="0"/>
              <w:keepLines w:val="0"/>
              <w:pageBreakBefore w:val="0"/>
              <w:kinsoku/>
              <w:wordWrap/>
              <w:overflowPunct/>
              <w:bidi w:val="0"/>
              <w:snapToGrid w:val="0"/>
              <w:spacing w:line="360" w:lineRule="auto"/>
              <w:ind w:left="0" w:leftChars="0" w:firstLine="0" w:firstLineChars="0"/>
              <w:jc w:val="center"/>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采购代理服务费</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4E75555">
            <w:pPr>
              <w:keepNext w:val="0"/>
              <w:keepLines w:val="0"/>
              <w:pageBreakBefore w:val="0"/>
              <w:kinsoku/>
              <w:wordWrap/>
              <w:overflowPunct/>
              <w:bidi w:val="0"/>
              <w:snapToGrid w:val="0"/>
              <w:spacing w:line="360" w:lineRule="auto"/>
              <w:ind w:left="0" w:leftChars="0" w:firstLine="0" w:firstLineChars="0"/>
              <w:jc w:val="left"/>
              <w:rPr>
                <w:rFonts w:hint="default"/>
                <w:lang w:val="en-US" w:eastAsia="zh-CN"/>
              </w:rPr>
            </w:pPr>
            <w:r>
              <w:rPr>
                <w:rFonts w:hint="eastAsia" w:ascii="宋体" w:hAnsi="宋体"/>
                <w:color w:val="auto"/>
                <w:szCs w:val="21"/>
                <w:highlight w:val="none"/>
                <w:lang w:val="en-US" w:eastAsia="zh-CN"/>
              </w:rPr>
              <w:t>代理服务费的收取：参照河南省招标代理服务收费指导意见《豫招办（2023）002号》文件的规定向中标人收取中标服务费13477</w:t>
            </w:r>
            <w:r>
              <w:rPr>
                <w:rFonts w:hint="eastAsia" w:ascii="宋体" w:hAnsi="宋体" w:cs="宋体"/>
                <w:color w:val="auto"/>
                <w:kern w:val="0"/>
                <w:szCs w:val="21"/>
                <w:highlight w:val="none"/>
                <w:lang w:val="en-US" w:eastAsia="zh-CN"/>
              </w:rPr>
              <w:t>元</w:t>
            </w:r>
            <w:r>
              <w:rPr>
                <w:rFonts w:hint="eastAsia" w:ascii="宋体" w:hAnsi="宋体"/>
                <w:color w:val="auto"/>
                <w:szCs w:val="21"/>
                <w:highlight w:val="none"/>
                <w:lang w:val="en-US" w:eastAsia="zh-CN"/>
              </w:rPr>
              <w:t>。</w:t>
            </w:r>
          </w:p>
        </w:tc>
      </w:tr>
      <w:tr w14:paraId="2595AA9A">
        <w:tblPrEx>
          <w:tblCellMar>
            <w:top w:w="0" w:type="dxa"/>
            <w:left w:w="108" w:type="dxa"/>
            <w:bottom w:w="0" w:type="dxa"/>
            <w:right w:w="108" w:type="dxa"/>
          </w:tblCellMar>
        </w:tblPrEx>
        <w:trPr>
          <w:trHeight w:val="8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38E919E">
            <w:pPr>
              <w:keepNext w:val="0"/>
              <w:keepLines w:val="0"/>
              <w:pageBreakBefore w:val="0"/>
              <w:kinsoku/>
              <w:wordWrap/>
              <w:overflowPunct/>
              <w:bidi w:val="0"/>
              <w:snapToGrid w:val="0"/>
              <w:spacing w:line="360" w:lineRule="auto"/>
              <w:ind w:left="0" w:leftChars="0" w:firstLine="0" w:firstLineChars="0"/>
              <w:jc w:val="both"/>
              <w:rPr>
                <w:rFonts w:hint="default" w:ascii="宋体" w:hAnsi="宋体"/>
                <w:color w:val="auto"/>
                <w:sz w:val="21"/>
                <w:szCs w:val="21"/>
                <w:highlight w:val="none"/>
                <w:lang w:val="en-US" w:eastAsia="zh-CN"/>
              </w:rPr>
            </w:pPr>
            <w:bookmarkStart w:id="21" w:name="_Toc144974497"/>
            <w:bookmarkStart w:id="22" w:name="_Toc466298091"/>
            <w:bookmarkStart w:id="23" w:name="_Toc152045529"/>
            <w:bookmarkStart w:id="24" w:name="_Toc152042305"/>
            <w:bookmarkStart w:id="25" w:name="_Toc10694"/>
            <w:bookmarkStart w:id="26" w:name="_Toc455080108"/>
            <w:r>
              <w:rPr>
                <w:rFonts w:hint="eastAsia" w:ascii="宋体" w:hAnsi="宋体"/>
                <w:color w:val="auto"/>
                <w:sz w:val="21"/>
                <w:szCs w:val="21"/>
                <w:highlight w:val="none"/>
                <w:lang w:val="en-US" w:eastAsia="zh-CN"/>
              </w:rPr>
              <w:t>落实政府采购相关政策</w:t>
            </w:r>
          </w:p>
        </w:tc>
        <w:tc>
          <w:tcPr>
            <w:tcW w:w="7774" w:type="dxa"/>
            <w:gridSpan w:val="2"/>
            <w:tcBorders>
              <w:top w:val="single" w:color="auto" w:sz="4" w:space="0"/>
              <w:left w:val="single" w:color="auto" w:sz="4" w:space="0"/>
              <w:bottom w:val="single" w:color="auto" w:sz="4" w:space="0"/>
              <w:right w:val="single" w:color="auto" w:sz="4" w:space="0"/>
            </w:tcBorders>
            <w:noWrap w:val="0"/>
            <w:vAlign w:val="center"/>
          </w:tcPr>
          <w:p w14:paraId="2E3F106F">
            <w:pPr>
              <w:pStyle w:val="59"/>
              <w:adjustRightInd w:val="0"/>
              <w:snapToGrid w:val="0"/>
              <w:spacing w:line="360" w:lineRule="auto"/>
              <w:ind w:firstLine="420"/>
              <w:rPr>
                <w:color w:val="auto"/>
                <w:highlight w:val="none"/>
              </w:rPr>
            </w:pPr>
            <w:r>
              <w:rPr>
                <w:rFonts w:hint="eastAsia"/>
                <w:color w:val="auto"/>
                <w:highlight w:val="none"/>
              </w:rPr>
              <w:t xml:space="preserve">1.依据《财政部 </w:t>
            </w:r>
            <w:r>
              <w:rPr>
                <w:rFonts w:hint="eastAsia"/>
                <w:color w:val="auto"/>
                <w:highlight w:val="none"/>
                <w:lang w:eastAsia="zh-CN"/>
              </w:rPr>
              <w:t>国家发展和改革委员会</w:t>
            </w:r>
            <w:r>
              <w:rPr>
                <w:rFonts w:hint="eastAsia"/>
                <w:color w:val="auto"/>
                <w:highlight w:val="none"/>
              </w:rPr>
              <w:t>关于印发&lt;节能产品政府采购实施意见&gt;的通知》财库〔2004〕185 号、《国务院办公厅关于建立政府强制采购节能产品制度的通知》国办发〔2007〕51 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7BF9AB8E">
            <w:pPr>
              <w:pStyle w:val="59"/>
              <w:adjustRightInd w:val="0"/>
              <w:snapToGrid w:val="0"/>
              <w:spacing w:line="360" w:lineRule="auto"/>
              <w:ind w:firstLine="420"/>
              <w:rPr>
                <w:color w:val="auto"/>
                <w:highlight w:val="none"/>
              </w:rPr>
            </w:pPr>
            <w:r>
              <w:rPr>
                <w:rFonts w:hint="eastAsia"/>
                <w:color w:val="auto"/>
                <w:highlight w:val="none"/>
              </w:rPr>
              <w:t>2.依据《财政部 工业和信息化部 国家质检总局国家认监委关于信息安全产品实施政府采购的通知》财库〔2010〕48 号文件要求，各潜在供应商在本次投标活动投标货物中，如有涉及到信息安全产品的，则所投涉及到上述货物的产品必须提供由中国信息安全认证中心颁发的有效认证证书。</w:t>
            </w:r>
          </w:p>
          <w:p w14:paraId="16457407">
            <w:pPr>
              <w:pStyle w:val="59"/>
              <w:adjustRightInd w:val="0"/>
              <w:snapToGrid w:val="0"/>
              <w:spacing w:line="360" w:lineRule="auto"/>
              <w:ind w:firstLine="420"/>
              <w:rPr>
                <w:color w:val="auto"/>
                <w:highlight w:val="none"/>
              </w:rPr>
            </w:pPr>
            <w:r>
              <w:rPr>
                <w:rFonts w:hint="eastAsia"/>
                <w:color w:val="auto"/>
                <w:highlight w:val="none"/>
              </w:rPr>
              <w:t>3.依据《财政部 国家环保总局关于印发（环境标志产品政府采购实施的意见）的通知》财库〔2006〕90 号文件、财库〔2019〕9号文件要求，采购人采购的产品属于清单中品目的，在性能、技术、服务等指标同等条件下，优先采购清单中的产品。</w:t>
            </w:r>
          </w:p>
          <w:p w14:paraId="69DAE4B4">
            <w:pPr>
              <w:pStyle w:val="59"/>
              <w:adjustRightInd w:val="0"/>
              <w:snapToGrid w:val="0"/>
              <w:spacing w:line="360" w:lineRule="auto"/>
              <w:ind w:firstLine="420"/>
              <w:rPr>
                <w:color w:val="auto"/>
                <w:highlight w:val="none"/>
              </w:rPr>
            </w:pPr>
            <w:r>
              <w:rPr>
                <w:rFonts w:hint="eastAsia"/>
                <w:color w:val="auto"/>
                <w:highlight w:val="none"/>
              </w:rPr>
              <w:t>4.如若所投产品已列入国家强制性产品认证的产品，必须提供通过国家 3C 认证的有关证明材料（可提供合法查询网址）。</w:t>
            </w:r>
          </w:p>
          <w:p w14:paraId="15357A10">
            <w:pPr>
              <w:pStyle w:val="59"/>
              <w:adjustRightInd w:val="0"/>
              <w:snapToGrid w:val="0"/>
              <w:spacing w:line="360" w:lineRule="auto"/>
              <w:ind w:firstLine="420"/>
              <w:rPr>
                <w:color w:val="auto"/>
                <w:highlight w:val="none"/>
              </w:rPr>
            </w:pPr>
            <w:r>
              <w:rPr>
                <w:rFonts w:hint="eastAsia"/>
                <w:color w:val="auto"/>
                <w:highlight w:val="none"/>
              </w:rPr>
              <w:t>5.优先采购本国产品。依据《政府采购进口产品管理办法》财库〔2007〕119 号，政府采购应当优先采购本国产品，确需采购进口产品的，实行审核管理。本次采购产品均为本国产品，若投标人提供的单个产品整体为进口产品，将视为非实质性响应谈判文件要求而予以拒绝。</w:t>
            </w:r>
          </w:p>
          <w:p w14:paraId="15CBAABE">
            <w:pPr>
              <w:pStyle w:val="59"/>
              <w:adjustRightInd w:val="0"/>
              <w:snapToGrid w:val="0"/>
              <w:spacing w:line="360" w:lineRule="auto"/>
              <w:ind w:firstLine="420"/>
              <w:rPr>
                <w:color w:val="auto"/>
                <w:highlight w:val="none"/>
              </w:rPr>
            </w:pPr>
            <w:r>
              <w:rPr>
                <w:rFonts w:hint="eastAsia"/>
                <w:color w:val="auto"/>
                <w:highlight w:val="none"/>
              </w:rPr>
              <w:t>6.采购信息安全产品的，应当采购经国家认证的信息安全产品，供应商应提供由中国信息安全认证中心按国家标准颁发的有效认证证书。</w:t>
            </w:r>
          </w:p>
          <w:p w14:paraId="5D1E3CB7">
            <w:pPr>
              <w:pStyle w:val="59"/>
              <w:adjustRightInd w:val="0"/>
              <w:snapToGrid w:val="0"/>
              <w:spacing w:line="360" w:lineRule="auto"/>
              <w:ind w:firstLine="420"/>
              <w:rPr>
                <w:color w:val="auto"/>
                <w:highlight w:val="none"/>
              </w:rPr>
            </w:pPr>
            <w:r>
              <w:rPr>
                <w:rFonts w:hint="eastAsia"/>
                <w:color w:val="auto"/>
                <w:highlight w:val="none"/>
              </w:rPr>
              <w:t>7.鼓励创新，首购和订购的产品具有首创和自主研发性质，属于自主创新产品的，必须执行《自主创新产品政府收购和订购管理办法》。</w:t>
            </w:r>
          </w:p>
          <w:p w14:paraId="32E780FA">
            <w:pPr>
              <w:pStyle w:val="59"/>
              <w:adjustRightInd w:val="0"/>
              <w:snapToGrid w:val="0"/>
              <w:spacing w:line="360" w:lineRule="auto"/>
              <w:ind w:firstLine="420"/>
              <w:rPr>
                <w:color w:val="auto"/>
                <w:highlight w:val="none"/>
              </w:rPr>
            </w:pPr>
            <w:r>
              <w:rPr>
                <w:rFonts w:hint="eastAsia"/>
                <w:color w:val="auto"/>
                <w:highlight w:val="none"/>
              </w:rPr>
              <w:t>8.</w:t>
            </w:r>
            <w:r>
              <w:rPr>
                <w:rFonts w:hint="eastAsia"/>
                <w:color w:val="auto"/>
                <w:highlight w:val="none"/>
                <w:lang w:eastAsia="zh-CN"/>
              </w:rPr>
              <w:t>（非专门面向中小微企业适用）</w:t>
            </w:r>
            <w:r>
              <w:rPr>
                <w:rFonts w:hint="eastAsia"/>
                <w:color w:val="auto"/>
                <w:highlight w:val="none"/>
              </w:rPr>
              <w:t>本次招标涉及中小型企业的，按照“财库[2020]46 号”和“工信部联企业〔2011〕300 号“有关政策执行，对小型和微型企业产品的价格给予20%的扣除，用扣除后的价格参与评审。联合体投标（若接受）的，联合协议中须约定，小型、微型企业的协议合同金额占到联合体协议合同总金额 30%以上的，或联合体各方均为小型、微型企业的，给予联合体5%的价格扣除。</w:t>
            </w:r>
          </w:p>
          <w:p w14:paraId="7AD982DA">
            <w:pPr>
              <w:snapToGrid w:val="0"/>
              <w:spacing w:line="360" w:lineRule="auto"/>
              <w:ind w:firstLine="420"/>
              <w:jc w:val="left"/>
              <w:rPr>
                <w:color w:val="auto"/>
                <w:highlight w:val="none"/>
              </w:rPr>
            </w:pPr>
            <w:r>
              <w:rPr>
                <w:rFonts w:hint="eastAsia"/>
                <w:color w:val="auto"/>
                <w:highlight w:val="none"/>
              </w:rPr>
              <w:t>9.监狱企业视同小型、微型企业，需提供省级及以上监狱管理局、戒毒管理局 （含新疆生产建设兵团）出具的属于监狱企业的证明文件，否则不予认可。根据《关于促进残疾人就业政府采购政策的通知》（财库〔2017〕141 号）文件的有关规定，残疾人福利性单位视同小型、微型企业，对残疾人福利性单位价格给予扣除 6%，用扣除后的价格参与评审。符合条件的残疾人福利性单位应当提供本通知规定的《残疾人福利性单位声明函》，并对声明的真实性负责。</w:t>
            </w:r>
          </w:p>
          <w:p w14:paraId="47FF2097">
            <w:pPr>
              <w:spacing w:line="240" w:lineRule="auto"/>
              <w:ind w:firstLine="420" w:firstLineChars="200"/>
              <w:jc w:val="left"/>
              <w:rPr>
                <w:rFonts w:hint="default" w:ascii="宋体" w:hAnsi="宋体"/>
                <w:color w:val="auto"/>
                <w:sz w:val="21"/>
                <w:szCs w:val="21"/>
                <w:highlight w:val="none"/>
                <w:lang w:val="en-US" w:eastAsia="zh-CN"/>
              </w:rPr>
            </w:pPr>
            <w:r>
              <w:rPr>
                <w:rFonts w:hint="eastAsia"/>
                <w:color w:val="auto"/>
                <w:highlight w:val="none"/>
              </w:rPr>
              <w:t>10、根据“信财购[2020]5 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tc>
      </w:tr>
      <w:bookmarkEnd w:id="21"/>
      <w:bookmarkEnd w:id="22"/>
      <w:bookmarkEnd w:id="23"/>
      <w:bookmarkEnd w:id="24"/>
      <w:bookmarkEnd w:id="25"/>
      <w:bookmarkEnd w:id="26"/>
    </w:tbl>
    <w:p w14:paraId="65B332F8">
      <w:pPr>
        <w:pStyle w:val="48"/>
        <w:spacing w:before="0" w:beforeLines="0" w:line="360" w:lineRule="auto"/>
        <w:rPr>
          <w:rFonts w:hint="eastAsia" w:ascii="宋体" w:hAnsi="宋体" w:eastAsia="宋体"/>
          <w:color w:val="auto"/>
          <w:sz w:val="21"/>
          <w:szCs w:val="21"/>
          <w:highlight w:val="none"/>
        </w:rPr>
      </w:pPr>
      <w:bookmarkStart w:id="27" w:name="_Toc466298137"/>
      <w:bookmarkStart w:id="28" w:name="_Toc455080154"/>
      <w:bookmarkStart w:id="29" w:name="_Toc144974565"/>
      <w:bookmarkStart w:id="30" w:name="_Toc152042375"/>
      <w:bookmarkStart w:id="31" w:name="_Toc152045598"/>
      <w:bookmarkStart w:id="32" w:name="_Toc455867814"/>
      <w:r>
        <w:rPr>
          <w:rFonts w:hint="eastAsia" w:ascii="宋体" w:hAnsi="宋体" w:eastAsia="宋体"/>
          <w:b/>
          <w:bCs/>
          <w:color w:val="auto"/>
          <w:sz w:val="24"/>
          <w:szCs w:val="24"/>
          <w:highlight w:val="none"/>
        </w:rPr>
        <w:t>1</w:t>
      </w:r>
      <w:r>
        <w:rPr>
          <w:rFonts w:hint="eastAsia" w:ascii="宋体" w:hAnsi="宋体" w:eastAsia="宋体"/>
          <w:b/>
          <w:bCs/>
          <w:color w:val="auto"/>
          <w:sz w:val="21"/>
          <w:szCs w:val="21"/>
          <w:highlight w:val="none"/>
        </w:rPr>
        <w:t>. 总则</w:t>
      </w:r>
    </w:p>
    <w:p w14:paraId="158E7A52">
      <w:pPr>
        <w:pStyle w:val="50"/>
        <w:spacing w:line="360" w:lineRule="auto"/>
        <w:outlineLvl w:val="0"/>
        <w:rPr>
          <w:rFonts w:hint="eastAsia" w:ascii="宋体" w:hAnsi="宋体" w:eastAsia="宋体"/>
          <w:b/>
          <w:bCs/>
          <w:color w:val="auto"/>
          <w:sz w:val="21"/>
          <w:szCs w:val="21"/>
          <w:highlight w:val="none"/>
        </w:rPr>
      </w:pPr>
      <w:bookmarkStart w:id="33" w:name="_Toc31404"/>
      <w:bookmarkStart w:id="34" w:name="_Toc455867769"/>
      <w:bookmarkStart w:id="35" w:name="_Toc466298092"/>
      <w:bookmarkStart w:id="36" w:name="_Toc318450675"/>
      <w:bookmarkStart w:id="37" w:name="_Toc20827"/>
      <w:bookmarkStart w:id="38" w:name="_Toc455080109"/>
      <w:bookmarkStart w:id="39" w:name="_Toc29023"/>
      <w:bookmarkStart w:id="40" w:name="_Toc658"/>
      <w:bookmarkStart w:id="41" w:name="_Toc281380952"/>
      <w:bookmarkStart w:id="42" w:name="_Toc6747"/>
      <w:bookmarkStart w:id="43" w:name="_Toc490667828"/>
      <w:bookmarkStart w:id="44" w:name="_Toc21266"/>
      <w:bookmarkStart w:id="45" w:name="_Toc30015"/>
      <w:bookmarkStart w:id="46" w:name="_Toc21458"/>
      <w:bookmarkStart w:id="47" w:name="_Toc1172"/>
      <w:bookmarkStart w:id="48" w:name="_Toc10273"/>
      <w:bookmarkStart w:id="49" w:name="_Toc15709"/>
      <w:bookmarkStart w:id="50" w:name="_Toc274409866"/>
      <w:bookmarkStart w:id="51" w:name="_Toc152045531"/>
      <w:bookmarkStart w:id="52" w:name="_Toc144974499"/>
      <w:bookmarkStart w:id="53" w:name="_Toc152042307"/>
      <w:r>
        <w:rPr>
          <w:rFonts w:hint="eastAsia" w:ascii="宋体" w:hAnsi="宋体" w:eastAsia="宋体"/>
          <w:b/>
          <w:bCs/>
          <w:color w:val="auto"/>
          <w:sz w:val="21"/>
          <w:szCs w:val="21"/>
          <w:highlight w:val="none"/>
        </w:rPr>
        <w:t>1.1 适用范围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A9DB0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1.1.1根据《中华人民共和国政府采购法》等有关法律、法规和规章的规定，编制本项目磋商文件。</w:t>
      </w:r>
    </w:p>
    <w:p w14:paraId="5D58D3F7">
      <w:pPr>
        <w:pStyle w:val="50"/>
        <w:tabs>
          <w:tab w:val="left" w:pos="7410"/>
        </w:tabs>
        <w:spacing w:line="360" w:lineRule="auto"/>
        <w:outlineLvl w:val="0"/>
        <w:rPr>
          <w:rFonts w:hint="eastAsia" w:ascii="宋体" w:hAnsi="宋体" w:eastAsia="宋体"/>
          <w:b/>
          <w:bCs/>
          <w:color w:val="auto"/>
          <w:sz w:val="21"/>
          <w:szCs w:val="21"/>
          <w:highlight w:val="none"/>
        </w:rPr>
      </w:pPr>
      <w:bookmarkStart w:id="54" w:name="_Toc281405468"/>
      <w:bookmarkStart w:id="55" w:name="_Toc710"/>
      <w:bookmarkStart w:id="56" w:name="_Toc466298093"/>
      <w:bookmarkStart w:id="57" w:name="_Toc25773"/>
      <w:bookmarkStart w:id="58" w:name="_Toc7237"/>
      <w:bookmarkStart w:id="59" w:name="_Toc32619"/>
      <w:bookmarkStart w:id="60" w:name="_Toc274409867"/>
      <w:bookmarkStart w:id="61" w:name="_Toc24852"/>
      <w:bookmarkStart w:id="62" w:name="_Toc490667829"/>
      <w:bookmarkStart w:id="63" w:name="_Toc455867770"/>
      <w:bookmarkStart w:id="64" w:name="_Toc3336"/>
      <w:bookmarkStart w:id="65" w:name="_Toc10269"/>
      <w:bookmarkStart w:id="66" w:name="_Toc455080110"/>
      <w:bookmarkStart w:id="67" w:name="_Toc318450676"/>
      <w:bookmarkStart w:id="68" w:name="_Toc13858"/>
      <w:bookmarkStart w:id="69" w:name="_Toc30891"/>
      <w:bookmarkStart w:id="70" w:name="_Toc10556"/>
      <w:bookmarkStart w:id="71" w:name="_Toc2929"/>
      <w:r>
        <w:rPr>
          <w:rFonts w:hint="eastAsia" w:ascii="宋体" w:hAnsi="宋体" w:eastAsia="宋体"/>
          <w:b/>
          <w:bCs/>
          <w:color w:val="auto"/>
          <w:sz w:val="21"/>
          <w:szCs w:val="21"/>
          <w:highlight w:val="none"/>
        </w:rPr>
        <w:t>1.2 招标项目说明</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76BF0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本项目</w:t>
      </w:r>
      <w:r>
        <w:rPr>
          <w:rFonts w:hint="eastAsia" w:ascii="宋体" w:hAnsi="宋体"/>
          <w:color w:val="auto"/>
          <w:szCs w:val="21"/>
          <w:highlight w:val="none"/>
        </w:rPr>
        <w:t>采购人</w:t>
      </w:r>
      <w:r>
        <w:rPr>
          <w:rFonts w:hint="eastAsia" w:ascii="宋体" w:hAnsi="宋体" w:cs="宋体"/>
          <w:color w:val="auto"/>
          <w:szCs w:val="21"/>
          <w:highlight w:val="none"/>
        </w:rPr>
        <w:t>：见供应商须知前附表。</w:t>
      </w:r>
    </w:p>
    <w:p w14:paraId="42EABA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本项目采购代理机构：见供应商须知前附表。</w:t>
      </w:r>
    </w:p>
    <w:p w14:paraId="19B2FD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本项目名称：见供应商须知前附表。</w:t>
      </w:r>
    </w:p>
    <w:p w14:paraId="5234D6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1.2.4本项目采购方式</w:t>
      </w:r>
      <w:r>
        <w:rPr>
          <w:rFonts w:hint="eastAsia" w:ascii="宋体" w:hAnsi="宋体" w:eastAsia="宋体" w:cs="宋体"/>
          <w:color w:val="auto"/>
          <w:szCs w:val="21"/>
          <w:highlight w:val="none"/>
        </w:rPr>
        <w:t>：见供应商须知前附表。</w:t>
      </w:r>
    </w:p>
    <w:p w14:paraId="7676BF8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1.2.5本项目预算价（最高限价）</w:t>
      </w:r>
      <w:r>
        <w:rPr>
          <w:rFonts w:hint="eastAsia" w:ascii="宋体" w:hAnsi="宋体" w:eastAsia="宋体" w:cs="宋体"/>
          <w:color w:val="auto"/>
          <w:szCs w:val="21"/>
          <w:highlight w:val="none"/>
        </w:rPr>
        <w:t>：见供应商须知前附表。</w:t>
      </w:r>
    </w:p>
    <w:p w14:paraId="45C41BE1">
      <w:pPr>
        <w:pStyle w:val="50"/>
        <w:spacing w:line="360" w:lineRule="auto"/>
        <w:outlineLvl w:val="0"/>
        <w:rPr>
          <w:rFonts w:hint="eastAsia" w:ascii="宋体" w:hAnsi="宋体" w:eastAsia="宋体"/>
          <w:b/>
          <w:bCs/>
          <w:color w:val="auto"/>
          <w:sz w:val="21"/>
          <w:szCs w:val="21"/>
          <w:highlight w:val="none"/>
        </w:rPr>
      </w:pPr>
      <w:bookmarkStart w:id="72" w:name="_Toc17146"/>
      <w:bookmarkStart w:id="73" w:name="_Toc490667830"/>
      <w:bookmarkStart w:id="74" w:name="_Toc4563"/>
      <w:bookmarkStart w:id="75" w:name="_Toc318450677"/>
      <w:bookmarkStart w:id="76" w:name="_Toc281405469"/>
      <w:bookmarkStart w:id="77" w:name="_Toc17016"/>
      <w:bookmarkStart w:id="78" w:name="_Toc274409868"/>
      <w:bookmarkStart w:id="79" w:name="_Toc4952"/>
      <w:bookmarkStart w:id="80" w:name="_Toc4122"/>
      <w:bookmarkStart w:id="81" w:name="_Toc466298094"/>
      <w:bookmarkStart w:id="82" w:name="_Toc455867771"/>
      <w:bookmarkStart w:id="83" w:name="_Toc18960"/>
      <w:bookmarkStart w:id="84" w:name="_Toc16931"/>
      <w:bookmarkStart w:id="85" w:name="_Toc22979"/>
      <w:bookmarkStart w:id="86" w:name="_Toc7622"/>
      <w:bookmarkStart w:id="87" w:name="_Toc1373"/>
      <w:bookmarkStart w:id="88" w:name="_Toc455080111"/>
      <w:bookmarkStart w:id="89" w:name="_Toc3477"/>
      <w:r>
        <w:rPr>
          <w:rFonts w:hint="eastAsia" w:ascii="宋体" w:hAnsi="宋体" w:eastAsia="宋体"/>
          <w:b/>
          <w:bCs/>
          <w:color w:val="auto"/>
          <w:sz w:val="21"/>
          <w:szCs w:val="21"/>
          <w:highlight w:val="none"/>
        </w:rPr>
        <w:t>1.3 定义及解释</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05B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olor w:val="auto"/>
          <w:szCs w:val="21"/>
          <w:highlight w:val="none"/>
        </w:rPr>
        <w:t>采购人</w:t>
      </w:r>
      <w:r>
        <w:rPr>
          <w:rFonts w:hint="eastAsia" w:ascii="宋体" w:hAnsi="宋体" w:cs="宋体"/>
          <w:color w:val="auto"/>
          <w:szCs w:val="21"/>
          <w:highlight w:val="none"/>
        </w:rPr>
        <w:t>：依法进行政府采购的国家机关、事业单位、团体组织。</w:t>
      </w:r>
    </w:p>
    <w:p w14:paraId="0D474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w:t>
      </w:r>
      <w:r>
        <w:rPr>
          <w:rFonts w:hint="eastAsia" w:ascii="宋体" w:hAnsi="宋体"/>
          <w:color w:val="auto"/>
          <w:szCs w:val="21"/>
          <w:highlight w:val="none"/>
        </w:rPr>
        <w:t>采购代理机构</w:t>
      </w:r>
      <w:r>
        <w:rPr>
          <w:rFonts w:hint="eastAsia" w:ascii="宋体" w:hAnsi="宋体" w:cs="宋体"/>
          <w:color w:val="auto"/>
          <w:szCs w:val="21"/>
          <w:highlight w:val="none"/>
        </w:rPr>
        <w:t>：取得政府采购招标代理资质，受采购人委托组织招标活动的社会中介组织。</w:t>
      </w:r>
    </w:p>
    <w:p w14:paraId="77A29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1.3.3服务：系指根据本磋商文件规定供应商须承担的服务以及其他类似的义务等。</w:t>
      </w:r>
    </w:p>
    <w:p w14:paraId="4460E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1.3.4供应商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：供应商是响应磋商文件、参加磋商竞争的中华人民共和国境内的法人、其它组织。</w:t>
      </w:r>
    </w:p>
    <w:p w14:paraId="5D4BB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1.3.5响应文件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：指供应商根据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提交的所有文件。</w:t>
      </w:r>
    </w:p>
    <w:p w14:paraId="78F551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1.3.6磋商小组：依据</w:t>
      </w:r>
      <w:r>
        <w:rPr>
          <w:rFonts w:hint="eastAsia" w:ascii="宋体" w:hAnsi="宋体" w:cs="宋体"/>
          <w:color w:val="auto"/>
          <w:szCs w:val="21"/>
          <w:highlight w:val="none"/>
          <w:lang w:bidi="en-US"/>
        </w:rPr>
        <w:t>《中华人民共和国政府采购法》及有关法律、法规的规定依法组建的专门负责本次评标工作的临时机构</w:t>
      </w:r>
      <w:r>
        <w:rPr>
          <w:rFonts w:hint="eastAsia" w:ascii="宋体" w:hAnsi="宋体" w:cs="宋体"/>
          <w:color w:val="auto"/>
          <w:szCs w:val="21"/>
          <w:highlight w:val="none"/>
        </w:rPr>
        <w:t>。</w:t>
      </w:r>
    </w:p>
    <w:p w14:paraId="4F3C82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1.3.7偏离：响应文件的响应相对于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要求的偏差，该偏差优于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要求的为正偏离；劣于的，为负偏离。</w:t>
      </w:r>
    </w:p>
    <w:p w14:paraId="2D0254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1.3.8“日期”或“天”：指日历天。</w:t>
      </w:r>
    </w:p>
    <w:p w14:paraId="624A52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1.3.9合同：指依据本次服务采购招标结果签订的协议或合约文件。</w:t>
      </w:r>
    </w:p>
    <w:p w14:paraId="1BE0DD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1.3.10</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中的标题或题名仅起引导作用，而不应视为对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内容的理解和解释。</w:t>
      </w:r>
    </w:p>
    <w:bookmarkEnd w:id="51"/>
    <w:bookmarkEnd w:id="52"/>
    <w:bookmarkEnd w:id="53"/>
    <w:p w14:paraId="0221DEB5">
      <w:pPr>
        <w:pStyle w:val="50"/>
        <w:spacing w:line="360" w:lineRule="auto"/>
        <w:outlineLvl w:val="0"/>
        <w:rPr>
          <w:rFonts w:hint="eastAsia" w:ascii="宋体" w:hAnsi="宋体" w:eastAsia="宋体"/>
          <w:b/>
          <w:bCs/>
          <w:color w:val="auto"/>
          <w:sz w:val="21"/>
          <w:szCs w:val="21"/>
          <w:highlight w:val="none"/>
          <w:lang w:eastAsia="zh-CN"/>
        </w:rPr>
      </w:pPr>
      <w:bookmarkStart w:id="90" w:name="_Toc144974500"/>
      <w:bookmarkStart w:id="91" w:name="_Toc27407"/>
      <w:bookmarkStart w:id="92" w:name="_Toc455867772"/>
      <w:bookmarkStart w:id="93" w:name="_Toc17808"/>
      <w:bookmarkStart w:id="94" w:name="_Toc16470"/>
      <w:bookmarkStart w:id="95" w:name="_Toc21766"/>
      <w:bookmarkStart w:id="96" w:name="_Toc152042308"/>
      <w:bookmarkStart w:id="97" w:name="_Toc18207"/>
      <w:bookmarkStart w:id="98" w:name="_Toc490667831"/>
      <w:bookmarkStart w:id="99" w:name="_Toc318450678"/>
      <w:bookmarkStart w:id="100" w:name="_Toc32236"/>
      <w:bookmarkStart w:id="101" w:name="_Toc14043"/>
      <w:bookmarkStart w:id="102" w:name="_Toc19363"/>
      <w:bookmarkStart w:id="103" w:name="_Toc466298095"/>
      <w:bookmarkStart w:id="104" w:name="_Toc152045532"/>
      <w:bookmarkStart w:id="105" w:name="_Toc17908"/>
      <w:bookmarkStart w:id="106" w:name="_Toc10894"/>
      <w:bookmarkStart w:id="107" w:name="_Toc12752"/>
      <w:bookmarkStart w:id="108" w:name="_Toc455080112"/>
      <w:r>
        <w:rPr>
          <w:rFonts w:hint="eastAsia" w:ascii="宋体" w:hAnsi="宋体" w:eastAsia="宋体"/>
          <w:b/>
          <w:bCs/>
          <w:color w:val="auto"/>
          <w:sz w:val="21"/>
          <w:szCs w:val="21"/>
          <w:highlight w:val="none"/>
        </w:rPr>
        <w:t xml:space="preserve">1.4 </w:t>
      </w:r>
      <w:r>
        <w:rPr>
          <w:rFonts w:hint="eastAsia" w:ascii="宋体" w:hAnsi="宋体" w:eastAsia="宋体"/>
          <w:b/>
          <w:bCs/>
          <w:color w:val="auto"/>
          <w:sz w:val="21"/>
          <w:szCs w:val="21"/>
          <w:highlight w:val="none"/>
          <w:lang w:eastAsia="zh-CN"/>
        </w:rPr>
        <w:t>磋商内容、工期、质保期</w:t>
      </w:r>
      <w:r>
        <w:rPr>
          <w:rFonts w:hint="eastAsia" w:ascii="宋体" w:hAnsi="宋体" w:eastAsia="宋体"/>
          <w:b/>
          <w:bCs/>
          <w:color w:val="auto"/>
          <w:sz w:val="21"/>
          <w:szCs w:val="21"/>
          <w:highlight w:val="none"/>
        </w:rPr>
        <w:t>和</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eastAsia="宋体"/>
          <w:b/>
          <w:bCs/>
          <w:color w:val="auto"/>
          <w:sz w:val="21"/>
          <w:szCs w:val="21"/>
          <w:highlight w:val="none"/>
          <w:lang w:eastAsia="zh-CN"/>
        </w:rPr>
        <w:t>服务要求</w:t>
      </w:r>
    </w:p>
    <w:p w14:paraId="06B568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本次</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：见供应商须知前附表。</w:t>
      </w:r>
    </w:p>
    <w:p w14:paraId="74406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本项目的</w:t>
      </w:r>
      <w:r>
        <w:rPr>
          <w:rFonts w:hint="eastAsia" w:ascii="宋体" w:hAnsi="宋体" w:cs="宋体"/>
          <w:color w:val="auto"/>
          <w:szCs w:val="21"/>
          <w:highlight w:val="none"/>
          <w:lang w:val="en-US" w:eastAsia="zh-CN"/>
        </w:rPr>
        <w:t>交货</w:t>
      </w:r>
      <w:r>
        <w:rPr>
          <w:rFonts w:hint="eastAsia" w:ascii="宋体" w:hAnsi="宋体" w:cs="宋体"/>
          <w:color w:val="auto"/>
          <w:szCs w:val="21"/>
          <w:highlight w:val="none"/>
          <w:lang w:eastAsia="zh-CN"/>
        </w:rPr>
        <w:t>期</w:t>
      </w:r>
      <w:r>
        <w:rPr>
          <w:rFonts w:hint="eastAsia" w:ascii="宋体" w:hAnsi="宋体" w:cs="宋体"/>
          <w:color w:val="auto"/>
          <w:szCs w:val="21"/>
          <w:highlight w:val="none"/>
        </w:rPr>
        <w:t>：见供应商须知前附表。</w:t>
      </w:r>
    </w:p>
    <w:p w14:paraId="2F5AC2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1.4.3本项目的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lang w:eastAsia="zh-CN"/>
        </w:rPr>
        <w:t>期</w:t>
      </w:r>
      <w:r>
        <w:rPr>
          <w:rFonts w:hint="eastAsia" w:ascii="宋体" w:hAnsi="宋体" w:cs="宋体"/>
          <w:color w:val="auto"/>
          <w:szCs w:val="21"/>
          <w:highlight w:val="none"/>
        </w:rPr>
        <w:t>：见供应商须知前附表。</w:t>
      </w:r>
    </w:p>
    <w:p w14:paraId="2283B4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：见供应商须知前附表。</w:t>
      </w:r>
    </w:p>
    <w:p w14:paraId="5E46DF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本项目的</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lang w:eastAsia="zh-CN"/>
        </w:rPr>
        <w:t>要求</w:t>
      </w:r>
      <w:r>
        <w:rPr>
          <w:rFonts w:hint="eastAsia" w:ascii="宋体" w:hAnsi="宋体" w:cs="宋体"/>
          <w:color w:val="auto"/>
          <w:szCs w:val="21"/>
          <w:highlight w:val="none"/>
        </w:rPr>
        <w:t>：见供应商须知前附表。</w:t>
      </w:r>
    </w:p>
    <w:p w14:paraId="5D1EFD4C">
      <w:pPr>
        <w:pStyle w:val="50"/>
        <w:spacing w:line="360" w:lineRule="auto"/>
        <w:outlineLvl w:val="0"/>
        <w:rPr>
          <w:rFonts w:hint="eastAsia" w:ascii="宋体" w:hAnsi="宋体" w:eastAsia="宋体"/>
          <w:b/>
          <w:bCs/>
          <w:color w:val="auto"/>
          <w:sz w:val="21"/>
          <w:szCs w:val="21"/>
          <w:highlight w:val="none"/>
        </w:rPr>
      </w:pPr>
      <w:bookmarkStart w:id="109" w:name="_Toc318450679"/>
      <w:bookmarkStart w:id="110" w:name="_Toc152045534"/>
      <w:bookmarkStart w:id="111" w:name="_Toc152042310"/>
      <w:bookmarkStart w:id="112" w:name="_Toc144974502"/>
      <w:bookmarkStart w:id="113" w:name="_Toc11063"/>
      <w:bookmarkStart w:id="114" w:name="_Toc22643"/>
      <w:bookmarkStart w:id="115" w:name="_Toc455867773"/>
      <w:bookmarkStart w:id="116" w:name="_Toc4301"/>
      <w:bookmarkStart w:id="117" w:name="_Toc1602"/>
      <w:bookmarkStart w:id="118" w:name="_Toc18004"/>
      <w:bookmarkStart w:id="119" w:name="_Toc5019"/>
      <w:bookmarkStart w:id="120" w:name="_Toc4711"/>
      <w:bookmarkStart w:id="121" w:name="_Toc18689"/>
      <w:bookmarkStart w:id="122" w:name="_Toc32156"/>
      <w:bookmarkStart w:id="123" w:name="_Toc490667832"/>
      <w:bookmarkStart w:id="124" w:name="_Toc455080113"/>
      <w:bookmarkStart w:id="125" w:name="_Toc19634"/>
      <w:bookmarkStart w:id="126" w:name="_Toc7209"/>
      <w:bookmarkStart w:id="127" w:name="_Toc466298096"/>
      <w:r>
        <w:rPr>
          <w:rFonts w:hint="eastAsia" w:ascii="宋体" w:hAnsi="宋体" w:eastAsia="宋体"/>
          <w:b/>
          <w:bCs/>
          <w:color w:val="auto"/>
          <w:sz w:val="21"/>
          <w:szCs w:val="21"/>
          <w:highlight w:val="none"/>
        </w:rPr>
        <w:t xml:space="preserve">1.5 </w:t>
      </w:r>
      <w:bookmarkEnd w:id="109"/>
      <w:bookmarkEnd w:id="110"/>
      <w:bookmarkEnd w:id="111"/>
      <w:bookmarkEnd w:id="112"/>
      <w:r>
        <w:rPr>
          <w:rFonts w:hint="eastAsia" w:ascii="宋体" w:hAnsi="宋体" w:eastAsia="宋体"/>
          <w:b/>
          <w:bCs/>
          <w:color w:val="auto"/>
          <w:sz w:val="21"/>
          <w:szCs w:val="21"/>
          <w:highlight w:val="none"/>
        </w:rPr>
        <w:t>供应商资质条件和能力</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5854E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1.5.1供应商资质及能力要求：见供应商须知前附表。</w:t>
      </w:r>
    </w:p>
    <w:p w14:paraId="15196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1.5.2是否接受联合体：见供应商须知前附表。</w:t>
      </w:r>
    </w:p>
    <w:p w14:paraId="3B1FC1E3">
      <w:pPr>
        <w:pStyle w:val="50"/>
        <w:spacing w:line="360" w:lineRule="auto"/>
        <w:outlineLvl w:val="0"/>
        <w:rPr>
          <w:rFonts w:hint="eastAsia" w:ascii="宋体" w:hAnsi="宋体" w:eastAsia="宋体"/>
          <w:b/>
          <w:bCs/>
          <w:color w:val="auto"/>
          <w:sz w:val="21"/>
          <w:szCs w:val="21"/>
          <w:highlight w:val="none"/>
        </w:rPr>
      </w:pPr>
      <w:bookmarkStart w:id="128" w:name="_Toc144974503"/>
      <w:bookmarkStart w:id="129" w:name="_Toc11905"/>
      <w:bookmarkStart w:id="130" w:name="_Toc490667833"/>
      <w:bookmarkStart w:id="131" w:name="_Toc455080114"/>
      <w:bookmarkStart w:id="132" w:name="_Toc12403"/>
      <w:bookmarkStart w:id="133" w:name="_Toc651"/>
      <w:bookmarkStart w:id="134" w:name="_Toc16889"/>
      <w:bookmarkStart w:id="135" w:name="_Toc318450680"/>
      <w:bookmarkStart w:id="136" w:name="_Toc5162"/>
      <w:bookmarkStart w:id="137" w:name="_Toc455867774"/>
      <w:bookmarkStart w:id="138" w:name="_Toc31854"/>
      <w:bookmarkStart w:id="139" w:name="_Toc152042311"/>
      <w:bookmarkStart w:id="140" w:name="_Toc981"/>
      <w:bookmarkStart w:id="141" w:name="_Toc32446"/>
      <w:bookmarkStart w:id="142" w:name="_Toc4046"/>
      <w:bookmarkStart w:id="143" w:name="_Toc9505"/>
      <w:bookmarkStart w:id="144" w:name="_Toc152045535"/>
      <w:bookmarkStart w:id="145" w:name="_Toc28135"/>
      <w:bookmarkStart w:id="146" w:name="_Toc466298097"/>
      <w:r>
        <w:rPr>
          <w:rFonts w:hint="eastAsia" w:ascii="宋体" w:hAnsi="宋体" w:eastAsia="宋体"/>
          <w:b/>
          <w:bCs/>
          <w:color w:val="auto"/>
          <w:sz w:val="21"/>
          <w:szCs w:val="21"/>
          <w:highlight w:val="none"/>
        </w:rPr>
        <w:t>1.6 费用承担</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51870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供应商准备和参加磋商活动发生的费用自理，不论磋商的结果如何，采购人和采购代理机构在任何情况下均无义务和责任承担这些费用。</w:t>
      </w:r>
    </w:p>
    <w:p w14:paraId="3B305A83">
      <w:pPr>
        <w:pStyle w:val="50"/>
        <w:spacing w:line="360" w:lineRule="auto"/>
        <w:outlineLvl w:val="0"/>
        <w:rPr>
          <w:rFonts w:hint="eastAsia" w:ascii="宋体" w:hAnsi="宋体" w:eastAsia="宋体"/>
          <w:b/>
          <w:bCs/>
          <w:color w:val="auto"/>
          <w:sz w:val="21"/>
          <w:szCs w:val="21"/>
          <w:highlight w:val="none"/>
        </w:rPr>
      </w:pPr>
      <w:bookmarkStart w:id="147" w:name="_Toc318450681"/>
      <w:bookmarkStart w:id="148" w:name="_Toc22800"/>
      <w:bookmarkStart w:id="149" w:name="_Toc22136"/>
      <w:bookmarkStart w:id="150" w:name="_Toc237"/>
      <w:bookmarkStart w:id="151" w:name="_Toc24601"/>
      <w:bookmarkStart w:id="152" w:name="_Toc144974504"/>
      <w:bookmarkStart w:id="153" w:name="_Toc152045536"/>
      <w:bookmarkStart w:id="154" w:name="_Toc8055"/>
      <w:bookmarkStart w:id="155" w:name="_Toc152042312"/>
      <w:bookmarkStart w:id="156" w:name="_Toc455080115"/>
      <w:bookmarkStart w:id="157" w:name="_Toc466298098"/>
      <w:bookmarkStart w:id="158" w:name="_Toc490667834"/>
      <w:bookmarkStart w:id="159" w:name="_Toc5402"/>
      <w:bookmarkStart w:id="160" w:name="_Toc20145"/>
      <w:bookmarkStart w:id="161" w:name="_Toc2622"/>
      <w:bookmarkStart w:id="162" w:name="_Toc6014"/>
      <w:bookmarkStart w:id="163" w:name="_Toc1879"/>
      <w:bookmarkStart w:id="164" w:name="_Toc455867775"/>
      <w:bookmarkStart w:id="165" w:name="_Toc32053"/>
      <w:r>
        <w:rPr>
          <w:rFonts w:hint="eastAsia" w:ascii="宋体" w:hAnsi="宋体" w:eastAsia="宋体"/>
          <w:b/>
          <w:bCs/>
          <w:color w:val="auto"/>
          <w:sz w:val="21"/>
          <w:szCs w:val="21"/>
          <w:highlight w:val="none"/>
        </w:rPr>
        <w:t>1.7 保密</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5C7F2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参与磋商活动的各方应对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和响应文件中的商业和技术等秘密保密，违者应对由此造成的后果承担法律责任。 </w:t>
      </w:r>
    </w:p>
    <w:p w14:paraId="41C0522F">
      <w:pPr>
        <w:pStyle w:val="50"/>
        <w:spacing w:line="360" w:lineRule="auto"/>
        <w:outlineLvl w:val="0"/>
        <w:rPr>
          <w:rFonts w:hint="eastAsia" w:ascii="宋体" w:hAnsi="宋体" w:eastAsia="宋体"/>
          <w:b/>
          <w:bCs/>
          <w:color w:val="auto"/>
          <w:sz w:val="21"/>
          <w:szCs w:val="21"/>
          <w:highlight w:val="none"/>
        </w:rPr>
      </w:pPr>
      <w:bookmarkStart w:id="166" w:name="_Toc144974505"/>
      <w:bookmarkStart w:id="167" w:name="_Toc25517"/>
      <w:bookmarkStart w:id="168" w:name="_Toc13976"/>
      <w:bookmarkStart w:id="169" w:name="_Toc490667835"/>
      <w:bookmarkStart w:id="170" w:name="_Toc455867776"/>
      <w:bookmarkStart w:id="171" w:name="_Toc14775"/>
      <w:bookmarkStart w:id="172" w:name="_Toc152045537"/>
      <w:bookmarkStart w:id="173" w:name="_Toc6615"/>
      <w:bookmarkStart w:id="174" w:name="_Toc30583"/>
      <w:bookmarkStart w:id="175" w:name="_Toc318450682"/>
      <w:bookmarkStart w:id="176" w:name="_Toc152042313"/>
      <w:bookmarkStart w:id="177" w:name="_Toc455080116"/>
      <w:bookmarkStart w:id="178" w:name="_Toc21089"/>
      <w:bookmarkStart w:id="179" w:name="_Toc466298099"/>
      <w:bookmarkStart w:id="180" w:name="_Toc15673"/>
      <w:bookmarkStart w:id="181" w:name="_Toc7274"/>
      <w:bookmarkStart w:id="182" w:name="_Toc3628"/>
      <w:bookmarkStart w:id="183" w:name="_Toc30747"/>
      <w:bookmarkStart w:id="184" w:name="_Toc7031"/>
      <w:r>
        <w:rPr>
          <w:rFonts w:hint="eastAsia" w:ascii="宋体" w:hAnsi="宋体" w:eastAsia="宋体"/>
          <w:b/>
          <w:bCs/>
          <w:color w:val="auto"/>
          <w:sz w:val="21"/>
          <w:szCs w:val="21"/>
          <w:highlight w:val="none"/>
        </w:rPr>
        <w:t>1.8 语言</w:t>
      </w:r>
      <w:bookmarkEnd w:id="166"/>
      <w:r>
        <w:rPr>
          <w:rFonts w:hint="eastAsia" w:ascii="宋体" w:hAnsi="宋体" w:eastAsia="宋体"/>
          <w:b/>
          <w:bCs/>
          <w:color w:val="auto"/>
          <w:sz w:val="21"/>
          <w:szCs w:val="21"/>
          <w:highlight w:val="none"/>
        </w:rPr>
        <w:t>文字</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5A6EB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r>
        <w:rPr>
          <w:rFonts w:hint="eastAsia" w:ascii="宋体" w:hAnsi="宋体" w:cs="宋体"/>
          <w:color w:val="auto"/>
          <w:szCs w:val="21"/>
          <w:highlight w:val="none"/>
          <w:lang w:bidi="en-US"/>
        </w:rPr>
        <w:t>对不同文字文本响应文件的解释发生异议的，以中文文本为准。</w:t>
      </w:r>
    </w:p>
    <w:p w14:paraId="1928F8CC">
      <w:pPr>
        <w:pStyle w:val="50"/>
        <w:spacing w:line="360" w:lineRule="auto"/>
        <w:outlineLvl w:val="0"/>
        <w:rPr>
          <w:rFonts w:hint="eastAsia" w:ascii="宋体" w:hAnsi="宋体" w:eastAsia="宋体"/>
          <w:b/>
          <w:bCs/>
          <w:color w:val="auto"/>
          <w:sz w:val="21"/>
          <w:szCs w:val="21"/>
          <w:highlight w:val="none"/>
        </w:rPr>
      </w:pPr>
      <w:bookmarkStart w:id="185" w:name="_Toc25300"/>
      <w:bookmarkStart w:id="186" w:name="_Toc18357"/>
      <w:bookmarkStart w:id="187" w:name="_Toc144974506"/>
      <w:bookmarkStart w:id="188" w:name="_Toc32507"/>
      <w:bookmarkStart w:id="189" w:name="_Toc455080117"/>
      <w:bookmarkStart w:id="190" w:name="_Toc318450683"/>
      <w:bookmarkStart w:id="191" w:name="_Toc22415"/>
      <w:bookmarkStart w:id="192" w:name="_Toc24337"/>
      <w:bookmarkStart w:id="193" w:name="_Toc4501"/>
      <w:bookmarkStart w:id="194" w:name="_Toc152042314"/>
      <w:bookmarkStart w:id="195" w:name="_Toc14934"/>
      <w:bookmarkStart w:id="196" w:name="_Toc455867777"/>
      <w:bookmarkStart w:id="197" w:name="_Toc22378"/>
      <w:bookmarkStart w:id="198" w:name="_Toc4237"/>
      <w:bookmarkStart w:id="199" w:name="_Toc466298100"/>
      <w:bookmarkStart w:id="200" w:name="_Toc490667836"/>
      <w:bookmarkStart w:id="201" w:name="_Toc9446"/>
      <w:bookmarkStart w:id="202" w:name="_Toc152045538"/>
      <w:bookmarkStart w:id="203" w:name="_Toc2702"/>
      <w:r>
        <w:rPr>
          <w:rFonts w:hint="eastAsia" w:ascii="宋体" w:hAnsi="宋体" w:eastAsia="宋体"/>
          <w:b/>
          <w:bCs/>
          <w:color w:val="auto"/>
          <w:sz w:val="21"/>
          <w:szCs w:val="21"/>
          <w:highlight w:val="none"/>
        </w:rPr>
        <w:t>1.9 计量单位</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7B826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93F8F9C">
      <w:pPr>
        <w:pStyle w:val="50"/>
        <w:spacing w:line="360" w:lineRule="auto"/>
        <w:outlineLvl w:val="0"/>
        <w:rPr>
          <w:rFonts w:hint="eastAsia" w:ascii="宋体" w:hAnsi="宋体" w:eastAsia="宋体"/>
          <w:b w:val="0"/>
          <w:bCs w:val="0"/>
          <w:color w:val="auto"/>
          <w:sz w:val="21"/>
          <w:szCs w:val="21"/>
          <w:highlight w:val="none"/>
          <w:lang w:eastAsia="zh-CN"/>
        </w:rPr>
      </w:pPr>
      <w:bookmarkStart w:id="204" w:name="_Toc490667837"/>
      <w:bookmarkStart w:id="205" w:name="_Toc2508"/>
      <w:bookmarkStart w:id="206" w:name="_Toc284"/>
      <w:bookmarkStart w:id="207" w:name="_Toc466298101"/>
      <w:bookmarkStart w:id="208" w:name="_Toc18589"/>
      <w:bookmarkStart w:id="209" w:name="_Toc338"/>
      <w:bookmarkStart w:id="210" w:name="_Toc455867778"/>
      <w:bookmarkStart w:id="211" w:name="_Toc29845"/>
      <w:bookmarkStart w:id="212" w:name="_Toc152042316"/>
      <w:bookmarkStart w:id="213" w:name="_Toc318450684"/>
      <w:bookmarkStart w:id="214" w:name="_Toc19685"/>
      <w:bookmarkStart w:id="215" w:name="_Toc31195"/>
      <w:bookmarkStart w:id="216" w:name="_Toc12027"/>
      <w:bookmarkStart w:id="217" w:name="_Toc13675"/>
      <w:bookmarkStart w:id="218" w:name="_Toc152045540"/>
      <w:bookmarkStart w:id="219" w:name="_Toc27570"/>
      <w:bookmarkStart w:id="220" w:name="_Toc144974508"/>
      <w:bookmarkStart w:id="221" w:name="_Toc455080118"/>
      <w:bookmarkStart w:id="222" w:name="_Toc21668"/>
      <w:r>
        <w:rPr>
          <w:rFonts w:hint="eastAsia" w:ascii="宋体" w:hAnsi="宋体" w:eastAsia="宋体"/>
          <w:b/>
          <w:bCs/>
          <w:color w:val="auto"/>
          <w:sz w:val="21"/>
          <w:szCs w:val="21"/>
          <w:highlight w:val="none"/>
        </w:rPr>
        <w:t xml:space="preserve">1.10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eastAsia="宋体"/>
          <w:b/>
          <w:bCs/>
          <w:color w:val="auto"/>
          <w:sz w:val="21"/>
          <w:szCs w:val="21"/>
          <w:highlight w:val="none"/>
          <w:lang w:eastAsia="zh-CN"/>
        </w:rPr>
        <w:t>现场踏勘：</w:t>
      </w:r>
      <w:r>
        <w:rPr>
          <w:rFonts w:hint="eastAsia" w:ascii="宋体" w:hAnsi="宋体" w:eastAsia="宋体"/>
          <w:b w:val="0"/>
          <w:bCs w:val="0"/>
          <w:color w:val="auto"/>
          <w:sz w:val="21"/>
          <w:szCs w:val="21"/>
          <w:highlight w:val="none"/>
          <w:lang w:eastAsia="zh-CN"/>
        </w:rPr>
        <w:t>自行踏勘，与之相关的费用，供应商自行承担。</w:t>
      </w:r>
      <w:bookmarkEnd w:id="222"/>
    </w:p>
    <w:p w14:paraId="6005D6FC">
      <w:pPr>
        <w:pStyle w:val="50"/>
        <w:spacing w:line="360" w:lineRule="auto"/>
        <w:outlineLvl w:val="0"/>
        <w:rPr>
          <w:rFonts w:hint="eastAsia" w:ascii="宋体" w:hAnsi="宋体" w:eastAsia="宋体"/>
          <w:b/>
          <w:bCs/>
          <w:color w:val="auto"/>
          <w:sz w:val="21"/>
          <w:szCs w:val="21"/>
          <w:highlight w:val="none"/>
        </w:rPr>
      </w:pPr>
      <w:bookmarkStart w:id="223" w:name="_Toc31725"/>
      <w:bookmarkStart w:id="224" w:name="_Toc25208"/>
      <w:bookmarkStart w:id="225" w:name="_Toc32757"/>
      <w:bookmarkStart w:id="226" w:name="_Toc16631"/>
      <w:bookmarkStart w:id="227" w:name="_Toc9182"/>
      <w:bookmarkStart w:id="228" w:name="_Toc11744"/>
      <w:bookmarkStart w:id="229" w:name="_Toc3853"/>
      <w:bookmarkStart w:id="230" w:name="_Toc466298102"/>
      <w:bookmarkStart w:id="231" w:name="_Toc490667838"/>
      <w:bookmarkStart w:id="232" w:name="_Toc23635"/>
      <w:bookmarkStart w:id="233" w:name="_Toc455867779"/>
      <w:bookmarkStart w:id="234" w:name="_Toc144974509"/>
      <w:bookmarkStart w:id="235" w:name="_Toc318450685"/>
      <w:bookmarkStart w:id="236" w:name="_Toc12562"/>
      <w:bookmarkStart w:id="237" w:name="_Toc152042317"/>
      <w:bookmarkStart w:id="238" w:name="_Toc23678"/>
      <w:bookmarkStart w:id="239" w:name="_Toc455080119"/>
      <w:bookmarkStart w:id="240" w:name="_Toc24262"/>
      <w:bookmarkStart w:id="241" w:name="_Toc152045541"/>
      <w:r>
        <w:rPr>
          <w:rFonts w:hint="eastAsia" w:ascii="宋体" w:hAnsi="宋体" w:eastAsia="宋体"/>
          <w:b/>
          <w:bCs/>
          <w:color w:val="auto"/>
          <w:sz w:val="21"/>
          <w:szCs w:val="21"/>
          <w:highlight w:val="none"/>
        </w:rPr>
        <w:t>1.11分包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B1A652F">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是否允许分包：见供应商须知前附表。</w:t>
      </w:r>
      <w:bookmarkStart w:id="242" w:name="_Toc144974510"/>
      <w:bookmarkStart w:id="243" w:name="_Toc152045542"/>
      <w:bookmarkStart w:id="244" w:name="_Toc152042318"/>
      <w:bookmarkStart w:id="245" w:name="_Toc455080120"/>
    </w:p>
    <w:bookmarkEnd w:id="242"/>
    <w:bookmarkEnd w:id="243"/>
    <w:bookmarkEnd w:id="244"/>
    <w:p w14:paraId="581168EF">
      <w:pPr>
        <w:spacing w:line="360" w:lineRule="auto"/>
        <w:outlineLvl w:val="1"/>
        <w:rPr>
          <w:rFonts w:hint="eastAsia" w:ascii="宋体" w:hAnsi="宋体" w:eastAsia="宋体"/>
          <w:b/>
          <w:bCs/>
          <w:color w:val="auto"/>
          <w:szCs w:val="21"/>
          <w:highlight w:val="none"/>
          <w:lang w:eastAsia="zh-CN"/>
        </w:rPr>
      </w:pPr>
      <w:bookmarkStart w:id="246" w:name="_Toc12453"/>
      <w:r>
        <w:rPr>
          <w:rFonts w:hint="eastAsia" w:ascii="宋体" w:hAnsi="宋体"/>
          <w:b/>
          <w:bCs/>
          <w:color w:val="auto"/>
          <w:szCs w:val="21"/>
          <w:highlight w:val="none"/>
        </w:rPr>
        <w:t>2.</w:t>
      </w:r>
      <w:bookmarkEnd w:id="245"/>
      <w:bookmarkEnd w:id="246"/>
      <w:r>
        <w:rPr>
          <w:rFonts w:hint="eastAsia" w:ascii="宋体" w:hAnsi="宋体"/>
          <w:b/>
          <w:bCs/>
          <w:color w:val="auto"/>
          <w:szCs w:val="21"/>
          <w:highlight w:val="none"/>
          <w:lang w:eastAsia="zh-CN"/>
        </w:rPr>
        <w:t>竞争性磋商文件</w:t>
      </w:r>
    </w:p>
    <w:p w14:paraId="09201A52">
      <w:pPr>
        <w:pStyle w:val="50"/>
        <w:spacing w:line="360" w:lineRule="auto"/>
        <w:outlineLvl w:val="0"/>
        <w:rPr>
          <w:rFonts w:hint="eastAsia" w:ascii="宋体" w:hAnsi="宋体" w:eastAsia="宋体"/>
          <w:b/>
          <w:bCs/>
          <w:color w:val="auto"/>
          <w:sz w:val="21"/>
          <w:szCs w:val="21"/>
          <w:highlight w:val="none"/>
        </w:rPr>
      </w:pPr>
      <w:bookmarkStart w:id="247" w:name="_Toc12004"/>
      <w:bookmarkStart w:id="248" w:name="_Toc7999"/>
      <w:bookmarkStart w:id="249" w:name="_Toc318450687"/>
      <w:bookmarkStart w:id="250" w:name="_Toc144974511"/>
      <w:bookmarkStart w:id="251" w:name="_Toc455080121"/>
      <w:bookmarkStart w:id="252" w:name="_Toc466298104"/>
      <w:bookmarkStart w:id="253" w:name="_Toc11599"/>
      <w:bookmarkStart w:id="254" w:name="_Toc455867781"/>
      <w:bookmarkStart w:id="255" w:name="_Toc1008"/>
      <w:bookmarkStart w:id="256" w:name="_Toc490667840"/>
      <w:bookmarkStart w:id="257" w:name="_Toc152045543"/>
      <w:bookmarkStart w:id="258" w:name="_Toc32711"/>
      <w:bookmarkStart w:id="259" w:name="_Toc9780"/>
      <w:bookmarkStart w:id="260" w:name="_Toc11567"/>
      <w:bookmarkStart w:id="261" w:name="_Toc23649"/>
      <w:bookmarkStart w:id="262" w:name="_Toc152042319"/>
      <w:bookmarkStart w:id="263" w:name="_Toc3982"/>
      <w:bookmarkStart w:id="264" w:name="_Toc17386"/>
      <w:bookmarkStart w:id="265" w:name="_Toc12640"/>
      <w:r>
        <w:rPr>
          <w:rFonts w:hint="eastAsia" w:ascii="宋体" w:hAnsi="宋体" w:eastAsia="宋体"/>
          <w:b/>
          <w:bCs/>
          <w:color w:val="auto"/>
          <w:sz w:val="21"/>
          <w:szCs w:val="21"/>
          <w:highlight w:val="none"/>
        </w:rPr>
        <w:t>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3A9D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本</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包括：</w:t>
      </w:r>
    </w:p>
    <w:p w14:paraId="25D6BAC5">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w:t>
      </w:r>
    </w:p>
    <w:p w14:paraId="4537DAEB">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674A0096">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（3）评审办法；</w:t>
      </w:r>
    </w:p>
    <w:p w14:paraId="244411EA">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河南省政府采购合同（参考文本）</w:t>
      </w:r>
      <w:r>
        <w:rPr>
          <w:rFonts w:hint="eastAsia" w:ascii="宋体" w:hAnsi="宋体" w:cs="宋体"/>
          <w:color w:val="auto"/>
          <w:szCs w:val="21"/>
          <w:highlight w:val="none"/>
        </w:rPr>
        <w:t>；</w:t>
      </w:r>
    </w:p>
    <w:p w14:paraId="6CDC1ED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采购项目技术参数、规格与要求</w:t>
      </w:r>
      <w:r>
        <w:rPr>
          <w:rFonts w:hint="eastAsia" w:ascii="宋体" w:hAnsi="宋体" w:cs="宋体"/>
          <w:color w:val="auto"/>
          <w:szCs w:val="21"/>
          <w:highlight w:val="none"/>
        </w:rPr>
        <w:t>；</w:t>
      </w:r>
    </w:p>
    <w:p w14:paraId="6074996C">
      <w:pPr>
        <w:spacing w:line="360" w:lineRule="auto"/>
        <w:ind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w:t>
      </w:r>
    </w:p>
    <w:p w14:paraId="2BF57AF5">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2D3063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根据本章第2.2款和第2.3款对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所作的澄清、修改，构成</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的组成部分。</w:t>
      </w:r>
    </w:p>
    <w:p w14:paraId="6708E0A3">
      <w:pPr>
        <w:pStyle w:val="50"/>
        <w:spacing w:line="360" w:lineRule="auto"/>
        <w:outlineLvl w:val="0"/>
        <w:rPr>
          <w:rFonts w:hint="eastAsia" w:ascii="宋体" w:hAnsi="宋体" w:eastAsia="宋体"/>
          <w:b/>
          <w:bCs/>
          <w:color w:val="auto"/>
          <w:sz w:val="21"/>
          <w:szCs w:val="21"/>
          <w:highlight w:val="none"/>
        </w:rPr>
      </w:pPr>
      <w:bookmarkStart w:id="266" w:name="_Toc15658"/>
      <w:bookmarkStart w:id="267" w:name="_Toc31680"/>
      <w:bookmarkStart w:id="268" w:name="_Toc152042322"/>
      <w:bookmarkStart w:id="269" w:name="_Toc152045546"/>
      <w:bookmarkStart w:id="270" w:name="_Toc144974514"/>
      <w:bookmarkStart w:id="271" w:name="_Toc455080124"/>
      <w:r>
        <w:rPr>
          <w:rFonts w:hint="eastAsia" w:ascii="宋体" w:hAnsi="宋体" w:eastAsia="宋体"/>
          <w:b/>
          <w:bCs/>
          <w:color w:val="auto"/>
          <w:sz w:val="21"/>
          <w:szCs w:val="21"/>
          <w:highlight w:val="none"/>
        </w:rPr>
        <w:t xml:space="preserve">2.2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的澄清</w:t>
      </w:r>
      <w:bookmarkEnd w:id="266"/>
      <w:bookmarkEnd w:id="267"/>
    </w:p>
    <w:p w14:paraId="642E253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2.2.1供应商应仔细阅读和检查</w:t>
      </w:r>
      <w:r>
        <w:rPr>
          <w:rFonts w:hint="eastAsia" w:ascii="宋体" w:hAnsi="宋体" w:cs="宋体"/>
          <w:color w:val="auto"/>
          <w:highlight w:val="none"/>
          <w:lang w:eastAsia="zh-CN"/>
        </w:rPr>
        <w:t>竞争性磋商文件</w:t>
      </w:r>
      <w:r>
        <w:rPr>
          <w:rFonts w:hint="eastAsia" w:ascii="宋体" w:hAnsi="宋体" w:cs="宋体"/>
          <w:color w:val="auto"/>
          <w:highlight w:val="none"/>
        </w:rPr>
        <w:t>的全部内容。</w:t>
      </w:r>
      <w:r>
        <w:rPr>
          <w:rFonts w:hint="eastAsia" w:ascii="宋体" w:hAnsi="宋体" w:cs="宋体"/>
          <w:color w:val="auto"/>
          <w:szCs w:val="21"/>
          <w:highlight w:val="none"/>
        </w:rPr>
        <w:t>如发现缺页或附件不全，应及时向采购人提出，以便补齐。</w:t>
      </w:r>
      <w:r>
        <w:rPr>
          <w:rFonts w:hint="eastAsia" w:ascii="宋体" w:hAnsi="宋体" w:cs="宋体"/>
          <w:color w:val="auto"/>
          <w:highlight w:val="none"/>
        </w:rPr>
        <w:t>如有疑问，应在供应商须知前附表规定的时间前</w:t>
      </w:r>
      <w:r>
        <w:rPr>
          <w:rFonts w:hint="eastAsia" w:ascii="宋体" w:hAnsi="宋体"/>
          <w:color w:val="auto"/>
          <w:szCs w:val="21"/>
          <w:highlight w:val="none"/>
        </w:rPr>
        <w:t>以书面形式（包括信函、电报、传真等可以有形表现所载内容的形式，下同），</w:t>
      </w:r>
      <w:r>
        <w:rPr>
          <w:rFonts w:hint="eastAsia" w:ascii="宋体" w:hAnsi="宋体" w:cs="宋体"/>
          <w:color w:val="auto"/>
          <w:highlight w:val="none"/>
        </w:rPr>
        <w:t>要求采购人对</w:t>
      </w:r>
      <w:r>
        <w:rPr>
          <w:rFonts w:hint="eastAsia" w:ascii="宋体" w:hAnsi="宋体" w:cs="宋体"/>
          <w:color w:val="auto"/>
          <w:highlight w:val="none"/>
          <w:lang w:eastAsia="zh-CN"/>
        </w:rPr>
        <w:t>竞争性磋商文件</w:t>
      </w:r>
      <w:r>
        <w:rPr>
          <w:rFonts w:hint="eastAsia" w:ascii="宋体" w:hAnsi="宋体" w:cs="宋体"/>
          <w:color w:val="auto"/>
          <w:highlight w:val="none"/>
        </w:rPr>
        <w:t>予以澄清。</w:t>
      </w:r>
    </w:p>
    <w:p w14:paraId="0801FE6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2.2.2 </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的澄清将在供应商须知前附表规定的响应文件递交截止时间5天前在信阳市公共资源交易系统“变更公告”或“答疑文件”</w:t>
      </w:r>
      <w:r>
        <w:rPr>
          <w:rFonts w:hint="eastAsia" w:ascii="宋体" w:hAnsi="宋体"/>
          <w:color w:val="auto"/>
          <w:szCs w:val="21"/>
          <w:highlight w:val="none"/>
        </w:rPr>
        <w:t>将澄清内容予以发布，</w:t>
      </w:r>
      <w:r>
        <w:rPr>
          <w:rFonts w:hint="eastAsia" w:ascii="宋体" w:hAnsi="宋体" w:cs="宋体"/>
          <w:color w:val="auto"/>
          <w:highlight w:val="none"/>
        </w:rPr>
        <w:t>但不指明澄清问题的来源。如果澄清的内容可能影响响应文件编制且发出的时间距响应文件递交截止时间不足5天，相应延长投标截止时间。</w:t>
      </w:r>
    </w:p>
    <w:p w14:paraId="4CEBCF7B">
      <w:pPr>
        <w:spacing w:line="360" w:lineRule="auto"/>
        <w:ind w:firstLine="420" w:firstLineChars="200"/>
        <w:rPr>
          <w:rFonts w:hint="eastAsia"/>
          <w:color w:val="auto"/>
          <w:highlight w:val="none"/>
        </w:rPr>
      </w:pPr>
      <w:r>
        <w:rPr>
          <w:rFonts w:hint="eastAsia" w:ascii="宋体" w:hAnsi="宋体"/>
          <w:color w:val="auto"/>
          <w:szCs w:val="21"/>
          <w:highlight w:val="none"/>
        </w:rPr>
        <w:t>2.2.3供应商应在响应文件递交截止时间前及时查看澄清内容，因供应商未及时查看而造成的后果自负。</w:t>
      </w:r>
    </w:p>
    <w:p w14:paraId="552941FB">
      <w:pPr>
        <w:pStyle w:val="50"/>
        <w:spacing w:line="360" w:lineRule="auto"/>
        <w:outlineLvl w:val="0"/>
        <w:rPr>
          <w:rFonts w:hint="eastAsia" w:ascii="宋体" w:hAnsi="宋体" w:eastAsia="宋体"/>
          <w:b/>
          <w:bCs/>
          <w:color w:val="auto"/>
          <w:sz w:val="21"/>
          <w:szCs w:val="21"/>
          <w:highlight w:val="none"/>
        </w:rPr>
      </w:pPr>
      <w:bookmarkStart w:id="272" w:name="_Toc2276"/>
      <w:bookmarkStart w:id="273" w:name="_Toc8263"/>
      <w:r>
        <w:rPr>
          <w:rFonts w:hint="eastAsia" w:ascii="宋体" w:hAnsi="宋体" w:eastAsia="宋体"/>
          <w:b/>
          <w:bCs/>
          <w:color w:val="auto"/>
          <w:sz w:val="21"/>
          <w:szCs w:val="21"/>
          <w:highlight w:val="none"/>
        </w:rPr>
        <w:t xml:space="preserve">2.3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的修改</w:t>
      </w:r>
      <w:bookmarkEnd w:id="272"/>
      <w:bookmarkEnd w:id="273"/>
    </w:p>
    <w:p w14:paraId="4923679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2.3.1 在响应文件递交截止时间5天前，采购人可以修改</w:t>
      </w:r>
      <w:r>
        <w:rPr>
          <w:rFonts w:hint="eastAsia" w:ascii="宋体" w:hAnsi="宋体" w:cs="宋体"/>
          <w:color w:val="auto"/>
          <w:highlight w:val="none"/>
          <w:lang w:eastAsia="zh-CN"/>
        </w:rPr>
        <w:t>竞争性磋商文件</w:t>
      </w:r>
      <w:r>
        <w:rPr>
          <w:rFonts w:hint="eastAsia" w:ascii="宋体" w:hAnsi="宋体" w:cs="宋体"/>
          <w:color w:val="auto"/>
          <w:highlight w:val="none"/>
        </w:rPr>
        <w:t>。如有修改，应在信阳市公共资源交易系统“变更公告”或“答疑文件”</w:t>
      </w:r>
      <w:r>
        <w:rPr>
          <w:rFonts w:hint="eastAsia" w:ascii="宋体" w:hAnsi="宋体"/>
          <w:color w:val="auto"/>
          <w:szCs w:val="21"/>
          <w:highlight w:val="none"/>
        </w:rPr>
        <w:t>将修改内容予以发布</w:t>
      </w:r>
      <w:r>
        <w:rPr>
          <w:rFonts w:hint="eastAsia" w:ascii="宋体" w:hAnsi="宋体" w:cs="宋体"/>
          <w:color w:val="auto"/>
          <w:highlight w:val="none"/>
        </w:rPr>
        <w:t>。如果修改的内容可能影响响应文件编制且发出的时间距响应文件递交截止时间不足5天，相应延长响应文件递交截止时间。</w:t>
      </w:r>
    </w:p>
    <w:p w14:paraId="49E40C6D">
      <w:pPr>
        <w:spacing w:line="360" w:lineRule="auto"/>
        <w:ind w:firstLine="420"/>
        <w:rPr>
          <w:rFonts w:hint="eastAsia" w:ascii="宋体" w:hAnsi="宋体"/>
          <w:color w:val="auto"/>
          <w:szCs w:val="21"/>
          <w:highlight w:val="none"/>
        </w:rPr>
      </w:pPr>
      <w:r>
        <w:rPr>
          <w:rFonts w:hint="eastAsia" w:ascii="宋体" w:hAnsi="宋体" w:cs="宋体"/>
          <w:color w:val="auto"/>
          <w:highlight w:val="none"/>
        </w:rPr>
        <w:t>2.3.2当</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的澄清、修改、补充等在同一内容的表述上不一致时，</w:t>
      </w:r>
      <w:r>
        <w:rPr>
          <w:rFonts w:hint="eastAsia" w:ascii="宋体" w:hAnsi="宋体"/>
          <w:color w:val="auto"/>
          <w:szCs w:val="21"/>
          <w:highlight w:val="none"/>
        </w:rPr>
        <w:t>以最后在信阳市公共资源交易系统发出的文件为准。</w:t>
      </w:r>
    </w:p>
    <w:p w14:paraId="6A5B08AC">
      <w:pPr>
        <w:spacing w:line="360" w:lineRule="auto"/>
        <w:ind w:firstLine="420" w:firstLineChars="200"/>
        <w:rPr>
          <w:color w:val="auto"/>
          <w:highlight w:val="none"/>
        </w:rPr>
      </w:pPr>
      <w:r>
        <w:rPr>
          <w:rFonts w:hint="eastAsia" w:ascii="宋体" w:hAnsi="宋体" w:cs="宋体"/>
          <w:color w:val="auto"/>
          <w:highlight w:val="none"/>
        </w:rPr>
        <w:t>2.3.3</w:t>
      </w:r>
      <w:r>
        <w:rPr>
          <w:rFonts w:hint="eastAsia" w:ascii="宋体" w:hAnsi="宋体"/>
          <w:color w:val="auto"/>
          <w:szCs w:val="21"/>
          <w:highlight w:val="none"/>
        </w:rPr>
        <w:t>供应商应在响应文件递交截止时间前及时查看修改内容，因供应商未及时查看而造成的后果自负。</w:t>
      </w:r>
    </w:p>
    <w:p w14:paraId="5EF55D7F">
      <w:pPr>
        <w:pStyle w:val="48"/>
        <w:spacing w:before="0" w:beforeLines="0" w:line="360" w:lineRule="auto"/>
        <w:rPr>
          <w:rFonts w:hint="eastAsia" w:ascii="宋体" w:hAnsi="宋体" w:eastAsia="宋体"/>
          <w:b/>
          <w:bCs/>
          <w:color w:val="auto"/>
          <w:sz w:val="21"/>
          <w:szCs w:val="21"/>
          <w:highlight w:val="none"/>
        </w:rPr>
      </w:pPr>
      <w:bookmarkStart w:id="274" w:name="_Toc4666"/>
      <w:r>
        <w:rPr>
          <w:rFonts w:hint="eastAsia" w:ascii="宋体" w:hAnsi="宋体" w:eastAsia="宋体"/>
          <w:b/>
          <w:bCs/>
          <w:color w:val="auto"/>
          <w:sz w:val="21"/>
          <w:szCs w:val="21"/>
          <w:highlight w:val="none"/>
        </w:rPr>
        <w:t xml:space="preserve">3. </w:t>
      </w:r>
      <w:bookmarkEnd w:id="268"/>
      <w:bookmarkEnd w:id="269"/>
      <w:bookmarkEnd w:id="270"/>
      <w:r>
        <w:rPr>
          <w:rFonts w:hint="eastAsia" w:ascii="宋体" w:hAnsi="宋体" w:eastAsia="宋体"/>
          <w:b/>
          <w:bCs/>
          <w:color w:val="auto"/>
          <w:sz w:val="21"/>
          <w:szCs w:val="21"/>
          <w:highlight w:val="none"/>
        </w:rPr>
        <w:t>响应文件</w:t>
      </w:r>
      <w:bookmarkEnd w:id="271"/>
      <w:bookmarkEnd w:id="274"/>
    </w:p>
    <w:p w14:paraId="5320E3B5">
      <w:pPr>
        <w:pStyle w:val="50"/>
        <w:spacing w:line="360" w:lineRule="auto"/>
        <w:outlineLvl w:val="9"/>
        <w:rPr>
          <w:rFonts w:hint="eastAsia" w:ascii="宋体" w:hAnsi="宋体" w:eastAsia="宋体"/>
          <w:b/>
          <w:bCs/>
          <w:color w:val="auto"/>
          <w:sz w:val="21"/>
          <w:szCs w:val="21"/>
          <w:highlight w:val="none"/>
        </w:rPr>
      </w:pPr>
      <w:bookmarkStart w:id="275" w:name="_Toc152042323"/>
      <w:bookmarkStart w:id="276" w:name="_Toc490667844"/>
      <w:bookmarkStart w:id="277" w:name="_Toc144974515"/>
      <w:bookmarkStart w:id="278" w:name="_Toc16198"/>
      <w:bookmarkStart w:id="279" w:name="_Toc318450691"/>
      <w:bookmarkStart w:id="280" w:name="_Toc24440"/>
      <w:bookmarkStart w:id="281" w:name="_Toc9273"/>
      <w:bookmarkStart w:id="282" w:name="_Toc27373"/>
      <w:bookmarkStart w:id="283" w:name="_Toc152045547"/>
      <w:bookmarkStart w:id="284" w:name="_Toc15810"/>
      <w:bookmarkStart w:id="285" w:name="_Toc10096"/>
      <w:r>
        <w:rPr>
          <w:rFonts w:hint="eastAsia" w:ascii="宋体" w:hAnsi="宋体" w:eastAsia="宋体"/>
          <w:b/>
          <w:bCs/>
          <w:color w:val="auto"/>
          <w:sz w:val="21"/>
          <w:szCs w:val="21"/>
          <w:highlight w:val="none"/>
        </w:rPr>
        <w:t>3.1 响应文件的组成</w:t>
      </w:r>
      <w:bookmarkEnd w:id="275"/>
      <w:bookmarkEnd w:id="276"/>
      <w:bookmarkEnd w:id="277"/>
      <w:bookmarkEnd w:id="278"/>
      <w:bookmarkEnd w:id="279"/>
      <w:bookmarkEnd w:id="280"/>
      <w:bookmarkEnd w:id="281"/>
      <w:bookmarkEnd w:id="282"/>
      <w:bookmarkEnd w:id="283"/>
      <w:bookmarkEnd w:id="284"/>
      <w:bookmarkEnd w:id="285"/>
    </w:p>
    <w:p w14:paraId="67903D59">
      <w:pPr>
        <w:spacing w:line="360" w:lineRule="auto"/>
        <w:rPr>
          <w:rFonts w:hint="eastAsia" w:ascii="宋体" w:hAnsi="宋体" w:cs="宋体"/>
          <w:b w:val="0"/>
          <w:bCs w:val="0"/>
          <w:color w:val="auto"/>
          <w:szCs w:val="21"/>
          <w:highlight w:val="none"/>
          <w:lang w:val="en-US" w:eastAsia="zh-CN"/>
        </w:rPr>
      </w:pPr>
      <w:bookmarkStart w:id="286" w:name="_Toc152045548"/>
      <w:bookmarkStart w:id="287" w:name="_Toc318450692"/>
      <w:bookmarkStart w:id="288" w:name="_Toc152042324"/>
      <w:bookmarkStart w:id="289" w:name="_Toc26291"/>
      <w:bookmarkStart w:id="290" w:name="_Toc279156232"/>
      <w:bookmarkStart w:id="291" w:name="_Toc899"/>
      <w:bookmarkStart w:id="292" w:name="_Toc144974516"/>
      <w:r>
        <w:rPr>
          <w:rFonts w:hint="eastAsia" w:ascii="宋体" w:hAnsi="宋体" w:cs="宋体"/>
          <w:b w:val="0"/>
          <w:bCs w:val="0"/>
          <w:color w:val="auto"/>
          <w:szCs w:val="21"/>
          <w:highlight w:val="none"/>
          <w:lang w:val="en-US" w:eastAsia="zh-CN"/>
        </w:rPr>
        <w:t>详见响应文件格式要求</w:t>
      </w:r>
    </w:p>
    <w:p w14:paraId="32FA1BF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3.2 磋商报价</w:t>
      </w:r>
      <w:bookmarkEnd w:id="286"/>
      <w:bookmarkEnd w:id="287"/>
      <w:bookmarkEnd w:id="288"/>
      <w:bookmarkEnd w:id="289"/>
      <w:bookmarkEnd w:id="290"/>
      <w:bookmarkEnd w:id="291"/>
      <w:bookmarkEnd w:id="292"/>
    </w:p>
    <w:p w14:paraId="123A5EAE">
      <w:pPr>
        <w:tabs>
          <w:tab w:val="left" w:pos="0"/>
          <w:tab w:val="left" w:pos="1050"/>
        </w:tabs>
        <w:spacing w:line="440" w:lineRule="exact"/>
        <w:ind w:firstLine="365" w:firstLineChars="174"/>
        <w:rPr>
          <w:rFonts w:hint="eastAsia" w:ascii="宋体" w:hAnsi="宋体" w:cs="宋体"/>
          <w:color w:val="auto"/>
          <w:szCs w:val="21"/>
          <w:highlight w:val="none"/>
        </w:rPr>
      </w:pPr>
      <w:bookmarkStart w:id="293" w:name="_Toc12402"/>
      <w:bookmarkStart w:id="294" w:name="_Toc2425"/>
      <w:bookmarkStart w:id="295" w:name="_Toc455080126"/>
      <w:bookmarkStart w:id="296" w:name="_Toc21680"/>
      <w:bookmarkStart w:id="297" w:name="_Toc11968"/>
      <w:bookmarkStart w:id="298" w:name="_Toc490667846"/>
      <w:bookmarkStart w:id="299" w:name="_Toc7910"/>
      <w:bookmarkStart w:id="300" w:name="_Toc25387"/>
      <w:bookmarkStart w:id="301" w:name="_Toc152042325"/>
      <w:bookmarkStart w:id="302" w:name="_Toc144974517"/>
      <w:bookmarkStart w:id="303" w:name="_Toc455867786"/>
      <w:bookmarkStart w:id="304" w:name="_Toc318450693"/>
      <w:bookmarkStart w:id="305" w:name="_Toc3624"/>
      <w:bookmarkStart w:id="306" w:name="_Toc152045549"/>
      <w:bookmarkStart w:id="307" w:name="_Toc29133"/>
      <w:bookmarkStart w:id="308" w:name="_Toc7105"/>
      <w:bookmarkStart w:id="309" w:name="_Toc466298109"/>
      <w:bookmarkStart w:id="310" w:name="_Toc6105"/>
      <w:bookmarkStart w:id="311" w:name="_Toc21600"/>
      <w:r>
        <w:rPr>
          <w:rFonts w:hint="eastAsia" w:ascii="宋体" w:hAnsi="宋体" w:cs="宋体"/>
          <w:color w:val="auto"/>
          <w:szCs w:val="21"/>
          <w:highlight w:val="none"/>
        </w:rPr>
        <w:t>3.2.1本项目的磋商报价应按照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、补充通知、答疑纪要、现场情况、承包范围，并充分考虑</w:t>
      </w:r>
      <w:r>
        <w:rPr>
          <w:rFonts w:hint="eastAsia" w:ascii="宋体" w:hAnsi="宋体" w:cs="宋体"/>
          <w:color w:val="auto"/>
          <w:szCs w:val="21"/>
          <w:highlight w:val="none"/>
          <w:lang w:eastAsia="zh-CN"/>
        </w:rPr>
        <w:t>供货</w:t>
      </w:r>
      <w:r>
        <w:rPr>
          <w:rFonts w:hint="eastAsia" w:ascii="宋体" w:hAnsi="宋体" w:cs="宋体"/>
          <w:color w:val="auto"/>
          <w:szCs w:val="21"/>
          <w:highlight w:val="none"/>
        </w:rPr>
        <w:t>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的报价格式填报，第二次报价在磋商中填报，第二次报价（不得高于</w:t>
      </w:r>
      <w:r>
        <w:rPr>
          <w:rFonts w:hint="eastAsia" w:ascii="宋体" w:hAnsi="宋体" w:cs="宋体"/>
          <w:color w:val="auto"/>
          <w:szCs w:val="21"/>
          <w:highlight w:val="none"/>
          <w:lang w:eastAsia="zh-CN"/>
        </w:rPr>
        <w:t>第</w:t>
      </w:r>
      <w:r>
        <w:rPr>
          <w:rFonts w:hint="eastAsia" w:ascii="宋体" w:hAnsi="宋体" w:cs="宋体"/>
          <w:color w:val="auto"/>
          <w:szCs w:val="21"/>
          <w:highlight w:val="none"/>
        </w:rPr>
        <w:t>一次报价）即为最终报价</w:t>
      </w:r>
      <w:bookmarkEnd w:id="293"/>
      <w:r>
        <w:rPr>
          <w:rFonts w:hint="eastAsia" w:ascii="宋体" w:hAnsi="宋体" w:cs="宋体"/>
          <w:color w:val="auto"/>
          <w:szCs w:val="21"/>
          <w:highlight w:val="none"/>
        </w:rPr>
        <w:t>。</w:t>
      </w:r>
    </w:p>
    <w:p w14:paraId="6DC6B80F">
      <w:pPr>
        <w:tabs>
          <w:tab w:val="left" w:pos="0"/>
          <w:tab w:val="left" w:pos="1050"/>
        </w:tabs>
        <w:spacing w:line="440" w:lineRule="exact"/>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3.2.2供应商应充分了解该项目的总体情况以及影响磋商报价的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要素，考虑</w:t>
      </w:r>
      <w:r>
        <w:rPr>
          <w:rFonts w:hint="eastAsia" w:ascii="宋体" w:hAnsi="宋体" w:cs="宋体"/>
          <w:color w:val="auto"/>
          <w:szCs w:val="21"/>
          <w:highlight w:val="none"/>
          <w:lang w:eastAsia="zh-CN"/>
        </w:rPr>
        <w:t>供货期间</w:t>
      </w:r>
      <w:r>
        <w:rPr>
          <w:rFonts w:hint="eastAsia" w:ascii="宋体" w:hAnsi="宋体" w:cs="宋体"/>
          <w:color w:val="auto"/>
          <w:szCs w:val="21"/>
          <w:highlight w:val="none"/>
        </w:rPr>
        <w:t>的价格风险因素，成交价在合同实施期内不得调整，同时也不因市场价格变动而调整。</w:t>
      </w:r>
    </w:p>
    <w:p w14:paraId="7FF943D0">
      <w:pPr>
        <w:tabs>
          <w:tab w:val="left" w:pos="0"/>
          <w:tab w:val="left" w:pos="1050"/>
        </w:tabs>
        <w:spacing w:line="440" w:lineRule="exact"/>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3.2.3 响应报价表中的大写金额和小写金额不一致的，以大写金额为准。</w:t>
      </w:r>
    </w:p>
    <w:p w14:paraId="044ABFBE">
      <w:pPr>
        <w:tabs>
          <w:tab w:val="left" w:pos="0"/>
          <w:tab w:val="left" w:pos="1050"/>
        </w:tabs>
        <w:spacing w:line="440" w:lineRule="exact"/>
        <w:ind w:firstLine="365" w:firstLineChars="174"/>
        <w:rPr>
          <w:rFonts w:hint="eastAsia" w:ascii="宋体" w:hAnsi="宋体" w:cs="宋体"/>
          <w:b/>
          <w:bCs/>
          <w:color w:val="auto"/>
          <w:szCs w:val="21"/>
          <w:highlight w:val="none"/>
        </w:rPr>
      </w:pPr>
      <w:r>
        <w:rPr>
          <w:rFonts w:hint="eastAsia" w:ascii="宋体" w:hAnsi="宋体" w:cs="宋体"/>
          <w:b w:val="0"/>
          <w:bCs w:val="0"/>
          <w:color w:val="auto"/>
          <w:szCs w:val="21"/>
          <w:highlight w:val="none"/>
        </w:rPr>
        <w:t>3.2.4供应商的报价明显低于其他通过符合性审查供应商的报价，有可能影响</w:t>
      </w:r>
      <w:r>
        <w:rPr>
          <w:rFonts w:hint="eastAsia" w:ascii="宋体" w:hAnsi="宋体" w:cs="宋体"/>
          <w:b w:val="0"/>
          <w:bCs w:val="0"/>
          <w:color w:val="auto"/>
          <w:szCs w:val="21"/>
          <w:highlight w:val="none"/>
          <w:lang w:eastAsia="zh-CN"/>
        </w:rPr>
        <w:t>产品</w:t>
      </w:r>
      <w:r>
        <w:rPr>
          <w:rFonts w:hint="eastAsia" w:ascii="宋体" w:hAnsi="宋体" w:cs="宋体"/>
          <w:b w:val="0"/>
          <w:bCs w:val="0"/>
          <w:color w:val="auto"/>
          <w:szCs w:val="21"/>
          <w:highlight w:val="none"/>
        </w:rPr>
        <w:t>质量或者不能诚信履约的，磋商委员会应当要求其在磋商现场</w:t>
      </w:r>
      <w:r>
        <w:rPr>
          <w:rFonts w:hint="eastAsia" w:ascii="宋体" w:hAnsi="宋体" w:cs="宋体"/>
          <w:b w:val="0"/>
          <w:bCs w:val="0"/>
          <w:color w:val="auto"/>
          <w:kern w:val="0"/>
          <w:szCs w:val="21"/>
          <w:highlight w:val="none"/>
          <w:lang w:eastAsia="zh-CN"/>
        </w:rPr>
        <w:t>（或电子交易系统）</w:t>
      </w:r>
      <w:r>
        <w:rPr>
          <w:rFonts w:hint="eastAsia" w:ascii="宋体" w:hAnsi="宋体" w:cs="宋体"/>
          <w:b w:val="0"/>
          <w:bCs w:val="0"/>
          <w:color w:val="auto"/>
          <w:szCs w:val="21"/>
          <w:highlight w:val="none"/>
        </w:rPr>
        <w:t>合理的时间内提供书面说明</w:t>
      </w:r>
      <w:r>
        <w:rPr>
          <w:rFonts w:hint="eastAsia" w:ascii="宋体" w:hAnsi="宋体" w:cs="宋体"/>
          <w:b w:val="0"/>
          <w:bCs w:val="0"/>
          <w:color w:val="auto"/>
          <w:kern w:val="0"/>
          <w:szCs w:val="21"/>
          <w:highlight w:val="none"/>
          <w:lang w:eastAsia="zh-CN"/>
        </w:rPr>
        <w:t>（或电子澄清说明文件）</w:t>
      </w:r>
      <w:r>
        <w:rPr>
          <w:rFonts w:hint="eastAsia" w:ascii="宋体" w:hAnsi="宋体" w:cs="宋体"/>
          <w:b w:val="0"/>
          <w:bCs w:val="0"/>
          <w:color w:val="auto"/>
          <w:szCs w:val="21"/>
          <w:highlight w:val="none"/>
        </w:rPr>
        <w:t xml:space="preserve">，必要时提交相关证明材料；供应商不能证明其报价合理性的，磋商委员会应当将其作为无效投标处理。 </w:t>
      </w:r>
      <w:r>
        <w:rPr>
          <w:rFonts w:hint="eastAsia" w:ascii="宋体" w:hAnsi="宋体" w:cs="宋体"/>
          <w:b/>
          <w:bCs/>
          <w:color w:val="auto"/>
          <w:szCs w:val="21"/>
          <w:highlight w:val="none"/>
        </w:rPr>
        <w:t xml:space="preserve"> </w:t>
      </w:r>
    </w:p>
    <w:p w14:paraId="7F3A4CAA">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p>
    <w:p w14:paraId="3FA14438">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小型微型企业认定及评标价格评审（非专门面向中小企业适用）</w:t>
      </w:r>
    </w:p>
    <w:tbl>
      <w:tblPr>
        <w:tblStyle w:val="2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BB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22B44319">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14:paraId="220AC823">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14:paraId="4AEE023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14:paraId="307E0DC5">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14:paraId="2DC490D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14:paraId="1BBE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5CD8A0D">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14:paraId="790AC250">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14:paraId="1229AAB7">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14:paraId="10D87134">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c>
          <w:tcPr>
            <w:tcW w:w="2094" w:type="dxa"/>
            <w:noWrap w:val="0"/>
            <w:vAlign w:val="center"/>
          </w:tcPr>
          <w:p w14:paraId="6BE937BD">
            <w:pPr>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r>
    </w:tbl>
    <w:p w14:paraId="0E9F3318">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13]14号）文件规定，对小型和微型企业产品的价格给予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%的扣除，用扣除后的价格参与评审。</w:t>
      </w:r>
    </w:p>
    <w:p w14:paraId="0552DEBF">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7E82DB7B">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享受预留份额、评审中价格扣除等促进中小企业发展的政府采购政策。残疾人福利性单位属于小型、微型企业的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不重复享受政策。符合条件的残疾人福利性单位在参加政府采购活动时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应当提供《残疾人福利性单位声明函》(见</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w:t>
      </w:r>
    </w:p>
    <w:p w14:paraId="665450E1">
      <w:pPr>
        <w:pageBreakBefore w:val="0"/>
        <w:kinsoku/>
        <w:wordWrap/>
        <w:overflowPunct/>
        <w:topLinePunct w:val="0"/>
        <w:bidi w:val="0"/>
        <w:snapToGrid/>
        <w:spacing w:line="400" w:lineRule="exact"/>
        <w:ind w:left="0" w:leftChars="0"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注：投标价格为含税价，应包含</w:t>
      </w:r>
      <w:r>
        <w:rPr>
          <w:rFonts w:hint="eastAsia" w:ascii="宋体" w:hAnsi="宋体" w:eastAsia="宋体" w:cs="宋体"/>
          <w:b/>
          <w:bCs/>
          <w:color w:val="auto"/>
          <w:sz w:val="21"/>
          <w:szCs w:val="21"/>
          <w:highlight w:val="none"/>
          <w:lang w:eastAsia="zh-CN"/>
        </w:rPr>
        <w:t>货物</w:t>
      </w:r>
      <w:r>
        <w:rPr>
          <w:rFonts w:hint="eastAsia" w:ascii="宋体" w:hAnsi="宋体" w:eastAsia="宋体" w:cs="宋体"/>
          <w:b/>
          <w:bCs/>
          <w:color w:val="auto"/>
          <w:sz w:val="21"/>
          <w:szCs w:val="21"/>
          <w:highlight w:val="none"/>
        </w:rPr>
        <w:t>配送到</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指定地点落地交货前的一切费用及后期培训费用等。</w:t>
      </w:r>
    </w:p>
    <w:p w14:paraId="37F96A38">
      <w:pPr>
        <w:pStyle w:val="50"/>
        <w:spacing w:line="360" w:lineRule="auto"/>
        <w:outlineLvl w:val="0"/>
        <w:rPr>
          <w:rFonts w:hint="eastAsia" w:ascii="宋体" w:hAnsi="宋体" w:eastAsia="宋体"/>
          <w:b/>
          <w:bCs/>
          <w:color w:val="auto"/>
          <w:sz w:val="21"/>
          <w:szCs w:val="21"/>
          <w:highlight w:val="none"/>
        </w:rPr>
      </w:pPr>
      <w:bookmarkStart w:id="312" w:name="_Toc8053"/>
      <w:r>
        <w:rPr>
          <w:rFonts w:hint="eastAsia" w:ascii="宋体" w:hAnsi="宋体" w:eastAsia="宋体"/>
          <w:b/>
          <w:bCs/>
          <w:color w:val="auto"/>
          <w:sz w:val="21"/>
          <w:szCs w:val="21"/>
          <w:highlight w:val="none"/>
        </w:rPr>
        <w:t>3.3 磋商有效期</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B57B7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在供应商须知前附表规定的磋商有效期内，供应商不得要求撤销或修改其响应文件。</w:t>
      </w:r>
    </w:p>
    <w:p w14:paraId="381675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5BEA3C2C">
      <w:pPr>
        <w:pStyle w:val="50"/>
        <w:spacing w:line="360" w:lineRule="auto"/>
        <w:outlineLvl w:val="0"/>
        <w:rPr>
          <w:rFonts w:hint="eastAsia" w:ascii="宋体" w:hAnsi="宋体" w:eastAsia="宋体"/>
          <w:b/>
          <w:bCs/>
          <w:color w:val="auto"/>
          <w:sz w:val="21"/>
          <w:szCs w:val="21"/>
          <w:highlight w:val="none"/>
          <w:lang w:eastAsia="zh-CN"/>
        </w:rPr>
      </w:pPr>
      <w:bookmarkStart w:id="313" w:name="_Toc7973"/>
      <w:bookmarkStart w:id="314" w:name="_Toc22634"/>
      <w:bookmarkStart w:id="315" w:name="_Toc144974518"/>
      <w:bookmarkStart w:id="316" w:name="_Toc30697"/>
      <w:bookmarkStart w:id="317" w:name="_Toc455080127"/>
      <w:bookmarkStart w:id="318" w:name="_Toc152042326"/>
      <w:bookmarkStart w:id="319" w:name="_Toc4165"/>
      <w:bookmarkStart w:id="320" w:name="_Toc318450694"/>
      <w:bookmarkStart w:id="321" w:name="_Toc7618"/>
      <w:bookmarkStart w:id="322" w:name="_Toc8406"/>
      <w:bookmarkStart w:id="323" w:name="_Toc2505"/>
      <w:bookmarkStart w:id="324" w:name="_Toc7057"/>
      <w:bookmarkStart w:id="325" w:name="_Toc466298110"/>
      <w:bookmarkStart w:id="326" w:name="_Toc490667847"/>
      <w:bookmarkStart w:id="327" w:name="_Toc10370"/>
      <w:bookmarkStart w:id="328" w:name="_Toc152045550"/>
      <w:bookmarkStart w:id="329" w:name="_Toc455867787"/>
      <w:bookmarkStart w:id="330" w:name="_Toc19960"/>
      <w:bookmarkStart w:id="331" w:name="_Toc13921"/>
      <w:r>
        <w:rPr>
          <w:rFonts w:hint="eastAsia" w:ascii="宋体" w:hAnsi="宋体" w:eastAsia="宋体"/>
          <w:b/>
          <w:bCs/>
          <w:color w:val="auto"/>
          <w:sz w:val="21"/>
          <w:szCs w:val="21"/>
          <w:highlight w:val="none"/>
        </w:rPr>
        <w:t>3.4 磋商保证金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2" w:name="_Toc152042328"/>
      <w:bookmarkStart w:id="333" w:name="_Toc152045552"/>
      <w:bookmarkStart w:id="334" w:name="_Toc144974520"/>
      <w:bookmarkStart w:id="335" w:name="_Toc318450695"/>
      <w:r>
        <w:rPr>
          <w:rFonts w:hint="eastAsia" w:ascii="宋体" w:hAnsi="宋体" w:eastAsia="宋体"/>
          <w:b/>
          <w:bCs/>
          <w:color w:val="auto"/>
          <w:sz w:val="21"/>
          <w:szCs w:val="21"/>
          <w:highlight w:val="none"/>
          <w:lang w:eastAsia="zh-CN"/>
        </w:rPr>
        <w:t>：无。</w:t>
      </w:r>
      <w:bookmarkEnd w:id="330"/>
      <w:bookmarkEnd w:id="331"/>
    </w:p>
    <w:p w14:paraId="659B3635">
      <w:pPr>
        <w:pStyle w:val="50"/>
        <w:spacing w:line="360" w:lineRule="auto"/>
        <w:outlineLvl w:val="0"/>
        <w:rPr>
          <w:rFonts w:hint="eastAsia" w:ascii="宋体" w:hAnsi="宋体" w:eastAsia="宋体"/>
          <w:b/>
          <w:bCs/>
          <w:color w:val="auto"/>
          <w:sz w:val="21"/>
          <w:szCs w:val="21"/>
          <w:highlight w:val="none"/>
        </w:rPr>
      </w:pPr>
      <w:bookmarkStart w:id="336" w:name="_Toc466298111"/>
      <w:bookmarkStart w:id="337" w:name="_Toc490667848"/>
      <w:bookmarkStart w:id="338" w:name="_Toc455867788"/>
      <w:bookmarkStart w:id="339" w:name="_Toc15547"/>
      <w:bookmarkStart w:id="340" w:name="_Toc13680"/>
      <w:bookmarkStart w:id="341" w:name="_Toc27579"/>
      <w:bookmarkStart w:id="342" w:name="_Toc22527"/>
      <w:bookmarkStart w:id="343" w:name="_Toc22384"/>
      <w:bookmarkStart w:id="344" w:name="_Toc2794"/>
      <w:bookmarkStart w:id="345" w:name="_Toc11077"/>
      <w:bookmarkStart w:id="346" w:name="_Toc455080128"/>
      <w:bookmarkStart w:id="347" w:name="_Toc10038"/>
      <w:bookmarkStart w:id="348" w:name="_Toc17153"/>
      <w:bookmarkStart w:id="349" w:name="_Toc20328"/>
      <w:bookmarkStart w:id="350" w:name="_Toc16747"/>
      <w:r>
        <w:rPr>
          <w:rFonts w:hint="eastAsia" w:ascii="宋体" w:hAnsi="宋体" w:eastAsia="宋体"/>
          <w:b/>
          <w:bCs/>
          <w:color w:val="auto"/>
          <w:sz w:val="21"/>
          <w:szCs w:val="21"/>
          <w:highlight w:val="none"/>
        </w:rPr>
        <w:t>3.5资格审查资料</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A5272A8">
      <w:pPr>
        <w:pStyle w:val="50"/>
        <w:spacing w:line="360" w:lineRule="auto"/>
        <w:ind w:firstLine="315" w:firstLineChars="150"/>
        <w:outlineLvl w:val="0"/>
        <w:rPr>
          <w:rFonts w:hint="eastAsia" w:ascii="宋体" w:hAnsi="宋体" w:eastAsia="宋体"/>
          <w:color w:val="auto"/>
          <w:kern w:val="2"/>
          <w:sz w:val="21"/>
          <w:szCs w:val="21"/>
          <w:highlight w:val="none"/>
          <w:lang w:val="en-US" w:eastAsia="zh-CN"/>
        </w:rPr>
      </w:pPr>
      <w:bookmarkStart w:id="351" w:name="_Toc31446"/>
      <w:bookmarkStart w:id="352" w:name="_Toc4586"/>
      <w:bookmarkStart w:id="353" w:name="_Toc152042329"/>
      <w:bookmarkStart w:id="354" w:name="_Toc19724"/>
      <w:bookmarkStart w:id="355" w:name="_Toc18915"/>
      <w:bookmarkStart w:id="356" w:name="_Toc26258"/>
      <w:bookmarkStart w:id="357" w:name="_Toc9015"/>
      <w:bookmarkStart w:id="358" w:name="_Toc152045553"/>
      <w:bookmarkStart w:id="359" w:name="_Toc30442"/>
      <w:bookmarkStart w:id="360" w:name="_Toc144974521"/>
      <w:bookmarkStart w:id="361" w:name="_Toc11694"/>
      <w:bookmarkStart w:id="362" w:name="_Toc3286"/>
      <w:bookmarkStart w:id="363" w:name="_Toc455080129"/>
      <w:bookmarkStart w:id="364" w:name="_Toc455867789"/>
      <w:bookmarkStart w:id="365" w:name="_Toc318450696"/>
      <w:bookmarkStart w:id="366" w:name="_Toc1228"/>
      <w:bookmarkStart w:id="367" w:name="_Toc490667849"/>
      <w:bookmarkStart w:id="368" w:name="_Toc466298112"/>
      <w:bookmarkStart w:id="369" w:name="_Toc5132"/>
      <w:r>
        <w:rPr>
          <w:rFonts w:hint="eastAsia" w:ascii="宋体" w:hAnsi="宋体" w:eastAsia="宋体"/>
          <w:color w:val="auto"/>
          <w:kern w:val="2"/>
          <w:sz w:val="21"/>
          <w:szCs w:val="21"/>
          <w:highlight w:val="none"/>
          <w:lang w:val="en-US" w:eastAsia="zh-CN"/>
        </w:rPr>
        <w:t>按照第二章供应商须知表“供应商须知前附表”1.5.1要求，提供其他相关材料。</w:t>
      </w:r>
      <w:bookmarkEnd w:id="351"/>
      <w:bookmarkEnd w:id="352"/>
    </w:p>
    <w:p w14:paraId="7B04CAC7">
      <w:pPr>
        <w:pStyle w:val="50"/>
        <w:spacing w:line="360" w:lineRule="auto"/>
        <w:outlineLvl w:val="0"/>
        <w:rPr>
          <w:rFonts w:hint="eastAsia" w:ascii="宋体" w:hAnsi="宋体" w:eastAsia="宋体"/>
          <w:b/>
          <w:bCs/>
          <w:color w:val="auto"/>
          <w:sz w:val="21"/>
          <w:szCs w:val="21"/>
          <w:highlight w:val="none"/>
        </w:rPr>
      </w:pPr>
      <w:bookmarkStart w:id="370" w:name="_Toc24859"/>
      <w:bookmarkStart w:id="371" w:name="_Toc30939"/>
      <w:r>
        <w:rPr>
          <w:rFonts w:hint="eastAsia" w:ascii="宋体" w:hAnsi="宋体" w:eastAsia="宋体"/>
          <w:b/>
          <w:bCs/>
          <w:color w:val="auto"/>
          <w:sz w:val="21"/>
          <w:szCs w:val="21"/>
          <w:highlight w:val="none"/>
        </w:rPr>
        <w:t>3.6 备选方案</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EEABB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除供应商须知前附表另有规定外，供应商不得递交备选磋商方案。</w:t>
      </w:r>
    </w:p>
    <w:p w14:paraId="690A77DE">
      <w:pPr>
        <w:pStyle w:val="50"/>
        <w:spacing w:line="360" w:lineRule="auto"/>
        <w:outlineLvl w:val="0"/>
        <w:rPr>
          <w:rFonts w:hint="eastAsia" w:ascii="宋体" w:hAnsi="宋体" w:eastAsia="宋体"/>
          <w:b/>
          <w:bCs/>
          <w:color w:val="auto"/>
          <w:sz w:val="21"/>
          <w:szCs w:val="21"/>
          <w:highlight w:val="none"/>
        </w:rPr>
      </w:pPr>
      <w:bookmarkStart w:id="372" w:name="_Toc28656"/>
      <w:bookmarkStart w:id="373" w:name="_Toc466298113"/>
      <w:bookmarkStart w:id="374" w:name="_Toc3917"/>
      <w:bookmarkStart w:id="375" w:name="_Toc6323"/>
      <w:bookmarkStart w:id="376" w:name="_Toc144974522"/>
      <w:bookmarkStart w:id="377" w:name="_Toc7626"/>
      <w:bookmarkStart w:id="378" w:name="_Toc17697"/>
      <w:bookmarkStart w:id="379" w:name="_Toc5516"/>
      <w:bookmarkStart w:id="380" w:name="_Toc455867790"/>
      <w:bookmarkStart w:id="381" w:name="_Toc152042330"/>
      <w:bookmarkStart w:id="382" w:name="_Toc455080130"/>
      <w:bookmarkStart w:id="383" w:name="_Toc7966"/>
      <w:bookmarkStart w:id="384" w:name="_Toc25620"/>
      <w:bookmarkStart w:id="385" w:name="_Toc12275"/>
      <w:bookmarkStart w:id="386" w:name="_Toc318450697"/>
      <w:bookmarkStart w:id="387" w:name="_Toc18912"/>
      <w:bookmarkStart w:id="388" w:name="_Toc152045554"/>
      <w:bookmarkStart w:id="389" w:name="_Toc490667850"/>
      <w:bookmarkStart w:id="390" w:name="_Toc12541"/>
      <w:r>
        <w:rPr>
          <w:rFonts w:hint="eastAsia" w:ascii="宋体" w:hAnsi="宋体" w:eastAsia="宋体"/>
          <w:b/>
          <w:bCs/>
          <w:color w:val="auto"/>
          <w:sz w:val="21"/>
          <w:szCs w:val="21"/>
          <w:highlight w:val="none"/>
        </w:rPr>
        <w:t>3.7 响应文件的编制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506B0E7">
      <w:pPr>
        <w:spacing w:line="360" w:lineRule="auto"/>
        <w:ind w:firstLine="420" w:firstLineChars="200"/>
        <w:rPr>
          <w:rFonts w:hint="eastAsia" w:ascii="宋体" w:hAnsi="宋体" w:cs="宋体"/>
          <w:color w:val="auto"/>
          <w:szCs w:val="21"/>
          <w:highlight w:val="none"/>
        </w:rPr>
      </w:pPr>
      <w:bookmarkStart w:id="391" w:name="_Toc455080131"/>
      <w:bookmarkStart w:id="392" w:name="_Toc152042331"/>
      <w:bookmarkStart w:id="393" w:name="_Toc152045555"/>
      <w:bookmarkStart w:id="394" w:name="_Toc144974523"/>
      <w:r>
        <w:rPr>
          <w:rFonts w:hint="eastAsia" w:ascii="宋体" w:hAnsi="宋体" w:cs="宋体"/>
          <w:color w:val="auto"/>
          <w:szCs w:val="21"/>
          <w:highlight w:val="none"/>
        </w:rPr>
        <w:t>3.7.1响应文件应按</w:t>
      </w:r>
      <w:r>
        <w:rPr>
          <w:rFonts w:hint="eastAsia" w:ascii="宋体" w:hAnsi="宋体" w:cs="宋体"/>
          <w:color w:val="auto"/>
          <w:szCs w:val="21"/>
          <w:highlight w:val="none"/>
          <w:lang w:eastAsia="zh-CN"/>
        </w:rPr>
        <w:t>第六章</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”进行编写，如有必要，可以增加附页，作为响应文件的组成部分。其中，</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附录在满足</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实质性要求的基础上，可以提出比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要求更有利于采购人的承诺。</w:t>
      </w:r>
    </w:p>
    <w:p w14:paraId="4E77B2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响应文件应当对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有关</w:t>
      </w:r>
      <w:r>
        <w:rPr>
          <w:rFonts w:hint="eastAsia" w:ascii="宋体" w:hAnsi="宋体" w:cs="宋体"/>
          <w:color w:val="auto"/>
          <w:szCs w:val="21"/>
          <w:highlight w:val="none"/>
          <w:lang w:eastAsia="zh-CN"/>
        </w:rPr>
        <w:t>工期</w:t>
      </w:r>
      <w:r>
        <w:rPr>
          <w:rFonts w:hint="eastAsia" w:ascii="宋体" w:hAnsi="宋体" w:cs="宋体"/>
          <w:color w:val="auto"/>
          <w:szCs w:val="21"/>
          <w:highlight w:val="none"/>
        </w:rPr>
        <w:t>、磋商有效期、</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作出响应。</w:t>
      </w:r>
    </w:p>
    <w:p w14:paraId="4EB7C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3.7.3响应文件应使用信阳市公共资源交易系统投标文件制作专用工具软件编制，</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为“*.XYTF”。电子响应文件签字或盖章的具体要求见供应商须知前附表。）供应商须在</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递交截止时间前制作并提交。</w:t>
      </w:r>
    </w:p>
    <w:p w14:paraId="0F701E62">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3.7.4 响应文件份数见供应商须知前附表。</w:t>
      </w:r>
    </w:p>
    <w:p w14:paraId="778AFDF5">
      <w:pPr>
        <w:pStyle w:val="48"/>
        <w:spacing w:before="0" w:beforeLines="0" w:line="360" w:lineRule="auto"/>
        <w:rPr>
          <w:rFonts w:hint="eastAsia" w:ascii="宋体" w:hAnsi="宋体" w:eastAsia="宋体"/>
          <w:b/>
          <w:bCs/>
          <w:color w:val="auto"/>
          <w:sz w:val="21"/>
          <w:szCs w:val="21"/>
          <w:highlight w:val="none"/>
        </w:rPr>
      </w:pPr>
      <w:bookmarkStart w:id="395" w:name="_Toc19433"/>
      <w:r>
        <w:rPr>
          <w:rFonts w:hint="eastAsia" w:ascii="宋体" w:hAnsi="宋体" w:eastAsia="宋体"/>
          <w:b/>
          <w:bCs/>
          <w:color w:val="auto"/>
          <w:sz w:val="21"/>
          <w:szCs w:val="21"/>
          <w:highlight w:val="none"/>
        </w:rPr>
        <w:t xml:space="preserve">4. </w:t>
      </w:r>
      <w:bookmarkEnd w:id="391"/>
      <w:bookmarkEnd w:id="392"/>
      <w:bookmarkEnd w:id="393"/>
      <w:bookmarkEnd w:id="394"/>
      <w:r>
        <w:rPr>
          <w:rFonts w:hint="eastAsia" w:ascii="宋体" w:hAnsi="宋体" w:eastAsia="宋体"/>
          <w:b/>
          <w:bCs/>
          <w:color w:val="auto"/>
          <w:sz w:val="21"/>
          <w:szCs w:val="21"/>
          <w:highlight w:val="none"/>
        </w:rPr>
        <w:t>磋商</w:t>
      </w:r>
      <w:bookmarkEnd w:id="395"/>
    </w:p>
    <w:p w14:paraId="08CAC660">
      <w:pPr>
        <w:pStyle w:val="50"/>
        <w:spacing w:line="360" w:lineRule="auto"/>
        <w:outlineLvl w:val="0"/>
        <w:rPr>
          <w:rFonts w:hint="eastAsia" w:ascii="宋体" w:hAnsi="宋体" w:eastAsia="宋体"/>
          <w:b/>
          <w:bCs/>
          <w:color w:val="auto"/>
          <w:sz w:val="21"/>
          <w:szCs w:val="21"/>
          <w:highlight w:val="none"/>
          <w:lang w:eastAsia="zh-CN"/>
        </w:rPr>
      </w:pPr>
      <w:bookmarkStart w:id="396" w:name="_Toc490667852"/>
      <w:bookmarkStart w:id="397" w:name="_Toc144974524"/>
      <w:bookmarkStart w:id="398" w:name="_Toc11243"/>
      <w:bookmarkStart w:id="399" w:name="_Toc455867792"/>
      <w:bookmarkStart w:id="400" w:name="_Toc26583"/>
      <w:bookmarkStart w:id="401" w:name="_Toc466298115"/>
      <w:bookmarkStart w:id="402" w:name="_Toc318450699"/>
      <w:bookmarkStart w:id="403" w:name="_Toc31492"/>
      <w:bookmarkStart w:id="404" w:name="_Toc152042332"/>
      <w:bookmarkStart w:id="405" w:name="_Toc152045556"/>
      <w:bookmarkStart w:id="406" w:name="_Toc16962"/>
      <w:bookmarkStart w:id="407" w:name="_Toc455080132"/>
      <w:bookmarkStart w:id="408" w:name="_Toc18820"/>
      <w:bookmarkStart w:id="409" w:name="_Toc22961"/>
      <w:bookmarkStart w:id="410" w:name="_Toc16783"/>
      <w:bookmarkStart w:id="411" w:name="_Toc26550"/>
      <w:bookmarkStart w:id="412" w:name="_Toc16344"/>
      <w:bookmarkStart w:id="413" w:name="_Toc26853"/>
      <w:bookmarkStart w:id="414" w:name="_Toc21145"/>
      <w:r>
        <w:rPr>
          <w:rFonts w:hint="eastAsia" w:ascii="宋体" w:hAnsi="宋体" w:eastAsia="宋体"/>
          <w:b/>
          <w:bCs/>
          <w:color w:val="auto"/>
          <w:sz w:val="21"/>
          <w:szCs w:val="21"/>
          <w:highlight w:val="none"/>
        </w:rPr>
        <w:t>4.1 响应文件的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宋体" w:hAnsi="宋体" w:eastAsia="宋体"/>
          <w:b/>
          <w:bCs/>
          <w:color w:val="auto"/>
          <w:sz w:val="21"/>
          <w:szCs w:val="21"/>
          <w:highlight w:val="none"/>
          <w:lang w:eastAsia="zh-CN"/>
        </w:rPr>
        <w:t>上传</w:t>
      </w:r>
      <w:bookmarkEnd w:id="413"/>
      <w:bookmarkEnd w:id="414"/>
    </w:p>
    <w:p w14:paraId="414AB0E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4.1.1网上上传的电子响应文件应使用供应商数字证书认证并加密</w:t>
      </w:r>
      <w:r>
        <w:rPr>
          <w:rFonts w:hint="eastAsia" w:ascii="宋体" w:hAnsi="宋体"/>
          <w:color w:val="auto"/>
          <w:szCs w:val="21"/>
          <w:highlight w:val="none"/>
        </w:rPr>
        <w:t>。</w:t>
      </w:r>
    </w:p>
    <w:p w14:paraId="7D14C70D">
      <w:pPr>
        <w:pStyle w:val="50"/>
        <w:spacing w:line="360" w:lineRule="auto"/>
        <w:outlineLvl w:val="0"/>
        <w:rPr>
          <w:rFonts w:hint="eastAsia" w:ascii="宋体" w:hAnsi="宋体" w:eastAsia="宋体"/>
          <w:b/>
          <w:bCs/>
          <w:color w:val="auto"/>
          <w:sz w:val="21"/>
          <w:szCs w:val="21"/>
          <w:highlight w:val="none"/>
        </w:rPr>
      </w:pPr>
      <w:bookmarkStart w:id="415" w:name="_Toc490667853"/>
      <w:bookmarkStart w:id="416" w:name="_Toc7663"/>
      <w:bookmarkStart w:id="417" w:name="_Toc27132"/>
      <w:bookmarkStart w:id="418" w:name="_Toc16832"/>
      <w:bookmarkStart w:id="419" w:name="_Toc318450700"/>
      <w:bookmarkStart w:id="420" w:name="_Toc21072"/>
      <w:bookmarkStart w:id="421" w:name="_Toc23044"/>
      <w:bookmarkStart w:id="422" w:name="_Toc152045557"/>
      <w:bookmarkStart w:id="423" w:name="_Toc4767"/>
      <w:bookmarkStart w:id="424" w:name="_Toc466298116"/>
      <w:bookmarkStart w:id="425" w:name="_Toc28272"/>
      <w:bookmarkStart w:id="426" w:name="_Toc462"/>
      <w:bookmarkStart w:id="427" w:name="_Toc8754"/>
      <w:bookmarkStart w:id="428" w:name="_Toc144974525"/>
      <w:bookmarkStart w:id="429" w:name="_Toc21897"/>
      <w:bookmarkStart w:id="430" w:name="_Toc20259"/>
      <w:bookmarkStart w:id="431" w:name="_Toc152042333"/>
      <w:bookmarkStart w:id="432" w:name="_Toc455867793"/>
      <w:bookmarkStart w:id="433" w:name="_Toc455080133"/>
      <w:r>
        <w:rPr>
          <w:rFonts w:hint="eastAsia" w:ascii="宋体" w:hAnsi="宋体" w:eastAsia="宋体"/>
          <w:b/>
          <w:bCs/>
          <w:color w:val="auto"/>
          <w:sz w:val="21"/>
          <w:szCs w:val="21"/>
          <w:highlight w:val="none"/>
        </w:rPr>
        <w:t>4.2 响应文件的递交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AB4683D">
      <w:pPr>
        <w:spacing w:line="400" w:lineRule="exact"/>
        <w:ind w:firstLine="420" w:firstLineChars="200"/>
        <w:rPr>
          <w:rFonts w:hint="eastAsia" w:ascii="宋体" w:hAnsi="宋体" w:cs="宋体"/>
          <w:color w:val="auto"/>
          <w:highlight w:val="none"/>
        </w:rPr>
      </w:pPr>
      <w:bookmarkStart w:id="434" w:name="_Toc20281"/>
      <w:bookmarkStart w:id="435" w:name="_Toc466298117"/>
      <w:bookmarkStart w:id="436" w:name="_Toc318450701"/>
      <w:bookmarkStart w:id="437" w:name="_Toc144974526"/>
      <w:bookmarkStart w:id="438" w:name="_Toc152045558"/>
      <w:bookmarkStart w:id="439" w:name="_Toc2952"/>
      <w:bookmarkStart w:id="440" w:name="_Toc19951"/>
      <w:bookmarkStart w:id="441" w:name="_Toc5102"/>
      <w:bookmarkStart w:id="442" w:name="_Toc21890"/>
      <w:bookmarkStart w:id="443" w:name="_Toc26684"/>
      <w:bookmarkStart w:id="444" w:name="_Toc455867794"/>
      <w:bookmarkStart w:id="445" w:name="_Toc152042334"/>
      <w:bookmarkStart w:id="446" w:name="_Toc17161"/>
      <w:bookmarkStart w:id="447" w:name="_Toc490667854"/>
      <w:bookmarkStart w:id="448" w:name="_Toc455080134"/>
      <w:bookmarkStart w:id="449" w:name="_Toc11817"/>
      <w:bookmarkStart w:id="450" w:name="_Toc30860"/>
      <w:r>
        <w:rPr>
          <w:rFonts w:hint="eastAsia" w:ascii="宋体" w:hAnsi="宋体" w:cs="宋体"/>
          <w:color w:val="auto"/>
          <w:highlight w:val="none"/>
        </w:rPr>
        <w:t>4.2.1电子响应文件的递交</w:t>
      </w:r>
    </w:p>
    <w:p w14:paraId="56DD9DC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各供应商应在</w:t>
      </w:r>
      <w:r>
        <w:rPr>
          <w:rFonts w:hint="eastAsia" w:ascii="宋体" w:hAnsi="宋体" w:cs="宋体"/>
          <w:color w:val="auto"/>
          <w:highlight w:val="none"/>
          <w:lang w:eastAsia="zh-CN"/>
        </w:rPr>
        <w:t>响应文件提交截止时间前</w:t>
      </w:r>
      <w:r>
        <w:rPr>
          <w:rFonts w:hint="eastAsia" w:ascii="宋体" w:hAnsi="宋体" w:cs="宋体"/>
          <w:color w:val="auto"/>
          <w:highlight w:val="none"/>
        </w:rPr>
        <w:t>上传加密的电子响应文件（*.XYTF）到会员系统的指定位置。上传的电子响应文件应使用</w:t>
      </w:r>
      <w:r>
        <w:rPr>
          <w:rFonts w:hint="eastAsia" w:ascii="宋体" w:hAnsi="宋体" w:cs="宋体"/>
          <w:color w:val="auto"/>
          <w:highlight w:val="none"/>
          <w:lang w:eastAsia="zh-CN"/>
        </w:rPr>
        <w:t>供应商</w:t>
      </w:r>
      <w:r>
        <w:rPr>
          <w:rFonts w:hint="eastAsia" w:ascii="宋体" w:hAnsi="宋体" w:cs="宋体"/>
          <w:color w:val="auto"/>
          <w:highlight w:val="none"/>
        </w:rPr>
        <w:t>CA数字证书认证并加密。上传时必须得到交易系统“上传成功”的确认回复后方为上传成功。请供应商在上传前务必认真检查上传响应文件是否完整、正确。</w:t>
      </w:r>
    </w:p>
    <w:p w14:paraId="456B4CCD">
      <w:pPr>
        <w:pStyle w:val="50"/>
        <w:spacing w:line="360" w:lineRule="auto"/>
        <w:outlineLvl w:val="0"/>
        <w:rPr>
          <w:rFonts w:hint="eastAsia" w:ascii="宋体" w:hAnsi="宋体" w:eastAsia="宋体"/>
          <w:b/>
          <w:bCs/>
          <w:color w:val="auto"/>
          <w:sz w:val="21"/>
          <w:szCs w:val="21"/>
          <w:highlight w:val="none"/>
        </w:rPr>
      </w:pPr>
      <w:bookmarkStart w:id="451" w:name="_Toc1790"/>
      <w:bookmarkStart w:id="452" w:name="_Toc20194"/>
      <w:r>
        <w:rPr>
          <w:rFonts w:hint="eastAsia" w:ascii="宋体" w:hAnsi="宋体" w:eastAsia="宋体"/>
          <w:b/>
          <w:bCs/>
          <w:color w:val="auto"/>
          <w:sz w:val="21"/>
          <w:szCs w:val="21"/>
          <w:highlight w:val="none"/>
        </w:rPr>
        <w:t>4.3 响应文件的修改与撤回</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874351F">
      <w:pPr>
        <w:spacing w:line="400" w:lineRule="exact"/>
        <w:ind w:firstLine="420" w:firstLineChars="200"/>
        <w:rPr>
          <w:rFonts w:hint="eastAsia" w:ascii="宋体" w:hAnsi="宋体" w:cs="宋体"/>
          <w:color w:val="auto"/>
          <w:szCs w:val="21"/>
          <w:highlight w:val="none"/>
        </w:rPr>
      </w:pPr>
      <w:bookmarkStart w:id="453" w:name="_Toc152042335"/>
      <w:bookmarkStart w:id="454" w:name="_Toc152045559"/>
      <w:bookmarkStart w:id="455" w:name="_Toc144974527"/>
      <w:bookmarkStart w:id="456" w:name="_Toc455080135"/>
      <w:r>
        <w:rPr>
          <w:rFonts w:hint="eastAsia" w:ascii="宋体" w:hAnsi="宋体" w:cs="宋体"/>
          <w:color w:val="auto"/>
          <w:szCs w:val="21"/>
          <w:highlight w:val="none"/>
        </w:rPr>
        <w:t>4.3.1 在第一章“</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”规定的</w:t>
      </w:r>
      <w:r>
        <w:rPr>
          <w:rFonts w:hint="eastAsia" w:ascii="宋体" w:hAnsi="宋体" w:cs="宋体"/>
          <w:color w:val="auto"/>
          <w:szCs w:val="21"/>
          <w:highlight w:val="none"/>
          <w:lang w:eastAsia="zh-CN"/>
        </w:rPr>
        <w:t>响应文件提交</w:t>
      </w:r>
      <w:r>
        <w:rPr>
          <w:rFonts w:hint="eastAsia" w:ascii="宋体" w:hAnsi="宋体" w:cs="宋体"/>
          <w:color w:val="auto"/>
          <w:szCs w:val="21"/>
          <w:highlight w:val="none"/>
        </w:rPr>
        <w:t>截止时间前，供应商可以多次修改或撤回已递交的响应文件，最终响应文件以</w:t>
      </w:r>
      <w:r>
        <w:rPr>
          <w:rFonts w:hint="eastAsia" w:ascii="宋体" w:hAnsi="宋体" w:cs="宋体"/>
          <w:color w:val="auto"/>
          <w:szCs w:val="21"/>
          <w:highlight w:val="none"/>
          <w:lang w:eastAsia="zh-CN"/>
        </w:rPr>
        <w:t>响应文件提交截止时间前</w:t>
      </w:r>
      <w:r>
        <w:rPr>
          <w:rFonts w:hint="eastAsia" w:ascii="宋体" w:hAnsi="宋体" w:cs="宋体"/>
          <w:color w:val="auto"/>
          <w:szCs w:val="21"/>
          <w:highlight w:val="none"/>
        </w:rPr>
        <w:t>完成上传至信阳市公共资源交易中心交易系统最后一份响应文件为准。</w:t>
      </w:r>
    </w:p>
    <w:p w14:paraId="3D88871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4.3.2修改的响应文件应按照本章第3.7条、第4.2条规定进行编制和递交。</w:t>
      </w:r>
    </w:p>
    <w:bookmarkEnd w:id="453"/>
    <w:bookmarkEnd w:id="454"/>
    <w:bookmarkEnd w:id="455"/>
    <w:p w14:paraId="7C061120">
      <w:pPr>
        <w:spacing w:line="400" w:lineRule="exact"/>
        <w:outlineLvl w:val="1"/>
        <w:rPr>
          <w:rFonts w:hint="eastAsia" w:ascii="宋体" w:hAnsi="宋体"/>
          <w:b/>
          <w:bCs/>
          <w:color w:val="auto"/>
          <w:szCs w:val="21"/>
          <w:highlight w:val="none"/>
        </w:rPr>
      </w:pPr>
      <w:bookmarkStart w:id="457" w:name="_Toc14969"/>
      <w:r>
        <w:rPr>
          <w:rFonts w:hint="eastAsia" w:ascii="宋体" w:hAnsi="宋体"/>
          <w:b/>
          <w:bCs/>
          <w:color w:val="auto"/>
          <w:szCs w:val="21"/>
          <w:highlight w:val="none"/>
        </w:rPr>
        <w:t>5.磋商开始</w:t>
      </w:r>
      <w:bookmarkEnd w:id="456"/>
      <w:bookmarkEnd w:id="457"/>
      <w:bookmarkStart w:id="458" w:name="_Toc20660"/>
      <w:bookmarkStart w:id="459" w:name="_Toc26426"/>
      <w:bookmarkStart w:id="460" w:name="_Toc14"/>
      <w:bookmarkStart w:id="461" w:name="_Toc455867796"/>
      <w:bookmarkStart w:id="462" w:name="_Toc9969"/>
      <w:bookmarkStart w:id="463" w:name="_Toc455080136"/>
      <w:bookmarkStart w:id="464" w:name="_Toc20333"/>
      <w:bookmarkStart w:id="465" w:name="_Toc152042336"/>
      <w:bookmarkStart w:id="466" w:name="_Toc144974528"/>
      <w:bookmarkStart w:id="467" w:name="_Toc16040"/>
      <w:bookmarkStart w:id="468" w:name="_Toc490667856"/>
      <w:bookmarkStart w:id="469" w:name="_Toc152045560"/>
      <w:bookmarkStart w:id="470" w:name="_Toc25809"/>
      <w:bookmarkStart w:id="471" w:name="_Toc6763"/>
      <w:bookmarkStart w:id="472" w:name="_Toc25533"/>
      <w:bookmarkStart w:id="473" w:name="_Toc466298119"/>
      <w:bookmarkStart w:id="474" w:name="_Toc318450703"/>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EB8404B">
      <w:pPr>
        <w:spacing w:line="440" w:lineRule="exact"/>
        <w:rPr>
          <w:rFonts w:hint="eastAsia" w:ascii="宋体" w:hAnsi="宋体"/>
          <w:b/>
          <w:bCs/>
          <w:color w:val="auto"/>
          <w:sz w:val="21"/>
          <w:szCs w:val="21"/>
          <w:highlight w:val="none"/>
        </w:rPr>
      </w:pPr>
      <w:bookmarkStart w:id="475" w:name="_Toc318450704"/>
      <w:bookmarkStart w:id="476" w:name="_Toc466298120"/>
      <w:bookmarkStart w:id="477" w:name="_Toc152045561"/>
      <w:bookmarkStart w:id="478" w:name="_Toc747"/>
      <w:bookmarkStart w:id="479" w:name="_Toc455080137"/>
      <w:bookmarkStart w:id="480" w:name="_Toc9328"/>
      <w:bookmarkStart w:id="481" w:name="_Toc18582"/>
      <w:bookmarkStart w:id="482" w:name="_Toc152042337"/>
      <w:bookmarkStart w:id="483" w:name="_Toc11148"/>
      <w:bookmarkStart w:id="484" w:name="_Toc30792"/>
      <w:bookmarkStart w:id="485" w:name="_Toc17491"/>
      <w:bookmarkStart w:id="486" w:name="_Toc25911"/>
      <w:bookmarkStart w:id="487" w:name="_Toc144974529"/>
      <w:bookmarkStart w:id="488" w:name="_Toc30965"/>
      <w:bookmarkStart w:id="489" w:name="_Toc3865"/>
      <w:bookmarkStart w:id="490" w:name="_Toc455867797"/>
      <w:bookmarkStart w:id="491" w:name="_Toc30074"/>
      <w:bookmarkStart w:id="492" w:name="_Toc490667857"/>
      <w:r>
        <w:rPr>
          <w:rFonts w:hint="eastAsia" w:ascii="宋体" w:hAnsi="宋体"/>
          <w:b/>
          <w:bCs/>
          <w:color w:val="auto"/>
          <w:sz w:val="21"/>
          <w:szCs w:val="21"/>
          <w:highlight w:val="none"/>
        </w:rPr>
        <w:t>5.1 磋商时间和地点</w:t>
      </w:r>
    </w:p>
    <w:p w14:paraId="190B50DE">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5.1.1 采购人在本章规定的投标截止时间（</w:t>
      </w: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时间）和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须知前附表规定的地点开标。</w:t>
      </w:r>
    </w:p>
    <w:p w14:paraId="6601EECB">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 xml:space="preserve">5.1.2 </w:t>
      </w:r>
      <w:r>
        <w:rPr>
          <w:rFonts w:hint="eastAsia" w:ascii="宋体" w:hAnsi="宋体"/>
          <w:b/>
          <w:bCs/>
          <w:color w:val="auto"/>
          <w:sz w:val="21"/>
          <w:szCs w:val="21"/>
          <w:highlight w:val="none"/>
          <w:lang w:val="en-US" w:eastAsia="zh-CN"/>
        </w:rPr>
        <w:t xml:space="preserve">本项目采用“不见面开标”交易方式，不见面开标大厅网址为 </w:t>
      </w:r>
      <w:r>
        <w:rPr>
          <w:rFonts w:hint="eastAsia" w:ascii="宋体" w:hAnsi="宋体"/>
          <w:b/>
          <w:bCs/>
          <w:color w:val="auto"/>
          <w:sz w:val="21"/>
          <w:szCs w:val="21"/>
          <w:highlight w:val="none"/>
          <w:lang w:val="en-US" w:eastAsia="zh-CN"/>
        </w:rPr>
        <w:fldChar w:fldCharType="begin"/>
      </w:r>
      <w:r>
        <w:rPr>
          <w:rFonts w:hint="eastAsia" w:ascii="宋体" w:hAnsi="宋体"/>
          <w:b/>
          <w:bCs/>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b/>
          <w:bCs/>
          <w:color w:val="auto"/>
          <w:sz w:val="21"/>
          <w:szCs w:val="21"/>
          <w:highlight w:val="none"/>
          <w:lang w:val="en-US" w:eastAsia="zh-CN"/>
        </w:rPr>
        <w:fldChar w:fldCharType="separate"/>
      </w:r>
      <w:r>
        <w:rPr>
          <w:rFonts w:hint="eastAsia" w:ascii="宋体" w:hAnsi="宋体"/>
          <w:b/>
          <w:bCs/>
          <w:color w:val="auto"/>
          <w:sz w:val="21"/>
          <w:szCs w:val="21"/>
          <w:highlight w:val="none"/>
          <w:lang w:val="en-US" w:eastAsia="zh-CN"/>
        </w:rPr>
        <w:t>https://ggzyjy.xinyang.gov.cn/BidOpening/bidhall/xinyang/login.html，供应商无需寄送和递交</w:t>
      </w:r>
      <w:r>
        <w:rPr>
          <w:rFonts w:hint="eastAsia" w:ascii="宋体" w:hAnsi="宋体"/>
          <w:b/>
          <w:bCs/>
          <w:color w:val="auto"/>
          <w:sz w:val="21"/>
          <w:szCs w:val="21"/>
          <w:highlight w:val="none"/>
        </w:rPr>
        <w:t>非加密的电子</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lang w:val="en-US" w:eastAsia="zh-CN"/>
        </w:rPr>
        <w:t>无需到现场参加开标会议，无需到达现场提交原件资料。</w:t>
      </w:r>
      <w:r>
        <w:rPr>
          <w:rFonts w:hint="eastAsia" w:ascii="宋体" w:hAnsi="宋体"/>
          <w:b/>
          <w:bCs/>
          <w:color w:val="auto"/>
          <w:sz w:val="21"/>
          <w:szCs w:val="21"/>
          <w:highlight w:val="none"/>
          <w:lang w:val="en-US" w:eastAsia="zh-CN"/>
        </w:rPr>
        <w:fldChar w:fldCharType="end"/>
      </w:r>
    </w:p>
    <w:p w14:paraId="5EDA030E">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供应商应当在响应文件提交截止时间前，使用供应商CA数字证书登录不见面开标大厅，在线签到并准时参加开标活动，并在规定时间内完成响应文件解密、答疑澄清等。</w:t>
      </w:r>
    </w:p>
    <w:p w14:paraId="522BB91F">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4CB561">
      <w:pPr>
        <w:spacing w:line="440" w:lineRule="exact"/>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不见面开标服务的具体事宜，请查阅信阳市公共资源交易中心网站首页—下载中心—信阳市不见面开标大厅系统操作手册。</w:t>
      </w:r>
    </w:p>
    <w:p w14:paraId="1FBCE775">
      <w:pPr>
        <w:spacing w:line="44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开标</w:t>
      </w:r>
      <w:r>
        <w:rPr>
          <w:rFonts w:hint="eastAsia" w:ascii="宋体" w:hAnsi="宋体"/>
          <w:b/>
          <w:bCs/>
          <w:color w:val="auto"/>
          <w:sz w:val="21"/>
          <w:szCs w:val="21"/>
          <w:highlight w:val="none"/>
          <w:lang w:eastAsia="zh-CN"/>
        </w:rPr>
        <w:t>过程中</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b/>
          <w:bCs/>
          <w:color w:val="auto"/>
          <w:sz w:val="21"/>
          <w:szCs w:val="21"/>
          <w:highlight w:val="none"/>
        </w:rPr>
        <w:t>如有异议，须</w:t>
      </w:r>
      <w:r>
        <w:rPr>
          <w:rFonts w:hint="eastAsia" w:ascii="宋体" w:hAnsi="宋体"/>
          <w:b/>
          <w:bCs/>
          <w:color w:val="auto"/>
          <w:sz w:val="21"/>
          <w:szCs w:val="21"/>
          <w:highlight w:val="none"/>
          <w:lang w:eastAsia="zh-CN"/>
        </w:rPr>
        <w:t>在开标结束前</w:t>
      </w:r>
      <w:r>
        <w:rPr>
          <w:rFonts w:hint="eastAsia" w:ascii="宋体" w:hAnsi="宋体"/>
          <w:b/>
          <w:bCs/>
          <w:color w:val="auto"/>
          <w:sz w:val="21"/>
          <w:szCs w:val="21"/>
          <w:highlight w:val="none"/>
        </w:rPr>
        <w:t>通过系统提出，否则视同</w:t>
      </w:r>
      <w:r>
        <w:rPr>
          <w:rFonts w:hint="eastAsia" w:ascii="宋体" w:hAnsi="宋体"/>
          <w:b/>
          <w:bCs/>
          <w:color w:val="auto"/>
          <w:sz w:val="21"/>
          <w:szCs w:val="21"/>
          <w:highlight w:val="none"/>
          <w:lang w:eastAsia="zh-CN"/>
        </w:rPr>
        <w:t>认可</w:t>
      </w:r>
      <w:r>
        <w:rPr>
          <w:rFonts w:hint="eastAsia" w:ascii="宋体" w:hAnsi="宋体"/>
          <w:b/>
          <w:bCs/>
          <w:color w:val="auto"/>
          <w:sz w:val="21"/>
          <w:szCs w:val="21"/>
          <w:highlight w:val="none"/>
        </w:rPr>
        <w:t>开标记录</w:t>
      </w:r>
      <w:r>
        <w:rPr>
          <w:rFonts w:hint="eastAsia" w:ascii="宋体" w:hAnsi="宋体"/>
          <w:b/>
          <w:bCs/>
          <w:color w:val="auto"/>
          <w:sz w:val="21"/>
          <w:szCs w:val="21"/>
          <w:highlight w:val="none"/>
          <w:lang w:eastAsia="zh-CN"/>
        </w:rPr>
        <w:t>。开标结束后，</w:t>
      </w:r>
      <w:r>
        <w:rPr>
          <w:rFonts w:hint="eastAsia" w:ascii="宋体" w:hAnsi="宋体"/>
          <w:b/>
          <w:bCs/>
          <w:color w:val="auto"/>
          <w:sz w:val="21"/>
          <w:szCs w:val="21"/>
          <w:highlight w:val="none"/>
        </w:rPr>
        <w:t>对开标记录</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任何异议</w:t>
      </w:r>
      <w:r>
        <w:rPr>
          <w:rFonts w:hint="eastAsia" w:ascii="宋体" w:hAnsi="宋体"/>
          <w:b/>
          <w:bCs/>
          <w:color w:val="auto"/>
          <w:sz w:val="21"/>
          <w:szCs w:val="21"/>
          <w:highlight w:val="none"/>
          <w:lang w:eastAsia="zh-CN"/>
        </w:rPr>
        <w:t>不再接受</w:t>
      </w:r>
      <w:r>
        <w:rPr>
          <w:rFonts w:hint="eastAsia" w:ascii="宋体" w:hAnsi="宋体"/>
          <w:b/>
          <w:bCs/>
          <w:color w:val="auto"/>
          <w:sz w:val="21"/>
          <w:szCs w:val="21"/>
          <w:highlight w:val="none"/>
        </w:rPr>
        <w:t xml:space="preserve">。 </w:t>
      </w:r>
    </w:p>
    <w:p w14:paraId="19FC38A8">
      <w:pPr>
        <w:pStyle w:val="50"/>
        <w:spacing w:line="360" w:lineRule="auto"/>
        <w:outlineLvl w:val="0"/>
        <w:rPr>
          <w:rFonts w:hint="eastAsia" w:ascii="宋体" w:hAnsi="宋体" w:eastAsia="宋体"/>
          <w:b/>
          <w:bCs/>
          <w:color w:val="auto"/>
          <w:sz w:val="21"/>
          <w:szCs w:val="21"/>
          <w:highlight w:val="none"/>
        </w:rPr>
      </w:pPr>
      <w:bookmarkStart w:id="493" w:name="_Toc4557"/>
      <w:r>
        <w:rPr>
          <w:rFonts w:hint="eastAsia" w:ascii="宋体" w:hAnsi="宋体" w:eastAsia="宋体"/>
          <w:b/>
          <w:bCs/>
          <w:color w:val="auto"/>
          <w:sz w:val="21"/>
          <w:szCs w:val="21"/>
          <w:highlight w:val="none"/>
        </w:rPr>
        <w:t>5.2 磋商程序</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FB842B5">
      <w:pPr>
        <w:pStyle w:val="50"/>
        <w:spacing w:line="360" w:lineRule="auto"/>
        <w:outlineLvl w:val="0"/>
        <w:rPr>
          <w:rFonts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 xml:space="preserve">  </w:t>
      </w:r>
      <w:r>
        <w:rPr>
          <w:rFonts w:hint="eastAsia" w:ascii="宋体" w:hAnsi="宋体" w:eastAsia="宋体"/>
          <w:color w:val="auto"/>
          <w:sz w:val="21"/>
          <w:szCs w:val="21"/>
          <w:highlight w:val="none"/>
          <w:lang w:val="en-US" w:eastAsia="zh-CN"/>
        </w:rPr>
        <w:t xml:space="preserve">  </w:t>
      </w:r>
      <w:bookmarkStart w:id="494" w:name="_Toc13802"/>
      <w:bookmarkStart w:id="495" w:name="_Toc30403"/>
      <w:r>
        <w:rPr>
          <w:rFonts w:hint="eastAsia" w:ascii="宋体" w:hAnsi="宋体" w:eastAsia="宋体"/>
          <w:color w:val="auto"/>
          <w:sz w:val="21"/>
          <w:szCs w:val="21"/>
          <w:highlight w:val="none"/>
          <w:lang w:val="en-US" w:eastAsia="zh-CN"/>
        </w:rPr>
        <w:t>5.2.1磋商小组对竞争性磋商文件进行熟悉确认。</w:t>
      </w:r>
      <w:bookmarkEnd w:id="494"/>
      <w:bookmarkEnd w:id="495"/>
    </w:p>
    <w:p w14:paraId="4F6F39AB">
      <w:pPr>
        <w:spacing w:line="360" w:lineRule="auto"/>
        <w:ind w:firstLine="472" w:firstLineChars="225"/>
        <w:rPr>
          <w:rFonts w:hint="eastAsia" w:ascii="宋体" w:hAnsi="宋体" w:cs="宋体"/>
          <w:color w:val="auto"/>
          <w:szCs w:val="21"/>
          <w:highlight w:val="none"/>
        </w:rPr>
      </w:pPr>
      <w:bookmarkStart w:id="496" w:name="_Toc144974530"/>
      <w:bookmarkStart w:id="497" w:name="_Toc152045562"/>
      <w:bookmarkStart w:id="498" w:name="_Toc152042338"/>
      <w:r>
        <w:rPr>
          <w:rFonts w:hint="eastAsia" w:ascii="宋体" w:hAnsi="宋体" w:cs="宋体"/>
          <w:color w:val="auto"/>
          <w:szCs w:val="21"/>
          <w:highlight w:val="none"/>
        </w:rPr>
        <w:t>5.2.2磋商小组推选组长，讨论、通过磋商工作流程和磋商要点。</w:t>
      </w:r>
    </w:p>
    <w:p w14:paraId="26E90B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资格评审审查：采购人依据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供应商进行审查，以确定磋商供应商是否具备参与磋商的资格。</w:t>
      </w:r>
    </w:p>
    <w:p w14:paraId="1AF8FA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符合性</w:t>
      </w:r>
      <w:r>
        <w:rPr>
          <w:rFonts w:hint="eastAsia" w:ascii="宋体" w:hAnsi="宋体" w:cs="宋体"/>
          <w:color w:val="auto"/>
          <w:szCs w:val="21"/>
          <w:highlight w:val="none"/>
        </w:rPr>
        <w:t>评审审查：磋商开始后，磋商小组依据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规定，对通过资格评审的供应商进行审查，以确定磋商供应商是否具备参与磋商的资格。</w:t>
      </w:r>
    </w:p>
    <w:p w14:paraId="1A2E0F70">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磋商小组对通过资格性和符合性审查的响应文件进行评估，确定与各竞标人磋商的具体内容。</w:t>
      </w:r>
    </w:p>
    <w:p w14:paraId="289545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磋商过程中，磋商小组可以根据磋商情况实质性变动招标需求中的技术、服务要求以及合同草案条款，但不得变动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中的其他内容。实质性变动的内容需经采购人(业主)代表确认。并以书面形式通知所有参加磋商的供应商，该变动是</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的有效组成部分。供应商应当按照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5D8864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磋商小组对符合招标需求的供应商进行两轮报价；供应商只有通过资格评审</w:t>
      </w:r>
      <w:r>
        <w:rPr>
          <w:rFonts w:hint="eastAsia" w:ascii="宋体" w:hAnsi="宋体" w:cs="宋体"/>
          <w:color w:val="auto"/>
          <w:szCs w:val="21"/>
          <w:highlight w:val="none"/>
          <w:lang w:eastAsia="zh-CN"/>
        </w:rPr>
        <w:t>及符合性</w:t>
      </w:r>
      <w:r>
        <w:rPr>
          <w:rFonts w:hint="eastAsia" w:ascii="宋体" w:hAnsi="宋体" w:cs="宋体"/>
          <w:color w:val="auto"/>
          <w:szCs w:val="21"/>
          <w:highlight w:val="none"/>
        </w:rPr>
        <w:t>评审后方可进入下一轮报价，在规定的时间内同时提交报价，最终报价不得超过响应文件中报价。</w:t>
      </w:r>
    </w:p>
    <w:p w14:paraId="6F5F3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经磋商确定最终招标需求，由磋商小组采用综合评分法对通过初步评审的供应商的响应文件进行综合评分。</w:t>
      </w:r>
    </w:p>
    <w:p w14:paraId="3DFF4678">
      <w:pPr>
        <w:pStyle w:val="48"/>
        <w:spacing w:before="0" w:beforeLines="0" w:line="360" w:lineRule="auto"/>
        <w:rPr>
          <w:rFonts w:hint="eastAsia" w:ascii="宋体" w:hAnsi="宋体" w:eastAsia="宋体"/>
          <w:b/>
          <w:bCs/>
          <w:color w:val="auto"/>
          <w:sz w:val="21"/>
          <w:szCs w:val="21"/>
          <w:highlight w:val="none"/>
        </w:rPr>
      </w:pPr>
      <w:bookmarkStart w:id="499" w:name="_Toc455080138"/>
      <w:bookmarkStart w:id="500" w:name="_Toc14039"/>
      <w:r>
        <w:rPr>
          <w:rFonts w:hint="eastAsia" w:ascii="宋体" w:hAnsi="宋体" w:eastAsia="宋体"/>
          <w:b/>
          <w:bCs/>
          <w:color w:val="auto"/>
          <w:sz w:val="21"/>
          <w:szCs w:val="21"/>
          <w:highlight w:val="none"/>
        </w:rPr>
        <w:t xml:space="preserve">6. </w:t>
      </w:r>
      <w:bookmarkEnd w:id="496"/>
      <w:bookmarkEnd w:id="497"/>
      <w:bookmarkEnd w:id="498"/>
      <w:r>
        <w:rPr>
          <w:rFonts w:hint="eastAsia" w:ascii="宋体" w:hAnsi="宋体" w:eastAsia="宋体"/>
          <w:b/>
          <w:bCs/>
          <w:color w:val="auto"/>
          <w:sz w:val="21"/>
          <w:szCs w:val="21"/>
          <w:highlight w:val="none"/>
        </w:rPr>
        <w:t>磋商</w:t>
      </w:r>
      <w:bookmarkEnd w:id="499"/>
      <w:r>
        <w:rPr>
          <w:rFonts w:hint="eastAsia" w:ascii="宋体" w:hAnsi="宋体" w:eastAsia="宋体"/>
          <w:b/>
          <w:bCs/>
          <w:color w:val="auto"/>
          <w:sz w:val="21"/>
          <w:szCs w:val="21"/>
          <w:highlight w:val="none"/>
        </w:rPr>
        <w:t>小组</w:t>
      </w:r>
      <w:bookmarkEnd w:id="500"/>
    </w:p>
    <w:p w14:paraId="2CC9F7A0">
      <w:pPr>
        <w:pStyle w:val="50"/>
        <w:spacing w:line="360" w:lineRule="auto"/>
        <w:outlineLvl w:val="0"/>
        <w:rPr>
          <w:rFonts w:hint="eastAsia" w:ascii="宋体" w:hAnsi="宋体" w:eastAsia="宋体"/>
          <w:b/>
          <w:bCs/>
          <w:color w:val="auto"/>
          <w:sz w:val="21"/>
          <w:szCs w:val="21"/>
          <w:highlight w:val="none"/>
        </w:rPr>
      </w:pPr>
      <w:bookmarkStart w:id="501" w:name="_Toc26098"/>
      <w:bookmarkStart w:id="502" w:name="_Toc152045563"/>
      <w:bookmarkStart w:id="503" w:name="_Toc318450706"/>
      <w:bookmarkStart w:id="504" w:name="_Toc152042339"/>
      <w:bookmarkStart w:id="505" w:name="_Toc22250"/>
      <w:bookmarkStart w:id="506" w:name="_Toc144974531"/>
      <w:bookmarkStart w:id="507" w:name="_Toc9808"/>
      <w:bookmarkStart w:id="508" w:name="_Toc8725"/>
      <w:bookmarkStart w:id="509" w:name="_Toc455867799"/>
      <w:bookmarkStart w:id="510" w:name="_Toc13978"/>
      <w:bookmarkStart w:id="511" w:name="_Toc490667859"/>
      <w:bookmarkStart w:id="512" w:name="_Toc455080139"/>
      <w:bookmarkStart w:id="513" w:name="_Toc8157"/>
      <w:bookmarkStart w:id="514" w:name="_Toc23138"/>
      <w:bookmarkStart w:id="515" w:name="_Toc466298122"/>
      <w:bookmarkStart w:id="516" w:name="_Toc18985"/>
      <w:bookmarkStart w:id="517" w:name="_Toc20134"/>
      <w:bookmarkStart w:id="518" w:name="_Toc1574"/>
      <w:bookmarkStart w:id="519" w:name="_Toc1546"/>
      <w:r>
        <w:rPr>
          <w:rFonts w:hint="eastAsia" w:ascii="宋体" w:hAnsi="宋体" w:eastAsia="宋体"/>
          <w:b/>
          <w:bCs/>
          <w:color w:val="auto"/>
          <w:sz w:val="21"/>
          <w:szCs w:val="21"/>
          <w:highlight w:val="none"/>
        </w:rPr>
        <w:t>6.1</w:t>
      </w:r>
      <w:bookmarkEnd w:id="501"/>
      <w:bookmarkEnd w:id="502"/>
      <w:bookmarkEnd w:id="503"/>
      <w:bookmarkEnd w:id="504"/>
      <w:bookmarkEnd w:id="505"/>
      <w:bookmarkEnd w:id="506"/>
      <w:bookmarkEnd w:id="507"/>
      <w:r>
        <w:rPr>
          <w:rFonts w:hint="eastAsia" w:ascii="宋体" w:hAnsi="宋体" w:eastAsia="宋体"/>
          <w:b/>
          <w:bCs/>
          <w:color w:val="auto"/>
          <w:sz w:val="21"/>
          <w:szCs w:val="21"/>
          <w:highlight w:val="none"/>
        </w:rPr>
        <w:t>磋商小组</w:t>
      </w:r>
      <w:bookmarkEnd w:id="508"/>
      <w:bookmarkEnd w:id="509"/>
      <w:bookmarkEnd w:id="510"/>
      <w:bookmarkEnd w:id="511"/>
      <w:bookmarkEnd w:id="512"/>
      <w:bookmarkEnd w:id="513"/>
      <w:bookmarkEnd w:id="514"/>
      <w:bookmarkEnd w:id="515"/>
      <w:bookmarkEnd w:id="516"/>
      <w:bookmarkEnd w:id="517"/>
      <w:bookmarkEnd w:id="518"/>
      <w:bookmarkEnd w:id="519"/>
    </w:p>
    <w:p w14:paraId="592B7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14:paraId="5B8A3CBF">
      <w:pPr>
        <w:pStyle w:val="50"/>
        <w:tabs>
          <w:tab w:val="left" w:pos="2620"/>
        </w:tabs>
        <w:spacing w:line="360" w:lineRule="auto"/>
        <w:outlineLvl w:val="0"/>
        <w:rPr>
          <w:rFonts w:hint="eastAsia" w:ascii="宋体" w:hAnsi="宋体" w:eastAsia="宋体"/>
          <w:b/>
          <w:bCs/>
          <w:color w:val="auto"/>
          <w:sz w:val="21"/>
          <w:szCs w:val="21"/>
          <w:highlight w:val="none"/>
        </w:rPr>
      </w:pPr>
      <w:bookmarkStart w:id="520" w:name="_Toc318450707"/>
      <w:bookmarkStart w:id="521" w:name="_Toc27035"/>
      <w:bookmarkStart w:id="522" w:name="_Toc152042340"/>
      <w:bookmarkStart w:id="523" w:name="_Toc25721"/>
      <w:bookmarkStart w:id="524" w:name="_Toc21102"/>
      <w:bookmarkStart w:id="525" w:name="_Toc455867800"/>
      <w:bookmarkStart w:id="526" w:name="_Toc13368"/>
      <w:bookmarkStart w:id="527" w:name="_Toc7286"/>
      <w:bookmarkStart w:id="528" w:name="_Toc490667860"/>
      <w:bookmarkStart w:id="529" w:name="_Toc466298123"/>
      <w:bookmarkStart w:id="530" w:name="_Toc8240"/>
      <w:bookmarkStart w:id="531" w:name="_Toc21034"/>
      <w:bookmarkStart w:id="532" w:name="_Toc4435"/>
      <w:bookmarkStart w:id="533" w:name="_Toc22143"/>
      <w:bookmarkStart w:id="534" w:name="_Toc152045564"/>
      <w:bookmarkStart w:id="535" w:name="_Toc8248"/>
      <w:bookmarkStart w:id="536" w:name="_Toc144974532"/>
      <w:bookmarkStart w:id="537" w:name="_Toc9532"/>
      <w:bookmarkStart w:id="538" w:name="_Toc455080140"/>
      <w:r>
        <w:rPr>
          <w:rFonts w:hint="eastAsia" w:ascii="宋体" w:hAnsi="宋体" w:eastAsia="宋体"/>
          <w:b/>
          <w:bCs/>
          <w:color w:val="auto"/>
          <w:sz w:val="21"/>
          <w:szCs w:val="21"/>
          <w:highlight w:val="none"/>
        </w:rPr>
        <w:t>6.2 磋商原则</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4C73C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磋商活动遵循公平、公正、科学和择优的原则。</w:t>
      </w:r>
    </w:p>
    <w:p w14:paraId="6151C712">
      <w:pPr>
        <w:pStyle w:val="50"/>
        <w:spacing w:line="360" w:lineRule="auto"/>
        <w:outlineLvl w:val="0"/>
        <w:rPr>
          <w:rFonts w:hint="eastAsia" w:ascii="宋体" w:hAnsi="宋体" w:eastAsia="宋体"/>
          <w:color w:val="auto"/>
          <w:sz w:val="21"/>
          <w:szCs w:val="21"/>
          <w:highlight w:val="none"/>
        </w:rPr>
      </w:pPr>
      <w:bookmarkStart w:id="539" w:name="_Toc15595"/>
      <w:bookmarkStart w:id="540" w:name="_Toc144974533"/>
      <w:bookmarkStart w:id="541" w:name="_Toc318450708"/>
      <w:bookmarkStart w:id="542" w:name="_Toc152042341"/>
      <w:bookmarkStart w:id="543" w:name="_Toc152045565"/>
      <w:bookmarkStart w:id="544" w:name="_Toc8705"/>
      <w:bookmarkStart w:id="545" w:name="_Toc16725"/>
      <w:bookmarkStart w:id="546" w:name="_Toc24358"/>
      <w:bookmarkStart w:id="547" w:name="_Toc466298124"/>
      <w:bookmarkStart w:id="548" w:name="_Toc18756"/>
      <w:bookmarkStart w:id="549" w:name="_Toc7890"/>
      <w:bookmarkStart w:id="550" w:name="_Toc20062"/>
      <w:bookmarkStart w:id="551" w:name="_Toc490667861"/>
      <w:bookmarkStart w:id="552" w:name="_Toc3606"/>
      <w:bookmarkStart w:id="553" w:name="_Toc28734"/>
      <w:bookmarkStart w:id="554" w:name="_Toc455080141"/>
      <w:bookmarkStart w:id="555" w:name="_Toc455867801"/>
      <w:bookmarkStart w:id="556" w:name="_Toc1956"/>
      <w:bookmarkStart w:id="557" w:name="_Toc27036"/>
      <w:r>
        <w:rPr>
          <w:rFonts w:hint="eastAsia" w:ascii="宋体" w:hAnsi="宋体" w:eastAsia="宋体"/>
          <w:b/>
          <w:bCs/>
          <w:color w:val="auto"/>
          <w:sz w:val="21"/>
          <w:szCs w:val="21"/>
          <w:highlight w:val="none"/>
        </w:rPr>
        <w:t xml:space="preserve">6.3 </w:t>
      </w:r>
      <w:bookmarkEnd w:id="539"/>
      <w:bookmarkEnd w:id="540"/>
      <w:bookmarkEnd w:id="541"/>
      <w:bookmarkEnd w:id="542"/>
      <w:bookmarkEnd w:id="543"/>
      <w:bookmarkEnd w:id="544"/>
      <w:bookmarkEnd w:id="545"/>
      <w:r>
        <w:rPr>
          <w:rFonts w:hint="eastAsia" w:ascii="宋体" w:hAnsi="宋体" w:eastAsia="宋体"/>
          <w:b/>
          <w:bCs/>
          <w:color w:val="auto"/>
          <w:sz w:val="21"/>
          <w:szCs w:val="21"/>
          <w:highlight w:val="none"/>
        </w:rPr>
        <w:t>磋商</w:t>
      </w:r>
      <w:bookmarkEnd w:id="546"/>
      <w:bookmarkEnd w:id="547"/>
      <w:bookmarkEnd w:id="548"/>
      <w:bookmarkEnd w:id="549"/>
      <w:bookmarkEnd w:id="550"/>
      <w:bookmarkEnd w:id="551"/>
      <w:bookmarkEnd w:id="552"/>
      <w:bookmarkEnd w:id="553"/>
      <w:bookmarkEnd w:id="554"/>
      <w:bookmarkEnd w:id="555"/>
      <w:bookmarkEnd w:id="556"/>
      <w:bookmarkEnd w:id="557"/>
    </w:p>
    <w:p w14:paraId="68E024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磋商小组按照第三章“评审办法”规定的方法、评审因素、标准和程序对响应文件进行评审。第三章“评审办法”没有规定的方法、评审因素和标准，不作为评标依据。</w:t>
      </w:r>
    </w:p>
    <w:p w14:paraId="5ACB34DF">
      <w:pPr>
        <w:pStyle w:val="48"/>
        <w:spacing w:before="0" w:beforeLines="0" w:line="360" w:lineRule="auto"/>
        <w:rPr>
          <w:rFonts w:hint="eastAsia" w:ascii="宋体" w:hAnsi="宋体" w:eastAsia="宋体"/>
          <w:b/>
          <w:bCs/>
          <w:color w:val="auto"/>
          <w:sz w:val="21"/>
          <w:szCs w:val="21"/>
          <w:highlight w:val="none"/>
        </w:rPr>
      </w:pPr>
      <w:bookmarkStart w:id="558" w:name="_Toc9522"/>
      <w:bookmarkStart w:id="559" w:name="_Toc455080142"/>
      <w:bookmarkStart w:id="560" w:name="_Toc144974534"/>
      <w:bookmarkStart w:id="561" w:name="_Toc152042342"/>
      <w:bookmarkStart w:id="562" w:name="_Toc152045566"/>
      <w:r>
        <w:rPr>
          <w:rFonts w:hint="eastAsia" w:ascii="宋体" w:hAnsi="宋体" w:eastAsia="宋体"/>
          <w:b/>
          <w:bCs/>
          <w:color w:val="auto"/>
          <w:sz w:val="21"/>
          <w:szCs w:val="21"/>
          <w:highlight w:val="none"/>
        </w:rPr>
        <w:t>7. 合同授予</w:t>
      </w:r>
      <w:bookmarkEnd w:id="558"/>
      <w:bookmarkEnd w:id="559"/>
      <w:bookmarkEnd w:id="560"/>
      <w:bookmarkEnd w:id="561"/>
      <w:bookmarkEnd w:id="562"/>
    </w:p>
    <w:p w14:paraId="1EEF3667">
      <w:pPr>
        <w:pStyle w:val="50"/>
        <w:spacing w:line="360" w:lineRule="auto"/>
        <w:outlineLvl w:val="0"/>
        <w:rPr>
          <w:rFonts w:hint="eastAsia" w:ascii="宋体" w:hAnsi="宋体" w:eastAsia="宋体"/>
          <w:b/>
          <w:bCs/>
          <w:color w:val="auto"/>
          <w:sz w:val="21"/>
          <w:szCs w:val="21"/>
          <w:highlight w:val="none"/>
        </w:rPr>
      </w:pPr>
      <w:bookmarkStart w:id="563" w:name="_Toc20777"/>
      <w:bookmarkStart w:id="564" w:name="_Toc28919"/>
      <w:bookmarkStart w:id="565" w:name="_Toc455867803"/>
      <w:bookmarkStart w:id="566" w:name="_Toc7358"/>
      <w:bookmarkStart w:id="567" w:name="_Toc455080143"/>
      <w:bookmarkStart w:id="568" w:name="_Toc466298126"/>
      <w:bookmarkStart w:id="569" w:name="_Toc29686"/>
      <w:bookmarkStart w:id="570" w:name="_Toc22461"/>
      <w:bookmarkStart w:id="571" w:name="_Toc144974535"/>
      <w:bookmarkStart w:id="572" w:name="_Toc14528"/>
      <w:bookmarkStart w:id="573" w:name="_Toc152042343"/>
      <w:bookmarkStart w:id="574" w:name="_Toc29664"/>
      <w:bookmarkStart w:id="575" w:name="_Toc318450710"/>
      <w:bookmarkStart w:id="576" w:name="_Toc490667863"/>
      <w:bookmarkStart w:id="577" w:name="_Toc11409"/>
      <w:bookmarkStart w:id="578" w:name="_Toc25316"/>
      <w:bookmarkStart w:id="579" w:name="_Toc152045567"/>
      <w:bookmarkStart w:id="580" w:name="_Toc27540"/>
      <w:bookmarkStart w:id="581" w:name="_Toc17660"/>
      <w:r>
        <w:rPr>
          <w:rFonts w:hint="eastAsia" w:ascii="宋体" w:hAnsi="宋体" w:eastAsia="宋体"/>
          <w:b/>
          <w:bCs/>
          <w:color w:val="auto"/>
          <w:sz w:val="21"/>
          <w:szCs w:val="21"/>
          <w:highlight w:val="none"/>
        </w:rPr>
        <w:t>7.1 定标方式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514786E">
      <w:pPr>
        <w:spacing w:line="360" w:lineRule="auto"/>
        <w:ind w:firstLine="420" w:firstLineChars="200"/>
        <w:rPr>
          <w:rFonts w:hint="eastAsia" w:ascii="宋体" w:hAnsi="宋体" w:cs="宋体"/>
          <w:color w:val="auto"/>
          <w:szCs w:val="21"/>
          <w:highlight w:val="none"/>
        </w:rPr>
      </w:pPr>
      <w:bookmarkStart w:id="582" w:name="_Toc7066"/>
      <w:bookmarkStart w:id="583" w:name="_Toc318450711"/>
      <w:bookmarkStart w:id="584" w:name="_Toc10868"/>
      <w:bookmarkStart w:id="585" w:name="_Toc152045568"/>
      <w:bookmarkStart w:id="586" w:name="_Toc144974536"/>
      <w:bookmarkStart w:id="587" w:name="_Toc152042344"/>
      <w:bookmarkStart w:id="588" w:name="_Toc28254"/>
      <w:r>
        <w:rPr>
          <w:rFonts w:hint="eastAsia" w:ascii="宋体" w:hAnsi="宋体" w:cs="宋体"/>
          <w:color w:val="auto"/>
          <w:szCs w:val="21"/>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要求提交履约保证金，或者被查实存在影响成交结果的违法行为等情形，不符合成交条件的，采购人可以按照磋商小组提出的成交候选人名单排序依次确定其他成交候选人为成交人，也可以重新磋商。</w:t>
      </w:r>
    </w:p>
    <w:bookmarkEnd w:id="582"/>
    <w:bookmarkEnd w:id="583"/>
    <w:bookmarkEnd w:id="584"/>
    <w:bookmarkEnd w:id="585"/>
    <w:bookmarkEnd w:id="586"/>
    <w:bookmarkEnd w:id="587"/>
    <w:bookmarkEnd w:id="588"/>
    <w:p w14:paraId="1CA898AC">
      <w:pPr>
        <w:pageBreakBefore w:val="0"/>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7.2 履约保证金</w:t>
      </w:r>
    </w:p>
    <w:p w14:paraId="6451E10E">
      <w:pPr>
        <w:pStyle w:val="50"/>
        <w:spacing w:line="360" w:lineRule="auto"/>
        <w:outlineLvl w:val="0"/>
        <w:rPr>
          <w:rFonts w:hint="eastAsia" w:ascii="宋体" w:hAnsi="宋体" w:eastAsia="宋体" w:cs="宋体"/>
          <w:b/>
          <w:bCs/>
          <w:color w:val="auto"/>
          <w:sz w:val="21"/>
          <w:szCs w:val="21"/>
          <w:highlight w:val="none"/>
          <w:lang w:val="en-US" w:eastAsia="zh-CN"/>
        </w:rPr>
      </w:pPr>
      <w:bookmarkStart w:id="589" w:name="_Toc12068"/>
      <w:bookmarkStart w:id="590" w:name="_Toc24026"/>
      <w:bookmarkStart w:id="591" w:name="_Toc490667865"/>
      <w:bookmarkStart w:id="592" w:name="_Toc13147"/>
      <w:bookmarkStart w:id="593" w:name="_Toc152045570"/>
      <w:bookmarkStart w:id="594" w:name="_Toc26655"/>
      <w:bookmarkStart w:id="595" w:name="_Toc26915"/>
      <w:bookmarkStart w:id="596" w:name="_Toc455867805"/>
      <w:bookmarkStart w:id="597" w:name="_Toc15458"/>
      <w:bookmarkStart w:id="598" w:name="_Toc8886"/>
      <w:bookmarkStart w:id="599" w:name="_Toc26760"/>
      <w:bookmarkStart w:id="600" w:name="_Toc12663"/>
      <w:bookmarkStart w:id="601" w:name="_Toc144974538"/>
      <w:bookmarkStart w:id="602" w:name="_Toc21271"/>
      <w:bookmarkStart w:id="603" w:name="_Toc318450712"/>
      <w:bookmarkStart w:id="604" w:name="_Toc10082"/>
      <w:bookmarkStart w:id="605" w:name="_Toc466298128"/>
      <w:bookmarkStart w:id="606" w:name="_Toc152042346"/>
      <w:bookmarkStart w:id="607" w:name="_Toc455080145"/>
      <w:r>
        <w:rPr>
          <w:rFonts w:hint="eastAsia" w:ascii="宋体" w:hAnsi="宋体" w:eastAsia="宋体" w:cs="宋体"/>
          <w:b/>
          <w:bCs/>
          <w:color w:val="auto"/>
          <w:sz w:val="21"/>
          <w:szCs w:val="21"/>
          <w:highlight w:val="none"/>
          <w:lang w:val="en-US" w:eastAsia="zh-CN"/>
        </w:rPr>
        <w:t>免收履约保证金</w:t>
      </w:r>
      <w:bookmarkEnd w:id="589"/>
    </w:p>
    <w:p w14:paraId="75E264A0">
      <w:pPr>
        <w:pStyle w:val="50"/>
        <w:spacing w:line="360" w:lineRule="auto"/>
        <w:outlineLvl w:val="0"/>
        <w:rPr>
          <w:rFonts w:hint="eastAsia" w:ascii="宋体" w:hAnsi="宋体" w:eastAsia="宋体"/>
          <w:b/>
          <w:bCs/>
          <w:color w:val="auto"/>
          <w:sz w:val="21"/>
          <w:szCs w:val="21"/>
          <w:highlight w:val="none"/>
        </w:rPr>
      </w:pPr>
      <w:bookmarkStart w:id="608" w:name="_Toc29844"/>
      <w:r>
        <w:rPr>
          <w:rFonts w:hint="eastAsia" w:ascii="宋体" w:hAnsi="宋体" w:eastAsia="宋体"/>
          <w:b/>
          <w:bCs/>
          <w:color w:val="auto"/>
          <w:sz w:val="21"/>
          <w:szCs w:val="21"/>
          <w:highlight w:val="none"/>
        </w:rPr>
        <w:t>7.</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签订合同</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2E75E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.1采购人和成交人应当自成交通知书发出之日起</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天内，根据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7FA77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 发出成交通知书后，采购人无正当理由拒签合同的，采购人向成交人退还磋商保证金；给成交人造成损失的，还应当赔偿损失。 </w:t>
      </w:r>
      <w:bookmarkStart w:id="609" w:name="_Toc144974542"/>
      <w:bookmarkStart w:id="610" w:name="_Toc152045574"/>
      <w:bookmarkStart w:id="611" w:name="_Toc152042350"/>
    </w:p>
    <w:p w14:paraId="794EDB2E">
      <w:pPr>
        <w:pStyle w:val="48"/>
        <w:spacing w:before="0" w:beforeLines="0" w:line="360" w:lineRule="auto"/>
        <w:rPr>
          <w:rFonts w:hint="eastAsia" w:ascii="宋体" w:hAnsi="宋体" w:eastAsia="宋体"/>
          <w:b/>
          <w:bCs/>
          <w:color w:val="auto"/>
          <w:sz w:val="21"/>
          <w:szCs w:val="21"/>
          <w:highlight w:val="none"/>
        </w:rPr>
      </w:pPr>
      <w:bookmarkStart w:id="612" w:name="_Toc455080146"/>
      <w:bookmarkStart w:id="613" w:name="_Toc16866"/>
      <w:r>
        <w:rPr>
          <w:rFonts w:hint="eastAsia" w:ascii="宋体" w:hAnsi="宋体" w:eastAsia="宋体"/>
          <w:b/>
          <w:bCs/>
          <w:color w:val="auto"/>
          <w:sz w:val="21"/>
          <w:szCs w:val="21"/>
          <w:highlight w:val="none"/>
        </w:rPr>
        <w:t>8.重新招标</w:t>
      </w:r>
      <w:bookmarkEnd w:id="612"/>
      <w:bookmarkEnd w:id="613"/>
    </w:p>
    <w:p w14:paraId="792FA375">
      <w:pPr>
        <w:spacing w:line="360" w:lineRule="auto"/>
        <w:rPr>
          <w:rFonts w:hint="eastAsia" w:ascii="宋体" w:hAnsi="宋体"/>
          <w:color w:val="auto"/>
          <w:szCs w:val="21"/>
          <w:highlight w:val="none"/>
        </w:rPr>
      </w:pPr>
      <w:bookmarkStart w:id="614" w:name="_Toc16556"/>
      <w:r>
        <w:rPr>
          <w:rFonts w:hint="eastAsia" w:ascii="宋体" w:hAnsi="宋体"/>
          <w:b/>
          <w:bCs/>
          <w:color w:val="auto"/>
          <w:szCs w:val="21"/>
          <w:highlight w:val="none"/>
        </w:rPr>
        <w:t>8.1 重新招标</w:t>
      </w:r>
      <w:bookmarkEnd w:id="614"/>
    </w:p>
    <w:p w14:paraId="540A8B5B">
      <w:pPr>
        <w:spacing w:line="360" w:lineRule="auto"/>
        <w:rPr>
          <w:rFonts w:hint="eastAsia" w:ascii="宋体" w:hAnsi="宋体"/>
          <w:color w:val="auto"/>
          <w:szCs w:val="21"/>
          <w:highlight w:val="none"/>
        </w:rPr>
      </w:pPr>
      <w:bookmarkStart w:id="615" w:name="_Toc25063"/>
      <w:r>
        <w:rPr>
          <w:rFonts w:hint="eastAsia" w:ascii="宋体" w:hAnsi="宋体"/>
          <w:color w:val="auto"/>
          <w:szCs w:val="21"/>
          <w:highlight w:val="none"/>
        </w:rPr>
        <w:t xml:space="preserve">   （1）提交响应文件截止时间止，供应商少于</w:t>
      </w:r>
      <w:r>
        <w:rPr>
          <w:rFonts w:hint="eastAsia" w:ascii="宋体" w:hAnsi="宋体"/>
          <w:color w:val="auto"/>
          <w:szCs w:val="21"/>
          <w:highlight w:val="none"/>
          <w:lang w:val="en-US" w:eastAsia="zh-CN"/>
        </w:rPr>
        <w:t>3</w:t>
      </w:r>
      <w:r>
        <w:rPr>
          <w:rFonts w:hint="eastAsia" w:ascii="宋体" w:hAnsi="宋体"/>
          <w:color w:val="auto"/>
          <w:szCs w:val="21"/>
          <w:highlight w:val="none"/>
        </w:rPr>
        <w:t>个的；</w:t>
      </w:r>
      <w:bookmarkEnd w:id="615"/>
      <w:r>
        <w:rPr>
          <w:rFonts w:hint="eastAsia" w:ascii="宋体" w:hAnsi="宋体"/>
          <w:color w:val="auto"/>
          <w:szCs w:val="21"/>
          <w:highlight w:val="none"/>
        </w:rPr>
        <w:t xml:space="preserve"> </w:t>
      </w:r>
    </w:p>
    <w:p w14:paraId="4B1E6FC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bookmarkStart w:id="616" w:name="_Toc17911"/>
      <w:r>
        <w:rPr>
          <w:rFonts w:hint="eastAsia" w:ascii="宋体" w:hAnsi="宋体"/>
          <w:color w:val="auto"/>
          <w:szCs w:val="21"/>
          <w:highlight w:val="none"/>
        </w:rPr>
        <w:t>（2）经磋商小组评审后否决所有响应文件的。</w:t>
      </w:r>
      <w:bookmarkEnd w:id="616"/>
    </w:p>
    <w:p w14:paraId="4C6826AA">
      <w:pPr>
        <w:pStyle w:val="48"/>
        <w:spacing w:before="0" w:beforeLines="0" w:line="360" w:lineRule="auto"/>
        <w:rPr>
          <w:rFonts w:hint="eastAsia" w:ascii="宋体" w:hAnsi="宋体" w:eastAsia="宋体"/>
          <w:b/>
          <w:bCs/>
          <w:color w:val="auto"/>
          <w:sz w:val="21"/>
          <w:szCs w:val="21"/>
          <w:highlight w:val="none"/>
        </w:rPr>
      </w:pPr>
      <w:bookmarkStart w:id="617" w:name="_Toc455080147"/>
      <w:bookmarkStart w:id="618" w:name="_Toc9996"/>
      <w:r>
        <w:rPr>
          <w:rFonts w:hint="eastAsia" w:ascii="宋体" w:hAnsi="宋体" w:eastAsia="宋体"/>
          <w:b/>
          <w:bCs/>
          <w:color w:val="auto"/>
          <w:sz w:val="21"/>
          <w:szCs w:val="21"/>
          <w:highlight w:val="none"/>
        </w:rPr>
        <w:t>9.纪律和监督</w:t>
      </w:r>
      <w:bookmarkEnd w:id="609"/>
      <w:bookmarkEnd w:id="610"/>
      <w:bookmarkEnd w:id="611"/>
      <w:bookmarkEnd w:id="617"/>
      <w:bookmarkEnd w:id="618"/>
    </w:p>
    <w:p w14:paraId="20D363E2">
      <w:pPr>
        <w:pStyle w:val="50"/>
        <w:spacing w:line="360" w:lineRule="auto"/>
        <w:outlineLvl w:val="0"/>
        <w:rPr>
          <w:rFonts w:hint="eastAsia" w:ascii="宋体" w:hAnsi="宋体" w:eastAsia="宋体"/>
          <w:b/>
          <w:bCs/>
          <w:color w:val="auto"/>
          <w:sz w:val="21"/>
          <w:szCs w:val="21"/>
          <w:highlight w:val="none"/>
        </w:rPr>
      </w:pPr>
      <w:bookmarkStart w:id="619" w:name="_Toc697"/>
      <w:bookmarkStart w:id="620" w:name="_Toc144974543"/>
      <w:bookmarkStart w:id="621" w:name="_Toc9066"/>
      <w:bookmarkStart w:id="622" w:name="_Toc13970"/>
      <w:bookmarkStart w:id="623" w:name="_Toc455867808"/>
      <w:bookmarkStart w:id="624" w:name="_Toc20009"/>
      <w:bookmarkStart w:id="625" w:name="_Toc490667868"/>
      <w:bookmarkStart w:id="626" w:name="_Toc1282"/>
      <w:bookmarkStart w:id="627" w:name="_Toc12992"/>
      <w:bookmarkStart w:id="628" w:name="_Toc455080148"/>
      <w:bookmarkStart w:id="629" w:name="_Toc152045575"/>
      <w:bookmarkStart w:id="630" w:name="_Toc466298131"/>
      <w:bookmarkStart w:id="631" w:name="_Toc318450714"/>
      <w:bookmarkStart w:id="632" w:name="_Toc15769"/>
      <w:bookmarkStart w:id="633" w:name="_Toc15592"/>
      <w:bookmarkStart w:id="634" w:name="_Toc27836"/>
      <w:bookmarkStart w:id="635" w:name="_Toc152042351"/>
      <w:bookmarkStart w:id="636" w:name="_Toc19159"/>
      <w:bookmarkStart w:id="637" w:name="_Toc269"/>
      <w:r>
        <w:rPr>
          <w:rFonts w:hint="eastAsia" w:ascii="宋体" w:hAnsi="宋体" w:eastAsia="宋体"/>
          <w:b/>
          <w:bCs/>
          <w:color w:val="auto"/>
          <w:sz w:val="21"/>
          <w:szCs w:val="21"/>
          <w:highlight w:val="none"/>
        </w:rPr>
        <w:t>9.1 对</w:t>
      </w:r>
      <w:r>
        <w:rPr>
          <w:rFonts w:hint="eastAsia" w:ascii="宋体" w:hAnsi="宋体" w:eastAsia="宋体"/>
          <w:b/>
          <w:bCs/>
          <w:color w:val="auto"/>
          <w:sz w:val="21"/>
          <w:szCs w:val="21"/>
          <w:highlight w:val="none"/>
          <w:lang w:eastAsia="zh-CN"/>
        </w:rPr>
        <w:t>采购人</w:t>
      </w:r>
      <w:r>
        <w:rPr>
          <w:rFonts w:hint="eastAsia" w:ascii="宋体" w:hAnsi="宋体" w:eastAsia="宋体"/>
          <w:b/>
          <w:bCs/>
          <w:color w:val="auto"/>
          <w:sz w:val="21"/>
          <w:szCs w:val="21"/>
          <w:highlight w:val="none"/>
        </w:rPr>
        <w:t>的纪律要求</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8F059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不得泄露</w:t>
      </w:r>
      <w:r>
        <w:rPr>
          <w:rFonts w:hint="eastAsia" w:ascii="宋体" w:hAnsi="宋体" w:cs="宋体"/>
          <w:color w:val="auto"/>
          <w:szCs w:val="21"/>
          <w:highlight w:val="none"/>
        </w:rPr>
        <w:t>磋商活动中应当保密的情况和资料，不得与供应商串通损害国家利益、社会公共利益或者他人合法权益。</w:t>
      </w:r>
    </w:p>
    <w:p w14:paraId="2FAE43F6">
      <w:pPr>
        <w:pStyle w:val="50"/>
        <w:spacing w:line="360" w:lineRule="auto"/>
        <w:outlineLvl w:val="0"/>
        <w:rPr>
          <w:rFonts w:hint="eastAsia" w:ascii="宋体" w:hAnsi="宋体" w:eastAsia="宋体"/>
          <w:color w:val="auto"/>
          <w:sz w:val="21"/>
          <w:szCs w:val="21"/>
          <w:highlight w:val="none"/>
        </w:rPr>
      </w:pPr>
      <w:bookmarkStart w:id="638" w:name="_Toc21646"/>
      <w:bookmarkStart w:id="639" w:name="_Toc7572"/>
      <w:bookmarkStart w:id="640" w:name="_Toc152042352"/>
      <w:bookmarkStart w:id="641" w:name="_Toc144974544"/>
      <w:bookmarkStart w:id="642" w:name="_Toc152045576"/>
      <w:bookmarkStart w:id="643" w:name="_Toc1743"/>
      <w:bookmarkStart w:id="644" w:name="_Toc27698"/>
      <w:bookmarkStart w:id="645" w:name="_Toc455867809"/>
      <w:bookmarkStart w:id="646" w:name="_Toc318450715"/>
      <w:bookmarkStart w:id="647" w:name="_Toc18204"/>
      <w:bookmarkStart w:id="648" w:name="_Toc466298132"/>
      <w:bookmarkStart w:id="649" w:name="_Toc490667869"/>
      <w:bookmarkStart w:id="650" w:name="_Toc25381"/>
      <w:bookmarkStart w:id="651" w:name="_Toc19167"/>
      <w:bookmarkStart w:id="652" w:name="_Toc455080149"/>
      <w:bookmarkStart w:id="653" w:name="_Toc3089"/>
      <w:bookmarkStart w:id="654" w:name="_Toc18604"/>
      <w:bookmarkStart w:id="655" w:name="_Toc20261"/>
      <w:bookmarkStart w:id="656" w:name="_Toc17040"/>
      <w:r>
        <w:rPr>
          <w:rFonts w:hint="eastAsia" w:ascii="宋体" w:hAnsi="宋体" w:eastAsia="宋体"/>
          <w:b/>
          <w:bCs/>
          <w:color w:val="auto"/>
          <w:sz w:val="21"/>
          <w:szCs w:val="21"/>
          <w:highlight w:val="none"/>
        </w:rPr>
        <w:t>9.2 对供应商的纪律要求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F0371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476E911F">
      <w:pPr>
        <w:pStyle w:val="50"/>
        <w:spacing w:line="360" w:lineRule="auto"/>
        <w:outlineLvl w:val="0"/>
        <w:rPr>
          <w:rFonts w:hint="eastAsia" w:ascii="宋体" w:hAnsi="宋体" w:eastAsia="宋体"/>
          <w:b/>
          <w:bCs/>
          <w:color w:val="auto"/>
          <w:sz w:val="21"/>
          <w:szCs w:val="21"/>
          <w:highlight w:val="none"/>
        </w:rPr>
      </w:pPr>
      <w:bookmarkStart w:id="657" w:name="_Toc455080150"/>
      <w:bookmarkStart w:id="658" w:name="_Toc32320"/>
      <w:bookmarkStart w:id="659" w:name="_Toc31001"/>
      <w:bookmarkStart w:id="660" w:name="_Toc28813"/>
      <w:bookmarkStart w:id="661" w:name="_Toc152042353"/>
      <w:bookmarkStart w:id="662" w:name="_Toc25211"/>
      <w:bookmarkStart w:id="663" w:name="_Toc318450716"/>
      <w:bookmarkStart w:id="664" w:name="_Toc466298133"/>
      <w:bookmarkStart w:id="665" w:name="_Toc455867810"/>
      <w:bookmarkStart w:id="666" w:name="_Toc8751"/>
      <w:bookmarkStart w:id="667" w:name="_Toc25241"/>
      <w:bookmarkStart w:id="668" w:name="_Toc490667870"/>
      <w:bookmarkStart w:id="669" w:name="_Toc12177"/>
      <w:bookmarkStart w:id="670" w:name="_Toc152045577"/>
      <w:bookmarkStart w:id="671" w:name="_Toc19965"/>
      <w:bookmarkStart w:id="672" w:name="_Toc7439"/>
      <w:bookmarkStart w:id="673" w:name="_Toc7107"/>
      <w:bookmarkStart w:id="674" w:name="_Toc144974545"/>
      <w:bookmarkStart w:id="675" w:name="_Toc30153"/>
      <w:r>
        <w:rPr>
          <w:rFonts w:hint="eastAsia" w:ascii="宋体" w:hAnsi="宋体" w:eastAsia="宋体"/>
          <w:b/>
          <w:bCs/>
          <w:color w:val="auto"/>
          <w:sz w:val="21"/>
          <w:szCs w:val="21"/>
          <w:highlight w:val="none"/>
        </w:rPr>
        <w:t>9.3 对磋商小组成员的纪律要求</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37345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97A7764">
      <w:pPr>
        <w:pStyle w:val="50"/>
        <w:spacing w:line="360" w:lineRule="auto"/>
        <w:outlineLvl w:val="0"/>
        <w:rPr>
          <w:rFonts w:hint="eastAsia" w:ascii="宋体" w:hAnsi="宋体" w:eastAsia="宋体"/>
          <w:color w:val="auto"/>
          <w:sz w:val="21"/>
          <w:szCs w:val="21"/>
          <w:highlight w:val="none"/>
        </w:rPr>
      </w:pPr>
      <w:bookmarkStart w:id="676" w:name="_Toc20546"/>
      <w:bookmarkStart w:id="677" w:name="_Toc26462"/>
      <w:bookmarkStart w:id="678" w:name="_Toc397"/>
      <w:bookmarkStart w:id="679" w:name="_Toc466298134"/>
      <w:bookmarkStart w:id="680" w:name="_Toc152042354"/>
      <w:bookmarkStart w:id="681" w:name="_Toc455080151"/>
      <w:bookmarkStart w:id="682" w:name="_Toc1295"/>
      <w:bookmarkStart w:id="683" w:name="_Toc23717"/>
      <w:bookmarkStart w:id="684" w:name="_Toc152045578"/>
      <w:bookmarkStart w:id="685" w:name="_Toc235"/>
      <w:bookmarkStart w:id="686" w:name="_Toc455867811"/>
      <w:bookmarkStart w:id="687" w:name="_Toc27559"/>
      <w:bookmarkStart w:id="688" w:name="_Toc9063"/>
      <w:bookmarkStart w:id="689" w:name="_Toc24"/>
      <w:bookmarkStart w:id="690" w:name="_Toc19485"/>
      <w:bookmarkStart w:id="691" w:name="_Toc490667871"/>
      <w:bookmarkStart w:id="692" w:name="_Toc318450717"/>
      <w:bookmarkStart w:id="693" w:name="_Toc7368"/>
      <w:bookmarkStart w:id="694" w:name="_Toc144974546"/>
      <w:r>
        <w:rPr>
          <w:rFonts w:hint="eastAsia" w:ascii="宋体" w:hAnsi="宋体" w:eastAsia="宋体"/>
          <w:b/>
          <w:bCs/>
          <w:color w:val="auto"/>
          <w:sz w:val="21"/>
          <w:szCs w:val="21"/>
          <w:highlight w:val="none"/>
        </w:rPr>
        <w:t>9.4 对与评标活动有关的工作人员的纪律要求</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34A780B1">
      <w:pPr>
        <w:spacing w:line="360" w:lineRule="auto"/>
        <w:ind w:firstLine="420" w:firstLineChars="200"/>
        <w:rPr>
          <w:rFonts w:hint="eastAsia" w:ascii="宋体" w:hAnsi="宋体" w:cs="宋体"/>
          <w:color w:val="auto"/>
          <w:szCs w:val="21"/>
          <w:highlight w:val="none"/>
        </w:rPr>
      </w:pPr>
      <w:bookmarkStart w:id="695"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对响应文件的评审和比较、成交候选人的推荐情况以及评标有关的其他情况。在评标活动中，与评标活动有关的工作人员不得擅离职守，影响评标程序正常进行。</w:t>
      </w:r>
      <w:bookmarkEnd w:id="695"/>
    </w:p>
    <w:p w14:paraId="2477A20E">
      <w:pPr>
        <w:pStyle w:val="50"/>
        <w:spacing w:line="360" w:lineRule="auto"/>
        <w:outlineLvl w:val="0"/>
        <w:rPr>
          <w:rFonts w:hint="eastAsia" w:ascii="宋体" w:hAnsi="宋体" w:eastAsia="宋体"/>
          <w:b/>
          <w:bCs/>
          <w:color w:val="auto"/>
          <w:sz w:val="21"/>
          <w:szCs w:val="21"/>
          <w:highlight w:val="none"/>
        </w:rPr>
      </w:pPr>
      <w:bookmarkStart w:id="696" w:name="_Toc2159"/>
      <w:bookmarkStart w:id="697" w:name="_Toc25751"/>
      <w:bookmarkStart w:id="698" w:name="_Toc5504"/>
      <w:bookmarkStart w:id="699" w:name="_Toc17735"/>
      <w:bookmarkStart w:id="700" w:name="_Toc31010"/>
      <w:bookmarkStart w:id="701" w:name="_Toc466298135"/>
      <w:bookmarkStart w:id="702" w:name="_Toc1820"/>
      <w:bookmarkStart w:id="703" w:name="_Toc490667872"/>
      <w:bookmarkStart w:id="704" w:name="_Toc6199"/>
      <w:bookmarkStart w:id="705" w:name="_Toc152045579"/>
      <w:bookmarkStart w:id="706" w:name="_Toc455080152"/>
      <w:bookmarkStart w:id="707" w:name="_Toc152042356"/>
      <w:bookmarkStart w:id="708" w:name="_Toc318450718"/>
      <w:bookmarkStart w:id="709" w:name="_Toc3303"/>
      <w:bookmarkStart w:id="710" w:name="_Toc3617"/>
      <w:bookmarkStart w:id="711" w:name="_Toc8074"/>
      <w:bookmarkStart w:id="712" w:name="_Toc455867812"/>
      <w:bookmarkStart w:id="713" w:name="_Toc32675"/>
      <w:r>
        <w:rPr>
          <w:rFonts w:hint="eastAsia" w:ascii="宋体" w:hAnsi="宋体" w:eastAsia="宋体"/>
          <w:b/>
          <w:bCs/>
          <w:color w:val="auto"/>
          <w:sz w:val="21"/>
          <w:szCs w:val="21"/>
          <w:highlight w:val="none"/>
        </w:rPr>
        <w:t>9.5 投诉</w:t>
      </w:r>
      <w:bookmarkEnd w:id="694"/>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7C5B0C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供应商和其他利害关系人认为本次磋商活动违反法律、法规和规章规定的，有权向有关行政监督部门投诉。</w:t>
      </w:r>
    </w:p>
    <w:p w14:paraId="06A56B45">
      <w:pPr>
        <w:pStyle w:val="48"/>
        <w:spacing w:before="0" w:beforeLines="0" w:line="360" w:lineRule="auto"/>
        <w:rPr>
          <w:rFonts w:hint="eastAsia" w:ascii="宋体" w:hAnsi="宋体" w:eastAsia="宋体"/>
          <w:b/>
          <w:bCs/>
          <w:color w:val="auto"/>
          <w:sz w:val="21"/>
          <w:szCs w:val="21"/>
          <w:highlight w:val="none"/>
        </w:rPr>
      </w:pPr>
      <w:bookmarkStart w:id="714" w:name="_Toc152042357"/>
      <w:bookmarkStart w:id="715" w:name="_Toc152045580"/>
      <w:bookmarkStart w:id="716" w:name="_Toc455080153"/>
      <w:bookmarkStart w:id="717" w:name="_Toc14221"/>
      <w:bookmarkStart w:id="718" w:name="_Toc144974547"/>
      <w:r>
        <w:rPr>
          <w:rFonts w:hint="eastAsia" w:ascii="宋体" w:hAnsi="宋体" w:eastAsia="宋体"/>
          <w:b/>
          <w:bCs/>
          <w:color w:val="auto"/>
          <w:sz w:val="21"/>
          <w:szCs w:val="21"/>
          <w:highlight w:val="none"/>
        </w:rPr>
        <w:t>10. 需要补充的其他内容</w:t>
      </w:r>
      <w:bookmarkEnd w:id="714"/>
      <w:bookmarkEnd w:id="715"/>
      <w:bookmarkEnd w:id="716"/>
      <w:bookmarkEnd w:id="717"/>
      <w:bookmarkEnd w:id="718"/>
    </w:p>
    <w:p w14:paraId="1DDA8911">
      <w:pPr>
        <w:outlineLvl w:val="9"/>
        <w:rPr>
          <w:rFonts w:hint="eastAsia" w:ascii="宋体" w:hAnsi="宋体" w:cs="宋体" w:eastAsiaTheme="minorEastAsia"/>
          <w:b/>
          <w:color w:val="auto"/>
          <w:kern w:val="44"/>
          <w:sz w:val="28"/>
          <w:szCs w:val="28"/>
          <w:highlight w:val="none"/>
          <w:lang w:val="en-US" w:eastAsia="zh-CN" w:bidi="ar-SA"/>
        </w:rPr>
      </w:pPr>
    </w:p>
    <w:p w14:paraId="739E23C1">
      <w:pPr>
        <w:outlineLvl w:val="9"/>
        <w:rPr>
          <w:rFonts w:hint="eastAsia" w:ascii="宋体" w:hAnsi="宋体" w:cs="宋体"/>
          <w:b/>
          <w:color w:val="auto"/>
          <w:kern w:val="44"/>
          <w:sz w:val="28"/>
          <w:szCs w:val="28"/>
          <w:highlight w:val="none"/>
        </w:rPr>
      </w:pPr>
    </w:p>
    <w:p w14:paraId="5DED4F6B">
      <w:pPr>
        <w:jc w:val="both"/>
        <w:outlineLvl w:val="9"/>
        <w:rPr>
          <w:rFonts w:hint="eastAsia" w:ascii="宋体" w:hAnsi="宋体" w:cs="宋体"/>
          <w:b/>
          <w:color w:val="auto"/>
          <w:kern w:val="44"/>
          <w:sz w:val="32"/>
          <w:szCs w:val="32"/>
          <w:highlight w:val="none"/>
        </w:rPr>
      </w:pPr>
      <w:bookmarkStart w:id="719" w:name="_Toc6192"/>
    </w:p>
    <w:p w14:paraId="36014295">
      <w:pPr>
        <w:pStyle w:val="24"/>
        <w:rPr>
          <w:rFonts w:hint="eastAsia" w:ascii="宋体" w:hAnsi="宋体" w:cs="宋体"/>
          <w:b/>
          <w:color w:val="auto"/>
          <w:kern w:val="44"/>
          <w:sz w:val="32"/>
          <w:szCs w:val="32"/>
          <w:highlight w:val="none"/>
        </w:rPr>
      </w:pPr>
    </w:p>
    <w:bookmarkEnd w:id="27"/>
    <w:bookmarkEnd w:id="28"/>
    <w:bookmarkEnd w:id="29"/>
    <w:bookmarkEnd w:id="30"/>
    <w:bookmarkEnd w:id="31"/>
    <w:bookmarkEnd w:id="32"/>
    <w:bookmarkEnd w:id="719"/>
    <w:p w14:paraId="53FDD2F1">
      <w:pPr>
        <w:rPr>
          <w:rFonts w:hint="eastAsia" w:ascii="宋体" w:hAnsi="宋体" w:cs="宋体"/>
          <w:b/>
          <w:color w:val="auto"/>
          <w:kern w:val="44"/>
          <w:sz w:val="32"/>
          <w:szCs w:val="32"/>
          <w:highlight w:val="none"/>
        </w:rPr>
      </w:pPr>
      <w:bookmarkStart w:id="720" w:name="_Toc28924"/>
      <w:bookmarkStart w:id="721" w:name="_Toc9758"/>
      <w:bookmarkStart w:id="722" w:name="_Toc455080156"/>
      <w:bookmarkStart w:id="723" w:name="_Toc144974566"/>
      <w:bookmarkStart w:id="724" w:name="_Toc12092"/>
      <w:bookmarkStart w:id="725" w:name="_Toc152042376"/>
      <w:bookmarkStart w:id="726" w:name="_Toc455867816"/>
      <w:bookmarkStart w:id="727" w:name="_Toc27806"/>
      <w:bookmarkStart w:id="728" w:name="_Toc28069"/>
      <w:bookmarkStart w:id="729" w:name="_Toc12296"/>
      <w:bookmarkStart w:id="730" w:name="_Toc466298139"/>
      <w:bookmarkStart w:id="731" w:name="_Toc281405527"/>
      <w:bookmarkStart w:id="732" w:name="_Toc152045599"/>
      <w:bookmarkStart w:id="733" w:name="_Toc21310"/>
      <w:bookmarkStart w:id="734" w:name="_Toc318450721"/>
      <w:r>
        <w:rPr>
          <w:rFonts w:hint="eastAsia" w:ascii="宋体" w:hAnsi="宋体" w:cs="宋体"/>
          <w:b/>
          <w:color w:val="auto"/>
          <w:kern w:val="44"/>
          <w:sz w:val="32"/>
          <w:szCs w:val="32"/>
          <w:highlight w:val="none"/>
        </w:rPr>
        <w:br w:type="page"/>
      </w:r>
    </w:p>
    <w:p w14:paraId="2F551842">
      <w:pPr>
        <w:ind w:left="0" w:leftChars="0" w:firstLine="0" w:firstLineChars="0"/>
        <w:jc w:val="center"/>
        <w:outlineLvl w:val="0"/>
        <w:rPr>
          <w:rFonts w:hint="eastAsia" w:ascii="宋体" w:hAnsi="宋体" w:cs="宋体"/>
          <w:bCs/>
          <w:color w:val="auto"/>
          <w:sz w:val="32"/>
          <w:szCs w:val="32"/>
          <w:highlight w:val="none"/>
        </w:rPr>
      </w:pPr>
      <w:r>
        <w:rPr>
          <w:rFonts w:hint="eastAsia" w:ascii="宋体" w:hAnsi="宋体" w:cs="宋体"/>
          <w:b/>
          <w:color w:val="auto"/>
          <w:kern w:val="44"/>
          <w:sz w:val="32"/>
          <w:szCs w:val="32"/>
          <w:highlight w:val="none"/>
        </w:rPr>
        <w:t>第三章  评审办法（综合评分法）</w:t>
      </w:r>
      <w:bookmarkEnd w:id="720"/>
      <w:bookmarkEnd w:id="721"/>
    </w:p>
    <w:p w14:paraId="157695BD">
      <w:pPr>
        <w:ind w:left="0" w:leftChars="0" w:firstLine="0" w:firstLineChars="0"/>
        <w:jc w:val="center"/>
        <w:outlineLvl w:val="9"/>
        <w:rPr>
          <w:rFonts w:hint="eastAsia" w:ascii="宋体" w:hAnsi="宋体"/>
          <w:b/>
          <w:bCs/>
          <w:color w:val="auto"/>
          <w:sz w:val="24"/>
          <w:highlight w:val="none"/>
        </w:rPr>
      </w:pPr>
      <w:r>
        <w:rPr>
          <w:rFonts w:hint="eastAsia" w:ascii="宋体" w:hAnsi="宋体"/>
          <w:b/>
          <w:bCs/>
          <w:color w:val="auto"/>
          <w:sz w:val="24"/>
          <w:highlight w:val="none"/>
        </w:rPr>
        <w:t>评审办法前附表</w:t>
      </w:r>
      <w:bookmarkEnd w:id="722"/>
      <w:bookmarkEnd w:id="723"/>
      <w:bookmarkEnd w:id="724"/>
      <w:bookmarkEnd w:id="725"/>
      <w:bookmarkEnd w:id="726"/>
      <w:bookmarkEnd w:id="727"/>
      <w:bookmarkEnd w:id="728"/>
      <w:bookmarkEnd w:id="729"/>
      <w:bookmarkEnd w:id="730"/>
      <w:bookmarkEnd w:id="731"/>
      <w:bookmarkEnd w:id="732"/>
      <w:bookmarkEnd w:id="733"/>
      <w:bookmarkEnd w:id="734"/>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83"/>
        <w:gridCol w:w="2460"/>
        <w:gridCol w:w="4231"/>
      </w:tblGrid>
      <w:tr w14:paraId="168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24" w:type="dxa"/>
            <w:gridSpan w:val="2"/>
            <w:noWrap w:val="0"/>
            <w:vAlign w:val="center"/>
          </w:tcPr>
          <w:p w14:paraId="4C1322C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460" w:type="dxa"/>
            <w:noWrap w:val="0"/>
            <w:vAlign w:val="center"/>
          </w:tcPr>
          <w:p w14:paraId="50750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231" w:type="dxa"/>
            <w:noWrap w:val="0"/>
            <w:vAlign w:val="center"/>
          </w:tcPr>
          <w:p w14:paraId="70C8CFB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EB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41" w:type="dxa"/>
            <w:vMerge w:val="restart"/>
            <w:noWrap w:val="0"/>
            <w:vAlign w:val="center"/>
          </w:tcPr>
          <w:p w14:paraId="07B2B2F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3" w:type="dxa"/>
            <w:vMerge w:val="restart"/>
            <w:noWrap w:val="0"/>
            <w:vAlign w:val="center"/>
          </w:tcPr>
          <w:p w14:paraId="6C1A563C">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0F7388">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460" w:type="dxa"/>
            <w:noWrap w:val="0"/>
            <w:vAlign w:val="center"/>
          </w:tcPr>
          <w:p w14:paraId="6AB840E2">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符合《中华人民共和国政府采购法》</w:t>
            </w:r>
            <w:r>
              <w:rPr>
                <w:rFonts w:hint="eastAsia" w:ascii="宋体" w:hAnsi="宋体" w:eastAsia="宋体" w:cs="宋体"/>
                <w:color w:val="auto"/>
                <w:sz w:val="21"/>
                <w:szCs w:val="21"/>
                <w:highlight w:val="none"/>
                <w:lang w:eastAsia="zh-CN"/>
              </w:rPr>
              <w:t>第二十二条</w:t>
            </w:r>
            <w:r>
              <w:rPr>
                <w:rFonts w:hint="eastAsia" w:ascii="宋体" w:hAnsi="宋体" w:eastAsia="宋体" w:cs="宋体"/>
                <w:color w:val="auto"/>
                <w:sz w:val="21"/>
                <w:szCs w:val="21"/>
                <w:highlight w:val="none"/>
              </w:rPr>
              <w:t>规定</w:t>
            </w:r>
          </w:p>
        </w:tc>
        <w:tc>
          <w:tcPr>
            <w:tcW w:w="4231" w:type="dxa"/>
            <w:noWrap w:val="0"/>
            <w:vAlign w:val="center"/>
          </w:tcPr>
          <w:p w14:paraId="4F8A08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60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B7F1DA1">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7A5FDCB7">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20D1585">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落实政府采购政策</w:t>
            </w:r>
          </w:p>
        </w:tc>
        <w:tc>
          <w:tcPr>
            <w:tcW w:w="4231" w:type="dxa"/>
            <w:noWrap w:val="0"/>
            <w:vAlign w:val="center"/>
          </w:tcPr>
          <w:p w14:paraId="7974D5A7">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6F1B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E35A178">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5417DD3F">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7251F913">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财务和纳税要求</w:t>
            </w:r>
          </w:p>
        </w:tc>
        <w:tc>
          <w:tcPr>
            <w:tcW w:w="4231" w:type="dxa"/>
            <w:noWrap w:val="0"/>
            <w:vAlign w:val="center"/>
          </w:tcPr>
          <w:p w14:paraId="1CEB89BA">
            <w:pPr>
              <w:pageBreakBefore w:val="0"/>
              <w:tabs>
                <w:tab w:val="left" w:pos="513"/>
              </w:tabs>
              <w:kinsoku/>
              <w:wordWrap/>
              <w:overflowPunct/>
              <w:topLinePunct w:val="0"/>
              <w:bidi w:val="0"/>
              <w:spacing w:line="400" w:lineRule="exact"/>
              <w:ind w:left="0" w:leftChars="0" w:right="105" w:rightChars="5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794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1" w:type="dxa"/>
            <w:vMerge w:val="continue"/>
            <w:noWrap w:val="0"/>
            <w:vAlign w:val="center"/>
          </w:tcPr>
          <w:p w14:paraId="649550E9">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5B407374">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B6CC98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信用要求</w:t>
            </w:r>
          </w:p>
        </w:tc>
        <w:tc>
          <w:tcPr>
            <w:tcW w:w="4231" w:type="dxa"/>
            <w:noWrap w:val="0"/>
            <w:vAlign w:val="center"/>
          </w:tcPr>
          <w:p w14:paraId="74BFEE5C">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88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noWrap w:val="0"/>
            <w:vAlign w:val="center"/>
          </w:tcPr>
          <w:p w14:paraId="58CDAA00">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375CB669">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E78D72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4231" w:type="dxa"/>
            <w:noWrap w:val="0"/>
            <w:vAlign w:val="center"/>
          </w:tcPr>
          <w:p w14:paraId="178F2957">
            <w:pPr>
              <w:widowControl/>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须知”第1.5.1项规定</w:t>
            </w:r>
          </w:p>
        </w:tc>
      </w:tr>
      <w:tr w14:paraId="3FF9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41" w:type="dxa"/>
            <w:vMerge w:val="restart"/>
            <w:noWrap w:val="0"/>
            <w:vAlign w:val="center"/>
          </w:tcPr>
          <w:p w14:paraId="25E0A3D1">
            <w:p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3" w:type="dxa"/>
            <w:vMerge w:val="restart"/>
            <w:noWrap w:val="0"/>
            <w:vAlign w:val="center"/>
          </w:tcPr>
          <w:p w14:paraId="2A8F4B62">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2460" w:type="dxa"/>
            <w:noWrap w:val="0"/>
            <w:vAlign w:val="center"/>
          </w:tcPr>
          <w:p w14:paraId="53E317E3">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供应商名称</w:t>
            </w:r>
          </w:p>
        </w:tc>
        <w:tc>
          <w:tcPr>
            <w:tcW w:w="4231" w:type="dxa"/>
            <w:noWrap w:val="0"/>
            <w:vAlign w:val="center"/>
          </w:tcPr>
          <w:p w14:paraId="7A3C589E">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与营业执照一致</w:t>
            </w:r>
          </w:p>
        </w:tc>
      </w:tr>
      <w:tr w14:paraId="4944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56FCFC88">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0CFEB12">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B4C981F">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响应函</w:t>
            </w:r>
            <w:r>
              <w:rPr>
                <w:rFonts w:hint="eastAsia" w:ascii="宋体" w:hAnsi="宋体" w:eastAsia="宋体" w:cs="宋体"/>
                <w:color w:val="auto"/>
                <w:sz w:val="21"/>
                <w:szCs w:val="21"/>
                <w:highlight w:val="none"/>
              </w:rPr>
              <w:t>签字盖章</w:t>
            </w:r>
          </w:p>
        </w:tc>
        <w:tc>
          <w:tcPr>
            <w:tcW w:w="4231" w:type="dxa"/>
            <w:noWrap w:val="0"/>
            <w:vAlign w:val="center"/>
          </w:tcPr>
          <w:p w14:paraId="7AF5EF60">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符合</w:t>
            </w:r>
            <w:r>
              <w:rPr>
                <w:rFonts w:hint="eastAsia" w:ascii="宋体" w:hAnsi="宋体" w:eastAsia="宋体" w:cs="宋体"/>
                <w:color w:val="auto"/>
                <w:spacing w:val="-6"/>
                <w:sz w:val="21"/>
                <w:szCs w:val="21"/>
                <w:highlight w:val="none"/>
                <w:lang w:eastAsia="zh-CN"/>
              </w:rPr>
              <w:t>第六章</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竞争性磋商响应文件格式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响应函签字盖章</w:t>
            </w:r>
            <w:r>
              <w:rPr>
                <w:rFonts w:hint="eastAsia" w:ascii="宋体" w:hAnsi="宋体" w:eastAsia="宋体" w:cs="宋体"/>
                <w:color w:val="auto"/>
                <w:spacing w:val="-6"/>
                <w:sz w:val="21"/>
                <w:szCs w:val="21"/>
                <w:highlight w:val="none"/>
              </w:rPr>
              <w:t>的要求</w:t>
            </w:r>
          </w:p>
        </w:tc>
      </w:tr>
      <w:tr w14:paraId="2DE4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7E048793">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52F85AC">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ABFF2E9">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响应文件格式</w:t>
            </w:r>
          </w:p>
        </w:tc>
        <w:tc>
          <w:tcPr>
            <w:tcW w:w="4231" w:type="dxa"/>
            <w:noWrap w:val="0"/>
            <w:vAlign w:val="center"/>
          </w:tcPr>
          <w:p w14:paraId="3342B09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”的要求</w:t>
            </w:r>
          </w:p>
        </w:tc>
      </w:tr>
      <w:tr w14:paraId="4C78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1" w:type="dxa"/>
            <w:vMerge w:val="continue"/>
            <w:noWrap w:val="0"/>
            <w:vAlign w:val="center"/>
          </w:tcPr>
          <w:p w14:paraId="54D4F814">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0AF905CD">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35B2FCD">
            <w:pPr>
              <w:tabs>
                <w:tab w:val="left" w:pos="477"/>
                <w:tab w:val="center" w:pos="1083"/>
              </w:tabs>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4231" w:type="dxa"/>
            <w:noWrap w:val="0"/>
            <w:vAlign w:val="center"/>
          </w:tcPr>
          <w:p w14:paraId="04DAD6E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符合第二章“供应商须知”第1.4.1项规定</w:t>
            </w:r>
          </w:p>
        </w:tc>
      </w:tr>
      <w:tr w14:paraId="72B1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1" w:type="dxa"/>
            <w:vMerge w:val="continue"/>
            <w:noWrap w:val="0"/>
            <w:vAlign w:val="center"/>
          </w:tcPr>
          <w:p w14:paraId="4C160D38">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1B862E78">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29A31D8C">
            <w:pPr>
              <w:tabs>
                <w:tab w:val="left" w:pos="477"/>
                <w:tab w:val="center" w:pos="1083"/>
              </w:tabs>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4231" w:type="dxa"/>
            <w:noWrap w:val="0"/>
            <w:vAlign w:val="center"/>
          </w:tcPr>
          <w:p w14:paraId="51B7FDF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w:t>
            </w:r>
          </w:p>
        </w:tc>
      </w:tr>
      <w:tr w14:paraId="379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noWrap w:val="0"/>
            <w:vAlign w:val="center"/>
          </w:tcPr>
          <w:p w14:paraId="5EC6F084">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1D3094E">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D59F8A7">
            <w:pPr>
              <w:tabs>
                <w:tab w:val="left" w:pos="693"/>
                <w:tab w:val="center" w:pos="1083"/>
              </w:tabs>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w:t>
            </w:r>
          </w:p>
        </w:tc>
        <w:tc>
          <w:tcPr>
            <w:tcW w:w="4231" w:type="dxa"/>
            <w:noWrap w:val="0"/>
            <w:vAlign w:val="center"/>
          </w:tcPr>
          <w:p w14:paraId="7E08927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项规定</w:t>
            </w:r>
          </w:p>
        </w:tc>
      </w:tr>
      <w:tr w14:paraId="306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9B3BB7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6A6C755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67B8278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服务要求</w:t>
            </w:r>
          </w:p>
        </w:tc>
        <w:tc>
          <w:tcPr>
            <w:tcW w:w="4231" w:type="dxa"/>
            <w:noWrap w:val="0"/>
            <w:vAlign w:val="center"/>
          </w:tcPr>
          <w:p w14:paraId="51412675">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项规定</w:t>
            </w:r>
          </w:p>
        </w:tc>
      </w:tr>
      <w:tr w14:paraId="2EF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6D6FA10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6439D10C">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230C3112">
            <w:pPr>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4231" w:type="dxa"/>
            <w:noWrap w:val="0"/>
            <w:vAlign w:val="center"/>
          </w:tcPr>
          <w:p w14:paraId="2F18569A">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项规定</w:t>
            </w:r>
          </w:p>
        </w:tc>
      </w:tr>
      <w:tr w14:paraId="70A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1" w:type="dxa"/>
            <w:vMerge w:val="continue"/>
            <w:noWrap w:val="0"/>
            <w:vAlign w:val="center"/>
          </w:tcPr>
          <w:p w14:paraId="1647511C">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B9BB8F6">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837D653">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4231" w:type="dxa"/>
            <w:noWrap w:val="0"/>
            <w:vAlign w:val="center"/>
          </w:tcPr>
          <w:p w14:paraId="66538158">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符合第二章“供应商须知”第3.3.1项规定</w:t>
            </w:r>
          </w:p>
        </w:tc>
      </w:tr>
      <w:tr w14:paraId="0BF4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1" w:type="dxa"/>
            <w:vMerge w:val="continue"/>
            <w:noWrap w:val="0"/>
            <w:vAlign w:val="center"/>
          </w:tcPr>
          <w:p w14:paraId="1FB4B60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9A8F51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27FFE4FD">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4231" w:type="dxa"/>
            <w:noWrap w:val="0"/>
            <w:vAlign w:val="center"/>
          </w:tcPr>
          <w:p w14:paraId="27CA6B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报价不超过</w:t>
            </w:r>
            <w:r>
              <w:rPr>
                <w:rFonts w:hint="eastAsia" w:ascii="宋体" w:hAnsi="宋体" w:eastAsia="宋体" w:cs="宋体"/>
                <w:color w:val="auto"/>
                <w:sz w:val="21"/>
                <w:szCs w:val="21"/>
                <w:highlight w:val="none"/>
                <w:lang w:eastAsia="zh-CN"/>
              </w:rPr>
              <w:t>预算价（最高限价）</w:t>
            </w:r>
          </w:p>
        </w:tc>
      </w:tr>
    </w:tbl>
    <w:p w14:paraId="0AA333CC">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bookmarkStart w:id="735" w:name="_Toc15036"/>
      <w:bookmarkStart w:id="736" w:name="_Toc281405528"/>
      <w:bookmarkStart w:id="737" w:name="_Toc29897"/>
      <w:bookmarkStart w:id="738" w:name="_Toc318450722"/>
      <w:bookmarkStart w:id="739" w:name="_Toc31578"/>
      <w:bookmarkStart w:id="740" w:name="_Toc144974567"/>
      <w:bookmarkStart w:id="741" w:name="_Toc152042377"/>
      <w:bookmarkStart w:id="742" w:name="_Toc29279"/>
      <w:bookmarkStart w:id="743" w:name="_Toc152045600"/>
    </w:p>
    <w:p w14:paraId="1FA22D1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444D9C30">
      <w:pPr>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color w:val="auto"/>
          <w:sz w:val="24"/>
          <w:szCs w:val="24"/>
          <w:highlight w:val="none"/>
          <w:lang w:val="en-US" w:eastAsia="zh-CN"/>
        </w:rPr>
      </w:pPr>
      <w:r>
        <w:rPr>
          <w:rFonts w:hint="eastAsia" w:ascii="宋体" w:hAnsi="宋体" w:eastAsia="宋体" w:cs="宋体"/>
          <w:b/>
          <w:bCs/>
          <w:color w:val="auto"/>
          <w:sz w:val="24"/>
          <w:szCs w:val="24"/>
          <w:highlight w:val="none"/>
        </w:rPr>
        <w:t>评分标准</w:t>
      </w:r>
    </w:p>
    <w:tbl>
      <w:tblPr>
        <w:tblStyle w:val="2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3"/>
        <w:gridCol w:w="852"/>
        <w:gridCol w:w="7604"/>
      </w:tblGrid>
      <w:tr w14:paraId="0A89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603" w:type="dxa"/>
            <w:noWrap w:val="0"/>
            <w:vAlign w:val="center"/>
          </w:tcPr>
          <w:p w14:paraId="2C4EBF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评审项目</w:t>
            </w:r>
          </w:p>
        </w:tc>
        <w:tc>
          <w:tcPr>
            <w:tcW w:w="852" w:type="dxa"/>
            <w:noWrap w:val="0"/>
            <w:vAlign w:val="center"/>
          </w:tcPr>
          <w:p w14:paraId="2C45535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分值</w:t>
            </w:r>
          </w:p>
        </w:tc>
        <w:tc>
          <w:tcPr>
            <w:tcW w:w="7604" w:type="dxa"/>
            <w:noWrap w:val="0"/>
            <w:vAlign w:val="center"/>
          </w:tcPr>
          <w:p w14:paraId="19B33BC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评审细则</w:t>
            </w:r>
          </w:p>
        </w:tc>
      </w:tr>
      <w:tr w14:paraId="040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2" w:hRule="atLeast"/>
          <w:jc w:val="center"/>
        </w:trPr>
        <w:tc>
          <w:tcPr>
            <w:tcW w:w="603" w:type="dxa"/>
            <w:noWrap w:val="0"/>
            <w:vAlign w:val="center"/>
          </w:tcPr>
          <w:p w14:paraId="271A889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商务部分</w:t>
            </w:r>
          </w:p>
          <w:p w14:paraId="4328823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bidi="ar"/>
              </w:rPr>
              <w:t>0分</w:t>
            </w:r>
          </w:p>
          <w:p w14:paraId="7F3FA8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 xml:space="preserve">  </w:t>
            </w:r>
          </w:p>
        </w:tc>
        <w:tc>
          <w:tcPr>
            <w:tcW w:w="852" w:type="dxa"/>
            <w:noWrap w:val="0"/>
            <w:vAlign w:val="center"/>
          </w:tcPr>
          <w:p w14:paraId="79CB3A6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报价得分</w:t>
            </w:r>
            <w:r>
              <w:rPr>
                <w:rFonts w:hint="eastAsia" w:ascii="宋体" w:hAnsi="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bidi="ar"/>
              </w:rPr>
              <w:t>0分</w:t>
            </w:r>
          </w:p>
        </w:tc>
        <w:tc>
          <w:tcPr>
            <w:tcW w:w="7604" w:type="dxa"/>
            <w:noWrap w:val="0"/>
            <w:vAlign w:val="center"/>
          </w:tcPr>
          <w:p w14:paraId="035823F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报价分采用低价优先法计算，即满足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要求且最终报价最低的有效</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得分=（评标基准价/</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183BB6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注：1.价格分计算保留小数点后二位</w:t>
            </w:r>
            <w:r>
              <w:rPr>
                <w:rFonts w:hint="eastAsia" w:ascii="宋体" w:hAnsi="宋体" w:eastAsia="宋体" w:cs="宋体"/>
                <w:color w:val="auto"/>
                <w:sz w:val="21"/>
                <w:szCs w:val="21"/>
                <w:highlight w:val="none"/>
                <w:lang w:val="en-US" w:eastAsia="zh-CN"/>
              </w:rPr>
              <w:t xml:space="preserve"> </w:t>
            </w:r>
          </w:p>
          <w:p w14:paraId="188AFCF6">
            <w:pPr>
              <w:keepNext w:val="0"/>
              <w:keepLines w:val="0"/>
              <w:pageBreakBefore w:val="0"/>
              <w:widowControl/>
              <w:numPr>
                <w:ilvl w:val="0"/>
                <w:numId w:val="5"/>
              </w:numPr>
              <w:kinsoku/>
              <w:wordWrap/>
              <w:overflowPunct/>
              <w:topLinePunct w:val="0"/>
              <w:autoSpaceDE/>
              <w:autoSpaceDN/>
              <w:bidi w:val="0"/>
              <w:adjustRightInd/>
              <w:snapToGrid w:val="0"/>
              <w:spacing w:line="240" w:lineRule="auto"/>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在投标报价中的投标报价明显低于其他通过符合性审查投标人的投标报价（比控制价低30%的）且该投标人技术等主要指标有大量或明显故意不符，可能影响采购质量或者项目履约的，应当要求在投标系统合理的时间内上传书面说明，投标人不能证明其报价合理性的，评标委员会应当将其做为无效投标处理。</w:t>
            </w:r>
          </w:p>
          <w:p w14:paraId="733D029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center"/>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3.对小型企业、微型企业产品的价格扣除20%，用扣除后的价格参与评审。参加本项目的中小企业应当提供《中小企业声明函》（格式详见招标文件内《中小企业声明函》样本）。</w:t>
            </w:r>
          </w:p>
        </w:tc>
      </w:tr>
      <w:tr w14:paraId="753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jc w:val="center"/>
        </w:trPr>
        <w:tc>
          <w:tcPr>
            <w:tcW w:w="603" w:type="dxa"/>
            <w:vMerge w:val="restart"/>
            <w:noWrap w:val="0"/>
            <w:vAlign w:val="center"/>
          </w:tcPr>
          <w:p w14:paraId="767D998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技术部分</w:t>
            </w:r>
          </w:p>
          <w:p w14:paraId="4A8CF3E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val="en-US" w:eastAsia="zh-CN" w:bidi="ar"/>
              </w:rPr>
              <w:t>35</w:t>
            </w:r>
            <w:r>
              <w:rPr>
                <w:rFonts w:hint="eastAsia" w:ascii="宋体" w:hAnsi="宋体" w:cs="宋体"/>
                <w:b/>
                <w:bCs/>
                <w:color w:val="auto"/>
                <w:kern w:val="0"/>
                <w:sz w:val="21"/>
                <w:szCs w:val="21"/>
                <w:highlight w:val="none"/>
                <w:lang w:bidi="ar"/>
              </w:rPr>
              <w:t>分</w:t>
            </w:r>
          </w:p>
        </w:tc>
        <w:tc>
          <w:tcPr>
            <w:tcW w:w="852" w:type="dxa"/>
            <w:noWrap w:val="0"/>
            <w:vAlign w:val="center"/>
          </w:tcPr>
          <w:p w14:paraId="00E8399A">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default" w:ascii="宋体" w:hAnsi="宋体" w:cs="宋体" w:eastAsiaTheme="minorEastAsia"/>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技术指标（20分）</w:t>
            </w:r>
          </w:p>
        </w:tc>
        <w:tc>
          <w:tcPr>
            <w:tcW w:w="7604" w:type="dxa"/>
            <w:noWrap w:val="0"/>
            <w:vAlign w:val="center"/>
          </w:tcPr>
          <w:p w14:paraId="67C5388F">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ascii="宋体" w:hAnsi="宋体" w:eastAsia="宋体" w:cs="宋体"/>
                <w:i w:val="0"/>
                <w:iCs w:val="0"/>
                <w:color w:val="auto"/>
                <w:kern w:val="0"/>
                <w:sz w:val="21"/>
                <w:szCs w:val="21"/>
                <w:highlight w:val="none"/>
                <w:u w:val="none"/>
                <w:shd w:val="clear"/>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所投产品和服务技术参数完全符合招标文件要求的，得基础分20分；</w:t>
            </w:r>
          </w:p>
          <w:p w14:paraId="2ACAF5C7">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标★项参数有一项不满足的扣2分，未标★号的一项不满足扣1分。扣完为止。</w:t>
            </w:r>
          </w:p>
        </w:tc>
      </w:tr>
      <w:tr w14:paraId="58A5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603" w:type="dxa"/>
            <w:vMerge w:val="continue"/>
            <w:noWrap w:val="0"/>
            <w:vAlign w:val="center"/>
          </w:tcPr>
          <w:p w14:paraId="0D501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noWrap w:val="0"/>
            <w:vAlign w:val="center"/>
          </w:tcPr>
          <w:p w14:paraId="061A3E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视联平台</w:t>
            </w:r>
            <w:r>
              <w:rPr>
                <w:rFonts w:hint="default" w:ascii="宋体" w:hAnsi="宋体" w:cs="宋体" w:eastAsiaTheme="minorEastAsia"/>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10</w:t>
            </w:r>
            <w:r>
              <w:rPr>
                <w:rFonts w:hint="default" w:ascii="宋体" w:hAnsi="宋体" w:cs="宋体" w:eastAsiaTheme="minorEastAsia"/>
                <w:b/>
                <w:bCs/>
                <w:color w:val="auto"/>
                <w:sz w:val="21"/>
                <w:szCs w:val="21"/>
                <w:highlight w:val="none"/>
                <w:lang w:val="en-US" w:eastAsia="zh-CN"/>
              </w:rPr>
              <w:t>分）</w:t>
            </w:r>
          </w:p>
        </w:tc>
        <w:tc>
          <w:tcPr>
            <w:tcW w:w="7604" w:type="dxa"/>
            <w:noWrap w:val="0"/>
            <w:vAlign w:val="center"/>
          </w:tcPr>
          <w:p w14:paraId="6BD65EDF">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ascii="宋体" w:hAnsi="宋体" w:eastAsia="宋体" w:cs="宋体"/>
                <w:i w:val="0"/>
                <w:iCs w:val="0"/>
                <w:color w:val="auto"/>
                <w:kern w:val="0"/>
                <w:sz w:val="21"/>
                <w:szCs w:val="21"/>
                <w:highlight w:val="none"/>
                <w:u w:val="none"/>
                <w:shd w:val="clear"/>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1、所投视联平台通过《网络安全等级保护》（第三级及以上）测评的，有得5分，没有不得分。</w:t>
            </w:r>
            <w:r>
              <w:rPr>
                <w:rFonts w:hint="eastAsia" w:ascii="宋体" w:hAnsi="宋体" w:eastAsia="宋体" w:cs="宋体"/>
                <w:i w:val="0"/>
                <w:iCs w:val="0"/>
                <w:color w:val="000000"/>
                <w:kern w:val="0"/>
                <w:sz w:val="21"/>
                <w:szCs w:val="21"/>
                <w:u w:val="none"/>
                <w:lang w:val="en-US" w:eastAsia="zh-CN" w:bidi="ar"/>
              </w:rPr>
              <w:t>注：</w:t>
            </w:r>
            <w:r>
              <w:rPr>
                <w:rFonts w:hint="eastAsia" w:ascii="宋体" w:hAnsi="宋体" w:eastAsia="宋体" w:cs="宋体"/>
                <w:i w:val="0"/>
                <w:iCs w:val="0"/>
                <w:color w:val="auto"/>
                <w:kern w:val="0"/>
                <w:sz w:val="21"/>
                <w:szCs w:val="21"/>
                <w:highlight w:val="none"/>
                <w:u w:val="none"/>
                <w:shd w:val="clear"/>
                <w:lang w:val="en-US" w:eastAsia="zh-CN" w:bidi="ar"/>
              </w:rPr>
              <w:t>提供信息系统安全等级保护备案证明</w:t>
            </w:r>
          </w:p>
          <w:p w14:paraId="17B82E7D">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eastAsia"/>
              </w:rPr>
            </w:pPr>
            <w:r>
              <w:rPr>
                <w:rFonts w:hint="eastAsia" w:ascii="宋体" w:hAnsi="宋体" w:eastAsia="宋体" w:cs="宋体"/>
                <w:i w:val="0"/>
                <w:iCs w:val="0"/>
                <w:color w:val="auto"/>
                <w:kern w:val="0"/>
                <w:sz w:val="21"/>
                <w:szCs w:val="21"/>
                <w:highlight w:val="none"/>
                <w:u w:val="none"/>
                <w:shd w:val="clear"/>
                <w:lang w:val="en-US" w:eastAsia="zh-CN" w:bidi="ar"/>
              </w:rPr>
              <w:t>2、视联平台需具备弹性扩容能力、AI视频分析能力、</w:t>
            </w:r>
            <w:r>
              <w:rPr>
                <w:rFonts w:hint="default" w:ascii="宋体" w:hAnsi="宋体" w:eastAsia="宋体" w:cs="宋体"/>
                <w:i w:val="0"/>
                <w:iCs w:val="0"/>
                <w:color w:val="auto"/>
                <w:kern w:val="0"/>
                <w:sz w:val="21"/>
                <w:szCs w:val="21"/>
                <w:highlight w:val="none"/>
                <w:u w:val="none"/>
                <w:shd w:val="clear"/>
                <w:lang w:val="en-US" w:eastAsia="zh-CN" w:bidi="ar"/>
              </w:rPr>
              <w:t>具备灾备能力</w:t>
            </w:r>
            <w:r>
              <w:rPr>
                <w:rFonts w:hint="eastAsia" w:ascii="宋体" w:hAnsi="宋体" w:eastAsia="宋体" w:cs="宋体"/>
                <w:i w:val="0"/>
                <w:iCs w:val="0"/>
                <w:color w:val="auto"/>
                <w:kern w:val="0"/>
                <w:sz w:val="21"/>
                <w:szCs w:val="21"/>
                <w:highlight w:val="none"/>
                <w:u w:val="none"/>
                <w:shd w:val="clear"/>
                <w:lang w:val="en-US" w:eastAsia="zh-CN" w:bidi="ar"/>
              </w:rPr>
              <w:t>，</w:t>
            </w:r>
            <w:r>
              <w:rPr>
                <w:color w:val="000000"/>
                <w:sz w:val="21"/>
              </w:rPr>
              <w:t>后续根据业务需求可以实现快速扩容</w:t>
            </w:r>
            <w:r>
              <w:rPr>
                <w:rFonts w:hint="eastAsia" w:ascii="宋体" w:hAnsi="宋体" w:eastAsia="宋体" w:cs="宋体"/>
                <w:i w:val="0"/>
                <w:iCs w:val="0"/>
                <w:color w:val="auto"/>
                <w:kern w:val="0"/>
                <w:sz w:val="21"/>
                <w:szCs w:val="21"/>
                <w:highlight w:val="none"/>
                <w:u w:val="none"/>
                <w:shd w:val="clear"/>
                <w:lang w:val="en-US" w:eastAsia="zh-CN" w:bidi="ar"/>
              </w:rPr>
              <w:t>。</w:t>
            </w:r>
            <w:r>
              <w:rPr>
                <w:rFonts w:hint="eastAsia" w:ascii="宋体" w:hAnsi="宋体" w:eastAsia="宋体" w:cs="宋体"/>
                <w:i w:val="0"/>
                <w:iCs w:val="0"/>
                <w:color w:val="000000"/>
                <w:kern w:val="0"/>
                <w:sz w:val="21"/>
                <w:szCs w:val="21"/>
                <w:u w:val="none"/>
                <w:lang w:val="en-US" w:eastAsia="zh-CN" w:bidi="ar"/>
              </w:rPr>
              <w:t>提供详细方案得5分，不提供不得分。</w:t>
            </w:r>
          </w:p>
        </w:tc>
      </w:tr>
      <w:tr w14:paraId="13D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603" w:type="dxa"/>
            <w:vMerge w:val="continue"/>
            <w:noWrap w:val="0"/>
            <w:vAlign w:val="center"/>
          </w:tcPr>
          <w:p w14:paraId="1068CF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noWrap w:val="0"/>
            <w:vAlign w:val="center"/>
          </w:tcPr>
          <w:p w14:paraId="712FFC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宋体" w:hAnsi="宋体" w:cs="宋体" w:eastAsiaTheme="minorEastAsia"/>
                <w:b/>
                <w:bCs/>
                <w:color w:val="auto"/>
                <w:sz w:val="21"/>
                <w:szCs w:val="21"/>
                <w:highlight w:val="none"/>
                <w:lang w:val="en-US" w:eastAsia="zh-CN"/>
              </w:rPr>
            </w:pPr>
            <w:r>
              <w:rPr>
                <w:rFonts w:hint="eastAsia" w:ascii="宋体" w:hAnsi="宋体" w:cs="宋体"/>
                <w:b/>
                <w:bCs/>
                <w:color w:val="auto"/>
                <w:sz w:val="21"/>
                <w:szCs w:val="21"/>
                <w:highlight w:val="none"/>
                <w:lang w:val="en-US" w:eastAsia="zh-CN"/>
              </w:rPr>
              <w:t>安全边界部分（5分）</w:t>
            </w:r>
          </w:p>
        </w:tc>
        <w:tc>
          <w:tcPr>
            <w:tcW w:w="7604" w:type="dxa"/>
            <w:noWrap w:val="0"/>
            <w:vAlign w:val="center"/>
          </w:tcPr>
          <w:p w14:paraId="179128AB">
            <w:pPr>
              <w:keepNext w:val="0"/>
              <w:keepLines w:val="0"/>
              <w:pageBreakBefore w:val="0"/>
              <w:widowControl/>
              <w:kinsoku/>
              <w:wordWrap/>
              <w:overflowPunct/>
              <w:topLinePunct w:val="0"/>
              <w:autoSpaceDE/>
              <w:autoSpaceDN/>
              <w:bidi w:val="0"/>
              <w:adjustRightInd/>
              <w:snapToGrid w:val="0"/>
              <w:spacing w:line="240" w:lineRule="auto"/>
              <w:ind w:left="0" w:leftChars="0" w:firstLine="420" w:firstLineChars="200"/>
              <w:jc w:val="left"/>
              <w:textAlignment w:val="center"/>
              <w:rPr>
                <w:rFonts w:hint="default" w:ascii="宋体" w:hAnsi="宋体" w:cs="宋体" w:eastAsiaTheme="minorEastAsia"/>
                <w:color w:val="auto"/>
                <w:kern w:val="0"/>
                <w:sz w:val="21"/>
                <w:szCs w:val="21"/>
                <w:highlight w:val="none"/>
                <w:lang w:val="en-US" w:eastAsia="zh-CN" w:bidi="ar"/>
              </w:rPr>
            </w:pPr>
            <w:bookmarkStart w:id="744" w:name="_Toc140589369"/>
            <w:r>
              <w:rPr>
                <w:rFonts w:hint="eastAsia" w:ascii="宋体" w:hAnsi="宋体" w:eastAsia="宋体" w:cs="宋体"/>
                <w:i w:val="0"/>
                <w:iCs w:val="0"/>
                <w:color w:val="auto"/>
                <w:kern w:val="0"/>
                <w:sz w:val="21"/>
                <w:szCs w:val="21"/>
                <w:highlight w:val="none"/>
                <w:u w:val="none"/>
                <w:shd w:val="clear"/>
                <w:lang w:val="en-US" w:eastAsia="zh-CN" w:bidi="ar"/>
              </w:rPr>
              <w:t>边界交互系统</w:t>
            </w:r>
            <w:bookmarkEnd w:id="744"/>
            <w:r>
              <w:rPr>
                <w:rFonts w:hint="eastAsia" w:ascii="宋体" w:hAnsi="宋体" w:eastAsia="宋体" w:cs="宋体"/>
                <w:i w:val="0"/>
                <w:iCs w:val="0"/>
                <w:color w:val="auto"/>
                <w:kern w:val="0"/>
                <w:sz w:val="21"/>
                <w:szCs w:val="21"/>
                <w:highlight w:val="none"/>
                <w:u w:val="none"/>
                <w:shd w:val="clear"/>
                <w:lang w:val="en-US" w:eastAsia="zh-CN" w:bidi="ar"/>
              </w:rPr>
              <w:t>需要包含</w:t>
            </w:r>
            <w:bookmarkStart w:id="745" w:name="_Toc29216"/>
            <w:r>
              <w:rPr>
                <w:rFonts w:hint="eastAsia" w:ascii="宋体" w:hAnsi="宋体" w:eastAsia="宋体" w:cs="宋体"/>
                <w:i w:val="0"/>
                <w:iCs w:val="0"/>
                <w:color w:val="auto"/>
                <w:kern w:val="0"/>
                <w:sz w:val="21"/>
                <w:szCs w:val="21"/>
                <w:highlight w:val="none"/>
                <w:u w:val="none"/>
                <w:shd w:val="clear"/>
                <w:lang w:val="en-US" w:eastAsia="zh-CN" w:bidi="ar"/>
              </w:rPr>
              <w:t>数据资源链路安全策略设计</w:t>
            </w:r>
            <w:bookmarkEnd w:id="745"/>
            <w:r>
              <w:rPr>
                <w:rFonts w:hint="eastAsia" w:ascii="宋体" w:hAnsi="宋体" w:eastAsia="宋体" w:cs="宋体"/>
                <w:i w:val="0"/>
                <w:iCs w:val="0"/>
                <w:color w:val="auto"/>
                <w:kern w:val="0"/>
                <w:sz w:val="21"/>
                <w:szCs w:val="21"/>
                <w:highlight w:val="none"/>
                <w:u w:val="none"/>
                <w:shd w:val="clear"/>
                <w:lang w:val="en-US" w:eastAsia="zh-CN" w:bidi="ar"/>
              </w:rPr>
              <w:t>、视频资源链路安全策略设计、</w:t>
            </w:r>
            <w:bookmarkStart w:id="746" w:name="_Toc9403"/>
            <w:r>
              <w:rPr>
                <w:rFonts w:hint="eastAsia" w:ascii="宋体" w:hAnsi="宋体" w:eastAsia="宋体" w:cs="宋体"/>
                <w:i w:val="0"/>
                <w:iCs w:val="0"/>
                <w:color w:val="auto"/>
                <w:kern w:val="0"/>
                <w:sz w:val="21"/>
                <w:szCs w:val="21"/>
                <w:highlight w:val="none"/>
                <w:u w:val="none"/>
                <w:shd w:val="clear"/>
                <w:lang w:val="en-US" w:eastAsia="zh-CN" w:bidi="ar"/>
              </w:rPr>
              <w:t>数据安全交换系统</w:t>
            </w:r>
            <w:bookmarkEnd w:id="746"/>
            <w:bookmarkStart w:id="747" w:name="_Toc714"/>
            <w:r>
              <w:rPr>
                <w:rFonts w:hint="eastAsia" w:ascii="宋体" w:hAnsi="宋体" w:eastAsia="宋体" w:cs="宋体"/>
                <w:i w:val="0"/>
                <w:iCs w:val="0"/>
                <w:color w:val="auto"/>
                <w:kern w:val="0"/>
                <w:sz w:val="21"/>
                <w:szCs w:val="21"/>
                <w:highlight w:val="none"/>
                <w:u w:val="none"/>
                <w:shd w:val="clear"/>
                <w:lang w:val="en-US" w:eastAsia="zh-CN" w:bidi="ar"/>
              </w:rPr>
              <w:t>、安全隔离与信息交换系统</w:t>
            </w:r>
            <w:bookmarkEnd w:id="747"/>
            <w:r>
              <w:rPr>
                <w:rFonts w:hint="eastAsia" w:ascii="宋体" w:hAnsi="宋体" w:eastAsia="宋体" w:cs="宋体"/>
                <w:i w:val="0"/>
                <w:iCs w:val="0"/>
                <w:color w:val="auto"/>
                <w:kern w:val="0"/>
                <w:sz w:val="21"/>
                <w:szCs w:val="21"/>
                <w:highlight w:val="none"/>
                <w:u w:val="none"/>
                <w:shd w:val="clear"/>
                <w:lang w:val="en-US" w:eastAsia="zh-CN" w:bidi="ar"/>
              </w:rPr>
              <w:t>。时配置入侵防御、病毒过滤功能模块并启用相应防护策略，对所有流经防火墙的数据包按照严格的安全规则进行过滤，防止越权访问，过滤攻击威胁，实现边界保护区内的统一威胁防护。提供详细方案得5分，不提供不得分。</w:t>
            </w:r>
          </w:p>
        </w:tc>
      </w:tr>
      <w:tr w14:paraId="1B8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6" w:hRule="atLeast"/>
          <w:jc w:val="center"/>
        </w:trPr>
        <w:tc>
          <w:tcPr>
            <w:tcW w:w="603" w:type="dxa"/>
            <w:vMerge w:val="continue"/>
            <w:noWrap w:val="0"/>
            <w:vAlign w:val="center"/>
          </w:tcPr>
          <w:p w14:paraId="3A84D2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bCs/>
                <w:color w:val="auto"/>
                <w:sz w:val="21"/>
                <w:szCs w:val="21"/>
                <w:highlight w:val="none"/>
              </w:rPr>
            </w:pPr>
          </w:p>
        </w:tc>
        <w:tc>
          <w:tcPr>
            <w:tcW w:w="852" w:type="dxa"/>
            <w:vMerge w:val="restart"/>
            <w:noWrap w:val="0"/>
            <w:vAlign w:val="center"/>
          </w:tcPr>
          <w:p w14:paraId="66870F6D">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default" w:ascii="宋体" w:hAnsi="宋体" w:cs="宋体" w:eastAsiaTheme="minorEastAsia"/>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产品的先进性（5）</w:t>
            </w:r>
          </w:p>
        </w:tc>
        <w:tc>
          <w:tcPr>
            <w:tcW w:w="7604" w:type="dxa"/>
            <w:noWrap w:val="0"/>
            <w:vAlign w:val="center"/>
          </w:tcPr>
          <w:p w14:paraId="158FA409">
            <w:pPr>
              <w:keepNext w:val="0"/>
              <w:keepLines w:val="0"/>
              <w:pageBreakBefore w:val="0"/>
              <w:widowControl/>
              <w:numPr>
                <w:ilvl w:val="0"/>
                <w:numId w:val="6"/>
              </w:numPr>
              <w:kinsoku/>
              <w:wordWrap/>
              <w:overflowPunct/>
              <w:topLinePunct w:val="0"/>
              <w:autoSpaceDE/>
              <w:autoSpaceDN/>
              <w:bidi w:val="0"/>
              <w:adjustRightInd/>
              <w:snapToGrid w:val="0"/>
              <w:spacing w:line="240" w:lineRule="auto"/>
              <w:ind w:left="0" w:leftChars="0" w:firstLine="420" w:firstLineChars="200"/>
              <w:jc w:val="left"/>
              <w:textAlignment w:val="center"/>
              <w:rPr>
                <w:rFonts w:hint="default"/>
                <w:highlight w:val="none"/>
                <w:lang w:val="en-US" w:eastAsia="zh-CN"/>
              </w:rPr>
            </w:pPr>
            <w:r>
              <w:rPr>
                <w:rFonts w:hint="default"/>
                <w:highlight w:val="none"/>
                <w:lang w:val="en-US" w:eastAsia="zh-CN"/>
              </w:rPr>
              <w:t>投标人所投AI摄像机制造商应具有雄厚的技术实力，所投产品的制造商获得国家级科学技术进步奖的得3分，获得省级科技进步奖项的得1分，没有的不得分。(投标时提供有效证明材料复印件并加盖原厂商公章);</w:t>
            </w:r>
          </w:p>
          <w:p w14:paraId="79570EA4">
            <w:pPr>
              <w:keepNext w:val="0"/>
              <w:keepLines w:val="0"/>
              <w:pageBreakBefore w:val="0"/>
              <w:widowControl/>
              <w:numPr>
                <w:ilvl w:val="0"/>
                <w:numId w:val="6"/>
              </w:numPr>
              <w:kinsoku/>
              <w:wordWrap/>
              <w:overflowPunct/>
              <w:topLinePunct w:val="0"/>
              <w:autoSpaceDE/>
              <w:autoSpaceDN/>
              <w:bidi w:val="0"/>
              <w:adjustRightInd/>
              <w:snapToGrid w:val="0"/>
              <w:spacing w:line="240" w:lineRule="auto"/>
              <w:ind w:left="0" w:leftChars="0" w:firstLine="420" w:firstLineChars="200"/>
              <w:jc w:val="left"/>
              <w:textAlignment w:val="center"/>
              <w:rPr>
                <w:rFonts w:hint="default"/>
                <w:highlight w:val="none"/>
                <w:lang w:val="en-US" w:eastAsia="zh-CN"/>
              </w:rPr>
            </w:pPr>
            <w:r>
              <w:rPr>
                <w:rFonts w:hint="default"/>
                <w:highlight w:val="none"/>
                <w:lang w:val="en-US" w:eastAsia="zh-CN"/>
              </w:rPr>
              <w:t>投标人或所投 AI摄像机制造商应能保障产品的技术、质量指标和提升服务水平，能提供省级及以上职能部门颁发的管理创新示范企业证书，得2分，获得市级职能部门颁发的管理创新示范企业证书，得1分，没有的不得分;(投标时提供有效证明材料复印件并加盖制造商公章作为佐证材料);</w:t>
            </w:r>
          </w:p>
        </w:tc>
      </w:tr>
      <w:tr w14:paraId="04A4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jc w:val="center"/>
        </w:trPr>
        <w:tc>
          <w:tcPr>
            <w:tcW w:w="603" w:type="dxa"/>
            <w:vMerge w:val="restart"/>
            <w:noWrap w:val="0"/>
            <w:vAlign w:val="center"/>
          </w:tcPr>
          <w:p w14:paraId="04F67DD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综合部分</w:t>
            </w:r>
          </w:p>
          <w:p w14:paraId="3DFFEED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35</w:t>
            </w:r>
            <w:r>
              <w:rPr>
                <w:rFonts w:hint="eastAsia" w:ascii="宋体" w:hAnsi="宋体" w:cs="宋体"/>
                <w:b/>
                <w:bCs/>
                <w:color w:val="auto"/>
                <w:sz w:val="21"/>
                <w:szCs w:val="21"/>
                <w:highlight w:val="none"/>
              </w:rPr>
              <w:t>分</w:t>
            </w:r>
          </w:p>
        </w:tc>
        <w:tc>
          <w:tcPr>
            <w:tcW w:w="852" w:type="dxa"/>
            <w:vMerge w:val="restart"/>
            <w:noWrap w:val="0"/>
            <w:vAlign w:val="center"/>
          </w:tcPr>
          <w:p w14:paraId="319B435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综合</w:t>
            </w:r>
          </w:p>
          <w:p w14:paraId="2BEB91F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实力</w:t>
            </w:r>
          </w:p>
          <w:p w14:paraId="72114C1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12分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320705B7">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b/>
                <w:bCs/>
                <w:color w:val="auto"/>
                <w:sz w:val="21"/>
                <w:szCs w:val="21"/>
                <w:highlight w:val="none"/>
                <w:lang w:eastAsia="zh-CN"/>
              </w:rPr>
            </w:pPr>
            <w:r>
              <w:rPr>
                <w:rFonts w:hint="eastAsia" w:ascii="宋体" w:hAnsi="宋体" w:eastAsia="宋体" w:cs="宋体"/>
                <w:i w:val="0"/>
                <w:iCs w:val="0"/>
                <w:color w:val="auto"/>
                <w:kern w:val="0"/>
                <w:sz w:val="21"/>
                <w:szCs w:val="21"/>
                <w:u w:val="none"/>
                <w:shd w:val="clear"/>
                <w:lang w:val="en-US" w:eastAsia="zh-CN" w:bidi="ar"/>
              </w:rPr>
              <w:t>投标人或所投视联平台产品厂商具有公安部安全与警用电子产品质量检测中心出具的软件测试报告，提供得3分，不提供得0分。注：提供检测报告及证书复印</w:t>
            </w:r>
            <w:r>
              <w:rPr>
                <w:rFonts w:hint="eastAsia" w:ascii="宋体" w:hAnsi="宋体" w:eastAsia="宋体" w:cs="宋体"/>
                <w:i w:val="0"/>
                <w:iCs w:val="0"/>
                <w:color w:val="auto"/>
                <w:kern w:val="0"/>
                <w:sz w:val="21"/>
                <w:szCs w:val="21"/>
                <w:u w:val="none"/>
                <w:lang w:val="en-US" w:eastAsia="zh-CN" w:bidi="ar"/>
              </w:rPr>
              <w:t>件。</w:t>
            </w:r>
          </w:p>
        </w:tc>
      </w:tr>
      <w:tr w14:paraId="318A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603" w:type="dxa"/>
            <w:vMerge w:val="continue"/>
            <w:noWrap w:val="0"/>
            <w:vAlign w:val="center"/>
          </w:tcPr>
          <w:p w14:paraId="46833B18">
            <w:pPr>
              <w:adjustRightInd w:val="0"/>
              <w:snapToGrid w:val="0"/>
              <w:spacing w:line="400" w:lineRule="exact"/>
              <w:rPr>
                <w:rFonts w:hint="eastAsia" w:ascii="宋体" w:hAnsi="宋体" w:cs="宋体"/>
                <w:b/>
                <w:bCs/>
                <w:color w:val="auto"/>
                <w:sz w:val="21"/>
                <w:szCs w:val="21"/>
                <w:highlight w:val="none"/>
                <w:lang w:eastAsia="zh-CN"/>
              </w:rPr>
            </w:pPr>
          </w:p>
        </w:tc>
        <w:tc>
          <w:tcPr>
            <w:tcW w:w="852" w:type="dxa"/>
            <w:vMerge w:val="continue"/>
            <w:noWrap w:val="0"/>
            <w:vAlign w:val="center"/>
          </w:tcPr>
          <w:p w14:paraId="1F359DBD">
            <w:pPr>
              <w:adjustRightInd w:val="0"/>
              <w:snapToGrid w:val="0"/>
              <w:spacing w:line="400" w:lineRule="exact"/>
              <w:rPr>
                <w:rFonts w:hint="eastAsia" w:ascii="宋体" w:hAnsi="宋体" w:cs="宋体"/>
                <w:b/>
                <w:bCs/>
                <w:color w:val="auto"/>
                <w:sz w:val="21"/>
                <w:szCs w:val="21"/>
                <w:highlight w:val="none"/>
                <w:lang w:eastAsia="zh-CN"/>
              </w:rPr>
            </w:pPr>
          </w:p>
        </w:tc>
        <w:tc>
          <w:tcPr>
            <w:tcW w:w="7604" w:type="dxa"/>
            <w:shd w:val="clear" w:color="auto" w:fill="auto"/>
            <w:noWrap w:val="0"/>
            <w:vAlign w:val="center"/>
          </w:tcPr>
          <w:p w14:paraId="1066B05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b/>
                <w:bCs/>
                <w:color w:val="auto"/>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投标人或所投产品厂商具有“AI智能分析平台”、“</w:t>
            </w:r>
            <w:r>
              <w:rPr>
                <w:rFonts w:hint="eastAsia" w:ascii="宋体" w:hAnsi="宋体" w:eastAsia="宋体" w:cs="宋体"/>
                <w:i w:val="0"/>
                <w:iCs w:val="0"/>
                <w:color w:val="auto"/>
                <w:kern w:val="0"/>
                <w:sz w:val="21"/>
                <w:szCs w:val="21"/>
                <w:u w:val="none"/>
                <w:shd w:val="clear"/>
                <w:lang w:val="en-US" w:eastAsia="zh-CN" w:bidi="ar"/>
              </w:rPr>
              <w:t>视联能力开放平台</w:t>
            </w:r>
            <w:r>
              <w:rPr>
                <w:rFonts w:hint="eastAsia" w:ascii="宋体" w:hAnsi="宋体" w:eastAsia="宋体" w:cs="宋体"/>
                <w:i w:val="0"/>
                <w:iCs w:val="0"/>
                <w:color w:val="000000"/>
                <w:kern w:val="0"/>
                <w:sz w:val="21"/>
                <w:szCs w:val="21"/>
                <w:u w:val="none"/>
                <w:lang w:val="en-US" w:eastAsia="zh-CN" w:bidi="ar"/>
              </w:rPr>
              <w:t>”、“视联装维”方面软件著作权登记证书的，每提供1项得3分，最高得9分，不提供得0分。注：提供证书复印件。</w:t>
            </w:r>
          </w:p>
        </w:tc>
      </w:tr>
      <w:tr w14:paraId="3E1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6" w:hRule="atLeast"/>
          <w:jc w:val="center"/>
        </w:trPr>
        <w:tc>
          <w:tcPr>
            <w:tcW w:w="603" w:type="dxa"/>
            <w:vMerge w:val="continue"/>
            <w:noWrap w:val="0"/>
            <w:vAlign w:val="center"/>
          </w:tcPr>
          <w:p w14:paraId="257766F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rPr>
            </w:pPr>
          </w:p>
        </w:tc>
        <w:tc>
          <w:tcPr>
            <w:tcW w:w="852" w:type="dxa"/>
            <w:noWrap w:val="0"/>
            <w:vAlign w:val="center"/>
          </w:tcPr>
          <w:p w14:paraId="6FF6282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eastAsiaTheme="minorEastAsia"/>
                <w:b/>
                <w:bCs/>
                <w:color w:val="auto"/>
                <w:sz w:val="21"/>
                <w:szCs w:val="21"/>
                <w:highlight w:val="none"/>
                <w:lang w:eastAsia="zh-CN"/>
              </w:rPr>
            </w:pPr>
            <w:r>
              <w:rPr>
                <w:rFonts w:hint="eastAsia" w:ascii="宋体" w:hAnsi="宋体" w:cs="宋体"/>
                <w:b/>
                <w:bCs/>
                <w:color w:val="auto"/>
                <w:sz w:val="21"/>
                <w:szCs w:val="21"/>
                <w:highlight w:val="none"/>
                <w:lang w:val="en-US" w:eastAsia="zh-CN"/>
              </w:rPr>
              <w:t>项目管理机构</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2分</w:t>
            </w:r>
            <w:r>
              <w:rPr>
                <w:rFonts w:hint="eastAsia" w:ascii="宋体" w:hAnsi="宋体" w:cs="宋体"/>
                <w:b/>
                <w:bCs/>
                <w:color w:val="auto"/>
                <w:sz w:val="21"/>
                <w:szCs w:val="21"/>
                <w:highlight w:val="none"/>
                <w:lang w:eastAsia="zh-CN"/>
              </w:rPr>
              <w:t>）</w:t>
            </w:r>
          </w:p>
        </w:tc>
        <w:tc>
          <w:tcPr>
            <w:tcW w:w="7604" w:type="dxa"/>
            <w:noWrap w:val="0"/>
            <w:vAlign w:val="center"/>
          </w:tcPr>
          <w:p w14:paraId="5F47F152">
            <w:pPr>
              <w:adjustRightInd w:val="0"/>
              <w:snapToGrid w:val="0"/>
              <w:spacing w:line="400" w:lineRule="exac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投标人拟参与项目负责人及相关项目组成员资质能力水平情况：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1、项目负责人：具有项目管理(PMP)或计算机相关专业高级及以上证书的，提供证书扫描件得1分，不提供不得分。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2、项目团队人员：除项目负责人外，其他团队人员具有项目管理(PMP)或计算机专业高级及以上证书的，得1分，不提供不得分。</w:t>
            </w:r>
          </w:p>
        </w:tc>
      </w:tr>
      <w:tr w14:paraId="04BD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3" w:type="dxa"/>
            <w:vMerge w:val="continue"/>
            <w:noWrap w:val="0"/>
            <w:vAlign w:val="center"/>
          </w:tcPr>
          <w:p w14:paraId="6910492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p>
        </w:tc>
        <w:tc>
          <w:tcPr>
            <w:tcW w:w="852" w:type="dxa"/>
            <w:shd w:val="clear" w:color="auto" w:fill="auto"/>
            <w:noWrap w:val="0"/>
            <w:vAlign w:val="center"/>
          </w:tcPr>
          <w:p w14:paraId="66D2BD7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业绩案例</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7EB03645">
            <w:pPr>
              <w:shd w:val="clear"/>
              <w:adjustRightInd w:val="0"/>
              <w:snapToGrid w:val="0"/>
              <w:spacing w:line="400" w:lineRule="exac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投标人或所投产品厂商自2023</w:t>
            </w:r>
            <w:r>
              <w:rPr>
                <w:rFonts w:hint="eastAsia" w:ascii="宋体" w:hAnsi="宋体" w:eastAsia="宋体" w:cs="宋体"/>
                <w:i w:val="0"/>
                <w:iCs w:val="0"/>
                <w:color w:val="000000"/>
                <w:kern w:val="0"/>
                <w:sz w:val="21"/>
                <w:szCs w:val="21"/>
                <w:u w:val="none"/>
                <w:shd w:val="clear"/>
                <w:lang w:val="en-US" w:eastAsia="zh-CN" w:bidi="ar"/>
              </w:rPr>
              <w:t>年1月1日以来，提供本项目类似业绩或软件开发部署行业相关的业绩，每个项目计2分，最多计6分。注：提供合同或中标通知书复印</w:t>
            </w:r>
            <w:r>
              <w:rPr>
                <w:rFonts w:hint="eastAsia" w:ascii="宋体" w:hAnsi="宋体" w:eastAsia="宋体" w:cs="宋体"/>
                <w:i w:val="0"/>
                <w:iCs w:val="0"/>
                <w:color w:val="000000"/>
                <w:kern w:val="0"/>
                <w:sz w:val="21"/>
                <w:szCs w:val="21"/>
                <w:u w:val="none"/>
                <w:lang w:val="en-US" w:eastAsia="zh-CN" w:bidi="ar"/>
              </w:rPr>
              <w:t>件</w:t>
            </w:r>
          </w:p>
        </w:tc>
      </w:tr>
      <w:tr w14:paraId="3ED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03" w:type="dxa"/>
            <w:vMerge w:val="continue"/>
            <w:noWrap w:val="0"/>
            <w:vAlign w:val="center"/>
          </w:tcPr>
          <w:p w14:paraId="2797E4F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p>
        </w:tc>
        <w:tc>
          <w:tcPr>
            <w:tcW w:w="852" w:type="dxa"/>
            <w:shd w:val="clear" w:color="auto" w:fill="auto"/>
            <w:noWrap w:val="0"/>
            <w:vAlign w:val="center"/>
          </w:tcPr>
          <w:p w14:paraId="28B017A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质保及售后服务</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4分</w:t>
            </w:r>
            <w:r>
              <w:rPr>
                <w:rFonts w:hint="eastAsia" w:ascii="宋体" w:hAnsi="宋体" w:cs="宋体"/>
                <w:b/>
                <w:bCs/>
                <w:color w:val="auto"/>
                <w:sz w:val="21"/>
                <w:szCs w:val="21"/>
                <w:highlight w:val="none"/>
                <w:lang w:eastAsia="zh-CN"/>
              </w:rPr>
              <w:t>）</w:t>
            </w:r>
          </w:p>
        </w:tc>
        <w:tc>
          <w:tcPr>
            <w:tcW w:w="7604" w:type="dxa"/>
            <w:shd w:val="clear" w:color="auto" w:fill="auto"/>
            <w:noWrap w:val="0"/>
            <w:vAlign w:val="center"/>
          </w:tcPr>
          <w:p w14:paraId="71580C8D">
            <w:pPr>
              <w:adjustRightInd w:val="0"/>
              <w:snapToGrid w:val="0"/>
              <w:spacing w:line="4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售后服务内容、方式详尽程度，流程清晰程度及售后服务响应时间、应急处理能力综合评定：合理，可行性高，得4分；合理，可行性比较高，得2分；可行性一般，得1分。无此项内容不得分。</w:t>
            </w:r>
          </w:p>
        </w:tc>
      </w:tr>
      <w:tr w14:paraId="4306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603" w:type="dxa"/>
            <w:vMerge w:val="continue"/>
            <w:noWrap w:val="0"/>
            <w:vAlign w:val="center"/>
          </w:tcPr>
          <w:p w14:paraId="16AB21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rPr>
            </w:pPr>
          </w:p>
        </w:tc>
        <w:tc>
          <w:tcPr>
            <w:tcW w:w="852" w:type="dxa"/>
            <w:noWrap w:val="0"/>
            <w:vAlign w:val="center"/>
          </w:tcPr>
          <w:p w14:paraId="6181BBC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color w:val="auto"/>
                <w:sz w:val="21"/>
                <w:szCs w:val="21"/>
                <w:highlight w:val="none"/>
                <w:lang w:val="en-US" w:eastAsia="zh-CN"/>
              </w:rPr>
            </w:pPr>
            <w:r>
              <w:rPr>
                <w:rFonts w:hint="eastAsia"/>
                <w:b/>
                <w:bCs/>
                <w:color w:val="auto"/>
                <w:sz w:val="21"/>
                <w:szCs w:val="21"/>
                <w:highlight w:val="none"/>
                <w:lang w:val="en-US" w:eastAsia="zh-CN"/>
              </w:rPr>
              <w:t>实施服务保障（4分）</w:t>
            </w:r>
          </w:p>
        </w:tc>
        <w:tc>
          <w:tcPr>
            <w:tcW w:w="7604" w:type="dxa"/>
            <w:noWrap w:val="0"/>
            <w:vAlign w:val="center"/>
          </w:tcPr>
          <w:p w14:paraId="11315186">
            <w:pPr>
              <w:keepNext w:val="0"/>
              <w:keepLines w:val="0"/>
              <w:widowControl/>
              <w:suppressLineNumbers w:val="0"/>
              <w:spacing w:line="240" w:lineRule="auto"/>
              <w:ind w:left="0" w:leftChars="0" w:firstLine="420" w:firstLineChars="200"/>
              <w:jc w:val="lef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针对本项目提供含进度安排、人员安排、风险控制、质量管理等完整实施方案。（4分）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（1）实施服务保障方案能够切合本次采购要求，论述详尽，清晰全面、科学合理、细致具体、可操作性强的得4分；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（2）实施服务保障方案说明较清晰全面、较科学合理、可操作性较强的得2分；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（3）实施服务保障方案基本科学合理、可操作性一般的得1分；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（4）未提供相关方案或提供差的不得分。</w:t>
            </w:r>
          </w:p>
        </w:tc>
      </w:tr>
      <w:tr w14:paraId="455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603" w:type="dxa"/>
            <w:vMerge w:val="continue"/>
            <w:noWrap w:val="0"/>
            <w:vAlign w:val="center"/>
          </w:tcPr>
          <w:p w14:paraId="029F6D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rPr>
            </w:pPr>
          </w:p>
        </w:tc>
        <w:tc>
          <w:tcPr>
            <w:tcW w:w="852" w:type="dxa"/>
            <w:noWrap w:val="0"/>
            <w:vAlign w:val="center"/>
          </w:tcPr>
          <w:p w14:paraId="3078A75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供货</w:t>
            </w:r>
          </w:p>
          <w:p w14:paraId="24C1E4B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保障</w:t>
            </w:r>
          </w:p>
          <w:p w14:paraId="2B1AE6E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（3分）</w:t>
            </w:r>
          </w:p>
        </w:tc>
        <w:tc>
          <w:tcPr>
            <w:tcW w:w="7604" w:type="dxa"/>
            <w:noWrap w:val="0"/>
            <w:vAlign w:val="center"/>
          </w:tcPr>
          <w:p w14:paraId="263A8FEC">
            <w:pPr>
              <w:keepNext w:val="0"/>
              <w:keepLines w:val="0"/>
              <w:widowControl/>
              <w:suppressLineNumbers w:val="0"/>
              <w:spacing w:line="240" w:lineRule="auto"/>
              <w:ind w:left="0" w:leftChars="0" w:firstLine="420" w:firstLineChars="20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针对本项目提供的含保障措施、供货安装等完整供货保障方案。（3分）</w:t>
            </w:r>
          </w:p>
          <w:p w14:paraId="72DA0467">
            <w:pPr>
              <w:keepNext w:val="0"/>
              <w:keepLines w:val="0"/>
              <w:widowControl/>
              <w:suppressLineNumbers w:val="0"/>
              <w:spacing w:line="240" w:lineRule="auto"/>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（1）内容全面详实，切实可行，思路清晰，能够保证项目顺利实施；方案实施对本项目特点把握准确，要点、重点、难点的分析准确、合理，针对性强得3分；</w:t>
            </w:r>
          </w:p>
          <w:p w14:paraId="43997717">
            <w:pPr>
              <w:keepNext w:val="0"/>
              <w:keepLines w:val="0"/>
              <w:widowControl/>
              <w:suppressLineNumbers w:val="0"/>
              <w:spacing w:line="240" w:lineRule="auto"/>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（2）内容阐述一般，内容不完整，需要经过调整后方能保证项目实施；方案实施对本项目特点把握不够，要点、重点、难点的分析不够全面，针对性不强，多方面需要进一步完善甚至重新考虑得1分；</w:t>
            </w:r>
          </w:p>
          <w:p w14:paraId="7C15B738">
            <w:pPr>
              <w:keepNext w:val="0"/>
              <w:keepLines w:val="0"/>
              <w:widowControl/>
              <w:suppressLineNumbers w:val="0"/>
              <w:spacing w:line="240" w:lineRule="auto"/>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（3）内容阐述差，内容描述差，需要调整后方能保证项目实施；方案实施对本项目特点把握较差，要点、重点、难点的分析较差，针对性较差，得0.5分；</w:t>
            </w:r>
          </w:p>
          <w:p w14:paraId="7CEB796A">
            <w:pPr>
              <w:keepNext w:val="0"/>
              <w:keepLines w:val="0"/>
              <w:widowControl/>
              <w:suppressLineNumbers w:val="0"/>
              <w:spacing w:line="240" w:lineRule="auto"/>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（4）未提供方案得0分。</w:t>
            </w:r>
          </w:p>
        </w:tc>
      </w:tr>
      <w:tr w14:paraId="2D1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603" w:type="dxa"/>
            <w:vMerge w:val="continue"/>
            <w:noWrap w:val="0"/>
            <w:vAlign w:val="center"/>
          </w:tcPr>
          <w:p w14:paraId="614ADE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rPr>
            </w:pPr>
          </w:p>
        </w:tc>
        <w:tc>
          <w:tcPr>
            <w:tcW w:w="852" w:type="dxa"/>
            <w:noWrap w:val="0"/>
            <w:vAlign w:val="center"/>
          </w:tcPr>
          <w:p w14:paraId="7AF9C8E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培训</w:t>
            </w:r>
          </w:p>
          <w:p w14:paraId="00A49C2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方案</w:t>
            </w:r>
          </w:p>
          <w:p w14:paraId="50C6A2B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（4分）</w:t>
            </w:r>
          </w:p>
          <w:p w14:paraId="20A619F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eastAsia"/>
                <w:b/>
                <w:bCs/>
                <w:color w:val="auto"/>
                <w:sz w:val="21"/>
                <w:szCs w:val="21"/>
                <w:highlight w:val="none"/>
                <w:lang w:val="en-US" w:eastAsia="zh-CN"/>
              </w:rPr>
            </w:pPr>
          </w:p>
        </w:tc>
        <w:tc>
          <w:tcPr>
            <w:tcW w:w="7604" w:type="dxa"/>
            <w:noWrap w:val="0"/>
            <w:vAlign w:val="center"/>
          </w:tcPr>
          <w:p w14:paraId="004CAF37">
            <w:pPr>
              <w:keepNext w:val="0"/>
              <w:keepLines w:val="0"/>
              <w:widowControl/>
              <w:suppressLineNumbers w:val="0"/>
              <w:spacing w:line="240" w:lineRule="auto"/>
              <w:ind w:firstLine="420" w:firstLineChars="200"/>
              <w:jc w:val="left"/>
              <w:rPr>
                <w:rFonts w:hint="eastAsia" w:ascii="宋体" w:hAnsi="宋体" w:cs="宋体"/>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产品培训：投标人承诺为项目交付的软件产品提供培训，提供一份切实可行的培训方案，包括但不限于培训计划安排、培训内容、培训手册等，评委根据投标人的方案及承诺打分 。（4分）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（1）培训方案阐述详细完善，针对性和可执行性强得4分；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（2）培训方案阐述较详细完善，针对性和可执行性较强得2分；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（3）培训方案阐述有待完善得1分；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（4）未提供相关方案或提供差的不得分。</w:t>
            </w:r>
          </w:p>
        </w:tc>
      </w:tr>
    </w:tbl>
    <w:p w14:paraId="43774017">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p>
    <w:p w14:paraId="1E278E77">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评审方法</w:t>
      </w:r>
      <w:bookmarkEnd w:id="735"/>
      <w:bookmarkEnd w:id="736"/>
      <w:bookmarkEnd w:id="737"/>
      <w:bookmarkEnd w:id="738"/>
      <w:bookmarkEnd w:id="739"/>
      <w:bookmarkEnd w:id="740"/>
      <w:bookmarkEnd w:id="741"/>
      <w:bookmarkEnd w:id="742"/>
      <w:bookmarkEnd w:id="743"/>
    </w:p>
    <w:p w14:paraId="5154E18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en-US"/>
        </w:rPr>
      </w:pPr>
      <w:r>
        <w:rPr>
          <w:rFonts w:hint="eastAsia" w:ascii="宋体" w:hAnsi="宋体" w:eastAsia="宋体" w:cs="宋体"/>
          <w:color w:val="auto"/>
          <w:szCs w:val="21"/>
          <w:highlight w:val="none"/>
          <w:lang w:val="en-US" w:eastAsia="zh-CN" w:bidi="en-US"/>
        </w:rPr>
        <w:t>1.1</w:t>
      </w:r>
      <w:r>
        <w:rPr>
          <w:rFonts w:hint="eastAsia" w:ascii="宋体" w:hAnsi="宋体" w:eastAsia="宋体" w:cs="宋体"/>
          <w:color w:val="auto"/>
          <w:szCs w:val="21"/>
          <w:highlight w:val="none"/>
          <w:lang w:bidi="en-US"/>
        </w:rPr>
        <w:t>提供相同品牌产品且通过资格审查、符合性审查的不同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参加同一合同项下投标的，按一家</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计算，评审后得分最高的同品牌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获得</w:t>
      </w:r>
      <w:r>
        <w:rPr>
          <w:rFonts w:hint="eastAsia" w:ascii="宋体" w:hAnsi="宋体" w:eastAsia="宋体" w:cs="宋体"/>
          <w:color w:val="auto"/>
          <w:szCs w:val="21"/>
          <w:highlight w:val="none"/>
          <w:lang w:eastAsia="zh-CN" w:bidi="en-US"/>
        </w:rPr>
        <w:t>成交人</w:t>
      </w:r>
      <w:r>
        <w:rPr>
          <w:rFonts w:hint="eastAsia" w:ascii="宋体" w:hAnsi="宋体" w:eastAsia="宋体" w:cs="宋体"/>
          <w:color w:val="auto"/>
          <w:szCs w:val="21"/>
          <w:highlight w:val="none"/>
          <w:lang w:bidi="en-US"/>
        </w:rPr>
        <w:t>推荐资格；评审得分相同的采取随机抽取方式确定，其他同品牌</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不作为</w:t>
      </w:r>
      <w:r>
        <w:rPr>
          <w:rFonts w:hint="eastAsia" w:ascii="宋体" w:hAnsi="宋体" w:eastAsia="宋体" w:cs="宋体"/>
          <w:color w:val="auto"/>
          <w:szCs w:val="21"/>
          <w:highlight w:val="none"/>
          <w:lang w:eastAsia="zh-CN" w:bidi="en-US"/>
        </w:rPr>
        <w:t>成交</w:t>
      </w:r>
      <w:r>
        <w:rPr>
          <w:rFonts w:hint="eastAsia" w:ascii="宋体" w:hAnsi="宋体" w:eastAsia="宋体" w:cs="宋体"/>
          <w:color w:val="auto"/>
          <w:szCs w:val="21"/>
          <w:highlight w:val="none"/>
          <w:lang w:bidi="en-US"/>
        </w:rPr>
        <w:t>候选人。</w:t>
      </w:r>
    </w:p>
    <w:p w14:paraId="50E25F8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en-US"/>
        </w:rPr>
      </w:pPr>
      <w:r>
        <w:rPr>
          <w:rFonts w:hint="eastAsia" w:ascii="宋体" w:hAnsi="宋体" w:eastAsia="宋体" w:cs="宋体"/>
          <w:color w:val="auto"/>
          <w:szCs w:val="21"/>
          <w:highlight w:val="none"/>
          <w:lang w:eastAsia="zh-CN" w:bidi="en-US"/>
        </w:rPr>
        <w:t>本项目为</w:t>
      </w:r>
      <w:r>
        <w:rPr>
          <w:rFonts w:hint="eastAsia" w:ascii="宋体" w:hAnsi="宋体" w:eastAsia="宋体" w:cs="宋体"/>
          <w:color w:val="auto"/>
          <w:szCs w:val="21"/>
          <w:highlight w:val="none"/>
          <w:lang w:bidi="en-US"/>
        </w:rPr>
        <w:t>非单一产品采购项目，多家</w:t>
      </w:r>
      <w:r>
        <w:rPr>
          <w:rFonts w:hint="eastAsia" w:ascii="宋体" w:hAnsi="宋体" w:eastAsia="宋体" w:cs="宋体"/>
          <w:color w:val="auto"/>
          <w:szCs w:val="21"/>
          <w:highlight w:val="none"/>
          <w:lang w:eastAsia="zh-CN" w:bidi="en-US"/>
        </w:rPr>
        <w:t>供应商</w:t>
      </w:r>
      <w:r>
        <w:rPr>
          <w:rFonts w:hint="eastAsia" w:ascii="宋体" w:hAnsi="宋体" w:eastAsia="宋体" w:cs="宋体"/>
          <w:color w:val="auto"/>
          <w:szCs w:val="21"/>
          <w:highlight w:val="none"/>
          <w:lang w:bidi="en-US"/>
        </w:rPr>
        <w:t>提供的核心产品品牌</w:t>
      </w:r>
      <w:r>
        <w:rPr>
          <w:rFonts w:hint="eastAsia" w:ascii="宋体" w:hAnsi="宋体" w:eastAsia="宋体" w:cs="宋体"/>
          <w:color w:val="auto"/>
          <w:szCs w:val="21"/>
          <w:highlight w:val="none"/>
          <w:lang w:eastAsia="zh-CN" w:bidi="en-US"/>
        </w:rPr>
        <w:t>全部</w:t>
      </w:r>
      <w:r>
        <w:rPr>
          <w:rFonts w:hint="eastAsia" w:ascii="宋体" w:hAnsi="宋体" w:eastAsia="宋体" w:cs="宋体"/>
          <w:color w:val="auto"/>
          <w:szCs w:val="21"/>
          <w:highlight w:val="none"/>
          <w:lang w:bidi="en-US"/>
        </w:rPr>
        <w:t>相同的，按前款规定处理</w:t>
      </w:r>
      <w:r>
        <w:rPr>
          <w:rFonts w:hint="eastAsia" w:ascii="宋体" w:hAnsi="宋体" w:eastAsia="宋体" w:cs="宋体"/>
          <w:color w:val="auto"/>
          <w:szCs w:val="21"/>
          <w:highlight w:val="none"/>
          <w:lang w:eastAsia="zh-CN" w:bidi="en-US"/>
        </w:rPr>
        <w:t>，否则，视为按多家供应商计算</w:t>
      </w:r>
      <w:r>
        <w:rPr>
          <w:rFonts w:hint="eastAsia" w:ascii="宋体" w:hAnsi="宋体" w:eastAsia="宋体" w:cs="宋体"/>
          <w:color w:val="auto"/>
          <w:sz w:val="21"/>
          <w:szCs w:val="21"/>
          <w:highlight w:val="none"/>
          <w:lang w:eastAsia="zh-CN"/>
        </w:rPr>
        <w:t>（非单一产品采购时适用）</w:t>
      </w:r>
      <w:r>
        <w:rPr>
          <w:rFonts w:hint="eastAsia" w:ascii="宋体" w:hAnsi="宋体" w:eastAsia="宋体" w:cs="宋体"/>
          <w:color w:val="auto"/>
          <w:szCs w:val="21"/>
          <w:highlight w:val="none"/>
          <w:lang w:eastAsia="zh-CN" w:bidi="en-US"/>
        </w:rPr>
        <w:t>。</w:t>
      </w:r>
    </w:p>
    <w:p w14:paraId="2743B6F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en-US"/>
        </w:rPr>
        <w:t>本次评审采用综合评分法。磋商小组对满足</w:t>
      </w:r>
      <w:r>
        <w:rPr>
          <w:rFonts w:hint="eastAsia" w:ascii="宋体" w:hAnsi="宋体" w:eastAsia="宋体" w:cs="宋体"/>
          <w:color w:val="auto"/>
          <w:szCs w:val="21"/>
          <w:highlight w:val="none"/>
          <w:lang w:eastAsia="zh-CN" w:bidi="en-US"/>
        </w:rPr>
        <w:t>竞争性磋商文件</w:t>
      </w:r>
      <w:r>
        <w:rPr>
          <w:rFonts w:hint="eastAsia" w:ascii="宋体" w:hAnsi="宋体" w:eastAsia="宋体" w:cs="宋体"/>
          <w:color w:val="auto"/>
          <w:szCs w:val="21"/>
          <w:highlight w:val="none"/>
          <w:lang w:bidi="en-US"/>
        </w:rPr>
        <w:t>实质性要求的响应文件</w:t>
      </w:r>
      <w:r>
        <w:rPr>
          <w:rFonts w:hint="eastAsia" w:ascii="宋体" w:hAnsi="宋体" w:eastAsia="宋体" w:cs="宋体"/>
          <w:color w:val="auto"/>
          <w:szCs w:val="21"/>
          <w:highlight w:val="none"/>
        </w:rPr>
        <w:t>，按照本章规定的评分标准进行打分，并按得分由高到低顺序推荐成交候选人，</w:t>
      </w:r>
      <w:r>
        <w:rPr>
          <w:rFonts w:hint="eastAsia" w:ascii="宋体" w:hAnsi="宋体" w:eastAsia="宋体" w:cs="宋体"/>
          <w:color w:val="auto"/>
          <w:kern w:val="0"/>
          <w:szCs w:val="21"/>
          <w:highlight w:val="none"/>
        </w:rPr>
        <w:t>综合评分相等时，以报价得分高的优先；报价得分也相等的，由采购人自行确定。</w:t>
      </w:r>
      <w:bookmarkStart w:id="748" w:name="_Toc152042378"/>
      <w:bookmarkStart w:id="749" w:name="_Toc26131"/>
      <w:bookmarkStart w:id="750" w:name="_Toc6612"/>
      <w:bookmarkStart w:id="751" w:name="_Toc466298140"/>
      <w:bookmarkStart w:id="752" w:name="_Toc281405529"/>
      <w:bookmarkStart w:id="753" w:name="_Toc29362"/>
      <w:bookmarkStart w:id="754" w:name="_Toc144974568"/>
      <w:bookmarkStart w:id="755" w:name="_Toc152045601"/>
      <w:bookmarkStart w:id="756" w:name="_Toc490667876"/>
      <w:bookmarkStart w:id="757" w:name="_Toc24936"/>
      <w:bookmarkStart w:id="758" w:name="_Toc20837"/>
      <w:bookmarkStart w:id="759" w:name="_Toc455867817"/>
      <w:bookmarkStart w:id="760" w:name="_Toc318450723"/>
      <w:bookmarkStart w:id="761" w:name="_Toc455080157"/>
    </w:p>
    <w:p w14:paraId="031C37D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sz w:val="21"/>
          <w:szCs w:val="21"/>
          <w:highlight w:val="none"/>
        </w:rPr>
        <w:t>经评标委员会初步评审后有效投标不足3个的，评标委员会应予废标。</w:t>
      </w:r>
    </w:p>
    <w:p w14:paraId="02E4868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评审标准</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Start w:id="762" w:name="_Toc152042379"/>
      <w:bookmarkStart w:id="763" w:name="_Toc21120"/>
      <w:bookmarkStart w:id="764" w:name="_Toc25637"/>
      <w:bookmarkStart w:id="765" w:name="_Toc31037"/>
      <w:bookmarkStart w:id="766" w:name="_Toc455867818"/>
      <w:bookmarkStart w:id="767" w:name="_Toc144974569"/>
      <w:bookmarkStart w:id="768" w:name="_Toc19934"/>
      <w:bookmarkStart w:id="769" w:name="_Toc6711"/>
      <w:bookmarkStart w:id="770" w:name="_Toc318450724"/>
      <w:bookmarkStart w:id="771" w:name="_Toc490667877"/>
      <w:bookmarkStart w:id="772" w:name="_Toc281405530"/>
      <w:bookmarkStart w:id="773" w:name="_Toc455080158"/>
      <w:bookmarkStart w:id="774" w:name="_Toc11223"/>
      <w:bookmarkStart w:id="775" w:name="_Toc2867"/>
      <w:bookmarkStart w:id="776" w:name="_Toc24558"/>
      <w:bookmarkStart w:id="777" w:name="_Toc466298141"/>
      <w:bookmarkStart w:id="778" w:name="_Toc152045602"/>
      <w:bookmarkStart w:id="779" w:name="_Toc15813"/>
    </w:p>
    <w:p w14:paraId="1B14785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初步评审标准</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FCA0FA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资格检查评审标准：见评审办法前附表。</w:t>
      </w:r>
    </w:p>
    <w:p w14:paraId="4E112C7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性检查评审标准：见评审办法前附表。</w:t>
      </w:r>
    </w:p>
    <w:p w14:paraId="285F0C43">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780" w:name="_Toc24825"/>
      <w:bookmarkStart w:id="781" w:name="_Toc25492"/>
      <w:bookmarkStart w:id="782" w:name="_Toc144974570"/>
      <w:bookmarkStart w:id="783" w:name="_Toc152042380"/>
      <w:bookmarkStart w:id="784" w:name="_Toc39"/>
      <w:bookmarkStart w:id="785" w:name="_Toc455867819"/>
      <w:bookmarkStart w:id="786" w:name="_Toc30189"/>
      <w:bookmarkStart w:id="787" w:name="_Toc318450725"/>
      <w:bookmarkStart w:id="788" w:name="_Toc466298142"/>
      <w:bookmarkStart w:id="789" w:name="_Toc21970"/>
      <w:bookmarkStart w:id="790" w:name="_Toc14435"/>
      <w:bookmarkStart w:id="791" w:name="_Toc152045603"/>
      <w:bookmarkStart w:id="792" w:name="_Toc26179"/>
      <w:bookmarkStart w:id="793" w:name="_Toc14049"/>
      <w:bookmarkStart w:id="794" w:name="_Toc7284"/>
      <w:bookmarkStart w:id="795" w:name="_Toc281405531"/>
      <w:bookmarkStart w:id="796" w:name="_Toc455080159"/>
      <w:bookmarkStart w:id="797" w:name="_Toc12013"/>
      <w:bookmarkStart w:id="798" w:name="_Toc22439"/>
      <w:bookmarkStart w:id="799" w:name="_Toc490667878"/>
      <w:bookmarkStart w:id="800" w:name="_Toc11061"/>
      <w:r>
        <w:rPr>
          <w:rFonts w:hint="eastAsia" w:ascii="宋体" w:hAnsi="宋体" w:eastAsia="宋体" w:cs="宋体"/>
          <w:b/>
          <w:bCs/>
          <w:color w:val="auto"/>
          <w:sz w:val="21"/>
          <w:szCs w:val="21"/>
          <w:highlight w:val="none"/>
        </w:rPr>
        <w:t>2.2 分值构成与评分标准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44D81489">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（1）商务标：见评审办法前附表；</w:t>
      </w:r>
    </w:p>
    <w:p w14:paraId="1BF052BF">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（2）技术标：见评审办法前附表；</w:t>
      </w:r>
    </w:p>
    <w:p w14:paraId="23223A76">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（3）综合标：见评审办法前附表。</w:t>
      </w:r>
    </w:p>
    <w:p w14:paraId="38812D07">
      <w:pPr>
        <w:pStyle w:val="48"/>
        <w:pageBreakBefore w:val="0"/>
        <w:widowControl w:val="0"/>
        <w:kinsoku/>
        <w:wordWrap/>
        <w:overflowPunct/>
        <w:topLinePunct w:val="0"/>
        <w:autoSpaceDE/>
        <w:autoSpaceDN/>
        <w:bidi w:val="0"/>
        <w:adjustRightInd/>
        <w:snapToGrid/>
        <w:spacing w:before="0" w:beforeLines="0" w:line="400" w:lineRule="exact"/>
        <w:textAlignment w:val="auto"/>
        <w:outlineLvl w:val="9"/>
        <w:rPr>
          <w:rFonts w:hint="eastAsia" w:ascii="宋体" w:hAnsi="宋体" w:eastAsia="宋体" w:cs="宋体"/>
          <w:b/>
          <w:bCs/>
          <w:color w:val="auto"/>
          <w:sz w:val="21"/>
          <w:szCs w:val="21"/>
          <w:highlight w:val="none"/>
        </w:rPr>
      </w:pPr>
      <w:bookmarkStart w:id="801" w:name="_Toc318450726"/>
      <w:bookmarkStart w:id="802" w:name="_Toc490667879"/>
      <w:bookmarkStart w:id="803" w:name="_Toc16479"/>
      <w:bookmarkStart w:id="804" w:name="_Toc18127"/>
      <w:bookmarkStart w:id="805" w:name="_Toc15782"/>
      <w:bookmarkStart w:id="806" w:name="_Toc32314"/>
      <w:bookmarkStart w:id="807" w:name="_Toc281405532"/>
      <w:bookmarkStart w:id="808" w:name="_Toc730"/>
      <w:bookmarkStart w:id="809" w:name="_Toc455080160"/>
      <w:bookmarkStart w:id="810" w:name="_Toc29297"/>
      <w:bookmarkStart w:id="811" w:name="_Toc8411"/>
      <w:bookmarkStart w:id="812" w:name="_Toc466298143"/>
      <w:bookmarkStart w:id="813" w:name="_Toc17308"/>
      <w:bookmarkStart w:id="814" w:name="_Toc455867820"/>
      <w:r>
        <w:rPr>
          <w:rFonts w:hint="eastAsia" w:ascii="宋体" w:hAnsi="宋体" w:eastAsia="宋体" w:cs="宋体"/>
          <w:b/>
          <w:bCs/>
          <w:color w:val="auto"/>
          <w:sz w:val="21"/>
          <w:szCs w:val="21"/>
          <w:highlight w:val="none"/>
        </w:rPr>
        <w:t>3. 评审程序</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77D95F6">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15" w:name="_Toc14153"/>
      <w:bookmarkStart w:id="816" w:name="_Toc318450727"/>
      <w:bookmarkStart w:id="817" w:name="_Toc18886"/>
      <w:bookmarkStart w:id="818" w:name="_Toc455080161"/>
      <w:bookmarkStart w:id="819" w:name="_Toc9439"/>
      <w:bookmarkStart w:id="820" w:name="_Toc455867821"/>
      <w:bookmarkStart w:id="821" w:name="_Toc9433"/>
      <w:bookmarkStart w:id="822" w:name="_Toc29614"/>
      <w:bookmarkStart w:id="823" w:name="_Toc2410"/>
      <w:bookmarkStart w:id="824" w:name="_Toc29092"/>
      <w:bookmarkStart w:id="825" w:name="_Toc30986"/>
      <w:bookmarkStart w:id="826" w:name="_Toc490667880"/>
      <w:bookmarkStart w:id="827" w:name="_Toc7272"/>
      <w:bookmarkStart w:id="828" w:name="_Toc14633"/>
      <w:bookmarkStart w:id="829" w:name="_Toc22310"/>
      <w:bookmarkStart w:id="830" w:name="_Toc281405533"/>
      <w:bookmarkStart w:id="831" w:name="_Toc466298144"/>
      <w:bookmarkStart w:id="832" w:name="_Toc16892"/>
      <w:bookmarkStart w:id="833" w:name="_Toc5427"/>
      <w:r>
        <w:rPr>
          <w:rFonts w:hint="eastAsia" w:ascii="宋体" w:hAnsi="宋体" w:eastAsia="宋体" w:cs="宋体"/>
          <w:b/>
          <w:bCs/>
          <w:color w:val="auto"/>
          <w:sz w:val="21"/>
          <w:szCs w:val="21"/>
          <w:highlight w:val="none"/>
        </w:rPr>
        <w:t>3.1 初步评审</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5074212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bookmarkStart w:id="834" w:name="_Toc12406"/>
      <w:bookmarkStart w:id="835" w:name="_Toc7121"/>
      <w:bookmarkStart w:id="836" w:name="_Toc26049"/>
      <w:bookmarkStart w:id="837" w:name="_Toc490667881"/>
      <w:bookmarkStart w:id="838" w:name="_Toc21570"/>
      <w:bookmarkStart w:id="839" w:name="_Toc318450728"/>
      <w:bookmarkStart w:id="840" w:name="_Toc22101"/>
      <w:bookmarkStart w:id="841" w:name="_Toc26280"/>
      <w:bookmarkStart w:id="842" w:name="_Toc10692"/>
      <w:bookmarkStart w:id="843" w:name="_Toc16964"/>
      <w:bookmarkStart w:id="844" w:name="_Toc281405534"/>
      <w:bookmarkStart w:id="845" w:name="_Toc13386"/>
      <w:bookmarkStart w:id="846" w:name="_Toc21032"/>
      <w:bookmarkStart w:id="847" w:name="_Toc466298145"/>
      <w:bookmarkStart w:id="848" w:name="_Toc455867822"/>
      <w:bookmarkStart w:id="849" w:name="_Toc455080162"/>
      <w:r>
        <w:rPr>
          <w:rFonts w:hint="eastAsia" w:ascii="宋体" w:hAnsi="宋体" w:eastAsia="宋体" w:cs="宋体"/>
          <w:color w:val="auto"/>
          <w:sz w:val="21"/>
          <w:szCs w:val="21"/>
          <w:highlight w:val="none"/>
        </w:rPr>
        <w:t>3.1.1只有通过资格审查的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才能进入</w:t>
      </w:r>
      <w:r>
        <w:rPr>
          <w:rFonts w:hint="eastAsia" w:ascii="宋体" w:hAnsi="宋体" w:eastAsia="宋体" w:cs="宋体"/>
          <w:color w:val="auto"/>
          <w:sz w:val="21"/>
          <w:szCs w:val="21"/>
          <w:highlight w:val="none"/>
          <w:lang w:eastAsia="zh-CN"/>
        </w:rPr>
        <w:t>符合性评审</w:t>
      </w:r>
      <w:r>
        <w:rPr>
          <w:rFonts w:hint="eastAsia" w:ascii="宋体" w:hAnsi="宋体" w:eastAsia="宋体" w:cs="宋体"/>
          <w:color w:val="auto"/>
          <w:sz w:val="21"/>
          <w:szCs w:val="21"/>
          <w:highlight w:val="none"/>
        </w:rPr>
        <w:t>。评标委员会依据</w:t>
      </w: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规定的内容和标准对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有一项不符合评审标准的，其投标做无效</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处理，不得进入详细评审。</w:t>
      </w:r>
    </w:p>
    <w:p w14:paraId="354AC82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供应商有以下情形之一的，其响应文件作无效处理：</w:t>
      </w:r>
    </w:p>
    <w:p w14:paraId="58C4D07D">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）串通或弄虚作假或有其他违法行为的；</w:t>
      </w:r>
    </w:p>
    <w:p w14:paraId="7B2CC697">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）不按磋商小组要求澄清、说明或补正的；</w:t>
      </w:r>
    </w:p>
    <w:p w14:paraId="56A1EE14">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）未按规定格式填写、内容不全或关键字迹模糊、无法辨认的；</w:t>
      </w:r>
    </w:p>
    <w:p w14:paraId="4E269834">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）响应文件附有采购人不能接受的条件；</w:t>
      </w:r>
    </w:p>
    <w:p w14:paraId="491E8DE0">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）不符合</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规定的其他实质性要求。</w:t>
      </w:r>
    </w:p>
    <w:p w14:paraId="49BF8B6C">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50" w:name="_Toc9114"/>
      <w:bookmarkStart w:id="851" w:name="_Toc22958"/>
      <w:bookmarkStart w:id="852" w:name="_Toc25342"/>
      <w:r>
        <w:rPr>
          <w:rFonts w:hint="eastAsia" w:ascii="宋体" w:hAnsi="宋体" w:eastAsia="宋体" w:cs="宋体"/>
          <w:b/>
          <w:bCs/>
          <w:color w:val="auto"/>
          <w:sz w:val="21"/>
          <w:szCs w:val="21"/>
          <w:highlight w:val="none"/>
        </w:rPr>
        <w:t>3.2 详细评审</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148676C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磋商小组按本章第2.2款规定的量化因素和分值进行打分，并计算出综合评分得分。</w:t>
      </w:r>
    </w:p>
    <w:p w14:paraId="0687AFF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6F5224F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3.2.3供应商的最终得分以全部小组成员打分的算术平均值为准，作为该供应商的最终得分。</w:t>
      </w:r>
    </w:p>
    <w:p w14:paraId="68AC402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3.2.4在磋商过程中，凡遇到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中无界定或界定不清、前后不一致使磋商小组意见有分歧且又难以协商一致的问题，均由磋商小组予以表决，获半数以上同意的即为通过，未获半数同意的即为否决。</w:t>
      </w:r>
    </w:p>
    <w:p w14:paraId="16009803">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bookmarkStart w:id="853" w:name="_Toc24862"/>
      <w:bookmarkStart w:id="854" w:name="_Toc22084"/>
      <w:bookmarkStart w:id="855" w:name="_Toc466298146"/>
      <w:bookmarkStart w:id="856" w:name="_Toc318450729"/>
      <w:bookmarkStart w:id="857" w:name="_Toc8342"/>
      <w:bookmarkStart w:id="858" w:name="_Toc331"/>
      <w:bookmarkStart w:id="859" w:name="_Toc455867823"/>
      <w:bookmarkStart w:id="860" w:name="_Toc10153"/>
      <w:bookmarkStart w:id="861" w:name="_Toc490667882"/>
      <w:bookmarkStart w:id="862" w:name="_Toc455080163"/>
      <w:bookmarkStart w:id="863" w:name="_Toc31192"/>
      <w:bookmarkStart w:id="864" w:name="_Toc9377"/>
      <w:bookmarkStart w:id="865" w:name="_Toc12374"/>
      <w:bookmarkStart w:id="866" w:name="_Toc2657"/>
      <w:bookmarkStart w:id="867" w:name="_Toc28633"/>
      <w:bookmarkStart w:id="868" w:name="_Toc8813"/>
      <w:bookmarkStart w:id="869" w:name="_Toc17468"/>
      <w:bookmarkStart w:id="870" w:name="_Toc281405535"/>
      <w:bookmarkStart w:id="871" w:name="_Toc11958"/>
      <w:r>
        <w:rPr>
          <w:rFonts w:hint="eastAsia" w:ascii="宋体" w:hAnsi="宋体" w:eastAsia="宋体" w:cs="宋体"/>
          <w:b/>
          <w:bCs/>
          <w:color w:val="auto"/>
          <w:sz w:val="21"/>
          <w:szCs w:val="21"/>
          <w:highlight w:val="none"/>
        </w:rPr>
        <w:t>3.3 响应文件的澄清和补正</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7D6F62CB">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638D9DD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澄清、说明和补正不得超出响应文件的范围或者改变响应文件的实质性内容（算术性错误修正的除外）。供应商的书面澄清、说明和补正属于响应文件的组成部分。</w:t>
      </w:r>
    </w:p>
    <w:p w14:paraId="12F8947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磋商小组对供应商提交的澄清、说明或补正有疑问的，可以要求供应商进一步澄清、说明或补正，直至满足磋商小组的要求。</w:t>
      </w:r>
    </w:p>
    <w:p w14:paraId="7D25D9BE">
      <w:pPr>
        <w:pStyle w:val="5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bookmarkStart w:id="872" w:name="_Toc31702"/>
      <w:bookmarkStart w:id="873" w:name="_Toc22682"/>
      <w:bookmarkStart w:id="874" w:name="_Toc19453"/>
      <w:bookmarkStart w:id="875" w:name="_Toc281405536"/>
      <w:bookmarkStart w:id="876" w:name="_Toc466298147"/>
      <w:bookmarkStart w:id="877" w:name="_Toc27205"/>
      <w:bookmarkStart w:id="878" w:name="_Toc26894"/>
      <w:bookmarkStart w:id="879" w:name="_Toc32183"/>
      <w:bookmarkStart w:id="880" w:name="_Toc19938"/>
      <w:bookmarkStart w:id="881" w:name="_Toc22049"/>
      <w:bookmarkStart w:id="882" w:name="_Toc490667883"/>
      <w:bookmarkStart w:id="883" w:name="_Toc17364"/>
      <w:bookmarkStart w:id="884" w:name="_Toc455080164"/>
      <w:bookmarkStart w:id="885" w:name="_Toc318450730"/>
      <w:bookmarkStart w:id="886" w:name="_Toc30053"/>
      <w:bookmarkStart w:id="887" w:name="_Toc22986"/>
      <w:bookmarkStart w:id="888" w:name="_Toc455867824"/>
      <w:bookmarkStart w:id="889" w:name="_Toc5903"/>
      <w:bookmarkStart w:id="890" w:name="_Toc1857"/>
      <w:r>
        <w:rPr>
          <w:rFonts w:hint="eastAsia" w:ascii="宋体" w:hAnsi="宋体" w:eastAsia="宋体" w:cs="宋体"/>
          <w:color w:val="auto"/>
          <w:sz w:val="21"/>
          <w:szCs w:val="21"/>
          <w:highlight w:val="none"/>
        </w:rPr>
        <w:t>3.4 评审结果</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65445A8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3.4.1除第二章“供应商须知”前附表授权直接确定成交人外，磋商小组按照得分由高到低的顺序推荐成交候选人。</w:t>
      </w:r>
    </w:p>
    <w:p w14:paraId="2C2B737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磋商小组完成评审后，应当向采购人提交书面评审报告。</w:t>
      </w:r>
    </w:p>
    <w:p w14:paraId="19F62A3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891" w:name="_Toc152045609"/>
      <w:bookmarkStart w:id="892" w:name="_Toc14024"/>
      <w:bookmarkStart w:id="893" w:name="_Toc144974577"/>
      <w:bookmarkStart w:id="894" w:name="_Toc152042387"/>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评标结果同时在</w:t>
      </w:r>
      <w:r>
        <w:rPr>
          <w:rFonts w:hint="eastAsia" w:ascii="宋体" w:hAnsi="宋体" w:eastAsia="宋体" w:cs="宋体"/>
          <w:color w:val="auto"/>
          <w:szCs w:val="21"/>
          <w:highlight w:val="none"/>
          <w:lang w:val="en-US" w:eastAsia="zh-CN"/>
        </w:rPr>
        <w:t>《河南省政府采购网》、《全国公共资源交易平台（河南省·信阳市）》、</w:t>
      </w:r>
      <w:r>
        <w:rPr>
          <w:rFonts w:hint="eastAsia" w:ascii="宋体" w:hAnsi="宋体" w:eastAsia="宋体" w:cs="宋体"/>
          <w:color w:val="auto"/>
          <w:szCs w:val="21"/>
          <w:highlight w:val="none"/>
        </w:rPr>
        <w:t>公示。</w:t>
      </w:r>
    </w:p>
    <w:p w14:paraId="30096349">
      <w:pPr>
        <w:pStyle w:val="23"/>
        <w:ind w:left="0" w:leftChars="0" w:firstLine="0" w:firstLineChars="0"/>
        <w:rPr>
          <w:rFonts w:hint="eastAsia"/>
          <w:color w:val="auto"/>
          <w:highlight w:val="none"/>
        </w:rPr>
      </w:pPr>
      <w:bookmarkStart w:id="895" w:name="_Toc30291"/>
      <w:bookmarkStart w:id="896" w:name="_Toc29062"/>
      <w:bookmarkStart w:id="897" w:name="_Toc300"/>
    </w:p>
    <w:p w14:paraId="02F411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0BCC0A8">
      <w:pPr>
        <w:pStyle w:val="4"/>
        <w:pageBreakBefore w:val="0"/>
        <w:numPr>
          <w:ilvl w:val="0"/>
          <w:numId w:val="0"/>
        </w:numPr>
        <w:kinsoku/>
        <w:wordWrap/>
        <w:overflowPunct/>
        <w:topLinePunct w:val="0"/>
        <w:bidi w:val="0"/>
        <w:spacing w:line="400" w:lineRule="exact"/>
        <w:ind w:left="45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附件：废标条件</w:t>
      </w:r>
      <w:bookmarkEnd w:id="895"/>
      <w:bookmarkEnd w:id="896"/>
      <w:bookmarkEnd w:id="897"/>
    </w:p>
    <w:p w14:paraId="39E1906B">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须知”和本章正文部分所规定的废标条件的总结和补充，如果出现相互矛盾的情况，以第二章“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须知”和本章正文部分的规定为准。</w:t>
      </w:r>
    </w:p>
    <w:p w14:paraId="7BFE657C">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 xml:space="preserve">； </w:t>
      </w:r>
    </w:p>
    <w:p w14:paraId="58ED7EA2">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要求澄清、说明或补正的；</w:t>
      </w:r>
    </w:p>
    <w:p w14:paraId="69FF9EE1">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报价有算术性错误，投标人不接受修正价格的；</w:t>
      </w:r>
    </w:p>
    <w:p w14:paraId="5294A88D">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14:paraId="15FBAF77">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14:paraId="56DE37F3">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.评标委员会认定投标人以低于成本报价竞标的；</w:t>
      </w:r>
    </w:p>
    <w:p w14:paraId="600EA441">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14:paraId="57F12D2D">
      <w:pPr>
        <w:pageBreakBefore w:val="0"/>
        <w:kinsoku/>
        <w:wordWrap/>
        <w:overflowPunct/>
        <w:topLinePunct w:val="0"/>
        <w:bidi w:val="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8.文件制作机器码、文件创建标识码有相同的；</w:t>
      </w:r>
    </w:p>
    <w:p w14:paraId="58B629CB">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．不符合</w:t>
      </w:r>
      <w:r>
        <w:rPr>
          <w:rFonts w:hint="eastAsia" w:ascii="宋体" w:hAnsi="宋体" w:eastAsia="宋体" w:cs="宋体"/>
          <w:b/>
          <w:color w:val="auto"/>
          <w:sz w:val="21"/>
          <w:szCs w:val="21"/>
          <w:highlight w:val="none"/>
          <w:lang w:eastAsia="zh-CN"/>
        </w:rPr>
        <w:t>竞争性磋商</w:t>
      </w:r>
      <w:r>
        <w:rPr>
          <w:rFonts w:hint="eastAsia" w:ascii="宋体" w:hAnsi="宋体" w:eastAsia="宋体" w:cs="宋体"/>
          <w:b/>
          <w:color w:val="auto"/>
          <w:sz w:val="21"/>
          <w:szCs w:val="21"/>
          <w:highlight w:val="none"/>
        </w:rPr>
        <w:t>文件规定的其他实质性要求及相关法律、法规或规章规定可以废标的其他情形。</w:t>
      </w:r>
    </w:p>
    <w:bookmarkEnd w:id="891"/>
    <w:bookmarkEnd w:id="892"/>
    <w:bookmarkEnd w:id="893"/>
    <w:bookmarkEnd w:id="894"/>
    <w:p w14:paraId="73C2FD95">
      <w:pPr>
        <w:spacing w:line="400" w:lineRule="exact"/>
        <w:ind w:left="0" w:leftChars="0" w:firstLine="0" w:firstLineChars="0"/>
        <w:jc w:val="center"/>
        <w:outlineLvl w:val="9"/>
        <w:rPr>
          <w:rFonts w:hint="eastAsia" w:ascii="宋体" w:hAnsi="宋体" w:cs="宋体"/>
          <w:b/>
          <w:bCs/>
          <w:color w:val="auto"/>
          <w:sz w:val="32"/>
          <w:szCs w:val="32"/>
          <w:highlight w:val="none"/>
        </w:rPr>
      </w:pPr>
      <w:bookmarkStart w:id="898" w:name="_Toc19053"/>
      <w:bookmarkStart w:id="899" w:name="_Toc14158"/>
      <w:bookmarkStart w:id="900" w:name="_Toc152045786"/>
      <w:bookmarkStart w:id="901" w:name="_Toc144974855"/>
      <w:bookmarkStart w:id="902" w:name="_Toc152042575"/>
    </w:p>
    <w:p w14:paraId="3F9C7077">
      <w:pPr>
        <w:spacing w:line="400" w:lineRule="exact"/>
        <w:ind w:left="0" w:leftChars="0" w:firstLine="0" w:firstLineChars="0"/>
        <w:jc w:val="center"/>
        <w:outlineLvl w:val="9"/>
        <w:rPr>
          <w:rFonts w:hint="eastAsia" w:ascii="宋体" w:hAnsi="宋体" w:cs="宋体"/>
          <w:b/>
          <w:bCs/>
          <w:color w:val="auto"/>
          <w:sz w:val="32"/>
          <w:szCs w:val="32"/>
          <w:highlight w:val="none"/>
        </w:rPr>
      </w:pPr>
    </w:p>
    <w:p w14:paraId="5175BFFC">
      <w:pPr>
        <w:pStyle w:val="23"/>
        <w:ind w:left="0" w:leftChars="0" w:firstLine="0" w:firstLineChars="0"/>
        <w:rPr>
          <w:rFonts w:hint="eastAsia"/>
          <w:color w:val="auto"/>
          <w:highlight w:val="none"/>
        </w:rPr>
      </w:pPr>
    </w:p>
    <w:p w14:paraId="4B0A191C">
      <w:pPr>
        <w:rPr>
          <w:rFonts w:hint="eastAsia"/>
          <w:color w:val="auto"/>
          <w:highlight w:val="none"/>
        </w:rPr>
      </w:pPr>
      <w:r>
        <w:rPr>
          <w:rFonts w:hint="eastAsia"/>
          <w:color w:val="auto"/>
          <w:highlight w:val="none"/>
        </w:rPr>
        <w:br w:type="page"/>
      </w:r>
    </w:p>
    <w:p w14:paraId="61904D06">
      <w:pPr>
        <w:pStyle w:val="24"/>
        <w:rPr>
          <w:rFonts w:hint="eastAsia"/>
          <w:color w:val="auto"/>
          <w:highlight w:val="none"/>
        </w:rPr>
      </w:pPr>
    </w:p>
    <w:p w14:paraId="69712D8B">
      <w:pPr>
        <w:spacing w:line="400" w:lineRule="exact"/>
        <w:ind w:left="0" w:leftChars="0" w:firstLine="0" w:firstLineChars="0"/>
        <w:jc w:val="center"/>
        <w:outlineLvl w:val="0"/>
        <w:rPr>
          <w:rFonts w:hint="eastAsia" w:ascii="宋体" w:hAnsi="宋体" w:cs="宋体"/>
          <w:b/>
          <w:bCs/>
          <w:color w:val="auto"/>
          <w:sz w:val="32"/>
          <w:szCs w:val="32"/>
          <w:highlight w:val="none"/>
        </w:rPr>
      </w:pPr>
      <w:bookmarkStart w:id="903" w:name="_Toc18526"/>
      <w:bookmarkStart w:id="904" w:name="_Toc18958"/>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河南省政府采购合同（</w:t>
      </w:r>
      <w:r>
        <w:rPr>
          <w:rFonts w:hint="eastAsia" w:ascii="宋体" w:hAnsi="宋体" w:cs="宋体"/>
          <w:b/>
          <w:color w:val="auto"/>
          <w:sz w:val="32"/>
          <w:szCs w:val="32"/>
          <w:highlight w:val="none"/>
          <w:lang w:eastAsia="zh-CN"/>
        </w:rPr>
        <w:t>参考文本</w:t>
      </w:r>
      <w:r>
        <w:rPr>
          <w:rFonts w:hint="eastAsia" w:ascii="宋体" w:hAnsi="宋体" w:cs="宋体"/>
          <w:b/>
          <w:color w:val="auto"/>
          <w:sz w:val="32"/>
          <w:szCs w:val="32"/>
          <w:highlight w:val="none"/>
        </w:rPr>
        <w:t>）</w:t>
      </w:r>
      <w:bookmarkEnd w:id="898"/>
      <w:bookmarkEnd w:id="903"/>
      <w:bookmarkEnd w:id="904"/>
    </w:p>
    <w:p w14:paraId="5964B006">
      <w:pPr>
        <w:spacing w:line="400" w:lineRule="exact"/>
        <w:ind w:firstLine="450" w:firstLineChars="150"/>
        <w:rPr>
          <w:rFonts w:hint="eastAsia" w:ascii="宋体" w:hAnsi="宋体" w:cs="宋体"/>
          <w:color w:val="auto"/>
          <w:sz w:val="30"/>
          <w:szCs w:val="30"/>
          <w:highlight w:val="none"/>
        </w:rPr>
      </w:pPr>
    </w:p>
    <w:bookmarkEnd w:id="899"/>
    <w:p w14:paraId="6372A3A8">
      <w:pPr>
        <w:snapToGrid w:val="0"/>
        <w:spacing w:line="360" w:lineRule="auto"/>
        <w:jc w:val="center"/>
        <w:rPr>
          <w:rFonts w:ascii="仿宋" w:hAnsi="仿宋" w:eastAsia="仿宋" w:cs="仿宋"/>
          <w:b/>
          <w:bCs/>
          <w:sz w:val="24"/>
          <w:szCs w:val="24"/>
        </w:rPr>
      </w:pPr>
      <w:bookmarkStart w:id="905" w:name="_Toc25661"/>
      <w:bookmarkStart w:id="906" w:name="_Toc29292"/>
      <w:bookmarkStart w:id="907" w:name="_Toc21978"/>
      <w:r>
        <w:rPr>
          <w:rFonts w:hint="eastAsia" w:ascii="仿宋" w:hAnsi="仿宋" w:eastAsia="仿宋" w:cs="仿宋"/>
          <w:b/>
          <w:bCs/>
          <w:szCs w:val="28"/>
        </w:rPr>
        <w:t>以双方实际签订合同为准</w:t>
      </w:r>
    </w:p>
    <w:p w14:paraId="489A3D64">
      <w:pPr>
        <w:numPr>
          <w:ilvl w:val="0"/>
          <w:numId w:val="0"/>
        </w:numPr>
        <w:rPr>
          <w:lang w:val="en-US" w:eastAsia="zh-CN"/>
        </w:rPr>
      </w:pPr>
    </w:p>
    <w:p w14:paraId="437456CF">
      <w:pPr>
        <w:jc w:val="center"/>
        <w:outlineLvl w:val="1"/>
        <w:rPr>
          <w:rFonts w:hint="eastAsia" w:ascii="仿宋" w:hAnsi="仿宋" w:eastAsia="仿宋" w:cs="仿宋"/>
          <w:b/>
          <w:sz w:val="32"/>
          <w:szCs w:val="32"/>
        </w:rPr>
      </w:pPr>
    </w:p>
    <w:p w14:paraId="48DF474A">
      <w:pPr>
        <w:jc w:val="center"/>
        <w:outlineLvl w:val="1"/>
        <w:rPr>
          <w:rFonts w:hint="eastAsia" w:ascii="仿宋" w:hAnsi="仿宋" w:eastAsia="仿宋" w:cs="仿宋"/>
          <w:b/>
          <w:sz w:val="32"/>
          <w:szCs w:val="32"/>
        </w:rPr>
      </w:pPr>
    </w:p>
    <w:p w14:paraId="7189044A">
      <w:pPr>
        <w:jc w:val="center"/>
        <w:outlineLvl w:val="1"/>
        <w:rPr>
          <w:rFonts w:hint="eastAsia" w:ascii="仿宋" w:hAnsi="仿宋" w:eastAsia="仿宋" w:cs="仿宋"/>
          <w:b/>
          <w:sz w:val="32"/>
          <w:szCs w:val="32"/>
        </w:rPr>
      </w:pPr>
    </w:p>
    <w:p w14:paraId="7E090464">
      <w:pPr>
        <w:jc w:val="center"/>
        <w:outlineLvl w:val="1"/>
        <w:rPr>
          <w:rFonts w:hint="eastAsia" w:ascii="仿宋" w:hAnsi="仿宋" w:eastAsia="仿宋" w:cs="仿宋"/>
          <w:b/>
          <w:sz w:val="32"/>
          <w:szCs w:val="32"/>
        </w:rPr>
      </w:pPr>
      <w:r>
        <w:rPr>
          <w:rFonts w:hint="eastAsia" w:ascii="仿宋" w:hAnsi="仿宋" w:eastAsia="仿宋" w:cs="仿宋"/>
          <w:b/>
          <w:sz w:val="32"/>
          <w:szCs w:val="32"/>
        </w:rPr>
        <w:t>政府采购合同</w:t>
      </w:r>
    </w:p>
    <w:p w14:paraId="3A002FCF">
      <w:pPr>
        <w:jc w:val="center"/>
        <w:rPr>
          <w:rFonts w:hint="eastAsia" w:ascii="仿宋" w:hAnsi="仿宋" w:eastAsia="仿宋" w:cs="仿宋"/>
          <w:b/>
          <w:sz w:val="96"/>
          <w:szCs w:val="96"/>
        </w:rPr>
      </w:pPr>
    </w:p>
    <w:p w14:paraId="3DE6F402">
      <w:pPr>
        <w:jc w:val="center"/>
        <w:rPr>
          <w:rFonts w:hint="eastAsia" w:ascii="仿宋" w:hAnsi="仿宋" w:eastAsia="仿宋" w:cs="仿宋"/>
          <w:b/>
          <w:sz w:val="96"/>
          <w:szCs w:val="96"/>
        </w:rPr>
      </w:pPr>
    </w:p>
    <w:p w14:paraId="099FFC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14:paraId="62EBA519">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政府采购管理部门备案编号：</w:t>
      </w:r>
      <w:r>
        <w:rPr>
          <w:rFonts w:hint="eastAsia" w:ascii="仿宋" w:hAnsi="仿宋" w:eastAsia="仿宋" w:cs="仿宋"/>
          <w:sz w:val="32"/>
          <w:szCs w:val="32"/>
          <w:u w:val="single"/>
        </w:rPr>
        <w:t xml:space="preserve">                   </w:t>
      </w:r>
    </w:p>
    <w:p w14:paraId="400AD9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招标采购文件编号：</w:t>
      </w:r>
      <w:r>
        <w:rPr>
          <w:rFonts w:hint="eastAsia" w:ascii="仿宋" w:hAnsi="仿宋" w:eastAsia="仿宋" w:cs="仿宋"/>
          <w:sz w:val="32"/>
          <w:szCs w:val="32"/>
          <w:u w:val="single"/>
        </w:rPr>
        <w:t xml:space="preserve">                           </w:t>
      </w:r>
    </w:p>
    <w:p w14:paraId="3951580B">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甲方合同编号：</w:t>
      </w:r>
      <w:r>
        <w:rPr>
          <w:rFonts w:hint="eastAsia" w:ascii="仿宋" w:hAnsi="仿宋" w:eastAsia="仿宋" w:cs="仿宋"/>
          <w:sz w:val="32"/>
          <w:szCs w:val="32"/>
          <w:u w:val="single"/>
        </w:rPr>
        <w:t xml:space="preserve">                               </w:t>
      </w:r>
    </w:p>
    <w:p w14:paraId="5F474454">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14:paraId="13E654E8">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14:paraId="7F6958BE">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甲方合同法律审核部门：</w:t>
      </w:r>
      <w:r>
        <w:rPr>
          <w:rFonts w:hint="eastAsia" w:ascii="仿宋" w:hAnsi="仿宋" w:eastAsia="仿宋" w:cs="仿宋"/>
          <w:sz w:val="32"/>
          <w:szCs w:val="32"/>
          <w:u w:val="single"/>
        </w:rPr>
        <w:t xml:space="preserve">                       </w:t>
      </w:r>
    </w:p>
    <w:p w14:paraId="1007ACBB">
      <w:pPr>
        <w:rPr>
          <w:rFonts w:hint="eastAsia" w:ascii="仿宋" w:hAnsi="仿宋" w:eastAsia="仿宋" w:cs="仿宋"/>
          <w:sz w:val="32"/>
          <w:szCs w:val="32"/>
        </w:rPr>
      </w:pPr>
    </w:p>
    <w:p w14:paraId="0C1CD03F">
      <w:pPr>
        <w:rPr>
          <w:rFonts w:hint="eastAsia" w:ascii="仿宋" w:hAnsi="仿宋" w:eastAsia="仿宋" w:cs="仿宋"/>
          <w:sz w:val="32"/>
          <w:szCs w:val="32"/>
        </w:rPr>
      </w:pPr>
    </w:p>
    <w:p w14:paraId="233E81FE">
      <w:pPr>
        <w:rPr>
          <w:rFonts w:hint="eastAsia" w:ascii="仿宋" w:hAnsi="仿宋" w:eastAsia="仿宋" w:cs="仿宋"/>
          <w:sz w:val="32"/>
          <w:szCs w:val="32"/>
        </w:rPr>
      </w:pPr>
    </w:p>
    <w:p w14:paraId="3433DA77">
      <w:pPr>
        <w:jc w:val="center"/>
        <w:rPr>
          <w:rFonts w:hint="eastAsia" w:ascii="仿宋" w:hAnsi="仿宋" w:eastAsia="仿宋" w:cs="仿宋"/>
          <w:sz w:val="32"/>
          <w:szCs w:val="32"/>
        </w:rPr>
      </w:pPr>
      <w:r>
        <w:rPr>
          <w:rFonts w:hint="eastAsia" w:ascii="仿宋" w:hAnsi="仿宋" w:eastAsia="仿宋" w:cs="仿宋"/>
          <w:sz w:val="32"/>
          <w:szCs w:val="32"/>
        </w:rPr>
        <w:t>签订时间：      年    月    日</w:t>
      </w:r>
    </w:p>
    <w:p w14:paraId="7088974F">
      <w:pPr>
        <w:jc w:val="center"/>
        <w:rPr>
          <w:rFonts w:hint="eastAsia" w:ascii="仿宋" w:hAnsi="仿宋" w:eastAsia="仿宋" w:cs="仿宋"/>
          <w:sz w:val="32"/>
          <w:szCs w:val="32"/>
        </w:rPr>
      </w:pPr>
    </w:p>
    <w:p w14:paraId="3FC8DA11">
      <w:pPr>
        <w:spacing w:line="360" w:lineRule="auto"/>
        <w:ind w:left="0" w:leftChars="0" w:firstLine="0" w:firstLineChars="0"/>
        <w:rPr>
          <w:rFonts w:hint="eastAsia" w:ascii="仿宋" w:hAnsi="仿宋" w:eastAsia="仿宋" w:cs="仿宋"/>
          <w:sz w:val="24"/>
        </w:rPr>
      </w:pPr>
    </w:p>
    <w:p w14:paraId="2B654A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（甲方）（××项目）委托（代理机构名称）进行了政府采购。按照评委会评审推荐、甲方确定乙方为中标单位。现甲乙双方协商同意签订本合同。</w:t>
      </w:r>
    </w:p>
    <w:p w14:paraId="2BB2FBDF">
      <w:pPr>
        <w:numPr>
          <w:ilvl w:val="0"/>
          <w:numId w:val="7"/>
        </w:numPr>
        <w:tabs>
          <w:tab w:val="left" w:pos="0"/>
          <w:tab w:val="clear" w:pos="720"/>
        </w:tabs>
        <w:spacing w:line="360" w:lineRule="auto"/>
        <w:ind w:left="0" w:firstLine="482" w:firstLineChars="200"/>
        <w:outlineLvl w:val="1"/>
        <w:rPr>
          <w:rFonts w:hint="eastAsia" w:ascii="仿宋" w:hAnsi="仿宋" w:eastAsia="仿宋" w:cs="仿宋"/>
          <w:b/>
          <w:sz w:val="24"/>
        </w:rPr>
      </w:pPr>
      <w:r>
        <w:rPr>
          <w:rFonts w:hint="eastAsia" w:ascii="仿宋" w:hAnsi="仿宋" w:eastAsia="仿宋" w:cs="仿宋"/>
          <w:b/>
          <w:sz w:val="24"/>
        </w:rPr>
        <w:t xml:space="preserve"> 合同文件</w:t>
      </w:r>
    </w:p>
    <w:p w14:paraId="0C0E03F6">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14:paraId="0B4C60BE">
      <w:pPr>
        <w:spacing w:line="360" w:lineRule="auto"/>
        <w:ind w:firstLine="480" w:firstLineChars="200"/>
        <w:rPr>
          <w:rFonts w:hint="eastAsia" w:ascii="仿宋" w:hAnsi="仿宋" w:eastAsia="仿宋" w:cs="仿宋"/>
          <w:sz w:val="24"/>
        </w:rPr>
      </w:pPr>
      <w:r>
        <w:rPr>
          <w:rFonts w:hint="eastAsia" w:ascii="仿宋" w:hAnsi="仿宋" w:eastAsia="仿宋" w:cs="仿宋"/>
          <w:sz w:val="24"/>
        </w:rPr>
        <w:t>1.（××号）招标采购文件</w:t>
      </w:r>
    </w:p>
    <w:p w14:paraId="2EEF5E64">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2.投标文件</w:t>
      </w:r>
    </w:p>
    <w:p w14:paraId="7BAB145F">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3.乙方在投标时的书面承诺</w:t>
      </w:r>
    </w:p>
    <w:p w14:paraId="4A7EC404">
      <w:pPr>
        <w:spacing w:line="360" w:lineRule="auto"/>
        <w:ind w:firstLine="480" w:firstLineChars="200"/>
        <w:rPr>
          <w:rFonts w:hint="eastAsia" w:ascii="仿宋" w:hAnsi="仿宋" w:eastAsia="仿宋" w:cs="仿宋"/>
          <w:sz w:val="24"/>
        </w:rPr>
      </w:pPr>
      <w:r>
        <w:rPr>
          <w:rFonts w:hint="eastAsia" w:ascii="仿宋" w:hAnsi="仿宋" w:eastAsia="仿宋" w:cs="仿宋"/>
          <w:sz w:val="24"/>
        </w:rPr>
        <w:t>4.（××号）中标通知书</w:t>
      </w:r>
    </w:p>
    <w:p w14:paraId="67EDB650">
      <w:pPr>
        <w:spacing w:line="360" w:lineRule="auto"/>
        <w:ind w:firstLine="480" w:firstLineChars="200"/>
        <w:rPr>
          <w:rFonts w:hint="eastAsia" w:ascii="仿宋" w:hAnsi="仿宋" w:eastAsia="仿宋" w:cs="仿宋"/>
          <w:sz w:val="24"/>
        </w:rPr>
      </w:pPr>
      <w:r>
        <w:rPr>
          <w:rFonts w:hint="eastAsia" w:ascii="仿宋" w:hAnsi="仿宋" w:eastAsia="仿宋" w:cs="仿宋"/>
          <w:sz w:val="24"/>
        </w:rPr>
        <w:t>5.合同补充条款或说明</w:t>
      </w:r>
    </w:p>
    <w:p w14:paraId="698A8A13">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6.保密协议或条款</w:t>
      </w:r>
    </w:p>
    <w:p w14:paraId="15077364">
      <w:pPr>
        <w:spacing w:line="360" w:lineRule="auto"/>
        <w:ind w:firstLine="480" w:firstLineChars="200"/>
        <w:rPr>
          <w:rFonts w:hint="eastAsia" w:ascii="仿宋" w:hAnsi="仿宋" w:eastAsia="仿宋" w:cs="仿宋"/>
          <w:sz w:val="24"/>
        </w:rPr>
      </w:pPr>
      <w:r>
        <w:rPr>
          <w:rFonts w:hint="eastAsia" w:ascii="仿宋" w:hAnsi="仿宋" w:eastAsia="仿宋" w:cs="仿宋"/>
          <w:sz w:val="24"/>
        </w:rPr>
        <w:t>7.相关附件、图纸及电子版资料</w:t>
      </w:r>
    </w:p>
    <w:p w14:paraId="72BCE5C0">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第二条  合同内容</w:t>
      </w:r>
    </w:p>
    <w:p w14:paraId="6853299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服务名称：详见合同附件中《服务一览表》  </w:t>
      </w:r>
    </w:p>
    <w:p w14:paraId="7154CDC4">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第三条  合同总金额</w:t>
      </w:r>
    </w:p>
    <w:p w14:paraId="5028B2B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val="en-US" w:eastAsia="zh-CN"/>
        </w:rPr>
        <w:t>中标金额</w:t>
      </w:r>
      <w:r>
        <w:rPr>
          <w:rFonts w:hint="eastAsia" w:ascii="仿宋" w:hAnsi="仿宋" w:eastAsia="仿宋" w:cs="仿宋"/>
          <w:sz w:val="24"/>
        </w:rPr>
        <w:t>为</w:t>
      </w:r>
      <w:r>
        <w:rPr>
          <w:rFonts w:hint="eastAsia" w:ascii="仿宋" w:hAnsi="仿宋" w:eastAsia="仿宋" w:cs="仿宋"/>
          <w:sz w:val="24"/>
          <w:lang w:val="en-US" w:eastAsia="zh-CN"/>
        </w:rPr>
        <w:t xml:space="preserve">     元</w:t>
      </w:r>
      <w:r>
        <w:rPr>
          <w:rFonts w:hint="eastAsia" w:ascii="仿宋" w:hAnsi="仿宋" w:eastAsia="仿宋" w:cs="仿宋"/>
          <w:sz w:val="24"/>
        </w:rPr>
        <w:t xml:space="preserve"> 。</w:t>
      </w:r>
    </w:p>
    <w:p w14:paraId="601E167D">
      <w:pPr>
        <w:spacing w:line="360" w:lineRule="auto"/>
        <w:ind w:firstLine="480" w:firstLineChars="200"/>
        <w:rPr>
          <w:rFonts w:hint="eastAsia" w:ascii="仿宋" w:hAnsi="仿宋" w:eastAsia="仿宋" w:cs="仿宋"/>
          <w:sz w:val="24"/>
        </w:rPr>
      </w:pPr>
      <w:r>
        <w:rPr>
          <w:rFonts w:hint="eastAsia" w:ascii="仿宋" w:hAnsi="仿宋" w:eastAsia="仿宋" w:cs="仿宋"/>
          <w:sz w:val="24"/>
        </w:rPr>
        <w:t>分项价款在《服务一览表》中有明确规定。</w:t>
      </w:r>
    </w:p>
    <w:p w14:paraId="5FBD626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本合同总价款包括服务期间必须的日常物料、易耗品、工具、调试费、培训费等相关费用。</w:t>
      </w:r>
    </w:p>
    <w:p w14:paraId="55A2AEC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本合同执行期内因工作量变化而引起的服务费用的变动，在双方事先协商一致的前提下签订补充合同，但因此而增加的服务费用不得超过原中标金额的10%。</w:t>
      </w:r>
    </w:p>
    <w:p w14:paraId="499F9287">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第四条  权利义务和质量保证</w:t>
      </w:r>
    </w:p>
    <w:p w14:paraId="5E3F5A19">
      <w:pPr>
        <w:pStyle w:val="13"/>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B049531">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362F7EBC">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第五条  付款方式</w:t>
      </w:r>
    </w:p>
    <w:p w14:paraId="47755792">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1.本合同项下所有款项均以人民币支付。</w:t>
      </w:r>
    </w:p>
    <w:p w14:paraId="225FFE88">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2.乙方向甲方提交下列文件材料，经甲方审核无误后支付采购资金：</w:t>
      </w:r>
    </w:p>
    <w:p w14:paraId="1F67677E">
      <w:pPr>
        <w:spacing w:line="360" w:lineRule="auto"/>
        <w:ind w:firstLine="480" w:firstLineChars="200"/>
        <w:rPr>
          <w:rFonts w:hint="eastAsia" w:ascii="仿宋" w:hAnsi="仿宋" w:eastAsia="仿宋" w:cs="仿宋"/>
          <w:sz w:val="24"/>
        </w:rPr>
      </w:pPr>
      <w:r>
        <w:rPr>
          <w:rFonts w:hint="eastAsia" w:ascii="仿宋" w:hAnsi="仿宋" w:eastAsia="仿宋" w:cs="仿宋"/>
          <w:sz w:val="24"/>
        </w:rPr>
        <w:t>（1）经甲方确认的发票；</w:t>
      </w:r>
    </w:p>
    <w:p w14:paraId="0383A0DF">
      <w:pPr>
        <w:spacing w:line="360" w:lineRule="auto"/>
        <w:ind w:firstLine="480" w:firstLineChars="200"/>
        <w:rPr>
          <w:rFonts w:hint="eastAsia" w:ascii="仿宋" w:hAnsi="仿宋" w:eastAsia="仿宋" w:cs="仿宋"/>
          <w:sz w:val="24"/>
        </w:rPr>
      </w:pPr>
      <w:r>
        <w:rPr>
          <w:rFonts w:hint="eastAsia" w:ascii="仿宋" w:hAnsi="仿宋" w:eastAsia="仿宋" w:cs="仿宋"/>
          <w:sz w:val="24"/>
        </w:rPr>
        <w:t>（2）经甲乙双方确认签署的《验收报告》（或按项目进度阶段性《验收报告》）；</w:t>
      </w:r>
    </w:p>
    <w:p w14:paraId="6A427BAF">
      <w:pPr>
        <w:spacing w:line="360" w:lineRule="auto"/>
        <w:ind w:firstLine="480" w:firstLineChars="200"/>
        <w:rPr>
          <w:rFonts w:hint="eastAsia" w:ascii="仿宋" w:hAnsi="仿宋" w:eastAsia="仿宋" w:cs="仿宋"/>
          <w:sz w:val="24"/>
        </w:rPr>
      </w:pPr>
      <w:r>
        <w:rPr>
          <w:rFonts w:hint="eastAsia" w:ascii="仿宋" w:hAnsi="仿宋" w:eastAsia="仿宋" w:cs="仿宋"/>
          <w:sz w:val="24"/>
        </w:rPr>
        <w:t>（3）其他材料。</w:t>
      </w:r>
    </w:p>
    <w:p w14:paraId="00AFF856">
      <w:pPr>
        <w:pStyle w:val="13"/>
        <w:tabs>
          <w:tab w:val="left" w:pos="0"/>
        </w:tabs>
        <w:spacing w:line="360" w:lineRule="auto"/>
        <w:ind w:firstLine="480" w:firstLineChars="200"/>
        <w:rPr>
          <w:rFonts w:hint="eastAsia" w:ascii="仿宋" w:hAnsi="仿宋" w:eastAsia="仿宋" w:cs="仿宋"/>
        </w:rPr>
      </w:pPr>
      <w:r>
        <w:rPr>
          <w:rFonts w:hint="eastAsia" w:ascii="仿宋" w:hAnsi="仿宋" w:eastAsia="仿宋" w:cs="仿宋"/>
          <w:sz w:val="24"/>
        </w:rPr>
        <w:t>3.</w:t>
      </w:r>
      <w:r>
        <w:rPr>
          <w:rFonts w:hint="eastAsia" w:ascii="仿宋" w:hAnsi="仿宋" w:eastAsia="仿宋" w:cs="仿宋"/>
          <w:sz w:val="24"/>
          <w:lang w:val="en-US" w:eastAsia="zh-CN"/>
        </w:rPr>
        <w:t>合同签订后付款30%，验收完成后付款70%</w:t>
      </w:r>
      <w:r>
        <w:rPr>
          <w:rFonts w:hint="eastAsia" w:ascii="仿宋" w:hAnsi="仿宋" w:eastAsia="仿宋" w:cs="仿宋"/>
          <w:sz w:val="24"/>
        </w:rPr>
        <w:t>。</w:t>
      </w:r>
    </w:p>
    <w:p w14:paraId="6527F3B3">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第六条  履约保证金</w:t>
      </w:r>
      <w:r>
        <w:rPr>
          <w:rFonts w:hint="eastAsia" w:ascii="仿宋" w:hAnsi="仿宋" w:eastAsia="仿宋" w:cs="仿宋"/>
          <w:b/>
          <w:color w:val="auto"/>
        </w:rPr>
        <w:t>（</w:t>
      </w:r>
      <w:r>
        <w:rPr>
          <w:rFonts w:hint="eastAsia" w:ascii="仿宋" w:hAnsi="仿宋" w:eastAsia="仿宋" w:cs="仿宋"/>
          <w:b/>
          <w:color w:val="auto"/>
          <w:lang w:val="en-US" w:eastAsia="zh-CN"/>
        </w:rPr>
        <w:t>本项目</w:t>
      </w:r>
      <w:r>
        <w:rPr>
          <w:rFonts w:hint="eastAsia" w:ascii="仿宋" w:hAnsi="仿宋" w:eastAsia="仿宋" w:cs="仿宋"/>
          <w:b/>
          <w:color w:val="auto"/>
        </w:rPr>
        <w:t>采购人</w:t>
      </w:r>
      <w:r>
        <w:rPr>
          <w:rFonts w:hint="eastAsia" w:ascii="仿宋" w:hAnsi="仿宋" w:eastAsia="仿宋" w:cs="仿宋"/>
          <w:b/>
          <w:color w:val="auto"/>
          <w:lang w:val="en-US" w:eastAsia="zh-CN"/>
        </w:rPr>
        <w:t>不</w:t>
      </w:r>
      <w:r>
        <w:rPr>
          <w:rFonts w:hint="eastAsia" w:ascii="仿宋" w:hAnsi="仿宋" w:eastAsia="仿宋" w:cs="仿宋"/>
          <w:b/>
          <w:color w:val="auto"/>
        </w:rPr>
        <w:t>收取履约保证金）</w:t>
      </w:r>
    </w:p>
    <w:p w14:paraId="1CB66F11">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1.乙方在签订本合同之日，向甲方提交合同履约保证金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w:t>
      </w:r>
      <w:r>
        <w:rPr>
          <w:rFonts w:hint="eastAsia" w:ascii="仿宋" w:hAnsi="仿宋" w:eastAsia="仿宋" w:cs="仿宋"/>
          <w:sz w:val="24"/>
          <w:u w:val="single"/>
        </w:rPr>
        <w:t xml:space="preserve">      </w:t>
      </w:r>
      <w:r>
        <w:rPr>
          <w:rFonts w:hint="eastAsia" w:ascii="仿宋" w:hAnsi="仿宋" w:eastAsia="仿宋" w:cs="仿宋"/>
          <w:sz w:val="24"/>
        </w:rPr>
        <w:t>元。</w:t>
      </w:r>
    </w:p>
    <w:p w14:paraId="47BECA17">
      <w:pPr>
        <w:spacing w:line="360" w:lineRule="auto"/>
        <w:ind w:firstLine="480" w:firstLineChars="200"/>
        <w:rPr>
          <w:rFonts w:hint="eastAsia" w:ascii="仿宋" w:hAnsi="仿宋" w:eastAsia="仿宋" w:cs="仿宋"/>
          <w:strike/>
          <w:sz w:val="24"/>
        </w:rPr>
      </w:pPr>
      <w:r>
        <w:rPr>
          <w:rFonts w:hint="eastAsia" w:ascii="仿宋" w:hAnsi="仿宋" w:eastAsia="仿宋" w:cs="仿宋"/>
          <w:sz w:val="24"/>
        </w:rPr>
        <w:t>2.履约保证金有效期为甲乙双方最终验收后1个月内。到期后，甲方向乙方无息退还。</w:t>
      </w:r>
    </w:p>
    <w:p w14:paraId="6FC5285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3.如乙方未能履行、或未能完全履行合同规定的义务，甲方有权从履约保证金中取得补偿。履约保证金扣除甲方应得的补偿后的余额在合同期满后 </w:t>
      </w:r>
      <w:r>
        <w:rPr>
          <w:rFonts w:hint="eastAsia" w:ascii="仿宋" w:hAnsi="仿宋" w:eastAsia="仿宋" w:cs="仿宋"/>
          <w:sz w:val="24"/>
          <w:u w:val="single"/>
        </w:rPr>
        <w:t xml:space="preserve">     </w:t>
      </w:r>
      <w:r>
        <w:rPr>
          <w:rFonts w:hint="eastAsia" w:ascii="仿宋" w:hAnsi="仿宋" w:eastAsia="仿宋" w:cs="仿宋"/>
          <w:sz w:val="24"/>
        </w:rPr>
        <w:t>天内无息退还乙方。</w:t>
      </w:r>
    </w:p>
    <w:p w14:paraId="13D667B6">
      <w:pPr>
        <w:spacing w:line="360" w:lineRule="auto"/>
        <w:ind w:left="482"/>
        <w:outlineLvl w:val="1"/>
        <w:rPr>
          <w:rFonts w:hint="eastAsia" w:ascii="仿宋" w:hAnsi="仿宋" w:eastAsia="仿宋" w:cs="仿宋"/>
          <w:b/>
          <w:sz w:val="24"/>
        </w:rPr>
      </w:pPr>
      <w:r>
        <w:rPr>
          <w:rFonts w:hint="eastAsia" w:ascii="仿宋" w:hAnsi="仿宋" w:eastAsia="仿宋" w:cs="仿宋"/>
          <w:b/>
          <w:sz w:val="24"/>
        </w:rPr>
        <w:t>第七条  验收</w:t>
      </w:r>
    </w:p>
    <w:p w14:paraId="68D0DEF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1.服务期限： </w:t>
      </w:r>
      <w:r>
        <w:rPr>
          <w:rFonts w:hint="eastAsia" w:ascii="仿宋" w:hAnsi="仿宋" w:eastAsia="仿宋" w:cs="仿宋"/>
          <w:sz w:val="24"/>
          <w:u w:val="single"/>
        </w:rPr>
        <w:t xml:space="preserve">                   </w:t>
      </w:r>
      <w:r>
        <w:rPr>
          <w:rFonts w:hint="eastAsia" w:ascii="仿宋" w:hAnsi="仿宋" w:eastAsia="仿宋" w:cs="仿宋"/>
          <w:sz w:val="24"/>
        </w:rPr>
        <w:t xml:space="preserve"> 至 </w:t>
      </w:r>
      <w:r>
        <w:rPr>
          <w:rFonts w:hint="eastAsia" w:ascii="仿宋" w:hAnsi="仿宋" w:eastAsia="仿宋" w:cs="仿宋"/>
          <w:sz w:val="24"/>
          <w:u w:val="single"/>
        </w:rPr>
        <w:t xml:space="preserve">                 </w:t>
      </w:r>
      <w:r>
        <w:rPr>
          <w:rFonts w:hint="eastAsia" w:ascii="仿宋" w:hAnsi="仿宋" w:eastAsia="仿宋" w:cs="仿宋"/>
          <w:sz w:val="24"/>
        </w:rPr>
        <w:t>。</w:t>
      </w:r>
    </w:p>
    <w:p w14:paraId="1C4EB192">
      <w:pPr>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服务地点： </w:t>
      </w:r>
      <w:r>
        <w:rPr>
          <w:rFonts w:hint="eastAsia" w:ascii="仿宋" w:hAnsi="仿宋" w:eastAsia="仿宋" w:cs="仿宋"/>
          <w:sz w:val="24"/>
          <w:u w:val="single"/>
        </w:rPr>
        <w:t xml:space="preserve">                                        </w:t>
      </w:r>
      <w:r>
        <w:rPr>
          <w:rFonts w:hint="eastAsia" w:ascii="仿宋" w:hAnsi="仿宋" w:eastAsia="仿宋" w:cs="仿宋"/>
          <w:sz w:val="24"/>
        </w:rPr>
        <w:t>。</w:t>
      </w:r>
    </w:p>
    <w:p w14:paraId="677DF89E">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 xml:space="preserve">验收时间： </w:t>
      </w:r>
      <w:r>
        <w:rPr>
          <w:rFonts w:hint="eastAsia" w:ascii="仿宋" w:hAnsi="仿宋" w:eastAsia="仿宋" w:cs="仿宋"/>
          <w:sz w:val="24"/>
          <w:u w:val="single"/>
        </w:rPr>
        <w:t xml:space="preserve">                                        </w:t>
      </w:r>
      <w:r>
        <w:rPr>
          <w:rFonts w:hint="eastAsia" w:ascii="仿宋" w:hAnsi="仿宋" w:eastAsia="仿宋" w:cs="仿宋"/>
          <w:sz w:val="24"/>
        </w:rPr>
        <w:t>。</w:t>
      </w:r>
    </w:p>
    <w:p w14:paraId="29F7DDAF">
      <w:pPr>
        <w:pStyle w:val="13"/>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乙方应对提供的服务成果作出全面自查和整理，并列出清单，作为甲方验收和使用的服务条件依据，清单应随提供的服务成果交给甲方。</w:t>
      </w:r>
    </w:p>
    <w:p w14:paraId="10F57ADD">
      <w:pPr>
        <w:spacing w:line="360" w:lineRule="auto"/>
        <w:ind w:firstLine="480" w:firstLineChars="200"/>
        <w:rPr>
          <w:rFonts w:hint="eastAsia" w:ascii="仿宋" w:hAnsi="仿宋" w:eastAsia="仿宋" w:cs="仿宋"/>
          <w:sz w:val="24"/>
        </w:rPr>
      </w:pPr>
      <w:r>
        <w:rPr>
          <w:rFonts w:hint="eastAsia" w:ascii="仿宋" w:hAnsi="仿宋" w:eastAsia="仿宋" w:cs="仿宋"/>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31B2F202">
      <w:pPr>
        <w:snapToGrid w:val="0"/>
        <w:spacing w:line="360" w:lineRule="auto"/>
        <w:ind w:firstLine="482"/>
        <w:textAlignment w:val="baseline"/>
        <w:rPr>
          <w:rFonts w:hint="eastAsia" w:ascii="仿宋" w:hAnsi="仿宋" w:eastAsia="仿宋" w:cs="仿宋"/>
          <w:sz w:val="24"/>
        </w:rPr>
      </w:pPr>
      <w:r>
        <w:rPr>
          <w:rFonts w:hint="eastAsia" w:ascii="仿宋" w:hAnsi="仿宋" w:eastAsia="仿宋" w:cs="仿宋"/>
          <w:sz w:val="24"/>
        </w:rPr>
        <w:t>4.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21562F9A">
      <w:pPr>
        <w:snapToGrid w:val="0"/>
        <w:spacing w:line="360" w:lineRule="auto"/>
        <w:ind w:firstLine="482"/>
        <w:textAlignment w:val="baseline"/>
        <w:rPr>
          <w:rFonts w:hint="eastAsia" w:ascii="仿宋" w:hAnsi="仿宋" w:eastAsia="仿宋" w:cs="仿宋"/>
          <w:sz w:val="24"/>
        </w:rPr>
      </w:pPr>
      <w:r>
        <w:rPr>
          <w:rFonts w:hint="eastAsia" w:ascii="仿宋" w:hAnsi="仿宋" w:eastAsia="仿宋" w:cs="仿宋"/>
          <w:sz w:val="24"/>
        </w:rPr>
        <w:t>5.如根据项目实施情况需要分阶段验收，则双方分阶段签署《验收报告》。</w:t>
      </w:r>
    </w:p>
    <w:p w14:paraId="1A6CB3F3">
      <w:pPr>
        <w:spacing w:line="360" w:lineRule="auto"/>
        <w:ind w:firstLine="480" w:firstLineChars="200"/>
        <w:rPr>
          <w:rFonts w:hint="eastAsia" w:ascii="仿宋" w:hAnsi="仿宋" w:eastAsia="仿宋" w:cs="仿宋"/>
          <w:sz w:val="24"/>
        </w:rPr>
      </w:pPr>
      <w:r>
        <w:rPr>
          <w:rFonts w:hint="eastAsia" w:ascii="仿宋" w:hAnsi="仿宋" w:eastAsia="仿宋" w:cs="仿宋"/>
          <w:sz w:val="24"/>
        </w:rPr>
        <w:t>6.如果合同双方对《验收报告》有分歧，双方须于出现分歧后</w:t>
      </w:r>
      <w:r>
        <w:rPr>
          <w:rFonts w:hint="eastAsia" w:ascii="仿宋" w:hAnsi="仿宋" w:eastAsia="仿宋" w:cs="仿宋"/>
          <w:sz w:val="24"/>
          <w:u w:val="single"/>
        </w:rPr>
        <w:t xml:space="preserve">    </w:t>
      </w:r>
      <w:r>
        <w:rPr>
          <w:rFonts w:hint="eastAsia" w:ascii="仿宋" w:hAnsi="仿宋" w:eastAsia="仿宋" w:cs="仿宋"/>
          <w:sz w:val="24"/>
        </w:rPr>
        <w:t>天内给对方书面声明，以陈述己方的理由及要求，并附有关证据。分歧应通过协商解决。</w:t>
      </w:r>
    </w:p>
    <w:p w14:paraId="17F33CEB">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第八条  项目管理服务</w:t>
      </w:r>
    </w:p>
    <w:p w14:paraId="2D65C585">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乙方应组建技术熟练、称职的团队全面履行合同,并指定不少于一人全权全程负责本项目服务的落实，包括服务的咨询、执行和后续工作。</w:t>
      </w:r>
    </w:p>
    <w:p w14:paraId="5B2C2D70">
      <w:pPr>
        <w:snapToGrid w:val="0"/>
        <w:spacing w:line="360" w:lineRule="auto"/>
        <w:ind w:firstLine="481"/>
        <w:textAlignment w:val="baseline"/>
        <w:rPr>
          <w:rFonts w:hint="eastAsia" w:ascii="仿宋" w:hAnsi="仿宋" w:eastAsia="仿宋" w:cs="仿宋"/>
        </w:rPr>
      </w:pPr>
      <w:r>
        <w:rPr>
          <w:rFonts w:hint="eastAsia" w:ascii="仿宋" w:hAnsi="仿宋" w:eastAsia="仿宋" w:cs="仿宋"/>
          <w:sz w:val="24"/>
        </w:rPr>
        <w:t xml:space="preserve">项目负责人姓名： </w:t>
      </w:r>
      <w:r>
        <w:rPr>
          <w:rFonts w:hint="eastAsia" w:ascii="仿宋" w:hAnsi="仿宋" w:eastAsia="仿宋" w:cs="仿宋"/>
          <w:sz w:val="24"/>
          <w:u w:val="single" w:color="000000"/>
        </w:rPr>
        <w:t xml:space="preserve">              </w:t>
      </w:r>
      <w:r>
        <w:rPr>
          <w:rFonts w:hint="eastAsia" w:ascii="仿宋" w:hAnsi="仿宋" w:eastAsia="仿宋" w:cs="仿宋"/>
          <w:sz w:val="24"/>
        </w:rPr>
        <w:t>； 联系电话：</w:t>
      </w:r>
      <w:r>
        <w:rPr>
          <w:rFonts w:hint="eastAsia" w:ascii="仿宋" w:hAnsi="仿宋" w:eastAsia="仿宋" w:cs="仿宋"/>
          <w:sz w:val="24"/>
          <w:u w:val="single" w:color="000000"/>
        </w:rPr>
        <w:t xml:space="preserve">                      </w:t>
      </w:r>
      <w:r>
        <w:rPr>
          <w:rFonts w:hint="eastAsia" w:ascii="仿宋" w:hAnsi="仿宋" w:eastAsia="仿宋" w:cs="仿宋"/>
          <w:sz w:val="24"/>
        </w:rPr>
        <w:t>。</w:t>
      </w:r>
    </w:p>
    <w:p w14:paraId="6C93813D">
      <w:pPr>
        <w:spacing w:line="360" w:lineRule="auto"/>
        <w:ind w:firstLine="472" w:firstLineChars="196"/>
        <w:outlineLvl w:val="1"/>
        <w:rPr>
          <w:rFonts w:hint="eastAsia" w:ascii="仿宋" w:hAnsi="仿宋" w:eastAsia="仿宋" w:cs="仿宋"/>
          <w:b/>
          <w:sz w:val="24"/>
        </w:rPr>
      </w:pPr>
      <w:r>
        <w:rPr>
          <w:rFonts w:hint="eastAsia" w:ascii="仿宋" w:hAnsi="仿宋" w:eastAsia="仿宋" w:cs="仿宋"/>
          <w:b/>
          <w:sz w:val="24"/>
        </w:rPr>
        <w:t>第九条  售后服务</w:t>
      </w:r>
    </w:p>
    <w:p w14:paraId="3BAA0DC5">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1.乙方提供服务的质量保证期为自服务通过最终验收之日起</w:t>
      </w:r>
      <w:r>
        <w:rPr>
          <w:rFonts w:hint="eastAsia" w:ascii="仿宋" w:hAnsi="仿宋" w:eastAsia="仿宋" w:cs="仿宋"/>
          <w:sz w:val="24"/>
          <w:u w:val="single"/>
        </w:rPr>
        <w:t xml:space="preserve">    </w:t>
      </w:r>
      <w:r>
        <w:rPr>
          <w:rFonts w:hint="eastAsia" w:ascii="仿宋" w:hAnsi="仿宋" w:eastAsia="仿宋" w:cs="仿宋"/>
          <w:sz w:val="24"/>
        </w:rPr>
        <w:t>个月。若国家有明确规定的质量保证期高于此质量保证期的，执行国家规定。</w:t>
      </w:r>
    </w:p>
    <w:p w14:paraId="5E817105">
      <w:pPr>
        <w:spacing w:line="360" w:lineRule="auto"/>
        <w:ind w:firstLine="480" w:firstLineChars="200"/>
        <w:rPr>
          <w:rFonts w:hint="eastAsia" w:ascii="仿宋" w:hAnsi="仿宋" w:eastAsia="仿宋" w:cs="仿宋"/>
          <w:sz w:val="24"/>
        </w:rPr>
      </w:pPr>
      <w:r>
        <w:rPr>
          <w:rFonts w:hint="eastAsia" w:ascii="仿宋" w:hAnsi="仿宋" w:eastAsia="仿宋" w:cs="仿宋"/>
          <w:sz w:val="24"/>
        </w:rPr>
        <w:t>2.服务期内，乙方应提供相关服务支持。对甲方所反映的任何服务问题在</w:t>
      </w:r>
      <w:r>
        <w:rPr>
          <w:rFonts w:hint="eastAsia" w:ascii="仿宋" w:hAnsi="仿宋" w:eastAsia="仿宋" w:cs="仿宋"/>
          <w:sz w:val="24"/>
          <w:u w:val="single"/>
        </w:rPr>
        <w:t>××</w:t>
      </w:r>
      <w:r>
        <w:rPr>
          <w:rFonts w:hint="eastAsia" w:ascii="仿宋" w:hAnsi="仿宋" w:eastAsia="仿宋" w:cs="仿宋"/>
          <w:sz w:val="24"/>
        </w:rPr>
        <w:t>日（小时）之内做出及时响应，在</w:t>
      </w:r>
      <w:r>
        <w:rPr>
          <w:rFonts w:hint="eastAsia" w:ascii="仿宋" w:hAnsi="仿宋" w:eastAsia="仿宋" w:cs="仿宋"/>
          <w:sz w:val="24"/>
          <w:u w:val="single"/>
        </w:rPr>
        <w:t xml:space="preserve">    </w:t>
      </w:r>
      <w:r>
        <w:rPr>
          <w:rFonts w:hint="eastAsia" w:ascii="仿宋" w:hAnsi="仿宋" w:eastAsia="仿宋" w:cs="仿宋"/>
          <w:sz w:val="24"/>
        </w:rPr>
        <w:t>日（小时）之内赶到现场实地解决问题。若问题在</w:t>
      </w:r>
      <w:r>
        <w:rPr>
          <w:rFonts w:hint="eastAsia" w:ascii="仿宋" w:hAnsi="仿宋" w:eastAsia="仿宋" w:cs="仿宋"/>
          <w:sz w:val="24"/>
          <w:u w:val="single"/>
        </w:rPr>
        <w:t xml:space="preserve">    </w:t>
      </w:r>
      <w:r>
        <w:rPr>
          <w:rFonts w:hint="eastAsia" w:ascii="仿宋" w:hAnsi="仿宋" w:eastAsia="仿宋" w:cs="仿宋"/>
          <w:sz w:val="24"/>
        </w:rPr>
        <w:t>工作日（小时）后仍无法解决，乙方应在</w:t>
      </w:r>
      <w:r>
        <w:rPr>
          <w:rFonts w:hint="eastAsia" w:ascii="仿宋" w:hAnsi="仿宋" w:eastAsia="仿宋" w:cs="仿宋"/>
          <w:sz w:val="24"/>
          <w:u w:val="single"/>
        </w:rPr>
        <w:t xml:space="preserve">     </w:t>
      </w:r>
      <w:r>
        <w:rPr>
          <w:rFonts w:hint="eastAsia" w:ascii="仿宋" w:hAnsi="仿宋" w:eastAsia="仿宋" w:cs="仿宋"/>
          <w:sz w:val="24"/>
        </w:rPr>
        <w:t>日（小时）内免费提供服务的补偿、替换方案，直至服务恢复正常。</w:t>
      </w:r>
    </w:p>
    <w:p w14:paraId="581397B5">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3.乙方必须遵守甲方的有关管理制度、操作规程。对于乙方违规操作造成甲方损失的，由乙方按照本合同第十二条的约定承担赔偿责任。</w:t>
      </w:r>
    </w:p>
    <w:p w14:paraId="7F11A6F0">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第十条  分包</w:t>
      </w:r>
    </w:p>
    <w:p w14:paraId="28498AAC">
      <w:pPr>
        <w:spacing w:line="360" w:lineRule="auto"/>
        <w:ind w:firstLine="480" w:firstLineChars="200"/>
        <w:rPr>
          <w:rFonts w:hint="eastAsia" w:ascii="仿宋" w:hAnsi="仿宋" w:eastAsia="仿宋" w:cs="仿宋"/>
          <w:strike/>
          <w:sz w:val="24"/>
        </w:rPr>
      </w:pPr>
      <w:r>
        <w:rPr>
          <w:rFonts w:hint="eastAsia" w:ascii="仿宋" w:hAnsi="仿宋" w:eastAsia="仿宋" w:cs="仿宋"/>
          <w:sz w:val="24"/>
        </w:rPr>
        <w:t>除招标采购文件事先说明、且经甲方事先书面同意外，乙方不得分包、转包其应履行的合同义务。</w:t>
      </w:r>
    </w:p>
    <w:p w14:paraId="10147C09">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第十一条  合同的生效</w:t>
      </w:r>
    </w:p>
    <w:p w14:paraId="5B464908">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1.本合同经甲乙双方授权代表签字并加盖公章或合同专用章后生效。</w:t>
      </w:r>
    </w:p>
    <w:p w14:paraId="3B49E5DC">
      <w:pPr>
        <w:spacing w:line="360" w:lineRule="auto"/>
        <w:ind w:firstLine="480" w:firstLineChars="200"/>
        <w:rPr>
          <w:rFonts w:hint="eastAsia" w:ascii="仿宋" w:hAnsi="仿宋" w:eastAsia="仿宋" w:cs="仿宋"/>
          <w:sz w:val="24"/>
        </w:rPr>
      </w:pPr>
      <w:r>
        <w:rPr>
          <w:rFonts w:hint="eastAsia" w:ascii="仿宋" w:hAnsi="仿宋" w:eastAsia="仿宋" w:cs="仿宋"/>
          <w:sz w:val="24"/>
        </w:rPr>
        <w:t>2.生效后，除《政府采购法》第49条、第50条第二款规定的情形外，甲乙双方不得擅自变更、中止或终止合同。</w:t>
      </w:r>
    </w:p>
    <w:p w14:paraId="367E718C">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第十二条  违约责任</w:t>
      </w:r>
    </w:p>
    <w:p w14:paraId="663E3550">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1.乙方所交付服务成果不符合本合同规定的，甲方有权拒收，乙方在得到甲方通知之日起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％的违约金。</w:t>
      </w:r>
    </w:p>
    <w:p w14:paraId="2951FC7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2.甲方无正当理由拒收服务，甲方应向乙方偿付拒付服务费用 </w:t>
      </w:r>
      <w:r>
        <w:rPr>
          <w:rFonts w:hint="eastAsia" w:ascii="仿宋" w:hAnsi="仿宋" w:eastAsia="仿宋" w:cs="仿宋"/>
          <w:sz w:val="24"/>
          <w:u w:val="single"/>
        </w:rPr>
        <w:t xml:space="preserve">    </w:t>
      </w:r>
      <w:r>
        <w:rPr>
          <w:rFonts w:hint="eastAsia" w:ascii="仿宋" w:hAnsi="仿宋" w:eastAsia="仿宋" w:cs="仿宋"/>
          <w:sz w:val="24"/>
        </w:rPr>
        <w:t>％的违约金。</w:t>
      </w:r>
    </w:p>
    <w:p w14:paraId="19F859AD">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3.乙方无正当理由逾期交付服务的，每逾期1天，乙方向甲方偿付合同总额的</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天，甲方有权解除合同，甲方解除合同的通知自到达乙方时生效。在此情况下，乙方给甲方造成的实际损失高于违约金的，对高出违约金的部分乙方应予以赔偿。</w:t>
      </w:r>
    </w:p>
    <w:p w14:paraId="71CC1271">
      <w:pPr>
        <w:spacing w:line="360" w:lineRule="auto"/>
        <w:ind w:firstLine="480" w:firstLineChars="200"/>
        <w:rPr>
          <w:rFonts w:hint="eastAsia"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w:t>
      </w:r>
      <w:r>
        <w:rPr>
          <w:rFonts w:hint="eastAsia" w:ascii="仿宋" w:hAnsi="仿宋" w:eastAsia="仿宋" w:cs="仿宋"/>
          <w:sz w:val="24"/>
          <w:u w:val="single"/>
        </w:rPr>
        <w:t xml:space="preserve">    </w:t>
      </w:r>
      <w:r>
        <w:rPr>
          <w:rFonts w:hint="eastAsia" w:ascii="仿宋" w:hAnsi="仿宋" w:eastAsia="仿宋" w:cs="仿宋"/>
          <w:sz w:val="24"/>
        </w:rPr>
        <w:t>‰违约金，但累计违约金总额不超过欠款总额的</w:t>
      </w:r>
      <w:r>
        <w:rPr>
          <w:rFonts w:hint="eastAsia" w:ascii="仿宋" w:hAnsi="仿宋" w:eastAsia="仿宋" w:cs="仿宋"/>
          <w:sz w:val="24"/>
          <w:u w:val="single"/>
        </w:rPr>
        <w:t xml:space="preserve">    </w:t>
      </w:r>
      <w:r>
        <w:rPr>
          <w:rFonts w:hint="eastAsia" w:ascii="仿宋" w:hAnsi="仿宋" w:eastAsia="仿宋" w:cs="仿宋"/>
          <w:sz w:val="24"/>
        </w:rPr>
        <w:t>％。</w:t>
      </w:r>
    </w:p>
    <w:p w14:paraId="515D6D1B">
      <w:pPr>
        <w:spacing w:line="360" w:lineRule="auto"/>
        <w:ind w:firstLine="480" w:firstLineChars="200"/>
        <w:rPr>
          <w:rFonts w:hint="eastAsia" w:ascii="仿宋" w:hAnsi="仿宋" w:eastAsia="仿宋" w:cs="仿宋"/>
          <w:sz w:val="24"/>
        </w:rPr>
      </w:pPr>
      <w:r>
        <w:rPr>
          <w:rFonts w:hint="eastAsia" w:ascii="仿宋" w:hAnsi="仿宋" w:eastAsia="仿宋" w:cs="仿宋"/>
          <w:sz w:val="24"/>
        </w:rPr>
        <w:t>5.其它未尽事宜，以《合同法》和《政府采购法》等有关法律法规规定为准，无相关规定的，双方协商解决。</w:t>
      </w:r>
    </w:p>
    <w:p w14:paraId="027665AD">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第十三条  不可抗力</w:t>
      </w:r>
    </w:p>
    <w:p w14:paraId="744515E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7B28700F">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第十四条  争议的解决方式</w:t>
      </w:r>
    </w:p>
    <w:p w14:paraId="421C9E9E">
      <w:pPr>
        <w:spacing w:line="360" w:lineRule="auto"/>
        <w:ind w:firstLine="480" w:firstLineChars="200"/>
        <w:rPr>
          <w:rFonts w:hint="eastAsia"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14:paraId="2BB75A67">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2.在解释或者执行本合同的过程中发生争议时，双方应通过协商方式解决。</w:t>
      </w:r>
    </w:p>
    <w:p w14:paraId="3CA68039">
      <w:pPr>
        <w:spacing w:line="480" w:lineRule="exact"/>
        <w:ind w:firstLine="480" w:firstLineChars="200"/>
        <w:rPr>
          <w:rFonts w:hint="eastAsia"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35A7E4B7">
      <w:pPr>
        <w:spacing w:line="480" w:lineRule="exact"/>
        <w:ind w:firstLine="480" w:firstLineChars="200"/>
        <w:rPr>
          <w:rFonts w:hint="eastAsia" w:ascii="仿宋" w:hAnsi="仿宋" w:eastAsia="仿宋" w:cs="仿宋"/>
          <w:sz w:val="24"/>
        </w:rPr>
      </w:pPr>
      <w:r>
        <w:rPr>
          <w:rFonts w:hint="eastAsia" w:ascii="仿宋" w:hAnsi="仿宋" w:eastAsia="仿宋" w:cs="仿宋"/>
          <w:sz w:val="24"/>
        </w:rPr>
        <w:t>①向    市（县、区）有管辖权的法院提起诉讼；</w:t>
      </w:r>
    </w:p>
    <w:p w14:paraId="587107A7">
      <w:pPr>
        <w:spacing w:line="480" w:lineRule="exact"/>
        <w:ind w:firstLine="480" w:firstLineChars="200"/>
        <w:rPr>
          <w:rFonts w:hint="eastAsia" w:ascii="仿宋" w:hAnsi="仿宋" w:eastAsia="仿宋" w:cs="仿宋"/>
          <w:sz w:val="24"/>
        </w:rPr>
      </w:pPr>
      <w:r>
        <w:rPr>
          <w:rFonts w:hint="eastAsia" w:ascii="仿宋" w:hAnsi="仿宋" w:eastAsia="仿宋" w:cs="仿宋"/>
          <w:sz w:val="24"/>
        </w:rPr>
        <w:t>②向    市（县、区）仲裁委员会提出仲裁。</w:t>
      </w:r>
    </w:p>
    <w:p w14:paraId="692718B0">
      <w:pPr>
        <w:spacing w:line="480" w:lineRule="exact"/>
        <w:ind w:firstLine="480" w:firstLineChars="200"/>
        <w:rPr>
          <w:rFonts w:hint="eastAsia"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14:paraId="41754749">
      <w:pPr>
        <w:spacing w:line="360" w:lineRule="auto"/>
        <w:ind w:left="482"/>
        <w:outlineLvl w:val="1"/>
        <w:rPr>
          <w:rFonts w:hint="eastAsia" w:ascii="仿宋" w:hAnsi="仿宋" w:eastAsia="仿宋" w:cs="仿宋"/>
          <w:b/>
          <w:sz w:val="24"/>
        </w:rPr>
      </w:pPr>
      <w:r>
        <w:rPr>
          <w:rFonts w:hint="eastAsia" w:ascii="仿宋" w:hAnsi="仿宋" w:eastAsia="仿宋" w:cs="仿宋"/>
          <w:b/>
          <w:sz w:val="24"/>
        </w:rPr>
        <w:t>第十五条  其他</w:t>
      </w:r>
    </w:p>
    <w:p w14:paraId="38F5AEAD">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符合《政府采购法》第49条规定的，经双方协商，办理政府采购手续后，可签订补充合同，所签订的补充合同与本合同具有同等法律效力。</w:t>
      </w:r>
    </w:p>
    <w:p w14:paraId="77647509">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w:t>
      </w:r>
    </w:p>
    <w:p w14:paraId="709DF364">
      <w:pPr>
        <w:spacing w:line="360" w:lineRule="auto"/>
        <w:ind w:firstLine="480" w:firstLineChars="200"/>
        <w:rPr>
          <w:rFonts w:hint="eastAsia" w:ascii="仿宋" w:hAnsi="仿宋" w:eastAsia="仿宋" w:cs="仿宋"/>
          <w:sz w:val="24"/>
        </w:rPr>
      </w:pPr>
    </w:p>
    <w:p w14:paraId="1B4207C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   方：                        乙   方：</w:t>
      </w:r>
    </w:p>
    <w:p w14:paraId="00E4ECB7">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名称：（盖章）                    名称：（盖章）</w:t>
      </w:r>
    </w:p>
    <w:p w14:paraId="4239477E">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                           地址：</w:t>
      </w:r>
    </w:p>
    <w:p w14:paraId="307E9E68">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法定代表人（签字）：              法定代表人（签字）：</w:t>
      </w:r>
    </w:p>
    <w:p w14:paraId="6EBAB406">
      <w:pPr>
        <w:spacing w:line="360" w:lineRule="auto"/>
        <w:ind w:firstLine="480" w:firstLineChars="200"/>
        <w:rPr>
          <w:rFonts w:hint="eastAsia" w:ascii="仿宋" w:hAnsi="仿宋" w:eastAsia="仿宋" w:cs="仿宋"/>
          <w:sz w:val="24"/>
        </w:rPr>
      </w:pPr>
      <w:r>
        <w:rPr>
          <w:rFonts w:hint="eastAsia" w:ascii="仿宋" w:hAnsi="仿宋" w:eastAsia="仿宋" w:cs="仿宋"/>
          <w:sz w:val="24"/>
        </w:rPr>
        <w:t>授权代表（签字）：                授权代表（签字）：</w:t>
      </w:r>
    </w:p>
    <w:p w14:paraId="1B6BD2A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                       开户银行（基本账户）：</w:t>
      </w:r>
    </w:p>
    <w:p w14:paraId="05F006D8">
      <w:pPr>
        <w:spacing w:line="360" w:lineRule="auto"/>
        <w:ind w:firstLine="480" w:firstLineChars="200"/>
        <w:rPr>
          <w:rFonts w:hint="eastAsia" w:ascii="仿宋" w:hAnsi="仿宋" w:eastAsia="仿宋" w:cs="仿宋"/>
          <w:sz w:val="24"/>
        </w:rPr>
      </w:pPr>
      <w:r>
        <w:rPr>
          <w:rFonts w:hint="eastAsia" w:ascii="仿宋" w:hAnsi="仿宋" w:eastAsia="仿宋" w:cs="仿宋"/>
          <w:sz w:val="24"/>
        </w:rPr>
        <w:t>银行帐号：                       银行帐号（基本账户）：</w:t>
      </w:r>
    </w:p>
    <w:p w14:paraId="607F26F1">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甲方合同法律审核（盖章）：</w:t>
      </w:r>
    </w:p>
    <w:p w14:paraId="78BF12D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时间：         年     月     日</w:t>
      </w:r>
    </w:p>
    <w:p w14:paraId="0ADDEB90">
      <w:pPr>
        <w:spacing w:line="360" w:lineRule="auto"/>
        <w:ind w:firstLine="422" w:firstLineChars="200"/>
        <w:rPr>
          <w:rFonts w:ascii="仿宋" w:hAnsi="仿宋" w:eastAsia="仿宋" w:cs="仿宋"/>
          <w:b/>
          <w:color w:val="auto"/>
        </w:rPr>
      </w:pPr>
      <w:bookmarkStart w:id="908" w:name="_Toc310580633"/>
      <w:r>
        <w:rPr>
          <w:rFonts w:hint="eastAsia" w:ascii="仿宋" w:hAnsi="仿宋" w:eastAsia="仿宋" w:cs="仿宋"/>
          <w:b/>
          <w:color w:val="auto"/>
        </w:rPr>
        <w:t>特别说明：</w:t>
      </w:r>
    </w:p>
    <w:p w14:paraId="6D8D1025">
      <w:pPr>
        <w:spacing w:line="360" w:lineRule="auto"/>
        <w:ind w:firstLine="422" w:firstLineChars="200"/>
        <w:rPr>
          <w:rFonts w:ascii="仿宋" w:hAnsi="仿宋" w:eastAsia="仿宋" w:cs="仿宋"/>
          <w:b/>
          <w:color w:val="auto"/>
        </w:rPr>
      </w:pPr>
      <w:r>
        <w:rPr>
          <w:rFonts w:hint="eastAsia" w:ascii="仿宋" w:hAnsi="仿宋" w:eastAsia="仿宋" w:cs="仿宋"/>
          <w:b/>
          <w:color w:val="auto"/>
        </w:rPr>
        <w:t>1.本范本根据《政府采购法》、《合同法》等法律法规制定。具体项目的采购合同条款，在本范本框架内由甲乙双方协商一致签订。空格处划横线。</w:t>
      </w:r>
    </w:p>
    <w:p w14:paraId="7065AF5C">
      <w:pPr>
        <w:spacing w:line="360" w:lineRule="auto"/>
        <w:ind w:firstLine="422" w:firstLineChars="200"/>
        <w:rPr>
          <w:rFonts w:ascii="仿宋" w:hAnsi="仿宋" w:eastAsia="仿宋" w:cs="仿宋"/>
          <w:b/>
          <w:color w:val="auto"/>
        </w:rPr>
      </w:pPr>
      <w:r>
        <w:rPr>
          <w:rFonts w:hint="eastAsia" w:ascii="仿宋" w:hAnsi="仿宋" w:eastAsia="仿宋" w:cs="仿宋"/>
          <w:b/>
          <w:color w:val="auto"/>
        </w:rPr>
        <w:t>2.收款单位名称应与本合同乙方单位名称、项目中标单位名称、开具发票单位名称相一致。</w:t>
      </w:r>
    </w:p>
    <w:p w14:paraId="6EAEFD2E">
      <w:pPr>
        <w:spacing w:line="360" w:lineRule="auto"/>
        <w:ind w:firstLine="422" w:firstLineChars="200"/>
        <w:rPr>
          <w:rFonts w:ascii="仿宋" w:hAnsi="仿宋" w:eastAsia="仿宋" w:cs="仿宋"/>
          <w:b/>
          <w:color w:val="auto"/>
        </w:rPr>
      </w:pPr>
      <w:r>
        <w:rPr>
          <w:rFonts w:hint="eastAsia" w:ascii="仿宋" w:hAnsi="仿宋" w:eastAsia="仿宋" w:cs="仿宋"/>
          <w:b/>
          <w:color w:val="auto"/>
        </w:rPr>
        <w:t>3.甲方（采购单位）应盖本单位公章（不允许盖内设科室章），乙方应盖单位公章或合同专用章，合同双方应盖骑缝章。</w:t>
      </w:r>
    </w:p>
    <w:p w14:paraId="5B67FFFB">
      <w:pPr>
        <w:spacing w:line="360" w:lineRule="auto"/>
        <w:ind w:firstLine="422" w:firstLineChars="200"/>
        <w:rPr>
          <w:rFonts w:ascii="仿宋" w:hAnsi="仿宋" w:eastAsia="仿宋" w:cs="仿宋"/>
          <w:b/>
          <w:color w:val="auto"/>
        </w:rPr>
      </w:pPr>
      <w:r>
        <w:rPr>
          <w:rFonts w:hint="eastAsia" w:ascii="仿宋" w:hAnsi="仿宋" w:eastAsia="仿宋" w:cs="仿宋"/>
          <w:b/>
          <w:color w:val="auto"/>
        </w:rPr>
        <w:t>4. 除涉密项目外，根据《政府采购法实施条例》第50条规定：采购人应当自政府采购合同签订之日起2个工作日内，将政府采购合同在省级以上人民政府财政部门指定的媒体上公告。</w:t>
      </w:r>
    </w:p>
    <w:bookmarkEnd w:id="908"/>
    <w:p w14:paraId="3E84B41C">
      <w:pPr>
        <w:spacing w:line="413" w:lineRule="auto"/>
        <w:rPr>
          <w:rFonts w:hint="eastAsia" w:ascii="仿宋" w:hAnsi="仿宋" w:eastAsia="仿宋" w:cs="仿宋"/>
          <w:b/>
          <w:color w:val="auto"/>
        </w:rPr>
      </w:pPr>
      <w:r>
        <w:rPr>
          <w:rFonts w:hint="eastAsia" w:ascii="仿宋" w:hAnsi="仿宋" w:eastAsia="仿宋" w:cs="仿宋"/>
          <w:color w:val="auto"/>
        </w:rPr>
        <w:t xml:space="preserve"> </w:t>
      </w:r>
      <w:r>
        <w:rPr>
          <w:rFonts w:ascii="仿宋" w:hAnsi="仿宋" w:eastAsia="仿宋" w:cs="仿宋"/>
          <w:color w:val="auto"/>
        </w:rPr>
        <w:t xml:space="preserve">   </w:t>
      </w:r>
      <w:r>
        <w:rPr>
          <w:rFonts w:ascii="仿宋" w:hAnsi="仿宋" w:eastAsia="仿宋" w:cs="仿宋"/>
          <w:b/>
          <w:color w:val="auto"/>
        </w:rPr>
        <w:t>5.</w:t>
      </w:r>
      <w:r>
        <w:rPr>
          <w:rFonts w:hint="eastAsia" w:ascii="仿宋" w:hAnsi="仿宋" w:eastAsia="仿宋" w:cs="仿宋"/>
          <w:b/>
          <w:color w:val="auto"/>
        </w:rPr>
        <w:t>本合同仅供参考，具体以实际签订合同为准。</w:t>
      </w:r>
    </w:p>
    <w:p w14:paraId="1EED10CF">
      <w:pPr>
        <w:spacing w:line="413" w:lineRule="auto"/>
        <w:rPr>
          <w:rFonts w:hint="eastAsia" w:ascii="仿宋" w:hAnsi="仿宋" w:eastAsia="仿宋" w:cs="仿宋"/>
          <w:b/>
          <w:color w:val="auto"/>
        </w:rPr>
      </w:pPr>
    </w:p>
    <w:p w14:paraId="10635120">
      <w:pPr>
        <w:spacing w:line="413" w:lineRule="auto"/>
        <w:rPr>
          <w:rFonts w:hint="eastAsia" w:ascii="仿宋" w:hAnsi="仿宋" w:eastAsia="仿宋" w:cs="仿宋"/>
          <w:b/>
          <w:color w:val="auto"/>
        </w:rPr>
      </w:pPr>
    </w:p>
    <w:p w14:paraId="57E43B33">
      <w:pPr>
        <w:spacing w:line="413" w:lineRule="auto"/>
        <w:rPr>
          <w:rFonts w:hint="eastAsia" w:ascii="仿宋" w:hAnsi="仿宋" w:eastAsia="仿宋" w:cs="仿宋"/>
          <w:b/>
          <w:color w:val="auto"/>
        </w:rPr>
      </w:pPr>
    </w:p>
    <w:p w14:paraId="20B90668">
      <w:pPr>
        <w:spacing w:line="413" w:lineRule="auto"/>
        <w:rPr>
          <w:rFonts w:hint="eastAsia" w:ascii="仿宋" w:hAnsi="仿宋" w:eastAsia="仿宋" w:cs="仿宋"/>
          <w:b/>
          <w:color w:val="auto"/>
        </w:rPr>
      </w:pPr>
    </w:p>
    <w:p w14:paraId="0D655483">
      <w:pPr>
        <w:spacing w:line="413" w:lineRule="auto"/>
        <w:rPr>
          <w:rFonts w:hint="eastAsia" w:ascii="仿宋" w:hAnsi="仿宋" w:eastAsia="仿宋" w:cs="仿宋"/>
          <w:b/>
          <w:color w:val="auto"/>
        </w:rPr>
      </w:pPr>
    </w:p>
    <w:p w14:paraId="2BD19D9E">
      <w:pPr>
        <w:pStyle w:val="2"/>
        <w:numPr>
          <w:ilvl w:val="0"/>
          <w:numId w:val="8"/>
        </w:numPr>
        <w:spacing w:before="120" w:beforeLines="0" w:after="120" w:afterLines="0" w:line="400" w:lineRule="exact"/>
        <w:ind w:left="1115" w:leftChars="0" w:firstLine="1405" w:firstLineChars="0"/>
        <w:jc w:val="both"/>
        <w:rPr>
          <w:rFonts w:hint="eastAsia"/>
          <w:color w:val="auto"/>
          <w:sz w:val="28"/>
          <w:szCs w:val="28"/>
          <w:highlight w:val="none"/>
          <w:lang w:eastAsia="zh-CN"/>
        </w:rPr>
      </w:pPr>
      <w:r>
        <w:rPr>
          <w:rFonts w:hint="eastAsia" w:ascii="宋体" w:hAnsi="宋体" w:cs="宋体"/>
          <w:color w:val="auto"/>
          <w:sz w:val="28"/>
          <w:szCs w:val="28"/>
          <w:highlight w:val="none"/>
          <w:lang w:val="en-US" w:eastAsia="zh-CN"/>
        </w:rPr>
        <w:t xml:space="preserve">  </w:t>
      </w:r>
      <w:bookmarkStart w:id="909" w:name="_Toc28362"/>
      <w:bookmarkStart w:id="910" w:name="_Toc24709"/>
      <w:r>
        <w:rPr>
          <w:rFonts w:hint="eastAsia" w:ascii="宋体" w:hAnsi="宋体" w:cs="宋体"/>
          <w:color w:val="auto"/>
          <w:sz w:val="28"/>
          <w:szCs w:val="28"/>
          <w:highlight w:val="none"/>
          <w:lang w:eastAsia="zh-CN"/>
        </w:rPr>
        <w:t>采购需求及技术</w:t>
      </w:r>
      <w:r>
        <w:rPr>
          <w:rFonts w:hint="eastAsia" w:ascii="宋体" w:hAnsi="宋体" w:cs="宋体"/>
          <w:color w:val="auto"/>
          <w:sz w:val="28"/>
          <w:szCs w:val="28"/>
          <w:highlight w:val="none"/>
          <w:lang w:val="en-US" w:eastAsia="zh-CN"/>
        </w:rPr>
        <w:t>参数</w:t>
      </w:r>
      <w:bookmarkEnd w:id="900"/>
      <w:bookmarkEnd w:id="901"/>
      <w:bookmarkEnd w:id="902"/>
      <w:bookmarkEnd w:id="905"/>
      <w:bookmarkEnd w:id="906"/>
      <w:bookmarkEnd w:id="907"/>
      <w:bookmarkEnd w:id="909"/>
      <w:bookmarkEnd w:id="910"/>
    </w:p>
    <w:p w14:paraId="4000A769">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bookmarkStart w:id="911" w:name="_Toc23181"/>
    </w:p>
    <w:tbl>
      <w:tblPr>
        <w:tblStyle w:val="25"/>
        <w:tblW w:w="10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2"/>
      </w:tblGrid>
      <w:tr w14:paraId="7C2A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92" w:type="dxa"/>
            <w:tcBorders>
              <w:top w:val="nil"/>
              <w:left w:val="nil"/>
              <w:bottom w:val="nil"/>
              <w:right w:val="nil"/>
            </w:tcBorders>
            <w:noWrap/>
            <w:vAlign w:val="center"/>
          </w:tcPr>
          <w:p w14:paraId="10C836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潢川县城区学校AI人像车辆监控设施设备系统项目</w:t>
            </w:r>
          </w:p>
          <w:p w14:paraId="496A50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val="0"/>
                <w:color w:val="auto"/>
                <w:sz w:val="21"/>
                <w:szCs w:val="21"/>
                <w:highlight w:val="none"/>
                <w:lang w:val="en-US" w:eastAsia="zh-CN"/>
              </w:rPr>
              <w:t>项目内容：</w:t>
            </w:r>
            <w:r>
              <w:rPr>
                <w:rFonts w:hint="eastAsia" w:ascii="宋体" w:hAnsi="宋体" w:eastAsia="宋体" w:cs="宋体"/>
                <w:b/>
                <w:bCs w:val="0"/>
                <w:color w:val="auto"/>
                <w:sz w:val="21"/>
                <w:szCs w:val="21"/>
                <w:highlight w:val="none"/>
              </w:rPr>
              <w:t>城区37所学校大门卡口AI人像车辆监控系统设备（人脸识别系统），五年服务</w:t>
            </w:r>
            <w:r>
              <w:rPr>
                <w:rFonts w:hint="eastAsia" w:ascii="宋体" w:hAnsi="宋体" w:eastAsia="宋体" w:cs="宋体"/>
                <w:b/>
                <w:bCs w:val="0"/>
                <w:color w:val="auto"/>
                <w:sz w:val="21"/>
                <w:szCs w:val="21"/>
                <w:highlight w:val="none"/>
                <w:lang w:eastAsia="zh-CN"/>
              </w:rPr>
              <w:t>。</w:t>
            </w:r>
          </w:p>
        </w:tc>
      </w:tr>
      <w:bookmarkEnd w:id="911"/>
    </w:tbl>
    <w:tbl>
      <w:tblPr>
        <w:tblStyle w:val="25"/>
        <w:tblpPr w:leftFromText="180" w:rightFromText="180" w:vertAnchor="text" w:horzAnchor="page" w:tblpX="1448" w:tblpY="228"/>
        <w:tblOverlap w:val="never"/>
        <w:tblW w:w="9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732"/>
        <w:gridCol w:w="1536"/>
        <w:gridCol w:w="6036"/>
        <w:gridCol w:w="564"/>
        <w:gridCol w:w="564"/>
      </w:tblGrid>
      <w:tr w14:paraId="04BA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35E56258">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633D2A1A">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建设项目</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3AD5EFF3">
            <w:pPr>
              <w:keepNext w:val="0"/>
              <w:keepLines w:val="0"/>
              <w:widowControl/>
              <w:suppressLineNumbers w:val="0"/>
              <w:spacing w:line="240" w:lineRule="auto"/>
              <w:ind w:firstLine="0" w:firstLineChars="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建设内容及参数</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C73DE67">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数量</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E51AD9A">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服务年份</w:t>
            </w:r>
          </w:p>
        </w:tc>
      </w:tr>
      <w:tr w14:paraId="1CC8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2BEE1B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01B0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视联网平台部分</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3CFA6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视联平台</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77DE442B">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平台架构：视频云平台需具备分布式视频云能力，规格不低于多区域中心+省服务节点+边缘服务节点部署架构，在全国范围可提供30个以上的视频云节点，广东省内可提供10个以上的视频云节点，各节点间实现统一调度、统一管理。视频云平台具备千万级别的终端接入能力。具备不低于10万并发能力，设备流可市内出流、省内出流，加快出流速度，减少传输链路，直播画面出流速度平均≤3s内开快速播放，各服务模块交互响应≤500ms。</w:t>
            </w:r>
          </w:p>
          <w:p w14:paraId="177A6DF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2、平台稳定性：7×24小时连续不断稳定的工作，系统可用率必须达到99.99％；系统在国家法定节假日期间，保持7×24小时连续不断稳定的工作；</w:t>
            </w:r>
          </w:p>
          <w:p w14:paraId="5705FA1C">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响应速度：通过视频云平台交互信息的响应时间、平台内数据交换处理的平均响应时间≤3秒/次。非网络或下级平台响应原因，视频云平台终端操作应无明显等待及卡顿，终端操作响应时间≤3秒。系统忙时系统资源占用指标：服务忙时系统资源占用率指标不高于85%。</w:t>
            </w:r>
          </w:p>
          <w:p w14:paraId="3C40B02B">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4、异地灾备：系统要求具备异地灾备方案，灾难恢复达到第五级，要求实现远程实时备份，数据零丢失； </w:t>
            </w:r>
          </w:p>
          <w:p w14:paraId="11140DEC">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平台安全：视频云平台需具备建立从数据到传输、从摄像机到APP的端到端安全管控方案，全方位防范摄像机被攻破、传输被劫持、数据被泄露、平台及APP被破解的安全风险保障。并通过等保三级认证，公安部GB35114C级安全认证。</w:t>
            </w:r>
          </w:p>
          <w:p w14:paraId="04C302A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运维能力：平台要求运维具备7*24小时专人值班支撑保障，全流程的故障升级机制，具备节点监控大屏、业务监控、网络及主机基础监控等多维度监控，具备告警触发后要求3分钟内响应，告警要求10分钟内完成处理。</w:t>
            </w:r>
          </w:p>
          <w:p w14:paraId="430C32DB">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7、音视频编码：平台支持采用H.264、H.265常用视频编码格式，支持G.711常用音频编码格式，支持RTSP、RTMP、HLS网络视频流传输，集音视频编码压缩和数据传输为一体。</w:t>
            </w:r>
          </w:p>
          <w:p w14:paraId="7D23C23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8、存储能力：平台具备对接云存S3的能力，可按需配置30天、90天、180天云存，并自动滚动覆盖存储。</w:t>
            </w:r>
          </w:p>
          <w:p w14:paraId="1630534A">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客户端能力：视频云平台支持多种端侧客户端，电脑平台支持CS和BS客户端，手机平台支持安卓和苹果客户端，电视和机顶盒平台支持安卓TV客户端。支持全方位的视频监控业务。具备分权分域配置权限，分配子账号，视频直播、回看、语音对讲、云台控制、设备分组、快速查找、经纬度查询、AI告警信息、设备统计、在线率统计等功能。</w:t>
            </w:r>
          </w:p>
          <w:p w14:paraId="0521AD05">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10、录像功能：支持对实时监控画面进行手动录像并存储在用户指定的位置；支持对实时监控画面进行手动抓图并以JPG文件格式存储到用户指定位置。</w:t>
            </w:r>
          </w:p>
          <w:p w14:paraId="48635A3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布局管理：支持布局管理，用户可以对浏览窗口进行单画面和多画面分屏等操作，支持显示实时视频信息。支持根据需要选择每个画面要浏览的视频通道。支持单画面固定显示、多画面固定显示、支持分组轮询。支持以多路分发的方式使多个用户同时监视同一路视频。</w:t>
            </w:r>
          </w:p>
          <w:p w14:paraId="4C679D8C">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12、权限管理：视频云平台具有独立的用户及权限管理能力，支持多类型用户、多层级用户权限管理功能。</w:t>
            </w:r>
          </w:p>
          <w:p w14:paraId="78A9B15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13、能力开放：支持多协议接入：支持GB28181协议、社会厂家如海康、大华、宇视、华为等厂家的私有协议、ONVIF等行标协议</w:t>
            </w:r>
          </w:p>
          <w:p w14:paraId="2174F19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支持通过GB28181协议，与第三方视频平台对接，实现上下级级联，同步视频、图片数据。支持系统的二次开发以及和异构系统的集成；</w:t>
            </w:r>
          </w:p>
          <w:p w14:paraId="02603C8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需提供预留第三方对接的接口，用于公安视频专网对接，获取视频、图片等数据。</w:t>
            </w:r>
          </w:p>
          <w:p w14:paraId="0E7D2C8A">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需提供预留第三方对接的接口，用于各委办局对接，获取视频、图片数据。</w:t>
            </w:r>
          </w:p>
          <w:p w14:paraId="4BB39E44">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PC端：PC客户端支持呈现该帐号在平台注册的监控摄像头设备列表。支持多宫格查看视频直播，提供单画面、4、5、6、8、9、16、36及全屏的窗口布局。支持抓拍及手机录像并保存在自定义目录，支持自定义分组轮巡，支持权限管理，具有独立的用户及权限管理能力，支持多类型用户、多层级用户权限管理功能。录像查看具备多倍数播放，支持1/2、1/4、1/8、1、2、4、8、16倍数播放，支持对屏像录屏及抓图并自动保存在自定义目录，支持向左（后）向右（前）拖放。</w:t>
            </w:r>
          </w:p>
          <w:p w14:paraId="66B6B88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移动端：移动客户端支持Android、iOS系统，支持多宫格查看视频直播、支持竖、横屏；支持与音柱联动播报，并可自定义播报内容、频率等配置；录像回看支持以时间轴列表展示、支持将回看文件下载至本地、支持录像拍照、本地录像保存至手机，具备多倍数播放，支持1/2、1、1.5、2、4、8倍数播放，支持支持向左（后）向右（前）拖放。</w:t>
            </w:r>
          </w:p>
          <w:p w14:paraId="4556BD2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16、网络能力：支持公网、专网、混合组网能力</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14D64C9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9316C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1F30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016D38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72972">
            <w:pPr>
              <w:spacing w:line="240" w:lineRule="auto"/>
              <w:ind w:firstLine="0" w:firstLineChars="0"/>
              <w:jc w:val="center"/>
              <w:rPr>
                <w:rFonts w:hint="eastAsia" w:ascii="宋体" w:hAnsi="宋体" w:eastAsia="宋体" w:cs="宋体"/>
                <w:i w:val="0"/>
                <w:iCs w:val="0"/>
                <w:color w:val="000000"/>
                <w:sz w:val="28"/>
                <w:szCs w:val="28"/>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57F0A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平台软件运营维护</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1361DD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营维护：定期回访客户，搜集、接收和受理客户对公司产品的咨询与意见；组建不少于五人的专业支撑团队其中市级2人、每个县区3人；指派有丰富实践经验的技术人员，通过服务热线电话话形式为客户提供项目咨询、故障诊断等指导性技术服务，达到客户满意；各单位终端软件安装、故障排除、日常巡查等，服务期内7×24小时响应机制，响应时间1小时内到达现场，一般性故障解决时间1小时内解决，复杂性故障解决时间12小时之内排除故障；特殊事件/节假时期响应，保证随时到场，确保重大特殊事件问题的处理和护航。</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973A9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7C7B9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552E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000000" w:sz="4" w:space="0"/>
              <w:left w:val="single" w:color="000000" w:sz="4" w:space="0"/>
              <w:right w:val="single" w:color="000000" w:sz="4" w:space="0"/>
            </w:tcBorders>
            <w:noWrap w:val="0"/>
            <w:vAlign w:val="center"/>
          </w:tcPr>
          <w:p w14:paraId="586ABED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3</w:t>
            </w:r>
          </w:p>
        </w:tc>
        <w:tc>
          <w:tcPr>
            <w:tcW w:w="732" w:type="dxa"/>
            <w:vMerge w:val="restart"/>
            <w:tcBorders>
              <w:top w:val="single" w:color="000000" w:sz="4" w:space="0"/>
              <w:left w:val="single" w:color="000000" w:sz="4" w:space="0"/>
              <w:right w:val="single" w:color="000000" w:sz="4" w:space="0"/>
            </w:tcBorders>
            <w:noWrap w:val="0"/>
            <w:vAlign w:val="center"/>
          </w:tcPr>
          <w:p w14:paraId="408D5789">
            <w:pPr>
              <w:spacing w:line="240" w:lineRule="auto"/>
              <w:ind w:firstLine="0" w:firstLineChars="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安全边界部分</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84DA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安全隔离与信息交换系统</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47B315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1、系统吞吐量不小于5000Mbps；并发连接数不小于50万；</w:t>
            </w:r>
          </w:p>
          <w:p w14:paraId="31F642C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2、内、外网主机系统分别采用冗余双系统启动模式，当A系统运行失败后，能从B系统启动，且A、B系统可互为备份；</w:t>
            </w:r>
          </w:p>
          <w:p w14:paraId="2106D05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3、支持病毒检测、文件交换、数据库同步、数据库访问、安全浏览、FTP访问、邮件传输、定制访问等基本功能；</w:t>
            </w:r>
          </w:p>
          <w:p w14:paraId="33AE56B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4、支持系统健康状态实时自我检测，且能在异常状态下进行声音报警；；</w:t>
            </w:r>
          </w:p>
          <w:p w14:paraId="3C45D90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提供专用客户端，与安全隔离与信息交换系统进行认证，支持本地用户名口令认证，支持对在线用户进行踢除、中断、查看等管理方式；支持基于动态令牌的双因子认证方式；</w:t>
            </w:r>
          </w:p>
          <w:p w14:paraId="267CB9D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5、支持对接入客户端的系统版本号和进程名进行控制；</w:t>
            </w:r>
          </w:p>
          <w:p w14:paraId="2ACE8E7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6、采用自有知识产权的病毒防护引擎</w:t>
            </w:r>
          </w:p>
          <w:p w14:paraId="54634C3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7、具备实时入侵检测机制，实时阻断入侵；具备抗DoS、DDoS攻击功能；</w:t>
            </w:r>
          </w:p>
          <w:p w14:paraId="4486E20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8、管理方式采用B/S架构的Web方式管理，基于数字证书管理；支持内外网分别采用专用管理口管理，支持专用管理主机管理；</w:t>
            </w:r>
          </w:p>
          <w:p w14:paraId="02A628F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9、安全隔离与信息交换系统满足GB35114标准 C级平台互联要求。；</w:t>
            </w:r>
          </w:p>
          <w:p w14:paraId="52F1F00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10、为保障安全产品厂商能够提供专业的信息安全服务，要求厂商具备具有CNAS标识的业务连续性管理体系证书。</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ED71C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454206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597C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000000" w:sz="4" w:space="0"/>
              <w:left w:val="single" w:color="000000" w:sz="4" w:space="0"/>
              <w:right w:val="single" w:color="000000" w:sz="4" w:space="0"/>
            </w:tcBorders>
            <w:noWrap w:val="0"/>
            <w:vAlign w:val="center"/>
          </w:tcPr>
          <w:p w14:paraId="1442F69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tc>
        <w:tc>
          <w:tcPr>
            <w:tcW w:w="732" w:type="dxa"/>
            <w:vMerge w:val="continue"/>
            <w:tcBorders>
              <w:left w:val="single" w:color="000000" w:sz="4" w:space="0"/>
              <w:right w:val="single" w:color="000000" w:sz="4" w:space="0"/>
            </w:tcBorders>
            <w:noWrap w:val="0"/>
            <w:vAlign w:val="center"/>
          </w:tcPr>
          <w:p w14:paraId="120EB5F5">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vMerge w:val="restart"/>
            <w:tcBorders>
              <w:top w:val="single" w:color="000000" w:sz="4" w:space="0"/>
              <w:left w:val="single" w:color="000000" w:sz="4" w:space="0"/>
              <w:right w:val="single" w:color="000000" w:sz="4" w:space="0"/>
            </w:tcBorders>
            <w:noWrap w:val="0"/>
            <w:vAlign w:val="center"/>
          </w:tcPr>
          <w:p w14:paraId="6E1AD5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综合安全网关系统服务</w:t>
            </w:r>
          </w:p>
        </w:tc>
        <w:tc>
          <w:tcPr>
            <w:tcW w:w="6036" w:type="dxa"/>
            <w:vMerge w:val="restart"/>
            <w:tcBorders>
              <w:top w:val="single" w:color="000000" w:sz="4" w:space="0"/>
              <w:left w:val="single" w:color="000000" w:sz="4" w:space="0"/>
              <w:right w:val="single" w:color="000000" w:sz="4" w:space="0"/>
            </w:tcBorders>
            <w:noWrap w:val="0"/>
            <w:vAlign w:val="top"/>
          </w:tcPr>
          <w:p w14:paraId="60E84BA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1、具有访问控制、入侵防御、防病毒功能。</w:t>
            </w:r>
          </w:p>
          <w:p w14:paraId="19CABD3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2、出于可靠性考虑，防火墙需要具备2个操作系统互为备份，且需要支持一个可用于恢复的操作系统。且系统切换可在web页面完成。</w:t>
            </w:r>
          </w:p>
          <w:p w14:paraId="7D91259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3、支持基于文件类型的策略路由，可实现将预定义或者自定义的文件按照不同的分类进行智能选路。</w:t>
            </w:r>
          </w:p>
          <w:p w14:paraId="00D23D8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4、支持静态路由，动态路由（OSPF、RIP、BGP、ISIS等），VLAN间路由，单臂路由，组播路由等。</w:t>
            </w:r>
          </w:p>
          <w:p w14:paraId="20143BF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5、支持数据防泄密功能，可针对SMTP协议主题、正文的敏感信息检测，支持对HTTP协议POST数据的消息体的敏感信息检测，支持对FTP协议上传下载文件内容的敏感信息检测</w:t>
            </w:r>
          </w:p>
          <w:p w14:paraId="7D711C9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6、支持针对单条策略中的源、目的地址进行新建、并发限制，可以针对单IP(或地址范围)进行新建、并发控制</w:t>
            </w:r>
          </w:p>
          <w:p w14:paraId="5764A9D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7、支持入侵场景保留，可记录入侵行为相关的网络数据报文，报文可保存至U盘或某台内网服务器</w:t>
            </w:r>
          </w:p>
          <w:p w14:paraId="793D0F9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8、支持细粒度的自定义IPS特征功能，要求支持DNS\HTTP\FTP\TFTP\TELNET\SNMP\POP3\SMTP\IMAP\等17大类应用层协议的自定义，可以精准设置各个协议字段内容，例如字符内容、偏移、长度等细粒度的参数。</w:t>
            </w:r>
          </w:p>
          <w:p w14:paraId="3A618CB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9、支持HTTP类攻击重定向功能，能够把HTTP协议的攻击类型重定向到指定蜜罐系统，便于对攻击进行审计与分析。</w:t>
            </w:r>
          </w:p>
          <w:p w14:paraId="4E7B729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10、支持主流ICMPFLOOD\SYNFLOOD\ACKFLOOD\SYNACKFLOOD\UDPFLOOD攻击防护，采用专业高效攻击防护算法，非采用简单的阈值进行攻击防护</w:t>
            </w:r>
          </w:p>
          <w:p w14:paraId="60701A6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11、支持至少3个Syslog服务器，发送流量、系统或默认3类型日志到不同服务器</w:t>
            </w:r>
          </w:p>
          <w:p w14:paraId="57457A3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12、支持端口联动，支持上下行端口组的联动，可以实现单端口决定同组中的任意接口失效启动链路切换</w:t>
            </w:r>
          </w:p>
          <w:p w14:paraId="27E779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13、支持节能降耗电子信息技术，入围工信部《电子信息节能技术开发与应用方案推荐目录》；</w:t>
            </w:r>
          </w:p>
          <w:p w14:paraId="6630ACA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14、厂商综合安全网关IDC 国内排名连续3年前三</w:t>
            </w:r>
          </w:p>
        </w:tc>
        <w:tc>
          <w:tcPr>
            <w:tcW w:w="564" w:type="dxa"/>
            <w:vMerge w:val="restart"/>
            <w:tcBorders>
              <w:top w:val="single" w:color="000000" w:sz="4" w:space="0"/>
              <w:left w:val="single" w:color="000000" w:sz="4" w:space="0"/>
              <w:right w:val="single" w:color="000000" w:sz="4" w:space="0"/>
            </w:tcBorders>
            <w:noWrap w:val="0"/>
            <w:vAlign w:val="center"/>
          </w:tcPr>
          <w:p w14:paraId="6994A8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right w:val="single" w:color="000000" w:sz="4" w:space="0"/>
            </w:tcBorders>
            <w:noWrap w:val="0"/>
            <w:vAlign w:val="center"/>
          </w:tcPr>
          <w:p w14:paraId="322D33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11A9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564" w:type="dxa"/>
            <w:tcBorders>
              <w:left w:val="single" w:color="000000" w:sz="4" w:space="0"/>
              <w:right w:val="single" w:color="000000" w:sz="4" w:space="0"/>
            </w:tcBorders>
            <w:noWrap w:val="0"/>
            <w:vAlign w:val="center"/>
          </w:tcPr>
          <w:p w14:paraId="20473A4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742024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650C742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7DF59D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6E3C83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4FFE16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7AE2B3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2D3BC2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0B58AC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67C32FC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7B12FE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5F0DF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429113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w:t>
            </w:r>
          </w:p>
        </w:tc>
        <w:tc>
          <w:tcPr>
            <w:tcW w:w="732" w:type="dxa"/>
            <w:vMerge w:val="continue"/>
            <w:tcBorders>
              <w:left w:val="single" w:color="000000" w:sz="4" w:space="0"/>
              <w:right w:val="single" w:color="000000" w:sz="4" w:space="0"/>
            </w:tcBorders>
            <w:noWrap w:val="0"/>
            <w:vAlign w:val="center"/>
          </w:tcPr>
          <w:p w14:paraId="6DE914EE">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vMerge w:val="continue"/>
            <w:tcBorders>
              <w:left w:val="single" w:color="000000" w:sz="4" w:space="0"/>
              <w:right w:val="single" w:color="000000" w:sz="4" w:space="0"/>
            </w:tcBorders>
            <w:noWrap w:val="0"/>
            <w:vAlign w:val="center"/>
          </w:tcPr>
          <w:p w14:paraId="265CBB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036" w:type="dxa"/>
            <w:vMerge w:val="continue"/>
            <w:tcBorders>
              <w:left w:val="single" w:color="000000" w:sz="4" w:space="0"/>
              <w:right w:val="single" w:color="000000" w:sz="4" w:space="0"/>
            </w:tcBorders>
            <w:noWrap w:val="0"/>
            <w:vAlign w:val="top"/>
          </w:tcPr>
          <w:p w14:paraId="3BFB39F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p>
        </w:tc>
        <w:tc>
          <w:tcPr>
            <w:tcW w:w="564" w:type="dxa"/>
            <w:vMerge w:val="continue"/>
            <w:tcBorders>
              <w:left w:val="single" w:color="000000" w:sz="4" w:space="0"/>
              <w:right w:val="single" w:color="000000" w:sz="4" w:space="0"/>
            </w:tcBorders>
            <w:noWrap w:val="0"/>
            <w:vAlign w:val="center"/>
          </w:tcPr>
          <w:p w14:paraId="1076F9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c>
          <w:tcPr>
            <w:tcW w:w="564" w:type="dxa"/>
            <w:tcBorders>
              <w:left w:val="single" w:color="000000" w:sz="4" w:space="0"/>
              <w:right w:val="single" w:color="000000" w:sz="4" w:space="0"/>
            </w:tcBorders>
            <w:noWrap w:val="0"/>
            <w:vAlign w:val="center"/>
          </w:tcPr>
          <w:p w14:paraId="1EE7AF4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906BE4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F9634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30DA33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36B841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547F4B1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1A51AE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3AC038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7DD466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43219A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325E53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p>
          <w:p w14:paraId="7AA665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4DFD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564" w:type="dxa"/>
            <w:tcBorders>
              <w:left w:val="single" w:color="000000" w:sz="4" w:space="0"/>
              <w:bottom w:val="single" w:color="000000" w:sz="4" w:space="0"/>
              <w:right w:val="single" w:color="000000" w:sz="4" w:space="0"/>
            </w:tcBorders>
            <w:noWrap w:val="0"/>
            <w:vAlign w:val="center"/>
          </w:tcPr>
          <w:p w14:paraId="3C8CAF1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c>
          <w:tcPr>
            <w:tcW w:w="732" w:type="dxa"/>
            <w:vMerge w:val="continue"/>
            <w:tcBorders>
              <w:left w:val="single" w:color="000000" w:sz="4" w:space="0"/>
              <w:right w:val="single" w:color="000000" w:sz="4" w:space="0"/>
            </w:tcBorders>
            <w:noWrap w:val="0"/>
            <w:vAlign w:val="center"/>
          </w:tcPr>
          <w:p w14:paraId="7C436377">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vMerge w:val="continue"/>
            <w:tcBorders>
              <w:left w:val="single" w:color="000000" w:sz="4" w:space="0"/>
              <w:bottom w:val="single" w:color="000000" w:sz="4" w:space="0"/>
              <w:right w:val="single" w:color="000000" w:sz="4" w:space="0"/>
            </w:tcBorders>
            <w:noWrap w:val="0"/>
            <w:vAlign w:val="center"/>
          </w:tcPr>
          <w:p w14:paraId="2E8A48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036" w:type="dxa"/>
            <w:vMerge w:val="continue"/>
            <w:tcBorders>
              <w:left w:val="single" w:color="000000" w:sz="4" w:space="0"/>
              <w:bottom w:val="single" w:color="000000" w:sz="4" w:space="0"/>
              <w:right w:val="single" w:color="000000" w:sz="4" w:space="0"/>
            </w:tcBorders>
            <w:noWrap w:val="0"/>
            <w:vAlign w:val="top"/>
          </w:tcPr>
          <w:p w14:paraId="364B9D9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p>
        </w:tc>
        <w:tc>
          <w:tcPr>
            <w:tcW w:w="564" w:type="dxa"/>
            <w:vMerge w:val="continue"/>
            <w:tcBorders>
              <w:left w:val="single" w:color="000000" w:sz="4" w:space="0"/>
              <w:bottom w:val="single" w:color="000000" w:sz="4" w:space="0"/>
              <w:right w:val="single" w:color="000000" w:sz="4" w:space="0"/>
            </w:tcBorders>
            <w:noWrap w:val="0"/>
            <w:vAlign w:val="center"/>
          </w:tcPr>
          <w:p w14:paraId="2C09D01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c>
          <w:tcPr>
            <w:tcW w:w="564" w:type="dxa"/>
            <w:tcBorders>
              <w:left w:val="single" w:color="000000" w:sz="4" w:space="0"/>
              <w:bottom w:val="single" w:color="000000" w:sz="4" w:space="0"/>
              <w:right w:val="single" w:color="000000" w:sz="4" w:space="0"/>
            </w:tcBorders>
            <w:noWrap w:val="0"/>
            <w:vAlign w:val="center"/>
          </w:tcPr>
          <w:p w14:paraId="7A8F67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p>
        </w:tc>
      </w:tr>
      <w:tr w14:paraId="532A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564" w:type="dxa"/>
            <w:tcBorders>
              <w:left w:val="single" w:color="000000" w:sz="4" w:space="0"/>
              <w:bottom w:val="single" w:color="000000" w:sz="4" w:space="0"/>
              <w:right w:val="single" w:color="000000" w:sz="4" w:space="0"/>
            </w:tcBorders>
            <w:noWrap w:val="0"/>
            <w:vAlign w:val="center"/>
          </w:tcPr>
          <w:p w14:paraId="7AAA344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c>
          <w:tcPr>
            <w:tcW w:w="732" w:type="dxa"/>
            <w:vMerge w:val="continue"/>
            <w:tcBorders>
              <w:left w:val="single" w:color="000000" w:sz="4" w:space="0"/>
              <w:right w:val="single" w:color="000000" w:sz="4" w:space="0"/>
            </w:tcBorders>
            <w:noWrap w:val="0"/>
            <w:vAlign w:val="center"/>
          </w:tcPr>
          <w:p w14:paraId="53837E49">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8228E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抗DDOS系统服务</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01839B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1、防御流量型flood攻击 ：SYN Flood 、SYN-ACK Flood、 ACK Flood、FIN/RST Flood、ICMP Flood、SIP Flood、UDP Flood、IP Fragment Flood、Stream flood等；防御UDP Flood攻击：提供2层防护，包括UDP防御阈值设置以及丢弃UDP碎片。</w:t>
            </w:r>
          </w:p>
          <w:p w14:paraId="609C175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2、ACK Flood攻击提供TCP防御阈值设置，同时必须提供ACK限速手段进行防护，开启时不影响客户在线业务。</w:t>
            </w:r>
          </w:p>
          <w:p w14:paraId="1EE6549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3、针对HTTP 攻击、CC应用层攻击必须提供如下防护手段：连接缓存、屏蔽HTTP代理、屏蔽搜索引擎、源IP连接数限制、源IP新建连接速率限制、源IP GET请求速率限制、源IP POST请求速率限制、源IP OTHER请求速率限制。</w:t>
            </w:r>
          </w:p>
          <w:p w14:paraId="2C294B4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4、具备抓取数据包的功能，能够进行在线分析，同时提供下载功能。</w:t>
            </w:r>
          </w:p>
          <w:p w14:paraId="65C096C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6、串行部署时进行双向会话管控，能够设置从外到内的连接阈值，同时必须能够设置从内到外的连接阈值。</w:t>
            </w:r>
          </w:p>
          <w:p w14:paraId="6C268A6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5、支持微信告警，通过微信公众号发送防护IP，接口，CPU，内存，磁盘等告警信息。</w:t>
            </w:r>
          </w:p>
          <w:p w14:paraId="4BAC919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6、支持攻击动态地图展示，显示全球范围内攻击源目IP所在地理位置。</w:t>
            </w:r>
          </w:p>
          <w:p w14:paraId="0B2D39A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7、支持多台设备集群部署，支持在大流量攻击发生时手动或自动启动集群，保证整个系统可用性；支持集群设备间数据状态同步、配置同步，支持集群无限扩容。</w:t>
            </w:r>
          </w:p>
          <w:p w14:paraId="276D8A2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8、支持导入SSL证书对HTTPS流量进行防护。</w:t>
            </w:r>
          </w:p>
          <w:p w14:paraId="125B8ED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9、恢复出厂保护设置，进行系统恢复出厂设置时必须输入管理员密码，防止误操作删除所有配置数据。</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3C5FE8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316BBD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68FF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564" w:type="dxa"/>
            <w:tcBorders>
              <w:left w:val="single" w:color="000000" w:sz="4" w:space="0"/>
              <w:bottom w:val="single" w:color="000000" w:sz="4" w:space="0"/>
              <w:right w:val="single" w:color="000000" w:sz="4" w:space="0"/>
            </w:tcBorders>
            <w:noWrap w:val="0"/>
            <w:vAlign w:val="center"/>
          </w:tcPr>
          <w:p w14:paraId="143D50C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w:t>
            </w:r>
          </w:p>
        </w:tc>
        <w:tc>
          <w:tcPr>
            <w:tcW w:w="732" w:type="dxa"/>
            <w:vMerge w:val="continue"/>
            <w:tcBorders>
              <w:left w:val="single" w:color="000000" w:sz="4" w:space="0"/>
              <w:bottom w:val="single" w:color="000000" w:sz="4" w:space="0"/>
              <w:right w:val="single" w:color="000000" w:sz="4" w:space="0"/>
            </w:tcBorders>
            <w:noWrap w:val="0"/>
            <w:vAlign w:val="center"/>
          </w:tcPr>
          <w:p w14:paraId="11D347BF">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D3B9B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视频安全接入系统</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5247F1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1、稳定性运行时间(MTBF) &gt;50000小时</w:t>
            </w:r>
          </w:p>
          <w:p w14:paraId="55ABF2A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传输延时&lt;=10ms</w:t>
            </w:r>
          </w:p>
          <w:p w14:paraId="350F40E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视频传输能力≥4000路D1并发</w:t>
            </w:r>
          </w:p>
          <w:p w14:paraId="050CFDA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数据吞吐量≥8Gbps</w:t>
            </w:r>
          </w:p>
          <w:p w14:paraId="53BD444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并发用户数≥2000个</w:t>
            </w:r>
          </w:p>
          <w:p w14:paraId="4411D02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2、支持自主开发的终端认证机制，采用AES加密算法对视频客户端和视频终端设备进行认证；</w:t>
            </w:r>
          </w:p>
          <w:p w14:paraId="0624237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3、能直接支持海康、大华、宇视、科达 、互信互通、华为、先进视讯、天视、普天、中兴等不少于40多种视频控制协议 ；</w:t>
            </w:r>
          </w:p>
          <w:p w14:paraId="36C56D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4、满足《公共安全视频监控联网系统信息传输、交换、控制技术要求》GB/T28181-2016标准技术要求，能够很好的实现视频系统间的互联互通；</w:t>
            </w:r>
          </w:p>
          <w:p w14:paraId="5E0AD9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w:t>
            </w:r>
            <w:r>
              <w:rPr>
                <w:rFonts w:hint="eastAsia" w:ascii="宋体" w:hAnsi="宋体" w:eastAsia="宋体" w:cs="宋体"/>
                <w:i w:val="0"/>
                <w:iCs w:val="0"/>
                <w:color w:val="000000"/>
                <w:kern w:val="0"/>
                <w:sz w:val="28"/>
                <w:szCs w:val="28"/>
                <w:u w:val="none"/>
                <w:lang w:val="en-US" w:eastAsia="zh-CN" w:bidi="ar"/>
              </w:rPr>
              <w:t>5、产品具有公安部安全与警用电子产品质量检测中心GB 35114-2017标准符合性检测报告；</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03B57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9762E6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428B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564" w:type="dxa"/>
            <w:tcBorders>
              <w:left w:val="single" w:color="000000" w:sz="4" w:space="0"/>
              <w:bottom w:val="single" w:color="000000" w:sz="4" w:space="0"/>
              <w:right w:val="single" w:color="000000" w:sz="4" w:space="0"/>
            </w:tcBorders>
            <w:noWrap w:val="0"/>
            <w:vAlign w:val="center"/>
          </w:tcPr>
          <w:p w14:paraId="5E2CEC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7</w:t>
            </w:r>
          </w:p>
        </w:tc>
        <w:tc>
          <w:tcPr>
            <w:tcW w:w="732" w:type="dxa"/>
            <w:vMerge w:val="restart"/>
            <w:tcBorders>
              <w:left w:val="single" w:color="000000" w:sz="4" w:space="0"/>
              <w:right w:val="single" w:color="000000" w:sz="4" w:space="0"/>
            </w:tcBorders>
            <w:noWrap w:val="0"/>
            <w:vAlign w:val="center"/>
          </w:tcPr>
          <w:p w14:paraId="37087E08">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BD5B4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集控探针系统服务 </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A281C1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1、专用安全加固Linux操作系统；</w:t>
            </w:r>
          </w:p>
          <w:p w14:paraId="113EDDB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2、支持采集多种设备的运行状态信息;</w:t>
            </w:r>
          </w:p>
          <w:p w14:paraId="0D4C2A4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3、支持对多种设备的流量信息采集;</w:t>
            </w:r>
          </w:p>
          <w:p w14:paraId="029F0F8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4、支持SYSLOG协议;</w:t>
            </w:r>
          </w:p>
          <w:p w14:paraId="5BC8134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5、支持SNMPv2/SNMPv3协议；</w:t>
            </w:r>
          </w:p>
          <w:p w14:paraId="6FD8833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6、每秒可接受日志条目不低于50条。</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A874B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7E95F9E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4A90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564" w:type="dxa"/>
            <w:tcBorders>
              <w:left w:val="single" w:color="000000" w:sz="4" w:space="0"/>
              <w:bottom w:val="single" w:color="000000" w:sz="4" w:space="0"/>
              <w:right w:val="single" w:color="000000" w:sz="4" w:space="0"/>
            </w:tcBorders>
            <w:noWrap w:val="0"/>
            <w:vAlign w:val="center"/>
          </w:tcPr>
          <w:p w14:paraId="10AB737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w:t>
            </w:r>
          </w:p>
        </w:tc>
        <w:tc>
          <w:tcPr>
            <w:tcW w:w="732" w:type="dxa"/>
            <w:vMerge w:val="continue"/>
            <w:tcBorders>
              <w:left w:val="single" w:color="000000" w:sz="4" w:space="0"/>
              <w:right w:val="single" w:color="000000" w:sz="4" w:space="0"/>
            </w:tcBorders>
            <w:noWrap w:val="0"/>
            <w:vAlign w:val="center"/>
          </w:tcPr>
          <w:p w14:paraId="3FBD35B3">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167FA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集中监控管理系统</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C2DE5E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1、产品满足公安部边界安全规范要求，提供边界接入平台信息注册和管理功能模块，可以简便的录入边界接入平台的基本信息、建设信息、使用单位、运维信息等；</w:t>
            </w:r>
          </w:p>
          <w:p w14:paraId="5C1E569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2、产品具备对接入业务的一键巡检功能，通过点击按钮可主动获取展示当前接入业务状态，并提供选件日志录入记录功能模块；</w:t>
            </w:r>
          </w:p>
          <w:p w14:paraId="326E708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3、支持以标准Syslog方式来搜集边界接入点上各个服务器、前置机和网络设备（如交换机、路由器、防火墙、入侵检测、可信边界网关等）的日志信息；</w:t>
            </w:r>
          </w:p>
          <w:p w14:paraId="590C4F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4、与集控探针设备联动完成链路外网侧设备及业务的信息的安全采集；</w:t>
            </w:r>
          </w:p>
          <w:p w14:paraId="2D0ABBC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5、能够对外提供第三方日志上报接口，支持以标准Syslog方式对接第三方日志服务器或者监控平台，上报采集到的设备和业务运行状态日志信息；</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63A5F1C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2DA62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39F5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564" w:type="dxa"/>
            <w:tcBorders>
              <w:left w:val="single" w:color="000000" w:sz="4" w:space="0"/>
              <w:bottom w:val="single" w:color="000000" w:sz="4" w:space="0"/>
              <w:right w:val="single" w:color="000000" w:sz="4" w:space="0"/>
            </w:tcBorders>
            <w:noWrap w:val="0"/>
            <w:vAlign w:val="center"/>
          </w:tcPr>
          <w:p w14:paraId="27489DC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9</w:t>
            </w:r>
          </w:p>
        </w:tc>
        <w:tc>
          <w:tcPr>
            <w:tcW w:w="732" w:type="dxa"/>
            <w:vMerge w:val="continue"/>
            <w:tcBorders>
              <w:left w:val="single" w:color="000000" w:sz="4" w:space="0"/>
              <w:bottom w:val="single" w:color="000000" w:sz="4" w:space="0"/>
              <w:right w:val="single" w:color="000000" w:sz="4" w:space="0"/>
            </w:tcBorders>
            <w:noWrap w:val="0"/>
            <w:vAlign w:val="center"/>
          </w:tcPr>
          <w:p w14:paraId="2C026C56">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EC02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数据安全交换系统</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EF5D6D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1、支持共享、客户端、FTP等多种模式的文件同步服务，支持文件实时同步；</w:t>
            </w:r>
          </w:p>
          <w:p w14:paraId="472A878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2、支持灵活的文件交换冲突选项，包括：重名策略，覆盖、放弃、重命名等处理模式；文件数据交换延时不高于1.1毫秒；</w:t>
            </w:r>
          </w:p>
          <w:p w14:paraId="1D9FD50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3、支持主流关系型数据库数据交换：Oracle、DB2、SQL Server、GreenPlum、Sybase、MYSQL的各种版本，及支持达梦、Gbase、神舟通用等国产数据库，及支持Cassandra、UDB等大数据数据库；</w:t>
            </w:r>
          </w:p>
          <w:p w14:paraId="1A3B2A7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4、支持多种数据库获取方式，包括：全表镜像模式、有序增量模式、快照日志模式、触发器模式和同表双向模式；</w:t>
            </w:r>
          </w:p>
          <w:p w14:paraId="0756117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支持各种数据库之间的异构数据转换，包括：不同数据库、同类数据库不同版本的转换、异构表、异构字段名、异构字段类型的转换、异构字符类型、异构数据库字符集的转换、大字段的异构等； </w:t>
            </w:r>
          </w:p>
          <w:p w14:paraId="2316514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5、支持纯Ipv6网络环境，且支持Ipv6过渡网络环境的双协议栈及协议转换；网络传输延时不高于0.3毫秒；</w:t>
            </w:r>
          </w:p>
          <w:p w14:paraId="79F07B1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w:t>
            </w:r>
            <w:r>
              <w:rPr>
                <w:rFonts w:hint="eastAsia" w:ascii="宋体" w:hAnsi="宋体" w:eastAsia="宋体" w:cs="宋体"/>
                <w:i w:val="0"/>
                <w:iCs w:val="0"/>
                <w:color w:val="000000"/>
                <w:kern w:val="0"/>
                <w:sz w:val="28"/>
                <w:szCs w:val="28"/>
                <w:u w:val="none"/>
                <w:lang w:val="en-US" w:eastAsia="zh-CN" w:bidi="ar"/>
              </w:rPr>
              <w:t>6、满足《GA/T 1788.3-2021 公安视频图像信息系统安全要求-第 3 部分：安全交互》要求的签名验签、协议识别、内容过滤、流量管控、服务认证、双向隔离、API服务注册数、API并发数测试要求，提供公安部颁发的测试报告。</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92546E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031E24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w:t>
            </w:r>
          </w:p>
        </w:tc>
      </w:tr>
      <w:tr w14:paraId="0D5E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564" w:type="dxa"/>
            <w:tcBorders>
              <w:left w:val="single" w:color="000000" w:sz="4" w:space="0"/>
              <w:bottom w:val="single" w:color="000000" w:sz="4" w:space="0"/>
              <w:right w:val="single" w:color="000000" w:sz="4" w:space="0"/>
            </w:tcBorders>
            <w:noWrap w:val="0"/>
            <w:vAlign w:val="center"/>
          </w:tcPr>
          <w:p w14:paraId="6140A237">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732" w:type="dxa"/>
            <w:vMerge w:val="restart"/>
            <w:tcBorders>
              <w:left w:val="single" w:color="000000" w:sz="4" w:space="0"/>
              <w:right w:val="single" w:color="000000" w:sz="4" w:space="0"/>
            </w:tcBorders>
            <w:noWrap w:val="0"/>
            <w:vAlign w:val="center"/>
          </w:tcPr>
          <w:p w14:paraId="2F91BF2D">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设备建设部分</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26891A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AI多摄全结构化摄像机</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12DC29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1、设备内置双镜头，可同时采集2路不同场景的音视频码流。</w:t>
            </w:r>
          </w:p>
          <w:p w14:paraId="7462FD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2、通道一主码流分辨率不小于3840x2160@25fps，子码流不小于704x576@25fps，第三码流不小于1920x1080@25fps。通道二主码流分辨率不小于1920x1080@25fps，子码流不小于704x576@25fps，第三码流不小于1920x1080@25fps。</w:t>
            </w:r>
          </w:p>
          <w:p w14:paraId="110CC81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3、细节通道靶面尺寸不小于1/1.8英寸。</w:t>
            </w:r>
          </w:p>
          <w:p w14:paraId="7014EA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4、最低照度彩色不大于0.0002 lx，黑白不大于0.0001 lx。</w:t>
            </w:r>
          </w:p>
          <w:p w14:paraId="4BEAF7E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5、上镜头支持电动变焦。</w:t>
            </w:r>
          </w:p>
          <w:p w14:paraId="151669D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6、支持H.264、H.265、MJPEG视频编码格式，可将H.264  H.265格式设置为High Profile。</w:t>
            </w:r>
          </w:p>
          <w:p w14:paraId="72EF787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7、同一静止场景相同图像质量下，设备在H.265编码方式时，开启智能编码功能和不开启智能编码相比，码率节约≥80%。</w:t>
            </w:r>
          </w:p>
          <w:p w14:paraId="64864D8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8、在分辨率1920x1080 @ 25fps，码流设置为1Mbps时，视频图像传输延时不大于70ms。支持亮度异常、清晰度异常、花屏、雪花、偏色、画面冻结、增益失衡、画面抖动、条纹干扰、信号丢失、视频遮挡、光晕、紫边等故障报警功能。</w:t>
            </w:r>
          </w:p>
          <w:p w14:paraId="1D32667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9、内置不少于1颗GPU芯片。</w:t>
            </w:r>
          </w:p>
          <w:p w14:paraId="3EB3A66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10、支持同时对检测区域内不少于150个移动目标（机动车、非机动车及行人）进行检测框选跟踪、筛选、抓拍，并支持人脸与人体图片、车牌与车辆图片关联显示。</w:t>
            </w:r>
          </w:p>
          <w:p w14:paraId="7C674F5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11、支持数据感知功能，在IE 浏览器下，重启事件记录可包括正常重启和异常重启2种类型。正常重启可记录重启的时间、服务类型、用户名、IP/域名信息；异常重启可记录重启时间、异常类型信息。</w:t>
            </w:r>
          </w:p>
          <w:p w14:paraId="4E08BED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12、支持固件安全检验功能，摄像机uboot应采用加密存储，通过离线烧写存储器方式写入的uboot执行程序，不能被硬件微引导程序加载执行。</w:t>
            </w:r>
          </w:p>
          <w:p w14:paraId="1748A21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设备具有耀光抑制功能，耀光区域≤1%。（公安部检验报告证明）</w:t>
            </w:r>
          </w:p>
          <w:p w14:paraId="0E45380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13、内置不少于6颗混合补光灯。每颗灯由红外灯、白光灯组成，在开启白光灯或混合补光灯时，可输出彩色视频图像。</w:t>
            </w:r>
          </w:p>
          <w:p w14:paraId="33BEDE3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w:t>
            </w:r>
            <w:r>
              <w:rPr>
                <w:rFonts w:hint="eastAsia" w:ascii="宋体" w:hAnsi="宋体" w:eastAsia="宋体" w:cs="宋体"/>
                <w:i w:val="0"/>
                <w:iCs w:val="0"/>
                <w:color w:val="000000"/>
                <w:kern w:val="0"/>
                <w:sz w:val="28"/>
                <w:szCs w:val="28"/>
                <w:u w:val="none"/>
                <w:lang w:val="en-US" w:eastAsia="zh-CN" w:bidi="ar"/>
              </w:rPr>
              <w:t>14、支持对镜头前盖玻璃加热，去除玻璃上的冰状和水状附着物。（公安部检验报告证明）</w:t>
            </w:r>
          </w:p>
          <w:p w14:paraId="0E82A6F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15、支持IP67防尘防水等级（公安部检验报告证明）</w:t>
            </w:r>
          </w:p>
          <w:p w14:paraId="6CD0A8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16、内置不少于2个麦克风，1个扬声器，3路报警输入，2路报警输出，2路音频输入，1路音频输出，1个SD卡槽，1个DC12V电压输出接口，支持DC12V或POE供电。</w:t>
            </w:r>
          </w:p>
          <w:p w14:paraId="66A56DD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17、支持检出两眼瞳距20像素点以上的人脸图片。</w:t>
            </w:r>
          </w:p>
          <w:p w14:paraId="28BC3DE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18、支持人脸比对，比对准确率不低于99%。</w:t>
            </w:r>
          </w:p>
          <w:p w14:paraId="381150E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19、支持侧脸过滤功能，可过滤上下、左右角度达到预设值的人脸。</w:t>
            </w:r>
          </w:p>
          <w:p w14:paraId="688F0E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20、具有低温低气压适应性，可在不高于-45℃和气压70kPa环境下正常工作。不低于IP68、IK10防护等级。</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12BD276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sz w:val="28"/>
                <w:szCs w:val="28"/>
                <w:u w:val="none"/>
                <w:lang w:val="en-US" w:eastAsia="zh-CN"/>
              </w:rPr>
              <w:t>37台</w:t>
            </w:r>
          </w:p>
        </w:tc>
      </w:tr>
      <w:tr w14:paraId="13E4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564" w:type="dxa"/>
            <w:tcBorders>
              <w:left w:val="single" w:color="000000" w:sz="4" w:space="0"/>
              <w:bottom w:val="single" w:color="000000" w:sz="4" w:space="0"/>
              <w:right w:val="single" w:color="000000" w:sz="4" w:space="0"/>
            </w:tcBorders>
            <w:noWrap w:val="0"/>
            <w:vAlign w:val="center"/>
          </w:tcPr>
          <w:p w14:paraId="3D72C8E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11</w:t>
            </w:r>
          </w:p>
        </w:tc>
        <w:tc>
          <w:tcPr>
            <w:tcW w:w="732" w:type="dxa"/>
            <w:vMerge w:val="continue"/>
            <w:tcBorders>
              <w:left w:val="single" w:color="000000" w:sz="4" w:space="0"/>
              <w:right w:val="single" w:color="000000" w:sz="4" w:space="0"/>
            </w:tcBorders>
            <w:noWrap w:val="0"/>
            <w:vAlign w:val="center"/>
          </w:tcPr>
          <w:p w14:paraId="33A5D55D">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2FF1A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摄像机电源</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CF10CC9">
            <w:pPr>
              <w:keepNext w:val="0"/>
              <w:keepLines w:val="0"/>
              <w:widowControl/>
              <w:suppressLineNumbers w:val="0"/>
              <w:spacing w:line="240" w:lineRule="auto"/>
              <w:ind w:firstLine="840" w:firstLineChars="300"/>
              <w:jc w:val="center"/>
              <w:textAlignment w:val="center"/>
              <w:rPr>
                <w:rFonts w:hint="eastAsia" w:ascii="宋体" w:hAnsi="宋体" w:eastAsia="宋体" w:cs="宋体"/>
                <w:i w:val="0"/>
                <w:iCs w:val="0"/>
                <w:color w:val="000000"/>
                <w:kern w:val="0"/>
                <w:sz w:val="28"/>
                <w:szCs w:val="28"/>
                <w:u w:val="none"/>
                <w:lang w:val="en-US" w:eastAsia="zh-CN" w:bidi="ar"/>
              </w:rPr>
            </w:pPr>
          </w:p>
          <w:p w14:paraId="1319011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220V-DC12V/2A</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6850409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个</w:t>
            </w:r>
          </w:p>
        </w:tc>
      </w:tr>
      <w:tr w14:paraId="23CA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4" w:type="dxa"/>
            <w:tcBorders>
              <w:left w:val="single" w:color="000000" w:sz="4" w:space="0"/>
              <w:bottom w:val="single" w:color="000000" w:sz="4" w:space="0"/>
              <w:right w:val="single" w:color="000000" w:sz="4" w:space="0"/>
            </w:tcBorders>
            <w:noWrap w:val="0"/>
            <w:vAlign w:val="center"/>
          </w:tcPr>
          <w:p w14:paraId="3F69E5E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12</w:t>
            </w:r>
          </w:p>
        </w:tc>
        <w:tc>
          <w:tcPr>
            <w:tcW w:w="732" w:type="dxa"/>
            <w:vMerge w:val="continue"/>
            <w:tcBorders>
              <w:left w:val="single" w:color="000000" w:sz="4" w:space="0"/>
              <w:right w:val="single" w:color="000000" w:sz="4" w:space="0"/>
            </w:tcBorders>
            <w:noWrap w:val="0"/>
            <w:vAlign w:val="center"/>
          </w:tcPr>
          <w:p w14:paraId="019D222C">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7974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支架</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37FBD5B">
            <w:pPr>
              <w:keepNext w:val="0"/>
              <w:keepLines w:val="0"/>
              <w:widowControl/>
              <w:suppressLineNumbers w:val="0"/>
              <w:spacing w:line="240" w:lineRule="auto"/>
              <w:ind w:left="0" w:leftChars="0" w:firstLine="0" w:firstLineChars="0"/>
              <w:jc w:val="both"/>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8"/>
                <w:szCs w:val="28"/>
                <w:u w:val="none"/>
                <w:lang w:val="en-US" w:eastAsia="zh-CN" w:bidi="ar"/>
              </w:rPr>
              <w:t>铝合金高强度支架32CM</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5DECDEC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37套</w:t>
            </w:r>
          </w:p>
        </w:tc>
      </w:tr>
      <w:tr w14:paraId="734C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64" w:type="dxa"/>
            <w:tcBorders>
              <w:left w:val="single" w:color="000000" w:sz="4" w:space="0"/>
              <w:bottom w:val="single" w:color="000000" w:sz="4" w:space="0"/>
              <w:right w:val="single" w:color="000000" w:sz="4" w:space="0"/>
            </w:tcBorders>
            <w:noWrap w:val="0"/>
            <w:vAlign w:val="center"/>
          </w:tcPr>
          <w:p w14:paraId="0CFBE734">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13</w:t>
            </w:r>
          </w:p>
        </w:tc>
        <w:tc>
          <w:tcPr>
            <w:tcW w:w="732" w:type="dxa"/>
            <w:vMerge w:val="continue"/>
            <w:tcBorders>
              <w:left w:val="single" w:color="000000" w:sz="4" w:space="0"/>
              <w:right w:val="single" w:color="000000" w:sz="4" w:space="0"/>
            </w:tcBorders>
            <w:noWrap w:val="0"/>
            <w:vAlign w:val="center"/>
          </w:tcPr>
          <w:p w14:paraId="2C1513C4">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31AA8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3米杆体</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95991A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监控专用立杆（含立杆地埋回填）。3米倒L型杆，支臂长度0.3-1米。</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25C8E36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套</w:t>
            </w:r>
          </w:p>
        </w:tc>
      </w:tr>
      <w:tr w14:paraId="1B74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64" w:type="dxa"/>
            <w:tcBorders>
              <w:left w:val="single" w:color="000000" w:sz="4" w:space="0"/>
              <w:bottom w:val="single" w:color="000000" w:sz="4" w:space="0"/>
              <w:right w:val="single" w:color="000000" w:sz="4" w:space="0"/>
            </w:tcBorders>
            <w:noWrap w:val="0"/>
            <w:vAlign w:val="center"/>
          </w:tcPr>
          <w:p w14:paraId="258F297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14</w:t>
            </w:r>
          </w:p>
        </w:tc>
        <w:tc>
          <w:tcPr>
            <w:tcW w:w="732" w:type="dxa"/>
            <w:vMerge w:val="continue"/>
            <w:tcBorders>
              <w:left w:val="single" w:color="000000" w:sz="4" w:space="0"/>
              <w:right w:val="single" w:color="000000" w:sz="4" w:space="0"/>
            </w:tcBorders>
            <w:noWrap w:val="0"/>
            <w:vAlign w:val="center"/>
          </w:tcPr>
          <w:p w14:paraId="2856957D">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30A86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数据线</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66F29A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8*0.5阻水超五数据线</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55CC53C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370</w:t>
            </w:r>
            <w:r>
              <w:rPr>
                <w:rFonts w:hint="eastAsia" w:ascii="宋体" w:hAnsi="宋体" w:eastAsia="宋体" w:cs="宋体"/>
                <w:i w:val="0"/>
                <w:iCs w:val="0"/>
                <w:color w:val="000000"/>
                <w:sz w:val="28"/>
                <w:szCs w:val="28"/>
                <w:u w:val="none"/>
              </w:rPr>
              <w:t>米</w:t>
            </w:r>
          </w:p>
        </w:tc>
      </w:tr>
      <w:tr w14:paraId="6032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left w:val="single" w:color="000000" w:sz="4" w:space="0"/>
              <w:bottom w:val="single" w:color="000000" w:sz="4" w:space="0"/>
              <w:right w:val="single" w:color="000000" w:sz="4" w:space="0"/>
            </w:tcBorders>
            <w:noWrap w:val="0"/>
            <w:vAlign w:val="center"/>
          </w:tcPr>
          <w:p w14:paraId="747A56E3">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15</w:t>
            </w:r>
          </w:p>
        </w:tc>
        <w:tc>
          <w:tcPr>
            <w:tcW w:w="732" w:type="dxa"/>
            <w:vMerge w:val="continue"/>
            <w:tcBorders>
              <w:left w:val="single" w:color="000000" w:sz="4" w:space="0"/>
              <w:right w:val="single" w:color="000000" w:sz="4" w:space="0"/>
            </w:tcBorders>
            <w:noWrap w:val="0"/>
            <w:vAlign w:val="center"/>
          </w:tcPr>
          <w:p w14:paraId="30530579">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692FFB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电源线</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CB6555D">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RVV3*1</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76565A2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3000</w:t>
            </w:r>
            <w:r>
              <w:rPr>
                <w:rFonts w:hint="eastAsia" w:ascii="宋体" w:hAnsi="宋体" w:eastAsia="宋体" w:cs="宋体"/>
                <w:i w:val="0"/>
                <w:iCs w:val="0"/>
                <w:color w:val="000000"/>
                <w:sz w:val="28"/>
                <w:szCs w:val="28"/>
                <w:u w:val="none"/>
              </w:rPr>
              <w:t>米</w:t>
            </w:r>
          </w:p>
        </w:tc>
      </w:tr>
      <w:tr w14:paraId="02FA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left w:val="single" w:color="000000" w:sz="4" w:space="0"/>
              <w:bottom w:val="single" w:color="000000" w:sz="4" w:space="0"/>
              <w:right w:val="single" w:color="000000" w:sz="4" w:space="0"/>
            </w:tcBorders>
            <w:noWrap w:val="0"/>
            <w:vAlign w:val="center"/>
          </w:tcPr>
          <w:p w14:paraId="03401E65">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16</w:t>
            </w:r>
          </w:p>
        </w:tc>
        <w:tc>
          <w:tcPr>
            <w:tcW w:w="732" w:type="dxa"/>
            <w:vMerge w:val="continue"/>
            <w:tcBorders>
              <w:left w:val="single" w:color="000000" w:sz="4" w:space="0"/>
              <w:right w:val="single" w:color="000000" w:sz="4" w:space="0"/>
            </w:tcBorders>
            <w:noWrap w:val="0"/>
            <w:vAlign w:val="center"/>
          </w:tcPr>
          <w:p w14:paraId="570763D7">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94ABF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光缆</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D42C8C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蝴蝶纤</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7722E3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4000</w:t>
            </w:r>
            <w:r>
              <w:rPr>
                <w:rFonts w:hint="eastAsia" w:ascii="宋体" w:hAnsi="宋体" w:eastAsia="宋体" w:cs="宋体"/>
                <w:i w:val="0"/>
                <w:iCs w:val="0"/>
                <w:color w:val="000000"/>
                <w:sz w:val="28"/>
                <w:szCs w:val="28"/>
                <w:u w:val="none"/>
              </w:rPr>
              <w:t>米</w:t>
            </w:r>
          </w:p>
        </w:tc>
      </w:tr>
      <w:tr w14:paraId="462B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left w:val="single" w:color="000000" w:sz="4" w:space="0"/>
              <w:bottom w:val="single" w:color="000000" w:sz="4" w:space="0"/>
              <w:right w:val="single" w:color="000000" w:sz="4" w:space="0"/>
            </w:tcBorders>
            <w:noWrap w:val="0"/>
            <w:vAlign w:val="center"/>
          </w:tcPr>
          <w:p w14:paraId="4226B4B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17</w:t>
            </w:r>
          </w:p>
        </w:tc>
        <w:tc>
          <w:tcPr>
            <w:tcW w:w="732" w:type="dxa"/>
            <w:vMerge w:val="continue"/>
            <w:tcBorders>
              <w:left w:val="single" w:color="000000" w:sz="4" w:space="0"/>
              <w:right w:val="single" w:color="000000" w:sz="4" w:space="0"/>
            </w:tcBorders>
            <w:noWrap w:val="0"/>
            <w:vAlign w:val="center"/>
          </w:tcPr>
          <w:p w14:paraId="54156941">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01DAAC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防雷接地配套</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B4F2A2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2合1防雷接地模块网络防浪涌2KV 电源防浪涌1kv、降阻剂，接地电阻不大于10欧。</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780004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套</w:t>
            </w:r>
          </w:p>
        </w:tc>
      </w:tr>
      <w:tr w14:paraId="2406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64" w:type="dxa"/>
            <w:tcBorders>
              <w:left w:val="single" w:color="000000" w:sz="4" w:space="0"/>
              <w:bottom w:val="single" w:color="000000" w:sz="4" w:space="0"/>
              <w:right w:val="single" w:color="000000" w:sz="4" w:space="0"/>
            </w:tcBorders>
            <w:noWrap w:val="0"/>
            <w:vAlign w:val="center"/>
          </w:tcPr>
          <w:p w14:paraId="3E894D1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18</w:t>
            </w:r>
          </w:p>
        </w:tc>
        <w:tc>
          <w:tcPr>
            <w:tcW w:w="732" w:type="dxa"/>
            <w:vMerge w:val="continue"/>
            <w:tcBorders>
              <w:left w:val="single" w:color="000000" w:sz="4" w:space="0"/>
              <w:right w:val="single" w:color="000000" w:sz="4" w:space="0"/>
            </w:tcBorders>
            <w:noWrap w:val="0"/>
            <w:vAlign w:val="center"/>
          </w:tcPr>
          <w:p w14:paraId="14BD10D6">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862041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室外控制箱</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68BF57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监控设备箱280*180*120烤漆防水</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0E7026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个</w:t>
            </w:r>
          </w:p>
        </w:tc>
      </w:tr>
      <w:tr w14:paraId="50C4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left w:val="single" w:color="000000" w:sz="4" w:space="0"/>
              <w:bottom w:val="single" w:color="000000" w:sz="4" w:space="0"/>
              <w:right w:val="single" w:color="000000" w:sz="4" w:space="0"/>
            </w:tcBorders>
            <w:noWrap w:val="0"/>
            <w:vAlign w:val="center"/>
          </w:tcPr>
          <w:p w14:paraId="4D08FBC5">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19</w:t>
            </w:r>
          </w:p>
        </w:tc>
        <w:tc>
          <w:tcPr>
            <w:tcW w:w="732" w:type="dxa"/>
            <w:vMerge w:val="continue"/>
            <w:tcBorders>
              <w:left w:val="single" w:color="000000" w:sz="4" w:space="0"/>
              <w:right w:val="single" w:color="000000" w:sz="4" w:space="0"/>
            </w:tcBorders>
            <w:noWrap w:val="0"/>
            <w:vAlign w:val="center"/>
          </w:tcPr>
          <w:p w14:paraId="52A28843">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F5124F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电源控制</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B110FF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空开电源盒明装220V16A</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2AB8B1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50</w:t>
            </w:r>
            <w:r>
              <w:rPr>
                <w:rFonts w:hint="eastAsia" w:ascii="宋体" w:hAnsi="宋体" w:eastAsia="宋体" w:cs="宋体"/>
                <w:i w:val="0"/>
                <w:iCs w:val="0"/>
                <w:color w:val="000000"/>
                <w:sz w:val="28"/>
                <w:szCs w:val="28"/>
                <w:u w:val="none"/>
              </w:rPr>
              <w:t>套</w:t>
            </w:r>
          </w:p>
        </w:tc>
      </w:tr>
      <w:tr w14:paraId="6B6E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64" w:type="dxa"/>
            <w:tcBorders>
              <w:left w:val="single" w:color="000000" w:sz="4" w:space="0"/>
              <w:bottom w:val="single" w:color="000000" w:sz="4" w:space="0"/>
              <w:right w:val="single" w:color="000000" w:sz="4" w:space="0"/>
            </w:tcBorders>
            <w:noWrap w:val="0"/>
            <w:vAlign w:val="center"/>
          </w:tcPr>
          <w:p w14:paraId="5A58EF7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w:t>
            </w:r>
          </w:p>
        </w:tc>
        <w:tc>
          <w:tcPr>
            <w:tcW w:w="732" w:type="dxa"/>
            <w:vMerge w:val="continue"/>
            <w:tcBorders>
              <w:left w:val="single" w:color="000000" w:sz="4" w:space="0"/>
              <w:right w:val="single" w:color="000000" w:sz="4" w:space="0"/>
            </w:tcBorders>
            <w:noWrap w:val="0"/>
            <w:vAlign w:val="center"/>
          </w:tcPr>
          <w:p w14:paraId="2FB0F35F">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CD87BD">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交换箱小插座</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2F893E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10A9孔电源插座</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26E782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个</w:t>
            </w:r>
          </w:p>
        </w:tc>
      </w:tr>
      <w:tr w14:paraId="30FC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564" w:type="dxa"/>
            <w:tcBorders>
              <w:left w:val="single" w:color="000000" w:sz="4" w:space="0"/>
              <w:bottom w:val="single" w:color="000000" w:sz="4" w:space="0"/>
              <w:right w:val="single" w:color="000000" w:sz="4" w:space="0"/>
            </w:tcBorders>
            <w:noWrap w:val="0"/>
            <w:vAlign w:val="center"/>
          </w:tcPr>
          <w:p w14:paraId="323D4E4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21</w:t>
            </w:r>
          </w:p>
        </w:tc>
        <w:tc>
          <w:tcPr>
            <w:tcW w:w="732" w:type="dxa"/>
            <w:vMerge w:val="continue"/>
            <w:tcBorders>
              <w:left w:val="single" w:color="000000" w:sz="4" w:space="0"/>
              <w:right w:val="single" w:color="000000" w:sz="4" w:space="0"/>
            </w:tcBorders>
            <w:noWrap w:val="0"/>
            <w:vAlign w:val="center"/>
          </w:tcPr>
          <w:p w14:paraId="7553E42F">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D7036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安装辅材</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789A9A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穿线管，各类线材、水晶头、绑扎固定辅料等</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3E9FDF0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套</w:t>
            </w:r>
          </w:p>
        </w:tc>
      </w:tr>
      <w:tr w14:paraId="36B8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64" w:type="dxa"/>
            <w:tcBorders>
              <w:left w:val="single" w:color="000000" w:sz="4" w:space="0"/>
              <w:bottom w:val="single" w:color="000000" w:sz="4" w:space="0"/>
              <w:right w:val="single" w:color="000000" w:sz="4" w:space="0"/>
            </w:tcBorders>
            <w:noWrap w:val="0"/>
            <w:vAlign w:val="center"/>
          </w:tcPr>
          <w:p w14:paraId="7A69CD9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22</w:t>
            </w:r>
          </w:p>
        </w:tc>
        <w:tc>
          <w:tcPr>
            <w:tcW w:w="732" w:type="dxa"/>
            <w:vMerge w:val="continue"/>
            <w:tcBorders>
              <w:left w:val="single" w:color="000000" w:sz="4" w:space="0"/>
              <w:bottom w:val="single" w:color="000000" w:sz="4" w:space="0"/>
              <w:right w:val="single" w:color="000000" w:sz="4" w:space="0"/>
            </w:tcBorders>
            <w:noWrap w:val="0"/>
            <w:vAlign w:val="center"/>
          </w:tcPr>
          <w:p w14:paraId="56CB75F7">
            <w:pPr>
              <w:spacing w:line="240" w:lineRule="auto"/>
              <w:ind w:firstLine="0" w:firstLineChars="0"/>
              <w:jc w:val="center"/>
              <w:rPr>
                <w:rFonts w:hint="eastAsia" w:ascii="宋体" w:hAnsi="宋体" w:eastAsia="宋体" w:cs="宋体"/>
                <w:i w:val="0"/>
                <w:iCs w:val="0"/>
                <w:color w:val="000000"/>
                <w:kern w:val="0"/>
                <w:sz w:val="28"/>
                <w:szCs w:val="2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0B3492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集成服务</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B0AE0E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37处摄像机点位及配套设备的部署、安装、调试</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2C04BC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37</w:t>
            </w:r>
            <w:r>
              <w:rPr>
                <w:rFonts w:hint="eastAsia" w:ascii="宋体" w:hAnsi="宋体" w:eastAsia="宋体" w:cs="宋体"/>
                <w:i w:val="0"/>
                <w:iCs w:val="0"/>
                <w:color w:val="000000"/>
                <w:sz w:val="28"/>
                <w:szCs w:val="28"/>
                <w:u w:val="none"/>
              </w:rPr>
              <w:t>项</w:t>
            </w:r>
          </w:p>
        </w:tc>
      </w:tr>
    </w:tbl>
    <w:p w14:paraId="26A7A40A">
      <w:pPr>
        <w:spacing w:line="240" w:lineRule="auto"/>
        <w:ind w:firstLine="422" w:firstLineChars="200"/>
        <w:jc w:val="left"/>
        <w:rPr>
          <w:rFonts w:hint="eastAsia" w:ascii="宋体" w:hAnsi="宋体" w:eastAsia="宋体" w:cs="宋体"/>
          <w:b/>
          <w:bCs w:val="0"/>
          <w:color w:val="auto"/>
          <w:sz w:val="21"/>
          <w:szCs w:val="21"/>
          <w:highlight w:val="none"/>
        </w:rPr>
      </w:pPr>
    </w:p>
    <w:p w14:paraId="7F653603">
      <w:pPr>
        <w:spacing w:line="240" w:lineRule="auto"/>
        <w:ind w:firstLine="422" w:firstLineChars="200"/>
        <w:jc w:val="left"/>
        <w:rPr>
          <w:rFonts w:hint="eastAsia" w:ascii="宋体" w:hAnsi="宋体" w:eastAsia="宋体" w:cs="宋体"/>
          <w:b/>
          <w:bCs w:val="0"/>
          <w:color w:val="auto"/>
          <w:sz w:val="21"/>
          <w:szCs w:val="21"/>
          <w:highlight w:val="none"/>
        </w:rPr>
      </w:pPr>
    </w:p>
    <w:p w14:paraId="3786CBF1">
      <w:pPr>
        <w:spacing w:line="240" w:lineRule="auto"/>
        <w:ind w:firstLine="0" w:firstLineChars="0"/>
        <w:jc w:val="both"/>
        <w:rPr>
          <w:rFonts w:hint="eastAsia" w:ascii="宋体" w:hAnsi="宋体" w:cs="宋体"/>
          <w:color w:val="auto"/>
          <w:sz w:val="32"/>
          <w:szCs w:val="32"/>
          <w:highlight w:val="none"/>
          <w:lang w:val="en-US" w:eastAsia="zh-CN"/>
        </w:rPr>
      </w:pPr>
    </w:p>
    <w:p w14:paraId="64AC6F4D">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14:paraId="0C4649A1">
      <w:pPr>
        <w:pStyle w:val="2"/>
        <w:numPr>
          <w:ilvl w:val="0"/>
          <w:numId w:val="0"/>
        </w:numPr>
        <w:spacing w:before="120" w:beforeLines="0" w:after="120" w:afterLines="0" w:line="400" w:lineRule="exact"/>
        <w:jc w:val="center"/>
        <w:rPr>
          <w:rFonts w:hint="eastAsia"/>
          <w:color w:val="auto"/>
          <w:sz w:val="36"/>
          <w:szCs w:val="24"/>
          <w:highlight w:val="none"/>
        </w:rPr>
      </w:pPr>
      <w:r>
        <w:rPr>
          <w:rFonts w:hint="eastAsia" w:ascii="宋体" w:hAnsi="宋体" w:cs="宋体"/>
          <w:color w:val="auto"/>
          <w:sz w:val="32"/>
          <w:szCs w:val="32"/>
          <w:highlight w:val="none"/>
          <w:lang w:val="en-US" w:eastAsia="zh-CN"/>
        </w:rPr>
        <w:t xml:space="preserve">第六章  </w:t>
      </w:r>
      <w:bookmarkStart w:id="912" w:name="_Toc1837"/>
      <w:r>
        <w:rPr>
          <w:rFonts w:hint="eastAsia" w:ascii="宋体" w:hAnsi="宋体" w:cs="宋体"/>
          <w:color w:val="auto"/>
          <w:sz w:val="32"/>
          <w:szCs w:val="32"/>
          <w:highlight w:val="none"/>
          <w:lang w:val="en-US" w:eastAsia="zh-CN"/>
        </w:rPr>
        <w:t>竞争性磋商响应文件格式</w:t>
      </w:r>
      <w:bookmarkEnd w:id="912"/>
    </w:p>
    <w:p w14:paraId="19D80244">
      <w:pPr>
        <w:jc w:val="center"/>
        <w:rPr>
          <w:rFonts w:hint="eastAsia" w:ascii="宋体" w:hAnsi="宋体" w:cs="宋体"/>
          <w:b/>
          <w:bCs/>
          <w:color w:val="auto"/>
          <w:sz w:val="30"/>
          <w:szCs w:val="30"/>
          <w:highlight w:val="none"/>
          <w:u w:val="single"/>
        </w:rPr>
      </w:pPr>
    </w:p>
    <w:p w14:paraId="7DF840C6">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 xml:space="preserve"> </w:t>
      </w:r>
    </w:p>
    <w:p w14:paraId="23D4AD66">
      <w:pPr>
        <w:pStyle w:val="19"/>
        <w:rPr>
          <w:rFonts w:hint="eastAsia"/>
          <w:color w:val="auto"/>
          <w:highlight w:val="none"/>
        </w:rPr>
      </w:pPr>
    </w:p>
    <w:p w14:paraId="441ECBD5">
      <w:pPr>
        <w:jc w:val="center"/>
        <w:rPr>
          <w:rFonts w:hint="eastAsia" w:ascii="宋体" w:hAnsi="宋体" w:cs="宋体"/>
          <w:color w:val="auto"/>
          <w:sz w:val="28"/>
          <w:szCs w:val="28"/>
          <w:highlight w:val="none"/>
        </w:rPr>
      </w:pPr>
    </w:p>
    <w:p w14:paraId="5A036E0C">
      <w:pPr>
        <w:spacing w:line="360" w:lineRule="auto"/>
        <w:jc w:val="center"/>
        <w:rPr>
          <w:rFonts w:hint="eastAsia" w:ascii="宋体" w:hAnsi="宋体" w:cs="宋体"/>
          <w:color w:val="auto"/>
          <w:sz w:val="72"/>
          <w:szCs w:val="84"/>
          <w:highlight w:val="none"/>
        </w:rPr>
      </w:pPr>
      <w:r>
        <w:rPr>
          <w:rFonts w:hint="eastAsia" w:ascii="宋体" w:hAnsi="宋体" w:cs="宋体"/>
          <w:b/>
          <w:bCs/>
          <w:color w:val="auto"/>
          <w:sz w:val="72"/>
          <w:szCs w:val="84"/>
          <w:highlight w:val="none"/>
        </w:rPr>
        <w:t>响 应 文 件</w:t>
      </w:r>
    </w:p>
    <w:p w14:paraId="61DA48D5">
      <w:pPr>
        <w:spacing w:line="400" w:lineRule="exact"/>
        <w:rPr>
          <w:rFonts w:hint="eastAsia" w:ascii="宋体" w:hAnsi="宋体" w:cs="宋体"/>
          <w:color w:val="auto"/>
          <w:sz w:val="28"/>
          <w:szCs w:val="28"/>
          <w:highlight w:val="none"/>
        </w:rPr>
      </w:pPr>
    </w:p>
    <w:p w14:paraId="7BE66A43">
      <w:pPr>
        <w:spacing w:line="400" w:lineRule="exact"/>
        <w:rPr>
          <w:rFonts w:hint="eastAsia" w:ascii="宋体" w:hAnsi="宋体" w:cs="宋体"/>
          <w:color w:val="auto"/>
          <w:sz w:val="28"/>
          <w:szCs w:val="28"/>
          <w:highlight w:val="none"/>
        </w:rPr>
      </w:pPr>
    </w:p>
    <w:p w14:paraId="57DF00F7">
      <w:pPr>
        <w:spacing w:line="400" w:lineRule="exact"/>
        <w:rPr>
          <w:rFonts w:hint="eastAsia" w:ascii="宋体" w:hAnsi="宋体" w:cs="宋体"/>
          <w:color w:val="auto"/>
          <w:sz w:val="28"/>
          <w:szCs w:val="28"/>
          <w:highlight w:val="none"/>
        </w:rPr>
      </w:pPr>
    </w:p>
    <w:p w14:paraId="0D7620F2">
      <w:pPr>
        <w:spacing w:line="400" w:lineRule="exact"/>
        <w:ind w:left="0" w:leftChars="0" w:firstLine="0" w:firstLineChars="0"/>
        <w:rPr>
          <w:rFonts w:hint="eastAsia" w:ascii="宋体" w:hAnsi="宋体" w:cs="宋体"/>
          <w:color w:val="auto"/>
          <w:sz w:val="28"/>
          <w:szCs w:val="28"/>
          <w:highlight w:val="none"/>
        </w:rPr>
      </w:pPr>
    </w:p>
    <w:p w14:paraId="3A21EAB1">
      <w:pPr>
        <w:spacing w:line="400" w:lineRule="exact"/>
        <w:rPr>
          <w:rFonts w:hint="eastAsia" w:ascii="宋体" w:hAnsi="宋体" w:cs="宋体"/>
          <w:color w:val="auto"/>
          <w:sz w:val="28"/>
          <w:szCs w:val="28"/>
          <w:highlight w:val="none"/>
        </w:rPr>
      </w:pPr>
    </w:p>
    <w:p w14:paraId="5394B907">
      <w:pPr>
        <w:spacing w:line="400" w:lineRule="exact"/>
        <w:rPr>
          <w:rFonts w:hint="eastAsia" w:ascii="宋体" w:hAnsi="宋体" w:cs="宋体"/>
          <w:color w:val="auto"/>
          <w:sz w:val="28"/>
          <w:szCs w:val="28"/>
          <w:highlight w:val="none"/>
        </w:rPr>
      </w:pPr>
    </w:p>
    <w:p w14:paraId="4720B60E">
      <w:pPr>
        <w:spacing w:line="400" w:lineRule="exact"/>
        <w:rPr>
          <w:rFonts w:hint="eastAsia" w:ascii="宋体" w:hAnsi="宋体" w:cs="宋体"/>
          <w:color w:val="auto"/>
          <w:sz w:val="28"/>
          <w:szCs w:val="28"/>
          <w:highlight w:val="none"/>
        </w:rPr>
      </w:pPr>
    </w:p>
    <w:p w14:paraId="7E2CBABD">
      <w:pPr>
        <w:spacing w:line="400" w:lineRule="exact"/>
        <w:rPr>
          <w:rFonts w:hint="eastAsia" w:ascii="宋体" w:hAnsi="宋体" w:cs="宋体"/>
          <w:color w:val="auto"/>
          <w:sz w:val="28"/>
          <w:szCs w:val="28"/>
          <w:highlight w:val="none"/>
        </w:rPr>
      </w:pPr>
    </w:p>
    <w:p w14:paraId="37B06896">
      <w:pPr>
        <w:pStyle w:val="9"/>
        <w:rPr>
          <w:rFonts w:hint="eastAsia" w:ascii="宋体" w:hAnsi="宋体" w:cs="宋体"/>
          <w:color w:val="auto"/>
          <w:sz w:val="28"/>
          <w:szCs w:val="28"/>
          <w:highlight w:val="none"/>
        </w:rPr>
      </w:pPr>
    </w:p>
    <w:p w14:paraId="6C935EAF">
      <w:pPr>
        <w:spacing w:line="400" w:lineRule="exact"/>
        <w:rPr>
          <w:rFonts w:hint="eastAsia" w:ascii="宋体" w:hAnsi="宋体" w:cs="宋体"/>
          <w:color w:val="auto"/>
          <w:sz w:val="28"/>
          <w:szCs w:val="28"/>
          <w:highlight w:val="none"/>
        </w:rPr>
      </w:pPr>
    </w:p>
    <w:p w14:paraId="0DD224A6">
      <w:pPr>
        <w:spacing w:line="400" w:lineRule="exact"/>
        <w:rPr>
          <w:rFonts w:hint="eastAsia" w:ascii="宋体" w:hAnsi="宋体" w:cs="宋体"/>
          <w:b/>
          <w:bCs/>
          <w:color w:val="auto"/>
          <w:sz w:val="28"/>
          <w:szCs w:val="28"/>
          <w:highlight w:val="none"/>
        </w:rPr>
      </w:pPr>
    </w:p>
    <w:p w14:paraId="43E7A4C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（单位电子签章）</w:t>
      </w:r>
    </w:p>
    <w:p w14:paraId="0B15677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法定代表人或其委托代理人：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（电子签名或盖章）</w:t>
      </w:r>
    </w:p>
    <w:p w14:paraId="47E64040">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w:t>
      </w:r>
    </w:p>
    <w:p w14:paraId="1AAD35B3">
      <w:pPr>
        <w:spacing w:line="400" w:lineRule="exact"/>
        <w:rPr>
          <w:rFonts w:hint="eastAsia" w:ascii="宋体" w:hAnsi="宋体" w:cs="宋体"/>
          <w:color w:val="auto"/>
          <w:sz w:val="22"/>
          <w:szCs w:val="28"/>
          <w:highlight w:val="none"/>
        </w:rPr>
      </w:pPr>
    </w:p>
    <w:p w14:paraId="36B0906B">
      <w:pPr>
        <w:pStyle w:val="48"/>
        <w:ind w:left="0" w:leftChars="0" w:firstLine="0" w:firstLineChars="0"/>
        <w:jc w:val="both"/>
        <w:rPr>
          <w:rFonts w:hint="eastAsia" w:ascii="宋体" w:hAnsi="宋体" w:eastAsia="宋体"/>
          <w:color w:val="auto"/>
          <w:sz w:val="32"/>
          <w:szCs w:val="32"/>
          <w:highlight w:val="none"/>
        </w:rPr>
      </w:pPr>
      <w:bookmarkStart w:id="913" w:name="_Toc152045787"/>
      <w:bookmarkStart w:id="914" w:name="_Toc144974856"/>
      <w:bookmarkStart w:id="915" w:name="_Toc152042576"/>
      <w:bookmarkStart w:id="916" w:name="_Toc466298157"/>
      <w:bookmarkStart w:id="917" w:name="_Toc8978"/>
      <w:bookmarkStart w:id="918" w:name="_Toc20198"/>
    </w:p>
    <w:p w14:paraId="6A21CF2B">
      <w:pPr>
        <w:pStyle w:val="48"/>
        <w:ind w:left="0" w:leftChars="0" w:firstLine="0" w:firstLineChars="0"/>
        <w:jc w:val="both"/>
        <w:rPr>
          <w:rFonts w:hint="eastAsia" w:ascii="宋体" w:hAnsi="宋体" w:eastAsia="宋体"/>
          <w:color w:val="auto"/>
          <w:sz w:val="32"/>
          <w:szCs w:val="32"/>
          <w:highlight w:val="none"/>
        </w:rPr>
      </w:pPr>
    </w:p>
    <w:bookmarkEnd w:id="913"/>
    <w:bookmarkEnd w:id="914"/>
    <w:bookmarkEnd w:id="915"/>
    <w:bookmarkEnd w:id="916"/>
    <w:bookmarkEnd w:id="917"/>
    <w:bookmarkEnd w:id="918"/>
    <w:p w14:paraId="4334B33D">
      <w:pPr>
        <w:spacing w:line="540" w:lineRule="exact"/>
        <w:rPr>
          <w:rFonts w:hint="eastAsia" w:ascii="宋体" w:hAnsi="宋体" w:cs="宋体"/>
          <w:color w:val="auto"/>
          <w:sz w:val="24"/>
          <w:szCs w:val="32"/>
          <w:highlight w:val="none"/>
        </w:rPr>
      </w:pPr>
    </w:p>
    <w:p w14:paraId="624FAC55">
      <w:pPr>
        <w:pStyle w:val="23"/>
        <w:rPr>
          <w:rFonts w:hint="eastAsia" w:ascii="宋体" w:hAnsi="宋体" w:cs="宋体"/>
          <w:color w:val="auto"/>
          <w:sz w:val="24"/>
          <w:szCs w:val="32"/>
          <w:highlight w:val="none"/>
        </w:rPr>
      </w:pPr>
    </w:p>
    <w:p w14:paraId="604CCFF2">
      <w:pPr>
        <w:pStyle w:val="48"/>
        <w:ind w:left="0" w:leftChars="0" w:firstLine="0" w:firstLineChars="0"/>
        <w:jc w:val="center"/>
        <w:rPr>
          <w:rFonts w:hint="eastAsia" w:ascii="宋体" w:hAnsi="宋体" w:eastAsia="宋体"/>
          <w:color w:val="auto"/>
          <w:sz w:val="32"/>
          <w:szCs w:val="32"/>
          <w:highlight w:val="none"/>
        </w:rPr>
      </w:pPr>
    </w:p>
    <w:p w14:paraId="1D39DC9C">
      <w:pPr>
        <w:pStyle w:val="48"/>
        <w:ind w:left="0" w:leftChars="0" w:firstLine="0" w:firstLineChars="0"/>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5E39A675">
      <w:pPr>
        <w:pStyle w:val="24"/>
        <w:rPr>
          <w:rFonts w:hint="eastAsia"/>
          <w:color w:val="auto"/>
          <w:highlight w:val="none"/>
        </w:rPr>
      </w:pPr>
    </w:p>
    <w:p w14:paraId="684534FF">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lang w:eastAsia="zh-CN"/>
        </w:rPr>
        <w:t>响应函</w:t>
      </w:r>
      <w:r>
        <w:rPr>
          <w:rFonts w:hint="eastAsia" w:ascii="宋体" w:hAnsi="宋体" w:cs="宋体"/>
          <w:color w:val="auto"/>
          <w:highlight w:val="none"/>
        </w:rPr>
        <w:t>及</w:t>
      </w:r>
      <w:r>
        <w:rPr>
          <w:rFonts w:hint="eastAsia" w:ascii="宋体" w:hAnsi="宋体" w:cs="宋体"/>
          <w:color w:val="auto"/>
          <w:highlight w:val="none"/>
          <w:lang w:eastAsia="zh-CN"/>
        </w:rPr>
        <w:t>响应函附录</w:t>
      </w:r>
      <w:r>
        <w:rPr>
          <w:rFonts w:hint="eastAsia" w:ascii="宋体" w:hAnsi="宋体" w:cs="宋体"/>
          <w:color w:val="auto"/>
          <w:highlight w:val="none"/>
        </w:rPr>
        <w:t xml:space="preserve"> </w:t>
      </w:r>
    </w:p>
    <w:p w14:paraId="6BAED0E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法定代表人（单位负责人）身份证明（适用于无委托代理人的情况）</w:t>
      </w:r>
    </w:p>
    <w:p w14:paraId="7D272CC0">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 xml:space="preserve">授权委托书（适用于有委托代理人的情况） </w:t>
      </w:r>
    </w:p>
    <w:p w14:paraId="56E6B21B">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分项报价表</w:t>
      </w:r>
    </w:p>
    <w:p w14:paraId="4EAEBF99">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五、服务编制方案</w:t>
      </w:r>
    </w:p>
    <w:p w14:paraId="3E8E89E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商务及技术偏差表</w:t>
      </w:r>
    </w:p>
    <w:p w14:paraId="64A4140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资格证明材料</w:t>
      </w:r>
    </w:p>
    <w:p w14:paraId="74D1355C">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中小企业声明函(如有)</w:t>
      </w:r>
    </w:p>
    <w:p w14:paraId="54716A8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残疾人福利性单位声明函(如有)</w:t>
      </w:r>
      <w:r>
        <w:rPr>
          <w:rFonts w:hint="eastAsia" w:ascii="宋体" w:hAnsi="宋体" w:cs="宋体"/>
          <w:color w:val="auto"/>
          <w:highlight w:val="none"/>
          <w:lang w:eastAsia="zh-CN"/>
        </w:rPr>
        <w:t>（非专门面向中小企业适用）</w:t>
      </w:r>
    </w:p>
    <w:p w14:paraId="7CCE96BE">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十、</w:t>
      </w:r>
      <w:r>
        <w:rPr>
          <w:rFonts w:hint="eastAsia" w:ascii="宋体" w:hAnsi="宋体" w:cs="宋体"/>
          <w:color w:val="auto"/>
          <w:highlight w:val="none"/>
        </w:rPr>
        <w:t>监狱企业证明文件（如有）</w:t>
      </w:r>
      <w:r>
        <w:rPr>
          <w:rFonts w:hint="eastAsia" w:ascii="宋体" w:hAnsi="宋体" w:cs="宋体"/>
          <w:color w:val="auto"/>
          <w:highlight w:val="none"/>
          <w:lang w:eastAsia="zh-CN"/>
        </w:rPr>
        <w:t>（非专门面向中小企业适用）</w:t>
      </w:r>
    </w:p>
    <w:p w14:paraId="7BF56E8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十一、</w:t>
      </w:r>
      <w:r>
        <w:rPr>
          <w:rFonts w:hint="eastAsia" w:ascii="宋体" w:hAnsi="宋体" w:cs="宋体"/>
          <w:color w:val="auto"/>
          <w:highlight w:val="none"/>
        </w:rPr>
        <w:t>反商业贿赂承诺书</w:t>
      </w:r>
    </w:p>
    <w:p w14:paraId="2AEC670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十二、</w:t>
      </w:r>
      <w:r>
        <w:rPr>
          <w:rFonts w:hint="eastAsia" w:ascii="宋体" w:hAnsi="宋体" w:cs="宋体"/>
          <w:color w:val="auto"/>
          <w:highlight w:val="none"/>
        </w:rPr>
        <w:t>其他材料</w:t>
      </w:r>
    </w:p>
    <w:p w14:paraId="34C73958">
      <w:pPr>
        <w:spacing w:line="540" w:lineRule="exact"/>
        <w:rPr>
          <w:rFonts w:hint="eastAsia" w:ascii="宋体" w:hAnsi="宋体" w:cs="宋体"/>
          <w:color w:val="auto"/>
          <w:highlight w:val="none"/>
        </w:rPr>
      </w:pPr>
    </w:p>
    <w:p w14:paraId="3301B465">
      <w:pPr>
        <w:pStyle w:val="23"/>
        <w:rPr>
          <w:rFonts w:hint="eastAsia"/>
          <w:color w:val="auto"/>
          <w:highlight w:val="none"/>
        </w:rPr>
      </w:pPr>
    </w:p>
    <w:p w14:paraId="0431DCED">
      <w:pPr>
        <w:spacing w:line="540" w:lineRule="exact"/>
        <w:rPr>
          <w:rFonts w:hint="eastAsia" w:ascii="宋体" w:hAnsi="宋体" w:cs="宋体"/>
          <w:color w:val="auto"/>
          <w:highlight w:val="none"/>
        </w:rPr>
      </w:pPr>
    </w:p>
    <w:p w14:paraId="16E2A6E3">
      <w:pPr>
        <w:spacing w:line="540" w:lineRule="exact"/>
        <w:ind w:left="0" w:leftChars="0" w:firstLine="0" w:firstLineChars="0"/>
        <w:rPr>
          <w:rFonts w:hint="eastAsia" w:ascii="宋体" w:hAnsi="宋体" w:cs="宋体"/>
          <w:color w:val="auto"/>
          <w:highlight w:val="none"/>
        </w:rPr>
      </w:pPr>
    </w:p>
    <w:p w14:paraId="791DAF7A">
      <w:pPr>
        <w:pStyle w:val="40"/>
        <w:rPr>
          <w:rFonts w:hint="eastAsia" w:ascii="宋体" w:hAnsi="宋体" w:cs="宋体"/>
          <w:color w:val="auto"/>
          <w:highlight w:val="none"/>
        </w:rPr>
      </w:pPr>
    </w:p>
    <w:p w14:paraId="1977FEC1">
      <w:pPr>
        <w:pStyle w:val="19"/>
        <w:rPr>
          <w:rFonts w:hint="eastAsia" w:ascii="宋体" w:hAnsi="宋体" w:cs="宋体"/>
          <w:color w:val="auto"/>
          <w:highlight w:val="none"/>
        </w:rPr>
      </w:pPr>
    </w:p>
    <w:p w14:paraId="1C7731DD">
      <w:pPr>
        <w:pStyle w:val="19"/>
        <w:rPr>
          <w:rFonts w:hint="eastAsia" w:ascii="宋体" w:hAnsi="宋体" w:cs="宋体"/>
          <w:color w:val="auto"/>
          <w:highlight w:val="none"/>
        </w:rPr>
      </w:pPr>
    </w:p>
    <w:p w14:paraId="59B15944">
      <w:pPr>
        <w:pStyle w:val="19"/>
        <w:rPr>
          <w:rFonts w:hint="eastAsia" w:ascii="宋体" w:hAnsi="宋体" w:cs="宋体"/>
          <w:color w:val="auto"/>
          <w:highlight w:val="none"/>
        </w:rPr>
      </w:pPr>
    </w:p>
    <w:p w14:paraId="05396621">
      <w:pPr>
        <w:rPr>
          <w:rFonts w:hint="eastAsia" w:ascii="宋体" w:hAnsi="宋体" w:eastAsia="宋体"/>
          <w:b/>
          <w:color w:val="auto"/>
          <w:szCs w:val="28"/>
          <w:highlight w:val="none"/>
        </w:rPr>
      </w:pPr>
      <w:bookmarkStart w:id="919" w:name="_Toc152045788"/>
      <w:bookmarkStart w:id="920" w:name="_Toc144974857"/>
      <w:bookmarkStart w:id="921" w:name="_Toc152042577"/>
      <w:bookmarkStart w:id="922" w:name="_Toc8095"/>
      <w:bookmarkStart w:id="923" w:name="_Toc466298158"/>
      <w:bookmarkStart w:id="924" w:name="_Toc9911"/>
      <w:r>
        <w:rPr>
          <w:rFonts w:hint="eastAsia" w:ascii="宋体" w:hAnsi="宋体" w:eastAsia="宋体"/>
          <w:b/>
          <w:color w:val="auto"/>
          <w:szCs w:val="28"/>
          <w:highlight w:val="none"/>
          <w:lang w:eastAsia="zh-CN"/>
        </w:rPr>
        <w:br w:type="page"/>
      </w:r>
    </w:p>
    <w:p w14:paraId="5D217E0D">
      <w:pPr>
        <w:pStyle w:val="48"/>
        <w:numPr>
          <w:ilvl w:val="0"/>
          <w:numId w:val="9"/>
        </w:numPr>
        <w:jc w:val="center"/>
        <w:rPr>
          <w:rFonts w:hint="eastAsia" w:ascii="宋体" w:hAnsi="宋体" w:eastAsia="宋体"/>
          <w:b/>
          <w:color w:val="auto"/>
          <w:szCs w:val="28"/>
          <w:highlight w:val="none"/>
        </w:rPr>
      </w:pPr>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及</w:t>
      </w:r>
      <w:bookmarkEnd w:id="919"/>
      <w:bookmarkEnd w:id="920"/>
      <w:bookmarkEnd w:id="921"/>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附录</w:t>
      </w:r>
      <w:bookmarkEnd w:id="922"/>
      <w:bookmarkEnd w:id="923"/>
      <w:bookmarkEnd w:id="924"/>
    </w:p>
    <w:p w14:paraId="491FE12A">
      <w:pPr>
        <w:pStyle w:val="50"/>
        <w:numPr>
          <w:ilvl w:val="0"/>
          <w:numId w:val="10"/>
        </w:numPr>
        <w:jc w:val="center"/>
        <w:outlineLvl w:val="0"/>
        <w:rPr>
          <w:rFonts w:hint="eastAsia" w:ascii="宋体" w:hAnsi="宋体" w:eastAsia="宋体"/>
          <w:b/>
          <w:color w:val="auto"/>
          <w:szCs w:val="23"/>
          <w:highlight w:val="none"/>
        </w:rPr>
      </w:pPr>
      <w:r>
        <w:rPr>
          <w:rFonts w:hint="eastAsia" w:ascii="宋体" w:hAnsi="宋体" w:eastAsia="宋体"/>
          <w:b/>
          <w:color w:val="auto"/>
          <w:szCs w:val="23"/>
          <w:highlight w:val="none"/>
          <w:lang w:eastAsia="zh-CN"/>
        </w:rPr>
        <w:t>响应函</w:t>
      </w:r>
    </w:p>
    <w:p w14:paraId="0BC5AE31">
      <w:pPr>
        <w:pStyle w:val="11"/>
        <w:spacing w:line="420" w:lineRule="exact"/>
        <w:ind w:left="98" w:leftChars="0" w:hanging="98" w:hangingChars="47"/>
        <w:rPr>
          <w:rFonts w:hint="eastAsia" w:ascii="宋体" w:hAnsi="宋体"/>
          <w:color w:val="auto"/>
          <w:szCs w:val="21"/>
          <w:highlight w:val="none"/>
        </w:rPr>
      </w:pPr>
      <w:bookmarkStart w:id="925" w:name="_Toc19056"/>
      <w:bookmarkStart w:id="926" w:name="_Toc490667893"/>
      <w:bookmarkStart w:id="927" w:name="_Toc466298160"/>
      <w:bookmarkStart w:id="928" w:name="_Toc447888814"/>
      <w:r>
        <w:rPr>
          <w:rFonts w:hint="eastAsia" w:ascii="宋体" w:hAnsi="宋体"/>
          <w:color w:val="auto"/>
          <w:szCs w:val="21"/>
          <w:highlight w:val="none"/>
        </w:rPr>
        <w:t>致 ：</w:t>
      </w:r>
      <w:r>
        <w:rPr>
          <w:rFonts w:hint="eastAsia" w:ascii="宋体" w:hAnsi="宋体"/>
          <w:color w:val="auto"/>
          <w:szCs w:val="21"/>
          <w:highlight w:val="none"/>
          <w:u w:val="single"/>
        </w:rPr>
        <w:t>（采购人）</w:t>
      </w:r>
    </w:p>
    <w:p w14:paraId="49F5B07B">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．根据已收到的</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w:t>
      </w:r>
      <w:r>
        <w:rPr>
          <w:rFonts w:hint="eastAsia" w:ascii="宋体" w:hAnsi="宋体"/>
          <w:color w:val="auto"/>
          <w:szCs w:val="21"/>
          <w:highlight w:val="none"/>
        </w:rPr>
        <w:t>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，遵照《中华人民共和国政府采购法》等有关规定，经考察和认真研究本项目</w:t>
      </w:r>
      <w:r>
        <w:rPr>
          <w:rFonts w:hint="eastAsia" w:ascii="宋体" w:hAnsi="宋体"/>
          <w:color w:val="auto"/>
          <w:szCs w:val="21"/>
          <w:highlight w:val="none"/>
          <w:lang w:eastAsia="zh-CN"/>
        </w:rPr>
        <w:t>竞争性磋商文件及其他有关</w:t>
      </w:r>
      <w:r>
        <w:rPr>
          <w:rFonts w:hint="eastAsia" w:ascii="宋体" w:hAnsi="宋体"/>
          <w:color w:val="auto"/>
          <w:szCs w:val="21"/>
          <w:highlight w:val="none"/>
        </w:rPr>
        <w:t>文件后，愿以人民币（大写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）的磋商总报价作为第一次磋商报价，按合同约定实施和完成本项目，并承担其任何质量缺陷等问题所造成的任何损失。</w:t>
      </w:r>
    </w:p>
    <w:p w14:paraId="0B7539EF">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．我方已详细检查全部</w:t>
      </w:r>
      <w:r>
        <w:rPr>
          <w:rFonts w:hint="eastAsia" w:ascii="宋体" w:hAnsi="宋体"/>
          <w:color w:val="auto"/>
          <w:szCs w:val="21"/>
          <w:highlight w:val="none"/>
          <w:lang w:eastAsia="zh-CN"/>
        </w:rPr>
        <w:t>竞争性磋商文件</w:t>
      </w:r>
      <w:r>
        <w:rPr>
          <w:rFonts w:hint="eastAsia" w:ascii="宋体" w:hAnsi="宋体"/>
          <w:color w:val="auto"/>
          <w:szCs w:val="21"/>
          <w:highlight w:val="none"/>
        </w:rPr>
        <w:t>包括澄清文件、补充通知（如有的话）及有关附件，并完全理解我方必须放弃提出含糊不清或误解的权力，愿按照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中的条款和要求按最后一次的报价做为最后报价。</w:t>
      </w:r>
    </w:p>
    <w:p w14:paraId="7D784DC7">
      <w:pPr>
        <w:pStyle w:val="11"/>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．我方在此承诺，我方若能成交，保证在服务期限内，全面履行</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中规定的职责和义务。</w:t>
      </w:r>
    </w:p>
    <w:p w14:paraId="62089BA7">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4．如果我方成交，我方保证按合同条款中规定的内容执行；我方保证质量达到国家及行业现行标准规范规定的合格要求，并按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和有关规定提交一切资料。</w:t>
      </w:r>
    </w:p>
    <w:p w14:paraId="618E6785">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5．如果我方成交，我方将按照采购人规定提交履约保证金。</w:t>
      </w:r>
    </w:p>
    <w:p w14:paraId="54A11513">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6．我方同意从响应文件递交截止日期起</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日历天内保持</w:t>
      </w:r>
      <w:r>
        <w:rPr>
          <w:rFonts w:hint="eastAsia" w:ascii="宋体" w:hAnsi="宋体"/>
          <w:color w:val="auto"/>
          <w:szCs w:val="21"/>
          <w:highlight w:val="none"/>
          <w:lang w:eastAsia="zh-CN"/>
        </w:rPr>
        <w:t>响应文件</w:t>
      </w:r>
      <w:r>
        <w:rPr>
          <w:rFonts w:hint="eastAsia" w:ascii="宋体" w:hAnsi="宋体"/>
          <w:color w:val="auto"/>
          <w:szCs w:val="21"/>
          <w:highlight w:val="none"/>
        </w:rPr>
        <w:t>有效，在此有效期内，我方将严格遵守</w:t>
      </w:r>
      <w:r>
        <w:rPr>
          <w:rFonts w:hint="eastAsia" w:ascii="宋体" w:hAnsi="宋体"/>
          <w:color w:val="auto"/>
          <w:szCs w:val="21"/>
          <w:highlight w:val="none"/>
          <w:lang w:eastAsia="zh-CN"/>
        </w:rPr>
        <w:t>响应文件</w:t>
      </w:r>
      <w:r>
        <w:rPr>
          <w:rFonts w:hint="eastAsia" w:ascii="宋体" w:hAnsi="宋体"/>
          <w:color w:val="auto"/>
          <w:szCs w:val="21"/>
          <w:highlight w:val="none"/>
        </w:rPr>
        <w:t>的承诺，本</w:t>
      </w:r>
      <w:r>
        <w:rPr>
          <w:rFonts w:hint="eastAsia" w:ascii="宋体" w:hAnsi="宋体"/>
          <w:color w:val="auto"/>
          <w:szCs w:val="21"/>
          <w:highlight w:val="none"/>
          <w:lang w:eastAsia="zh-CN"/>
        </w:rPr>
        <w:t>响应文件</w:t>
      </w:r>
      <w:r>
        <w:rPr>
          <w:rFonts w:hint="eastAsia" w:ascii="宋体" w:hAnsi="宋体"/>
          <w:color w:val="auto"/>
          <w:szCs w:val="21"/>
          <w:highlight w:val="none"/>
        </w:rPr>
        <w:t>对我方具有约束力，并可随时被接受成交。</w:t>
      </w:r>
    </w:p>
    <w:p w14:paraId="32E3CA90">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7．除</w:t>
      </w:r>
      <w:r>
        <w:rPr>
          <w:rFonts w:hint="eastAsia" w:ascii="宋体" w:hAnsi="宋体"/>
          <w:color w:val="auto"/>
          <w:szCs w:val="21"/>
          <w:highlight w:val="none"/>
          <w:lang w:eastAsia="zh-CN"/>
        </w:rPr>
        <w:t>响应文件</w:t>
      </w:r>
      <w:r>
        <w:rPr>
          <w:rFonts w:hint="eastAsia" w:ascii="宋体" w:hAnsi="宋体"/>
          <w:color w:val="auto"/>
          <w:szCs w:val="21"/>
          <w:highlight w:val="none"/>
        </w:rPr>
        <w:t>所提交的资料外，我方同意随时接受贵方的检查、询问，并根据磋商需要补充贵方要求提交的资料。</w:t>
      </w:r>
    </w:p>
    <w:p w14:paraId="2CD98BC7">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8．如果我方成交后，我方没有任何正当理由而拒签合同，同时我方愿意补偿该项工作因我方延误所造成的经济损失。</w:t>
      </w:r>
    </w:p>
    <w:p w14:paraId="048F798C">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9．我方愿接受合同条款中规定的合同价款计算和调整方式。</w:t>
      </w:r>
    </w:p>
    <w:p w14:paraId="48A9DE43">
      <w:pPr>
        <w:pStyle w:val="11"/>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10．除非另外达成协议并生效，贵方的成交通知书和本</w:t>
      </w:r>
      <w:r>
        <w:rPr>
          <w:rFonts w:hint="eastAsia" w:ascii="宋体" w:hAnsi="宋体"/>
          <w:color w:val="auto"/>
          <w:szCs w:val="21"/>
          <w:highlight w:val="none"/>
          <w:lang w:eastAsia="zh-CN"/>
        </w:rPr>
        <w:t>响应文件</w:t>
      </w:r>
      <w:r>
        <w:rPr>
          <w:rFonts w:hint="eastAsia" w:ascii="宋体" w:hAnsi="宋体"/>
          <w:color w:val="auto"/>
          <w:szCs w:val="21"/>
          <w:highlight w:val="none"/>
        </w:rPr>
        <w:t>将成为约束我方的合同文件组成部分。</w:t>
      </w:r>
    </w:p>
    <w:p w14:paraId="2E3DE229">
      <w:pPr>
        <w:pStyle w:val="11"/>
        <w:spacing w:line="420" w:lineRule="exact"/>
        <w:ind w:left="0" w:leftChars="0" w:firstLine="0" w:firstLineChars="0"/>
        <w:rPr>
          <w:rFonts w:hint="eastAsia" w:ascii="宋体" w:hAnsi="宋体"/>
          <w:color w:val="auto"/>
          <w:szCs w:val="21"/>
          <w:highlight w:val="none"/>
        </w:rPr>
      </w:pPr>
    </w:p>
    <w:p w14:paraId="7E05184E">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供应商：</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（单位电子签章）</w:t>
      </w:r>
    </w:p>
    <w:p w14:paraId="76A2C18C">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法定代表人或其委托代理人：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（电子签名或盖章）</w:t>
      </w:r>
    </w:p>
    <w:p w14:paraId="045C2726">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地址：</w:t>
      </w:r>
      <w:r>
        <w:rPr>
          <w:rFonts w:hint="eastAsia" w:ascii="宋体" w:hAnsi="宋体" w:cs="宋体"/>
          <w:b/>
          <w:bCs/>
          <w:color w:val="auto"/>
          <w:szCs w:val="21"/>
          <w:u w:val="single"/>
        </w:rPr>
        <w:t xml:space="preserve">                                </w:t>
      </w:r>
    </w:p>
    <w:p w14:paraId="1E05503D">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电话：</w:t>
      </w:r>
      <w:r>
        <w:rPr>
          <w:rFonts w:hint="eastAsia" w:ascii="宋体" w:hAnsi="宋体" w:cs="宋体"/>
          <w:b/>
          <w:bCs/>
          <w:color w:val="auto"/>
          <w:szCs w:val="21"/>
          <w:u w:val="single"/>
        </w:rPr>
        <w:t xml:space="preserve">                                </w:t>
      </w:r>
    </w:p>
    <w:p w14:paraId="428D077E">
      <w:pPr>
        <w:spacing w:line="400" w:lineRule="exact"/>
        <w:ind w:firstLine="4849" w:firstLineChars="2300"/>
        <w:rPr>
          <w:rFonts w:hint="eastAsia" w:ascii="宋体" w:hAnsi="宋体" w:cs="宋体"/>
          <w:b/>
          <w:bCs/>
          <w:color w:val="auto"/>
          <w:szCs w:val="21"/>
        </w:rPr>
      </w:pPr>
      <w:r>
        <w:rPr>
          <w:rFonts w:hint="eastAsia" w:ascii="宋体" w:hAnsi="宋体" w:cs="宋体"/>
          <w:b/>
          <w:bCs/>
          <w:color w:val="auto"/>
          <w:szCs w:val="21"/>
        </w:rPr>
        <w:t xml:space="preserve">  年     月    日</w:t>
      </w:r>
    </w:p>
    <w:p w14:paraId="6F206C92">
      <w:pPr>
        <w:pStyle w:val="23"/>
        <w:spacing w:line="400" w:lineRule="exact"/>
        <w:ind w:firstLine="210"/>
        <w:rPr>
          <w:rFonts w:hint="eastAsia" w:ascii="宋体" w:hAnsi="宋体" w:cs="宋体"/>
          <w:color w:val="auto"/>
          <w:szCs w:val="21"/>
        </w:rPr>
      </w:pPr>
    </w:p>
    <w:p w14:paraId="4B4F1D77">
      <w:pPr>
        <w:pStyle w:val="3"/>
        <w:numPr>
          <w:ilvl w:val="1"/>
          <w:numId w:val="0"/>
        </w:numPr>
        <w:jc w:val="center"/>
        <w:rPr>
          <w:rFonts w:hint="eastAsia" w:ascii="宋体" w:hAnsi="宋体" w:eastAsia="宋体"/>
          <w:color w:val="auto"/>
          <w:sz w:val="28"/>
          <w:szCs w:val="28"/>
          <w:highlight w:val="none"/>
          <w:lang w:eastAsia="zh-CN"/>
        </w:rPr>
      </w:pPr>
      <w:bookmarkStart w:id="929" w:name="_Toc11398"/>
      <w:r>
        <w:rPr>
          <w:rFonts w:hint="eastAsia" w:eastAsia="宋体"/>
          <w:b/>
          <w:bCs/>
          <w:color w:val="auto"/>
          <w:szCs w:val="21"/>
          <w:highlight w:val="none"/>
          <w:lang w:val="en-US" w:eastAsia="zh-CN"/>
        </w:rPr>
        <w:t xml:space="preserve"> </w:t>
      </w:r>
    </w:p>
    <w:p w14:paraId="7B09B2B5">
      <w:pPr>
        <w:pStyle w:val="24"/>
        <w:ind w:left="0" w:leftChars="0" w:firstLine="0" w:firstLineChars="0"/>
        <w:rPr>
          <w:rFonts w:hint="eastAsia" w:ascii="宋体" w:hAnsi="宋体" w:eastAsia="宋体"/>
          <w:color w:val="auto"/>
          <w:sz w:val="28"/>
          <w:szCs w:val="28"/>
          <w:highlight w:val="none"/>
        </w:rPr>
      </w:pPr>
    </w:p>
    <w:p w14:paraId="054EF84B">
      <w:pPr>
        <w:pStyle w:val="3"/>
        <w:numPr>
          <w:ilvl w:val="1"/>
          <w:numId w:val="0"/>
        </w:numPr>
        <w:jc w:val="center"/>
        <w:rPr>
          <w:rFonts w:hint="eastAsia"/>
          <w:color w:val="auto"/>
          <w:highlight w:val="none"/>
        </w:rPr>
      </w:pPr>
      <w:r>
        <w:rPr>
          <w:rFonts w:hint="eastAsia" w:ascii="宋体" w:hAnsi="宋体" w:eastAsia="宋体"/>
          <w:color w:val="auto"/>
          <w:sz w:val="28"/>
          <w:szCs w:val="28"/>
          <w:highlight w:val="none"/>
        </w:rPr>
        <w:t>（二）</w:t>
      </w:r>
      <w:r>
        <w:rPr>
          <w:rFonts w:hint="eastAsia" w:ascii="宋体" w:hAnsi="宋体" w:eastAsia="宋体"/>
          <w:color w:val="auto"/>
          <w:sz w:val="28"/>
          <w:szCs w:val="28"/>
          <w:highlight w:val="none"/>
          <w:lang w:eastAsia="zh-CN"/>
        </w:rPr>
        <w:t>响应函</w:t>
      </w:r>
      <w:r>
        <w:rPr>
          <w:rFonts w:hint="eastAsia" w:ascii="宋体" w:hAnsi="宋体" w:eastAsia="宋体"/>
          <w:color w:val="auto"/>
          <w:sz w:val="28"/>
          <w:szCs w:val="28"/>
          <w:highlight w:val="none"/>
        </w:rPr>
        <w:t>附录</w:t>
      </w:r>
    </w:p>
    <w:bookmarkEnd w:id="925"/>
    <w:bookmarkEnd w:id="926"/>
    <w:bookmarkEnd w:id="927"/>
    <w:bookmarkEnd w:id="928"/>
    <w:bookmarkEnd w:id="929"/>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0C6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68CB459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项目名称</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303E95A6">
            <w:pPr>
              <w:rPr>
                <w:rFonts w:hint="eastAsia" w:ascii="宋体" w:hAnsi="宋体"/>
                <w:color w:val="auto"/>
                <w:szCs w:val="21"/>
                <w:highlight w:val="none"/>
              </w:rPr>
            </w:pPr>
          </w:p>
        </w:tc>
      </w:tr>
      <w:tr w14:paraId="1116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4B929A5E">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供应商</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5683171">
            <w:pPr>
              <w:rPr>
                <w:rFonts w:hint="eastAsia" w:ascii="宋体" w:hAnsi="宋体"/>
                <w:color w:val="auto"/>
                <w:szCs w:val="21"/>
                <w:highlight w:val="none"/>
              </w:rPr>
            </w:pPr>
          </w:p>
        </w:tc>
      </w:tr>
      <w:tr w14:paraId="3A6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noWrap w:val="0"/>
            <w:vAlign w:val="center"/>
          </w:tcPr>
          <w:p w14:paraId="05511BB8">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磋商报价（元）</w:t>
            </w:r>
          </w:p>
        </w:tc>
        <w:tc>
          <w:tcPr>
            <w:tcW w:w="2868" w:type="dxa"/>
            <w:tcBorders>
              <w:top w:val="single" w:color="auto" w:sz="4" w:space="0"/>
              <w:left w:val="single" w:color="auto" w:sz="4" w:space="0"/>
              <w:bottom w:val="single" w:color="auto" w:sz="4" w:space="0"/>
              <w:right w:val="single" w:color="auto" w:sz="4" w:space="0"/>
            </w:tcBorders>
            <w:noWrap w:val="0"/>
            <w:vAlign w:val="center"/>
          </w:tcPr>
          <w:p w14:paraId="38BEF13B">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（大写）</w:t>
            </w:r>
          </w:p>
        </w:tc>
        <w:tc>
          <w:tcPr>
            <w:tcW w:w="3219" w:type="dxa"/>
            <w:tcBorders>
              <w:top w:val="single" w:color="auto" w:sz="4" w:space="0"/>
              <w:left w:val="single" w:color="auto" w:sz="4" w:space="0"/>
              <w:bottom w:val="single" w:color="auto" w:sz="4" w:space="0"/>
              <w:right w:val="single" w:color="auto" w:sz="4" w:space="0"/>
            </w:tcBorders>
            <w:noWrap w:val="0"/>
            <w:vAlign w:val="center"/>
          </w:tcPr>
          <w:p w14:paraId="45EB7D84">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（小写）</w:t>
            </w:r>
          </w:p>
        </w:tc>
      </w:tr>
      <w:tr w14:paraId="4F6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continue"/>
            <w:tcBorders>
              <w:left w:val="single" w:color="auto" w:sz="4" w:space="0"/>
              <w:bottom w:val="single" w:color="auto" w:sz="4" w:space="0"/>
              <w:right w:val="single" w:color="auto" w:sz="4" w:space="0"/>
            </w:tcBorders>
            <w:noWrap w:val="0"/>
            <w:vAlign w:val="center"/>
          </w:tcPr>
          <w:p w14:paraId="054B2760">
            <w:pPr>
              <w:spacing w:line="360" w:lineRule="exact"/>
              <w:jc w:val="center"/>
              <w:rPr>
                <w:rFonts w:hint="eastAsia" w:ascii="宋体" w:hAnsi="宋体"/>
                <w:color w:val="auto"/>
                <w:szCs w:val="21"/>
                <w:highlight w:val="none"/>
              </w:rPr>
            </w:pP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5BBF8D9D">
            <w:pPr>
              <w:ind w:left="0" w:leftChars="0" w:firstLine="0" w:firstLineChars="0"/>
              <w:rPr>
                <w:rFonts w:hint="eastAsia" w:ascii="宋体" w:hAnsi="宋体"/>
                <w:color w:val="auto"/>
                <w:szCs w:val="21"/>
                <w:highlight w:val="none"/>
              </w:rPr>
            </w:pPr>
            <w:r>
              <w:rPr>
                <w:rFonts w:hint="eastAsia" w:ascii="宋体" w:hAnsi="宋体"/>
                <w:b/>
                <w:bCs/>
                <w:color w:val="auto"/>
                <w:szCs w:val="21"/>
                <w:highlight w:val="none"/>
              </w:rPr>
              <w:t>（供应商应在此填列第一次报价，但以供应商最后一次的磋商报价为成交价）</w:t>
            </w:r>
          </w:p>
        </w:tc>
      </w:tr>
      <w:tr w14:paraId="22E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57917D80">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lang w:val="en-US" w:eastAsia="zh-CN"/>
              </w:rPr>
              <w:t>要求</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B701532">
            <w:pPr>
              <w:jc w:val="center"/>
              <w:rPr>
                <w:rFonts w:hint="eastAsia" w:ascii="宋体" w:hAnsi="宋体"/>
                <w:color w:val="auto"/>
                <w:szCs w:val="21"/>
                <w:highlight w:val="none"/>
              </w:rPr>
            </w:pPr>
          </w:p>
        </w:tc>
      </w:tr>
      <w:tr w14:paraId="23F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6C89103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6730BC32">
            <w:pPr>
              <w:jc w:val="center"/>
              <w:rPr>
                <w:rFonts w:hint="eastAsia" w:ascii="宋体" w:hAnsi="宋体"/>
                <w:color w:val="auto"/>
                <w:szCs w:val="21"/>
                <w:highlight w:val="none"/>
              </w:rPr>
            </w:pPr>
          </w:p>
        </w:tc>
      </w:tr>
      <w:tr w14:paraId="3CF9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5ACC650B">
            <w:pPr>
              <w:jc w:val="center"/>
              <w:rPr>
                <w:rFonts w:hint="eastAsia" w:ascii="宋体" w:hAnsi="宋体"/>
                <w:color w:val="auto"/>
                <w:szCs w:val="21"/>
                <w:highlight w:val="none"/>
                <w:lang w:eastAsia="zh-CN"/>
              </w:rPr>
            </w:pPr>
            <w:r>
              <w:rPr>
                <w:rFonts w:hint="eastAsia" w:ascii="宋体" w:hAnsi="宋体" w:eastAsia="宋体" w:cs="宋体"/>
                <w:color w:val="auto"/>
                <w:sz w:val="21"/>
                <w:szCs w:val="21"/>
                <w:highlight w:val="none"/>
                <w:lang w:val="en-US" w:eastAsia="zh-CN"/>
              </w:rPr>
              <w:t>合同履行期限</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77E2F402">
            <w:pPr>
              <w:jc w:val="center"/>
              <w:rPr>
                <w:rFonts w:hint="eastAsia" w:ascii="宋体" w:hAnsi="宋体"/>
                <w:color w:val="auto"/>
                <w:szCs w:val="21"/>
                <w:highlight w:val="none"/>
              </w:rPr>
            </w:pPr>
          </w:p>
        </w:tc>
      </w:tr>
      <w:tr w14:paraId="708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214709AD">
            <w:pPr>
              <w:spacing w:line="40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价格折扣</w:t>
            </w:r>
          </w:p>
          <w:p w14:paraId="38DC20A4">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（非专门面向中小企业采购时使用）</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08E57973">
            <w:pPr>
              <w:pStyle w:val="52"/>
              <w:widowControl w:val="0"/>
              <w:autoSpaceDE w:val="0"/>
              <w:autoSpaceDN w:val="0"/>
              <w:spacing w:before="0" w:after="0" w:line="400" w:lineRule="exact"/>
              <w:jc w:val="center"/>
              <w:rPr>
                <w:rFonts w:hint="eastAsia" w:ascii="宋体" w:hAnsi="宋体" w:eastAsia="宋体" w:cs="宋体"/>
                <w:color w:val="auto"/>
                <w:sz w:val="21"/>
                <w:szCs w:val="21"/>
                <w:highlight w:val="none"/>
                <w:lang w:val="ru-RU" w:eastAsia="zh-CN" w:bidi="ar-SA"/>
              </w:rPr>
            </w:pPr>
            <w:r>
              <w:rPr>
                <w:rFonts w:hint="eastAsia" w:ascii="宋体" w:hAnsi="宋体" w:eastAsia="宋体" w:cs="宋体"/>
                <w:color w:val="auto"/>
                <w:spacing w:val="-1"/>
                <w:sz w:val="21"/>
                <w:szCs w:val="21"/>
                <w:highlight w:val="none"/>
                <w:lang w:eastAsia="zh-CN"/>
              </w:rPr>
              <w:t>符合小微企业价格折扣（</w:t>
            </w:r>
            <w:r>
              <w:rPr>
                <w:rFonts w:hint="eastAsia" w:ascii="宋体" w:hAnsi="宋体" w:eastAsia="宋体" w:cs="宋体"/>
                <w:color w:val="auto"/>
                <w:spacing w:val="-1"/>
                <w:sz w:val="21"/>
                <w:szCs w:val="21"/>
                <w:highlight w:val="none"/>
                <w:u w:val="single"/>
                <w:lang w:eastAsia="zh-CN"/>
              </w:rPr>
              <w:t>是</w:t>
            </w:r>
            <w:r>
              <w:rPr>
                <w:rFonts w:hint="eastAsia" w:ascii="宋体" w:hAnsi="宋体" w:eastAsia="宋体" w:cs="宋体"/>
                <w:color w:val="auto"/>
                <w:spacing w:val="-1"/>
                <w:sz w:val="21"/>
                <w:szCs w:val="21"/>
                <w:highlight w:val="none"/>
                <w:u w:val="single"/>
                <w:lang w:val="en-US" w:eastAsia="zh-CN"/>
              </w:rPr>
              <w:t>/否</w:t>
            </w:r>
            <w:r>
              <w:rPr>
                <w:rFonts w:hint="eastAsia" w:ascii="宋体" w:hAnsi="宋体" w:eastAsia="宋体" w:cs="宋体"/>
                <w:color w:val="auto"/>
                <w:spacing w:val="-1"/>
                <w:sz w:val="21"/>
                <w:szCs w:val="21"/>
                <w:highlight w:val="none"/>
                <w:lang w:eastAsia="zh-CN"/>
              </w:rPr>
              <w:t>）</w:t>
            </w:r>
          </w:p>
        </w:tc>
      </w:tr>
      <w:tr w14:paraId="331A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14:paraId="170AB06E">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  注</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3C4120E4">
            <w:pPr>
              <w:pStyle w:val="52"/>
              <w:widowControl w:val="0"/>
              <w:autoSpaceDE w:val="0"/>
              <w:autoSpaceDN w:val="0"/>
              <w:spacing w:before="0" w:after="0" w:line="400" w:lineRule="exact"/>
              <w:jc w:val="center"/>
              <w:rPr>
                <w:rFonts w:hint="eastAsia" w:ascii="宋体" w:hAnsi="宋体" w:eastAsia="宋体" w:cs="宋体"/>
                <w:color w:val="auto"/>
                <w:spacing w:val="-1"/>
                <w:sz w:val="21"/>
                <w:szCs w:val="21"/>
                <w:highlight w:val="none"/>
                <w:lang w:eastAsia="zh-CN"/>
              </w:rPr>
            </w:pPr>
          </w:p>
        </w:tc>
      </w:tr>
    </w:tbl>
    <w:p w14:paraId="4373ADF4">
      <w:pPr>
        <w:rPr>
          <w:rFonts w:hint="eastAsia" w:ascii="宋体" w:hAnsi="宋体"/>
          <w:color w:val="auto"/>
          <w:szCs w:val="21"/>
          <w:highlight w:val="none"/>
        </w:rPr>
      </w:pPr>
    </w:p>
    <w:p w14:paraId="433F0504">
      <w:pPr>
        <w:rPr>
          <w:rFonts w:ascii="宋体" w:hAnsi="宋体"/>
          <w:color w:val="auto"/>
          <w:szCs w:val="21"/>
          <w:highlight w:val="none"/>
        </w:rPr>
      </w:pPr>
    </w:p>
    <w:p w14:paraId="69FEB86E">
      <w:pPr>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供应商法定代表人或其授权委托人(电子签名或盖章)</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p>
    <w:p w14:paraId="6D0FB124">
      <w:pPr>
        <w:spacing w:line="360" w:lineRule="auto"/>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w:t>
      </w:r>
      <w:r>
        <w:rPr>
          <w:rFonts w:hint="eastAsia" w:ascii="宋体" w:hAnsi="宋体" w:cs="宋体"/>
          <w:color w:val="auto"/>
          <w:szCs w:val="21"/>
          <w:highlight w:val="none"/>
        </w:rPr>
        <w:t>单位电子签章</w:t>
      </w:r>
      <w:r>
        <w:rPr>
          <w:rFonts w:ascii="宋体" w:hAnsi="宋体"/>
          <w:color w:val="auto"/>
          <w:szCs w:val="21"/>
          <w:highlight w:val="none"/>
        </w:rPr>
        <w:t>):</w:t>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ab/>
      </w:r>
    </w:p>
    <w:p w14:paraId="0CDD14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年   月   </w:t>
      </w:r>
      <w:bookmarkStart w:id="930" w:name="_Toc144974860"/>
      <w:bookmarkStart w:id="931" w:name="_Toc152045791"/>
      <w:bookmarkStart w:id="932" w:name="_Toc287367268"/>
      <w:bookmarkStart w:id="933" w:name="_Toc152042580"/>
      <w:r>
        <w:rPr>
          <w:rFonts w:hint="eastAsia" w:ascii="宋体" w:hAnsi="宋体"/>
          <w:color w:val="auto"/>
          <w:szCs w:val="21"/>
          <w:highlight w:val="none"/>
        </w:rPr>
        <w:t>日</w:t>
      </w:r>
    </w:p>
    <w:p w14:paraId="169FF3E0">
      <w:pPr>
        <w:pStyle w:val="48"/>
        <w:ind w:left="0" w:leftChars="0" w:firstLine="0" w:firstLineChars="0"/>
        <w:jc w:val="both"/>
        <w:rPr>
          <w:rFonts w:hint="eastAsia" w:ascii="宋体" w:hAnsi="宋体" w:eastAsia="宋体"/>
          <w:b/>
          <w:color w:val="auto"/>
          <w:szCs w:val="28"/>
          <w:highlight w:val="none"/>
        </w:rPr>
      </w:pPr>
      <w:bookmarkStart w:id="934" w:name="_Toc466298161"/>
      <w:bookmarkStart w:id="935" w:name="_Toc2481"/>
      <w:bookmarkStart w:id="936" w:name="_Toc31033"/>
    </w:p>
    <w:bookmarkEnd w:id="930"/>
    <w:bookmarkEnd w:id="931"/>
    <w:bookmarkEnd w:id="932"/>
    <w:bookmarkEnd w:id="933"/>
    <w:bookmarkEnd w:id="934"/>
    <w:bookmarkEnd w:id="935"/>
    <w:bookmarkEnd w:id="936"/>
    <w:p w14:paraId="28A272A5">
      <w:pPr>
        <w:rPr>
          <w:rFonts w:hint="eastAsia" w:ascii="宋体" w:hAnsi="宋体" w:eastAsia="宋体"/>
          <w:b/>
          <w:color w:val="auto"/>
          <w:szCs w:val="28"/>
          <w:highlight w:val="none"/>
        </w:rPr>
      </w:pPr>
      <w:r>
        <w:rPr>
          <w:rFonts w:hint="eastAsia" w:ascii="宋体" w:hAnsi="宋体" w:eastAsia="宋体"/>
          <w:b/>
          <w:color w:val="auto"/>
          <w:szCs w:val="28"/>
          <w:highlight w:val="none"/>
        </w:rPr>
        <w:br w:type="page"/>
      </w:r>
    </w:p>
    <w:p w14:paraId="711F07C9">
      <w:pPr>
        <w:pStyle w:val="48"/>
        <w:jc w:val="center"/>
        <w:rPr>
          <w:rFonts w:hint="eastAsia" w:ascii="宋体" w:hAnsi="宋体"/>
          <w:b/>
          <w:color w:val="auto"/>
          <w:szCs w:val="28"/>
          <w:highlight w:val="none"/>
        </w:rPr>
      </w:pPr>
      <w:r>
        <w:rPr>
          <w:rFonts w:hint="eastAsia" w:ascii="宋体" w:hAnsi="宋体" w:eastAsia="宋体"/>
          <w:b/>
          <w:color w:val="auto"/>
          <w:szCs w:val="28"/>
          <w:highlight w:val="none"/>
        </w:rPr>
        <w:t>二、法定代</w:t>
      </w:r>
      <w:r>
        <w:rPr>
          <w:rFonts w:hint="eastAsia" w:ascii="宋体" w:hAnsi="宋体" w:eastAsia="宋体"/>
          <w:b/>
          <w:color w:val="auto"/>
          <w:szCs w:val="28"/>
          <w:highlight w:val="none"/>
          <w:lang w:eastAsia="zh-CN"/>
        </w:rPr>
        <w:t>表人</w:t>
      </w:r>
      <w:r>
        <w:rPr>
          <w:rFonts w:hint="eastAsia" w:ascii="宋体" w:hAnsi="宋体" w:eastAsia="宋体"/>
          <w:b/>
          <w:color w:val="auto"/>
          <w:szCs w:val="28"/>
          <w:highlight w:val="none"/>
        </w:rPr>
        <w:t>身份证明</w:t>
      </w:r>
    </w:p>
    <w:p w14:paraId="42691E9F">
      <w:pPr>
        <w:spacing w:line="440" w:lineRule="exact"/>
        <w:jc w:val="center"/>
        <w:rPr>
          <w:rFonts w:hint="eastAsia" w:ascii="宋体" w:hAnsi="宋体" w:cs="宋体"/>
          <w:color w:val="auto"/>
          <w:szCs w:val="21"/>
          <w:highlight w:val="none"/>
        </w:rPr>
      </w:pPr>
    </w:p>
    <w:p w14:paraId="61EA2C3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B44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2A10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15C77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43C7E9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3C2C71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EF65C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54BA1D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F555334">
      <w:pPr>
        <w:spacing w:line="440" w:lineRule="exact"/>
        <w:rPr>
          <w:rFonts w:hint="eastAsia" w:ascii="宋体" w:hAnsi="宋体" w:cs="宋体"/>
          <w:color w:val="auto"/>
          <w:szCs w:val="21"/>
          <w:highlight w:val="none"/>
        </w:rPr>
      </w:pPr>
    </w:p>
    <w:p w14:paraId="17D3B727">
      <w:pPr>
        <w:spacing w:line="440" w:lineRule="exact"/>
        <w:rPr>
          <w:rFonts w:hint="eastAsia" w:ascii="宋体" w:hAnsi="宋体" w:cs="宋体"/>
          <w:color w:val="auto"/>
          <w:szCs w:val="21"/>
          <w:highlight w:val="none"/>
        </w:rPr>
      </w:pPr>
    </w:p>
    <w:p w14:paraId="4B24FC9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382736F6">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7F7AA2B7">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47F49D6">
      <w:pPr>
        <w:spacing w:line="440" w:lineRule="exact"/>
        <w:rPr>
          <w:rFonts w:hint="eastAsia" w:ascii="宋体" w:hAnsi="宋体" w:cs="宋体"/>
          <w:color w:val="auto"/>
          <w:szCs w:val="21"/>
          <w:highlight w:val="none"/>
        </w:rPr>
      </w:pPr>
    </w:p>
    <w:p w14:paraId="6F841015">
      <w:pPr>
        <w:spacing w:line="440" w:lineRule="exact"/>
        <w:rPr>
          <w:rFonts w:hint="eastAsia" w:ascii="宋体" w:hAnsi="宋体" w:cs="宋体"/>
          <w:color w:val="auto"/>
          <w:szCs w:val="21"/>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AA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5D228B6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法定代表人身份证扫描件</w:t>
            </w:r>
          </w:p>
          <w:p w14:paraId="70E78E63">
            <w:pPr>
              <w:spacing w:line="440" w:lineRule="exact"/>
              <w:jc w:val="center"/>
              <w:rPr>
                <w:rFonts w:hint="eastAsia" w:ascii="宋体" w:hAnsi="宋体" w:cs="宋体"/>
                <w:color w:val="auto"/>
                <w:szCs w:val="21"/>
                <w:highlight w:val="none"/>
              </w:rPr>
            </w:pPr>
          </w:p>
        </w:tc>
      </w:tr>
    </w:tbl>
    <w:p w14:paraId="65DF4113">
      <w:pPr>
        <w:spacing w:line="440" w:lineRule="exact"/>
        <w:rPr>
          <w:rFonts w:hint="eastAsia" w:ascii="宋体" w:hAnsi="宋体" w:cs="宋体"/>
          <w:color w:val="auto"/>
          <w:szCs w:val="21"/>
          <w:highlight w:val="none"/>
        </w:rPr>
      </w:pPr>
    </w:p>
    <w:p w14:paraId="1BC87FB1">
      <w:pPr>
        <w:spacing w:line="440" w:lineRule="exact"/>
        <w:rPr>
          <w:rFonts w:hint="eastAsia" w:ascii="宋体" w:hAnsi="宋体" w:cs="宋体"/>
          <w:color w:val="auto"/>
          <w:szCs w:val="21"/>
          <w:highlight w:val="none"/>
        </w:rPr>
      </w:pPr>
    </w:p>
    <w:p w14:paraId="55126635">
      <w:pPr>
        <w:spacing w:line="440" w:lineRule="exact"/>
        <w:rPr>
          <w:rFonts w:hint="eastAsia" w:ascii="宋体" w:hAnsi="宋体" w:cs="宋体"/>
          <w:color w:val="auto"/>
          <w:sz w:val="20"/>
          <w:szCs w:val="20"/>
          <w:highlight w:val="none"/>
        </w:rPr>
      </w:pPr>
    </w:p>
    <w:p w14:paraId="62241A03">
      <w:pPr>
        <w:spacing w:line="440" w:lineRule="exact"/>
        <w:rPr>
          <w:rFonts w:hint="eastAsia" w:ascii="宋体" w:hAnsi="宋体" w:cs="宋体"/>
          <w:color w:val="auto"/>
          <w:sz w:val="20"/>
          <w:szCs w:val="20"/>
          <w:highlight w:val="none"/>
        </w:rPr>
      </w:pPr>
    </w:p>
    <w:p w14:paraId="18661AD5">
      <w:pPr>
        <w:spacing w:line="440" w:lineRule="exact"/>
        <w:rPr>
          <w:rFonts w:hint="eastAsia" w:ascii="宋体" w:hAnsi="宋体" w:cs="宋体"/>
          <w:color w:val="auto"/>
          <w:sz w:val="20"/>
          <w:szCs w:val="20"/>
          <w:highlight w:val="none"/>
        </w:rPr>
      </w:pPr>
    </w:p>
    <w:p w14:paraId="50994679">
      <w:pPr>
        <w:pStyle w:val="3"/>
        <w:numPr>
          <w:ilvl w:val="1"/>
          <w:numId w:val="0"/>
        </w:numPr>
        <w:jc w:val="center"/>
        <w:rPr>
          <w:rFonts w:ascii="Times New Roman" w:hAnsi="Times New Roman" w:eastAsia="宋体"/>
          <w:color w:val="auto"/>
          <w:sz w:val="28"/>
          <w:highlight w:val="none"/>
        </w:rPr>
      </w:pPr>
      <w:bookmarkStart w:id="937" w:name="_Toc441791190"/>
      <w:bookmarkStart w:id="938" w:name="_Toc26203"/>
      <w:bookmarkStart w:id="939" w:name="_Toc4123"/>
      <w:bookmarkStart w:id="940" w:name="_Toc202941490"/>
      <w:bookmarkStart w:id="941" w:name="_Toc318989765"/>
      <w:bookmarkStart w:id="942" w:name="_Toc466298162"/>
      <w:r>
        <w:rPr>
          <w:rFonts w:hint="eastAsia" w:ascii="Times New Roman" w:hAnsi="Times New Roman" w:eastAsia="宋体"/>
          <w:color w:val="auto"/>
          <w:sz w:val="28"/>
          <w:highlight w:val="none"/>
          <w:lang w:eastAsia="zh-CN"/>
        </w:rPr>
        <w:t>三</w:t>
      </w:r>
      <w:r>
        <w:rPr>
          <w:rFonts w:ascii="Times New Roman" w:hAnsi="Times New Roman" w:eastAsia="宋体"/>
          <w:color w:val="auto"/>
          <w:sz w:val="28"/>
          <w:highlight w:val="none"/>
        </w:rPr>
        <w:t>、授权委托书</w:t>
      </w:r>
      <w:bookmarkEnd w:id="937"/>
      <w:bookmarkEnd w:id="938"/>
      <w:bookmarkEnd w:id="939"/>
      <w:bookmarkEnd w:id="940"/>
      <w:bookmarkEnd w:id="941"/>
      <w:bookmarkEnd w:id="942"/>
    </w:p>
    <w:p w14:paraId="3ACA968A">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（项目名称）响应文件、签订合同和处理有关事宜，其法律后果由我方承担。</w:t>
      </w:r>
    </w:p>
    <w:p w14:paraId="5887F3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highlight w:val="none"/>
        </w:rPr>
        <w:t>自本委托书签署之日起至</w:t>
      </w:r>
      <w:r>
        <w:rPr>
          <w:rFonts w:hint="eastAsia" w:ascii="宋体" w:hAnsi="宋体" w:cs="宋体"/>
          <w:color w:val="auto"/>
          <w:highlight w:val="none"/>
          <w:lang w:eastAsia="zh-CN"/>
        </w:rPr>
        <w:t>磋商</w:t>
      </w:r>
      <w:r>
        <w:rPr>
          <w:rFonts w:hint="eastAsia" w:ascii="宋体" w:hAnsi="宋体" w:cs="宋体"/>
          <w:color w:val="auto"/>
          <w:highlight w:val="none"/>
        </w:rPr>
        <w:t>有效期期满。</w:t>
      </w:r>
    </w:p>
    <w:p w14:paraId="5FACBBB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C7AAD72">
      <w:pPr>
        <w:spacing w:line="440" w:lineRule="exact"/>
        <w:rPr>
          <w:rFonts w:hint="eastAsia" w:ascii="宋体" w:hAnsi="宋体" w:cs="宋体"/>
          <w:color w:val="auto"/>
          <w:szCs w:val="21"/>
          <w:highlight w:val="none"/>
        </w:rPr>
      </w:pPr>
    </w:p>
    <w:p w14:paraId="14AC0DCC">
      <w:pPr>
        <w:spacing w:line="440" w:lineRule="exact"/>
        <w:rPr>
          <w:rFonts w:hint="eastAsia" w:ascii="宋体" w:hAnsi="宋体" w:cs="宋体"/>
          <w:color w:val="auto"/>
          <w:szCs w:val="21"/>
          <w:highlight w:val="none"/>
        </w:rPr>
      </w:pPr>
    </w:p>
    <w:p w14:paraId="3DA922DC">
      <w:pPr>
        <w:spacing w:line="440" w:lineRule="exact"/>
        <w:rPr>
          <w:rFonts w:hint="eastAsia" w:ascii="宋体" w:hAnsi="宋体" w:cs="宋体"/>
          <w:color w:val="auto"/>
          <w:szCs w:val="21"/>
          <w:highlight w:val="none"/>
        </w:rPr>
      </w:pPr>
    </w:p>
    <w:p w14:paraId="447A412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2B51D0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5E3C8691">
      <w:pPr>
        <w:spacing w:line="44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5ACA935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28ED3EDD">
      <w:pPr>
        <w:spacing w:line="440" w:lineRule="exact"/>
        <w:ind w:firstLine="3150" w:firstLineChars="15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FD70DE9">
      <w:pPr>
        <w:spacing w:line="440" w:lineRule="exact"/>
        <w:ind w:firstLine="3150" w:firstLineChars="1500"/>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none"/>
          <w:lang w:val="en-US" w:eastAsia="zh-CN"/>
        </w:rPr>
        <w:t xml:space="preserve">联系方式： </w:t>
      </w:r>
      <w:r>
        <w:rPr>
          <w:rFonts w:hint="eastAsia" w:ascii="宋体" w:hAnsi="宋体" w:cs="宋体"/>
          <w:color w:val="auto"/>
          <w:szCs w:val="21"/>
          <w:highlight w:val="none"/>
          <w:u w:val="single"/>
          <w:lang w:val="en-US" w:eastAsia="zh-CN"/>
        </w:rPr>
        <w:t xml:space="preserve">                                   </w:t>
      </w:r>
    </w:p>
    <w:p w14:paraId="3A46A80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6E7D50D">
      <w:pPr>
        <w:spacing w:line="440" w:lineRule="exact"/>
        <w:rPr>
          <w:rFonts w:hint="eastAsia" w:ascii="宋体" w:hAnsi="宋体" w:cs="宋体"/>
          <w:color w:val="auto"/>
          <w:szCs w:val="21"/>
          <w:highlight w:val="none"/>
        </w:rPr>
      </w:pPr>
    </w:p>
    <w:p w14:paraId="0F42EE49">
      <w:pPr>
        <w:pStyle w:val="9"/>
        <w:rPr>
          <w:rFonts w:hint="eastAsia"/>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A3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52F9AE5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委托代理人身份证扫描件</w:t>
            </w:r>
          </w:p>
          <w:p w14:paraId="40BA50D1">
            <w:pPr>
              <w:spacing w:line="440" w:lineRule="exact"/>
              <w:jc w:val="center"/>
              <w:rPr>
                <w:rFonts w:hint="eastAsia" w:ascii="宋体" w:hAnsi="宋体" w:cs="宋体"/>
                <w:color w:val="auto"/>
                <w:szCs w:val="21"/>
                <w:highlight w:val="none"/>
              </w:rPr>
            </w:pPr>
          </w:p>
        </w:tc>
      </w:tr>
    </w:tbl>
    <w:p w14:paraId="789E8EFD">
      <w:pPr>
        <w:spacing w:line="440" w:lineRule="exact"/>
        <w:rPr>
          <w:rFonts w:hint="eastAsia" w:ascii="宋体" w:hAnsi="宋体" w:cs="宋体"/>
          <w:color w:val="auto"/>
          <w:szCs w:val="21"/>
          <w:highlight w:val="none"/>
        </w:rPr>
      </w:pPr>
    </w:p>
    <w:p w14:paraId="5A02D26D">
      <w:pPr>
        <w:pStyle w:val="23"/>
        <w:rPr>
          <w:rFonts w:hint="eastAsia"/>
          <w:color w:val="auto"/>
          <w:highlight w:val="none"/>
        </w:rPr>
      </w:pPr>
    </w:p>
    <w:p w14:paraId="6FE94D09">
      <w:pPr>
        <w:spacing w:line="440" w:lineRule="exact"/>
        <w:ind w:firstLine="2310" w:firstLineChars="1100"/>
        <w:rPr>
          <w:rFonts w:hint="eastAsia" w:ascii="宋体" w:hAnsi="宋体" w:cs="宋体"/>
          <w:color w:val="auto"/>
          <w:szCs w:val="21"/>
          <w:highlight w:val="none"/>
        </w:rPr>
      </w:pPr>
    </w:p>
    <w:p w14:paraId="56472A3E">
      <w:pPr>
        <w:pStyle w:val="23"/>
        <w:rPr>
          <w:rFonts w:hint="eastAsia"/>
          <w:color w:val="auto"/>
          <w:highlight w:val="none"/>
        </w:rPr>
      </w:pPr>
    </w:p>
    <w:p w14:paraId="25B79859">
      <w:pPr>
        <w:pStyle w:val="3"/>
        <w:numPr>
          <w:ilvl w:val="1"/>
          <w:numId w:val="0"/>
        </w:numPr>
        <w:spacing w:before="60" w:beforeLines="0" w:after="60" w:afterLines="0" w:line="400" w:lineRule="exact"/>
        <w:jc w:val="center"/>
        <w:rPr>
          <w:rFonts w:hint="eastAsia" w:ascii="宋体" w:hAnsi="宋体" w:eastAsia="宋体" w:cs="宋体"/>
          <w:b/>
          <w:color w:val="auto"/>
          <w:szCs w:val="28"/>
          <w:highlight w:val="none"/>
        </w:rPr>
      </w:pPr>
      <w:bookmarkStart w:id="943" w:name="_Toc5437"/>
      <w:bookmarkStart w:id="944" w:name="_Toc475624458"/>
      <w:r>
        <w:rPr>
          <w:rFonts w:hint="eastAsia" w:eastAsia="宋体" w:cs="宋体"/>
          <w:b/>
          <w:color w:val="auto"/>
          <w:szCs w:val="28"/>
          <w:highlight w:val="none"/>
          <w:lang w:eastAsia="zh-CN"/>
        </w:rPr>
        <w:t>四</w:t>
      </w:r>
      <w:r>
        <w:rPr>
          <w:rFonts w:hint="eastAsia" w:ascii="宋体" w:hAnsi="宋体" w:eastAsia="宋体" w:cs="宋体"/>
          <w:b/>
          <w:color w:val="auto"/>
          <w:szCs w:val="28"/>
          <w:highlight w:val="none"/>
        </w:rPr>
        <w:t>、分项报价</w:t>
      </w:r>
    </w:p>
    <w:p w14:paraId="71CB7E7C">
      <w:pPr>
        <w:pStyle w:val="2"/>
        <w:numPr>
          <w:ilvl w:val="0"/>
          <w:numId w:val="0"/>
        </w:numPr>
        <w:spacing w:before="120" w:beforeLines="0" w:after="120" w:afterLines="0" w:line="400" w:lineRule="exact"/>
        <w:jc w:val="center"/>
        <w:rPr>
          <w:rFonts w:hint="eastAsia"/>
          <w:b w:val="0"/>
          <w:bCs w:val="0"/>
          <w:color w:val="auto"/>
          <w:sz w:val="22"/>
          <w:szCs w:val="22"/>
          <w:highlight w:val="none"/>
          <w:lang w:eastAsia="zh-CN"/>
        </w:rPr>
      </w:pPr>
      <w:r>
        <w:rPr>
          <w:rFonts w:hint="eastAsia" w:cstheme="minorBidi"/>
          <w:b w:val="0"/>
          <w:bCs w:val="0"/>
          <w:color w:val="auto"/>
          <w:kern w:val="2"/>
          <w:sz w:val="22"/>
          <w:szCs w:val="22"/>
          <w:highlight w:val="none"/>
          <w:lang w:val="en-US" w:eastAsia="zh-CN" w:bidi="ar-SA"/>
        </w:rPr>
        <w:t>（内容及格式由供应商自拟，参照</w:t>
      </w:r>
      <w:r>
        <w:rPr>
          <w:rFonts w:hint="eastAsia" w:ascii="宋体" w:hAnsi="宋体" w:cs="宋体"/>
          <w:b w:val="0"/>
          <w:bCs w:val="0"/>
          <w:color w:val="auto"/>
          <w:sz w:val="22"/>
          <w:szCs w:val="22"/>
          <w:highlight w:val="none"/>
          <w:lang w:eastAsia="zh-CN"/>
        </w:rPr>
        <w:t>采购需求及</w:t>
      </w:r>
      <w:r>
        <w:rPr>
          <w:rFonts w:hint="eastAsia" w:ascii="宋体" w:hAnsi="宋体" w:cs="宋体"/>
          <w:b w:val="0"/>
          <w:bCs w:val="0"/>
          <w:color w:val="auto"/>
          <w:sz w:val="22"/>
          <w:szCs w:val="22"/>
          <w:highlight w:val="none"/>
          <w:lang w:val="en-US" w:eastAsia="zh-CN"/>
        </w:rPr>
        <w:t>技术参数要求</w:t>
      </w:r>
      <w:r>
        <w:rPr>
          <w:rFonts w:hint="eastAsia" w:ascii="宋体" w:hAnsi="宋体" w:cs="宋体"/>
          <w:b w:val="0"/>
          <w:bCs w:val="0"/>
          <w:color w:val="auto"/>
          <w:sz w:val="22"/>
          <w:szCs w:val="22"/>
          <w:highlight w:val="none"/>
          <w:lang w:eastAsia="zh-CN"/>
        </w:rPr>
        <w:t>。）</w:t>
      </w:r>
    </w:p>
    <w:p w14:paraId="48141833">
      <w:pPr>
        <w:spacing w:line="312" w:lineRule="auto"/>
        <w:ind w:left="0" w:leftChars="0" w:firstLine="0" w:firstLineChars="0"/>
        <w:jc w:val="center"/>
        <w:rPr>
          <w:rFonts w:hint="eastAsia" w:ascii="宋体" w:hAnsi="宋体" w:eastAsia="宋体" w:cs="宋体"/>
          <w:b/>
          <w:color w:val="auto"/>
          <w:sz w:val="21"/>
          <w:szCs w:val="21"/>
          <w:highlight w:val="none"/>
          <w:lang w:eastAsia="zh-CN"/>
        </w:rPr>
      </w:pPr>
    </w:p>
    <w:p w14:paraId="6A875CFE">
      <w:pPr>
        <w:tabs>
          <w:tab w:val="left" w:pos="1365"/>
        </w:tabs>
        <w:spacing w:line="360" w:lineRule="auto"/>
        <w:ind w:firstLine="315" w:firstLineChars="150"/>
        <w:jc w:val="right"/>
        <w:rPr>
          <w:rFonts w:hint="eastAsia" w:ascii="宋体" w:hAnsi="宋体" w:eastAsia="宋体" w:cs="宋体"/>
          <w:color w:val="auto"/>
          <w:sz w:val="21"/>
          <w:szCs w:val="21"/>
          <w:highlight w:val="none"/>
        </w:rPr>
      </w:pPr>
    </w:p>
    <w:p w14:paraId="00206D6B">
      <w:pPr>
        <w:tabs>
          <w:tab w:val="left" w:pos="1365"/>
        </w:tabs>
        <w:spacing w:line="360" w:lineRule="auto"/>
        <w:ind w:firstLine="315" w:firstLineChars="150"/>
        <w:jc w:val="right"/>
        <w:rPr>
          <w:rFonts w:hint="eastAsia" w:ascii="宋体" w:hAnsi="宋体" w:eastAsia="宋体" w:cs="宋体"/>
          <w:color w:val="auto"/>
          <w:sz w:val="21"/>
          <w:szCs w:val="21"/>
          <w:highlight w:val="none"/>
        </w:rPr>
      </w:pPr>
    </w:p>
    <w:p w14:paraId="1375B24B">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3A394D5F">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6005D0BD">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0E628E54">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5D8DFB07">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3853A418">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4CFBBF58">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5CBFA66A">
      <w:pPr>
        <w:pStyle w:val="23"/>
        <w:rPr>
          <w:rFonts w:hint="eastAsia" w:ascii="宋体" w:hAnsi="宋体" w:eastAsia="宋体" w:cs="宋体"/>
          <w:color w:val="auto"/>
          <w:sz w:val="21"/>
          <w:szCs w:val="21"/>
          <w:highlight w:val="none"/>
        </w:rPr>
      </w:pPr>
    </w:p>
    <w:p w14:paraId="2B53FBF0">
      <w:pPr>
        <w:pStyle w:val="24"/>
        <w:rPr>
          <w:rFonts w:hint="eastAsia"/>
          <w:color w:val="auto"/>
          <w:highlight w:val="none"/>
        </w:rPr>
      </w:pPr>
    </w:p>
    <w:p w14:paraId="4CEBA9E1">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1E348934">
      <w:pPr>
        <w:tabs>
          <w:tab w:val="left" w:pos="1365"/>
        </w:tabs>
        <w:spacing w:line="360" w:lineRule="auto"/>
        <w:ind w:firstLine="315" w:firstLineChars="150"/>
        <w:jc w:val="center"/>
        <w:rPr>
          <w:rFonts w:hint="eastAsia" w:ascii="宋体" w:hAnsi="宋体" w:eastAsia="宋体" w:cs="宋体"/>
          <w:color w:val="auto"/>
          <w:sz w:val="21"/>
          <w:szCs w:val="21"/>
          <w:highlight w:val="none"/>
        </w:rPr>
      </w:pPr>
    </w:p>
    <w:p w14:paraId="24E3A420">
      <w:pPr>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1"/>
          <w:szCs w:val="21"/>
          <w:highlight w:val="none"/>
          <w:lang w:val="en-US" w:eastAsia="zh-CN"/>
        </w:rPr>
        <w:t xml:space="preserve"> </w:t>
      </w:r>
    </w:p>
    <w:p w14:paraId="4DD0B51D">
      <w:pPr>
        <w:pStyle w:val="23"/>
        <w:ind w:firstLine="540" w:firstLineChars="192"/>
        <w:jc w:val="center"/>
        <w:rPr>
          <w:rFonts w:hint="eastAsia" w:ascii="宋体" w:hAnsi="宋体" w:eastAsia="宋体" w:cs="宋体"/>
          <w:b/>
          <w:color w:val="auto"/>
          <w:sz w:val="28"/>
          <w:szCs w:val="28"/>
          <w:highlight w:val="none"/>
          <w:lang w:eastAsia="zh-CN"/>
        </w:rPr>
      </w:pPr>
    </w:p>
    <w:p w14:paraId="1975BF67">
      <w:pPr>
        <w:pStyle w:val="24"/>
        <w:rPr>
          <w:rFonts w:hint="eastAsia" w:ascii="宋体" w:hAnsi="宋体" w:eastAsia="宋体" w:cs="宋体"/>
          <w:b/>
          <w:color w:val="auto"/>
          <w:sz w:val="28"/>
          <w:szCs w:val="28"/>
          <w:highlight w:val="none"/>
          <w:lang w:eastAsia="zh-CN"/>
        </w:rPr>
      </w:pPr>
    </w:p>
    <w:p w14:paraId="41AA26C9">
      <w:pPr>
        <w:pStyle w:val="24"/>
        <w:rPr>
          <w:rFonts w:hint="eastAsia" w:ascii="宋体" w:hAnsi="宋体" w:eastAsia="宋体" w:cs="宋体"/>
          <w:b/>
          <w:color w:val="auto"/>
          <w:sz w:val="28"/>
          <w:szCs w:val="28"/>
          <w:highlight w:val="none"/>
          <w:lang w:eastAsia="zh-CN"/>
        </w:rPr>
      </w:pPr>
    </w:p>
    <w:p w14:paraId="30732028">
      <w:pPr>
        <w:rPr>
          <w:rFonts w:hint="eastAsia"/>
          <w:b/>
          <w:color w:val="auto"/>
          <w:sz w:val="28"/>
          <w:szCs w:val="28"/>
          <w:highlight w:val="none"/>
          <w:lang w:val="en-US" w:eastAsia="zh-CN"/>
        </w:rPr>
      </w:pPr>
      <w:r>
        <w:rPr>
          <w:rFonts w:hint="eastAsia"/>
          <w:b/>
          <w:color w:val="auto"/>
          <w:sz w:val="28"/>
          <w:szCs w:val="28"/>
          <w:highlight w:val="none"/>
          <w:lang w:val="en-US" w:eastAsia="zh-CN"/>
        </w:rPr>
        <w:br w:type="page"/>
      </w:r>
    </w:p>
    <w:p w14:paraId="2499C4C6">
      <w:pPr>
        <w:pStyle w:val="23"/>
        <w:numPr>
          <w:ilvl w:val="0"/>
          <w:numId w:val="0"/>
        </w:numPr>
        <w:bidi w:val="0"/>
        <w:ind w:leftChars="192" w:right="0" w:rightChars="0"/>
        <w:jc w:val="center"/>
        <w:rPr>
          <w:rFonts w:hint="eastAsia" w:ascii="宋体" w:hAnsi="宋体" w:eastAsia="宋体" w:cs="宋体"/>
          <w:b/>
          <w:color w:val="auto"/>
          <w:sz w:val="28"/>
          <w:szCs w:val="28"/>
          <w:highlight w:val="none"/>
          <w:lang w:val="en-US" w:eastAsia="zh-CN"/>
        </w:rPr>
      </w:pPr>
      <w:r>
        <w:rPr>
          <w:rFonts w:hint="eastAsia"/>
          <w:b/>
          <w:color w:val="auto"/>
          <w:sz w:val="28"/>
          <w:szCs w:val="28"/>
          <w:highlight w:val="none"/>
          <w:lang w:val="en-US" w:eastAsia="zh-CN"/>
        </w:rPr>
        <w:t xml:space="preserve"> 五、 </w:t>
      </w:r>
      <w:r>
        <w:rPr>
          <w:rFonts w:hint="eastAsia" w:ascii="宋体" w:hAnsi="宋体" w:eastAsia="宋体" w:cs="宋体"/>
          <w:b/>
          <w:color w:val="auto"/>
          <w:sz w:val="28"/>
          <w:szCs w:val="28"/>
          <w:highlight w:val="none"/>
          <w:lang w:val="en-US" w:eastAsia="zh-CN"/>
        </w:rPr>
        <w:t>服务编制方案</w:t>
      </w:r>
    </w:p>
    <w:p w14:paraId="437452F6">
      <w:pPr>
        <w:keepNext w:val="0"/>
        <w:keepLines w:val="0"/>
        <w:widowControl/>
        <w:suppressLineNumbers w:val="0"/>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b/>
          <w:color w:val="auto"/>
          <w:sz w:val="21"/>
          <w:szCs w:val="21"/>
          <w:highlight w:val="none"/>
        </w:rPr>
        <w:t>内容及格式由</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自拟</w:t>
      </w:r>
      <w:r>
        <w:rPr>
          <w:rFonts w:hint="eastAsia" w:ascii="宋体" w:hAnsi="宋体"/>
          <w:b/>
          <w:color w:val="auto"/>
          <w:sz w:val="21"/>
          <w:szCs w:val="21"/>
          <w:highlight w:val="none"/>
          <w:lang w:eastAsia="zh-CN"/>
        </w:rPr>
        <w:t>，要点参照评分办法</w:t>
      </w:r>
      <w:r>
        <w:rPr>
          <w:rFonts w:hint="eastAsia" w:ascii="宋体" w:hAnsi="宋体" w:eastAsia="宋体" w:cs="宋体"/>
          <w:color w:val="auto"/>
          <w:kern w:val="0"/>
          <w:sz w:val="21"/>
          <w:szCs w:val="21"/>
          <w:highlight w:val="none"/>
          <w:lang w:val="en-US" w:eastAsia="zh-CN" w:bidi="ar"/>
        </w:rPr>
        <w:t>）</w:t>
      </w:r>
    </w:p>
    <w:p w14:paraId="3DC71B10">
      <w:pPr>
        <w:pStyle w:val="23"/>
        <w:bidi w:val="0"/>
        <w:rPr>
          <w:rFonts w:hint="eastAsia" w:ascii="宋体" w:hAnsi="宋体" w:eastAsia="宋体" w:cs="宋体"/>
          <w:color w:val="auto"/>
          <w:kern w:val="0"/>
          <w:sz w:val="21"/>
          <w:szCs w:val="21"/>
          <w:highlight w:val="none"/>
          <w:lang w:val="en-US" w:eastAsia="zh-CN" w:bidi="ar"/>
        </w:rPr>
      </w:pPr>
    </w:p>
    <w:p w14:paraId="6BC44C6F">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4444B84C">
      <w:pPr>
        <w:bidi w:val="0"/>
        <w:rPr>
          <w:rFonts w:hint="eastAsia" w:ascii="宋体" w:hAnsi="宋体" w:eastAsia="宋体" w:cs="宋体"/>
          <w:color w:val="auto"/>
          <w:kern w:val="0"/>
          <w:sz w:val="21"/>
          <w:szCs w:val="21"/>
          <w:highlight w:val="none"/>
          <w:lang w:val="en-US" w:eastAsia="zh-CN" w:bidi="ar"/>
        </w:rPr>
      </w:pPr>
    </w:p>
    <w:p w14:paraId="4EF84B77">
      <w:pPr>
        <w:pStyle w:val="23"/>
        <w:bidi w:val="0"/>
        <w:rPr>
          <w:rFonts w:hint="eastAsia" w:ascii="宋体" w:hAnsi="宋体" w:eastAsia="宋体" w:cs="宋体"/>
          <w:color w:val="auto"/>
          <w:kern w:val="0"/>
          <w:sz w:val="21"/>
          <w:szCs w:val="21"/>
          <w:highlight w:val="none"/>
          <w:lang w:val="en-US" w:eastAsia="zh-CN" w:bidi="ar"/>
        </w:rPr>
      </w:pPr>
    </w:p>
    <w:p w14:paraId="21D648AC">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7BDBEEE">
      <w:pPr>
        <w:bidi w:val="0"/>
        <w:rPr>
          <w:rFonts w:hint="eastAsia" w:ascii="宋体" w:hAnsi="宋体" w:eastAsia="宋体" w:cs="宋体"/>
          <w:color w:val="auto"/>
          <w:kern w:val="0"/>
          <w:sz w:val="21"/>
          <w:szCs w:val="21"/>
          <w:highlight w:val="none"/>
          <w:lang w:val="en-US" w:eastAsia="zh-CN" w:bidi="ar"/>
        </w:rPr>
      </w:pPr>
    </w:p>
    <w:p w14:paraId="1002E848">
      <w:pPr>
        <w:pStyle w:val="23"/>
        <w:bidi w:val="0"/>
        <w:rPr>
          <w:rFonts w:hint="eastAsia" w:ascii="宋体" w:hAnsi="宋体" w:eastAsia="宋体" w:cs="宋体"/>
          <w:color w:val="auto"/>
          <w:kern w:val="0"/>
          <w:sz w:val="21"/>
          <w:szCs w:val="21"/>
          <w:highlight w:val="none"/>
          <w:lang w:val="en-US" w:eastAsia="zh-CN" w:bidi="ar"/>
        </w:rPr>
      </w:pPr>
    </w:p>
    <w:p w14:paraId="4E7337EA">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3D124C7">
      <w:pPr>
        <w:bidi w:val="0"/>
        <w:rPr>
          <w:rFonts w:hint="eastAsia" w:ascii="宋体" w:hAnsi="宋体" w:eastAsia="宋体" w:cs="宋体"/>
          <w:color w:val="auto"/>
          <w:kern w:val="0"/>
          <w:sz w:val="21"/>
          <w:szCs w:val="21"/>
          <w:highlight w:val="none"/>
          <w:lang w:val="en-US" w:eastAsia="zh-CN" w:bidi="ar"/>
        </w:rPr>
      </w:pPr>
    </w:p>
    <w:p w14:paraId="5CC980B0">
      <w:pPr>
        <w:pStyle w:val="23"/>
        <w:bidi w:val="0"/>
        <w:rPr>
          <w:rFonts w:hint="eastAsia" w:ascii="宋体" w:hAnsi="宋体" w:eastAsia="宋体" w:cs="宋体"/>
          <w:color w:val="auto"/>
          <w:kern w:val="0"/>
          <w:sz w:val="21"/>
          <w:szCs w:val="21"/>
          <w:highlight w:val="none"/>
          <w:lang w:val="en-US" w:eastAsia="zh-CN" w:bidi="ar"/>
        </w:rPr>
      </w:pPr>
    </w:p>
    <w:p w14:paraId="52271A26">
      <w:pPr>
        <w:pStyle w:val="24"/>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62E51B68">
      <w:pPr>
        <w:bidi w:val="0"/>
        <w:rPr>
          <w:rFonts w:hint="eastAsia" w:ascii="宋体" w:hAnsi="宋体" w:eastAsia="宋体" w:cs="宋体"/>
          <w:color w:val="auto"/>
          <w:kern w:val="0"/>
          <w:sz w:val="21"/>
          <w:szCs w:val="21"/>
          <w:highlight w:val="none"/>
          <w:lang w:val="en-US" w:eastAsia="zh-CN" w:bidi="ar"/>
        </w:rPr>
      </w:pPr>
    </w:p>
    <w:p w14:paraId="0078BF1C">
      <w:pPr>
        <w:pStyle w:val="24"/>
        <w:tabs>
          <w:tab w:val="left" w:pos="945"/>
          <w:tab w:val="left" w:pos="1155"/>
        </w:tabs>
        <w:bidi w:val="0"/>
        <w:rPr>
          <w:rFonts w:hint="eastAsia" w:eastAsiaTheme="minorEastAsia"/>
          <w:color w:val="auto"/>
          <w:highlight w:val="none"/>
          <w:lang w:eastAsia="zh-CN"/>
        </w:rPr>
      </w:pPr>
      <w:r>
        <w:rPr>
          <w:rFonts w:hint="eastAsia" w:ascii="宋体" w:hAnsi="宋体" w:eastAsia="宋体" w:cs="宋体"/>
          <w:color w:val="auto"/>
          <w:sz w:val="21"/>
          <w:szCs w:val="21"/>
          <w:highlight w:val="none"/>
          <w:lang w:val="en-US" w:eastAsia="zh-CN"/>
        </w:rPr>
        <w:t xml:space="preserve"> </w:t>
      </w:r>
    </w:p>
    <w:p w14:paraId="39162DAF">
      <w:pPr>
        <w:pStyle w:val="24"/>
        <w:numPr>
          <w:ilvl w:val="0"/>
          <w:numId w:val="0"/>
        </w:numPr>
        <w:tabs>
          <w:tab w:val="left" w:pos="945"/>
          <w:tab w:val="left" w:pos="1155"/>
        </w:tabs>
        <w:bidi w:val="0"/>
        <w:ind w:left="840" w:leftChars="400"/>
        <w:rPr>
          <w:rFonts w:hint="eastAsia"/>
          <w:color w:val="auto"/>
          <w:highlight w:val="none"/>
          <w:lang w:val="en-US" w:eastAsia="zh-CN"/>
        </w:rPr>
      </w:pPr>
    </w:p>
    <w:p w14:paraId="64D656EE">
      <w:pPr>
        <w:pStyle w:val="23"/>
        <w:bidi w:val="0"/>
        <w:ind w:firstLine="540" w:firstLineChars="192"/>
        <w:jc w:val="center"/>
        <w:rPr>
          <w:rFonts w:hint="eastAsia" w:ascii="宋体" w:hAnsi="宋体" w:eastAsia="宋体" w:cs="宋体"/>
          <w:b/>
          <w:color w:val="auto"/>
          <w:sz w:val="28"/>
          <w:szCs w:val="28"/>
          <w:highlight w:val="none"/>
          <w:lang w:val="en-US" w:eastAsia="zh-CN"/>
        </w:rPr>
      </w:pPr>
    </w:p>
    <w:p w14:paraId="4DB13F3E">
      <w:pPr>
        <w:pStyle w:val="23"/>
        <w:bidi w:val="0"/>
        <w:ind w:firstLine="540" w:firstLineChars="192"/>
        <w:jc w:val="center"/>
        <w:rPr>
          <w:rFonts w:hint="eastAsia" w:ascii="宋体" w:hAnsi="宋体" w:eastAsia="宋体" w:cs="宋体"/>
          <w:b/>
          <w:color w:val="auto"/>
          <w:sz w:val="28"/>
          <w:szCs w:val="28"/>
          <w:highlight w:val="none"/>
          <w:lang w:val="en-US" w:eastAsia="zh-CN"/>
        </w:rPr>
      </w:pPr>
    </w:p>
    <w:p w14:paraId="70C12CB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DACC400">
      <w:pPr>
        <w:pStyle w:val="23"/>
        <w:bidi w:val="0"/>
        <w:ind w:left="0" w:leftChars="0" w:firstLine="0" w:firstLineChars="0"/>
        <w:jc w:val="center"/>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六、商务及</w:t>
      </w:r>
      <w:r>
        <w:rPr>
          <w:rFonts w:hint="eastAsia" w:ascii="宋体" w:hAnsi="宋体" w:eastAsia="宋体" w:cs="宋体"/>
          <w:b/>
          <w:color w:val="auto"/>
          <w:sz w:val="28"/>
          <w:szCs w:val="28"/>
          <w:highlight w:val="none"/>
          <w:lang w:eastAsia="zh-CN"/>
        </w:rPr>
        <w:t>技术偏差表</w:t>
      </w:r>
    </w:p>
    <w:p w14:paraId="4FEA1ED4">
      <w:pPr>
        <w:tabs>
          <w:tab w:val="left" w:pos="926"/>
          <w:tab w:val="left" w:pos="4335"/>
          <w:tab w:val="left" w:pos="7227"/>
        </w:tabs>
        <w:bidi w:val="0"/>
        <w:spacing w:line="400" w:lineRule="exact"/>
        <w:jc w:val="left"/>
        <w:rPr>
          <w:rFonts w:hint="eastAsia" w:ascii="宋体" w:hAnsi="宋体" w:eastAsia="宋体" w:cs="宋体"/>
          <w:color w:val="auto"/>
          <w:sz w:val="21"/>
          <w:szCs w:val="21"/>
          <w:highlight w:val="none"/>
          <w:lang w:eastAsia="zh-CN"/>
        </w:rPr>
      </w:pPr>
    </w:p>
    <w:p w14:paraId="221AF713">
      <w:pPr>
        <w:numPr>
          <w:ilvl w:val="0"/>
          <w:numId w:val="0"/>
        </w:numPr>
        <w:spacing w:line="360" w:lineRule="exact"/>
        <w:ind w:leftChars="0"/>
        <w:jc w:val="center"/>
        <w:outlineLvl w:val="1"/>
        <w:rPr>
          <w:rFonts w:hint="eastAsia" w:ascii="宋体" w:hAnsi="宋体" w:eastAsia="宋体" w:cs="宋体"/>
          <w:b/>
          <w:color w:val="auto"/>
          <w:sz w:val="24"/>
          <w:szCs w:val="24"/>
          <w:highlight w:val="none"/>
          <w:shd w:val="clear" w:color="auto" w:fill="auto"/>
        </w:rPr>
      </w:pPr>
      <w:bookmarkStart w:id="945" w:name="_Toc6970"/>
      <w:bookmarkStart w:id="946" w:name="_Toc11526"/>
      <w:bookmarkStart w:id="947" w:name="_Toc20116"/>
      <w:bookmarkStart w:id="948" w:name="_Toc18122"/>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商务偏差表</w:t>
      </w:r>
      <w:bookmarkEnd w:id="945"/>
      <w:bookmarkEnd w:id="946"/>
      <w:bookmarkEnd w:id="947"/>
      <w:bookmarkEnd w:id="948"/>
    </w:p>
    <w:tbl>
      <w:tblPr>
        <w:tblStyle w:val="25"/>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751"/>
        <w:gridCol w:w="3044"/>
        <w:gridCol w:w="1159"/>
        <w:gridCol w:w="1159"/>
      </w:tblGrid>
      <w:tr w14:paraId="0B6E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exact"/>
          <w:jc w:val="center"/>
        </w:trPr>
        <w:tc>
          <w:tcPr>
            <w:tcW w:w="946" w:type="dxa"/>
            <w:noWrap w:val="0"/>
            <w:vAlign w:val="center"/>
          </w:tcPr>
          <w:p w14:paraId="40BF30E3">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序号</w:t>
            </w:r>
          </w:p>
        </w:tc>
        <w:tc>
          <w:tcPr>
            <w:tcW w:w="2751" w:type="dxa"/>
            <w:noWrap w:val="0"/>
            <w:vAlign w:val="center"/>
          </w:tcPr>
          <w:p w14:paraId="76F920F1">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磋商</w:t>
            </w:r>
            <w:r>
              <w:rPr>
                <w:rFonts w:hint="eastAsia" w:ascii="宋体" w:hAnsi="宋体" w:eastAsia="宋体" w:cs="宋体"/>
                <w:b/>
                <w:bCs/>
                <w:color w:val="auto"/>
                <w:szCs w:val="21"/>
                <w:highlight w:val="none"/>
                <w:shd w:val="clear" w:color="auto" w:fill="auto"/>
              </w:rPr>
              <w:t>文件要求</w:t>
            </w:r>
          </w:p>
        </w:tc>
        <w:tc>
          <w:tcPr>
            <w:tcW w:w="3044" w:type="dxa"/>
            <w:noWrap w:val="0"/>
            <w:vAlign w:val="center"/>
          </w:tcPr>
          <w:p w14:paraId="1456AC37">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响应</w:t>
            </w:r>
            <w:r>
              <w:rPr>
                <w:rFonts w:hint="eastAsia" w:ascii="宋体" w:hAnsi="宋体" w:eastAsia="宋体" w:cs="宋体"/>
                <w:b/>
                <w:bCs/>
                <w:color w:val="auto"/>
                <w:szCs w:val="21"/>
                <w:highlight w:val="none"/>
                <w:shd w:val="clear" w:color="auto" w:fill="auto"/>
              </w:rPr>
              <w:t>文件要求</w:t>
            </w:r>
          </w:p>
        </w:tc>
        <w:tc>
          <w:tcPr>
            <w:tcW w:w="1159" w:type="dxa"/>
            <w:noWrap w:val="0"/>
            <w:vAlign w:val="center"/>
          </w:tcPr>
          <w:p w14:paraId="2E6A42F1">
            <w:pPr>
              <w:ind w:firstLine="0" w:firstLine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偏差说明</w:t>
            </w:r>
          </w:p>
        </w:tc>
        <w:tc>
          <w:tcPr>
            <w:tcW w:w="1159" w:type="dxa"/>
            <w:noWrap w:val="0"/>
            <w:vAlign w:val="center"/>
          </w:tcPr>
          <w:p w14:paraId="007F04A5">
            <w:pPr>
              <w:ind w:firstLine="0" w:firstLineChars="0"/>
              <w:jc w:val="center"/>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备注</w:t>
            </w:r>
          </w:p>
        </w:tc>
      </w:tr>
      <w:tr w14:paraId="7559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2D4C0DB4">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2751" w:type="dxa"/>
            <w:noWrap w:val="0"/>
            <w:vAlign w:val="top"/>
          </w:tcPr>
          <w:p w14:paraId="64F67993">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0E552E0A">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530204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C62DE7D">
            <w:pPr>
              <w:ind w:firstLine="0" w:firstLineChars="0"/>
              <w:jc w:val="center"/>
              <w:rPr>
                <w:rFonts w:hint="eastAsia" w:ascii="宋体" w:hAnsi="宋体" w:eastAsia="宋体" w:cs="宋体"/>
                <w:color w:val="auto"/>
                <w:szCs w:val="21"/>
                <w:highlight w:val="none"/>
                <w:shd w:val="clear" w:color="auto" w:fill="auto"/>
              </w:rPr>
            </w:pPr>
          </w:p>
        </w:tc>
      </w:tr>
      <w:tr w14:paraId="79B1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18057B80">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2751" w:type="dxa"/>
            <w:noWrap w:val="0"/>
            <w:vAlign w:val="top"/>
          </w:tcPr>
          <w:p w14:paraId="41A7B7C2">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610C117D">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75C56AE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77C91A3">
            <w:pPr>
              <w:ind w:firstLine="0" w:firstLineChars="0"/>
              <w:jc w:val="center"/>
              <w:rPr>
                <w:rFonts w:hint="eastAsia" w:ascii="宋体" w:hAnsi="宋体" w:eastAsia="宋体" w:cs="宋体"/>
                <w:color w:val="auto"/>
                <w:szCs w:val="21"/>
                <w:highlight w:val="none"/>
                <w:shd w:val="clear" w:color="auto" w:fill="auto"/>
              </w:rPr>
            </w:pPr>
          </w:p>
        </w:tc>
      </w:tr>
      <w:tr w14:paraId="20C4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4C07D3C8">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2751" w:type="dxa"/>
            <w:noWrap w:val="0"/>
            <w:vAlign w:val="top"/>
          </w:tcPr>
          <w:p w14:paraId="7F165D36">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18291268">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B4B4156">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2CA5B17">
            <w:pPr>
              <w:ind w:firstLine="0" w:firstLineChars="0"/>
              <w:jc w:val="center"/>
              <w:rPr>
                <w:rFonts w:hint="eastAsia" w:ascii="宋体" w:hAnsi="宋体" w:eastAsia="宋体" w:cs="宋体"/>
                <w:color w:val="auto"/>
                <w:szCs w:val="21"/>
                <w:highlight w:val="none"/>
                <w:shd w:val="clear" w:color="auto" w:fill="auto"/>
              </w:rPr>
            </w:pPr>
          </w:p>
        </w:tc>
      </w:tr>
      <w:tr w14:paraId="0C0D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3AFAF43F">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w:t>
            </w:r>
          </w:p>
        </w:tc>
        <w:tc>
          <w:tcPr>
            <w:tcW w:w="2751" w:type="dxa"/>
            <w:noWrap w:val="0"/>
            <w:vAlign w:val="top"/>
          </w:tcPr>
          <w:p w14:paraId="21691CC1">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728297C2">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3B7D1265">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86E0859">
            <w:pPr>
              <w:ind w:firstLine="0" w:firstLineChars="0"/>
              <w:jc w:val="center"/>
              <w:rPr>
                <w:rFonts w:hint="eastAsia" w:ascii="宋体" w:hAnsi="宋体" w:eastAsia="宋体" w:cs="宋体"/>
                <w:color w:val="auto"/>
                <w:szCs w:val="21"/>
                <w:highlight w:val="none"/>
                <w:shd w:val="clear" w:color="auto" w:fill="auto"/>
              </w:rPr>
            </w:pPr>
          </w:p>
        </w:tc>
      </w:tr>
      <w:tr w14:paraId="3C7F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17FD80C3">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2751" w:type="dxa"/>
            <w:noWrap w:val="0"/>
            <w:vAlign w:val="top"/>
          </w:tcPr>
          <w:p w14:paraId="6524DA8E">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38F4E9B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6D0B670">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F9588E1">
            <w:pPr>
              <w:ind w:firstLine="0" w:firstLineChars="0"/>
              <w:jc w:val="center"/>
              <w:rPr>
                <w:rFonts w:hint="eastAsia" w:ascii="宋体" w:hAnsi="宋体" w:eastAsia="宋体" w:cs="宋体"/>
                <w:color w:val="auto"/>
                <w:szCs w:val="21"/>
                <w:highlight w:val="none"/>
                <w:shd w:val="clear" w:color="auto" w:fill="auto"/>
              </w:rPr>
            </w:pPr>
          </w:p>
        </w:tc>
      </w:tr>
      <w:tr w14:paraId="214E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5CCBB9A7">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2751" w:type="dxa"/>
            <w:noWrap w:val="0"/>
            <w:vAlign w:val="top"/>
          </w:tcPr>
          <w:p w14:paraId="1950DEF5">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17508577">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550E2123">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D88278B">
            <w:pPr>
              <w:ind w:firstLine="0" w:firstLineChars="0"/>
              <w:jc w:val="center"/>
              <w:rPr>
                <w:rFonts w:hint="eastAsia" w:ascii="宋体" w:hAnsi="宋体" w:eastAsia="宋体" w:cs="宋体"/>
                <w:color w:val="auto"/>
                <w:szCs w:val="21"/>
                <w:highlight w:val="none"/>
                <w:shd w:val="clear" w:color="auto" w:fill="auto"/>
              </w:rPr>
            </w:pPr>
          </w:p>
        </w:tc>
      </w:tr>
      <w:tr w14:paraId="413F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jc w:val="center"/>
        </w:trPr>
        <w:tc>
          <w:tcPr>
            <w:tcW w:w="946" w:type="dxa"/>
            <w:noWrap w:val="0"/>
            <w:vAlign w:val="center"/>
          </w:tcPr>
          <w:p w14:paraId="1A3D859D">
            <w:pPr>
              <w:ind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p>
        </w:tc>
        <w:tc>
          <w:tcPr>
            <w:tcW w:w="2751" w:type="dxa"/>
            <w:noWrap w:val="0"/>
            <w:vAlign w:val="top"/>
          </w:tcPr>
          <w:p w14:paraId="6FC0AC92">
            <w:pPr>
              <w:ind w:firstLine="0" w:firstLineChars="0"/>
              <w:jc w:val="center"/>
              <w:rPr>
                <w:rFonts w:hint="eastAsia" w:ascii="宋体" w:hAnsi="宋体" w:eastAsia="宋体" w:cs="宋体"/>
                <w:color w:val="auto"/>
                <w:szCs w:val="21"/>
                <w:highlight w:val="none"/>
                <w:shd w:val="clear" w:color="auto" w:fill="auto"/>
              </w:rPr>
            </w:pPr>
          </w:p>
        </w:tc>
        <w:tc>
          <w:tcPr>
            <w:tcW w:w="3044" w:type="dxa"/>
            <w:noWrap w:val="0"/>
            <w:vAlign w:val="top"/>
          </w:tcPr>
          <w:p w14:paraId="08821D8E">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44E01256">
            <w:pPr>
              <w:ind w:firstLine="0" w:firstLineChars="0"/>
              <w:jc w:val="center"/>
              <w:rPr>
                <w:rFonts w:hint="eastAsia" w:ascii="宋体" w:hAnsi="宋体" w:eastAsia="宋体" w:cs="宋体"/>
                <w:color w:val="auto"/>
                <w:szCs w:val="21"/>
                <w:highlight w:val="none"/>
                <w:shd w:val="clear" w:color="auto" w:fill="auto"/>
              </w:rPr>
            </w:pPr>
          </w:p>
        </w:tc>
        <w:tc>
          <w:tcPr>
            <w:tcW w:w="1159" w:type="dxa"/>
            <w:noWrap w:val="0"/>
            <w:vAlign w:val="top"/>
          </w:tcPr>
          <w:p w14:paraId="610BCDC0">
            <w:pPr>
              <w:ind w:firstLine="0" w:firstLineChars="0"/>
              <w:jc w:val="center"/>
              <w:rPr>
                <w:rFonts w:hint="eastAsia" w:ascii="宋体" w:hAnsi="宋体" w:eastAsia="宋体" w:cs="宋体"/>
                <w:color w:val="auto"/>
                <w:szCs w:val="21"/>
                <w:highlight w:val="none"/>
                <w:shd w:val="clear" w:color="auto" w:fill="auto"/>
              </w:rPr>
            </w:pPr>
          </w:p>
        </w:tc>
      </w:tr>
    </w:tbl>
    <w:p w14:paraId="7D26402E">
      <w:pPr>
        <w:widowControl/>
        <w:snapToGrid w:val="0"/>
        <w:spacing w:line="360" w:lineRule="auto"/>
        <w:ind w:firstLine="420"/>
        <w:rPr>
          <w:rFonts w:hint="eastAsia" w:ascii="宋体" w:hAnsi="宋体" w:eastAsia="宋体" w:cs="宋体"/>
          <w:color w:val="auto"/>
          <w:sz w:val="24"/>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bCs/>
          <w:color w:val="auto"/>
          <w:szCs w:val="21"/>
          <w:highlight w:val="none"/>
          <w:shd w:val="clear" w:color="auto" w:fill="auto"/>
        </w:rPr>
        <w:t>供应商</w:t>
      </w:r>
      <w:r>
        <w:rPr>
          <w:rFonts w:hint="eastAsia" w:ascii="宋体" w:hAnsi="宋体" w:eastAsia="宋体" w:cs="宋体"/>
          <w:color w:val="auto"/>
          <w:szCs w:val="21"/>
          <w:highlight w:val="none"/>
          <w:shd w:val="clear" w:color="auto" w:fill="auto"/>
        </w:rPr>
        <w:t>可根据本</w:t>
      </w:r>
      <w:r>
        <w:rPr>
          <w:rFonts w:hint="eastAsia" w:ascii="宋体" w:hAnsi="宋体" w:eastAsia="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rPr>
        <w:t>文件中商务要求编制此表，在此表中客观真实的做出响应及</w:t>
      </w:r>
      <w:r>
        <w:rPr>
          <w:rFonts w:hint="eastAsia" w:ascii="宋体" w:hAnsi="宋体" w:eastAsia="宋体" w:cs="宋体"/>
          <w:b/>
          <w:bCs/>
          <w:color w:val="auto"/>
          <w:szCs w:val="21"/>
          <w:highlight w:val="none"/>
          <w:shd w:val="clear" w:color="auto" w:fill="auto"/>
          <w:lang w:val="en-US" w:eastAsia="zh-CN"/>
        </w:rPr>
        <w:t>偏差说明</w:t>
      </w:r>
      <w:r>
        <w:rPr>
          <w:rFonts w:hint="eastAsia" w:ascii="宋体" w:hAnsi="宋体" w:eastAsia="宋体" w:cs="宋体"/>
          <w:color w:val="auto"/>
          <w:szCs w:val="21"/>
          <w:highlight w:val="none"/>
          <w:shd w:val="clear" w:color="auto" w:fill="auto"/>
        </w:rPr>
        <w:t>，并根据情况在偏离情况中填写“无偏离”“负偏离”“正偏离”。</w:t>
      </w:r>
    </w:p>
    <w:p w14:paraId="1B454A15">
      <w:pPr>
        <w:pStyle w:val="9"/>
        <w:spacing w:before="1"/>
        <w:ind w:firstLine="80"/>
        <w:rPr>
          <w:rFonts w:hint="eastAsia" w:ascii="宋体" w:hAnsi="宋体" w:eastAsia="宋体" w:cs="宋体"/>
          <w:b/>
          <w:color w:val="auto"/>
          <w:sz w:val="4"/>
          <w:highlight w:val="none"/>
          <w:shd w:val="clear" w:color="auto" w:fill="auto"/>
        </w:rPr>
      </w:pPr>
    </w:p>
    <w:p w14:paraId="52FCE4A2">
      <w:pPr>
        <w:pStyle w:val="23"/>
        <w:ind w:firstLine="403" w:firstLineChars="192"/>
        <w:jc w:val="center"/>
        <w:rPr>
          <w:rFonts w:hint="eastAsia" w:ascii="宋体" w:hAnsi="宋体" w:eastAsia="宋体" w:cs="宋体"/>
          <w:color w:val="auto"/>
          <w:szCs w:val="21"/>
          <w:highlight w:val="none"/>
          <w:shd w:val="clear" w:color="auto" w:fill="auto"/>
        </w:rPr>
      </w:pPr>
    </w:p>
    <w:p w14:paraId="6C380415">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法定代表人或授权委托人 （签字或盖章）</w:t>
      </w:r>
    </w:p>
    <w:p w14:paraId="26104160">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供应商：（盖单位章）</w:t>
      </w:r>
    </w:p>
    <w:p w14:paraId="608515A4">
      <w:pPr>
        <w:spacing w:line="360" w:lineRule="auto"/>
        <w:ind w:firstLine="422"/>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日   期：  年  月  日</w:t>
      </w:r>
    </w:p>
    <w:p w14:paraId="0235C792">
      <w:pPr>
        <w:spacing w:line="360" w:lineRule="exact"/>
        <w:ind w:left="10" w:hanging="10" w:firstLineChars="0"/>
        <w:jc w:val="center"/>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Cs w:val="21"/>
          <w:highlight w:val="none"/>
          <w:shd w:val="clear" w:color="auto" w:fill="auto"/>
        </w:rPr>
        <w:br w:type="page"/>
      </w:r>
      <w:bookmarkStart w:id="949" w:name="_Toc7753"/>
      <w:bookmarkStart w:id="950" w:name="_Toc17182"/>
      <w:bookmarkStart w:id="951" w:name="_Toc5876"/>
      <w:bookmarkStart w:id="952" w:name="_Toc10955"/>
      <w:r>
        <w:rPr>
          <w:rFonts w:hint="eastAsia" w:ascii="宋体" w:hAnsi="宋体" w:eastAsia="宋体" w:cs="宋体"/>
          <w:b/>
          <w:color w:val="auto"/>
          <w:sz w:val="24"/>
          <w:szCs w:val="24"/>
          <w:highlight w:val="none"/>
          <w:shd w:val="clear" w:color="auto" w:fill="auto"/>
        </w:rPr>
        <w:t>（二）技术偏差表</w:t>
      </w:r>
      <w:bookmarkEnd w:id="949"/>
      <w:bookmarkEnd w:id="950"/>
      <w:bookmarkEnd w:id="951"/>
      <w:bookmarkEnd w:id="952"/>
    </w:p>
    <w:p w14:paraId="42B0DBC2">
      <w:pPr>
        <w:tabs>
          <w:tab w:val="left" w:pos="926"/>
          <w:tab w:val="left" w:pos="4335"/>
          <w:tab w:val="left" w:pos="7227"/>
        </w:tabs>
        <w:spacing w:line="400" w:lineRule="exact"/>
        <w:ind w:firstLine="420"/>
        <w:jc w:val="left"/>
        <w:rPr>
          <w:rFonts w:hint="eastAsia" w:ascii="宋体" w:hAnsi="宋体" w:eastAsia="宋体" w:cs="宋体"/>
          <w:color w:val="auto"/>
          <w:szCs w:val="21"/>
          <w:highlight w:val="none"/>
          <w:shd w:val="clear" w:color="auto" w:fill="auto"/>
        </w:rPr>
      </w:pPr>
    </w:p>
    <w:p w14:paraId="6EA1A181">
      <w:pPr>
        <w:tabs>
          <w:tab w:val="left" w:pos="926"/>
          <w:tab w:val="left" w:pos="4335"/>
          <w:tab w:val="left" w:pos="6390"/>
        </w:tabs>
        <w:spacing w:line="400" w:lineRule="exact"/>
        <w:ind w:firstLine="420"/>
        <w:jc w:val="left"/>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 xml:space="preserve"> </w:t>
      </w:r>
    </w:p>
    <w:tbl>
      <w:tblPr>
        <w:tblStyle w:val="25"/>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974"/>
        <w:gridCol w:w="1973"/>
        <w:gridCol w:w="1930"/>
        <w:gridCol w:w="1247"/>
        <w:gridCol w:w="901"/>
        <w:gridCol w:w="890"/>
      </w:tblGrid>
      <w:tr w14:paraId="635E4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90" w:type="dxa"/>
            <w:vMerge w:val="restart"/>
            <w:tcBorders>
              <w:top w:val="single" w:color="auto" w:sz="4" w:space="0"/>
              <w:left w:val="single" w:color="auto" w:sz="4" w:space="0"/>
              <w:right w:val="single" w:color="auto" w:sz="4" w:space="0"/>
            </w:tcBorders>
            <w:noWrap w:val="0"/>
            <w:vAlign w:val="center"/>
          </w:tcPr>
          <w:p w14:paraId="5B261B80">
            <w:pPr>
              <w:ind w:firstLine="0" w:firstLineChars="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974" w:type="dxa"/>
            <w:vMerge w:val="restart"/>
            <w:tcBorders>
              <w:top w:val="single" w:color="auto" w:sz="4" w:space="0"/>
              <w:left w:val="single" w:color="auto" w:sz="4" w:space="0"/>
              <w:right w:val="single" w:color="auto" w:sz="4" w:space="0"/>
            </w:tcBorders>
            <w:noWrap w:val="0"/>
            <w:vAlign w:val="center"/>
          </w:tcPr>
          <w:p w14:paraId="31654FF5">
            <w:pPr>
              <w:ind w:firstLine="482"/>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6040FB89">
            <w:pPr>
              <w:ind w:firstLine="482"/>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采购</w:t>
            </w:r>
            <w:r>
              <w:rPr>
                <w:rFonts w:hint="eastAsia" w:ascii="宋体" w:hAnsi="宋体" w:eastAsia="宋体" w:cs="宋体"/>
                <w:b/>
                <w:color w:val="auto"/>
                <w:sz w:val="24"/>
                <w:highlight w:val="none"/>
                <w:shd w:val="clear" w:color="auto" w:fill="auto"/>
                <w:lang w:val="en-US" w:eastAsia="zh-CN"/>
              </w:rPr>
              <w:t>内容及</w:t>
            </w:r>
            <w:r>
              <w:rPr>
                <w:rFonts w:hint="eastAsia" w:ascii="宋体" w:hAnsi="宋体" w:eastAsia="宋体" w:cs="宋体"/>
                <w:b/>
                <w:color w:val="auto"/>
                <w:sz w:val="24"/>
                <w:highlight w:val="none"/>
                <w:shd w:val="clear" w:color="auto" w:fill="auto"/>
              </w:rPr>
              <w:t>要求</w:t>
            </w:r>
          </w:p>
        </w:tc>
        <w:tc>
          <w:tcPr>
            <w:tcW w:w="1247" w:type="dxa"/>
            <w:vMerge w:val="restart"/>
            <w:tcBorders>
              <w:top w:val="single" w:color="auto" w:sz="4" w:space="0"/>
              <w:left w:val="single" w:color="auto" w:sz="4" w:space="0"/>
              <w:right w:val="single" w:color="auto" w:sz="4" w:space="0"/>
            </w:tcBorders>
            <w:noWrap w:val="0"/>
            <w:vAlign w:val="center"/>
          </w:tcPr>
          <w:p w14:paraId="783643D1">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偏离描述</w:t>
            </w:r>
          </w:p>
        </w:tc>
        <w:tc>
          <w:tcPr>
            <w:tcW w:w="901" w:type="dxa"/>
            <w:vMerge w:val="restart"/>
            <w:tcBorders>
              <w:top w:val="single" w:color="auto" w:sz="4" w:space="0"/>
              <w:left w:val="single" w:color="auto" w:sz="4" w:space="0"/>
              <w:right w:val="single" w:color="auto" w:sz="4" w:space="0"/>
            </w:tcBorders>
            <w:noWrap w:val="0"/>
            <w:vAlign w:val="center"/>
          </w:tcPr>
          <w:p w14:paraId="2A91F5DF">
            <w:pPr>
              <w:ind w:firstLine="0" w:firstLineChars="0"/>
              <w:rPr>
                <w:rFonts w:hint="eastAsia" w:ascii="宋体" w:hAnsi="宋体" w:eastAsia="宋体" w:cs="宋体"/>
                <w:b/>
                <w:color w:val="auto"/>
                <w:sz w:val="24"/>
                <w:highlight w:val="none"/>
                <w:shd w:val="clear" w:color="auto" w:fill="auto"/>
                <w:lang w:val="en-US" w:eastAsia="zh-CN"/>
              </w:rPr>
            </w:pPr>
            <w:r>
              <w:rPr>
                <w:rFonts w:hint="eastAsia" w:ascii="宋体" w:hAnsi="宋体" w:eastAsia="宋体" w:cs="宋体"/>
                <w:b/>
                <w:color w:val="auto"/>
                <w:sz w:val="24"/>
                <w:highlight w:val="none"/>
                <w:shd w:val="clear" w:color="auto" w:fill="auto"/>
              </w:rPr>
              <w:t>结论</w:t>
            </w:r>
            <w:r>
              <w:rPr>
                <w:rFonts w:hint="eastAsia" w:ascii="宋体" w:hAnsi="宋体" w:eastAsia="宋体" w:cs="宋体"/>
                <w:b/>
                <w:color w:val="auto"/>
                <w:sz w:val="24"/>
                <w:highlight w:val="none"/>
                <w:shd w:val="clear" w:color="auto" w:fill="auto"/>
                <w:lang w:val="en-US" w:eastAsia="zh-CN"/>
              </w:rPr>
              <w:t>说 明</w:t>
            </w:r>
          </w:p>
        </w:tc>
        <w:tc>
          <w:tcPr>
            <w:tcW w:w="890" w:type="dxa"/>
            <w:vMerge w:val="restart"/>
            <w:tcBorders>
              <w:top w:val="single" w:color="auto" w:sz="4" w:space="0"/>
              <w:left w:val="single" w:color="auto" w:sz="4" w:space="0"/>
              <w:right w:val="single" w:color="auto" w:sz="4" w:space="0"/>
            </w:tcBorders>
            <w:noWrap w:val="0"/>
            <w:vAlign w:val="center"/>
          </w:tcPr>
          <w:p w14:paraId="7B531490">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tc>
      </w:tr>
      <w:tr w14:paraId="2217C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90" w:type="dxa"/>
            <w:vMerge w:val="continue"/>
            <w:tcBorders>
              <w:left w:val="single" w:color="auto" w:sz="4" w:space="0"/>
              <w:bottom w:val="single" w:color="auto" w:sz="4" w:space="0"/>
              <w:right w:val="single" w:color="auto" w:sz="4" w:space="0"/>
            </w:tcBorders>
            <w:noWrap w:val="0"/>
            <w:vAlign w:val="center"/>
          </w:tcPr>
          <w:p w14:paraId="150CF7B6">
            <w:pPr>
              <w:ind w:firstLine="480"/>
              <w:jc w:val="center"/>
              <w:rPr>
                <w:rFonts w:hint="eastAsia" w:ascii="宋体" w:hAnsi="宋体" w:eastAsia="宋体" w:cs="宋体"/>
                <w:color w:val="auto"/>
                <w:sz w:val="24"/>
                <w:highlight w:val="none"/>
                <w:shd w:val="clear" w:color="auto" w:fill="auto"/>
              </w:rPr>
            </w:pPr>
          </w:p>
        </w:tc>
        <w:tc>
          <w:tcPr>
            <w:tcW w:w="1974" w:type="dxa"/>
            <w:vMerge w:val="continue"/>
            <w:tcBorders>
              <w:left w:val="single" w:color="auto" w:sz="4" w:space="0"/>
              <w:bottom w:val="single" w:color="auto" w:sz="4" w:space="0"/>
              <w:right w:val="single" w:color="auto" w:sz="4" w:space="0"/>
            </w:tcBorders>
            <w:noWrap w:val="0"/>
            <w:vAlign w:val="center"/>
          </w:tcPr>
          <w:p w14:paraId="0175D192">
            <w:pPr>
              <w:ind w:firstLine="480"/>
              <w:jc w:val="center"/>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D97E0AC">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磋商</w:t>
            </w:r>
            <w:r>
              <w:rPr>
                <w:rFonts w:hint="eastAsia" w:ascii="宋体" w:hAnsi="宋体" w:eastAsia="宋体" w:cs="宋体"/>
                <w:b/>
                <w:color w:val="auto"/>
                <w:sz w:val="24"/>
                <w:highlight w:val="none"/>
                <w:shd w:val="clear" w:color="auto" w:fill="auto"/>
              </w:rPr>
              <w:t>文件要求</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3236DF5">
            <w:pPr>
              <w:ind w:firstLine="0" w:firstLineChars="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响应</w:t>
            </w:r>
            <w:r>
              <w:rPr>
                <w:rFonts w:hint="eastAsia" w:ascii="宋体" w:hAnsi="宋体" w:eastAsia="宋体" w:cs="宋体"/>
                <w:b/>
                <w:color w:val="auto"/>
                <w:sz w:val="24"/>
                <w:highlight w:val="none"/>
                <w:shd w:val="clear" w:color="auto" w:fill="auto"/>
              </w:rPr>
              <w:t>文件指标</w:t>
            </w:r>
          </w:p>
        </w:tc>
        <w:tc>
          <w:tcPr>
            <w:tcW w:w="1247" w:type="dxa"/>
            <w:vMerge w:val="continue"/>
            <w:tcBorders>
              <w:left w:val="single" w:color="auto" w:sz="4" w:space="0"/>
              <w:bottom w:val="single" w:color="auto" w:sz="4" w:space="0"/>
              <w:right w:val="single" w:color="auto" w:sz="4" w:space="0"/>
            </w:tcBorders>
            <w:noWrap w:val="0"/>
            <w:vAlign w:val="center"/>
          </w:tcPr>
          <w:p w14:paraId="40A950F9">
            <w:pPr>
              <w:ind w:firstLine="480"/>
              <w:jc w:val="center"/>
              <w:rPr>
                <w:rFonts w:hint="eastAsia" w:ascii="宋体" w:hAnsi="宋体" w:eastAsia="宋体" w:cs="宋体"/>
                <w:color w:val="auto"/>
                <w:sz w:val="24"/>
                <w:highlight w:val="none"/>
                <w:shd w:val="clear" w:color="auto" w:fill="auto"/>
              </w:rPr>
            </w:pPr>
          </w:p>
        </w:tc>
        <w:tc>
          <w:tcPr>
            <w:tcW w:w="901" w:type="dxa"/>
            <w:vMerge w:val="continue"/>
            <w:tcBorders>
              <w:left w:val="single" w:color="auto" w:sz="4" w:space="0"/>
              <w:bottom w:val="single" w:color="auto" w:sz="4" w:space="0"/>
              <w:right w:val="single" w:color="auto" w:sz="4" w:space="0"/>
            </w:tcBorders>
            <w:noWrap w:val="0"/>
            <w:vAlign w:val="center"/>
          </w:tcPr>
          <w:p w14:paraId="756E0014">
            <w:pPr>
              <w:ind w:firstLine="480"/>
              <w:jc w:val="center"/>
              <w:rPr>
                <w:rFonts w:hint="eastAsia" w:ascii="宋体" w:hAnsi="宋体" w:eastAsia="宋体" w:cs="宋体"/>
                <w:color w:val="auto"/>
                <w:sz w:val="24"/>
                <w:highlight w:val="none"/>
                <w:shd w:val="clear" w:color="auto" w:fill="auto"/>
              </w:rPr>
            </w:pPr>
          </w:p>
        </w:tc>
        <w:tc>
          <w:tcPr>
            <w:tcW w:w="890" w:type="dxa"/>
            <w:vMerge w:val="continue"/>
            <w:tcBorders>
              <w:left w:val="single" w:color="auto" w:sz="4" w:space="0"/>
              <w:bottom w:val="single" w:color="auto" w:sz="4" w:space="0"/>
              <w:right w:val="single" w:color="auto" w:sz="4" w:space="0"/>
            </w:tcBorders>
            <w:noWrap w:val="0"/>
            <w:vAlign w:val="center"/>
          </w:tcPr>
          <w:p w14:paraId="2BC7AA62">
            <w:pPr>
              <w:ind w:firstLine="480"/>
              <w:jc w:val="center"/>
              <w:rPr>
                <w:rFonts w:hint="eastAsia" w:ascii="宋体" w:hAnsi="宋体" w:eastAsia="宋体" w:cs="宋体"/>
                <w:color w:val="auto"/>
                <w:sz w:val="24"/>
                <w:highlight w:val="none"/>
                <w:shd w:val="clear" w:color="auto" w:fill="auto"/>
              </w:rPr>
            </w:pPr>
          </w:p>
        </w:tc>
      </w:tr>
      <w:tr w14:paraId="2D310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C1DBBAB">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0FE3035">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CBDC7D2">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948EE71">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7F7DF2D">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39AC2592">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79030F61">
            <w:pPr>
              <w:ind w:firstLine="480"/>
              <w:rPr>
                <w:rFonts w:hint="eastAsia" w:ascii="宋体" w:hAnsi="宋体" w:eastAsia="宋体" w:cs="宋体"/>
                <w:color w:val="auto"/>
                <w:sz w:val="24"/>
                <w:highlight w:val="none"/>
                <w:shd w:val="clear" w:color="auto" w:fill="auto"/>
              </w:rPr>
            </w:pPr>
          </w:p>
        </w:tc>
      </w:tr>
      <w:tr w14:paraId="376CC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A2CF288">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A1BCA2">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413B07DE">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CF8678E">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6E00F31">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0992A9A8">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012A03F">
            <w:pPr>
              <w:ind w:firstLine="480"/>
              <w:rPr>
                <w:rFonts w:hint="eastAsia" w:ascii="宋体" w:hAnsi="宋体" w:eastAsia="宋体" w:cs="宋体"/>
                <w:color w:val="auto"/>
                <w:sz w:val="24"/>
                <w:highlight w:val="none"/>
                <w:shd w:val="clear" w:color="auto" w:fill="auto"/>
              </w:rPr>
            </w:pPr>
          </w:p>
        </w:tc>
      </w:tr>
      <w:tr w14:paraId="26CD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068656A4">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DF8BDB3">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BAF0495">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6A5C18ED">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069F4B9">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05D6EFC">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DAC1BA1">
            <w:pPr>
              <w:ind w:firstLine="480"/>
              <w:rPr>
                <w:rFonts w:hint="eastAsia" w:ascii="宋体" w:hAnsi="宋体" w:eastAsia="宋体" w:cs="宋体"/>
                <w:color w:val="auto"/>
                <w:sz w:val="24"/>
                <w:highlight w:val="none"/>
                <w:shd w:val="clear" w:color="auto" w:fill="auto"/>
              </w:rPr>
            </w:pPr>
          </w:p>
        </w:tc>
      </w:tr>
      <w:tr w14:paraId="725AF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6B4EBD78">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430BF4">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0C1945C2">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600CB92">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BF5FFED">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2CC25593">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D580D7A">
            <w:pPr>
              <w:ind w:firstLine="480"/>
              <w:rPr>
                <w:rFonts w:hint="eastAsia" w:ascii="宋体" w:hAnsi="宋体" w:eastAsia="宋体" w:cs="宋体"/>
                <w:color w:val="auto"/>
                <w:sz w:val="24"/>
                <w:highlight w:val="none"/>
                <w:shd w:val="clear" w:color="auto" w:fill="auto"/>
              </w:rPr>
            </w:pPr>
          </w:p>
        </w:tc>
      </w:tr>
      <w:tr w14:paraId="626E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392FE46E">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73B6705">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2F2B6547">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6812AE4">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2B47204">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39C8DE88">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35CBB295">
            <w:pPr>
              <w:ind w:firstLine="480"/>
              <w:rPr>
                <w:rFonts w:hint="eastAsia" w:ascii="宋体" w:hAnsi="宋体" w:eastAsia="宋体" w:cs="宋体"/>
                <w:color w:val="auto"/>
                <w:sz w:val="24"/>
                <w:highlight w:val="none"/>
                <w:shd w:val="clear" w:color="auto" w:fill="auto"/>
              </w:rPr>
            </w:pPr>
          </w:p>
        </w:tc>
      </w:tr>
      <w:tr w14:paraId="3378D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6924936C">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E67FC6">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3BCECEF3">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A66A4E3">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0E46EB1">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E0888CD">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092EF97">
            <w:pPr>
              <w:ind w:firstLine="480"/>
              <w:rPr>
                <w:rFonts w:hint="eastAsia" w:ascii="宋体" w:hAnsi="宋体" w:eastAsia="宋体" w:cs="宋体"/>
                <w:color w:val="auto"/>
                <w:sz w:val="24"/>
                <w:highlight w:val="none"/>
                <w:shd w:val="clear" w:color="auto" w:fill="auto"/>
              </w:rPr>
            </w:pPr>
          </w:p>
        </w:tc>
      </w:tr>
      <w:tr w14:paraId="27A17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5AEDB412">
            <w:pPr>
              <w:ind w:firstLine="480"/>
              <w:rPr>
                <w:rFonts w:hint="eastAsia" w:ascii="宋体" w:hAnsi="宋体" w:eastAsia="宋体" w:cs="宋体"/>
                <w:color w:val="auto"/>
                <w:sz w:val="24"/>
                <w:highlight w:val="none"/>
                <w:shd w:val="clear" w:color="auto" w:fill="auto"/>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95ADAB6">
            <w:pPr>
              <w:ind w:firstLine="480"/>
              <w:rPr>
                <w:rFonts w:hint="eastAsia" w:ascii="宋体" w:hAnsi="宋体" w:eastAsia="宋体" w:cs="宋体"/>
                <w:color w:val="auto"/>
                <w:sz w:val="24"/>
                <w:highlight w:val="none"/>
                <w:shd w:val="clear" w:color="auto" w:fill="auto"/>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0FD0C6C">
            <w:pPr>
              <w:ind w:firstLine="480"/>
              <w:rPr>
                <w:rFonts w:hint="eastAsia" w:ascii="宋体" w:hAnsi="宋体" w:eastAsia="宋体" w:cs="宋体"/>
                <w:color w:val="auto"/>
                <w:sz w:val="24"/>
                <w:highlight w:val="none"/>
                <w:shd w:val="clear" w:color="auto" w:fill="auto"/>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609E77F">
            <w:pPr>
              <w:ind w:firstLine="480"/>
              <w:rPr>
                <w:rFonts w:hint="eastAsia" w:ascii="宋体" w:hAnsi="宋体" w:eastAsia="宋体" w:cs="宋体"/>
                <w:color w:val="auto"/>
                <w:sz w:val="24"/>
                <w:highlight w:val="none"/>
                <w:shd w:val="clear" w:color="auto" w:fill="auto"/>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68014E37">
            <w:pPr>
              <w:ind w:firstLine="480"/>
              <w:rPr>
                <w:rFonts w:hint="eastAsia" w:ascii="宋体" w:hAnsi="宋体" w:eastAsia="宋体" w:cs="宋体"/>
                <w:color w:val="auto"/>
                <w:sz w:val="24"/>
                <w:highlight w:val="none"/>
                <w:shd w:val="clear" w:color="auto" w:fill="auto"/>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410EEC81">
            <w:pPr>
              <w:ind w:firstLine="480"/>
              <w:rPr>
                <w:rFonts w:hint="eastAsia" w:ascii="宋体" w:hAnsi="宋体" w:eastAsia="宋体" w:cs="宋体"/>
                <w:color w:val="auto"/>
                <w:sz w:val="24"/>
                <w:highlight w:val="none"/>
                <w:shd w:val="clear" w:color="auto" w:fill="auto"/>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0D40CF8">
            <w:pPr>
              <w:ind w:firstLine="480"/>
              <w:rPr>
                <w:rFonts w:hint="eastAsia" w:ascii="宋体" w:hAnsi="宋体" w:eastAsia="宋体" w:cs="宋体"/>
                <w:color w:val="auto"/>
                <w:sz w:val="24"/>
                <w:highlight w:val="none"/>
                <w:shd w:val="clear" w:color="auto" w:fill="auto"/>
              </w:rPr>
            </w:pPr>
          </w:p>
        </w:tc>
      </w:tr>
    </w:tbl>
    <w:p w14:paraId="0E6C1FFA">
      <w:pPr>
        <w:tabs>
          <w:tab w:val="left" w:pos="926"/>
          <w:tab w:val="left" w:pos="4335"/>
          <w:tab w:val="left" w:pos="6390"/>
        </w:tabs>
        <w:spacing w:line="400" w:lineRule="exact"/>
        <w:ind w:firstLine="420"/>
        <w:jc w:val="left"/>
        <w:rPr>
          <w:rFonts w:hint="eastAsia" w:ascii="宋体" w:hAnsi="宋体" w:eastAsia="宋体" w:cs="宋体"/>
          <w:color w:val="auto"/>
          <w:szCs w:val="21"/>
          <w:highlight w:val="none"/>
          <w:shd w:val="clear" w:color="auto" w:fill="auto"/>
        </w:rPr>
      </w:pPr>
    </w:p>
    <w:p w14:paraId="7B78062C">
      <w:pPr>
        <w:widowControl/>
        <w:snapToGrid w:val="0"/>
        <w:spacing w:line="360" w:lineRule="auto"/>
        <w:ind w:firstLine="420"/>
        <w:rPr>
          <w:rFonts w:hint="eastAsia" w:ascii="宋体" w:hAnsi="宋体" w:eastAsia="宋体" w:cs="宋体"/>
          <w:color w:val="auto"/>
          <w:sz w:val="24"/>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bCs/>
          <w:color w:val="auto"/>
          <w:szCs w:val="21"/>
          <w:highlight w:val="none"/>
          <w:shd w:val="clear" w:color="auto" w:fill="auto"/>
        </w:rPr>
        <w:t>供应商</w:t>
      </w:r>
      <w:r>
        <w:rPr>
          <w:rFonts w:hint="eastAsia" w:ascii="宋体" w:hAnsi="宋体" w:eastAsia="宋体" w:cs="宋体"/>
          <w:color w:val="auto"/>
          <w:szCs w:val="21"/>
          <w:highlight w:val="none"/>
          <w:shd w:val="clear" w:color="auto" w:fill="auto"/>
        </w:rPr>
        <w:t>可根据本</w:t>
      </w:r>
      <w:r>
        <w:rPr>
          <w:rFonts w:hint="eastAsia" w:ascii="宋体" w:hAnsi="宋体" w:eastAsia="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rPr>
        <w:t>文件中技术要求编制此表，在此表中客观真实的做出响应及</w:t>
      </w:r>
      <w:r>
        <w:rPr>
          <w:rFonts w:hint="eastAsia" w:ascii="宋体" w:hAnsi="宋体" w:eastAsia="宋体" w:cs="宋体"/>
          <w:b/>
          <w:bCs/>
          <w:color w:val="auto"/>
          <w:szCs w:val="21"/>
          <w:highlight w:val="none"/>
          <w:shd w:val="clear" w:color="auto" w:fill="auto"/>
        </w:rPr>
        <w:t>结论</w:t>
      </w:r>
      <w:r>
        <w:rPr>
          <w:rFonts w:hint="eastAsia" w:ascii="宋体" w:hAnsi="宋体" w:eastAsia="宋体" w:cs="宋体"/>
          <w:b/>
          <w:bCs/>
          <w:color w:val="auto"/>
          <w:szCs w:val="21"/>
          <w:highlight w:val="none"/>
          <w:shd w:val="clear" w:color="auto" w:fill="auto"/>
          <w:lang w:val="en-US" w:eastAsia="zh-CN"/>
        </w:rPr>
        <w:t>说明</w:t>
      </w:r>
      <w:r>
        <w:rPr>
          <w:rFonts w:hint="eastAsia" w:ascii="宋体" w:hAnsi="宋体" w:eastAsia="宋体" w:cs="宋体"/>
          <w:color w:val="auto"/>
          <w:szCs w:val="21"/>
          <w:highlight w:val="none"/>
          <w:shd w:val="clear" w:color="auto" w:fill="auto"/>
        </w:rPr>
        <w:t>，并根据情况在偏离情况中填写“无偏离”“负偏离”“正偏离”。</w:t>
      </w:r>
    </w:p>
    <w:p w14:paraId="726332B9">
      <w:pPr>
        <w:spacing w:line="400" w:lineRule="exact"/>
        <w:ind w:firstLine="3900" w:firstLineChars="1850"/>
        <w:jc w:val="right"/>
        <w:rPr>
          <w:rFonts w:hint="eastAsia" w:ascii="宋体" w:hAnsi="宋体" w:eastAsia="宋体" w:cs="宋体"/>
          <w:b/>
          <w:bCs/>
          <w:color w:val="auto"/>
          <w:szCs w:val="21"/>
          <w:highlight w:val="none"/>
          <w:shd w:val="clear" w:color="auto" w:fill="auto"/>
        </w:rPr>
      </w:pPr>
    </w:p>
    <w:p w14:paraId="4495102C">
      <w:pPr>
        <w:spacing w:line="400" w:lineRule="exact"/>
        <w:ind w:firstLine="3900" w:firstLineChars="1850"/>
        <w:jc w:val="right"/>
        <w:rPr>
          <w:rFonts w:hint="eastAsia" w:ascii="宋体" w:hAnsi="宋体" w:eastAsia="宋体" w:cs="宋体"/>
          <w:b/>
          <w:bCs/>
          <w:color w:val="auto"/>
          <w:szCs w:val="21"/>
          <w:highlight w:val="none"/>
          <w:shd w:val="clear" w:color="auto" w:fill="auto"/>
        </w:rPr>
      </w:pPr>
    </w:p>
    <w:p w14:paraId="487CBC12">
      <w:pPr>
        <w:spacing w:line="400" w:lineRule="exact"/>
        <w:ind w:firstLine="3900" w:firstLineChars="1850"/>
        <w:jc w:val="righ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shd w:val="clear" w:color="auto" w:fill="auto"/>
        </w:rPr>
        <w:t>供应商（单位电子签章）：</w:t>
      </w:r>
    </w:p>
    <w:p w14:paraId="7DEF9956">
      <w:pPr>
        <w:tabs>
          <w:tab w:val="left" w:pos="1365"/>
        </w:tabs>
        <w:spacing w:line="360" w:lineRule="auto"/>
        <w:ind w:firstLine="4322" w:firstLineChars="2050"/>
        <w:jc w:val="righ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法定代表人或其委托代理人（签字或盖章）：</w:t>
      </w:r>
    </w:p>
    <w:p w14:paraId="4ACE85EE">
      <w:pPr>
        <w:spacing w:line="312" w:lineRule="auto"/>
        <w:ind w:firstLine="420"/>
        <w:jc w:val="right"/>
        <w:rPr>
          <w:rFonts w:hint="eastAsia" w:ascii="宋体" w:hAnsi="宋体" w:eastAsia="宋体" w:cs="宋体"/>
          <w:b/>
          <w:bCs/>
          <w:color w:val="auto"/>
          <w:szCs w:val="21"/>
          <w:highlight w:val="none"/>
          <w:shd w:val="clear" w:color="auto" w:fill="auto"/>
        </w:rPr>
      </w:pPr>
    </w:p>
    <w:p w14:paraId="0F30A1F4">
      <w:pPr>
        <w:spacing w:line="312" w:lineRule="auto"/>
        <w:ind w:firstLine="420"/>
        <w:jc w:val="right"/>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Cs w:val="21"/>
          <w:highlight w:val="none"/>
          <w:shd w:val="clear" w:color="auto" w:fill="auto"/>
        </w:rPr>
        <w:t>日   期：     年    月    日</w:t>
      </w:r>
    </w:p>
    <w:p w14:paraId="184B34BA">
      <w:pPr>
        <w:keepNext w:val="0"/>
        <w:keepLines w:val="0"/>
        <w:widowControl/>
        <w:suppressLineNumbers w:val="0"/>
        <w:bidi w:val="0"/>
        <w:jc w:val="center"/>
        <w:rPr>
          <w:rFonts w:hint="eastAsia" w:ascii="宋体" w:hAnsi="宋体" w:eastAsia="宋体" w:cs="宋体"/>
          <w:color w:val="auto"/>
          <w:sz w:val="21"/>
          <w:szCs w:val="21"/>
          <w:highlight w:val="none"/>
        </w:rPr>
      </w:pPr>
    </w:p>
    <w:p w14:paraId="0AB6D628">
      <w:pPr>
        <w:ind w:left="0" w:leftChars="0" w:firstLine="0" w:firstLineChars="0"/>
        <w:jc w:val="both"/>
        <w:rPr>
          <w:rFonts w:hint="eastAsia" w:ascii="Times New Roman" w:hAnsi="Times New Roman" w:eastAsia="宋体"/>
          <w:b/>
          <w:bCs/>
          <w:color w:val="auto"/>
          <w:sz w:val="28"/>
          <w:highlight w:val="none"/>
          <w:lang w:eastAsia="zh-CN"/>
        </w:rPr>
      </w:pPr>
      <w:bookmarkStart w:id="953" w:name="_Toc11835"/>
    </w:p>
    <w:p w14:paraId="69875141">
      <w:pPr>
        <w:pStyle w:val="23"/>
        <w:rPr>
          <w:rFonts w:hint="eastAsia" w:ascii="Times New Roman" w:hAnsi="Times New Roman" w:eastAsia="宋体"/>
          <w:b/>
          <w:bCs/>
          <w:color w:val="auto"/>
          <w:sz w:val="28"/>
          <w:highlight w:val="none"/>
          <w:lang w:eastAsia="zh-CN"/>
        </w:rPr>
      </w:pPr>
    </w:p>
    <w:p w14:paraId="66665311">
      <w:pPr>
        <w:pStyle w:val="24"/>
        <w:rPr>
          <w:rFonts w:hint="eastAsia" w:ascii="Times New Roman" w:hAnsi="Times New Roman" w:eastAsia="宋体"/>
          <w:b/>
          <w:bCs/>
          <w:color w:val="auto"/>
          <w:sz w:val="28"/>
          <w:highlight w:val="none"/>
          <w:lang w:eastAsia="zh-CN"/>
        </w:rPr>
      </w:pPr>
    </w:p>
    <w:p w14:paraId="0F204933">
      <w:pPr>
        <w:numPr>
          <w:ilvl w:val="0"/>
          <w:numId w:val="0"/>
        </w:numPr>
        <w:ind w:leftChars="0"/>
        <w:jc w:val="center"/>
        <w:rPr>
          <w:rFonts w:hint="eastAsia" w:ascii="宋体" w:hAnsi="宋体"/>
          <w:b/>
          <w:color w:val="auto"/>
          <w:szCs w:val="21"/>
          <w:highlight w:val="none"/>
        </w:rPr>
      </w:pPr>
      <w:r>
        <w:rPr>
          <w:rFonts w:hint="eastAsia" w:ascii="Times New Roman" w:hAnsi="Times New Roman" w:eastAsia="宋体"/>
          <w:b/>
          <w:bCs/>
          <w:color w:val="auto"/>
          <w:sz w:val="28"/>
          <w:highlight w:val="none"/>
          <w:lang w:eastAsia="zh-CN"/>
        </w:rPr>
        <w:t>七、</w:t>
      </w:r>
      <w:r>
        <w:rPr>
          <w:rFonts w:hint="eastAsia" w:ascii="Times New Roman" w:hAnsi="Times New Roman" w:eastAsia="宋体"/>
          <w:b/>
          <w:bCs/>
          <w:color w:val="auto"/>
          <w:sz w:val="28"/>
          <w:highlight w:val="none"/>
        </w:rPr>
        <w:t>资格</w:t>
      </w:r>
      <w:bookmarkEnd w:id="943"/>
      <w:bookmarkEnd w:id="944"/>
      <w:r>
        <w:rPr>
          <w:rFonts w:hint="eastAsia" w:ascii="Times New Roman" w:hAnsi="Times New Roman" w:eastAsia="宋体"/>
          <w:b/>
          <w:bCs/>
          <w:color w:val="auto"/>
          <w:sz w:val="28"/>
          <w:highlight w:val="none"/>
          <w:lang w:eastAsia="zh-CN"/>
        </w:rPr>
        <w:t>证明材料</w:t>
      </w:r>
      <w:bookmarkEnd w:id="953"/>
      <w:bookmarkStart w:id="954" w:name="_Toc456185719"/>
    </w:p>
    <w:p w14:paraId="409CFD6F">
      <w:pPr>
        <w:numPr>
          <w:ilvl w:val="0"/>
          <w:numId w:val="0"/>
        </w:numPr>
        <w:ind w:leftChars="0"/>
        <w:jc w:val="center"/>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供应商基本情况表</w:t>
      </w:r>
      <w:bookmarkEnd w:id="954"/>
    </w:p>
    <w:p w14:paraId="163313AC">
      <w:pPr>
        <w:bidi w:val="0"/>
        <w:spacing w:line="400" w:lineRule="exact"/>
        <w:rPr>
          <w:rFonts w:hint="eastAsia" w:ascii="宋体" w:hAnsi="宋体" w:eastAsia="宋体" w:cs="宋体"/>
          <w:color w:val="auto"/>
          <w:sz w:val="21"/>
          <w:szCs w:val="21"/>
          <w:highlight w:val="none"/>
        </w:rPr>
      </w:pPr>
    </w:p>
    <w:tbl>
      <w:tblPr>
        <w:tblStyle w:val="2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2"/>
        <w:gridCol w:w="1107"/>
        <w:gridCol w:w="1386"/>
        <w:gridCol w:w="216"/>
        <w:gridCol w:w="1353"/>
        <w:gridCol w:w="279"/>
        <w:gridCol w:w="768"/>
        <w:gridCol w:w="1546"/>
      </w:tblGrid>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2" w:type="dxa"/>
            <w:noWrap w:val="0"/>
            <w:vAlign w:val="center"/>
          </w:tcPr>
          <w:p w14:paraId="2D93F6AA">
            <w:pPr>
              <w:ind w:firstLine="0" w:firstLineChars="0"/>
              <w:rPr>
                <w:rFonts w:hint="eastAsia" w:ascii="宋体" w:hAnsi="宋体" w:cs="宋体"/>
                <w:color w:val="auto"/>
                <w:szCs w:val="21"/>
              </w:rPr>
            </w:pPr>
            <w:r>
              <w:rPr>
                <w:rFonts w:hint="eastAsia" w:ascii="宋体" w:hAnsi="宋体" w:cs="宋体"/>
                <w:color w:val="auto"/>
                <w:szCs w:val="21"/>
              </w:rPr>
              <w:t>供应商名称</w:t>
            </w:r>
          </w:p>
        </w:tc>
        <w:tc>
          <w:tcPr>
            <w:tcW w:w="7627" w:type="dxa"/>
            <w:gridSpan w:val="8"/>
            <w:noWrap w:val="0"/>
            <w:vAlign w:val="center"/>
          </w:tcPr>
          <w:p w14:paraId="15CF9F19">
            <w:pPr>
              <w:ind w:firstLine="420"/>
              <w:jc w:val="center"/>
              <w:rPr>
                <w:rFonts w:hint="eastAsia" w:ascii="宋体" w:hAnsi="宋体" w:cs="宋体"/>
                <w:color w:val="auto"/>
                <w:szCs w:val="21"/>
              </w:rPr>
            </w:pPr>
          </w:p>
        </w:tc>
      </w:tr>
      <w:tr w14:paraId="1A6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13D74289">
            <w:pPr>
              <w:ind w:firstLine="0" w:firstLineChars="0"/>
              <w:rPr>
                <w:rFonts w:hint="eastAsia" w:ascii="宋体" w:hAnsi="宋体" w:cs="宋体"/>
                <w:color w:val="auto"/>
                <w:szCs w:val="21"/>
              </w:rPr>
            </w:pPr>
            <w:r>
              <w:rPr>
                <w:rFonts w:hint="eastAsia" w:ascii="宋体" w:hAnsi="宋体" w:cs="宋体"/>
                <w:color w:val="auto"/>
                <w:szCs w:val="21"/>
              </w:rPr>
              <w:t>注册地址</w:t>
            </w:r>
          </w:p>
        </w:tc>
        <w:tc>
          <w:tcPr>
            <w:tcW w:w="3681" w:type="dxa"/>
            <w:gridSpan w:val="4"/>
            <w:noWrap w:val="0"/>
            <w:vAlign w:val="center"/>
          </w:tcPr>
          <w:p w14:paraId="6115282C">
            <w:pPr>
              <w:ind w:firstLine="420"/>
              <w:jc w:val="center"/>
              <w:rPr>
                <w:rFonts w:hint="eastAsia" w:ascii="宋体" w:hAnsi="宋体" w:cs="宋体"/>
                <w:color w:val="auto"/>
                <w:szCs w:val="21"/>
              </w:rPr>
            </w:pPr>
          </w:p>
        </w:tc>
        <w:tc>
          <w:tcPr>
            <w:tcW w:w="1353" w:type="dxa"/>
            <w:noWrap w:val="0"/>
            <w:vAlign w:val="center"/>
          </w:tcPr>
          <w:p w14:paraId="21E96A1F">
            <w:pPr>
              <w:ind w:firstLine="0" w:firstLineChars="0"/>
              <w:rPr>
                <w:rFonts w:hint="eastAsia" w:ascii="宋体" w:hAnsi="宋体" w:cs="宋体"/>
                <w:color w:val="auto"/>
                <w:szCs w:val="21"/>
              </w:rPr>
            </w:pPr>
            <w:r>
              <w:rPr>
                <w:rFonts w:hint="eastAsia" w:ascii="宋体" w:hAnsi="宋体" w:cs="宋体"/>
                <w:color w:val="auto"/>
                <w:szCs w:val="21"/>
              </w:rPr>
              <w:t>邮政编码</w:t>
            </w:r>
          </w:p>
        </w:tc>
        <w:tc>
          <w:tcPr>
            <w:tcW w:w="2593" w:type="dxa"/>
            <w:gridSpan w:val="3"/>
            <w:noWrap w:val="0"/>
            <w:vAlign w:val="center"/>
          </w:tcPr>
          <w:p w14:paraId="60513B63">
            <w:pPr>
              <w:ind w:firstLine="420"/>
              <w:jc w:val="center"/>
              <w:rPr>
                <w:rFonts w:hint="eastAsia" w:ascii="宋体" w:hAnsi="宋体" w:cs="宋体"/>
                <w:color w:val="auto"/>
                <w:szCs w:val="21"/>
              </w:rPr>
            </w:pPr>
          </w:p>
        </w:tc>
      </w:tr>
      <w:tr w14:paraId="13D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vMerge w:val="restart"/>
            <w:noWrap w:val="0"/>
            <w:vAlign w:val="center"/>
          </w:tcPr>
          <w:p w14:paraId="3EA3EF2C">
            <w:pPr>
              <w:ind w:firstLine="0" w:firstLineChars="0"/>
              <w:rPr>
                <w:rFonts w:hint="eastAsia" w:ascii="宋体" w:hAnsi="宋体" w:cs="宋体"/>
                <w:color w:val="auto"/>
                <w:szCs w:val="21"/>
              </w:rPr>
            </w:pPr>
            <w:r>
              <w:rPr>
                <w:rFonts w:hint="eastAsia" w:ascii="宋体" w:hAnsi="宋体" w:cs="宋体"/>
                <w:color w:val="auto"/>
                <w:szCs w:val="21"/>
              </w:rPr>
              <w:t>联系方式</w:t>
            </w:r>
          </w:p>
        </w:tc>
        <w:tc>
          <w:tcPr>
            <w:tcW w:w="972" w:type="dxa"/>
            <w:noWrap w:val="0"/>
            <w:vAlign w:val="center"/>
          </w:tcPr>
          <w:p w14:paraId="1A9F00B1">
            <w:pPr>
              <w:ind w:firstLine="0" w:firstLineChars="0"/>
              <w:rPr>
                <w:rFonts w:hint="eastAsia" w:ascii="宋体" w:hAnsi="宋体" w:cs="宋体"/>
                <w:color w:val="auto"/>
                <w:szCs w:val="21"/>
              </w:rPr>
            </w:pPr>
            <w:r>
              <w:rPr>
                <w:rFonts w:hint="eastAsia" w:ascii="宋体" w:hAnsi="宋体" w:cs="宋体"/>
                <w:color w:val="auto"/>
                <w:szCs w:val="21"/>
              </w:rPr>
              <w:t>联系人</w:t>
            </w:r>
          </w:p>
        </w:tc>
        <w:tc>
          <w:tcPr>
            <w:tcW w:w="2709" w:type="dxa"/>
            <w:gridSpan w:val="3"/>
            <w:noWrap w:val="0"/>
            <w:vAlign w:val="center"/>
          </w:tcPr>
          <w:p w14:paraId="391E848E">
            <w:pPr>
              <w:ind w:firstLine="420"/>
              <w:jc w:val="center"/>
              <w:rPr>
                <w:rFonts w:hint="eastAsia" w:ascii="宋体" w:hAnsi="宋体" w:cs="宋体"/>
                <w:color w:val="auto"/>
                <w:szCs w:val="21"/>
              </w:rPr>
            </w:pPr>
          </w:p>
        </w:tc>
        <w:tc>
          <w:tcPr>
            <w:tcW w:w="1353" w:type="dxa"/>
            <w:noWrap w:val="0"/>
            <w:vAlign w:val="center"/>
          </w:tcPr>
          <w:p w14:paraId="144B17DC">
            <w:pPr>
              <w:ind w:firstLine="0" w:firstLineChars="0"/>
              <w:rPr>
                <w:rFonts w:hint="eastAsia" w:ascii="宋体" w:hAnsi="宋体" w:cs="宋体"/>
                <w:color w:val="auto"/>
                <w:szCs w:val="21"/>
              </w:rPr>
            </w:pPr>
            <w:r>
              <w:rPr>
                <w:rFonts w:hint="eastAsia" w:ascii="宋体" w:hAnsi="宋体" w:cs="宋体"/>
                <w:color w:val="auto"/>
                <w:szCs w:val="21"/>
              </w:rPr>
              <w:t>电  话</w:t>
            </w:r>
          </w:p>
        </w:tc>
        <w:tc>
          <w:tcPr>
            <w:tcW w:w="2593" w:type="dxa"/>
            <w:gridSpan w:val="3"/>
            <w:noWrap w:val="0"/>
            <w:vAlign w:val="center"/>
          </w:tcPr>
          <w:p w14:paraId="251E93D3">
            <w:pPr>
              <w:ind w:firstLine="420"/>
              <w:jc w:val="center"/>
              <w:rPr>
                <w:rFonts w:hint="eastAsia" w:ascii="宋体" w:hAnsi="宋体" w:cs="宋体"/>
                <w:color w:val="auto"/>
                <w:szCs w:val="21"/>
              </w:rPr>
            </w:pPr>
          </w:p>
        </w:tc>
      </w:tr>
      <w:tr w14:paraId="0EA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vMerge w:val="continue"/>
            <w:noWrap w:val="0"/>
            <w:vAlign w:val="center"/>
          </w:tcPr>
          <w:p w14:paraId="43AD74B8">
            <w:pPr>
              <w:ind w:firstLine="420"/>
              <w:jc w:val="center"/>
              <w:rPr>
                <w:rFonts w:hint="eastAsia" w:ascii="宋体" w:hAnsi="宋体" w:cs="宋体"/>
                <w:color w:val="auto"/>
                <w:szCs w:val="21"/>
              </w:rPr>
            </w:pPr>
          </w:p>
        </w:tc>
        <w:tc>
          <w:tcPr>
            <w:tcW w:w="972" w:type="dxa"/>
            <w:noWrap w:val="0"/>
            <w:vAlign w:val="center"/>
          </w:tcPr>
          <w:p w14:paraId="3768C90D">
            <w:pPr>
              <w:ind w:firstLine="0" w:firstLineChars="0"/>
              <w:rPr>
                <w:rFonts w:hint="eastAsia" w:ascii="宋体" w:hAnsi="宋体" w:cs="宋体"/>
                <w:color w:val="auto"/>
                <w:szCs w:val="21"/>
              </w:rPr>
            </w:pPr>
            <w:r>
              <w:rPr>
                <w:rFonts w:hint="eastAsia" w:ascii="宋体" w:hAnsi="宋体" w:cs="宋体"/>
                <w:color w:val="auto"/>
                <w:szCs w:val="21"/>
              </w:rPr>
              <w:t>传  真</w:t>
            </w:r>
          </w:p>
        </w:tc>
        <w:tc>
          <w:tcPr>
            <w:tcW w:w="2709" w:type="dxa"/>
            <w:gridSpan w:val="3"/>
            <w:noWrap w:val="0"/>
            <w:vAlign w:val="center"/>
          </w:tcPr>
          <w:p w14:paraId="46959951">
            <w:pPr>
              <w:ind w:firstLine="420"/>
              <w:jc w:val="center"/>
              <w:rPr>
                <w:rFonts w:hint="eastAsia" w:ascii="宋体" w:hAnsi="宋体" w:cs="宋体"/>
                <w:color w:val="auto"/>
                <w:szCs w:val="21"/>
              </w:rPr>
            </w:pPr>
          </w:p>
        </w:tc>
        <w:tc>
          <w:tcPr>
            <w:tcW w:w="1353" w:type="dxa"/>
            <w:noWrap w:val="0"/>
            <w:vAlign w:val="center"/>
          </w:tcPr>
          <w:p w14:paraId="35790399">
            <w:pPr>
              <w:ind w:firstLine="0" w:firstLineChars="0"/>
              <w:rPr>
                <w:rFonts w:hint="eastAsia" w:ascii="宋体" w:hAnsi="宋体" w:cs="宋体"/>
                <w:color w:val="auto"/>
                <w:szCs w:val="21"/>
              </w:rPr>
            </w:pPr>
            <w:r>
              <w:rPr>
                <w:rFonts w:hint="eastAsia" w:ascii="宋体" w:hAnsi="宋体" w:cs="宋体"/>
                <w:color w:val="auto"/>
                <w:szCs w:val="21"/>
              </w:rPr>
              <w:t>网  址</w:t>
            </w:r>
          </w:p>
        </w:tc>
        <w:tc>
          <w:tcPr>
            <w:tcW w:w="2593" w:type="dxa"/>
            <w:gridSpan w:val="3"/>
            <w:noWrap w:val="0"/>
            <w:vAlign w:val="center"/>
          </w:tcPr>
          <w:p w14:paraId="0107F6FE">
            <w:pPr>
              <w:ind w:firstLine="420"/>
              <w:jc w:val="center"/>
              <w:rPr>
                <w:rFonts w:hint="eastAsia" w:ascii="宋体" w:hAnsi="宋体" w:cs="宋体"/>
                <w:color w:val="auto"/>
                <w:szCs w:val="21"/>
              </w:rPr>
            </w:pPr>
          </w:p>
        </w:tc>
      </w:tr>
      <w:tr w14:paraId="3192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2" w:type="dxa"/>
            <w:noWrap w:val="0"/>
            <w:vAlign w:val="center"/>
          </w:tcPr>
          <w:p w14:paraId="2DB90823">
            <w:pPr>
              <w:ind w:firstLine="0" w:firstLineChars="0"/>
              <w:rPr>
                <w:rFonts w:hint="eastAsia" w:ascii="宋体" w:hAnsi="宋体" w:cs="宋体"/>
                <w:color w:val="auto"/>
                <w:szCs w:val="21"/>
              </w:rPr>
            </w:pPr>
            <w:r>
              <w:rPr>
                <w:rFonts w:hint="eastAsia" w:ascii="宋体" w:hAnsi="宋体" w:cs="宋体"/>
                <w:color w:val="auto"/>
                <w:szCs w:val="21"/>
              </w:rPr>
              <w:t>组织结构</w:t>
            </w:r>
          </w:p>
        </w:tc>
        <w:tc>
          <w:tcPr>
            <w:tcW w:w="7627" w:type="dxa"/>
            <w:gridSpan w:val="8"/>
            <w:noWrap w:val="0"/>
            <w:vAlign w:val="center"/>
          </w:tcPr>
          <w:p w14:paraId="099AF3C0">
            <w:pPr>
              <w:ind w:firstLine="420"/>
              <w:jc w:val="center"/>
              <w:rPr>
                <w:rFonts w:hint="eastAsia" w:ascii="宋体" w:hAnsi="宋体" w:cs="宋体"/>
                <w:color w:val="auto"/>
                <w:szCs w:val="21"/>
              </w:rPr>
            </w:pPr>
          </w:p>
        </w:tc>
      </w:tr>
      <w:tr w14:paraId="28E0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noWrap w:val="0"/>
            <w:vAlign w:val="center"/>
          </w:tcPr>
          <w:p w14:paraId="46DC44D6">
            <w:pPr>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972" w:type="dxa"/>
            <w:noWrap w:val="0"/>
            <w:vAlign w:val="center"/>
          </w:tcPr>
          <w:p w14:paraId="0612E9BF">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129CBF3B">
            <w:pPr>
              <w:ind w:firstLine="420"/>
              <w:jc w:val="center"/>
              <w:rPr>
                <w:rFonts w:hint="eastAsia" w:ascii="宋体" w:hAnsi="宋体" w:cs="宋体"/>
                <w:color w:val="auto"/>
                <w:szCs w:val="21"/>
              </w:rPr>
            </w:pPr>
          </w:p>
        </w:tc>
        <w:tc>
          <w:tcPr>
            <w:tcW w:w="1386" w:type="dxa"/>
            <w:noWrap w:val="0"/>
            <w:vAlign w:val="center"/>
          </w:tcPr>
          <w:p w14:paraId="74B0F258">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EA724E">
            <w:pPr>
              <w:ind w:firstLine="420"/>
              <w:jc w:val="center"/>
              <w:rPr>
                <w:rFonts w:hint="eastAsia" w:ascii="宋体" w:hAnsi="宋体" w:cs="宋体"/>
                <w:color w:val="auto"/>
                <w:szCs w:val="21"/>
              </w:rPr>
            </w:pPr>
          </w:p>
        </w:tc>
        <w:tc>
          <w:tcPr>
            <w:tcW w:w="768" w:type="dxa"/>
            <w:noWrap w:val="0"/>
            <w:vAlign w:val="center"/>
          </w:tcPr>
          <w:p w14:paraId="4A4FA1A2">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173DFF54">
            <w:pPr>
              <w:ind w:firstLine="420"/>
              <w:jc w:val="center"/>
              <w:rPr>
                <w:rFonts w:hint="eastAsia" w:ascii="宋体" w:hAnsi="宋体" w:cs="宋体"/>
                <w:color w:val="auto"/>
                <w:szCs w:val="21"/>
              </w:rPr>
            </w:pPr>
          </w:p>
        </w:tc>
      </w:tr>
      <w:tr w14:paraId="29F4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00D0C0">
            <w:pPr>
              <w:ind w:firstLine="0" w:firstLineChars="0"/>
              <w:rPr>
                <w:rFonts w:hint="eastAsia" w:ascii="宋体" w:hAnsi="宋体" w:cs="宋体"/>
                <w:color w:val="auto"/>
                <w:szCs w:val="21"/>
              </w:rPr>
            </w:pPr>
            <w:r>
              <w:rPr>
                <w:rFonts w:hint="eastAsia" w:ascii="宋体" w:hAnsi="宋体" w:cs="宋体"/>
                <w:color w:val="auto"/>
                <w:szCs w:val="21"/>
              </w:rPr>
              <w:t>项目负责人</w:t>
            </w:r>
          </w:p>
        </w:tc>
        <w:tc>
          <w:tcPr>
            <w:tcW w:w="972" w:type="dxa"/>
            <w:noWrap w:val="0"/>
            <w:vAlign w:val="center"/>
          </w:tcPr>
          <w:p w14:paraId="26945820">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4019C4DF">
            <w:pPr>
              <w:ind w:firstLine="420"/>
              <w:jc w:val="center"/>
              <w:rPr>
                <w:rFonts w:hint="eastAsia" w:ascii="宋体" w:hAnsi="宋体" w:cs="宋体"/>
                <w:color w:val="auto"/>
                <w:szCs w:val="21"/>
              </w:rPr>
            </w:pPr>
          </w:p>
        </w:tc>
        <w:tc>
          <w:tcPr>
            <w:tcW w:w="1386" w:type="dxa"/>
            <w:noWrap w:val="0"/>
            <w:vAlign w:val="center"/>
          </w:tcPr>
          <w:p w14:paraId="57894C3A">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BF4C8E">
            <w:pPr>
              <w:ind w:firstLine="420"/>
              <w:jc w:val="center"/>
              <w:rPr>
                <w:rFonts w:hint="eastAsia" w:ascii="宋体" w:hAnsi="宋体" w:cs="宋体"/>
                <w:color w:val="auto"/>
                <w:szCs w:val="21"/>
              </w:rPr>
            </w:pPr>
          </w:p>
        </w:tc>
        <w:tc>
          <w:tcPr>
            <w:tcW w:w="768" w:type="dxa"/>
            <w:noWrap w:val="0"/>
            <w:vAlign w:val="center"/>
          </w:tcPr>
          <w:p w14:paraId="44AB891E">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5FEE1423">
            <w:pPr>
              <w:ind w:firstLine="420"/>
              <w:jc w:val="center"/>
              <w:rPr>
                <w:rFonts w:hint="eastAsia" w:ascii="宋体" w:hAnsi="宋体" w:cs="宋体"/>
                <w:color w:val="auto"/>
                <w:szCs w:val="21"/>
              </w:rPr>
            </w:pPr>
          </w:p>
        </w:tc>
      </w:tr>
      <w:tr w14:paraId="1F8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E5985B">
            <w:pPr>
              <w:ind w:firstLine="0" w:firstLineChars="0"/>
              <w:rPr>
                <w:rFonts w:hint="eastAsia" w:ascii="宋体" w:hAnsi="宋体" w:cs="宋体"/>
                <w:color w:val="auto"/>
                <w:szCs w:val="21"/>
              </w:rPr>
            </w:pPr>
            <w:r>
              <w:rPr>
                <w:rFonts w:hint="eastAsia" w:ascii="宋体" w:hAnsi="宋体" w:cs="宋体"/>
                <w:color w:val="auto"/>
                <w:szCs w:val="21"/>
              </w:rPr>
              <w:t>成立时间</w:t>
            </w:r>
          </w:p>
        </w:tc>
        <w:tc>
          <w:tcPr>
            <w:tcW w:w="2079" w:type="dxa"/>
            <w:gridSpan w:val="2"/>
            <w:noWrap w:val="0"/>
            <w:vAlign w:val="center"/>
          </w:tcPr>
          <w:p w14:paraId="6AF16A77">
            <w:pPr>
              <w:ind w:firstLine="420"/>
              <w:jc w:val="center"/>
              <w:rPr>
                <w:rFonts w:hint="eastAsia" w:ascii="宋体" w:hAnsi="宋体" w:cs="宋体"/>
                <w:color w:val="auto"/>
                <w:szCs w:val="21"/>
              </w:rPr>
            </w:pPr>
          </w:p>
        </w:tc>
        <w:tc>
          <w:tcPr>
            <w:tcW w:w="5548" w:type="dxa"/>
            <w:gridSpan w:val="6"/>
            <w:noWrap w:val="0"/>
            <w:vAlign w:val="center"/>
          </w:tcPr>
          <w:p w14:paraId="6FB9C8DB">
            <w:pPr>
              <w:ind w:firstLine="420"/>
              <w:jc w:val="left"/>
              <w:rPr>
                <w:rFonts w:hint="eastAsia" w:ascii="宋体" w:hAnsi="宋体" w:cs="宋体"/>
                <w:color w:val="auto"/>
                <w:szCs w:val="21"/>
              </w:rPr>
            </w:pPr>
            <w:r>
              <w:rPr>
                <w:rFonts w:hint="eastAsia" w:ascii="宋体" w:hAnsi="宋体" w:cs="宋体"/>
                <w:color w:val="auto"/>
                <w:szCs w:val="21"/>
              </w:rPr>
              <w:t>员工总人数：</w:t>
            </w:r>
          </w:p>
        </w:tc>
      </w:tr>
      <w:tr w14:paraId="2439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476BB835">
            <w:pPr>
              <w:ind w:firstLine="0" w:firstLine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开户行名称</w:t>
            </w:r>
          </w:p>
        </w:tc>
        <w:tc>
          <w:tcPr>
            <w:tcW w:w="7627" w:type="dxa"/>
            <w:gridSpan w:val="8"/>
            <w:noWrap w:val="0"/>
            <w:vAlign w:val="center"/>
          </w:tcPr>
          <w:p w14:paraId="74455FB9">
            <w:pPr>
              <w:ind w:firstLine="420"/>
              <w:jc w:val="center"/>
              <w:rPr>
                <w:rFonts w:hint="eastAsia" w:ascii="宋体" w:hAnsi="宋体" w:cs="宋体"/>
                <w:color w:val="auto"/>
                <w:szCs w:val="21"/>
              </w:rPr>
            </w:pPr>
          </w:p>
        </w:tc>
      </w:tr>
      <w:tr w14:paraId="610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73F1B24B">
            <w:pPr>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开户行账号</w:t>
            </w:r>
          </w:p>
        </w:tc>
        <w:tc>
          <w:tcPr>
            <w:tcW w:w="7627" w:type="dxa"/>
            <w:gridSpan w:val="8"/>
            <w:noWrap w:val="0"/>
            <w:vAlign w:val="center"/>
          </w:tcPr>
          <w:p w14:paraId="3974E454">
            <w:pPr>
              <w:ind w:firstLine="420"/>
              <w:jc w:val="center"/>
              <w:rPr>
                <w:rFonts w:hint="eastAsia" w:ascii="宋体" w:hAnsi="宋体" w:cs="宋体"/>
                <w:color w:val="auto"/>
                <w:szCs w:val="21"/>
              </w:rPr>
            </w:pPr>
          </w:p>
        </w:tc>
      </w:tr>
      <w:tr w14:paraId="6A57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612" w:type="dxa"/>
            <w:noWrap w:val="0"/>
            <w:vAlign w:val="center"/>
          </w:tcPr>
          <w:p w14:paraId="21C05984">
            <w:pPr>
              <w:ind w:firstLine="0" w:firstLineChars="0"/>
              <w:rPr>
                <w:rFonts w:hint="eastAsia" w:ascii="宋体" w:hAnsi="宋体" w:cs="宋体"/>
                <w:color w:val="auto"/>
                <w:szCs w:val="21"/>
              </w:rPr>
            </w:pPr>
            <w:r>
              <w:rPr>
                <w:rFonts w:hint="eastAsia" w:ascii="宋体" w:hAnsi="宋体" w:cs="宋体"/>
                <w:color w:val="auto"/>
                <w:szCs w:val="21"/>
              </w:rPr>
              <w:t>经营范围</w:t>
            </w:r>
          </w:p>
        </w:tc>
        <w:tc>
          <w:tcPr>
            <w:tcW w:w="7627" w:type="dxa"/>
            <w:gridSpan w:val="8"/>
            <w:noWrap w:val="0"/>
            <w:vAlign w:val="center"/>
          </w:tcPr>
          <w:p w14:paraId="5F1B6975">
            <w:pPr>
              <w:ind w:firstLine="420"/>
              <w:jc w:val="center"/>
              <w:rPr>
                <w:rFonts w:hint="eastAsia" w:ascii="宋体" w:hAnsi="宋体" w:cs="宋体"/>
                <w:color w:val="auto"/>
                <w:szCs w:val="21"/>
              </w:rPr>
            </w:pPr>
          </w:p>
        </w:tc>
      </w:tr>
      <w:tr w14:paraId="16D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12" w:type="dxa"/>
            <w:noWrap w:val="0"/>
            <w:vAlign w:val="center"/>
          </w:tcPr>
          <w:p w14:paraId="1D7F6704">
            <w:pPr>
              <w:ind w:firstLine="0" w:firstLineChars="0"/>
              <w:rPr>
                <w:rFonts w:hint="eastAsia" w:ascii="宋体" w:hAnsi="宋体" w:cs="宋体"/>
                <w:color w:val="auto"/>
                <w:szCs w:val="21"/>
              </w:rPr>
            </w:pPr>
            <w:r>
              <w:rPr>
                <w:rFonts w:hint="eastAsia" w:ascii="宋体" w:hAnsi="宋体" w:cs="宋体"/>
                <w:color w:val="auto"/>
                <w:szCs w:val="21"/>
              </w:rPr>
              <w:t>备注</w:t>
            </w:r>
          </w:p>
        </w:tc>
        <w:tc>
          <w:tcPr>
            <w:tcW w:w="7627" w:type="dxa"/>
            <w:gridSpan w:val="8"/>
            <w:noWrap w:val="0"/>
            <w:vAlign w:val="center"/>
          </w:tcPr>
          <w:p w14:paraId="406015E6">
            <w:pPr>
              <w:ind w:firstLine="420"/>
              <w:jc w:val="center"/>
              <w:rPr>
                <w:rFonts w:hint="eastAsia" w:ascii="宋体" w:hAnsi="宋体" w:cs="宋体"/>
                <w:color w:val="auto"/>
                <w:szCs w:val="21"/>
              </w:rPr>
            </w:pPr>
          </w:p>
        </w:tc>
      </w:tr>
    </w:tbl>
    <w:p w14:paraId="46057ABD">
      <w:pPr>
        <w:bidi w:val="0"/>
        <w:spacing w:line="400" w:lineRule="exact"/>
        <w:rPr>
          <w:rFonts w:hint="eastAsia" w:ascii="宋体" w:hAnsi="宋体" w:eastAsia="宋体" w:cs="宋体"/>
          <w:color w:val="auto"/>
          <w:sz w:val="21"/>
          <w:szCs w:val="21"/>
          <w:highlight w:val="none"/>
        </w:rPr>
      </w:pPr>
    </w:p>
    <w:p w14:paraId="14C147AB">
      <w:pPr>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在本表后附</w:t>
      </w:r>
      <w:r>
        <w:rPr>
          <w:rFonts w:hint="eastAsia" w:ascii="宋体" w:hAnsi="宋体" w:eastAsia="宋体" w:cs="宋体"/>
          <w:b/>
          <w:bCs/>
          <w:color w:val="auto"/>
          <w:kern w:val="0"/>
          <w:sz w:val="21"/>
          <w:szCs w:val="21"/>
          <w:highlight w:val="none"/>
          <w:lang w:val="en-US" w:eastAsia="zh-CN" w:bidi="ar"/>
        </w:rPr>
        <w:t>资格要求及承诺相关证明材料</w:t>
      </w:r>
      <w:r>
        <w:rPr>
          <w:rFonts w:hint="eastAsia" w:ascii="宋体" w:hAnsi="宋体" w:eastAsia="宋体" w:cs="宋体"/>
          <w:color w:val="auto"/>
          <w:sz w:val="21"/>
          <w:szCs w:val="21"/>
          <w:highlight w:val="none"/>
        </w:rPr>
        <w:t>。</w:t>
      </w:r>
    </w:p>
    <w:p w14:paraId="01837422">
      <w:pPr>
        <w:bidi w:val="0"/>
        <w:spacing w:line="400" w:lineRule="exact"/>
        <w:rPr>
          <w:rFonts w:hint="eastAsia" w:ascii="宋体" w:hAnsi="宋体" w:eastAsia="宋体" w:cs="宋体"/>
          <w:b/>
          <w:bCs/>
          <w:color w:val="auto"/>
          <w:sz w:val="21"/>
          <w:szCs w:val="21"/>
          <w:highlight w:val="none"/>
          <w:lang w:val="en-US" w:eastAsia="zh-CN"/>
        </w:rPr>
        <w:sectPr>
          <w:headerReference r:id="rId7" w:type="default"/>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b/>
          <w:bCs/>
          <w:color w:val="auto"/>
          <w:sz w:val="21"/>
          <w:szCs w:val="21"/>
          <w:highlight w:val="none"/>
          <w:lang w:val="en-US" w:eastAsia="zh-CN"/>
        </w:rPr>
        <w:t>本项目的特定资格要求（如有）：需提供相应的证明材料。</w:t>
      </w:r>
    </w:p>
    <w:p w14:paraId="04B9B8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附件：</w:t>
      </w:r>
    </w:p>
    <w:p w14:paraId="5C2BAF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潢川县政府采购供应商信用承诺函</w:t>
      </w:r>
    </w:p>
    <w:p w14:paraId="7D1CC14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single"/>
          <w:lang w:val="en-US" w:eastAsia="zh-CN" w:bidi="ar"/>
        </w:rPr>
        <w:t xml:space="preserve">（采购人或采购代理机构）：         </w:t>
      </w:r>
      <w:r>
        <w:rPr>
          <w:rFonts w:hint="eastAsia" w:ascii="宋体" w:hAnsi="宋体" w:eastAsia="宋体" w:cs="宋体"/>
          <w:color w:val="auto"/>
          <w:kern w:val="0"/>
          <w:sz w:val="21"/>
          <w:szCs w:val="21"/>
          <w:highlight w:val="none"/>
          <w:u w:val="none"/>
          <w:lang w:val="en-US" w:eastAsia="zh-CN" w:bidi="ar"/>
        </w:rPr>
        <w:t xml:space="preserve">      </w:t>
      </w:r>
    </w:p>
    <w:p w14:paraId="665E17D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单位名称（自然人姓名）</w:t>
      </w:r>
      <w:r>
        <w:rPr>
          <w:rFonts w:hint="eastAsia" w:ascii="宋体" w:hAnsi="宋体" w:eastAsia="宋体" w:cs="宋体"/>
          <w:color w:val="auto"/>
          <w:kern w:val="0"/>
          <w:sz w:val="21"/>
          <w:szCs w:val="21"/>
          <w:highlight w:val="none"/>
          <w:u w:val="single"/>
          <w:lang w:val="en-US" w:eastAsia="zh-CN" w:bidi="ar"/>
        </w:rPr>
        <w:t xml:space="preserve">：            </w:t>
      </w:r>
    </w:p>
    <w:p w14:paraId="25D83F90">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统一社会信用代码（身份证号码）</w:t>
      </w:r>
      <w:r>
        <w:rPr>
          <w:rFonts w:hint="eastAsia" w:ascii="宋体" w:hAnsi="宋体" w:eastAsia="宋体" w:cs="宋体"/>
          <w:color w:val="auto"/>
          <w:kern w:val="0"/>
          <w:sz w:val="21"/>
          <w:szCs w:val="21"/>
          <w:highlight w:val="none"/>
          <w:u w:val="single"/>
          <w:lang w:val="en-US" w:eastAsia="zh-CN" w:bidi="ar"/>
        </w:rPr>
        <w:t xml:space="preserve">：     </w:t>
      </w:r>
    </w:p>
    <w:p w14:paraId="5EA6045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法定代表人（负责人）</w:t>
      </w:r>
      <w:r>
        <w:rPr>
          <w:rFonts w:hint="eastAsia" w:ascii="宋体" w:hAnsi="宋体" w:eastAsia="宋体" w:cs="宋体"/>
          <w:color w:val="auto"/>
          <w:kern w:val="0"/>
          <w:sz w:val="21"/>
          <w:szCs w:val="21"/>
          <w:highlight w:val="none"/>
          <w:u w:val="single"/>
          <w:lang w:val="en-US" w:eastAsia="zh-CN" w:bidi="ar"/>
        </w:rPr>
        <w:t xml:space="preserve">：               </w:t>
      </w:r>
    </w:p>
    <w:p w14:paraId="3BE97E0B">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联系地址和电话</w:t>
      </w:r>
      <w:r>
        <w:rPr>
          <w:rFonts w:hint="eastAsia" w:ascii="宋体" w:hAnsi="宋体" w:eastAsia="宋体" w:cs="宋体"/>
          <w:color w:val="auto"/>
          <w:kern w:val="0"/>
          <w:sz w:val="21"/>
          <w:szCs w:val="21"/>
          <w:highlight w:val="none"/>
          <w:u w:val="single"/>
          <w:lang w:val="en-US" w:eastAsia="zh-CN" w:bidi="ar"/>
        </w:rPr>
        <w:t xml:space="preserve">：              </w:t>
      </w:r>
    </w:p>
    <w:p w14:paraId="7BB86B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为维护公平、公正、公开的政府采购市场秩序，树立诚实守信的政府采购供应商形象，我单位（本人）自愿作出以下承诺：</w:t>
      </w:r>
    </w:p>
    <w:p w14:paraId="77AA6920">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0DFC256">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具有独立承担民事责任的能力；</w:t>
      </w:r>
    </w:p>
    <w:p w14:paraId="2C30C9EA">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具有良好的商业信誉和健全的财务会计制度； </w:t>
      </w:r>
    </w:p>
    <w:p w14:paraId="14A10C8D">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具有履行合同所必需的设备和专业技术能力；</w:t>
      </w:r>
    </w:p>
    <w:p w14:paraId="09F1B808">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有依法缴纳税收和社会保障资金的良好记录； </w:t>
      </w:r>
    </w:p>
    <w:p w14:paraId="49A0065A">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参加政府采购活动前三年内，在经营活动中没有重大违法记录； </w:t>
      </w:r>
    </w:p>
    <w:p w14:paraId="6A741EC9">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未被列入经营异常名录或者严重违法失信名单、失信被执行人、重大税收违法案件当事人名单、政府采购严重违法失信行为记录名单；</w:t>
      </w:r>
    </w:p>
    <w:p w14:paraId="6A9A8F96">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未被相关监管部门作出行政处罚且尚在处罚有效期内； </w:t>
      </w:r>
    </w:p>
    <w:p w14:paraId="2BC8D350">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未曾做出虚假采购承诺； </w:t>
      </w:r>
    </w:p>
    <w:p w14:paraId="19356B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（九）符合法律、行政法规规定的其他条件。</w:t>
      </w:r>
    </w:p>
    <w:p w14:paraId="7ACF76F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D8853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78D0BA0D">
      <w:pPr>
        <w:pStyle w:val="40"/>
        <w:rPr>
          <w:rFonts w:hint="eastAsia"/>
          <w:color w:val="auto"/>
          <w:highlight w:val="none"/>
          <w:lang w:val="en-US" w:eastAsia="zh-CN"/>
        </w:rPr>
      </w:pPr>
    </w:p>
    <w:p w14:paraId="5B5C7E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供应商（公章）：</w:t>
      </w:r>
    </w:p>
    <w:p w14:paraId="415F4F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法定代表人（签字及盖章）：</w:t>
      </w:r>
    </w:p>
    <w:p w14:paraId="53FF076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日期：  年  月  日</w:t>
      </w:r>
    </w:p>
    <w:p w14:paraId="28202A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注：1、供应商须在响应文件中按此模板提供承诺函，未提供视为未实质性响应招标文件要求，按无效投标处理。</w:t>
      </w:r>
    </w:p>
    <w:p w14:paraId="2592D5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35" w:firstLineChars="3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2、供应商的法定代表人签字及盖章应真实、有效。</w:t>
      </w:r>
    </w:p>
    <w:p w14:paraId="6ED2782B">
      <w:pPr>
        <w:spacing w:before="312" w:beforeLines="100" w:after="156" w:afterLines="50"/>
        <w:rPr>
          <w:rFonts w:hint="eastAsia" w:ascii="宋体" w:hAnsi="宋体"/>
          <w:b/>
          <w:color w:val="auto"/>
          <w:szCs w:val="21"/>
          <w:highlight w:val="none"/>
        </w:rPr>
      </w:pPr>
    </w:p>
    <w:p w14:paraId="5652018C">
      <w:pPr>
        <w:pStyle w:val="40"/>
        <w:rPr>
          <w:rFonts w:hint="eastAsia" w:ascii="宋体" w:hAnsi="宋体"/>
          <w:b/>
          <w:color w:val="auto"/>
          <w:szCs w:val="21"/>
          <w:highlight w:val="none"/>
        </w:rPr>
      </w:pPr>
    </w:p>
    <w:p w14:paraId="6688C87E">
      <w:pPr>
        <w:pStyle w:val="19"/>
        <w:rPr>
          <w:rFonts w:hint="eastAsia" w:ascii="宋体" w:hAnsi="宋体"/>
          <w:b/>
          <w:color w:val="auto"/>
          <w:szCs w:val="21"/>
          <w:highlight w:val="none"/>
        </w:rPr>
      </w:pPr>
    </w:p>
    <w:p w14:paraId="243BFD3C">
      <w:pPr>
        <w:pStyle w:val="19"/>
        <w:rPr>
          <w:rFonts w:hint="eastAsia" w:ascii="宋体" w:hAnsi="宋体"/>
          <w:b/>
          <w:color w:val="auto"/>
          <w:szCs w:val="21"/>
          <w:highlight w:val="none"/>
        </w:rPr>
      </w:pPr>
    </w:p>
    <w:p w14:paraId="7BA44BAE">
      <w:pPr>
        <w:pStyle w:val="19"/>
        <w:rPr>
          <w:rFonts w:hint="eastAsia" w:ascii="宋体" w:hAnsi="宋体"/>
          <w:b/>
          <w:color w:val="auto"/>
          <w:szCs w:val="21"/>
          <w:highlight w:val="none"/>
        </w:rPr>
      </w:pPr>
    </w:p>
    <w:p w14:paraId="7DDCB442">
      <w:pPr>
        <w:pStyle w:val="19"/>
        <w:rPr>
          <w:rFonts w:hint="eastAsia" w:ascii="宋体" w:hAnsi="宋体"/>
          <w:b/>
          <w:color w:val="auto"/>
          <w:szCs w:val="21"/>
          <w:highlight w:val="none"/>
        </w:rPr>
      </w:pPr>
    </w:p>
    <w:p w14:paraId="7C50DC85">
      <w:pPr>
        <w:pStyle w:val="19"/>
        <w:rPr>
          <w:rFonts w:hint="eastAsia" w:ascii="宋体" w:hAnsi="宋体"/>
          <w:b/>
          <w:color w:val="auto"/>
          <w:szCs w:val="21"/>
          <w:highlight w:val="none"/>
        </w:rPr>
      </w:pPr>
    </w:p>
    <w:p w14:paraId="5788AF78">
      <w:pPr>
        <w:pStyle w:val="19"/>
        <w:rPr>
          <w:rFonts w:hint="eastAsia" w:ascii="宋体" w:hAnsi="宋体"/>
          <w:b/>
          <w:color w:val="auto"/>
          <w:szCs w:val="21"/>
          <w:highlight w:val="none"/>
        </w:rPr>
      </w:pPr>
    </w:p>
    <w:p w14:paraId="5A708680">
      <w:pPr>
        <w:pStyle w:val="19"/>
        <w:rPr>
          <w:rFonts w:hint="eastAsia" w:ascii="宋体" w:hAnsi="宋体"/>
          <w:b/>
          <w:color w:val="auto"/>
          <w:szCs w:val="21"/>
          <w:highlight w:val="none"/>
        </w:rPr>
      </w:pPr>
    </w:p>
    <w:p w14:paraId="4180CAA1">
      <w:pPr>
        <w:pStyle w:val="19"/>
        <w:rPr>
          <w:rFonts w:hint="eastAsia" w:ascii="宋体" w:hAnsi="宋体"/>
          <w:b/>
          <w:color w:val="auto"/>
          <w:szCs w:val="21"/>
          <w:highlight w:val="none"/>
        </w:rPr>
      </w:pPr>
    </w:p>
    <w:p w14:paraId="40075193">
      <w:pPr>
        <w:pStyle w:val="19"/>
        <w:rPr>
          <w:rFonts w:hint="eastAsia" w:ascii="宋体" w:hAnsi="宋体"/>
          <w:b/>
          <w:color w:val="auto"/>
          <w:szCs w:val="21"/>
          <w:highlight w:val="none"/>
        </w:rPr>
      </w:pPr>
    </w:p>
    <w:p w14:paraId="2007D775">
      <w:pPr>
        <w:pStyle w:val="19"/>
        <w:rPr>
          <w:rFonts w:hint="eastAsia" w:ascii="宋体" w:hAnsi="宋体"/>
          <w:b/>
          <w:color w:val="auto"/>
          <w:szCs w:val="21"/>
          <w:highlight w:val="none"/>
        </w:rPr>
      </w:pPr>
    </w:p>
    <w:p w14:paraId="72DE0752">
      <w:pPr>
        <w:pStyle w:val="19"/>
        <w:rPr>
          <w:rFonts w:hint="eastAsia" w:ascii="宋体" w:hAnsi="宋体"/>
          <w:b/>
          <w:color w:val="auto"/>
          <w:szCs w:val="21"/>
          <w:highlight w:val="none"/>
        </w:rPr>
      </w:pPr>
    </w:p>
    <w:p w14:paraId="5943F77E">
      <w:pPr>
        <w:pStyle w:val="19"/>
        <w:rPr>
          <w:rFonts w:hint="eastAsia" w:ascii="宋体" w:hAnsi="宋体"/>
          <w:b/>
          <w:color w:val="auto"/>
          <w:szCs w:val="21"/>
          <w:highlight w:val="none"/>
        </w:rPr>
      </w:pPr>
    </w:p>
    <w:p w14:paraId="6481B394">
      <w:pPr>
        <w:pStyle w:val="19"/>
        <w:rPr>
          <w:rFonts w:hint="eastAsia" w:ascii="宋体" w:hAnsi="宋体"/>
          <w:b/>
          <w:color w:val="auto"/>
          <w:szCs w:val="21"/>
          <w:highlight w:val="none"/>
        </w:rPr>
      </w:pPr>
    </w:p>
    <w:p w14:paraId="5B5BE902">
      <w:pPr>
        <w:pStyle w:val="19"/>
        <w:rPr>
          <w:rFonts w:hint="eastAsia" w:ascii="宋体" w:hAnsi="宋体"/>
          <w:b/>
          <w:color w:val="auto"/>
          <w:szCs w:val="21"/>
          <w:highlight w:val="none"/>
        </w:rPr>
      </w:pPr>
    </w:p>
    <w:p w14:paraId="39604B7D">
      <w:pPr>
        <w:pStyle w:val="19"/>
        <w:rPr>
          <w:rFonts w:hint="eastAsia" w:ascii="宋体" w:hAnsi="宋体"/>
          <w:b/>
          <w:color w:val="auto"/>
          <w:szCs w:val="21"/>
          <w:highlight w:val="none"/>
        </w:rPr>
      </w:pPr>
    </w:p>
    <w:p w14:paraId="77341820">
      <w:pPr>
        <w:pStyle w:val="19"/>
        <w:ind w:left="0" w:leftChars="0" w:firstLine="0" w:firstLineChars="0"/>
        <w:rPr>
          <w:rFonts w:hint="eastAsia" w:ascii="宋体" w:hAnsi="宋体"/>
          <w:b/>
          <w:color w:val="auto"/>
          <w:szCs w:val="21"/>
          <w:highlight w:val="none"/>
        </w:rPr>
      </w:pPr>
    </w:p>
    <w:p w14:paraId="2C1530B6">
      <w:pPr>
        <w:pStyle w:val="19"/>
        <w:rPr>
          <w:rFonts w:hint="eastAsia" w:ascii="宋体" w:hAnsi="宋体"/>
          <w:b/>
          <w:color w:val="auto"/>
          <w:szCs w:val="21"/>
          <w:highlight w:val="none"/>
        </w:rPr>
      </w:pPr>
    </w:p>
    <w:p w14:paraId="44D05F9D">
      <w:pPr>
        <w:bidi w:val="0"/>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8"/>
          <w:szCs w:val="28"/>
          <w:highlight w:val="none"/>
          <w:lang w:eastAsia="zh-CN"/>
        </w:rPr>
        <w:t>八、</w:t>
      </w:r>
      <w:bookmarkStart w:id="955" w:name="_bookmark1"/>
      <w:bookmarkEnd w:id="955"/>
      <w:r>
        <w:rPr>
          <w:rFonts w:hint="eastAsia" w:ascii="宋体" w:hAnsi="宋体" w:eastAsia="宋体" w:cs="宋体"/>
          <w:b/>
          <w:bCs/>
          <w:color w:val="auto"/>
          <w:sz w:val="28"/>
          <w:szCs w:val="28"/>
          <w:highlight w:val="none"/>
          <w:lang w:eastAsia="zh-CN"/>
        </w:rPr>
        <w:t>中小企业声明函（服务）</w:t>
      </w:r>
    </w:p>
    <w:p w14:paraId="69EA28F9">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40E9B9DB">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万元1，属于（中型企业、小型企业、微型企业）。</w:t>
      </w:r>
    </w:p>
    <w:p w14:paraId="6D06F384">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万元，属于（中型企业、小型企业、微型企业）。</w:t>
      </w:r>
    </w:p>
    <w:p w14:paraId="1036BA56">
      <w:pPr>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229BE861">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3243BDD8">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41F6E674">
      <w:pPr>
        <w:bidi w:val="0"/>
        <w:spacing w:line="48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企业名称（盖章）：</w:t>
      </w:r>
    </w:p>
    <w:p w14:paraId="1AC299DA">
      <w:pPr>
        <w:bidi w:val="0"/>
        <w:spacing w:line="480" w:lineRule="auto"/>
        <w:ind w:firstLine="422" w:firstLineChars="200"/>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日期：</w:t>
      </w:r>
    </w:p>
    <w:p w14:paraId="72412152">
      <w:pPr>
        <w:pStyle w:val="40"/>
        <w:bidi w:val="0"/>
        <w:spacing w:line="480" w:lineRule="auto"/>
        <w:rPr>
          <w:rFonts w:hint="eastAsia" w:ascii="宋体" w:hAnsi="宋体" w:eastAsia="宋体" w:cs="宋体"/>
          <w:color w:val="auto"/>
          <w:kern w:val="2"/>
          <w:sz w:val="21"/>
          <w:szCs w:val="21"/>
          <w:highlight w:val="none"/>
          <w:lang w:val="en-US" w:eastAsia="zh-CN" w:bidi="ar-SA"/>
        </w:rPr>
      </w:pPr>
    </w:p>
    <w:p w14:paraId="083103E7">
      <w:pPr>
        <w:pStyle w:val="40"/>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1、从业人员、营业收入、资产总额填报上一年度数据，无上一年度数据的新成立企业可不填报。</w:t>
      </w:r>
    </w:p>
    <w:p w14:paraId="5A6C8C80">
      <w:pPr>
        <w:pStyle w:val="6"/>
        <w:bidi w:val="0"/>
        <w:spacing w:line="480" w:lineRule="auto"/>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2、所投产品制造商属于中小微企业的填写，不属于的无需填写此项内容。</w:t>
      </w:r>
    </w:p>
    <w:p w14:paraId="7B2C3A3B">
      <w:pPr>
        <w:pStyle w:val="6"/>
        <w:bidi w:val="0"/>
        <w:spacing w:line="480" w:lineRule="auto"/>
        <w:ind w:left="0" w:leftChars="0" w:firstLine="0" w:firstLineChars="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szCs w:val="24"/>
          <w:highlight w:val="none"/>
          <w:shd w:val="clear" w:color="auto" w:fill="auto"/>
          <w:lang w:val="zh-CN"/>
        </w:rPr>
        <w:t>所属行</w:t>
      </w:r>
      <w:r>
        <w:rPr>
          <w:rFonts w:hint="eastAsia" w:ascii="宋体" w:hAnsi="宋体" w:eastAsia="宋体" w:cs="宋体"/>
          <w:color w:val="auto"/>
          <w:kern w:val="2"/>
          <w:sz w:val="21"/>
          <w:szCs w:val="21"/>
          <w:highlight w:val="none"/>
          <w:lang w:val="zh-CN" w:eastAsia="zh-CN" w:bidi="ar-SA"/>
        </w:rPr>
        <w:t>业：</w:t>
      </w:r>
      <w:r>
        <w:rPr>
          <w:rFonts w:hint="eastAsia" w:ascii="宋体" w:hAnsi="宋体" w:eastAsia="宋体" w:cs="宋体"/>
          <w:color w:val="auto"/>
          <w:kern w:val="2"/>
          <w:sz w:val="21"/>
          <w:szCs w:val="21"/>
          <w:highlight w:val="none"/>
          <w:lang w:val="en-US" w:eastAsia="zh-CN" w:bidi="ar-SA"/>
        </w:rPr>
        <w:t>租赁和商务服务业。</w:t>
      </w:r>
    </w:p>
    <w:p w14:paraId="7A33D0C4">
      <w:pP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br w:type="page"/>
      </w:r>
    </w:p>
    <w:p w14:paraId="0349C728">
      <w:pPr>
        <w:pStyle w:val="23"/>
        <w:keepNext w:val="0"/>
        <w:keepLines w:val="0"/>
        <w:pageBreakBefore w:val="0"/>
        <w:widowControl w:val="0"/>
        <w:kinsoku/>
        <w:wordWrap w:val="0"/>
        <w:overflowPunct/>
        <w:topLinePunct/>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val="0"/>
          <w:color w:val="auto"/>
          <w:kern w:val="0"/>
          <w:sz w:val="24"/>
          <w:szCs w:val="24"/>
          <w:highlight w:val="none"/>
          <w:u w:val="none"/>
          <w:lang w:val="en-US" w:eastAsia="zh-CN" w:bidi="ar-SA"/>
        </w:rPr>
      </w:pPr>
      <w:r>
        <w:rPr>
          <w:rFonts w:hint="eastAsia"/>
          <w:b/>
          <w:bCs/>
          <w:color w:val="auto"/>
          <w:sz w:val="28"/>
          <w:szCs w:val="24"/>
          <w:highlight w:val="none"/>
          <w:lang w:val="en-US" w:eastAsia="zh-CN"/>
        </w:rPr>
        <w:t xml:space="preserve"> </w:t>
      </w:r>
      <w:r>
        <w:rPr>
          <w:rFonts w:hint="eastAsia" w:ascii="宋体" w:hAnsi="宋体" w:eastAsia="宋体" w:cs="宋体"/>
          <w:b/>
          <w:bCs w:val="0"/>
          <w:color w:val="auto"/>
          <w:kern w:val="0"/>
          <w:sz w:val="24"/>
          <w:szCs w:val="24"/>
          <w:highlight w:val="none"/>
          <w:u w:val="none"/>
          <w:lang w:val="en-US" w:eastAsia="zh-CN" w:bidi="ar-SA"/>
        </w:rPr>
        <w:t>国家统计局《统计上大中小微型企业划分标准》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506"/>
        <w:gridCol w:w="727"/>
        <w:gridCol w:w="1243"/>
        <w:gridCol w:w="1813"/>
        <w:gridCol w:w="1522"/>
        <w:gridCol w:w="1097"/>
      </w:tblGrid>
      <w:tr w14:paraId="45D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29" w:type="pct"/>
            <w:noWrap w:val="0"/>
            <w:vAlign w:val="center"/>
          </w:tcPr>
          <w:p w14:paraId="5D52C5C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行业名称</w:t>
            </w:r>
          </w:p>
        </w:tc>
        <w:tc>
          <w:tcPr>
            <w:tcW w:w="756" w:type="pct"/>
            <w:noWrap w:val="0"/>
            <w:vAlign w:val="center"/>
          </w:tcPr>
          <w:p w14:paraId="0A5663C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指标名称</w:t>
            </w:r>
          </w:p>
        </w:tc>
        <w:tc>
          <w:tcPr>
            <w:tcW w:w="365" w:type="pct"/>
            <w:noWrap w:val="0"/>
            <w:vAlign w:val="center"/>
          </w:tcPr>
          <w:p w14:paraId="2B7747B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计量单位</w:t>
            </w:r>
          </w:p>
        </w:tc>
        <w:tc>
          <w:tcPr>
            <w:tcW w:w="624" w:type="pct"/>
            <w:noWrap w:val="0"/>
            <w:vAlign w:val="center"/>
          </w:tcPr>
          <w:p w14:paraId="4033726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大型</w:t>
            </w:r>
          </w:p>
        </w:tc>
        <w:tc>
          <w:tcPr>
            <w:tcW w:w="910" w:type="pct"/>
            <w:noWrap w:val="0"/>
            <w:vAlign w:val="center"/>
          </w:tcPr>
          <w:p w14:paraId="42CC622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中型</w:t>
            </w:r>
          </w:p>
        </w:tc>
        <w:tc>
          <w:tcPr>
            <w:tcW w:w="764" w:type="pct"/>
            <w:noWrap w:val="0"/>
            <w:vAlign w:val="center"/>
          </w:tcPr>
          <w:p w14:paraId="1B87BF6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小型</w:t>
            </w:r>
          </w:p>
        </w:tc>
        <w:tc>
          <w:tcPr>
            <w:tcW w:w="550" w:type="pct"/>
            <w:noWrap w:val="0"/>
            <w:vAlign w:val="center"/>
          </w:tcPr>
          <w:p w14:paraId="2263B5F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微型</w:t>
            </w:r>
          </w:p>
        </w:tc>
      </w:tr>
      <w:tr w14:paraId="5C3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CE5D42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农、林、牧、渔业</w:t>
            </w:r>
          </w:p>
        </w:tc>
        <w:tc>
          <w:tcPr>
            <w:tcW w:w="756" w:type="pct"/>
            <w:noWrap w:val="0"/>
            <w:vAlign w:val="center"/>
          </w:tcPr>
          <w:p w14:paraId="75CEA85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营业收入（Y）</w:t>
            </w:r>
          </w:p>
        </w:tc>
        <w:tc>
          <w:tcPr>
            <w:tcW w:w="365" w:type="pct"/>
            <w:noWrap w:val="0"/>
            <w:vAlign w:val="center"/>
          </w:tcPr>
          <w:p w14:paraId="69617F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2FF577C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w:t>
            </w:r>
          </w:p>
        </w:tc>
        <w:tc>
          <w:tcPr>
            <w:tcW w:w="910" w:type="pct"/>
            <w:noWrap w:val="0"/>
            <w:vAlign w:val="center"/>
          </w:tcPr>
          <w:p w14:paraId="6540579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500≤Y＜20000</w:t>
            </w:r>
          </w:p>
        </w:tc>
        <w:tc>
          <w:tcPr>
            <w:tcW w:w="764" w:type="pct"/>
            <w:noWrap w:val="0"/>
            <w:vAlign w:val="center"/>
          </w:tcPr>
          <w:p w14:paraId="03AF5DF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50≤Y＜500</w:t>
            </w:r>
          </w:p>
        </w:tc>
        <w:tc>
          <w:tcPr>
            <w:tcW w:w="550" w:type="pct"/>
            <w:noWrap w:val="0"/>
            <w:vAlign w:val="center"/>
          </w:tcPr>
          <w:p w14:paraId="3918EA1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w:t>
            </w:r>
          </w:p>
        </w:tc>
      </w:tr>
      <w:tr w14:paraId="741F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29" w:type="pct"/>
            <w:noWrap w:val="0"/>
            <w:vAlign w:val="center"/>
          </w:tcPr>
          <w:p w14:paraId="34FEC05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工业*</w:t>
            </w:r>
          </w:p>
        </w:tc>
        <w:tc>
          <w:tcPr>
            <w:tcW w:w="756" w:type="pct"/>
            <w:noWrap w:val="0"/>
            <w:vAlign w:val="center"/>
          </w:tcPr>
          <w:p w14:paraId="382C568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34171F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F6015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40415E5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X≥1000 </w:t>
            </w:r>
          </w:p>
          <w:p w14:paraId="4FBD825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Y≥40000</w:t>
            </w:r>
          </w:p>
        </w:tc>
        <w:tc>
          <w:tcPr>
            <w:tcW w:w="910" w:type="pct"/>
            <w:noWrap w:val="0"/>
            <w:vAlign w:val="center"/>
          </w:tcPr>
          <w:p w14:paraId="247398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300≤X＜1000 </w:t>
            </w:r>
          </w:p>
          <w:p w14:paraId="16607A9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2000≤Y＜40000</w:t>
            </w:r>
          </w:p>
        </w:tc>
        <w:tc>
          <w:tcPr>
            <w:tcW w:w="764" w:type="pct"/>
            <w:noWrap w:val="0"/>
            <w:vAlign w:val="center"/>
          </w:tcPr>
          <w:p w14:paraId="79FA450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20≤X＜300 </w:t>
            </w:r>
          </w:p>
          <w:p w14:paraId="7AA936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300≤Y＜2000</w:t>
            </w:r>
          </w:p>
        </w:tc>
        <w:tc>
          <w:tcPr>
            <w:tcW w:w="550" w:type="pct"/>
            <w:noWrap w:val="0"/>
            <w:vAlign w:val="center"/>
          </w:tcPr>
          <w:p w14:paraId="717AB48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6B33577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Y＜300</w:t>
            </w:r>
          </w:p>
        </w:tc>
      </w:tr>
      <w:tr w14:paraId="2558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97176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建筑业</w:t>
            </w:r>
          </w:p>
        </w:tc>
        <w:tc>
          <w:tcPr>
            <w:tcW w:w="756" w:type="pct"/>
            <w:noWrap w:val="0"/>
            <w:vAlign w:val="center"/>
          </w:tcPr>
          <w:p w14:paraId="65B4BFC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21ACFE5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B43591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2024BA7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Y≥80000</w:t>
            </w:r>
          </w:p>
          <w:p w14:paraId="7C2E3F1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Z≥80000</w:t>
            </w:r>
          </w:p>
        </w:tc>
        <w:tc>
          <w:tcPr>
            <w:tcW w:w="910" w:type="pct"/>
            <w:noWrap w:val="0"/>
            <w:vAlign w:val="center"/>
          </w:tcPr>
          <w:p w14:paraId="47D5603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6000≤Y＜80000  5000≤Z＜80000</w:t>
            </w:r>
          </w:p>
        </w:tc>
        <w:tc>
          <w:tcPr>
            <w:tcW w:w="764" w:type="pct"/>
            <w:noWrap w:val="0"/>
            <w:vAlign w:val="center"/>
          </w:tcPr>
          <w:p w14:paraId="473060F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300≤Y＜6000</w:t>
            </w:r>
          </w:p>
          <w:p w14:paraId="0EFC134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300≤Z＜5000</w:t>
            </w:r>
          </w:p>
        </w:tc>
        <w:tc>
          <w:tcPr>
            <w:tcW w:w="550" w:type="pct"/>
            <w:noWrap w:val="0"/>
            <w:vAlign w:val="center"/>
          </w:tcPr>
          <w:p w14:paraId="3C8C19A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w:t>
            </w:r>
          </w:p>
          <w:p w14:paraId="373E7A8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Z＜300</w:t>
            </w:r>
          </w:p>
        </w:tc>
      </w:tr>
      <w:tr w14:paraId="2C7C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BDF58B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批发业</w:t>
            </w:r>
          </w:p>
        </w:tc>
        <w:tc>
          <w:tcPr>
            <w:tcW w:w="756" w:type="pct"/>
            <w:noWrap w:val="0"/>
            <w:vAlign w:val="center"/>
          </w:tcPr>
          <w:p w14:paraId="619C15E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5D6EF2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A4150D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80A380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X≥200  </w:t>
            </w:r>
          </w:p>
          <w:p w14:paraId="0FF55D9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Y≥40000</w:t>
            </w:r>
          </w:p>
        </w:tc>
        <w:tc>
          <w:tcPr>
            <w:tcW w:w="910" w:type="pct"/>
            <w:noWrap w:val="0"/>
            <w:vAlign w:val="center"/>
          </w:tcPr>
          <w:p w14:paraId="0775D3B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20≤X＜200  </w:t>
            </w:r>
          </w:p>
          <w:p w14:paraId="4721C86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5000≤Y＜40000</w:t>
            </w:r>
          </w:p>
        </w:tc>
        <w:tc>
          <w:tcPr>
            <w:tcW w:w="764" w:type="pct"/>
            <w:noWrap w:val="0"/>
            <w:vAlign w:val="center"/>
          </w:tcPr>
          <w:p w14:paraId="5FC0751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5≤X＜20  1000≤Y＜5000</w:t>
            </w:r>
          </w:p>
        </w:tc>
        <w:tc>
          <w:tcPr>
            <w:tcW w:w="550" w:type="pct"/>
            <w:noWrap w:val="0"/>
            <w:vAlign w:val="center"/>
          </w:tcPr>
          <w:p w14:paraId="16FD3BC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X＜5</w:t>
            </w:r>
          </w:p>
          <w:p w14:paraId="72F9CFC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w:t>
            </w:r>
          </w:p>
        </w:tc>
      </w:tr>
      <w:tr w14:paraId="6F57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D1F91E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零售业</w:t>
            </w:r>
          </w:p>
        </w:tc>
        <w:tc>
          <w:tcPr>
            <w:tcW w:w="756" w:type="pct"/>
            <w:noWrap w:val="0"/>
            <w:vAlign w:val="center"/>
          </w:tcPr>
          <w:p w14:paraId="55F25E0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147457F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41ECFED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15D1B3E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X≥300  </w:t>
            </w:r>
          </w:p>
          <w:p w14:paraId="4E876FC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w:t>
            </w:r>
          </w:p>
        </w:tc>
        <w:tc>
          <w:tcPr>
            <w:tcW w:w="910" w:type="pct"/>
            <w:noWrap w:val="0"/>
            <w:vAlign w:val="center"/>
          </w:tcPr>
          <w:p w14:paraId="49DC42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50≤X＜300  </w:t>
            </w:r>
          </w:p>
          <w:p w14:paraId="5AD12BA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500≤Y＜20000</w:t>
            </w:r>
          </w:p>
        </w:tc>
        <w:tc>
          <w:tcPr>
            <w:tcW w:w="764" w:type="pct"/>
            <w:noWrap w:val="0"/>
            <w:vAlign w:val="center"/>
          </w:tcPr>
          <w:p w14:paraId="533A98A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10≤X＜50  100≤Y＜500</w:t>
            </w:r>
          </w:p>
        </w:tc>
        <w:tc>
          <w:tcPr>
            <w:tcW w:w="550" w:type="pct"/>
            <w:noWrap w:val="0"/>
            <w:vAlign w:val="center"/>
          </w:tcPr>
          <w:p w14:paraId="73E22AD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2E7405D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422D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9562A3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交通运输业*</w:t>
            </w:r>
          </w:p>
        </w:tc>
        <w:tc>
          <w:tcPr>
            <w:tcW w:w="756" w:type="pct"/>
            <w:noWrap w:val="0"/>
            <w:vAlign w:val="center"/>
          </w:tcPr>
          <w:p w14:paraId="1B1E7B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3D4A62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74AD4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245D35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X≥1000  </w:t>
            </w:r>
          </w:p>
          <w:p w14:paraId="7C4E8BB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2A83BEA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  3000≤Y＜30000</w:t>
            </w:r>
          </w:p>
        </w:tc>
        <w:tc>
          <w:tcPr>
            <w:tcW w:w="764" w:type="pct"/>
            <w:noWrap w:val="0"/>
            <w:vAlign w:val="center"/>
          </w:tcPr>
          <w:p w14:paraId="6C87467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20≤X＜300 </w:t>
            </w:r>
          </w:p>
          <w:p w14:paraId="3B736AF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200≤Y＜3000</w:t>
            </w:r>
          </w:p>
        </w:tc>
        <w:tc>
          <w:tcPr>
            <w:tcW w:w="550" w:type="pct"/>
            <w:noWrap w:val="0"/>
            <w:vAlign w:val="center"/>
          </w:tcPr>
          <w:p w14:paraId="628427F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0258F4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w:t>
            </w:r>
          </w:p>
        </w:tc>
      </w:tr>
      <w:tr w14:paraId="392E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CE08D3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仓储业*</w:t>
            </w:r>
          </w:p>
        </w:tc>
        <w:tc>
          <w:tcPr>
            <w:tcW w:w="756" w:type="pct"/>
            <w:noWrap w:val="0"/>
            <w:vAlign w:val="center"/>
          </w:tcPr>
          <w:p w14:paraId="7273545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6E44A3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4D7DED7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1A2EDFF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X≥200</w:t>
            </w:r>
          </w:p>
          <w:p w14:paraId="450D5B9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13A394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100≤X＜200  1000≤Y＜30000</w:t>
            </w:r>
          </w:p>
        </w:tc>
        <w:tc>
          <w:tcPr>
            <w:tcW w:w="764" w:type="pct"/>
            <w:noWrap w:val="0"/>
            <w:vAlign w:val="center"/>
          </w:tcPr>
          <w:p w14:paraId="73B0159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20≤X＜100  100≤Y＜1000</w:t>
            </w:r>
          </w:p>
        </w:tc>
        <w:tc>
          <w:tcPr>
            <w:tcW w:w="550" w:type="pct"/>
            <w:noWrap w:val="0"/>
            <w:vAlign w:val="center"/>
          </w:tcPr>
          <w:p w14:paraId="2E751B4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27736B1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39DE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49A59C0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邮政业</w:t>
            </w:r>
          </w:p>
        </w:tc>
        <w:tc>
          <w:tcPr>
            <w:tcW w:w="756" w:type="pct"/>
            <w:noWrap w:val="0"/>
            <w:vAlign w:val="center"/>
          </w:tcPr>
          <w:p w14:paraId="188C567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4B798E7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37EAF7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618FD2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X≥1000</w:t>
            </w:r>
          </w:p>
          <w:p w14:paraId="61283A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Y≥30000</w:t>
            </w:r>
          </w:p>
        </w:tc>
        <w:tc>
          <w:tcPr>
            <w:tcW w:w="910" w:type="pct"/>
            <w:noWrap w:val="0"/>
            <w:vAlign w:val="center"/>
          </w:tcPr>
          <w:p w14:paraId="7474E27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w:t>
            </w:r>
          </w:p>
          <w:p w14:paraId="4A12590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2000≤Y＜30000</w:t>
            </w:r>
          </w:p>
        </w:tc>
        <w:tc>
          <w:tcPr>
            <w:tcW w:w="764" w:type="pct"/>
            <w:noWrap w:val="0"/>
            <w:vAlign w:val="center"/>
          </w:tcPr>
          <w:p w14:paraId="431AA7E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20≤X＜300  100≤Y＜2000</w:t>
            </w:r>
          </w:p>
        </w:tc>
        <w:tc>
          <w:tcPr>
            <w:tcW w:w="550" w:type="pct"/>
            <w:noWrap w:val="0"/>
            <w:vAlign w:val="center"/>
          </w:tcPr>
          <w:p w14:paraId="6388937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X＜20</w:t>
            </w:r>
          </w:p>
          <w:p w14:paraId="3486CEA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2F9A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078E9B9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住宿业</w:t>
            </w:r>
          </w:p>
        </w:tc>
        <w:tc>
          <w:tcPr>
            <w:tcW w:w="756" w:type="pct"/>
            <w:noWrap w:val="0"/>
            <w:vAlign w:val="center"/>
          </w:tcPr>
          <w:p w14:paraId="1BC020C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636F6B3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0CBD7C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663FBEA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1AB3595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5CC3B6F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2000≤Y＜10000</w:t>
            </w:r>
          </w:p>
        </w:tc>
        <w:tc>
          <w:tcPr>
            <w:tcW w:w="764" w:type="pct"/>
            <w:noWrap w:val="0"/>
            <w:vAlign w:val="center"/>
          </w:tcPr>
          <w:p w14:paraId="7C66E75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  100≤Y＜2000</w:t>
            </w:r>
          </w:p>
        </w:tc>
        <w:tc>
          <w:tcPr>
            <w:tcW w:w="550" w:type="pct"/>
            <w:noWrap w:val="0"/>
            <w:vAlign w:val="center"/>
          </w:tcPr>
          <w:p w14:paraId="64A76A6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45B8D4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674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D7A731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餐饮业</w:t>
            </w:r>
          </w:p>
        </w:tc>
        <w:tc>
          <w:tcPr>
            <w:tcW w:w="756" w:type="pct"/>
            <w:noWrap w:val="0"/>
            <w:vAlign w:val="center"/>
          </w:tcPr>
          <w:p w14:paraId="770E85D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232B32A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人 </w:t>
            </w:r>
          </w:p>
          <w:p w14:paraId="5F10228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3F98C41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5C37063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190E74A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2000≤Y＜10000</w:t>
            </w:r>
          </w:p>
        </w:tc>
        <w:tc>
          <w:tcPr>
            <w:tcW w:w="764" w:type="pct"/>
            <w:noWrap w:val="0"/>
            <w:vAlign w:val="center"/>
          </w:tcPr>
          <w:p w14:paraId="71BF5EA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59619E9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100≤Y＜2000</w:t>
            </w:r>
          </w:p>
        </w:tc>
        <w:tc>
          <w:tcPr>
            <w:tcW w:w="550" w:type="pct"/>
            <w:noWrap w:val="0"/>
            <w:vAlign w:val="center"/>
          </w:tcPr>
          <w:p w14:paraId="40AB178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13546E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2AEA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AA0E99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信息传输业*</w:t>
            </w:r>
          </w:p>
        </w:tc>
        <w:tc>
          <w:tcPr>
            <w:tcW w:w="756" w:type="pct"/>
            <w:noWrap w:val="0"/>
            <w:vAlign w:val="center"/>
          </w:tcPr>
          <w:p w14:paraId="0E190B4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FB0463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103614F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3D537F0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X≥2000 </w:t>
            </w:r>
          </w:p>
          <w:p w14:paraId="55BAB02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Y≥100000</w:t>
            </w:r>
          </w:p>
        </w:tc>
        <w:tc>
          <w:tcPr>
            <w:tcW w:w="910" w:type="pct"/>
            <w:noWrap w:val="0"/>
            <w:vAlign w:val="center"/>
          </w:tcPr>
          <w:p w14:paraId="7AE722E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100≤X＜2000  1000≤Y＜100000</w:t>
            </w:r>
          </w:p>
        </w:tc>
        <w:tc>
          <w:tcPr>
            <w:tcW w:w="764" w:type="pct"/>
            <w:noWrap w:val="0"/>
            <w:vAlign w:val="center"/>
          </w:tcPr>
          <w:p w14:paraId="0BCA963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4CDB922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100≤Y＜1000</w:t>
            </w:r>
          </w:p>
        </w:tc>
        <w:tc>
          <w:tcPr>
            <w:tcW w:w="550" w:type="pct"/>
            <w:noWrap w:val="0"/>
            <w:vAlign w:val="center"/>
          </w:tcPr>
          <w:p w14:paraId="1C37254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4AF7890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tc>
      </w:tr>
      <w:tr w14:paraId="5778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41E36B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软件和信息技术服务业</w:t>
            </w:r>
          </w:p>
        </w:tc>
        <w:tc>
          <w:tcPr>
            <w:tcW w:w="756" w:type="pct"/>
            <w:noWrap w:val="0"/>
            <w:vAlign w:val="center"/>
          </w:tcPr>
          <w:p w14:paraId="5B50E2E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7082458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0658713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09388E8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X≥300  </w:t>
            </w:r>
          </w:p>
          <w:p w14:paraId="47C5E10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Y≥10000</w:t>
            </w:r>
          </w:p>
        </w:tc>
        <w:tc>
          <w:tcPr>
            <w:tcW w:w="910" w:type="pct"/>
            <w:noWrap w:val="0"/>
            <w:vAlign w:val="center"/>
          </w:tcPr>
          <w:p w14:paraId="6EF6B5E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1000≤Y＜10000</w:t>
            </w:r>
          </w:p>
        </w:tc>
        <w:tc>
          <w:tcPr>
            <w:tcW w:w="764" w:type="pct"/>
            <w:noWrap w:val="0"/>
            <w:vAlign w:val="center"/>
          </w:tcPr>
          <w:p w14:paraId="271F5C8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10≤X＜100 </w:t>
            </w:r>
          </w:p>
          <w:p w14:paraId="5B38D45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50≤Y＜1000</w:t>
            </w:r>
          </w:p>
        </w:tc>
        <w:tc>
          <w:tcPr>
            <w:tcW w:w="550" w:type="pct"/>
            <w:noWrap w:val="0"/>
            <w:vAlign w:val="center"/>
          </w:tcPr>
          <w:p w14:paraId="3322FF6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04B46FE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w:t>
            </w:r>
          </w:p>
        </w:tc>
      </w:tr>
      <w:tr w14:paraId="063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9" w:type="pct"/>
            <w:noWrap w:val="0"/>
            <w:vAlign w:val="center"/>
          </w:tcPr>
          <w:p w14:paraId="4355230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房地产开发经营</w:t>
            </w:r>
          </w:p>
        </w:tc>
        <w:tc>
          <w:tcPr>
            <w:tcW w:w="756" w:type="pct"/>
            <w:noWrap w:val="0"/>
            <w:vAlign w:val="center"/>
          </w:tcPr>
          <w:p w14:paraId="137B8D1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215D533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6C551B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50A0055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Y≥200000</w:t>
            </w:r>
          </w:p>
          <w:p w14:paraId="5F0FD43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Z≥10000</w:t>
            </w:r>
          </w:p>
        </w:tc>
        <w:tc>
          <w:tcPr>
            <w:tcW w:w="910" w:type="pct"/>
            <w:noWrap w:val="0"/>
            <w:vAlign w:val="center"/>
          </w:tcPr>
          <w:p w14:paraId="3C35139E">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1000≤Y＜200000  5000≤Z＜10000</w:t>
            </w:r>
          </w:p>
        </w:tc>
        <w:tc>
          <w:tcPr>
            <w:tcW w:w="764" w:type="pct"/>
            <w:noWrap w:val="0"/>
            <w:vAlign w:val="center"/>
          </w:tcPr>
          <w:p w14:paraId="768E0B39">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100≤Y＜1000  2000≤Z＜5000</w:t>
            </w:r>
          </w:p>
        </w:tc>
        <w:tc>
          <w:tcPr>
            <w:tcW w:w="550" w:type="pct"/>
            <w:noWrap w:val="0"/>
            <w:vAlign w:val="center"/>
          </w:tcPr>
          <w:p w14:paraId="4C60698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Y＜100</w:t>
            </w:r>
          </w:p>
          <w:p w14:paraId="06D9BB7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Z＜2000</w:t>
            </w:r>
          </w:p>
        </w:tc>
      </w:tr>
      <w:tr w14:paraId="308C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54F9D29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物业管理</w:t>
            </w:r>
          </w:p>
        </w:tc>
        <w:tc>
          <w:tcPr>
            <w:tcW w:w="756" w:type="pct"/>
            <w:noWrap w:val="0"/>
            <w:vAlign w:val="center"/>
          </w:tcPr>
          <w:p w14:paraId="48F0C31D">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从业人员（X）营业收入（Y）</w:t>
            </w:r>
          </w:p>
        </w:tc>
        <w:tc>
          <w:tcPr>
            <w:tcW w:w="365" w:type="pct"/>
            <w:noWrap w:val="0"/>
            <w:vAlign w:val="center"/>
          </w:tcPr>
          <w:p w14:paraId="12C0B19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6D27148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7562BB64">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X≥1000</w:t>
            </w:r>
          </w:p>
          <w:p w14:paraId="3BE456C7">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Y≥5000</w:t>
            </w:r>
          </w:p>
        </w:tc>
        <w:tc>
          <w:tcPr>
            <w:tcW w:w="910" w:type="pct"/>
            <w:noWrap w:val="0"/>
            <w:vAlign w:val="center"/>
          </w:tcPr>
          <w:p w14:paraId="01E9865F">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300≤X＜1000</w:t>
            </w:r>
          </w:p>
          <w:p w14:paraId="1A4455D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1000≤Y＜5000</w:t>
            </w:r>
          </w:p>
        </w:tc>
        <w:tc>
          <w:tcPr>
            <w:tcW w:w="764" w:type="pct"/>
            <w:noWrap w:val="0"/>
            <w:vAlign w:val="center"/>
          </w:tcPr>
          <w:p w14:paraId="2FF31E2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500≤Y＜1000</w:t>
            </w:r>
          </w:p>
        </w:tc>
        <w:tc>
          <w:tcPr>
            <w:tcW w:w="550" w:type="pct"/>
            <w:noWrap w:val="0"/>
            <w:vAlign w:val="center"/>
          </w:tcPr>
          <w:p w14:paraId="64EC72DA">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X＜100</w:t>
            </w:r>
          </w:p>
          <w:p w14:paraId="44ED418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Y＜500</w:t>
            </w:r>
          </w:p>
        </w:tc>
      </w:tr>
      <w:tr w14:paraId="6119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1437159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租赁和商务服务业</w:t>
            </w:r>
          </w:p>
        </w:tc>
        <w:tc>
          <w:tcPr>
            <w:tcW w:w="756" w:type="pct"/>
            <w:noWrap w:val="0"/>
            <w:vAlign w:val="center"/>
          </w:tcPr>
          <w:p w14:paraId="0A7308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从业人员（X）资产总额（Z）</w:t>
            </w:r>
          </w:p>
        </w:tc>
        <w:tc>
          <w:tcPr>
            <w:tcW w:w="365" w:type="pct"/>
            <w:noWrap w:val="0"/>
            <w:vAlign w:val="center"/>
          </w:tcPr>
          <w:p w14:paraId="68066E61">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p w14:paraId="2E975672">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万元</w:t>
            </w:r>
          </w:p>
        </w:tc>
        <w:tc>
          <w:tcPr>
            <w:tcW w:w="624" w:type="pct"/>
            <w:noWrap w:val="0"/>
            <w:vAlign w:val="center"/>
          </w:tcPr>
          <w:p w14:paraId="5AF2DF7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p w14:paraId="68C49C1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Z≥120000</w:t>
            </w:r>
          </w:p>
        </w:tc>
        <w:tc>
          <w:tcPr>
            <w:tcW w:w="910" w:type="pct"/>
            <w:noWrap w:val="0"/>
            <w:vAlign w:val="center"/>
          </w:tcPr>
          <w:p w14:paraId="7D3E7BD0">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  8000≤Z＜120000</w:t>
            </w:r>
          </w:p>
        </w:tc>
        <w:tc>
          <w:tcPr>
            <w:tcW w:w="764" w:type="pct"/>
            <w:noWrap w:val="0"/>
            <w:vAlign w:val="center"/>
          </w:tcPr>
          <w:p w14:paraId="65FC365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  100≤Z＜8000</w:t>
            </w:r>
          </w:p>
        </w:tc>
        <w:tc>
          <w:tcPr>
            <w:tcW w:w="550" w:type="pct"/>
            <w:noWrap w:val="0"/>
            <w:vAlign w:val="center"/>
          </w:tcPr>
          <w:p w14:paraId="6104DF48">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p w14:paraId="28FF801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Z＜100</w:t>
            </w:r>
          </w:p>
        </w:tc>
      </w:tr>
      <w:tr w14:paraId="1F2E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pct"/>
            <w:noWrap w:val="0"/>
            <w:vAlign w:val="center"/>
          </w:tcPr>
          <w:p w14:paraId="6A241236">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其他未列明行业</w:t>
            </w:r>
          </w:p>
        </w:tc>
        <w:tc>
          <w:tcPr>
            <w:tcW w:w="756" w:type="pct"/>
            <w:noWrap w:val="0"/>
            <w:vAlign w:val="center"/>
          </w:tcPr>
          <w:p w14:paraId="02B1D4D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从业人员（X）</w:t>
            </w:r>
          </w:p>
        </w:tc>
        <w:tc>
          <w:tcPr>
            <w:tcW w:w="365" w:type="pct"/>
            <w:noWrap w:val="0"/>
            <w:vAlign w:val="center"/>
          </w:tcPr>
          <w:p w14:paraId="0FD6757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w:t>
            </w:r>
          </w:p>
        </w:tc>
        <w:tc>
          <w:tcPr>
            <w:tcW w:w="624" w:type="pct"/>
            <w:noWrap w:val="0"/>
            <w:vAlign w:val="center"/>
          </w:tcPr>
          <w:p w14:paraId="1965CEAB">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X≥300</w:t>
            </w:r>
          </w:p>
        </w:tc>
        <w:tc>
          <w:tcPr>
            <w:tcW w:w="910" w:type="pct"/>
            <w:noWrap w:val="0"/>
            <w:vAlign w:val="center"/>
          </w:tcPr>
          <w:p w14:paraId="6999AD1C">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100≤X＜300</w:t>
            </w:r>
          </w:p>
        </w:tc>
        <w:tc>
          <w:tcPr>
            <w:tcW w:w="764" w:type="pct"/>
            <w:noWrap w:val="0"/>
            <w:vAlign w:val="center"/>
          </w:tcPr>
          <w:p w14:paraId="7E6A7143">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10≤X＜100</w:t>
            </w:r>
          </w:p>
        </w:tc>
        <w:tc>
          <w:tcPr>
            <w:tcW w:w="550" w:type="pct"/>
            <w:noWrap w:val="0"/>
            <w:vAlign w:val="center"/>
          </w:tcPr>
          <w:p w14:paraId="44ECEA05">
            <w:pPr>
              <w:pStyle w:val="24"/>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X＜10</w:t>
            </w:r>
          </w:p>
        </w:tc>
      </w:tr>
    </w:tbl>
    <w:p w14:paraId="2634241E">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val="0"/>
          <w:bCs/>
          <w:color w:val="auto"/>
          <w:kern w:val="0"/>
          <w:sz w:val="18"/>
          <w:szCs w:val="18"/>
          <w:highlight w:val="none"/>
          <w:u w:val="none"/>
          <w:lang w:val="en-US" w:eastAsia="zh-CN" w:bidi="ar-SA"/>
        </w:rPr>
      </w:pPr>
      <w:r>
        <w:rPr>
          <w:rFonts w:hint="eastAsia" w:ascii="宋体" w:hAnsi="宋体" w:eastAsia="宋体" w:cs="宋体"/>
          <w:b w:val="0"/>
          <w:bCs/>
          <w:color w:val="auto"/>
          <w:kern w:val="0"/>
          <w:sz w:val="18"/>
          <w:szCs w:val="18"/>
          <w:highlight w:val="none"/>
          <w:u w:val="none"/>
          <w:lang w:val="en-US" w:eastAsia="zh-CN" w:bidi="ar-SA"/>
        </w:rPr>
        <w:t>说明： 1.大型、中型和小型企业须同时满足所列指标的下限， 否则下划一档；微型企业只须满足所列指标中的一项即可。</w:t>
      </w:r>
    </w:p>
    <w:p w14:paraId="6DD5C2C4">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val="0"/>
          <w:bCs/>
          <w:color w:val="auto"/>
          <w:kern w:val="0"/>
          <w:sz w:val="18"/>
          <w:szCs w:val="18"/>
          <w:highlight w:val="none"/>
          <w:u w:val="none"/>
          <w:lang w:val="en-US" w:eastAsia="zh-CN" w:bidi="ar-SA"/>
        </w:rPr>
      </w:pPr>
      <w:r>
        <w:rPr>
          <w:rFonts w:hint="eastAsia" w:ascii="宋体" w:hAnsi="宋体" w:eastAsia="宋体" w:cs="宋体"/>
          <w:b w:val="0"/>
          <w:bCs/>
          <w:color w:val="auto"/>
          <w:kern w:val="0"/>
          <w:sz w:val="18"/>
          <w:szCs w:val="18"/>
          <w:highlight w:val="none"/>
          <w:u w:val="none"/>
          <w:lang w:val="en-US" w:eastAsia="zh-CN" w:bidi="ar-SA"/>
        </w:rPr>
        <w:t xml:space="preserve"> 2.附表中各行业的范围以《国民经济行业分类》 （GB/T4754-2017）为准。带*的项为行业组合类别，其中， 工业包括采矿业，制造业，电力、热力、燃气及水生产和供 应业；交通运输业包括道路运输业，水上运输业，航空运输 业，管道运输业，多式联运和运输代理业、装卸搬运，不包 括铁路运输业；仓储业包括通用仓储，低温仓储，危险品仓储，谷物、棉花等农产品仓储，中药材仓储和其他仓储业; 信息传输业包括电信、广播电视和卫星传输服务，互联网和 相关服务；其他未列明行业包括科学研究和技术服务业，水 利、环境和公共设施管理业，居民服务、修理和其他服务业， 社会工作，文化、体育和娱乐业，以及房地产中介服务，其 他房地产业等，不包括自有房地产经营活动。 3.企业划分指标以现行统计制度为准。（1）从业人员， 是指期末从业人员数，没有期末从业人员数的，采用全年平 均人员数代替。（2）营业收入，工业、建筑业、限额以上 批发和零售业、限额以上住宿和餐饮业以及其他设置主营业 务收入指标的行业，采用主营业务收入；限额以下批发与零 售业企业采用商品销售额代替；限额以下住宿与餐饮业企业 采用营业额代替；农、林、牧、渔业企业采用营业总收入代 替；其他未设置主营业务收入的行业，采用营业收入指标。</w:t>
      </w:r>
    </w:p>
    <w:p w14:paraId="3ACB0314">
      <w:pPr>
        <w:pStyle w:val="6"/>
        <w:bidi w:val="0"/>
        <w:spacing w:line="480" w:lineRule="auto"/>
        <w:ind w:left="0" w:leftChars="0" w:firstLine="0" w:firstLineChars="0"/>
        <w:rPr>
          <w:rFonts w:hint="eastAsia" w:ascii="宋体" w:hAnsi="宋体" w:eastAsia="宋体" w:cs="宋体"/>
          <w:b/>
          <w:bCs/>
          <w:color w:val="auto"/>
          <w:kern w:val="2"/>
          <w:sz w:val="21"/>
          <w:szCs w:val="21"/>
          <w:highlight w:val="none"/>
          <w:lang w:val="en-US" w:eastAsia="zh-CN" w:bidi="ar-SA"/>
        </w:rPr>
      </w:pPr>
      <w:bookmarkStart w:id="956" w:name="_Toc1587"/>
      <w:r>
        <w:rPr>
          <w:rFonts w:hint="eastAsia" w:ascii="宋体" w:hAnsi="宋体" w:eastAsia="宋体" w:cs="宋体"/>
          <w:b w:val="0"/>
          <w:bCs/>
          <w:color w:val="auto"/>
          <w:kern w:val="0"/>
          <w:sz w:val="18"/>
          <w:szCs w:val="18"/>
          <w:highlight w:val="none"/>
          <w:u w:val="none"/>
          <w:lang w:val="en-US" w:eastAsia="zh-CN" w:bidi="ar-SA"/>
        </w:rPr>
        <w:t>3.请投标单位自行核查所属行业。</w:t>
      </w:r>
      <w:r>
        <w:rPr>
          <w:rFonts w:hint="eastAsia" w:hAnsi="宋体"/>
          <w:b/>
          <w:color w:val="auto"/>
          <w:spacing w:val="6"/>
          <w:highlight w:val="none"/>
          <w:shd w:val="clear" w:color="auto" w:fill="auto"/>
        </w:rPr>
        <w:br w:type="page"/>
      </w:r>
      <w:bookmarkEnd w:id="956"/>
    </w:p>
    <w:p w14:paraId="68B13FC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eastAsia="zh-CN"/>
        </w:rPr>
        <w:t>残疾人福利性单位声明函</w:t>
      </w:r>
    </w:p>
    <w:p w14:paraId="405C3975">
      <w:pPr>
        <w:bidi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（属于残疾人福利企业的填写，不属于的无需填写此项内容）</w:t>
      </w:r>
    </w:p>
    <w:p w14:paraId="3F59AF3B">
      <w:pPr>
        <w:pStyle w:val="42"/>
        <w:bidi w:val="0"/>
        <w:rPr>
          <w:rFonts w:hint="eastAsia" w:ascii="宋体" w:hAnsi="宋体" w:eastAsia="宋体" w:cs="宋体"/>
          <w:color w:val="auto"/>
          <w:sz w:val="21"/>
          <w:szCs w:val="21"/>
          <w:highlight w:val="none"/>
        </w:rPr>
      </w:pPr>
    </w:p>
    <w:p w14:paraId="530F6929">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81C54A">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本单位对上述声明的真实性负责。如有虚假，将承担相应的法律责任。</w:t>
      </w:r>
    </w:p>
    <w:p w14:paraId="08065115">
      <w:pPr>
        <w:bidi w:val="0"/>
        <w:spacing w:line="360" w:lineRule="auto"/>
        <w:ind w:firstLine="420" w:firstLineChars="200"/>
        <w:rPr>
          <w:rFonts w:hint="eastAsia" w:ascii="宋体" w:hAnsi="宋体" w:eastAsia="宋体" w:cs="宋体"/>
          <w:color w:val="auto"/>
          <w:sz w:val="21"/>
          <w:szCs w:val="21"/>
          <w:highlight w:val="none"/>
        </w:rPr>
      </w:pPr>
    </w:p>
    <w:p w14:paraId="573CD60C">
      <w:pPr>
        <w:bidi w:val="0"/>
        <w:spacing w:line="360" w:lineRule="auto"/>
        <w:ind w:firstLine="420" w:firstLineChars="200"/>
        <w:rPr>
          <w:rFonts w:hint="eastAsia" w:ascii="宋体" w:hAnsi="宋体" w:eastAsia="宋体" w:cs="宋体"/>
          <w:color w:val="auto"/>
          <w:sz w:val="21"/>
          <w:szCs w:val="21"/>
          <w:highlight w:val="none"/>
        </w:rPr>
      </w:pPr>
    </w:p>
    <w:p w14:paraId="22DB5704">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供应商名称（单位电子签章）：</w:t>
      </w:r>
    </w:p>
    <w:p w14:paraId="694F941F">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w:t>
      </w:r>
    </w:p>
    <w:p w14:paraId="68FBB37D">
      <w:pPr>
        <w:pStyle w:val="2"/>
        <w:numPr>
          <w:ilvl w:val="0"/>
          <w:numId w:val="0"/>
        </w:numPr>
        <w:bidi w:val="0"/>
        <w:ind w:left="425"/>
        <w:jc w:val="center"/>
        <w:rPr>
          <w:rFonts w:hint="eastAsia" w:ascii="宋体" w:hAnsi="宋体" w:eastAsia="宋体" w:cs="宋体"/>
          <w:b/>
          <w:bCs w:val="0"/>
          <w:color w:val="auto"/>
          <w:kern w:val="2"/>
          <w:sz w:val="21"/>
          <w:szCs w:val="21"/>
          <w:highlight w:val="none"/>
          <w:lang w:val="en-US" w:eastAsia="zh-CN" w:bidi="ar-SA"/>
        </w:rPr>
      </w:pPr>
    </w:p>
    <w:p w14:paraId="746B983A">
      <w:pPr>
        <w:rPr>
          <w:rFonts w:hint="eastAsia" w:ascii="宋体" w:hAnsi="宋体" w:eastAsia="宋体" w:cs="宋体"/>
          <w:b/>
          <w:bCs w:val="0"/>
          <w:color w:val="auto"/>
          <w:kern w:val="2"/>
          <w:sz w:val="21"/>
          <w:szCs w:val="21"/>
          <w:highlight w:val="none"/>
          <w:lang w:val="en-US" w:eastAsia="zh-CN" w:bidi="ar-SA"/>
        </w:rPr>
      </w:pPr>
    </w:p>
    <w:p w14:paraId="6976A6A7">
      <w:pPr>
        <w:pStyle w:val="40"/>
        <w:rPr>
          <w:rFonts w:hint="eastAsia" w:ascii="宋体" w:hAnsi="宋体" w:eastAsia="宋体" w:cs="宋体"/>
          <w:b/>
          <w:bCs w:val="0"/>
          <w:color w:val="auto"/>
          <w:kern w:val="2"/>
          <w:sz w:val="21"/>
          <w:szCs w:val="21"/>
          <w:highlight w:val="none"/>
          <w:lang w:val="en-US" w:eastAsia="zh-CN" w:bidi="ar-SA"/>
        </w:rPr>
      </w:pPr>
    </w:p>
    <w:p w14:paraId="24A05ABB">
      <w:pPr>
        <w:pStyle w:val="19"/>
        <w:rPr>
          <w:rFonts w:hint="eastAsia" w:ascii="宋体" w:hAnsi="宋体" w:eastAsia="宋体" w:cs="宋体"/>
          <w:b/>
          <w:bCs w:val="0"/>
          <w:color w:val="auto"/>
          <w:kern w:val="2"/>
          <w:sz w:val="21"/>
          <w:szCs w:val="21"/>
          <w:highlight w:val="none"/>
          <w:lang w:val="en-US" w:eastAsia="zh-CN" w:bidi="ar-SA"/>
        </w:rPr>
      </w:pPr>
    </w:p>
    <w:p w14:paraId="55732BB4">
      <w:pPr>
        <w:pStyle w:val="19"/>
        <w:rPr>
          <w:rFonts w:hint="eastAsia" w:ascii="宋体" w:hAnsi="宋体" w:eastAsia="宋体" w:cs="宋体"/>
          <w:b/>
          <w:bCs w:val="0"/>
          <w:color w:val="auto"/>
          <w:kern w:val="2"/>
          <w:sz w:val="21"/>
          <w:szCs w:val="21"/>
          <w:highlight w:val="none"/>
          <w:lang w:val="en-US" w:eastAsia="zh-CN" w:bidi="ar-SA"/>
        </w:rPr>
      </w:pPr>
    </w:p>
    <w:p w14:paraId="28C56DEB">
      <w:pPr>
        <w:pStyle w:val="19"/>
        <w:rPr>
          <w:rFonts w:hint="eastAsia" w:ascii="宋体" w:hAnsi="宋体" w:eastAsia="宋体" w:cs="宋体"/>
          <w:b/>
          <w:bCs w:val="0"/>
          <w:color w:val="auto"/>
          <w:kern w:val="2"/>
          <w:sz w:val="21"/>
          <w:szCs w:val="21"/>
          <w:highlight w:val="none"/>
          <w:lang w:val="en-US" w:eastAsia="zh-CN" w:bidi="ar-SA"/>
        </w:rPr>
      </w:pPr>
    </w:p>
    <w:p w14:paraId="30900F03">
      <w:pPr>
        <w:pStyle w:val="19"/>
        <w:rPr>
          <w:rFonts w:hint="eastAsia" w:ascii="宋体" w:hAnsi="宋体" w:eastAsia="宋体" w:cs="宋体"/>
          <w:b/>
          <w:bCs w:val="0"/>
          <w:color w:val="auto"/>
          <w:kern w:val="2"/>
          <w:sz w:val="21"/>
          <w:szCs w:val="21"/>
          <w:highlight w:val="none"/>
          <w:lang w:val="en-US" w:eastAsia="zh-CN" w:bidi="ar-SA"/>
        </w:rPr>
      </w:pPr>
    </w:p>
    <w:p w14:paraId="5D3D239F">
      <w:pPr>
        <w:pStyle w:val="19"/>
        <w:rPr>
          <w:rFonts w:hint="eastAsia" w:ascii="宋体" w:hAnsi="宋体" w:eastAsia="宋体" w:cs="宋体"/>
          <w:b/>
          <w:bCs w:val="0"/>
          <w:color w:val="auto"/>
          <w:kern w:val="2"/>
          <w:sz w:val="21"/>
          <w:szCs w:val="21"/>
          <w:highlight w:val="none"/>
          <w:lang w:val="en-US" w:eastAsia="zh-CN" w:bidi="ar-SA"/>
        </w:rPr>
      </w:pPr>
    </w:p>
    <w:p w14:paraId="48F137C5">
      <w:pPr>
        <w:pStyle w:val="19"/>
        <w:rPr>
          <w:rFonts w:hint="eastAsia" w:ascii="宋体" w:hAnsi="宋体" w:eastAsia="宋体" w:cs="宋体"/>
          <w:b/>
          <w:bCs w:val="0"/>
          <w:color w:val="auto"/>
          <w:kern w:val="2"/>
          <w:sz w:val="21"/>
          <w:szCs w:val="21"/>
          <w:highlight w:val="none"/>
          <w:lang w:val="en-US" w:eastAsia="zh-CN" w:bidi="ar-SA"/>
        </w:rPr>
      </w:pPr>
    </w:p>
    <w:p w14:paraId="1A84ABA6">
      <w:pPr>
        <w:pStyle w:val="19"/>
        <w:rPr>
          <w:rFonts w:hint="eastAsia" w:ascii="宋体" w:hAnsi="宋体" w:eastAsia="宋体" w:cs="宋体"/>
          <w:b/>
          <w:bCs w:val="0"/>
          <w:color w:val="auto"/>
          <w:kern w:val="2"/>
          <w:sz w:val="21"/>
          <w:szCs w:val="21"/>
          <w:highlight w:val="none"/>
          <w:lang w:val="en-US" w:eastAsia="zh-CN" w:bidi="ar-SA"/>
        </w:rPr>
      </w:pPr>
    </w:p>
    <w:p w14:paraId="47930F37">
      <w:pPr>
        <w:pStyle w:val="19"/>
        <w:rPr>
          <w:rFonts w:hint="eastAsia" w:ascii="宋体" w:hAnsi="宋体" w:eastAsia="宋体" w:cs="宋体"/>
          <w:b/>
          <w:bCs w:val="0"/>
          <w:color w:val="auto"/>
          <w:kern w:val="2"/>
          <w:sz w:val="21"/>
          <w:szCs w:val="21"/>
          <w:highlight w:val="none"/>
          <w:lang w:val="en-US" w:eastAsia="zh-CN" w:bidi="ar-SA"/>
        </w:rPr>
      </w:pPr>
    </w:p>
    <w:p w14:paraId="663FB7FF">
      <w:pPr>
        <w:pStyle w:val="19"/>
        <w:rPr>
          <w:rFonts w:hint="eastAsia" w:ascii="宋体" w:hAnsi="宋体" w:eastAsia="宋体" w:cs="宋体"/>
          <w:b/>
          <w:bCs w:val="0"/>
          <w:color w:val="auto"/>
          <w:kern w:val="2"/>
          <w:sz w:val="21"/>
          <w:szCs w:val="21"/>
          <w:highlight w:val="none"/>
          <w:lang w:val="en-US" w:eastAsia="zh-CN" w:bidi="ar-SA"/>
        </w:rPr>
      </w:pPr>
    </w:p>
    <w:p w14:paraId="41763950">
      <w:pPr>
        <w:pStyle w:val="19"/>
        <w:rPr>
          <w:rFonts w:hint="eastAsia" w:ascii="宋体" w:hAnsi="宋体" w:eastAsia="宋体" w:cs="宋体"/>
          <w:b/>
          <w:bCs w:val="0"/>
          <w:color w:val="auto"/>
          <w:kern w:val="2"/>
          <w:sz w:val="21"/>
          <w:szCs w:val="21"/>
          <w:highlight w:val="none"/>
          <w:lang w:val="en-US" w:eastAsia="zh-CN" w:bidi="ar-SA"/>
        </w:rPr>
      </w:pPr>
    </w:p>
    <w:p w14:paraId="218E6155">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十、监狱企业证明文件（如有）</w:t>
      </w:r>
    </w:p>
    <w:p w14:paraId="51F21B99">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5B49684">
      <w:pPr>
        <w:bidi w:val="0"/>
        <w:spacing w:line="360" w:lineRule="auto"/>
        <w:jc w:val="center"/>
        <w:rPr>
          <w:rFonts w:hint="eastAsia" w:ascii="宋体" w:hAnsi="宋体" w:eastAsia="宋体" w:cs="宋体"/>
          <w:color w:val="auto"/>
          <w:sz w:val="21"/>
          <w:szCs w:val="21"/>
          <w:highlight w:val="none"/>
        </w:rPr>
      </w:pPr>
    </w:p>
    <w:p w14:paraId="4A022141">
      <w:pPr>
        <w:bidi w:val="0"/>
        <w:spacing w:line="360" w:lineRule="auto"/>
        <w:jc w:val="center"/>
        <w:rPr>
          <w:rFonts w:hint="eastAsia" w:ascii="宋体" w:hAnsi="宋体" w:eastAsia="宋体" w:cs="宋体"/>
          <w:color w:val="auto"/>
          <w:sz w:val="21"/>
          <w:szCs w:val="21"/>
          <w:highlight w:val="none"/>
        </w:rPr>
      </w:pPr>
    </w:p>
    <w:p w14:paraId="400D4D6C">
      <w:pPr>
        <w:bidi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注：在</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文件中附扫描件</w:t>
      </w:r>
      <w:r>
        <w:rPr>
          <w:rFonts w:hint="eastAsia" w:ascii="宋体" w:hAnsi="宋体" w:eastAsia="宋体" w:cs="宋体"/>
          <w:color w:val="auto"/>
          <w:sz w:val="21"/>
          <w:szCs w:val="21"/>
          <w:highlight w:val="none"/>
          <w:u w:val="none"/>
          <w:lang w:val="en-US" w:eastAsia="zh-CN"/>
        </w:rPr>
        <w:t>。</w:t>
      </w:r>
    </w:p>
    <w:p w14:paraId="622687BE">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2AFA66">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A19C771">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7BF71BAD">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A3BD76">
      <w:pPr>
        <w:pStyle w:val="2"/>
        <w:numPr>
          <w:ilvl w:val="0"/>
          <w:numId w:val="0"/>
        </w:numPr>
        <w:bidi w:val="0"/>
        <w:jc w:val="both"/>
        <w:rPr>
          <w:rFonts w:hint="eastAsia" w:ascii="宋体" w:hAnsi="宋体" w:eastAsia="宋体" w:cs="宋体"/>
          <w:b/>
          <w:bCs/>
          <w:color w:val="auto"/>
          <w:kern w:val="2"/>
          <w:sz w:val="28"/>
          <w:szCs w:val="28"/>
          <w:highlight w:val="none"/>
          <w:lang w:val="en-US" w:eastAsia="zh-CN" w:bidi="ar-SA"/>
        </w:rPr>
      </w:pPr>
    </w:p>
    <w:p w14:paraId="6AD0F61C">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p>
    <w:p w14:paraId="02C65DB5">
      <w:pPr>
        <w:rPr>
          <w:rFonts w:hint="eastAsia" w:ascii="宋体" w:hAnsi="宋体" w:eastAsia="宋体" w:cs="宋体"/>
          <w:b/>
          <w:bCs/>
          <w:color w:val="auto"/>
          <w:kern w:val="2"/>
          <w:sz w:val="28"/>
          <w:szCs w:val="28"/>
          <w:highlight w:val="none"/>
          <w:lang w:val="en-US" w:eastAsia="zh-CN" w:bidi="ar-SA"/>
        </w:rPr>
      </w:pPr>
    </w:p>
    <w:p w14:paraId="4E812ECB">
      <w:pPr>
        <w:pStyle w:val="23"/>
        <w:rPr>
          <w:rFonts w:hint="eastAsia" w:ascii="宋体" w:hAnsi="宋体" w:eastAsia="宋体" w:cs="宋体"/>
          <w:b/>
          <w:bCs/>
          <w:color w:val="auto"/>
          <w:kern w:val="2"/>
          <w:sz w:val="28"/>
          <w:szCs w:val="28"/>
          <w:highlight w:val="none"/>
          <w:lang w:val="en-US" w:eastAsia="zh-CN" w:bidi="ar-SA"/>
        </w:rPr>
      </w:pPr>
    </w:p>
    <w:p w14:paraId="0399EBD8">
      <w:pPr>
        <w:pStyle w:val="24"/>
        <w:rPr>
          <w:rFonts w:hint="eastAsia" w:ascii="宋体" w:hAnsi="宋体" w:eastAsia="宋体" w:cs="宋体"/>
          <w:b/>
          <w:bCs/>
          <w:color w:val="auto"/>
          <w:kern w:val="2"/>
          <w:sz w:val="28"/>
          <w:szCs w:val="28"/>
          <w:highlight w:val="none"/>
          <w:lang w:val="en-US" w:eastAsia="zh-CN" w:bidi="ar-SA"/>
        </w:rPr>
      </w:pPr>
    </w:p>
    <w:p w14:paraId="5A28366E">
      <w:pPr>
        <w:rPr>
          <w:rFonts w:hint="eastAsia" w:ascii="宋体" w:hAnsi="宋体" w:eastAsia="宋体" w:cs="宋体"/>
          <w:b/>
          <w:bCs/>
          <w:color w:val="auto"/>
          <w:kern w:val="2"/>
          <w:sz w:val="28"/>
          <w:szCs w:val="28"/>
          <w:highlight w:val="none"/>
          <w:lang w:val="en-US" w:eastAsia="zh-CN" w:bidi="ar-SA"/>
        </w:rPr>
      </w:pPr>
    </w:p>
    <w:p w14:paraId="79B8D1E1">
      <w:pPr>
        <w:pStyle w:val="23"/>
        <w:rPr>
          <w:rFonts w:hint="eastAsia" w:ascii="宋体" w:hAnsi="宋体" w:eastAsia="宋体" w:cs="宋体"/>
          <w:b/>
          <w:bCs/>
          <w:color w:val="auto"/>
          <w:kern w:val="2"/>
          <w:sz w:val="28"/>
          <w:szCs w:val="28"/>
          <w:highlight w:val="none"/>
          <w:lang w:val="en-US" w:eastAsia="zh-CN" w:bidi="ar-SA"/>
        </w:rPr>
      </w:pPr>
    </w:p>
    <w:p w14:paraId="5E0EB126">
      <w:pPr>
        <w:pStyle w:val="24"/>
        <w:rPr>
          <w:rFonts w:hint="eastAsia" w:ascii="宋体" w:hAnsi="宋体" w:eastAsia="宋体" w:cs="宋体"/>
          <w:b/>
          <w:bCs/>
          <w:color w:val="auto"/>
          <w:kern w:val="2"/>
          <w:sz w:val="28"/>
          <w:szCs w:val="28"/>
          <w:highlight w:val="none"/>
          <w:lang w:val="en-US" w:eastAsia="zh-CN" w:bidi="ar-SA"/>
        </w:rPr>
      </w:pPr>
    </w:p>
    <w:p w14:paraId="73C76865">
      <w:pPr>
        <w:rPr>
          <w:rFonts w:hint="eastAsia"/>
          <w:color w:val="auto"/>
          <w:highlight w:val="none"/>
          <w:lang w:val="en-US" w:eastAsia="zh-CN"/>
        </w:rPr>
      </w:pPr>
    </w:p>
    <w:p w14:paraId="4B6CCBE9">
      <w:pPr>
        <w:bidi w:val="0"/>
        <w:spacing w:line="360" w:lineRule="auto"/>
        <w:ind w:left="645"/>
        <w:outlineLvl w:val="0"/>
        <w:rPr>
          <w:rFonts w:hint="eastAsia" w:ascii="宋体" w:hAnsi="宋体" w:eastAsia="宋体" w:cs="宋体"/>
          <w:color w:val="auto"/>
          <w:sz w:val="21"/>
          <w:szCs w:val="21"/>
          <w:highlight w:val="none"/>
        </w:rPr>
      </w:pPr>
    </w:p>
    <w:p w14:paraId="11C16CED">
      <w:pPr>
        <w:pStyle w:val="23"/>
        <w:bidi w:val="0"/>
        <w:ind w:firstLine="210"/>
        <w:rPr>
          <w:rFonts w:hint="eastAsia" w:ascii="宋体" w:hAnsi="宋体" w:eastAsia="宋体" w:cs="宋体"/>
          <w:color w:val="auto"/>
          <w:sz w:val="21"/>
          <w:szCs w:val="21"/>
          <w:highlight w:val="none"/>
        </w:rPr>
      </w:pPr>
    </w:p>
    <w:p w14:paraId="2B993C1F">
      <w:pPr>
        <w:pStyle w:val="24"/>
        <w:rPr>
          <w:rFonts w:hint="eastAsia" w:ascii="宋体" w:hAnsi="宋体" w:eastAsia="宋体" w:cs="宋体"/>
          <w:color w:val="auto"/>
          <w:sz w:val="21"/>
          <w:szCs w:val="21"/>
          <w:highlight w:val="none"/>
        </w:rPr>
      </w:pPr>
    </w:p>
    <w:p w14:paraId="4076FF38">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十一、反商业贿赂承诺书</w:t>
      </w:r>
    </w:p>
    <w:p w14:paraId="7998A6BD">
      <w:pPr>
        <w:rPr>
          <w:rFonts w:hint="eastAsia"/>
          <w:color w:val="auto"/>
          <w:highlight w:val="none"/>
        </w:rPr>
      </w:pPr>
    </w:p>
    <w:p w14:paraId="3DD5B178">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我方承诺：</w:t>
      </w:r>
    </w:p>
    <w:p w14:paraId="3D05BEF9">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（项目编号：  ）</w:t>
      </w:r>
      <w:r>
        <w:rPr>
          <w:rFonts w:hint="eastAsia" w:ascii="宋体" w:hAnsi="宋体" w:eastAsia="宋体" w:cs="宋体"/>
          <w:color w:val="auto"/>
          <w:sz w:val="21"/>
          <w:szCs w:val="21"/>
          <w:highlight w:val="none"/>
          <w:lang w:val="zh-CN"/>
        </w:rPr>
        <w:t>投标活动中，我方保证做到：</w:t>
      </w:r>
    </w:p>
    <w:p w14:paraId="763828E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一、公平竞争参加本次公开采购活动。</w:t>
      </w:r>
    </w:p>
    <w:p w14:paraId="76308216">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15D81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三、若出现上述行为，我方及参与投标的工作人员愿意接受按照国家法律法规等有关规定给予的处罚。</w:t>
      </w:r>
    </w:p>
    <w:p w14:paraId="0682E128">
      <w:pPr>
        <w:bidi w:val="0"/>
        <w:spacing w:line="360" w:lineRule="auto"/>
        <w:ind w:left="645"/>
        <w:outlineLvl w:val="0"/>
        <w:rPr>
          <w:rFonts w:hint="eastAsia" w:ascii="宋体" w:hAnsi="宋体" w:eastAsia="宋体" w:cs="宋体"/>
          <w:color w:val="auto"/>
          <w:sz w:val="21"/>
          <w:szCs w:val="21"/>
          <w:highlight w:val="none"/>
        </w:rPr>
      </w:pPr>
    </w:p>
    <w:p w14:paraId="126A2DD5">
      <w:pPr>
        <w:bidi w:val="0"/>
        <w:spacing w:line="360" w:lineRule="auto"/>
        <w:ind w:left="645"/>
        <w:outlineLvl w:val="0"/>
        <w:rPr>
          <w:rFonts w:hint="eastAsia" w:ascii="宋体" w:hAnsi="宋体" w:eastAsia="宋体" w:cs="宋体"/>
          <w:color w:val="auto"/>
          <w:sz w:val="21"/>
          <w:szCs w:val="21"/>
          <w:highlight w:val="none"/>
        </w:rPr>
      </w:pPr>
    </w:p>
    <w:p w14:paraId="1AB79B57">
      <w:pPr>
        <w:bidi w:val="0"/>
        <w:spacing w:line="360" w:lineRule="auto"/>
        <w:ind w:left="645"/>
        <w:outlineLvl w:val="0"/>
        <w:rPr>
          <w:rFonts w:hint="eastAsia" w:ascii="宋体" w:hAnsi="宋体" w:eastAsia="宋体" w:cs="宋体"/>
          <w:color w:val="auto"/>
          <w:sz w:val="21"/>
          <w:szCs w:val="21"/>
          <w:highlight w:val="none"/>
        </w:rPr>
      </w:pPr>
    </w:p>
    <w:p w14:paraId="156B6F42">
      <w:pPr>
        <w:bidi w:val="0"/>
        <w:spacing w:line="360" w:lineRule="auto"/>
        <w:ind w:left="645"/>
        <w:outlineLvl w:val="0"/>
        <w:rPr>
          <w:rFonts w:hint="eastAsia" w:ascii="宋体" w:hAnsi="宋体" w:eastAsia="宋体" w:cs="宋体"/>
          <w:color w:val="auto"/>
          <w:sz w:val="21"/>
          <w:szCs w:val="21"/>
          <w:highlight w:val="none"/>
        </w:rPr>
      </w:pPr>
    </w:p>
    <w:p w14:paraId="215E118E">
      <w:pPr>
        <w:bidi w:val="0"/>
        <w:spacing w:line="360" w:lineRule="auto"/>
        <w:ind w:left="645"/>
        <w:outlineLvl w:val="0"/>
        <w:rPr>
          <w:rFonts w:hint="eastAsia" w:ascii="宋体" w:hAnsi="宋体" w:eastAsia="宋体" w:cs="宋体"/>
          <w:b/>
          <w:bCs/>
          <w:color w:val="auto"/>
          <w:sz w:val="21"/>
          <w:szCs w:val="21"/>
          <w:highlight w:val="none"/>
        </w:rPr>
      </w:pPr>
    </w:p>
    <w:p w14:paraId="2FCECC3B">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供应商（单位电子签章）：　</w:t>
      </w:r>
    </w:p>
    <w:p w14:paraId="4F9508C0">
      <w:pPr>
        <w:bidi w:val="0"/>
        <w:spacing w:line="360" w:lineRule="auto"/>
        <w:ind w:left="645"/>
        <w:outlineLvl w:val="0"/>
        <w:rPr>
          <w:rFonts w:hint="eastAsia" w:ascii="宋体" w:hAnsi="宋体" w:eastAsia="宋体" w:cs="宋体"/>
          <w:b/>
          <w:bCs/>
          <w:color w:val="auto"/>
          <w:sz w:val="21"/>
          <w:szCs w:val="21"/>
          <w:highlight w:val="none"/>
        </w:rPr>
      </w:pPr>
    </w:p>
    <w:p w14:paraId="7464BCC7">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法定代表人</w:t>
      </w:r>
      <w:r>
        <w:rPr>
          <w:rFonts w:hint="eastAsia" w:ascii="宋体" w:hAnsi="宋体" w:eastAsia="宋体" w:cs="宋体"/>
          <w:b/>
          <w:bCs/>
          <w:color w:val="auto"/>
          <w:sz w:val="21"/>
          <w:szCs w:val="21"/>
          <w:highlight w:val="none"/>
        </w:rPr>
        <w:t>或授权代表（电子签名或盖章）：</w:t>
      </w:r>
    </w:p>
    <w:p w14:paraId="50F15767">
      <w:pPr>
        <w:bidi w:val="0"/>
        <w:spacing w:line="360" w:lineRule="auto"/>
        <w:ind w:left="645"/>
        <w:outlineLvl w:val="0"/>
        <w:rPr>
          <w:rFonts w:hint="eastAsia" w:ascii="宋体" w:hAnsi="宋体" w:eastAsia="宋体" w:cs="宋体"/>
          <w:b/>
          <w:bCs/>
          <w:color w:val="auto"/>
          <w:sz w:val="21"/>
          <w:szCs w:val="21"/>
          <w:highlight w:val="none"/>
        </w:rPr>
      </w:pPr>
    </w:p>
    <w:p w14:paraId="4A5A2BC5">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    年　　月　　日</w:t>
      </w:r>
    </w:p>
    <w:p w14:paraId="14D10727">
      <w:pPr>
        <w:spacing w:line="600" w:lineRule="exact"/>
        <w:rPr>
          <w:rFonts w:hint="eastAsia" w:ascii="宋体" w:hAnsi="宋体"/>
          <w:color w:val="auto"/>
          <w:szCs w:val="21"/>
          <w:highlight w:val="none"/>
        </w:rPr>
      </w:pPr>
    </w:p>
    <w:p w14:paraId="56BC3E08">
      <w:pPr>
        <w:spacing w:line="360" w:lineRule="auto"/>
        <w:jc w:val="center"/>
        <w:rPr>
          <w:rFonts w:ascii="宋体" w:hAnsi="宋体"/>
          <w:b/>
          <w:color w:val="auto"/>
          <w:szCs w:val="21"/>
          <w:highlight w:val="none"/>
        </w:rPr>
      </w:pPr>
    </w:p>
    <w:p w14:paraId="6D3BA1C8">
      <w:pPr>
        <w:pStyle w:val="9"/>
        <w:rPr>
          <w:rFonts w:hint="eastAsia" w:ascii="宋体" w:hAnsi="宋体"/>
          <w:color w:val="auto"/>
          <w:sz w:val="21"/>
          <w:szCs w:val="21"/>
          <w:highlight w:val="none"/>
          <w:lang w:eastAsia="zh-CN"/>
        </w:rPr>
      </w:pPr>
    </w:p>
    <w:p w14:paraId="619A00F9">
      <w:pPr>
        <w:pStyle w:val="21"/>
        <w:rPr>
          <w:rFonts w:hint="eastAsia" w:ascii="宋体" w:hAnsi="宋体"/>
          <w:color w:val="auto"/>
          <w:sz w:val="21"/>
          <w:szCs w:val="21"/>
          <w:highlight w:val="none"/>
          <w:lang w:eastAsia="zh-CN"/>
        </w:rPr>
      </w:pPr>
    </w:p>
    <w:p w14:paraId="599C47F2">
      <w:pPr>
        <w:rPr>
          <w:rFonts w:hint="eastAsia"/>
          <w:color w:val="auto"/>
          <w:highlight w:val="none"/>
          <w:lang w:eastAsia="zh-CN"/>
        </w:rPr>
      </w:pPr>
    </w:p>
    <w:p w14:paraId="273230C5">
      <w:pPr>
        <w:pStyle w:val="23"/>
        <w:rPr>
          <w:rFonts w:hint="eastAsia"/>
          <w:color w:val="auto"/>
          <w:highlight w:val="none"/>
          <w:lang w:eastAsia="zh-CN"/>
        </w:rPr>
      </w:pPr>
    </w:p>
    <w:p w14:paraId="4C52C710">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十二、其他材料</w:t>
      </w:r>
    </w:p>
    <w:p w14:paraId="75313D3E">
      <w:pPr>
        <w:bidi w:val="0"/>
        <w:spacing w:line="360" w:lineRule="auto"/>
        <w:jc w:val="center"/>
        <w:rPr>
          <w:rFonts w:hint="eastAsia" w:ascii="宋体" w:hAnsi="宋体" w:eastAsia="宋体" w:cs="宋体"/>
          <w:b/>
          <w:color w:val="auto"/>
          <w:sz w:val="21"/>
          <w:szCs w:val="21"/>
          <w:highlight w:val="none"/>
          <w:lang w:val="en-US" w:eastAsia="zh-CN"/>
        </w:rPr>
      </w:pPr>
    </w:p>
    <w:p w14:paraId="4C34D456">
      <w:pPr>
        <w:bidi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1、采购代理服务费承诺函</w:t>
      </w:r>
    </w:p>
    <w:p w14:paraId="1C7CB497">
      <w:pPr>
        <w:pStyle w:val="22"/>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2485274B">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ascii="宋体" w:hAnsi="宋体" w:eastAsia="宋体" w:cs="宋体"/>
          <w:color w:val="auto"/>
          <w:spacing w:val="8"/>
          <w:sz w:val="21"/>
          <w:szCs w:val="21"/>
          <w:highlight w:val="none"/>
          <w:u w:val="single"/>
          <w:shd w:val="clear" w:color="auto" w:fill="FFFFFF"/>
        </w:rPr>
        <w:t>（采购人及采购代理机构） </w:t>
      </w:r>
      <w:r>
        <w:rPr>
          <w:rFonts w:hint="eastAsia" w:ascii="宋体" w:hAnsi="宋体" w:eastAsia="宋体" w:cs="宋体"/>
          <w:color w:val="auto"/>
          <w:spacing w:val="8"/>
          <w:sz w:val="21"/>
          <w:szCs w:val="21"/>
          <w:highlight w:val="none"/>
          <w:shd w:val="clear" w:color="auto" w:fill="FFFFFF"/>
        </w:rPr>
        <w:t>：</w:t>
      </w:r>
    </w:p>
    <w:p w14:paraId="31DB369C">
      <w:pPr>
        <w:pStyle w:val="22"/>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，采购编号：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）招标采购中若获中标（成交），我们保证在中标</w:t>
      </w:r>
      <w:r>
        <w:rPr>
          <w:rFonts w:hint="eastAsia" w:eastAsia="宋体"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highlight w:val="none"/>
          <w:shd w:val="clear" w:color="auto" w:fill="FFFFFF"/>
          <w:lang w:eastAsia="zh-CN"/>
        </w:rPr>
        <w:t>采购代理</w:t>
      </w:r>
      <w:r>
        <w:rPr>
          <w:rFonts w:hint="eastAsia" w:ascii="宋体" w:hAnsi="宋体" w:eastAsia="宋体" w:cs="宋体"/>
          <w:color w:val="auto"/>
          <w:spacing w:val="8"/>
          <w:sz w:val="21"/>
          <w:szCs w:val="21"/>
          <w:highlight w:val="none"/>
          <w:shd w:val="clear" w:color="auto" w:fill="FFFFFF"/>
        </w:rPr>
        <w:t>服务费用。否则，由此产生的一切法律后果和责任由我公司承担。我公司声明放弃对此提出任何异议和追索的权利。</w:t>
      </w:r>
    </w:p>
    <w:p w14:paraId="35BB7FDC">
      <w:pPr>
        <w:pStyle w:val="22"/>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736A9961">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0DCE8BB">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59A9BC0">
      <w:pPr>
        <w:pStyle w:val="22"/>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供应商名称：</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（单位电子签章）</w:t>
      </w:r>
    </w:p>
    <w:p w14:paraId="21A063AC">
      <w:pPr>
        <w:pStyle w:val="22"/>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法定代表人或授权代表：</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（电子签名或盖章）</w:t>
      </w:r>
    </w:p>
    <w:p w14:paraId="48821CDB">
      <w:pPr>
        <w:pStyle w:val="22"/>
        <w:shd w:val="clear" w:color="auto" w:fill="FFFFFF"/>
        <w:bidi w:val="0"/>
        <w:spacing w:before="0" w:beforeLines="0" w:beforeAutospacing="0" w:after="0" w:afterLines="0" w:afterAutospacing="0" w:line="360" w:lineRule="auto"/>
        <w:ind w:firstLine="480"/>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日期：</w:t>
      </w:r>
      <w:r>
        <w:rPr>
          <w:rFonts w:hint="eastAsia" w:ascii="宋体" w:hAnsi="宋体" w:eastAsia="宋体" w:cs="宋体"/>
          <w:b/>
          <w:bCs/>
          <w:color w:val="auto"/>
          <w:spacing w:val="8"/>
          <w:sz w:val="21"/>
          <w:szCs w:val="21"/>
          <w:highlight w:val="none"/>
          <w:u w:val="single"/>
          <w:shd w:val="clear" w:color="auto" w:fill="FFFFFF"/>
        </w:rPr>
        <w:t>              </w:t>
      </w:r>
    </w:p>
    <w:p w14:paraId="3C9B72D9">
      <w:pPr>
        <w:pStyle w:val="22"/>
        <w:shd w:val="clear" w:color="auto" w:fill="FFFFFF"/>
        <w:bidi w:val="0"/>
        <w:spacing w:before="0" w:beforeLines="0" w:beforeAutospacing="0" w:after="0" w:afterLines="0" w:afterAutospacing="0" w:line="360" w:lineRule="auto"/>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 </w:t>
      </w:r>
    </w:p>
    <w:p w14:paraId="38846BE1">
      <w:pPr>
        <w:bidi w:val="0"/>
        <w:rPr>
          <w:rFonts w:hint="eastAsia" w:ascii="宋体" w:hAnsi="宋体" w:eastAsia="宋体" w:cs="宋体"/>
          <w:color w:val="auto"/>
          <w:sz w:val="21"/>
          <w:szCs w:val="21"/>
          <w:highlight w:val="none"/>
        </w:rPr>
      </w:pPr>
    </w:p>
    <w:p w14:paraId="2F8A0E76">
      <w:pPr>
        <w:bidi w:val="0"/>
        <w:spacing w:line="360" w:lineRule="auto"/>
        <w:jc w:val="center"/>
        <w:rPr>
          <w:rFonts w:hint="eastAsia" w:ascii="宋体" w:hAnsi="宋体" w:eastAsia="宋体" w:cs="宋体"/>
          <w:color w:val="auto"/>
          <w:sz w:val="21"/>
          <w:szCs w:val="21"/>
          <w:highlight w:val="none"/>
        </w:rPr>
      </w:pPr>
    </w:p>
    <w:p w14:paraId="1AA49F35">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、供应商认为需要的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资料</w:t>
      </w:r>
    </w:p>
    <w:p w14:paraId="4E824F47">
      <w:pPr>
        <w:bidi w:val="0"/>
        <w:jc w:val="center"/>
        <w:rPr>
          <w:rFonts w:hint="eastAsia" w:ascii="宋体" w:hAnsi="宋体" w:eastAsia="宋体" w:cs="宋体"/>
          <w:b/>
          <w:bCs/>
          <w:color w:val="auto"/>
          <w:sz w:val="21"/>
          <w:szCs w:val="21"/>
          <w:highlight w:val="none"/>
          <w:lang w:val="en-US" w:eastAsia="zh-CN"/>
        </w:rPr>
      </w:pPr>
    </w:p>
    <w:p w14:paraId="164E5623">
      <w:pPr>
        <w:jc w:val="center"/>
        <w:rPr>
          <w:rFonts w:hint="eastAsia" w:ascii="宋体" w:hAnsi="宋体" w:eastAsia="宋体" w:cs="宋体"/>
          <w:b/>
          <w:bCs/>
          <w:color w:val="auto"/>
          <w:sz w:val="21"/>
          <w:szCs w:val="21"/>
          <w:highlight w:val="none"/>
          <w:lang w:val="en-US" w:eastAsia="zh-CN"/>
        </w:rPr>
      </w:pPr>
    </w:p>
    <w:p w14:paraId="67D0853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供应商认为需要的</w:t>
      </w:r>
      <w:r>
        <w:rPr>
          <w:rFonts w:hint="eastAsia" w:ascii="宋体" w:hAnsi="宋体" w:eastAsia="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资料</w:t>
      </w:r>
      <w:r>
        <w:rPr>
          <w:rFonts w:hint="eastAsia" w:ascii="宋体" w:hAnsi="宋体" w:eastAsia="宋体" w:cs="宋体"/>
          <w:b w:val="0"/>
          <w:bCs w:val="0"/>
          <w:color w:val="auto"/>
          <w:sz w:val="21"/>
          <w:szCs w:val="21"/>
          <w:highlight w:val="none"/>
          <w:lang w:val="en-US" w:eastAsia="zh-CN"/>
        </w:rPr>
        <w:t>）</w:t>
      </w:r>
    </w:p>
    <w:p w14:paraId="05C7897D">
      <w:pPr>
        <w:jc w:val="center"/>
        <w:rPr>
          <w:rFonts w:hint="eastAsia" w:ascii="宋体" w:hAnsi="宋体" w:eastAsia="宋体" w:cs="宋体"/>
          <w:b w:val="0"/>
          <w:bCs w:val="0"/>
          <w:color w:val="auto"/>
          <w:sz w:val="21"/>
          <w:szCs w:val="21"/>
          <w:highlight w:val="none"/>
          <w:lang w:val="en-US" w:eastAsia="zh-CN"/>
        </w:rPr>
      </w:pPr>
    </w:p>
    <w:p w14:paraId="3A433F8F">
      <w:pPr>
        <w:pStyle w:val="23"/>
        <w:rPr>
          <w:rFonts w:hint="eastAsia" w:ascii="宋体" w:hAnsi="宋体" w:eastAsia="宋体" w:cs="宋体"/>
          <w:b/>
          <w:bCs/>
          <w:color w:val="auto"/>
          <w:sz w:val="21"/>
          <w:szCs w:val="21"/>
          <w:highlight w:val="none"/>
          <w:lang w:val="en-US" w:eastAsia="zh-CN"/>
        </w:rPr>
      </w:pPr>
    </w:p>
    <w:p w14:paraId="67C68D8F">
      <w:pPr>
        <w:pStyle w:val="24"/>
        <w:tabs>
          <w:tab w:val="left" w:pos="945"/>
          <w:tab w:val="left" w:pos="1155"/>
        </w:tabs>
        <w:rPr>
          <w:rFonts w:hint="eastAsia" w:ascii="宋体" w:hAnsi="宋体" w:eastAsia="宋体" w:cs="宋体"/>
          <w:b/>
          <w:bCs/>
          <w:color w:val="auto"/>
          <w:sz w:val="21"/>
          <w:szCs w:val="21"/>
          <w:highlight w:val="none"/>
          <w:lang w:val="en-US" w:eastAsia="zh-CN"/>
        </w:rPr>
      </w:pPr>
    </w:p>
    <w:p w14:paraId="60DE7502">
      <w:pPr>
        <w:rPr>
          <w:rFonts w:hint="eastAsia" w:ascii="宋体" w:hAnsi="宋体" w:eastAsia="宋体" w:cs="宋体"/>
          <w:b/>
          <w:bCs/>
          <w:color w:val="auto"/>
          <w:sz w:val="21"/>
          <w:szCs w:val="21"/>
          <w:highlight w:val="none"/>
          <w:lang w:val="en-US" w:eastAsia="zh-CN"/>
        </w:rPr>
      </w:pPr>
    </w:p>
    <w:p w14:paraId="7360E93C">
      <w:pPr>
        <w:pStyle w:val="23"/>
        <w:rPr>
          <w:rFonts w:hint="eastAsia" w:ascii="宋体" w:hAnsi="宋体" w:eastAsia="宋体" w:cs="宋体"/>
          <w:b/>
          <w:bCs/>
          <w:color w:val="auto"/>
          <w:sz w:val="21"/>
          <w:szCs w:val="21"/>
          <w:highlight w:val="none"/>
          <w:lang w:val="en-US" w:eastAsia="zh-CN"/>
        </w:rPr>
      </w:pPr>
    </w:p>
    <w:p w14:paraId="55484DE9">
      <w:pPr>
        <w:pStyle w:val="24"/>
        <w:tabs>
          <w:tab w:val="left" w:pos="945"/>
          <w:tab w:val="left" w:pos="1155"/>
        </w:tabs>
        <w:rPr>
          <w:rFonts w:hint="eastAsia" w:ascii="宋体" w:hAnsi="宋体" w:eastAsia="宋体" w:cs="宋体"/>
          <w:b/>
          <w:bCs/>
          <w:color w:val="auto"/>
          <w:sz w:val="21"/>
          <w:szCs w:val="21"/>
          <w:highlight w:val="none"/>
          <w:lang w:val="en-US" w:eastAsia="zh-CN"/>
        </w:rPr>
      </w:pPr>
    </w:p>
    <w:p w14:paraId="0B2950E5">
      <w:pPr>
        <w:rPr>
          <w:rFonts w:hint="eastAsia" w:ascii="宋体" w:hAnsi="宋体" w:eastAsia="宋体" w:cs="宋体"/>
          <w:b/>
          <w:bCs/>
          <w:color w:val="auto"/>
          <w:sz w:val="21"/>
          <w:szCs w:val="21"/>
          <w:highlight w:val="none"/>
          <w:lang w:val="en-US" w:eastAsia="zh-CN"/>
        </w:rPr>
      </w:pPr>
    </w:p>
    <w:p w14:paraId="5643B53D">
      <w:pPr>
        <w:pStyle w:val="23"/>
        <w:rPr>
          <w:rFonts w:hint="eastAsia" w:ascii="宋体" w:hAnsi="宋体" w:eastAsia="宋体" w:cs="宋体"/>
          <w:b/>
          <w:bCs/>
          <w:color w:val="auto"/>
          <w:sz w:val="21"/>
          <w:szCs w:val="21"/>
          <w:highlight w:val="none"/>
          <w:lang w:val="en-US" w:eastAsia="zh-CN"/>
        </w:rPr>
      </w:pPr>
    </w:p>
    <w:p w14:paraId="1588CE14">
      <w:pPr>
        <w:pStyle w:val="24"/>
        <w:tabs>
          <w:tab w:val="left" w:pos="945"/>
          <w:tab w:val="left" w:pos="1155"/>
        </w:tabs>
        <w:rPr>
          <w:rFonts w:hint="eastAsia" w:ascii="宋体" w:hAnsi="宋体" w:eastAsia="宋体" w:cs="宋体"/>
          <w:b/>
          <w:bCs/>
          <w:color w:val="auto"/>
          <w:sz w:val="21"/>
          <w:szCs w:val="21"/>
          <w:highlight w:val="none"/>
          <w:lang w:val="en-US" w:eastAsia="zh-CN"/>
        </w:rPr>
      </w:pPr>
    </w:p>
    <w:p w14:paraId="086B389D">
      <w:pPr>
        <w:rPr>
          <w:rFonts w:hint="eastAsia" w:ascii="宋体" w:hAnsi="宋体" w:eastAsia="宋体" w:cs="宋体"/>
          <w:b/>
          <w:bCs/>
          <w:color w:val="auto"/>
          <w:sz w:val="21"/>
          <w:szCs w:val="21"/>
          <w:highlight w:val="none"/>
          <w:lang w:val="en-US" w:eastAsia="zh-CN"/>
        </w:rPr>
      </w:pPr>
    </w:p>
    <w:p w14:paraId="7ECEF540">
      <w:pPr>
        <w:pStyle w:val="23"/>
        <w:rPr>
          <w:rFonts w:hint="eastAsia" w:ascii="宋体" w:hAnsi="宋体" w:eastAsia="宋体" w:cs="宋体"/>
          <w:b/>
          <w:bCs/>
          <w:color w:val="auto"/>
          <w:sz w:val="21"/>
          <w:szCs w:val="21"/>
          <w:highlight w:val="none"/>
          <w:lang w:val="en-US" w:eastAsia="zh-CN"/>
        </w:rPr>
      </w:pPr>
    </w:p>
    <w:p w14:paraId="0190A064">
      <w:pPr>
        <w:pStyle w:val="24"/>
        <w:tabs>
          <w:tab w:val="left" w:pos="945"/>
          <w:tab w:val="left" w:pos="1155"/>
        </w:tabs>
        <w:rPr>
          <w:rFonts w:hint="eastAsia" w:ascii="宋体" w:hAnsi="宋体" w:eastAsia="宋体" w:cs="宋体"/>
          <w:b/>
          <w:bCs/>
          <w:color w:val="auto"/>
          <w:sz w:val="21"/>
          <w:szCs w:val="21"/>
          <w:highlight w:val="none"/>
          <w:lang w:val="en-US" w:eastAsia="zh-CN"/>
        </w:rPr>
      </w:pPr>
    </w:p>
    <w:p w14:paraId="1C4328D4">
      <w:pPr>
        <w:rPr>
          <w:rFonts w:hint="eastAsia" w:ascii="宋体" w:hAnsi="宋体" w:eastAsia="宋体" w:cs="宋体"/>
          <w:b/>
          <w:bCs/>
          <w:color w:val="auto"/>
          <w:sz w:val="21"/>
          <w:szCs w:val="21"/>
          <w:highlight w:val="none"/>
          <w:lang w:val="en-US" w:eastAsia="zh-CN"/>
        </w:rPr>
      </w:pPr>
    </w:p>
    <w:p w14:paraId="2868F6AA">
      <w:pPr>
        <w:pStyle w:val="23"/>
        <w:rPr>
          <w:rFonts w:hint="eastAsia" w:ascii="宋体" w:hAnsi="宋体" w:eastAsia="宋体" w:cs="宋体"/>
          <w:b/>
          <w:bCs/>
          <w:color w:val="auto"/>
          <w:sz w:val="21"/>
          <w:szCs w:val="21"/>
          <w:highlight w:val="none"/>
          <w:lang w:val="en-US" w:eastAsia="zh-CN"/>
        </w:rPr>
      </w:pPr>
    </w:p>
    <w:p w14:paraId="390E6481">
      <w:pPr>
        <w:pStyle w:val="24"/>
        <w:tabs>
          <w:tab w:val="left" w:pos="945"/>
          <w:tab w:val="left" w:pos="1155"/>
        </w:tabs>
        <w:rPr>
          <w:rFonts w:hint="eastAsia" w:ascii="宋体" w:hAnsi="宋体" w:eastAsia="宋体" w:cs="宋体"/>
          <w:b/>
          <w:bCs/>
          <w:color w:val="auto"/>
          <w:sz w:val="21"/>
          <w:szCs w:val="21"/>
          <w:highlight w:val="none"/>
          <w:lang w:val="en-US" w:eastAsia="zh-CN"/>
        </w:rPr>
      </w:pPr>
    </w:p>
    <w:p w14:paraId="510EEC6B">
      <w:pPr>
        <w:rPr>
          <w:rFonts w:hint="eastAsia" w:ascii="宋体" w:hAnsi="宋体" w:eastAsia="宋体" w:cs="宋体"/>
          <w:b/>
          <w:bCs/>
          <w:color w:val="auto"/>
          <w:sz w:val="21"/>
          <w:szCs w:val="21"/>
          <w:highlight w:val="none"/>
          <w:lang w:val="en-US" w:eastAsia="zh-CN"/>
        </w:rPr>
      </w:pPr>
    </w:p>
    <w:p w14:paraId="0B156806">
      <w:pPr>
        <w:ind w:left="0" w:leftChars="0" w:firstLine="0" w:firstLineChars="0"/>
        <w:jc w:val="both"/>
        <w:rPr>
          <w:rFonts w:hint="eastAsia" w:ascii="宋体" w:hAnsi="宋体" w:eastAsia="宋体" w:cs="宋体"/>
          <w:b/>
          <w:bCs/>
          <w:color w:val="auto"/>
          <w:sz w:val="21"/>
          <w:szCs w:val="21"/>
          <w:highlight w:val="none"/>
          <w:lang w:val="en-US" w:eastAsia="zh-CN"/>
        </w:rPr>
      </w:pPr>
    </w:p>
    <w:p w14:paraId="531DF8EC">
      <w:pPr>
        <w:jc w:val="center"/>
        <w:rPr>
          <w:rFonts w:hint="eastAsia" w:ascii="宋体" w:hAnsi="宋体" w:eastAsia="宋体" w:cs="宋体"/>
          <w:b/>
          <w:bCs/>
          <w:color w:val="auto"/>
          <w:sz w:val="21"/>
          <w:szCs w:val="21"/>
          <w:highlight w:val="none"/>
          <w:lang w:val="en-US" w:eastAsia="zh-CN"/>
        </w:rPr>
      </w:pPr>
    </w:p>
    <w:p w14:paraId="57F0BC98">
      <w:pPr>
        <w:jc w:val="center"/>
        <w:rPr>
          <w:rFonts w:hint="eastAsia" w:ascii="宋体" w:hAnsi="宋体" w:eastAsia="宋体" w:cs="宋体"/>
          <w:b/>
          <w:color w:val="auto"/>
          <w:sz w:val="21"/>
          <w:szCs w:val="21"/>
          <w:highlight w:val="none"/>
        </w:rPr>
      </w:pPr>
    </w:p>
    <w:p w14:paraId="037642D0">
      <w:pPr>
        <w:jc w:val="center"/>
        <w:rPr>
          <w:rFonts w:hint="default" w:ascii="Calibri" w:hAnsi="Calibri" w:eastAsia="仿宋" w:cs="Calibri"/>
          <w:color w:val="auto"/>
          <w:sz w:val="21"/>
          <w:szCs w:val="21"/>
          <w:highlight w:val="none"/>
        </w:rPr>
      </w:pPr>
      <w:r>
        <w:rPr>
          <w:rFonts w:hint="eastAsia" w:ascii="宋体" w:hAnsi="宋体" w:eastAsia="宋体" w:cs="宋体"/>
          <w:b/>
          <w:color w:val="auto"/>
          <w:sz w:val="21"/>
          <w:szCs w:val="21"/>
          <w:highlight w:val="none"/>
        </w:rPr>
        <w:t>河南省政府采购合同融资政策告知函</w:t>
      </w:r>
    </w:p>
    <w:p w14:paraId="119A4EA6">
      <w:pPr>
        <w:spacing w:line="48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各供应商：</w:t>
      </w:r>
    </w:p>
    <w:p w14:paraId="60C4B398">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5BE3B5E1">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382854E">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14:paraId="327EE862">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253C67E0">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3B9FE18A">
      <w:pPr>
        <w:pStyle w:val="22"/>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注：此项仅为告知，无须附到响应文件中。</w:t>
      </w:r>
    </w:p>
    <w:p w14:paraId="387A46CF">
      <w:pPr>
        <w:ind w:left="0" w:leftChars="0" w:firstLine="0" w:firstLineChars="0"/>
        <w:rPr>
          <w:rFonts w:hint="eastAsia"/>
          <w:color w:val="auto"/>
          <w:highlight w:val="none"/>
        </w:rPr>
      </w:pPr>
    </w:p>
    <w:p w14:paraId="669254D1">
      <w:pPr>
        <w:rPr>
          <w:color w:val="auto"/>
          <w:highlight w:val="none"/>
        </w:rPr>
      </w:pPr>
    </w:p>
    <w:p w14:paraId="64F377B6">
      <w:pPr>
        <w:rPr>
          <w:color w:val="auto"/>
          <w:highlight w:val="none"/>
        </w:rPr>
      </w:pPr>
    </w:p>
    <w:sectPr>
      <w:headerReference r:id="rId9" w:type="default"/>
      <w:footerReference r:id="rId10" w:type="default"/>
      <w:pgSz w:w="11906" w:h="16838"/>
      <w:pgMar w:top="1440" w:right="1080" w:bottom="1440" w:left="1080" w:header="907"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3EE4">
    <w:pPr>
      <w:pStyle w:val="15"/>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CEB3">
    <w:pPr>
      <w:pStyle w:val="15"/>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DC863">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DC863">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F1D68">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1F1D68">
                    <w:pPr>
                      <w:pStyle w:val="15"/>
                    </w:pP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CB80">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11F42">
                          <w:pPr>
                            <w:pStyle w:val="15"/>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311F42">
                    <w:pPr>
                      <w:pStyle w:val="15"/>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C537">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914B">
    <w:pPr>
      <w:pBdr>
        <w:bottom w:val="none" w:color="auto" w:sz="0" w:space="0"/>
      </w:pBdr>
      <w:ind w:left="0" w:leftChars="0" w:firstLine="0" w:firstLineChars="0"/>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902C">
    <w:pPr>
      <w:pStyle w:val="17"/>
      <w:pBdr>
        <w:bottom w:val="thinThickSmallGap" w:color="auto" w:sz="12"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3C953"/>
    <w:multiLevelType w:val="singleLevel"/>
    <w:tmpl w:val="8BD3C953"/>
    <w:lvl w:ilvl="0" w:tentative="0">
      <w:start w:val="1"/>
      <w:numFmt w:val="decimal"/>
      <w:suff w:val="nothing"/>
      <w:lvlText w:val="%1、"/>
      <w:lvlJc w:val="left"/>
    </w:lvl>
  </w:abstractNum>
  <w:abstractNum w:abstractNumId="1">
    <w:nsid w:val="A9905057"/>
    <w:multiLevelType w:val="singleLevel"/>
    <w:tmpl w:val="A9905057"/>
    <w:lvl w:ilvl="0" w:tentative="0">
      <w:start w:val="2"/>
      <w:numFmt w:val="chineseCounting"/>
      <w:suff w:val="space"/>
      <w:lvlText w:val="第%1章"/>
      <w:lvlJc w:val="left"/>
      <w:rPr>
        <w:rFonts w:hint="eastAsia"/>
      </w:rPr>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C8EB662E"/>
    <w:multiLevelType w:val="singleLevel"/>
    <w:tmpl w:val="C8EB662E"/>
    <w:lvl w:ilvl="0" w:tentative="0">
      <w:start w:val="6"/>
      <w:numFmt w:val="decimal"/>
      <w:suff w:val="nothing"/>
      <w:lvlText w:val="%1、"/>
      <w:lvlJc w:val="left"/>
    </w:lvl>
  </w:abstractNum>
  <w:abstractNum w:abstractNumId="4">
    <w:nsid w:val="010A5DCE"/>
    <w:multiLevelType w:val="singleLevel"/>
    <w:tmpl w:val="010A5DCE"/>
    <w:lvl w:ilvl="0" w:tentative="0">
      <w:start w:val="3"/>
      <w:numFmt w:val="decimal"/>
      <w:suff w:val="nothing"/>
      <w:lvlText w:val="%1、"/>
      <w:lvlJc w:val="left"/>
    </w:lvl>
  </w:abstractNum>
  <w:abstractNum w:abstractNumId="5">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36D0F7"/>
    <w:multiLevelType w:val="singleLevel"/>
    <w:tmpl w:val="3B36D0F7"/>
    <w:lvl w:ilvl="0" w:tentative="0">
      <w:start w:val="2"/>
      <w:numFmt w:val="decimal"/>
      <w:lvlText w:val="%1."/>
      <w:lvlJc w:val="left"/>
      <w:pPr>
        <w:tabs>
          <w:tab w:val="left" w:pos="312"/>
        </w:tabs>
      </w:pPr>
    </w:lvl>
  </w:abstractNum>
  <w:abstractNum w:abstractNumId="8">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9">
    <w:nsid w:val="62C25926"/>
    <w:multiLevelType w:val="singleLevel"/>
    <w:tmpl w:val="62C25926"/>
    <w:lvl w:ilvl="0" w:tentative="0">
      <w:start w:val="5"/>
      <w:numFmt w:val="chineseCounting"/>
      <w:suff w:val="space"/>
      <w:lvlText w:val="第%1章"/>
      <w:lvlJc w:val="left"/>
      <w:pPr>
        <w:ind w:left="1115"/>
      </w:pPr>
      <w:rPr>
        <w:rFonts w:hint="eastAsia"/>
      </w:rPr>
    </w:lvl>
  </w:abstractNum>
  <w:abstractNum w:abstractNumId="10">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1A7290"/>
    <w:multiLevelType w:val="singleLevel"/>
    <w:tmpl w:val="711A7290"/>
    <w:lvl w:ilvl="0" w:tentative="0">
      <w:start w:val="9"/>
      <w:numFmt w:val="chineseCounting"/>
      <w:suff w:val="nothing"/>
      <w:lvlText w:val="%1、"/>
      <w:lvlJc w:val="left"/>
      <w:rPr>
        <w:rFonts w:hint="eastAsia"/>
      </w:rPr>
    </w:lvl>
  </w:abstractNum>
  <w:num w:numId="1">
    <w:abstractNumId w:val="11"/>
  </w:num>
  <w:num w:numId="2">
    <w:abstractNumId w:val="3"/>
  </w:num>
  <w:num w:numId="3">
    <w:abstractNumId w:val="4"/>
  </w:num>
  <w:num w:numId="4">
    <w:abstractNumId w:val="1"/>
  </w:num>
  <w:num w:numId="5">
    <w:abstractNumId w:val="7"/>
  </w:num>
  <w:num w:numId="6">
    <w:abstractNumId w:val="0"/>
  </w:num>
  <w:num w:numId="7">
    <w:abstractNumId w:val="6"/>
  </w:num>
  <w:num w:numId="8">
    <w:abstractNumId w:val="9"/>
  </w:num>
  <w:num w:numId="9">
    <w:abstractNumId w:val="5"/>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6285726"/>
    <w:rsid w:val="000C3DA7"/>
    <w:rsid w:val="00A64DA2"/>
    <w:rsid w:val="00C025D1"/>
    <w:rsid w:val="00D01278"/>
    <w:rsid w:val="00DB2F6B"/>
    <w:rsid w:val="00FA00A3"/>
    <w:rsid w:val="012E65AF"/>
    <w:rsid w:val="013435B5"/>
    <w:rsid w:val="014A102B"/>
    <w:rsid w:val="01891B53"/>
    <w:rsid w:val="01A051F3"/>
    <w:rsid w:val="01DF58FF"/>
    <w:rsid w:val="02252BAB"/>
    <w:rsid w:val="022E26FA"/>
    <w:rsid w:val="024A0BB7"/>
    <w:rsid w:val="02543868"/>
    <w:rsid w:val="025A704C"/>
    <w:rsid w:val="02963DFC"/>
    <w:rsid w:val="02BC7D06"/>
    <w:rsid w:val="030E7E36"/>
    <w:rsid w:val="03123DCA"/>
    <w:rsid w:val="0355302B"/>
    <w:rsid w:val="036F3C68"/>
    <w:rsid w:val="038D1CCC"/>
    <w:rsid w:val="03A367D0"/>
    <w:rsid w:val="03F1339B"/>
    <w:rsid w:val="0422003D"/>
    <w:rsid w:val="04493D40"/>
    <w:rsid w:val="04DE21B6"/>
    <w:rsid w:val="04F96FF0"/>
    <w:rsid w:val="04FC43EA"/>
    <w:rsid w:val="05080FE1"/>
    <w:rsid w:val="050F6813"/>
    <w:rsid w:val="0517535C"/>
    <w:rsid w:val="05187DBC"/>
    <w:rsid w:val="052F1620"/>
    <w:rsid w:val="05465FAD"/>
    <w:rsid w:val="054B552D"/>
    <w:rsid w:val="05852631"/>
    <w:rsid w:val="059A3C03"/>
    <w:rsid w:val="05A607FA"/>
    <w:rsid w:val="05A76A4C"/>
    <w:rsid w:val="05E51322"/>
    <w:rsid w:val="05F4705E"/>
    <w:rsid w:val="05FB6D97"/>
    <w:rsid w:val="06096430"/>
    <w:rsid w:val="0644429B"/>
    <w:rsid w:val="064A73D7"/>
    <w:rsid w:val="06677F89"/>
    <w:rsid w:val="068C79F0"/>
    <w:rsid w:val="06AA444A"/>
    <w:rsid w:val="06B84C89"/>
    <w:rsid w:val="06E069CA"/>
    <w:rsid w:val="06F2148C"/>
    <w:rsid w:val="06F35CC1"/>
    <w:rsid w:val="06FA0DFD"/>
    <w:rsid w:val="072C3BA8"/>
    <w:rsid w:val="07BE007D"/>
    <w:rsid w:val="080C0DE8"/>
    <w:rsid w:val="08545C3E"/>
    <w:rsid w:val="08AF79C5"/>
    <w:rsid w:val="08CA47FF"/>
    <w:rsid w:val="091B505B"/>
    <w:rsid w:val="09284A19"/>
    <w:rsid w:val="095E38C5"/>
    <w:rsid w:val="09646330"/>
    <w:rsid w:val="098470A4"/>
    <w:rsid w:val="09F1642F"/>
    <w:rsid w:val="09FE0C04"/>
    <w:rsid w:val="0A053D41"/>
    <w:rsid w:val="0A426D43"/>
    <w:rsid w:val="0A854E82"/>
    <w:rsid w:val="0AB17A25"/>
    <w:rsid w:val="0ACB4F8A"/>
    <w:rsid w:val="0AD55E09"/>
    <w:rsid w:val="0AEC6CAF"/>
    <w:rsid w:val="0B042D6D"/>
    <w:rsid w:val="0B111DBA"/>
    <w:rsid w:val="0B163D2C"/>
    <w:rsid w:val="0B7373D0"/>
    <w:rsid w:val="0B8B64C8"/>
    <w:rsid w:val="0BC2044A"/>
    <w:rsid w:val="0BC263E3"/>
    <w:rsid w:val="0C8D626F"/>
    <w:rsid w:val="0CBF1A10"/>
    <w:rsid w:val="0CC51EAD"/>
    <w:rsid w:val="0CE265BB"/>
    <w:rsid w:val="0CEF17A5"/>
    <w:rsid w:val="0CF602B9"/>
    <w:rsid w:val="0CFE2CC9"/>
    <w:rsid w:val="0D0A5184"/>
    <w:rsid w:val="0D295F98"/>
    <w:rsid w:val="0D370091"/>
    <w:rsid w:val="0D4C7ED9"/>
    <w:rsid w:val="0D6A5091"/>
    <w:rsid w:val="0D7D666F"/>
    <w:rsid w:val="0D9D24E2"/>
    <w:rsid w:val="0DB717F6"/>
    <w:rsid w:val="0E016F15"/>
    <w:rsid w:val="0E0F1632"/>
    <w:rsid w:val="0E1F3D5A"/>
    <w:rsid w:val="0E3C1CFB"/>
    <w:rsid w:val="0E44378C"/>
    <w:rsid w:val="0E5E4367"/>
    <w:rsid w:val="0E605C68"/>
    <w:rsid w:val="0E9D17C6"/>
    <w:rsid w:val="0EC75A69"/>
    <w:rsid w:val="0ECE5049"/>
    <w:rsid w:val="0ED42D25"/>
    <w:rsid w:val="0ED97690"/>
    <w:rsid w:val="0F0F2125"/>
    <w:rsid w:val="0F2F515A"/>
    <w:rsid w:val="0F4F4CBB"/>
    <w:rsid w:val="0F5A4B2F"/>
    <w:rsid w:val="0F81030D"/>
    <w:rsid w:val="0F84096B"/>
    <w:rsid w:val="0F9B0CA3"/>
    <w:rsid w:val="0FBF2BE4"/>
    <w:rsid w:val="0FCC70AF"/>
    <w:rsid w:val="0FFD2EF2"/>
    <w:rsid w:val="0FFE01ED"/>
    <w:rsid w:val="0FFF254C"/>
    <w:rsid w:val="100625C1"/>
    <w:rsid w:val="10190546"/>
    <w:rsid w:val="102D5D9F"/>
    <w:rsid w:val="10687C1A"/>
    <w:rsid w:val="107734BE"/>
    <w:rsid w:val="10AA3894"/>
    <w:rsid w:val="10F52445"/>
    <w:rsid w:val="111B209C"/>
    <w:rsid w:val="111D7BC2"/>
    <w:rsid w:val="112E1DCF"/>
    <w:rsid w:val="113508C0"/>
    <w:rsid w:val="11515ABE"/>
    <w:rsid w:val="118867D4"/>
    <w:rsid w:val="119875D6"/>
    <w:rsid w:val="11B21135"/>
    <w:rsid w:val="11EE5A02"/>
    <w:rsid w:val="11FF19BD"/>
    <w:rsid w:val="12023FE5"/>
    <w:rsid w:val="1226519C"/>
    <w:rsid w:val="124D1B25"/>
    <w:rsid w:val="12692EF2"/>
    <w:rsid w:val="126C2700"/>
    <w:rsid w:val="12B72298"/>
    <w:rsid w:val="12D4140B"/>
    <w:rsid w:val="12F52503"/>
    <w:rsid w:val="12F6691D"/>
    <w:rsid w:val="130A61F8"/>
    <w:rsid w:val="131E7C21"/>
    <w:rsid w:val="13260FBE"/>
    <w:rsid w:val="133438E9"/>
    <w:rsid w:val="139879D4"/>
    <w:rsid w:val="13A10F7E"/>
    <w:rsid w:val="14055F2A"/>
    <w:rsid w:val="140E5EE8"/>
    <w:rsid w:val="14A405FA"/>
    <w:rsid w:val="14A66120"/>
    <w:rsid w:val="14AC7FAB"/>
    <w:rsid w:val="14AD74AF"/>
    <w:rsid w:val="14B720DC"/>
    <w:rsid w:val="14BA6C2A"/>
    <w:rsid w:val="14BB6070"/>
    <w:rsid w:val="14CD18FF"/>
    <w:rsid w:val="14D33E79"/>
    <w:rsid w:val="14DB04C0"/>
    <w:rsid w:val="14EC447B"/>
    <w:rsid w:val="14EF1875"/>
    <w:rsid w:val="158A3C94"/>
    <w:rsid w:val="158C3568"/>
    <w:rsid w:val="15AF7257"/>
    <w:rsid w:val="15F97EB4"/>
    <w:rsid w:val="16285726"/>
    <w:rsid w:val="1666025D"/>
    <w:rsid w:val="168048BD"/>
    <w:rsid w:val="168801D3"/>
    <w:rsid w:val="16A3500D"/>
    <w:rsid w:val="16AD3796"/>
    <w:rsid w:val="17060B05"/>
    <w:rsid w:val="17487963"/>
    <w:rsid w:val="17606A5A"/>
    <w:rsid w:val="17632761"/>
    <w:rsid w:val="17996410"/>
    <w:rsid w:val="17A0779F"/>
    <w:rsid w:val="17E458DD"/>
    <w:rsid w:val="17F17FFA"/>
    <w:rsid w:val="17F5668E"/>
    <w:rsid w:val="185C36C6"/>
    <w:rsid w:val="18610CDC"/>
    <w:rsid w:val="18771926"/>
    <w:rsid w:val="18A92683"/>
    <w:rsid w:val="1901601B"/>
    <w:rsid w:val="192D01EC"/>
    <w:rsid w:val="193B777F"/>
    <w:rsid w:val="1945415A"/>
    <w:rsid w:val="19662322"/>
    <w:rsid w:val="198D3D53"/>
    <w:rsid w:val="19A00B10"/>
    <w:rsid w:val="19C21C4E"/>
    <w:rsid w:val="19D91C69"/>
    <w:rsid w:val="1A002777"/>
    <w:rsid w:val="1A5959E3"/>
    <w:rsid w:val="1A5F56EF"/>
    <w:rsid w:val="1A845E02"/>
    <w:rsid w:val="1AD60012"/>
    <w:rsid w:val="1AFA6EF2"/>
    <w:rsid w:val="1B1A7868"/>
    <w:rsid w:val="1B1D12DD"/>
    <w:rsid w:val="1B5519F1"/>
    <w:rsid w:val="1B6034CD"/>
    <w:rsid w:val="1B6E545C"/>
    <w:rsid w:val="1B7E7DF7"/>
    <w:rsid w:val="1B861941"/>
    <w:rsid w:val="1BF87D83"/>
    <w:rsid w:val="1C24274C"/>
    <w:rsid w:val="1C250273"/>
    <w:rsid w:val="1C7F7983"/>
    <w:rsid w:val="1D0425BE"/>
    <w:rsid w:val="1D10301A"/>
    <w:rsid w:val="1D2815CA"/>
    <w:rsid w:val="1D5A03F0"/>
    <w:rsid w:val="1D5F77B4"/>
    <w:rsid w:val="1D733885"/>
    <w:rsid w:val="1DA54723"/>
    <w:rsid w:val="1DA87977"/>
    <w:rsid w:val="1DAA4ED3"/>
    <w:rsid w:val="1DAC0C4B"/>
    <w:rsid w:val="1DAD49C3"/>
    <w:rsid w:val="1E015124"/>
    <w:rsid w:val="1E6C0104"/>
    <w:rsid w:val="1E953217"/>
    <w:rsid w:val="1EB37DB8"/>
    <w:rsid w:val="1EBD4792"/>
    <w:rsid w:val="1ED81A83"/>
    <w:rsid w:val="1EE241F9"/>
    <w:rsid w:val="1EF34658"/>
    <w:rsid w:val="1F011F4E"/>
    <w:rsid w:val="1F0F7AA5"/>
    <w:rsid w:val="1F1F3C4D"/>
    <w:rsid w:val="1F5275D0"/>
    <w:rsid w:val="1F626226"/>
    <w:rsid w:val="1F7C464D"/>
    <w:rsid w:val="200B382A"/>
    <w:rsid w:val="202B1312"/>
    <w:rsid w:val="203C5B8B"/>
    <w:rsid w:val="206B4E99"/>
    <w:rsid w:val="20F611CC"/>
    <w:rsid w:val="2114265C"/>
    <w:rsid w:val="2124555B"/>
    <w:rsid w:val="21717AB6"/>
    <w:rsid w:val="217C26E3"/>
    <w:rsid w:val="21876A43"/>
    <w:rsid w:val="21C97B19"/>
    <w:rsid w:val="21DE15EF"/>
    <w:rsid w:val="22113B54"/>
    <w:rsid w:val="221768AF"/>
    <w:rsid w:val="221B24B7"/>
    <w:rsid w:val="227E06DD"/>
    <w:rsid w:val="228C3783"/>
    <w:rsid w:val="22984EBA"/>
    <w:rsid w:val="22BA5A57"/>
    <w:rsid w:val="22C72083"/>
    <w:rsid w:val="231775C2"/>
    <w:rsid w:val="23306A8D"/>
    <w:rsid w:val="2355143D"/>
    <w:rsid w:val="23762110"/>
    <w:rsid w:val="237F295E"/>
    <w:rsid w:val="239D123F"/>
    <w:rsid w:val="23D3133D"/>
    <w:rsid w:val="23DD1433"/>
    <w:rsid w:val="23E11DA7"/>
    <w:rsid w:val="24244F5F"/>
    <w:rsid w:val="247B4ED4"/>
    <w:rsid w:val="24B14D99"/>
    <w:rsid w:val="24B93C4E"/>
    <w:rsid w:val="24D64800"/>
    <w:rsid w:val="24ED56A6"/>
    <w:rsid w:val="2564005E"/>
    <w:rsid w:val="25822292"/>
    <w:rsid w:val="25A8619C"/>
    <w:rsid w:val="25AF7A72"/>
    <w:rsid w:val="25D074A1"/>
    <w:rsid w:val="25EE7927"/>
    <w:rsid w:val="26243349"/>
    <w:rsid w:val="262E41C8"/>
    <w:rsid w:val="262F1AF6"/>
    <w:rsid w:val="26722306"/>
    <w:rsid w:val="26802C75"/>
    <w:rsid w:val="269229A8"/>
    <w:rsid w:val="26933EB9"/>
    <w:rsid w:val="26B74BAD"/>
    <w:rsid w:val="26CF59AB"/>
    <w:rsid w:val="26E75C08"/>
    <w:rsid w:val="26F45411"/>
    <w:rsid w:val="270B76D9"/>
    <w:rsid w:val="27164F42"/>
    <w:rsid w:val="2725666A"/>
    <w:rsid w:val="273D4A27"/>
    <w:rsid w:val="276C2B51"/>
    <w:rsid w:val="279544FE"/>
    <w:rsid w:val="27B16FB8"/>
    <w:rsid w:val="27C2106B"/>
    <w:rsid w:val="28156F15"/>
    <w:rsid w:val="28EA087A"/>
    <w:rsid w:val="29192F0D"/>
    <w:rsid w:val="291F0DD6"/>
    <w:rsid w:val="29491A44"/>
    <w:rsid w:val="2973261D"/>
    <w:rsid w:val="297D349C"/>
    <w:rsid w:val="299F78B6"/>
    <w:rsid w:val="29A44ECD"/>
    <w:rsid w:val="29F14B13"/>
    <w:rsid w:val="29FD282F"/>
    <w:rsid w:val="2A143E3F"/>
    <w:rsid w:val="2A9A007E"/>
    <w:rsid w:val="2AB23619"/>
    <w:rsid w:val="2AD73080"/>
    <w:rsid w:val="2B111E5E"/>
    <w:rsid w:val="2B1E0CAF"/>
    <w:rsid w:val="2B2D2106"/>
    <w:rsid w:val="2B4C581C"/>
    <w:rsid w:val="2B6356A4"/>
    <w:rsid w:val="2B9F2FF6"/>
    <w:rsid w:val="2BBC3624"/>
    <w:rsid w:val="2BE23A8A"/>
    <w:rsid w:val="2C077995"/>
    <w:rsid w:val="2C500DB6"/>
    <w:rsid w:val="2CDF446E"/>
    <w:rsid w:val="2D21575B"/>
    <w:rsid w:val="2D720E3E"/>
    <w:rsid w:val="2DB604DD"/>
    <w:rsid w:val="2E0C3040"/>
    <w:rsid w:val="2E6B6DA3"/>
    <w:rsid w:val="2E6D7F83"/>
    <w:rsid w:val="2E973581"/>
    <w:rsid w:val="2EB3170E"/>
    <w:rsid w:val="2ECB6A58"/>
    <w:rsid w:val="2F05640D"/>
    <w:rsid w:val="2F462582"/>
    <w:rsid w:val="2F51646A"/>
    <w:rsid w:val="2F68699C"/>
    <w:rsid w:val="2F782E8B"/>
    <w:rsid w:val="2F803CE6"/>
    <w:rsid w:val="2F8A246F"/>
    <w:rsid w:val="30281C88"/>
    <w:rsid w:val="30760C45"/>
    <w:rsid w:val="30772519"/>
    <w:rsid w:val="308A649E"/>
    <w:rsid w:val="308C2216"/>
    <w:rsid w:val="30C04C17"/>
    <w:rsid w:val="30C3032E"/>
    <w:rsid w:val="31020EE9"/>
    <w:rsid w:val="31144CD1"/>
    <w:rsid w:val="31561413"/>
    <w:rsid w:val="31603DCF"/>
    <w:rsid w:val="3178765B"/>
    <w:rsid w:val="31A17F44"/>
    <w:rsid w:val="31CC3212"/>
    <w:rsid w:val="31CE5220"/>
    <w:rsid w:val="320B4BD2"/>
    <w:rsid w:val="32175EB4"/>
    <w:rsid w:val="32340DB8"/>
    <w:rsid w:val="325658B7"/>
    <w:rsid w:val="32801B87"/>
    <w:rsid w:val="32BA750F"/>
    <w:rsid w:val="333C6176"/>
    <w:rsid w:val="334C6481"/>
    <w:rsid w:val="33837901"/>
    <w:rsid w:val="33B14F7C"/>
    <w:rsid w:val="33B26438"/>
    <w:rsid w:val="33EF143A"/>
    <w:rsid w:val="34594B05"/>
    <w:rsid w:val="34A73AC3"/>
    <w:rsid w:val="34AD7131"/>
    <w:rsid w:val="34DA200B"/>
    <w:rsid w:val="34EC597A"/>
    <w:rsid w:val="34F565DC"/>
    <w:rsid w:val="35246EC1"/>
    <w:rsid w:val="35262C3A"/>
    <w:rsid w:val="3529097C"/>
    <w:rsid w:val="35492330"/>
    <w:rsid w:val="35725C67"/>
    <w:rsid w:val="35A95619"/>
    <w:rsid w:val="35E23FDD"/>
    <w:rsid w:val="35EC5568"/>
    <w:rsid w:val="360F36CE"/>
    <w:rsid w:val="36160F00"/>
    <w:rsid w:val="364D2448"/>
    <w:rsid w:val="366F23BE"/>
    <w:rsid w:val="367D68AE"/>
    <w:rsid w:val="368045CB"/>
    <w:rsid w:val="36873967"/>
    <w:rsid w:val="36A91D74"/>
    <w:rsid w:val="36F113BA"/>
    <w:rsid w:val="37002D16"/>
    <w:rsid w:val="370C5E5F"/>
    <w:rsid w:val="370D12E8"/>
    <w:rsid w:val="3724764D"/>
    <w:rsid w:val="37411FAD"/>
    <w:rsid w:val="37A83DDA"/>
    <w:rsid w:val="37B07132"/>
    <w:rsid w:val="380B25BB"/>
    <w:rsid w:val="381E22EE"/>
    <w:rsid w:val="381E5E4A"/>
    <w:rsid w:val="38207E14"/>
    <w:rsid w:val="382337A0"/>
    <w:rsid w:val="382D2531"/>
    <w:rsid w:val="384B4699"/>
    <w:rsid w:val="387463B2"/>
    <w:rsid w:val="38A00F55"/>
    <w:rsid w:val="38BB42B5"/>
    <w:rsid w:val="39111E53"/>
    <w:rsid w:val="392A081F"/>
    <w:rsid w:val="39D92970"/>
    <w:rsid w:val="39DF3CFF"/>
    <w:rsid w:val="3A4D0C68"/>
    <w:rsid w:val="3A8D72B7"/>
    <w:rsid w:val="3A96260F"/>
    <w:rsid w:val="3AA840F1"/>
    <w:rsid w:val="3ABB02C8"/>
    <w:rsid w:val="3ADC69EF"/>
    <w:rsid w:val="3AEE244B"/>
    <w:rsid w:val="3AF26FF1"/>
    <w:rsid w:val="3B2A71FC"/>
    <w:rsid w:val="3B2E0A9A"/>
    <w:rsid w:val="3B345984"/>
    <w:rsid w:val="3B385475"/>
    <w:rsid w:val="3B44206B"/>
    <w:rsid w:val="3B895CD0"/>
    <w:rsid w:val="3B9308FD"/>
    <w:rsid w:val="3B951892"/>
    <w:rsid w:val="3BA24FE4"/>
    <w:rsid w:val="3BEB0739"/>
    <w:rsid w:val="3BF9665A"/>
    <w:rsid w:val="3C5E0F0B"/>
    <w:rsid w:val="3C7B6B00"/>
    <w:rsid w:val="3CB60D47"/>
    <w:rsid w:val="3CC50F8A"/>
    <w:rsid w:val="3CD76F0F"/>
    <w:rsid w:val="3D0D46DF"/>
    <w:rsid w:val="3D121CF5"/>
    <w:rsid w:val="3D491BBB"/>
    <w:rsid w:val="3D594F2A"/>
    <w:rsid w:val="3D632551"/>
    <w:rsid w:val="3D8F1598"/>
    <w:rsid w:val="3DB86D41"/>
    <w:rsid w:val="3DE713D4"/>
    <w:rsid w:val="3E047890"/>
    <w:rsid w:val="3E155F41"/>
    <w:rsid w:val="3E265A58"/>
    <w:rsid w:val="3E6C3570"/>
    <w:rsid w:val="3E9739EC"/>
    <w:rsid w:val="3EA370A9"/>
    <w:rsid w:val="3ECC005C"/>
    <w:rsid w:val="3EED2A1A"/>
    <w:rsid w:val="3EF43DA9"/>
    <w:rsid w:val="3F041198"/>
    <w:rsid w:val="3F7722E4"/>
    <w:rsid w:val="3F78189A"/>
    <w:rsid w:val="3F8C5D8F"/>
    <w:rsid w:val="3FC32579"/>
    <w:rsid w:val="400718BA"/>
    <w:rsid w:val="402009FC"/>
    <w:rsid w:val="402266F3"/>
    <w:rsid w:val="40454BCA"/>
    <w:rsid w:val="405D597D"/>
    <w:rsid w:val="40F77B80"/>
    <w:rsid w:val="410339D7"/>
    <w:rsid w:val="410D4CAE"/>
    <w:rsid w:val="41126768"/>
    <w:rsid w:val="413116A3"/>
    <w:rsid w:val="41A30F3F"/>
    <w:rsid w:val="41C95079"/>
    <w:rsid w:val="41CE46F5"/>
    <w:rsid w:val="41CE6B33"/>
    <w:rsid w:val="41D774D7"/>
    <w:rsid w:val="41F1773E"/>
    <w:rsid w:val="42206E95"/>
    <w:rsid w:val="423849EE"/>
    <w:rsid w:val="42524134"/>
    <w:rsid w:val="42562684"/>
    <w:rsid w:val="42891119"/>
    <w:rsid w:val="429A07C3"/>
    <w:rsid w:val="42A15FF5"/>
    <w:rsid w:val="42CF7B09"/>
    <w:rsid w:val="42FA43F0"/>
    <w:rsid w:val="42FF4ACA"/>
    <w:rsid w:val="43036368"/>
    <w:rsid w:val="43324E9F"/>
    <w:rsid w:val="433429C6"/>
    <w:rsid w:val="436666C3"/>
    <w:rsid w:val="4373589E"/>
    <w:rsid w:val="43A01E09"/>
    <w:rsid w:val="43B753A5"/>
    <w:rsid w:val="43D917BF"/>
    <w:rsid w:val="43F565F9"/>
    <w:rsid w:val="43F959BD"/>
    <w:rsid w:val="440A7BCA"/>
    <w:rsid w:val="4440539A"/>
    <w:rsid w:val="44551D65"/>
    <w:rsid w:val="446D72CF"/>
    <w:rsid w:val="4487121B"/>
    <w:rsid w:val="44BF2164"/>
    <w:rsid w:val="44D22496"/>
    <w:rsid w:val="44D2693A"/>
    <w:rsid w:val="45BB5620"/>
    <w:rsid w:val="45C54315"/>
    <w:rsid w:val="4600407A"/>
    <w:rsid w:val="46020C7E"/>
    <w:rsid w:val="46092978"/>
    <w:rsid w:val="46154D44"/>
    <w:rsid w:val="46252A99"/>
    <w:rsid w:val="46737CA9"/>
    <w:rsid w:val="46881DBF"/>
    <w:rsid w:val="469043B7"/>
    <w:rsid w:val="46A47E62"/>
    <w:rsid w:val="46CE4EDF"/>
    <w:rsid w:val="46EE790C"/>
    <w:rsid w:val="4760647F"/>
    <w:rsid w:val="4799373F"/>
    <w:rsid w:val="47A92173"/>
    <w:rsid w:val="47B0471D"/>
    <w:rsid w:val="47BB47C3"/>
    <w:rsid w:val="47CC726D"/>
    <w:rsid w:val="47EB7590"/>
    <w:rsid w:val="47ED5134"/>
    <w:rsid w:val="4844252A"/>
    <w:rsid w:val="4856518C"/>
    <w:rsid w:val="48605BB2"/>
    <w:rsid w:val="486F6543"/>
    <w:rsid w:val="48846203"/>
    <w:rsid w:val="48D03190"/>
    <w:rsid w:val="49066BB2"/>
    <w:rsid w:val="4924528A"/>
    <w:rsid w:val="4957740E"/>
    <w:rsid w:val="49ED63DE"/>
    <w:rsid w:val="4A25750C"/>
    <w:rsid w:val="4A331C29"/>
    <w:rsid w:val="4A3B6D2F"/>
    <w:rsid w:val="4A4E5B36"/>
    <w:rsid w:val="4A534074"/>
    <w:rsid w:val="4A560560"/>
    <w:rsid w:val="4A9E2E1A"/>
    <w:rsid w:val="4AAA17BF"/>
    <w:rsid w:val="4AEB5531"/>
    <w:rsid w:val="4AFD2237"/>
    <w:rsid w:val="4B4B11F4"/>
    <w:rsid w:val="4B4B6AFE"/>
    <w:rsid w:val="4B58746D"/>
    <w:rsid w:val="4B6202EC"/>
    <w:rsid w:val="4B683B54"/>
    <w:rsid w:val="4B7F49FA"/>
    <w:rsid w:val="4B835265"/>
    <w:rsid w:val="4BA95F1B"/>
    <w:rsid w:val="4BD9235C"/>
    <w:rsid w:val="4BF03B4A"/>
    <w:rsid w:val="4BF713D8"/>
    <w:rsid w:val="4C0D1AB5"/>
    <w:rsid w:val="4C2A0E0A"/>
    <w:rsid w:val="4C3A0A4D"/>
    <w:rsid w:val="4C3B3017"/>
    <w:rsid w:val="4C3F7080"/>
    <w:rsid w:val="4C63256E"/>
    <w:rsid w:val="4C787DC7"/>
    <w:rsid w:val="4C8147A2"/>
    <w:rsid w:val="4CB46925"/>
    <w:rsid w:val="4CEF5BAF"/>
    <w:rsid w:val="4D1B69A4"/>
    <w:rsid w:val="4D3A507C"/>
    <w:rsid w:val="4D405120"/>
    <w:rsid w:val="4D471547"/>
    <w:rsid w:val="4DE33966"/>
    <w:rsid w:val="4DEA2B8B"/>
    <w:rsid w:val="4E102281"/>
    <w:rsid w:val="4E130823"/>
    <w:rsid w:val="4E4B38C7"/>
    <w:rsid w:val="4E5710C1"/>
    <w:rsid w:val="4E5B174E"/>
    <w:rsid w:val="4E85550F"/>
    <w:rsid w:val="4E9D1FB7"/>
    <w:rsid w:val="4ED84B4D"/>
    <w:rsid w:val="4EE55E42"/>
    <w:rsid w:val="4F1638C7"/>
    <w:rsid w:val="4F5166AD"/>
    <w:rsid w:val="4F79610E"/>
    <w:rsid w:val="4F9A0054"/>
    <w:rsid w:val="4FA42C81"/>
    <w:rsid w:val="4FF9121F"/>
    <w:rsid w:val="4FFA6D45"/>
    <w:rsid w:val="502B5150"/>
    <w:rsid w:val="503E1327"/>
    <w:rsid w:val="50EA0B67"/>
    <w:rsid w:val="511D692A"/>
    <w:rsid w:val="512A365A"/>
    <w:rsid w:val="51600E2A"/>
    <w:rsid w:val="518F170F"/>
    <w:rsid w:val="519D32C7"/>
    <w:rsid w:val="51C251CD"/>
    <w:rsid w:val="524E5126"/>
    <w:rsid w:val="525E35BB"/>
    <w:rsid w:val="526861E8"/>
    <w:rsid w:val="527406B9"/>
    <w:rsid w:val="52AA2CA4"/>
    <w:rsid w:val="52E53CDC"/>
    <w:rsid w:val="52EA12F3"/>
    <w:rsid w:val="53344B68"/>
    <w:rsid w:val="533E33EC"/>
    <w:rsid w:val="53F01C7A"/>
    <w:rsid w:val="54523583"/>
    <w:rsid w:val="54A51975"/>
    <w:rsid w:val="54D933CD"/>
    <w:rsid w:val="54DF6509"/>
    <w:rsid w:val="55006BAB"/>
    <w:rsid w:val="55011664"/>
    <w:rsid w:val="554A0417"/>
    <w:rsid w:val="55A0213D"/>
    <w:rsid w:val="55A51501"/>
    <w:rsid w:val="55B10A1A"/>
    <w:rsid w:val="55D911AB"/>
    <w:rsid w:val="55E555E3"/>
    <w:rsid w:val="56725887"/>
    <w:rsid w:val="56921A85"/>
    <w:rsid w:val="569C2904"/>
    <w:rsid w:val="56C67981"/>
    <w:rsid w:val="570B7A8A"/>
    <w:rsid w:val="57596A47"/>
    <w:rsid w:val="576F1DC6"/>
    <w:rsid w:val="57851FA6"/>
    <w:rsid w:val="578B2AC7"/>
    <w:rsid w:val="57B34438"/>
    <w:rsid w:val="57C9748A"/>
    <w:rsid w:val="58304C51"/>
    <w:rsid w:val="58952615"/>
    <w:rsid w:val="59125DAB"/>
    <w:rsid w:val="596A4F3B"/>
    <w:rsid w:val="59701E26"/>
    <w:rsid w:val="59975605"/>
    <w:rsid w:val="59AC5554"/>
    <w:rsid w:val="59B62599"/>
    <w:rsid w:val="59E37A7C"/>
    <w:rsid w:val="59F42A57"/>
    <w:rsid w:val="5A683600"/>
    <w:rsid w:val="5B070568"/>
    <w:rsid w:val="5B0F614B"/>
    <w:rsid w:val="5B1213E7"/>
    <w:rsid w:val="5B2335F4"/>
    <w:rsid w:val="5B6B0AF7"/>
    <w:rsid w:val="5B840409"/>
    <w:rsid w:val="5B920AA4"/>
    <w:rsid w:val="5BB64468"/>
    <w:rsid w:val="5BFB00CD"/>
    <w:rsid w:val="5C3D2493"/>
    <w:rsid w:val="5C425CFC"/>
    <w:rsid w:val="5D184CAE"/>
    <w:rsid w:val="5D331AE8"/>
    <w:rsid w:val="5D35760E"/>
    <w:rsid w:val="5D6B1282"/>
    <w:rsid w:val="5D9205BD"/>
    <w:rsid w:val="5DAB167E"/>
    <w:rsid w:val="5DAF116F"/>
    <w:rsid w:val="5DCB1D21"/>
    <w:rsid w:val="5DEA03F9"/>
    <w:rsid w:val="5DF94AE0"/>
    <w:rsid w:val="5DFE5C52"/>
    <w:rsid w:val="5E8048B9"/>
    <w:rsid w:val="5EFD5F0A"/>
    <w:rsid w:val="5F7268F8"/>
    <w:rsid w:val="5F990328"/>
    <w:rsid w:val="5FB54A36"/>
    <w:rsid w:val="601059C1"/>
    <w:rsid w:val="602045A6"/>
    <w:rsid w:val="60400885"/>
    <w:rsid w:val="6049636D"/>
    <w:rsid w:val="604A1623"/>
    <w:rsid w:val="60CB2763"/>
    <w:rsid w:val="60F021CA"/>
    <w:rsid w:val="61461DEA"/>
    <w:rsid w:val="614C3178"/>
    <w:rsid w:val="6151138E"/>
    <w:rsid w:val="615A7643"/>
    <w:rsid w:val="61616C24"/>
    <w:rsid w:val="6183303E"/>
    <w:rsid w:val="618B3D19"/>
    <w:rsid w:val="6191588E"/>
    <w:rsid w:val="61A22D98"/>
    <w:rsid w:val="61E94800"/>
    <w:rsid w:val="62045801"/>
    <w:rsid w:val="62614798"/>
    <w:rsid w:val="628B03FF"/>
    <w:rsid w:val="62970423"/>
    <w:rsid w:val="629B645D"/>
    <w:rsid w:val="62DB2A06"/>
    <w:rsid w:val="62F53B9C"/>
    <w:rsid w:val="630A6E47"/>
    <w:rsid w:val="634D329A"/>
    <w:rsid w:val="63516E49"/>
    <w:rsid w:val="6372506E"/>
    <w:rsid w:val="6379138E"/>
    <w:rsid w:val="6381535B"/>
    <w:rsid w:val="63AE1EC8"/>
    <w:rsid w:val="63D21C94"/>
    <w:rsid w:val="63D26282"/>
    <w:rsid w:val="64504D2E"/>
    <w:rsid w:val="648C1654"/>
    <w:rsid w:val="64923598"/>
    <w:rsid w:val="64A55079"/>
    <w:rsid w:val="64BA6C25"/>
    <w:rsid w:val="64BD6867"/>
    <w:rsid w:val="64C60944"/>
    <w:rsid w:val="64D12312"/>
    <w:rsid w:val="64D92F75"/>
    <w:rsid w:val="64EF09EB"/>
    <w:rsid w:val="64FF7819"/>
    <w:rsid w:val="650B31F4"/>
    <w:rsid w:val="651E6BDA"/>
    <w:rsid w:val="652A37D1"/>
    <w:rsid w:val="653B778C"/>
    <w:rsid w:val="65573688"/>
    <w:rsid w:val="655D3BA6"/>
    <w:rsid w:val="6562740E"/>
    <w:rsid w:val="656F7435"/>
    <w:rsid w:val="65E63B9C"/>
    <w:rsid w:val="65F91B21"/>
    <w:rsid w:val="6612673F"/>
    <w:rsid w:val="66173D55"/>
    <w:rsid w:val="66277AE6"/>
    <w:rsid w:val="66A650D9"/>
    <w:rsid w:val="66BB0B84"/>
    <w:rsid w:val="66CA7019"/>
    <w:rsid w:val="66CE64D9"/>
    <w:rsid w:val="66D93700"/>
    <w:rsid w:val="670536A6"/>
    <w:rsid w:val="670F2C7E"/>
    <w:rsid w:val="6717660C"/>
    <w:rsid w:val="6729120D"/>
    <w:rsid w:val="675114E9"/>
    <w:rsid w:val="675A65EF"/>
    <w:rsid w:val="676A6106"/>
    <w:rsid w:val="677551D7"/>
    <w:rsid w:val="67BF20D0"/>
    <w:rsid w:val="67D61813"/>
    <w:rsid w:val="67E4235D"/>
    <w:rsid w:val="67F26828"/>
    <w:rsid w:val="680B58AB"/>
    <w:rsid w:val="68750B51"/>
    <w:rsid w:val="687A5CD7"/>
    <w:rsid w:val="68983B76"/>
    <w:rsid w:val="68BE7D5D"/>
    <w:rsid w:val="68FB795E"/>
    <w:rsid w:val="68FE11FC"/>
    <w:rsid w:val="6907210B"/>
    <w:rsid w:val="692C753A"/>
    <w:rsid w:val="6942558D"/>
    <w:rsid w:val="697D3521"/>
    <w:rsid w:val="699D23D7"/>
    <w:rsid w:val="69D00DEB"/>
    <w:rsid w:val="69D34437"/>
    <w:rsid w:val="69FD14B4"/>
    <w:rsid w:val="6A633A0D"/>
    <w:rsid w:val="6A9C0CCD"/>
    <w:rsid w:val="6AB04778"/>
    <w:rsid w:val="6AB57FE0"/>
    <w:rsid w:val="6AB8422B"/>
    <w:rsid w:val="6AC65D4A"/>
    <w:rsid w:val="6AC81AC2"/>
    <w:rsid w:val="6AE744FB"/>
    <w:rsid w:val="6AF6750A"/>
    <w:rsid w:val="6B07083C"/>
    <w:rsid w:val="6B0D3978"/>
    <w:rsid w:val="6B364C7D"/>
    <w:rsid w:val="6B3C5138"/>
    <w:rsid w:val="6B3E196C"/>
    <w:rsid w:val="6B524A46"/>
    <w:rsid w:val="6B56531F"/>
    <w:rsid w:val="6B607318"/>
    <w:rsid w:val="6B6D4417"/>
    <w:rsid w:val="6B8579B3"/>
    <w:rsid w:val="6B8915C2"/>
    <w:rsid w:val="6B9B71D6"/>
    <w:rsid w:val="6BAE15B0"/>
    <w:rsid w:val="6BD9029D"/>
    <w:rsid w:val="6BDA5F51"/>
    <w:rsid w:val="6BE72DB2"/>
    <w:rsid w:val="6C305B70"/>
    <w:rsid w:val="6C4434DD"/>
    <w:rsid w:val="6C9003BD"/>
    <w:rsid w:val="6CC80BB0"/>
    <w:rsid w:val="6CC8224D"/>
    <w:rsid w:val="6CCD1611"/>
    <w:rsid w:val="6D013069"/>
    <w:rsid w:val="6D1322C6"/>
    <w:rsid w:val="6D6E3C55"/>
    <w:rsid w:val="6D851EEC"/>
    <w:rsid w:val="6D9143ED"/>
    <w:rsid w:val="6DCF760B"/>
    <w:rsid w:val="6DEA2A48"/>
    <w:rsid w:val="6E0E5A3E"/>
    <w:rsid w:val="6E114A4F"/>
    <w:rsid w:val="6E526272"/>
    <w:rsid w:val="6E5518BE"/>
    <w:rsid w:val="6E557B10"/>
    <w:rsid w:val="6E757551"/>
    <w:rsid w:val="6EA36ACE"/>
    <w:rsid w:val="6ED523DF"/>
    <w:rsid w:val="6ED70525"/>
    <w:rsid w:val="6EDA6267"/>
    <w:rsid w:val="6EF12A34"/>
    <w:rsid w:val="6F6D49E6"/>
    <w:rsid w:val="6F7C10CD"/>
    <w:rsid w:val="6F887A72"/>
    <w:rsid w:val="6F8F2BAE"/>
    <w:rsid w:val="6F977B87"/>
    <w:rsid w:val="6FA128E1"/>
    <w:rsid w:val="6FA348AB"/>
    <w:rsid w:val="6FB2304E"/>
    <w:rsid w:val="700C06A3"/>
    <w:rsid w:val="70175DDA"/>
    <w:rsid w:val="701B0440"/>
    <w:rsid w:val="70221C74"/>
    <w:rsid w:val="70447E3C"/>
    <w:rsid w:val="706A53C9"/>
    <w:rsid w:val="707A1AB0"/>
    <w:rsid w:val="708B5A6B"/>
    <w:rsid w:val="70943A3E"/>
    <w:rsid w:val="70CB4833"/>
    <w:rsid w:val="70D0347E"/>
    <w:rsid w:val="70EA5A33"/>
    <w:rsid w:val="712D267F"/>
    <w:rsid w:val="712E4649"/>
    <w:rsid w:val="713752AB"/>
    <w:rsid w:val="713C6D66"/>
    <w:rsid w:val="718E7DEE"/>
    <w:rsid w:val="719F5B9E"/>
    <w:rsid w:val="71BD3CC1"/>
    <w:rsid w:val="71D66B8A"/>
    <w:rsid w:val="71F15DA2"/>
    <w:rsid w:val="72263C29"/>
    <w:rsid w:val="72827AE5"/>
    <w:rsid w:val="729D1A86"/>
    <w:rsid w:val="72AB41A3"/>
    <w:rsid w:val="72E41463"/>
    <w:rsid w:val="72F86685"/>
    <w:rsid w:val="733676C5"/>
    <w:rsid w:val="73440153"/>
    <w:rsid w:val="73686F64"/>
    <w:rsid w:val="737F00D1"/>
    <w:rsid w:val="73A54D19"/>
    <w:rsid w:val="73BE3A62"/>
    <w:rsid w:val="74024296"/>
    <w:rsid w:val="74221BDF"/>
    <w:rsid w:val="74390657"/>
    <w:rsid w:val="7462590D"/>
    <w:rsid w:val="74706D7F"/>
    <w:rsid w:val="7479207F"/>
    <w:rsid w:val="747C0AA7"/>
    <w:rsid w:val="74A0585D"/>
    <w:rsid w:val="74AF784E"/>
    <w:rsid w:val="75116700"/>
    <w:rsid w:val="752E4C17"/>
    <w:rsid w:val="75720FA8"/>
    <w:rsid w:val="759233F8"/>
    <w:rsid w:val="75BE3ED3"/>
    <w:rsid w:val="75F27075"/>
    <w:rsid w:val="75F93477"/>
    <w:rsid w:val="765E152C"/>
    <w:rsid w:val="766D79C1"/>
    <w:rsid w:val="76766876"/>
    <w:rsid w:val="76B4114C"/>
    <w:rsid w:val="7715608F"/>
    <w:rsid w:val="773D3837"/>
    <w:rsid w:val="779748E5"/>
    <w:rsid w:val="77B70EF4"/>
    <w:rsid w:val="77D959A0"/>
    <w:rsid w:val="786C0CC6"/>
    <w:rsid w:val="78AF64EE"/>
    <w:rsid w:val="78B83176"/>
    <w:rsid w:val="78C7099A"/>
    <w:rsid w:val="790C1713"/>
    <w:rsid w:val="791A3E30"/>
    <w:rsid w:val="79295E21"/>
    <w:rsid w:val="793D18CD"/>
    <w:rsid w:val="79691527"/>
    <w:rsid w:val="79766B8D"/>
    <w:rsid w:val="79AC25AE"/>
    <w:rsid w:val="79F94C3A"/>
    <w:rsid w:val="7A164F61"/>
    <w:rsid w:val="7A186697"/>
    <w:rsid w:val="7A4F18B8"/>
    <w:rsid w:val="7A5549F4"/>
    <w:rsid w:val="7AAB7D1A"/>
    <w:rsid w:val="7AD23162"/>
    <w:rsid w:val="7AF406B1"/>
    <w:rsid w:val="7AFE508C"/>
    <w:rsid w:val="7B0E3521"/>
    <w:rsid w:val="7B5D6256"/>
    <w:rsid w:val="7BB46369"/>
    <w:rsid w:val="7BBD2838"/>
    <w:rsid w:val="7BEC3136"/>
    <w:rsid w:val="7C3639F5"/>
    <w:rsid w:val="7C5238E1"/>
    <w:rsid w:val="7C5B30F8"/>
    <w:rsid w:val="7C701182"/>
    <w:rsid w:val="7C8141C6"/>
    <w:rsid w:val="7C975798"/>
    <w:rsid w:val="7CB43C54"/>
    <w:rsid w:val="7CC65578"/>
    <w:rsid w:val="7CE359F9"/>
    <w:rsid w:val="7CE64029"/>
    <w:rsid w:val="7D1868D9"/>
    <w:rsid w:val="7D252DA4"/>
    <w:rsid w:val="7D2863F0"/>
    <w:rsid w:val="7D465D6F"/>
    <w:rsid w:val="7DB008BF"/>
    <w:rsid w:val="7DEC566F"/>
    <w:rsid w:val="7DF06F0E"/>
    <w:rsid w:val="7E4B683A"/>
    <w:rsid w:val="7E5A2231"/>
    <w:rsid w:val="7E635932"/>
    <w:rsid w:val="7E92219F"/>
    <w:rsid w:val="7E9A7E78"/>
    <w:rsid w:val="7ECD3704"/>
    <w:rsid w:val="7ECF2FC7"/>
    <w:rsid w:val="7ED44A81"/>
    <w:rsid w:val="7EF154EA"/>
    <w:rsid w:val="7F50002E"/>
    <w:rsid w:val="7F5259A6"/>
    <w:rsid w:val="7F5870DA"/>
    <w:rsid w:val="7F623D3D"/>
    <w:rsid w:val="7F7214D1"/>
    <w:rsid w:val="7F912972"/>
    <w:rsid w:val="7FC93EBA"/>
    <w:rsid w:val="7FD574AD"/>
    <w:rsid w:val="7FDB3BED"/>
    <w:rsid w:val="7FE4485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8"/>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3"/>
    <w:basedOn w:val="1"/>
    <w:autoRedefine/>
    <w:qFormat/>
    <w:uiPriority w:val="0"/>
    <w:rPr>
      <w:rFonts w:hAnsi="Times New Roman"/>
      <w:kern w:val="0"/>
      <w:sz w:val="24"/>
      <w:szCs w:val="20"/>
    </w:rPr>
  </w:style>
  <w:style w:type="paragraph" w:styleId="9">
    <w:name w:val="Body Text"/>
    <w:basedOn w:val="1"/>
    <w:next w:val="1"/>
    <w:autoRedefine/>
    <w:qFormat/>
    <w:uiPriority w:val="0"/>
    <w:pPr>
      <w:spacing w:after="120" w:afterLines="0" w:afterAutospacing="0"/>
    </w:pPr>
    <w:rPr>
      <w:sz w:val="21"/>
    </w:rPr>
  </w:style>
  <w:style w:type="paragraph" w:styleId="10">
    <w:name w:val="Body Text Indent"/>
    <w:basedOn w:val="1"/>
    <w:autoRedefine/>
    <w:qFormat/>
    <w:uiPriority w:val="0"/>
    <w:pPr>
      <w:spacing w:line="312" w:lineRule="auto"/>
      <w:ind w:firstLine="735" w:firstLineChars="245"/>
    </w:pPr>
  </w:style>
  <w:style w:type="paragraph" w:styleId="11">
    <w:name w:val="List 2"/>
    <w:basedOn w:val="1"/>
    <w:autoRedefine/>
    <w:qFormat/>
    <w:uiPriority w:val="0"/>
    <w:pPr>
      <w:ind w:left="100" w:leftChars="200" w:hanging="200" w:hangingChars="200"/>
    </w:pPr>
    <w:rPr>
      <w:sz w:val="21"/>
      <w:szCs w:val="24"/>
    </w:rPr>
  </w:style>
  <w:style w:type="paragraph" w:styleId="12">
    <w:name w:val="toc 3"/>
    <w:basedOn w:val="1"/>
    <w:next w:val="1"/>
    <w:autoRedefine/>
    <w:qFormat/>
    <w:uiPriority w:val="0"/>
    <w:pPr>
      <w:ind w:left="840" w:leftChars="400"/>
    </w:pPr>
  </w:style>
  <w:style w:type="paragraph" w:styleId="13">
    <w:name w:val="Plain Text"/>
    <w:basedOn w:val="1"/>
    <w:next w:val="9"/>
    <w:qFormat/>
    <w:uiPriority w:val="0"/>
    <w:rPr>
      <w:rFonts w:ascii="宋体" w:hAnsi="Courier New"/>
      <w:kern w:val="2"/>
      <w:sz w:val="21"/>
    </w:rPr>
  </w:style>
  <w:style w:type="paragraph" w:styleId="14">
    <w:name w:val="Body Text Indent 2"/>
    <w:basedOn w:val="1"/>
    <w:autoRedefine/>
    <w:qFormat/>
    <w:uiPriority w:val="99"/>
    <w:pPr>
      <w:spacing w:line="300" w:lineRule="auto"/>
      <w:ind w:firstLine="840" w:firstLineChars="280"/>
    </w:pPr>
    <w:rPr>
      <w:rFonts w:ascii="宋体" w:hAnsi="宋体"/>
      <w:kern w:val="0"/>
      <w:sz w:val="30"/>
      <w:szCs w:val="20"/>
    </w:rPr>
  </w:style>
  <w:style w:type="paragraph" w:styleId="15">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6">
    <w:name w:val="envelope return"/>
    <w:basedOn w:val="1"/>
    <w:autoRedefine/>
    <w:unhideWhenUsed/>
    <w:qFormat/>
    <w:uiPriority w:val="99"/>
    <w:pPr>
      <w:snapToGrid w:val="0"/>
    </w:pPr>
    <w:rPr>
      <w:rFonts w:ascii="Arial" w:hAnsi="Arial"/>
    </w:rPr>
  </w:style>
  <w:style w:type="paragraph" w:styleId="17">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0"/>
    <w:pPr>
      <w:snapToGrid w:val="0"/>
      <w:jc w:val="left"/>
    </w:pPr>
    <w:rPr>
      <w:sz w:val="18"/>
      <w:szCs w:val="18"/>
    </w:rPr>
  </w:style>
  <w:style w:type="paragraph" w:styleId="20">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21">
    <w:name w:val="Body Text 2"/>
    <w:basedOn w:val="1"/>
    <w:next w:val="1"/>
    <w:autoRedefine/>
    <w:qFormat/>
    <w:uiPriority w:val="0"/>
    <w:pPr>
      <w:spacing w:after="120" w:afterLines="0" w:afterAutospacing="0" w:line="480" w:lineRule="auto"/>
    </w:pPr>
    <w:rPr>
      <w:sz w:val="21"/>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0"/>
    <w:autoRedefine/>
    <w:qFormat/>
    <w:uiPriority w:val="0"/>
    <w:pPr>
      <w:spacing w:after="120" w:afterLines="0" w:line="240" w:lineRule="auto"/>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color w:val="F73131"/>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Default"/>
    <w:next w:val="1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Body Text 21"/>
    <w:basedOn w:val="1"/>
    <w:next w:val="9"/>
    <w:autoRedefine/>
    <w:qFormat/>
    <w:uiPriority w:val="0"/>
    <w:pPr>
      <w:spacing w:after="120" w:line="480" w:lineRule="auto"/>
    </w:pPr>
  </w:style>
  <w:style w:type="paragraph" w:customStyle="1" w:styleId="42">
    <w:name w:val="无间隔1"/>
    <w:basedOn w:val="1"/>
    <w:autoRedefine/>
    <w:qFormat/>
    <w:uiPriority w:val="1"/>
    <w:pPr>
      <w:spacing w:line="400" w:lineRule="exact"/>
    </w:pPr>
  </w:style>
  <w:style w:type="paragraph" w:customStyle="1" w:styleId="43">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BodyText1I2"/>
    <w:basedOn w:val="46"/>
    <w:next w:val="47"/>
    <w:autoRedefine/>
    <w:qFormat/>
    <w:uiPriority w:val="0"/>
    <w:pPr>
      <w:ind w:firstLine="420" w:firstLineChars="200"/>
    </w:pPr>
    <w:rPr>
      <w:rFonts w:ascii="Calibri" w:hAnsi="Calibri" w:eastAsia="楷体_GB2312"/>
      <w:kern w:val="44"/>
      <w:sz w:val="44"/>
    </w:rPr>
  </w:style>
  <w:style w:type="paragraph" w:customStyle="1" w:styleId="46">
    <w:name w:val="BodyTextIndent"/>
    <w:basedOn w:val="1"/>
    <w:autoRedefine/>
    <w:qFormat/>
    <w:uiPriority w:val="0"/>
    <w:pPr>
      <w:spacing w:after="120"/>
      <w:ind w:left="420" w:leftChars="200"/>
    </w:pPr>
    <w:rPr>
      <w:rFonts w:ascii="Times New Roman" w:hAnsi="Times New Roman"/>
      <w:kern w:val="0"/>
      <w:sz w:val="20"/>
    </w:rPr>
  </w:style>
  <w:style w:type="paragraph" w:customStyle="1" w:styleId="47">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8">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49">
    <w:name w:val="List Paragraph"/>
    <w:basedOn w:val="1"/>
    <w:autoRedefine/>
    <w:qFormat/>
    <w:uiPriority w:val="0"/>
    <w:pPr>
      <w:ind w:firstLine="420" w:firstLineChars="200"/>
    </w:pPr>
    <w:rPr>
      <w:sz w:val="21"/>
      <w:szCs w:val="24"/>
    </w:rPr>
  </w:style>
  <w:style w:type="paragraph" w:customStyle="1" w:styleId="50">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2">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5">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6">
    <w:name w:val="font71"/>
    <w:basedOn w:val="27"/>
    <w:autoRedefine/>
    <w:qFormat/>
    <w:uiPriority w:val="0"/>
    <w:rPr>
      <w:rFonts w:hint="eastAsia" w:ascii="微软雅黑" w:hAnsi="微软雅黑" w:eastAsia="微软雅黑" w:cs="微软雅黑"/>
      <w:color w:val="000000"/>
      <w:sz w:val="16"/>
      <w:szCs w:val="16"/>
      <w:u w:val="none"/>
    </w:rPr>
  </w:style>
  <w:style w:type="character" w:customStyle="1" w:styleId="57">
    <w:name w:val="font112"/>
    <w:basedOn w:val="27"/>
    <w:autoRedefine/>
    <w:qFormat/>
    <w:uiPriority w:val="0"/>
    <w:rPr>
      <w:rFonts w:hint="eastAsia" w:ascii="宋体" w:hAnsi="宋体" w:eastAsia="宋体" w:cs="宋体"/>
      <w:color w:val="000000"/>
      <w:sz w:val="16"/>
      <w:szCs w:val="16"/>
      <w:u w:val="none"/>
    </w:rPr>
  </w:style>
  <w:style w:type="character" w:customStyle="1" w:styleId="58">
    <w:name w:val="NormalCharacter"/>
    <w:link w:val="1"/>
    <w:autoRedefine/>
    <w:qFormat/>
    <w:uiPriority w:val="0"/>
    <w:rPr>
      <w:rFonts w:asciiTheme="minorHAnsi" w:hAnsiTheme="minorHAnsi" w:eastAsiaTheme="minorEastAsia" w:cstheme="minorBidi"/>
      <w:kern w:val="2"/>
      <w:sz w:val="21"/>
      <w:szCs w:val="22"/>
      <w:lang w:val="en-US" w:eastAsia="zh-CN" w:bidi="ar-SA"/>
    </w:rPr>
  </w:style>
  <w:style w:type="paragraph" w:customStyle="1" w:styleId="59">
    <w:name w:val="p0"/>
    <w:basedOn w:val="1"/>
    <w:autoRedefine/>
    <w:qFormat/>
    <w:uiPriority w:val="0"/>
    <w:pPr>
      <w:widowControl/>
    </w:pPr>
    <w:rPr>
      <w:kern w:val="0"/>
      <w:sz w:val="21"/>
      <w:szCs w:val="21"/>
    </w:rPr>
  </w:style>
  <w:style w:type="paragraph" w:customStyle="1" w:styleId="60">
    <w:name w:val="列出段落1"/>
    <w:autoRedefine/>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character" w:customStyle="1" w:styleId="61">
    <w:name w:val="font21"/>
    <w:basedOn w:val="27"/>
    <w:autoRedefine/>
    <w:qFormat/>
    <w:uiPriority w:val="0"/>
    <w:rPr>
      <w:rFonts w:hint="eastAsia" w:ascii="宋体" w:hAnsi="宋体" w:eastAsia="宋体" w:cs="宋体"/>
      <w:color w:val="000000"/>
      <w:sz w:val="20"/>
      <w:szCs w:val="20"/>
      <w:u w:val="none"/>
    </w:rPr>
  </w:style>
  <w:style w:type="character" w:customStyle="1" w:styleId="62">
    <w:name w:val="font11"/>
    <w:basedOn w:val="27"/>
    <w:autoRedefine/>
    <w:qFormat/>
    <w:uiPriority w:val="0"/>
    <w:rPr>
      <w:rFonts w:hint="eastAsia" w:ascii="宋体" w:hAnsi="宋体" w:eastAsia="宋体" w:cs="宋体"/>
      <w:color w:val="000000"/>
      <w:sz w:val="20"/>
      <w:szCs w:val="20"/>
      <w:u w:val="none"/>
      <w:vertAlign w:val="superscript"/>
    </w:rPr>
  </w:style>
  <w:style w:type="character" w:customStyle="1" w:styleId="63">
    <w:name w:val="hover26"/>
    <w:basedOn w:val="27"/>
    <w:autoRedefine/>
    <w:qFormat/>
    <w:uiPriority w:val="0"/>
  </w:style>
  <w:style w:type="character" w:customStyle="1" w:styleId="64">
    <w:name w:val="hover27"/>
    <w:basedOn w:val="27"/>
    <w:autoRedefine/>
    <w:qFormat/>
    <w:uiPriority w:val="0"/>
    <w:rPr>
      <w:color w:val="315EFB"/>
    </w:rPr>
  </w:style>
  <w:style w:type="character" w:customStyle="1" w:styleId="65">
    <w:name w:val="c-icon30"/>
    <w:basedOn w:val="27"/>
    <w:autoRedefine/>
    <w:qFormat/>
    <w:uiPriority w:val="0"/>
  </w:style>
  <w:style w:type="character" w:customStyle="1" w:styleId="66">
    <w:name w:val="font51"/>
    <w:basedOn w:val="27"/>
    <w:autoRedefine/>
    <w:qFormat/>
    <w:uiPriority w:val="0"/>
    <w:rPr>
      <w:rFonts w:ascii="仿宋_GB2312" w:eastAsia="仿宋_GB2312" w:cs="仿宋_GB2312"/>
      <w:b/>
      <w:bCs/>
      <w:color w:val="000000"/>
      <w:sz w:val="21"/>
      <w:szCs w:val="21"/>
      <w:u w:val="none"/>
    </w:rPr>
  </w:style>
  <w:style w:type="character" w:customStyle="1" w:styleId="67">
    <w:name w:val="font31"/>
    <w:basedOn w:val="27"/>
    <w:autoRedefine/>
    <w:qFormat/>
    <w:uiPriority w:val="0"/>
    <w:rPr>
      <w:rFonts w:hint="default" w:ascii="仿宋_GB2312" w:eastAsia="仿宋_GB2312" w:cs="仿宋_GB2312"/>
      <w:color w:val="000000"/>
      <w:sz w:val="21"/>
      <w:szCs w:val="21"/>
      <w:u w:val="none"/>
    </w:rPr>
  </w:style>
  <w:style w:type="character" w:customStyle="1" w:styleId="68">
    <w:name w:val="font41"/>
    <w:basedOn w:val="27"/>
    <w:autoRedefine/>
    <w:qFormat/>
    <w:uiPriority w:val="0"/>
    <w:rPr>
      <w:rFonts w:hint="default" w:ascii="Times New Roman" w:hAnsi="Times New Roman" w:cs="Times New Roman"/>
      <w:color w:val="000000"/>
      <w:sz w:val="21"/>
      <w:szCs w:val="21"/>
      <w:u w:val="none"/>
    </w:rPr>
  </w:style>
  <w:style w:type="character" w:customStyle="1" w:styleId="69">
    <w:name w:val="font61"/>
    <w:basedOn w:val="27"/>
    <w:autoRedefine/>
    <w:qFormat/>
    <w:uiPriority w:val="0"/>
    <w:rPr>
      <w:rFonts w:hint="eastAsia" w:ascii="宋体" w:hAnsi="宋体" w:eastAsia="宋体" w:cs="宋体"/>
      <w:color w:val="000000"/>
      <w:sz w:val="21"/>
      <w:szCs w:val="21"/>
      <w:u w:val="none"/>
    </w:rPr>
  </w:style>
  <w:style w:type="paragraph" w:customStyle="1" w:styleId="70">
    <w:name w:val="style4"/>
    <w:basedOn w:val="71"/>
    <w:next w:val="73"/>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71">
    <w:name w:val="正文_0"/>
    <w:next w:val="7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文本_0"/>
    <w:basedOn w:val="71"/>
    <w:autoRedefine/>
    <w:unhideWhenUsed/>
    <w:qFormat/>
    <w:uiPriority w:val="99"/>
    <w:pPr>
      <w:spacing w:after="120" w:afterLines="0"/>
    </w:pPr>
  </w:style>
  <w:style w:type="paragraph" w:customStyle="1" w:styleId="73">
    <w:name w:val="2"/>
    <w:next w:val="1"/>
    <w:autoRedefine/>
    <w:qFormat/>
    <w:uiPriority w:val="0"/>
    <w:pPr>
      <w:widowControl w:val="0"/>
      <w:jc w:val="both"/>
    </w:pPr>
    <w:rPr>
      <w:rFonts w:ascii="Times New Roman" w:hAnsi="Times New Roman" w:eastAsia="宋体" w:cs="Times New Roman"/>
      <w:sz w:val="21"/>
      <w:lang w:val="en-US" w:eastAsia="zh-CN" w:bidi="ar-SA"/>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6">
    <w:name w:val="正文缩进1"/>
    <w:basedOn w:val="1"/>
    <w:autoRedefine/>
    <w:qFormat/>
    <w:uiPriority w:val="0"/>
    <w:pPr>
      <w:ind w:firstLine="420" w:firstLineChars="200"/>
    </w:pPr>
  </w:style>
  <w:style w:type="paragraph" w:styleId="77">
    <w:name w:val="Quote"/>
    <w:basedOn w:val="1"/>
    <w:next w:val="1"/>
    <w:autoRedefine/>
    <w:qFormat/>
    <w:uiPriority w:val="99"/>
    <w:pPr>
      <w:ind w:left="864" w:right="864"/>
      <w:jc w:val="center"/>
    </w:pPr>
    <w:rPr>
      <w:rFonts w:ascii="Times New Roman" w:hAnsi="Times New Roman" w:cs="Times New Roman"/>
      <w:i/>
      <w:iCs/>
      <w:color w:val="404040"/>
      <w:szCs w:val="21"/>
    </w:rPr>
  </w:style>
  <w:style w:type="paragraph" w:customStyle="1" w:styleId="78">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5884</Words>
  <Characters>6545</Characters>
  <Lines>1</Lines>
  <Paragraphs>1</Paragraphs>
  <TotalTime>46</TotalTime>
  <ScaleCrop>false</ScaleCrop>
  <LinksUpToDate>false</LinksUpToDate>
  <CharactersWithSpaces>6670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时来运转</dc:creator>
  <cp:lastModifiedBy>大王</cp:lastModifiedBy>
  <cp:lastPrinted>2025-05-27T07:25:00Z</cp:lastPrinted>
  <dcterms:modified xsi:type="dcterms:W3CDTF">2025-06-24T01:57:09Z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8596080715424F3CB2727231B862F920_13</vt:lpwstr>
  </property>
  <property fmtid="{D5CDD505-2E9C-101B-9397-08002B2CF9AE}" pid="4" name="KSOTemplateDocerSaveRecord">
    <vt:lpwstr>eyJoZGlkIjoiNzVkOTMwMTczYzdlYzE2MTllMTA2NjdlMTIwYTJkNzAiLCJ1c2VySWQiOiIyMzI5MDUxNjQifQ==</vt:lpwstr>
  </property>
</Properties>
</file>