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98B26">
      <w:pPr>
        <w:spacing w:line="360" w:lineRule="auto"/>
        <w:rPr>
          <w:rFonts w:hint="eastAsia" w:eastAsia="宋体"/>
          <w:lang w:eastAsia="zh-CN"/>
        </w:rPr>
      </w:pPr>
      <w:bookmarkStart w:id="0" w:name="_Toc22804073"/>
      <w:bookmarkEnd w:id="0"/>
      <w:r>
        <w:rPr>
          <w:rFonts w:hint="eastAsia" w:eastAsia="宋体"/>
          <w:lang w:eastAsia="zh-CN"/>
        </w:rPr>
        <w:drawing>
          <wp:inline distT="0" distB="0" distL="114300" distR="114300">
            <wp:extent cx="5715000" cy="8083550"/>
            <wp:effectExtent l="0" t="0" r="0" b="12700"/>
            <wp:docPr id="3" name="图片 3" descr="c7b181cce5a0243e5476004dbef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7b181cce5a0243e5476004dbef8491"/>
                    <pic:cNvPicPr>
                      <a:picLocks noChangeAspect="1"/>
                    </pic:cNvPicPr>
                  </pic:nvPicPr>
                  <pic:blipFill>
                    <a:blip r:embed="rId12"/>
                    <a:stretch>
                      <a:fillRect/>
                    </a:stretch>
                  </pic:blipFill>
                  <pic:spPr>
                    <a:xfrm>
                      <a:off x="0" y="0"/>
                      <a:ext cx="5715000" cy="8083550"/>
                    </a:xfrm>
                    <a:prstGeom prst="rect">
                      <a:avLst/>
                    </a:prstGeom>
                  </pic:spPr>
                </pic:pic>
              </a:graphicData>
            </a:graphic>
          </wp:inline>
        </w:drawing>
      </w:r>
      <w:bookmarkStart w:id="559" w:name="_GoBack"/>
      <w:bookmarkEnd w:id="559"/>
    </w:p>
    <w:p w14:paraId="12623572">
      <w:pPr>
        <w:spacing w:line="360" w:lineRule="auto"/>
      </w:pPr>
    </w:p>
    <w:p w14:paraId="4F814685">
      <w:pPr>
        <w:spacing w:line="360" w:lineRule="auto"/>
      </w:pPr>
    </w:p>
    <w:p w14:paraId="53D2F8D2">
      <w:pPr>
        <w:spacing w:line="360" w:lineRule="auto"/>
      </w:pPr>
    </w:p>
    <w:p w14:paraId="6E081D9A">
      <w:pPr>
        <w:spacing w:line="360" w:lineRule="auto"/>
        <w:jc w:val="center"/>
        <w:rPr>
          <w:rFonts w:hint="eastAsia" w:ascii="宋体" w:hAnsi="宋体" w:eastAsia="宋体" w:cs="宋体"/>
          <w:b/>
          <w:color w:val="auto"/>
          <w:sz w:val="30"/>
          <w:szCs w:val="30"/>
          <w:highlight w:val="none"/>
        </w:rPr>
      </w:pPr>
      <w:r>
        <w:rPr>
          <w:rFonts w:hint="eastAsia" w:ascii="宋体" w:cs="宋体"/>
          <w:b/>
          <w:color w:val="auto"/>
          <w:sz w:val="44"/>
          <w:szCs w:val="44"/>
          <w:highlight w:val="none"/>
          <w:lang w:eastAsia="zh-CN"/>
        </w:rPr>
        <w:t>平顶山市消防救援支队河南省消防救援总队“自然灾害应急能力提升工程”平顶山支队装备建设（第二批）项目</w:t>
      </w:r>
    </w:p>
    <w:p w14:paraId="1434ABE6">
      <w:pPr>
        <w:spacing w:line="360" w:lineRule="auto"/>
        <w:jc w:val="center"/>
        <w:rPr>
          <w:rFonts w:hint="eastAsia" w:ascii="宋体" w:hAnsi="宋体" w:eastAsia="宋体" w:cs="宋体"/>
          <w:b/>
          <w:color w:val="auto"/>
          <w:sz w:val="30"/>
          <w:szCs w:val="30"/>
          <w:highlight w:val="none"/>
        </w:rPr>
      </w:pPr>
    </w:p>
    <w:p w14:paraId="60B464CD">
      <w:pPr>
        <w:spacing w:line="360" w:lineRule="auto"/>
        <w:jc w:val="center"/>
        <w:rPr>
          <w:rFonts w:hint="eastAsia" w:ascii="宋体" w:hAnsi="宋体" w:eastAsia="宋体" w:cs="宋体"/>
          <w:b/>
          <w:color w:val="auto"/>
          <w:sz w:val="30"/>
          <w:szCs w:val="30"/>
          <w:highlight w:val="none"/>
        </w:rPr>
      </w:pPr>
    </w:p>
    <w:p w14:paraId="2BB77D57">
      <w:pPr>
        <w:spacing w:line="360" w:lineRule="auto"/>
        <w:jc w:val="center"/>
        <w:rPr>
          <w:rFonts w:hint="eastAsia" w:ascii="宋体" w:hAnsi="宋体" w:eastAsia="宋体" w:cs="宋体"/>
          <w:b/>
          <w:color w:val="auto"/>
          <w:sz w:val="30"/>
          <w:szCs w:val="30"/>
          <w:highlight w:val="none"/>
        </w:rPr>
      </w:pPr>
    </w:p>
    <w:p w14:paraId="03672BB4">
      <w:pPr>
        <w:spacing w:line="360" w:lineRule="auto"/>
        <w:jc w:val="center"/>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eastAsia="zh-CN"/>
        </w:rPr>
        <w:t>（包</w:t>
      </w:r>
      <w:r>
        <w:rPr>
          <w:rFonts w:hint="eastAsia" w:ascii="宋体" w:hAnsi="宋体" w:cs="宋体"/>
          <w:b/>
          <w:color w:val="auto"/>
          <w:sz w:val="44"/>
          <w:szCs w:val="44"/>
          <w:highlight w:val="none"/>
          <w:lang w:val="en-US" w:eastAsia="zh-CN"/>
        </w:rPr>
        <w:t>1-包3</w:t>
      </w:r>
      <w:r>
        <w:rPr>
          <w:rFonts w:hint="eastAsia" w:ascii="宋体" w:hAnsi="宋体" w:cs="宋体"/>
          <w:b/>
          <w:color w:val="auto"/>
          <w:sz w:val="44"/>
          <w:szCs w:val="44"/>
          <w:highlight w:val="none"/>
          <w:lang w:eastAsia="zh-CN"/>
        </w:rPr>
        <w:t>）</w:t>
      </w:r>
    </w:p>
    <w:p w14:paraId="66572D08">
      <w:pPr>
        <w:jc w:val="center"/>
        <w:rPr>
          <w:rFonts w:hint="eastAsia" w:ascii="宋体" w:hAnsi="宋体" w:eastAsia="宋体" w:cs="宋体"/>
          <w:b/>
          <w:color w:val="auto"/>
          <w:sz w:val="130"/>
          <w:szCs w:val="130"/>
          <w:highlight w:val="none"/>
        </w:rPr>
      </w:pPr>
      <w:r>
        <w:rPr>
          <w:rFonts w:hint="eastAsia" w:ascii="宋体" w:hAnsi="宋体" w:eastAsia="宋体" w:cs="宋体"/>
          <w:b/>
          <w:color w:val="auto"/>
          <w:sz w:val="130"/>
          <w:szCs w:val="130"/>
          <w:highlight w:val="none"/>
        </w:rPr>
        <w:t>招标文件</w:t>
      </w:r>
    </w:p>
    <w:p w14:paraId="2314459B">
      <w:pPr>
        <w:spacing w:line="360" w:lineRule="auto"/>
        <w:jc w:val="center"/>
        <w:rPr>
          <w:rFonts w:hint="default" w:ascii="宋体" w:eastAsia="宋体" w:cs="宋体"/>
          <w:b/>
          <w:color w:val="auto"/>
          <w:sz w:val="30"/>
          <w:szCs w:val="30"/>
          <w:highlight w:val="none"/>
          <w:lang w:val="en-US" w:eastAsia="zh-CN"/>
        </w:rPr>
      </w:pPr>
      <w:r>
        <w:rPr>
          <w:rFonts w:hint="eastAsia" w:ascii="宋体" w:hAnsi="宋体" w:cs="宋体"/>
          <w:b/>
          <w:color w:val="auto"/>
          <w:sz w:val="30"/>
          <w:szCs w:val="30"/>
          <w:highlight w:val="none"/>
        </w:rPr>
        <w:t>项目编号：平采招标-2024-</w:t>
      </w:r>
      <w:r>
        <w:rPr>
          <w:rFonts w:hint="eastAsia" w:ascii="宋体" w:hAnsi="宋体" w:cs="宋体"/>
          <w:b/>
          <w:color w:val="auto"/>
          <w:sz w:val="30"/>
          <w:szCs w:val="30"/>
          <w:highlight w:val="none"/>
          <w:lang w:val="en-US" w:eastAsia="zh-CN"/>
        </w:rPr>
        <w:t xml:space="preserve">159  </w:t>
      </w:r>
    </w:p>
    <w:p w14:paraId="1BFEA78E">
      <w:pPr>
        <w:pStyle w:val="12"/>
        <w:spacing w:line="360" w:lineRule="auto"/>
        <w:ind w:left="0" w:leftChars="0" w:right="31680"/>
        <w:rPr>
          <w:rFonts w:ascii="宋体" w:cs="宋体"/>
          <w:b/>
          <w:color w:val="auto"/>
          <w:sz w:val="30"/>
          <w:szCs w:val="30"/>
          <w:highlight w:val="none"/>
        </w:rPr>
      </w:pPr>
    </w:p>
    <w:p w14:paraId="058CA631">
      <w:pPr>
        <w:pStyle w:val="12"/>
        <w:spacing w:line="360" w:lineRule="auto"/>
        <w:ind w:left="0" w:leftChars="0" w:right="31680"/>
        <w:rPr>
          <w:rFonts w:ascii="宋体" w:cs="宋体"/>
          <w:b/>
          <w:color w:val="auto"/>
          <w:sz w:val="30"/>
          <w:szCs w:val="30"/>
          <w:highlight w:val="none"/>
        </w:rPr>
      </w:pPr>
    </w:p>
    <w:p w14:paraId="255395E8">
      <w:pPr>
        <w:spacing w:line="360" w:lineRule="auto"/>
        <w:rPr>
          <w:rFonts w:ascii="宋体" w:cs="宋体"/>
          <w:b/>
          <w:color w:val="auto"/>
          <w:sz w:val="30"/>
          <w:szCs w:val="30"/>
          <w:highlight w:val="none"/>
        </w:rPr>
      </w:pPr>
    </w:p>
    <w:p w14:paraId="731EBFE2">
      <w:pPr>
        <w:spacing w:line="360" w:lineRule="auto"/>
        <w:rPr>
          <w:rFonts w:ascii="宋体" w:cs="宋体"/>
          <w:b/>
          <w:color w:val="auto"/>
          <w:sz w:val="30"/>
          <w:szCs w:val="30"/>
          <w:highlight w:val="none"/>
        </w:rPr>
      </w:pPr>
    </w:p>
    <w:p w14:paraId="63218C41">
      <w:pPr>
        <w:spacing w:line="360" w:lineRule="auto"/>
        <w:ind w:firstLine="904" w:firstLineChars="300"/>
        <w:jc w:val="left"/>
        <w:rPr>
          <w:rFonts w:hint="eastAsia" w:ascii="宋体" w:eastAsia="宋体" w:cs="宋体"/>
          <w:b/>
          <w:bCs/>
          <w:color w:val="auto"/>
          <w:sz w:val="30"/>
          <w:szCs w:val="30"/>
          <w:highlight w:val="none"/>
          <w:lang w:eastAsia="zh-CN"/>
        </w:rPr>
      </w:pPr>
      <w:r>
        <w:rPr>
          <w:rFonts w:hint="eastAsia" w:ascii="宋体" w:hAnsi="宋体" w:cs="宋体"/>
          <w:b/>
          <w:bCs/>
          <w:color w:val="auto"/>
          <w:sz w:val="30"/>
          <w:szCs w:val="30"/>
          <w:highlight w:val="none"/>
        </w:rPr>
        <w:t>采</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购</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人：</w:t>
      </w:r>
      <w:r>
        <w:rPr>
          <w:rFonts w:hint="eastAsia" w:ascii="宋体" w:hAnsi="宋体" w:cs="宋体"/>
          <w:b/>
          <w:bCs/>
          <w:color w:val="auto"/>
          <w:sz w:val="30"/>
          <w:szCs w:val="30"/>
          <w:highlight w:val="none"/>
          <w:lang w:eastAsia="zh-CN"/>
        </w:rPr>
        <w:t>平顶山市消防救援支队</w:t>
      </w:r>
    </w:p>
    <w:p w14:paraId="06037EF1">
      <w:pPr>
        <w:spacing w:line="360" w:lineRule="auto"/>
        <w:ind w:firstLine="904" w:firstLineChars="300"/>
        <w:jc w:val="left"/>
        <w:rPr>
          <w:rFonts w:ascii="宋体" w:cs="宋体"/>
          <w:b/>
          <w:color w:val="auto"/>
          <w:highlight w:val="none"/>
        </w:rPr>
      </w:pPr>
      <w:r>
        <w:rPr>
          <w:rFonts w:hint="eastAsia" w:ascii="宋体" w:hAnsi="宋体" w:cs="宋体"/>
          <w:b/>
          <w:bCs/>
          <w:color w:val="auto"/>
          <w:sz w:val="30"/>
          <w:szCs w:val="30"/>
          <w:highlight w:val="none"/>
        </w:rPr>
        <w:t>采购代理机构：</w:t>
      </w:r>
      <w:r>
        <w:rPr>
          <w:rFonts w:hint="eastAsia" w:ascii="宋体" w:hAnsi="宋体" w:cs="宋体"/>
          <w:b/>
          <w:bCs/>
          <w:iCs/>
          <w:color w:val="auto"/>
          <w:sz w:val="30"/>
          <w:szCs w:val="30"/>
          <w:highlight w:val="none"/>
          <w:lang w:val="en-US" w:eastAsia="zh-CN"/>
        </w:rPr>
        <w:t>中发祥和工程管理有限公司</w:t>
      </w:r>
    </w:p>
    <w:p w14:paraId="18EE2167">
      <w:pPr>
        <w:spacing w:line="360" w:lineRule="auto"/>
        <w:jc w:val="center"/>
        <w:rPr>
          <w:rFonts w:ascii="宋体" w:cs="宋体"/>
          <w:b/>
          <w:bCs/>
          <w:color w:val="auto"/>
          <w:sz w:val="30"/>
          <w:szCs w:val="30"/>
          <w:highlight w:val="none"/>
        </w:r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val="en-US" w:eastAsia="zh-CN"/>
        </w:rPr>
        <w:t>四</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eastAsia="zh-CN"/>
        </w:rPr>
        <w:t>十</w:t>
      </w:r>
      <w:r>
        <w:rPr>
          <w:rFonts w:hint="eastAsia" w:ascii="宋体" w:hAnsi="宋体" w:cs="宋体"/>
          <w:b/>
          <w:bCs/>
          <w:color w:val="auto"/>
          <w:sz w:val="30"/>
          <w:szCs w:val="30"/>
          <w:highlight w:val="none"/>
          <w:lang w:val="en-US" w:eastAsia="zh-CN"/>
        </w:rPr>
        <w:t>一</w:t>
      </w:r>
      <w:r>
        <w:rPr>
          <w:rFonts w:hint="eastAsia" w:ascii="宋体" w:hAnsi="宋体" w:cs="宋体"/>
          <w:b/>
          <w:bCs/>
          <w:color w:val="auto"/>
          <w:sz w:val="30"/>
          <w:szCs w:val="30"/>
          <w:highlight w:val="none"/>
        </w:rPr>
        <w:t>月</w:t>
      </w:r>
    </w:p>
    <w:p w14:paraId="4BEACA29">
      <w:pPr>
        <w:tabs>
          <w:tab w:val="left" w:pos="602"/>
          <w:tab w:val="left" w:pos="1204"/>
          <w:tab w:val="left" w:pos="1807"/>
        </w:tabs>
        <w:spacing w:before="43" w:line="360" w:lineRule="auto"/>
        <w:ind w:right="295"/>
        <w:jc w:val="center"/>
        <w:rPr>
          <w:rFonts w:ascii="宋体" w:cs="宋体"/>
          <w:b/>
          <w:color w:val="auto"/>
          <w:sz w:val="36"/>
          <w:szCs w:val="36"/>
          <w:highlight w:val="none"/>
        </w:rPr>
        <w:sectPr>
          <w:headerReference r:id="rId4" w:type="first"/>
          <w:headerReference r:id="rId3" w:type="default"/>
          <w:pgSz w:w="11911" w:h="16838"/>
          <w:pgMar w:top="1440" w:right="1803" w:bottom="1440" w:left="1803" w:header="884" w:footer="340" w:gutter="0"/>
          <w:pgBorders>
            <w:top w:val="none" w:sz="0" w:space="0"/>
            <w:left w:val="none" w:sz="0" w:space="0"/>
            <w:bottom w:val="none" w:sz="0" w:space="0"/>
            <w:right w:val="none" w:sz="0" w:space="0"/>
          </w:pgBorders>
          <w:pgNumType w:fmt="decimal"/>
          <w:cols w:space="0" w:num="1"/>
          <w:rtlGutter w:val="0"/>
          <w:docGrid w:linePitch="312" w:charSpace="0"/>
        </w:sectPr>
      </w:pPr>
    </w:p>
    <w:p w14:paraId="74DC74B7">
      <w:pPr>
        <w:pStyle w:val="18"/>
        <w:tabs>
          <w:tab w:val="right" w:leader="dot" w:pos="8305"/>
        </w:tabs>
        <w:jc w:val="center"/>
        <w:rPr>
          <w:rFonts w:hint="eastAsia" w:ascii="宋体" w:hAnsi="宋体" w:eastAsia="宋体" w:cs="宋体"/>
          <w:b w:val="0"/>
          <w:color w:val="auto"/>
          <w:sz w:val="24"/>
          <w:highlight w:val="none"/>
          <w:lang w:eastAsia="zh-CN"/>
        </w:rPr>
      </w:pPr>
      <w:r>
        <w:rPr>
          <w:rFonts w:hint="eastAsia" w:ascii="宋体" w:hAnsi="宋体" w:cs="宋体"/>
          <w:b w:val="0"/>
          <w:color w:val="auto"/>
          <w:sz w:val="24"/>
          <w:highlight w:val="none"/>
          <w:lang w:eastAsia="zh-CN"/>
        </w:rPr>
        <w:t>目</w:t>
      </w:r>
      <w:r>
        <w:rPr>
          <w:rFonts w:hint="eastAsia" w:ascii="宋体" w:hAnsi="宋体" w:cs="宋体"/>
          <w:b w:val="0"/>
          <w:color w:val="auto"/>
          <w:sz w:val="24"/>
          <w:highlight w:val="none"/>
          <w:lang w:val="en-US" w:eastAsia="zh-CN"/>
        </w:rPr>
        <w:t xml:space="preserve">  </w:t>
      </w:r>
      <w:r>
        <w:rPr>
          <w:rFonts w:hint="eastAsia" w:ascii="宋体" w:hAnsi="宋体" w:cs="宋体"/>
          <w:b w:val="0"/>
          <w:color w:val="auto"/>
          <w:sz w:val="24"/>
          <w:highlight w:val="none"/>
          <w:lang w:eastAsia="zh-CN"/>
        </w:rPr>
        <w:t>录</w:t>
      </w:r>
    </w:p>
    <w:p w14:paraId="6751C61A">
      <w:pPr>
        <w:pStyle w:val="18"/>
        <w:tabs>
          <w:tab w:val="right" w:leader="dot" w:pos="8305"/>
        </w:tabs>
      </w:pPr>
      <w:r>
        <w:rPr>
          <w:rFonts w:ascii="宋体" w:hAnsi="宋体" w:cs="宋体"/>
          <w:b w:val="0"/>
          <w:color w:val="auto"/>
          <w:sz w:val="24"/>
          <w:highlight w:val="none"/>
        </w:rPr>
        <w:fldChar w:fldCharType="begin"/>
      </w:r>
      <w:r>
        <w:rPr>
          <w:rFonts w:ascii="宋体" w:hAnsi="宋体" w:cs="宋体"/>
          <w:b w:val="0"/>
          <w:color w:val="auto"/>
          <w:sz w:val="24"/>
          <w:highlight w:val="none"/>
        </w:rPr>
        <w:instrText xml:space="preserve"> TOC \o "1-2" \h \z \u </w:instrText>
      </w:r>
      <w:r>
        <w:rPr>
          <w:rFonts w:ascii="宋体" w:hAnsi="宋体" w:cs="宋体"/>
          <w:b w:val="0"/>
          <w:color w:val="auto"/>
          <w:sz w:val="24"/>
          <w:highlight w:val="none"/>
        </w:rPr>
        <w:fldChar w:fldCharType="separate"/>
      </w:r>
      <w:r>
        <w:rPr>
          <w:rFonts w:ascii="宋体" w:hAnsi="宋体" w:cs="宋体"/>
          <w:color w:val="auto"/>
          <w:highlight w:val="none"/>
        </w:rPr>
        <w:fldChar w:fldCharType="begin"/>
      </w:r>
      <w:r>
        <w:rPr>
          <w:rFonts w:ascii="宋体" w:hAnsi="宋体" w:cs="宋体"/>
          <w:highlight w:val="none"/>
        </w:rPr>
        <w:instrText xml:space="preserve"> HYPERLINK \l _Toc2201 </w:instrText>
      </w:r>
      <w:r>
        <w:rPr>
          <w:rFonts w:ascii="宋体" w:hAnsi="宋体" w:cs="宋体"/>
          <w:highlight w:val="none"/>
        </w:rPr>
        <w:fldChar w:fldCharType="separate"/>
      </w:r>
      <w:r>
        <w:rPr>
          <w:rFonts w:hint="eastAsia" w:ascii="宋体" w:hAnsi="宋体" w:cs="宋体"/>
          <w:highlight w:val="none"/>
        </w:rPr>
        <w:t>第一章</w:t>
      </w:r>
      <w:r>
        <w:rPr>
          <w:rFonts w:ascii="宋体" w:hAnsi="宋体" w:cs="宋体"/>
          <w:highlight w:val="none"/>
        </w:rPr>
        <w:t xml:space="preserve"> </w:t>
      </w:r>
      <w:r>
        <w:rPr>
          <w:rFonts w:hint="eastAsia" w:ascii="宋体" w:hAnsi="宋体" w:cs="宋体"/>
          <w:highlight w:val="none"/>
        </w:rPr>
        <w:t>招标公告</w:t>
      </w:r>
      <w:r>
        <w:tab/>
      </w:r>
      <w:r>
        <w:fldChar w:fldCharType="begin"/>
      </w:r>
      <w:r>
        <w:instrText xml:space="preserve"> PAGEREF _Toc2201 \h </w:instrText>
      </w:r>
      <w:r>
        <w:fldChar w:fldCharType="separate"/>
      </w:r>
      <w:r>
        <w:t>3</w:t>
      </w:r>
      <w:r>
        <w:fldChar w:fldCharType="end"/>
      </w:r>
      <w:r>
        <w:rPr>
          <w:rFonts w:ascii="宋体" w:hAnsi="宋体" w:cs="宋体"/>
          <w:color w:val="auto"/>
          <w:highlight w:val="none"/>
        </w:rPr>
        <w:fldChar w:fldCharType="end"/>
      </w:r>
    </w:p>
    <w:p w14:paraId="1ACA651E">
      <w:pPr>
        <w:pStyle w:val="18"/>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_Toc32633 </w:instrText>
      </w:r>
      <w:r>
        <w:rPr>
          <w:rFonts w:ascii="宋体" w:hAnsi="宋体" w:cs="宋体"/>
          <w:highlight w:val="none"/>
        </w:rPr>
        <w:fldChar w:fldCharType="separate"/>
      </w:r>
      <w:r>
        <w:rPr>
          <w:rFonts w:hint="eastAsia" w:ascii="宋体" w:cs="Times New Roman"/>
        </w:rPr>
        <w:t xml:space="preserve">第二章 </w:t>
      </w:r>
      <w:r>
        <w:rPr>
          <w:rFonts w:hint="eastAsia" w:ascii="宋体" w:hAnsi="宋体" w:cs="宋体"/>
          <w:highlight w:val="none"/>
          <w:lang w:eastAsia="zh-CN"/>
        </w:rPr>
        <w:t>投标人</w:t>
      </w:r>
      <w:r>
        <w:rPr>
          <w:rFonts w:hint="eastAsia" w:ascii="宋体" w:hAnsi="宋体" w:cs="宋体"/>
          <w:highlight w:val="none"/>
        </w:rPr>
        <w:t>须知</w:t>
      </w:r>
      <w:r>
        <w:tab/>
      </w:r>
      <w:r>
        <w:fldChar w:fldCharType="begin"/>
      </w:r>
      <w:r>
        <w:instrText xml:space="preserve"> PAGEREF _Toc32633 \h </w:instrText>
      </w:r>
      <w:r>
        <w:fldChar w:fldCharType="separate"/>
      </w:r>
      <w:r>
        <w:t>8</w:t>
      </w:r>
      <w:r>
        <w:fldChar w:fldCharType="end"/>
      </w:r>
      <w:r>
        <w:rPr>
          <w:rFonts w:ascii="宋体" w:hAnsi="宋体" w:cs="宋体"/>
          <w:color w:val="auto"/>
          <w:highlight w:val="none"/>
        </w:rPr>
        <w:fldChar w:fldCharType="end"/>
      </w:r>
    </w:p>
    <w:p w14:paraId="4806A79D">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_Toc19695 </w:instrText>
      </w:r>
      <w:r>
        <w:rPr>
          <w:rFonts w:ascii="宋体" w:hAnsi="宋体" w:cs="宋体"/>
          <w:highlight w:val="none"/>
        </w:rPr>
        <w:fldChar w:fldCharType="separate"/>
      </w:r>
      <w:r>
        <w:rPr>
          <w:rFonts w:hint="eastAsia" w:ascii="宋体" w:hAnsi="宋体" w:cs="宋体"/>
          <w:bCs/>
          <w:szCs w:val="32"/>
          <w:highlight w:val="none"/>
          <w:lang w:eastAsia="zh-CN"/>
        </w:rPr>
        <w:t>投标人</w:t>
      </w:r>
      <w:r>
        <w:rPr>
          <w:rFonts w:hint="eastAsia" w:ascii="宋体" w:hAnsi="宋体" w:cs="宋体"/>
          <w:bCs/>
          <w:szCs w:val="32"/>
          <w:highlight w:val="none"/>
        </w:rPr>
        <w:t>须知前附表</w:t>
      </w:r>
      <w:r>
        <w:tab/>
      </w:r>
      <w:r>
        <w:fldChar w:fldCharType="begin"/>
      </w:r>
      <w:r>
        <w:instrText xml:space="preserve"> PAGEREF _Toc19695 \h </w:instrText>
      </w:r>
      <w:r>
        <w:fldChar w:fldCharType="separate"/>
      </w:r>
      <w:r>
        <w:t>8</w:t>
      </w:r>
      <w:r>
        <w:fldChar w:fldCharType="end"/>
      </w:r>
      <w:r>
        <w:rPr>
          <w:rFonts w:ascii="宋体" w:hAnsi="宋体" w:cs="宋体"/>
          <w:color w:val="auto"/>
          <w:highlight w:val="none"/>
        </w:rPr>
        <w:fldChar w:fldCharType="end"/>
      </w:r>
    </w:p>
    <w:p w14:paraId="13E22308">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_Toc22522 </w:instrText>
      </w:r>
      <w:r>
        <w:rPr>
          <w:rFonts w:ascii="宋体" w:hAnsi="宋体" w:cs="宋体"/>
          <w:highlight w:val="none"/>
        </w:rPr>
        <w:fldChar w:fldCharType="separate"/>
      </w:r>
      <w:r>
        <w:rPr>
          <w:rFonts w:hint="eastAsia"/>
          <w:szCs w:val="21"/>
          <w:highlight w:val="none"/>
        </w:rPr>
        <w:t>总则</w:t>
      </w:r>
      <w:r>
        <w:tab/>
      </w:r>
      <w:r>
        <w:fldChar w:fldCharType="begin"/>
      </w:r>
      <w:r>
        <w:instrText xml:space="preserve"> PAGEREF _Toc22522 \h </w:instrText>
      </w:r>
      <w:r>
        <w:fldChar w:fldCharType="separate"/>
      </w:r>
      <w:r>
        <w:t>19</w:t>
      </w:r>
      <w:r>
        <w:fldChar w:fldCharType="end"/>
      </w:r>
      <w:r>
        <w:rPr>
          <w:rFonts w:ascii="宋体" w:hAnsi="宋体" w:cs="宋体"/>
          <w:color w:val="auto"/>
          <w:highlight w:val="none"/>
        </w:rPr>
        <w:fldChar w:fldCharType="end"/>
      </w:r>
    </w:p>
    <w:p w14:paraId="1B6920D8">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_Toc32644 </w:instrText>
      </w:r>
      <w:r>
        <w:rPr>
          <w:rFonts w:ascii="宋体" w:hAnsi="宋体" w:cs="宋体"/>
          <w:highlight w:val="none"/>
        </w:rPr>
        <w:fldChar w:fldCharType="separate"/>
      </w:r>
      <w:r>
        <w:rPr>
          <w:rFonts w:cs="Times New Roman"/>
          <w:szCs w:val="21"/>
        </w:rPr>
        <w:t xml:space="preserve">1. </w:t>
      </w:r>
      <w:r>
        <w:rPr>
          <w:rFonts w:hint="eastAsia"/>
          <w:szCs w:val="21"/>
          <w:highlight w:val="none"/>
        </w:rPr>
        <w:t>招标文件</w:t>
      </w:r>
      <w:r>
        <w:tab/>
      </w:r>
      <w:r>
        <w:fldChar w:fldCharType="begin"/>
      </w:r>
      <w:r>
        <w:instrText xml:space="preserve"> PAGEREF _Toc32644 \h </w:instrText>
      </w:r>
      <w:r>
        <w:fldChar w:fldCharType="separate"/>
      </w:r>
      <w:r>
        <w:t>20</w:t>
      </w:r>
      <w:r>
        <w:fldChar w:fldCharType="end"/>
      </w:r>
      <w:r>
        <w:rPr>
          <w:rFonts w:ascii="宋体" w:hAnsi="宋体" w:cs="宋体"/>
          <w:color w:val="auto"/>
          <w:highlight w:val="none"/>
        </w:rPr>
        <w:fldChar w:fldCharType="end"/>
      </w:r>
    </w:p>
    <w:p w14:paraId="4F53C87E">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_Toc1553 </w:instrText>
      </w:r>
      <w:r>
        <w:rPr>
          <w:rFonts w:ascii="宋体" w:hAnsi="宋体" w:cs="宋体"/>
          <w:highlight w:val="none"/>
        </w:rPr>
        <w:fldChar w:fldCharType="separate"/>
      </w:r>
      <w:r>
        <w:rPr>
          <w:rFonts w:cs="Times New Roman"/>
          <w:szCs w:val="21"/>
        </w:rPr>
        <w:t xml:space="preserve">2. </w:t>
      </w:r>
      <w:r>
        <w:rPr>
          <w:rFonts w:hint="eastAsia"/>
          <w:szCs w:val="21"/>
          <w:highlight w:val="none"/>
        </w:rPr>
        <w:t>投标文件的编写</w:t>
      </w:r>
      <w:r>
        <w:tab/>
      </w:r>
      <w:r>
        <w:fldChar w:fldCharType="begin"/>
      </w:r>
      <w:r>
        <w:instrText xml:space="preserve"> PAGEREF _Toc1553 \h </w:instrText>
      </w:r>
      <w:r>
        <w:fldChar w:fldCharType="separate"/>
      </w:r>
      <w:r>
        <w:t>22</w:t>
      </w:r>
      <w:r>
        <w:fldChar w:fldCharType="end"/>
      </w:r>
      <w:r>
        <w:rPr>
          <w:rFonts w:ascii="宋体" w:hAnsi="宋体" w:cs="宋体"/>
          <w:color w:val="auto"/>
          <w:highlight w:val="none"/>
        </w:rPr>
        <w:fldChar w:fldCharType="end"/>
      </w:r>
    </w:p>
    <w:p w14:paraId="77C340CA">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_Toc13655 </w:instrText>
      </w:r>
      <w:r>
        <w:rPr>
          <w:rFonts w:ascii="宋体" w:hAnsi="宋体" w:cs="宋体"/>
          <w:highlight w:val="none"/>
        </w:rPr>
        <w:fldChar w:fldCharType="separate"/>
      </w:r>
      <w:r>
        <w:rPr>
          <w:rFonts w:cs="Times New Roman"/>
          <w:szCs w:val="21"/>
        </w:rPr>
        <w:t xml:space="preserve">3. </w:t>
      </w:r>
      <w:r>
        <w:rPr>
          <w:rFonts w:hint="eastAsia"/>
          <w:szCs w:val="21"/>
          <w:highlight w:val="none"/>
        </w:rPr>
        <w:t>投标</w:t>
      </w:r>
      <w:r>
        <w:tab/>
      </w:r>
      <w:r>
        <w:fldChar w:fldCharType="begin"/>
      </w:r>
      <w:r>
        <w:instrText xml:space="preserve"> PAGEREF _Toc13655 \h </w:instrText>
      </w:r>
      <w:r>
        <w:fldChar w:fldCharType="separate"/>
      </w:r>
      <w:r>
        <w:t>23</w:t>
      </w:r>
      <w:r>
        <w:fldChar w:fldCharType="end"/>
      </w:r>
      <w:r>
        <w:rPr>
          <w:rFonts w:ascii="宋体" w:hAnsi="宋体" w:cs="宋体"/>
          <w:color w:val="auto"/>
          <w:highlight w:val="none"/>
        </w:rPr>
        <w:fldChar w:fldCharType="end"/>
      </w:r>
    </w:p>
    <w:p w14:paraId="3075B46C">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_Toc28530 </w:instrText>
      </w:r>
      <w:r>
        <w:rPr>
          <w:rFonts w:ascii="宋体" w:hAnsi="宋体" w:cs="宋体"/>
          <w:highlight w:val="none"/>
        </w:rPr>
        <w:fldChar w:fldCharType="separate"/>
      </w:r>
      <w:r>
        <w:rPr>
          <w:rFonts w:cs="Times New Roman"/>
          <w:szCs w:val="21"/>
        </w:rPr>
        <w:t xml:space="preserve">4. </w:t>
      </w:r>
      <w:r>
        <w:rPr>
          <w:rFonts w:hint="eastAsia"/>
          <w:szCs w:val="21"/>
          <w:highlight w:val="none"/>
        </w:rPr>
        <w:t>开标、资格审查与评标</w:t>
      </w:r>
      <w:r>
        <w:tab/>
      </w:r>
      <w:r>
        <w:fldChar w:fldCharType="begin"/>
      </w:r>
      <w:r>
        <w:instrText xml:space="preserve"> PAGEREF _Toc28530 \h </w:instrText>
      </w:r>
      <w:r>
        <w:fldChar w:fldCharType="separate"/>
      </w:r>
      <w:r>
        <w:t>24</w:t>
      </w:r>
      <w:r>
        <w:fldChar w:fldCharType="end"/>
      </w:r>
      <w:r>
        <w:rPr>
          <w:rFonts w:ascii="宋体" w:hAnsi="宋体" w:cs="宋体"/>
          <w:color w:val="auto"/>
          <w:highlight w:val="none"/>
        </w:rPr>
        <w:fldChar w:fldCharType="end"/>
      </w:r>
    </w:p>
    <w:p w14:paraId="6135ACEF">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_Toc30544 </w:instrText>
      </w:r>
      <w:r>
        <w:rPr>
          <w:rFonts w:ascii="宋体" w:hAnsi="宋体" w:cs="宋体"/>
          <w:highlight w:val="none"/>
        </w:rPr>
        <w:fldChar w:fldCharType="separate"/>
      </w:r>
      <w:r>
        <w:rPr>
          <w:rFonts w:cs="Times New Roman"/>
          <w:szCs w:val="21"/>
        </w:rPr>
        <w:t xml:space="preserve">5. </w:t>
      </w:r>
      <w:r>
        <w:rPr>
          <w:rFonts w:hint="eastAsia"/>
          <w:szCs w:val="21"/>
          <w:highlight w:val="none"/>
        </w:rPr>
        <w:t>授予合同</w:t>
      </w:r>
      <w:r>
        <w:tab/>
      </w:r>
      <w:r>
        <w:fldChar w:fldCharType="begin"/>
      </w:r>
      <w:r>
        <w:instrText xml:space="preserve"> PAGEREF _Toc30544 \h </w:instrText>
      </w:r>
      <w:r>
        <w:fldChar w:fldCharType="separate"/>
      </w:r>
      <w:r>
        <w:t>26</w:t>
      </w:r>
      <w:r>
        <w:fldChar w:fldCharType="end"/>
      </w:r>
      <w:r>
        <w:rPr>
          <w:rFonts w:ascii="宋体" w:hAnsi="宋体" w:cs="宋体"/>
          <w:color w:val="auto"/>
          <w:highlight w:val="none"/>
        </w:rPr>
        <w:fldChar w:fldCharType="end"/>
      </w:r>
    </w:p>
    <w:p w14:paraId="04149C49">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_Toc21335 </w:instrText>
      </w:r>
      <w:r>
        <w:rPr>
          <w:rFonts w:ascii="宋体" w:hAnsi="宋体" w:cs="宋体"/>
          <w:highlight w:val="none"/>
        </w:rPr>
        <w:fldChar w:fldCharType="separate"/>
      </w:r>
      <w:r>
        <w:rPr>
          <w:rFonts w:cs="Times New Roman"/>
          <w:szCs w:val="21"/>
        </w:rPr>
        <w:t xml:space="preserve">6. </w:t>
      </w:r>
      <w:r>
        <w:rPr>
          <w:rFonts w:hint="eastAsia"/>
          <w:szCs w:val="21"/>
          <w:highlight w:val="none"/>
        </w:rPr>
        <w:t>信用记录</w:t>
      </w:r>
      <w:r>
        <w:tab/>
      </w:r>
      <w:r>
        <w:fldChar w:fldCharType="begin"/>
      </w:r>
      <w:r>
        <w:instrText xml:space="preserve"> PAGEREF _Toc21335 \h </w:instrText>
      </w:r>
      <w:r>
        <w:fldChar w:fldCharType="separate"/>
      </w:r>
      <w:r>
        <w:t>27</w:t>
      </w:r>
      <w:r>
        <w:fldChar w:fldCharType="end"/>
      </w:r>
      <w:r>
        <w:rPr>
          <w:rFonts w:ascii="宋体" w:hAnsi="宋体" w:cs="宋体"/>
          <w:color w:val="auto"/>
          <w:highlight w:val="none"/>
        </w:rPr>
        <w:fldChar w:fldCharType="end"/>
      </w:r>
    </w:p>
    <w:p w14:paraId="730DFBB6">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_Toc25040 </w:instrText>
      </w:r>
      <w:r>
        <w:rPr>
          <w:rFonts w:ascii="宋体" w:hAnsi="宋体" w:cs="宋体"/>
          <w:highlight w:val="none"/>
        </w:rPr>
        <w:fldChar w:fldCharType="separate"/>
      </w:r>
      <w:r>
        <w:rPr>
          <w:rFonts w:cs="Times New Roman"/>
          <w:szCs w:val="21"/>
        </w:rPr>
        <w:t xml:space="preserve">7. </w:t>
      </w:r>
      <w:r>
        <w:rPr>
          <w:rFonts w:hint="eastAsia"/>
          <w:szCs w:val="21"/>
          <w:highlight w:val="none"/>
        </w:rPr>
        <w:t>需要补充的其他内容</w:t>
      </w:r>
      <w:r>
        <w:tab/>
      </w:r>
      <w:r>
        <w:fldChar w:fldCharType="begin"/>
      </w:r>
      <w:r>
        <w:instrText xml:space="preserve"> PAGEREF _Toc25040 \h </w:instrText>
      </w:r>
      <w:r>
        <w:fldChar w:fldCharType="separate"/>
      </w:r>
      <w:r>
        <w:t>27</w:t>
      </w:r>
      <w:r>
        <w:fldChar w:fldCharType="end"/>
      </w:r>
      <w:r>
        <w:rPr>
          <w:rFonts w:ascii="宋体" w:hAnsi="宋体" w:cs="宋体"/>
          <w:color w:val="auto"/>
          <w:highlight w:val="none"/>
        </w:rPr>
        <w:fldChar w:fldCharType="end"/>
      </w:r>
    </w:p>
    <w:p w14:paraId="620788E6">
      <w:pPr>
        <w:pStyle w:val="18"/>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_Toc5739 </w:instrText>
      </w:r>
      <w:r>
        <w:rPr>
          <w:rFonts w:ascii="宋体" w:hAnsi="宋体" w:cs="宋体"/>
          <w:highlight w:val="none"/>
        </w:rPr>
        <w:fldChar w:fldCharType="separate"/>
      </w:r>
      <w:r>
        <w:rPr>
          <w:rFonts w:hint="eastAsia" w:ascii="宋体" w:hAnsi="宋体" w:cs="宋体"/>
          <w:szCs w:val="32"/>
          <w:highlight w:val="none"/>
        </w:rPr>
        <w:t>第三章</w:t>
      </w:r>
      <w:r>
        <w:rPr>
          <w:rFonts w:ascii="宋体" w:hAnsi="宋体" w:cs="宋体"/>
          <w:szCs w:val="32"/>
          <w:highlight w:val="none"/>
        </w:rPr>
        <w:t xml:space="preserve">  </w:t>
      </w:r>
      <w:r>
        <w:rPr>
          <w:rFonts w:hint="eastAsia" w:ascii="宋体" w:hAnsi="宋体" w:cs="宋体"/>
          <w:szCs w:val="32"/>
          <w:highlight w:val="none"/>
        </w:rPr>
        <w:t>资格审查</w:t>
      </w:r>
      <w:r>
        <w:tab/>
      </w:r>
      <w:r>
        <w:fldChar w:fldCharType="begin"/>
      </w:r>
      <w:r>
        <w:instrText xml:space="preserve"> PAGEREF _Toc5739 \h </w:instrText>
      </w:r>
      <w:r>
        <w:fldChar w:fldCharType="separate"/>
      </w:r>
      <w:r>
        <w:t>28</w:t>
      </w:r>
      <w:r>
        <w:fldChar w:fldCharType="end"/>
      </w:r>
      <w:r>
        <w:rPr>
          <w:rFonts w:ascii="宋体" w:hAnsi="宋体" w:cs="宋体"/>
          <w:color w:val="auto"/>
          <w:highlight w:val="none"/>
        </w:rPr>
        <w:fldChar w:fldCharType="end"/>
      </w:r>
    </w:p>
    <w:p w14:paraId="74F59A4A">
      <w:pPr>
        <w:pStyle w:val="18"/>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_Toc16762 </w:instrText>
      </w:r>
      <w:r>
        <w:rPr>
          <w:rFonts w:ascii="宋体" w:hAnsi="宋体" w:cs="宋体"/>
          <w:highlight w:val="none"/>
        </w:rPr>
        <w:fldChar w:fldCharType="separate"/>
      </w:r>
      <w:r>
        <w:rPr>
          <w:rFonts w:hint="eastAsia" w:ascii="宋体" w:hAnsi="宋体" w:cs="宋体"/>
          <w:szCs w:val="32"/>
          <w:highlight w:val="none"/>
        </w:rPr>
        <w:t>第四章</w:t>
      </w:r>
      <w:r>
        <w:rPr>
          <w:rFonts w:ascii="宋体" w:hAnsi="宋体" w:cs="宋体"/>
          <w:szCs w:val="32"/>
          <w:highlight w:val="none"/>
        </w:rPr>
        <w:t xml:space="preserve">  </w:t>
      </w:r>
      <w:r>
        <w:rPr>
          <w:rFonts w:hint="eastAsia" w:ascii="宋体" w:hAnsi="宋体" w:cs="宋体"/>
          <w:szCs w:val="32"/>
          <w:highlight w:val="none"/>
        </w:rPr>
        <w:t>评标办法（综合评分法）</w:t>
      </w:r>
      <w:r>
        <w:tab/>
      </w:r>
      <w:r>
        <w:fldChar w:fldCharType="begin"/>
      </w:r>
      <w:r>
        <w:instrText xml:space="preserve"> PAGEREF _Toc16762 \h </w:instrText>
      </w:r>
      <w:r>
        <w:fldChar w:fldCharType="separate"/>
      </w:r>
      <w:r>
        <w:t>30</w:t>
      </w:r>
      <w:r>
        <w:fldChar w:fldCharType="end"/>
      </w:r>
      <w:r>
        <w:rPr>
          <w:rFonts w:ascii="宋体" w:hAnsi="宋体" w:cs="宋体"/>
          <w:color w:val="auto"/>
          <w:highlight w:val="none"/>
        </w:rPr>
        <w:fldChar w:fldCharType="end"/>
      </w:r>
    </w:p>
    <w:p w14:paraId="4C158B2D">
      <w:pPr>
        <w:pStyle w:val="18"/>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_Toc27357 </w:instrText>
      </w:r>
      <w:r>
        <w:rPr>
          <w:rFonts w:ascii="宋体" w:hAnsi="宋体" w:cs="宋体"/>
          <w:highlight w:val="none"/>
        </w:rPr>
        <w:fldChar w:fldCharType="separate"/>
      </w:r>
      <w:r>
        <w:rPr>
          <w:rFonts w:hint="eastAsia" w:ascii="宋体" w:hAnsi="宋体" w:cs="宋体"/>
          <w:szCs w:val="32"/>
          <w:highlight w:val="none"/>
        </w:rPr>
        <w:t>第五章</w:t>
      </w:r>
      <w:r>
        <w:rPr>
          <w:rFonts w:ascii="宋体" w:hAnsi="宋体" w:cs="宋体"/>
          <w:szCs w:val="32"/>
          <w:highlight w:val="none"/>
        </w:rPr>
        <w:t xml:space="preserve">  </w:t>
      </w:r>
      <w:r>
        <w:rPr>
          <w:rFonts w:hint="eastAsia" w:ascii="宋体" w:hAnsi="宋体" w:cs="宋体"/>
          <w:szCs w:val="32"/>
          <w:highlight w:val="none"/>
        </w:rPr>
        <w:t>合同</w:t>
      </w:r>
      <w:r>
        <w:tab/>
      </w:r>
      <w:r>
        <w:fldChar w:fldCharType="begin"/>
      </w:r>
      <w:r>
        <w:instrText xml:space="preserve"> PAGEREF _Toc27357 \h </w:instrText>
      </w:r>
      <w:r>
        <w:fldChar w:fldCharType="separate"/>
      </w:r>
      <w:r>
        <w:t>39</w:t>
      </w:r>
      <w:r>
        <w:fldChar w:fldCharType="end"/>
      </w:r>
      <w:r>
        <w:rPr>
          <w:rFonts w:ascii="宋体" w:hAnsi="宋体" w:cs="宋体"/>
          <w:color w:val="auto"/>
          <w:highlight w:val="none"/>
        </w:rPr>
        <w:fldChar w:fldCharType="end"/>
      </w:r>
    </w:p>
    <w:p w14:paraId="132FDE0D">
      <w:pPr>
        <w:pStyle w:val="18"/>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_Toc8047 </w:instrText>
      </w:r>
      <w:r>
        <w:rPr>
          <w:rFonts w:ascii="宋体" w:hAnsi="宋体" w:cs="宋体"/>
          <w:highlight w:val="none"/>
        </w:rPr>
        <w:fldChar w:fldCharType="separate"/>
      </w:r>
      <w:r>
        <w:rPr>
          <w:rFonts w:hint="eastAsia" w:ascii="宋体" w:hAnsi="宋体" w:cs="宋体"/>
          <w:szCs w:val="32"/>
          <w:highlight w:val="none"/>
        </w:rPr>
        <w:t>第六章</w:t>
      </w:r>
      <w:r>
        <w:rPr>
          <w:rFonts w:ascii="宋体" w:hAnsi="宋体" w:cs="宋体"/>
          <w:szCs w:val="32"/>
          <w:highlight w:val="none"/>
        </w:rPr>
        <w:t xml:space="preserve">  </w:t>
      </w:r>
      <w:r>
        <w:rPr>
          <w:rFonts w:hint="eastAsia" w:ascii="宋体" w:hAnsi="宋体" w:cs="宋体"/>
          <w:szCs w:val="32"/>
          <w:highlight w:val="none"/>
        </w:rPr>
        <w:t>招标项目需求及技术要求</w:t>
      </w:r>
      <w:r>
        <w:tab/>
      </w:r>
      <w:r>
        <w:fldChar w:fldCharType="begin"/>
      </w:r>
      <w:r>
        <w:instrText xml:space="preserve"> PAGEREF _Toc8047 \h </w:instrText>
      </w:r>
      <w:r>
        <w:fldChar w:fldCharType="separate"/>
      </w:r>
      <w:r>
        <w:t>57</w:t>
      </w:r>
      <w:r>
        <w:fldChar w:fldCharType="end"/>
      </w:r>
      <w:r>
        <w:rPr>
          <w:rFonts w:ascii="宋体" w:hAnsi="宋体" w:cs="宋体"/>
          <w:color w:val="auto"/>
          <w:highlight w:val="none"/>
        </w:rPr>
        <w:fldChar w:fldCharType="end"/>
      </w:r>
    </w:p>
    <w:p w14:paraId="205D034C">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_Toc7733 </w:instrText>
      </w:r>
      <w:r>
        <w:rPr>
          <w:rFonts w:ascii="宋体" w:hAnsi="宋体" w:cs="宋体"/>
          <w:highlight w:val="none"/>
        </w:rPr>
        <w:fldChar w:fldCharType="separate"/>
      </w:r>
      <w:r>
        <w:rPr>
          <w:rFonts w:hint="eastAsia" w:ascii="宋体" w:hAnsi="宋体" w:cs="宋体"/>
          <w:szCs w:val="32"/>
          <w:highlight w:val="none"/>
        </w:rPr>
        <w:t>一、项目需求</w:t>
      </w:r>
      <w:r>
        <w:tab/>
      </w:r>
      <w:r>
        <w:fldChar w:fldCharType="begin"/>
      </w:r>
      <w:r>
        <w:instrText xml:space="preserve"> PAGEREF _Toc7733 \h </w:instrText>
      </w:r>
      <w:r>
        <w:fldChar w:fldCharType="separate"/>
      </w:r>
      <w:r>
        <w:t>57</w:t>
      </w:r>
      <w:r>
        <w:fldChar w:fldCharType="end"/>
      </w:r>
      <w:r>
        <w:rPr>
          <w:rFonts w:ascii="宋体" w:hAnsi="宋体" w:cs="宋体"/>
          <w:color w:val="auto"/>
          <w:highlight w:val="none"/>
        </w:rPr>
        <w:fldChar w:fldCharType="end"/>
      </w:r>
    </w:p>
    <w:p w14:paraId="683E324F">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_Toc95 </w:instrText>
      </w:r>
      <w:r>
        <w:rPr>
          <w:rFonts w:ascii="宋体" w:hAnsi="宋体" w:cs="宋体"/>
          <w:highlight w:val="none"/>
        </w:rPr>
        <w:fldChar w:fldCharType="separate"/>
      </w:r>
      <w:r>
        <w:rPr>
          <w:rFonts w:hint="eastAsia" w:ascii="宋体" w:hAnsi="宋体" w:cs="宋体"/>
          <w:szCs w:val="32"/>
          <w:lang w:eastAsia="zh-CN"/>
        </w:rPr>
        <w:t xml:space="preserve">二、 </w:t>
      </w:r>
      <w:r>
        <w:rPr>
          <w:rFonts w:hint="eastAsia" w:ascii="宋体" w:hAnsi="宋体" w:cs="宋体"/>
          <w:szCs w:val="32"/>
          <w:highlight w:val="none"/>
        </w:rPr>
        <w:t>技术</w:t>
      </w:r>
      <w:r>
        <w:rPr>
          <w:rFonts w:hint="eastAsia" w:ascii="宋体" w:hAnsi="宋体" w:cs="宋体"/>
          <w:szCs w:val="32"/>
          <w:highlight w:val="none"/>
          <w:lang w:eastAsia="zh-CN"/>
        </w:rPr>
        <w:t>要求</w:t>
      </w:r>
      <w:r>
        <w:tab/>
      </w:r>
      <w:r>
        <w:fldChar w:fldCharType="begin"/>
      </w:r>
      <w:r>
        <w:instrText xml:space="preserve"> PAGEREF _Toc95 \h </w:instrText>
      </w:r>
      <w:r>
        <w:fldChar w:fldCharType="separate"/>
      </w:r>
      <w:r>
        <w:t>59</w:t>
      </w:r>
      <w:r>
        <w:fldChar w:fldCharType="end"/>
      </w:r>
      <w:r>
        <w:rPr>
          <w:rFonts w:ascii="宋体" w:hAnsi="宋体" w:cs="宋体"/>
          <w:color w:val="auto"/>
          <w:highlight w:val="none"/>
        </w:rPr>
        <w:fldChar w:fldCharType="end"/>
      </w:r>
    </w:p>
    <w:p w14:paraId="2D2B481E">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_Toc25248 </w:instrText>
      </w:r>
      <w:r>
        <w:rPr>
          <w:rFonts w:ascii="宋体" w:hAnsi="宋体" w:cs="宋体"/>
          <w:highlight w:val="none"/>
        </w:rPr>
        <w:fldChar w:fldCharType="separate"/>
      </w:r>
      <w:r>
        <w:rPr>
          <w:rFonts w:hint="eastAsia" w:ascii="宋体" w:hAnsi="宋体" w:eastAsia="宋体" w:cs="宋体"/>
          <w:szCs w:val="24"/>
          <w:highlight w:val="none"/>
          <w:lang w:eastAsia="zh-CN"/>
        </w:rPr>
        <w:t>（一）</w:t>
      </w:r>
      <w:r>
        <w:rPr>
          <w:rFonts w:hint="eastAsia" w:ascii="宋体" w:hAnsi="宋体" w:eastAsia="宋体" w:cs="宋体"/>
          <w:szCs w:val="24"/>
          <w:highlight w:val="none"/>
        </w:rPr>
        <w:t>通用要求</w:t>
      </w:r>
      <w:r>
        <w:tab/>
      </w:r>
      <w:r>
        <w:fldChar w:fldCharType="begin"/>
      </w:r>
      <w:r>
        <w:instrText xml:space="preserve"> PAGEREF _Toc25248 \h </w:instrText>
      </w:r>
      <w:r>
        <w:fldChar w:fldCharType="separate"/>
      </w:r>
      <w:r>
        <w:t>59</w:t>
      </w:r>
      <w:r>
        <w:fldChar w:fldCharType="end"/>
      </w:r>
      <w:r>
        <w:rPr>
          <w:rFonts w:ascii="宋体" w:hAnsi="宋体" w:cs="宋体"/>
          <w:color w:val="auto"/>
          <w:highlight w:val="none"/>
        </w:rPr>
        <w:fldChar w:fldCharType="end"/>
      </w:r>
    </w:p>
    <w:p w14:paraId="7FE8F642">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_Toc29969 </w:instrText>
      </w:r>
      <w:r>
        <w:rPr>
          <w:rFonts w:ascii="宋体" w:hAnsi="宋体" w:cs="宋体"/>
          <w:highlight w:val="none"/>
        </w:rPr>
        <w:fldChar w:fldCharType="separate"/>
      </w:r>
      <w:r>
        <w:rPr>
          <w:rFonts w:hint="eastAsia" w:ascii="宋体" w:hAnsi="宋体" w:eastAsia="宋体" w:cs="宋体"/>
          <w:szCs w:val="24"/>
          <w:highlight w:val="none"/>
          <w:lang w:eastAsia="zh-CN"/>
        </w:rPr>
        <w:t>（二）技术需求专用要求</w:t>
      </w:r>
      <w:r>
        <w:tab/>
      </w:r>
      <w:r>
        <w:fldChar w:fldCharType="begin"/>
      </w:r>
      <w:r>
        <w:instrText xml:space="preserve"> PAGEREF _Toc29969 \h </w:instrText>
      </w:r>
      <w:r>
        <w:fldChar w:fldCharType="separate"/>
      </w:r>
      <w:r>
        <w:t>61</w:t>
      </w:r>
      <w:r>
        <w:fldChar w:fldCharType="end"/>
      </w:r>
      <w:r>
        <w:rPr>
          <w:rFonts w:ascii="宋体" w:hAnsi="宋体" w:cs="宋体"/>
          <w:color w:val="auto"/>
          <w:highlight w:val="none"/>
        </w:rPr>
        <w:fldChar w:fldCharType="end"/>
      </w:r>
    </w:p>
    <w:p w14:paraId="272CE9CA">
      <w:pPr>
        <w:pStyle w:val="18"/>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_Toc22478 </w:instrText>
      </w:r>
      <w:r>
        <w:rPr>
          <w:rFonts w:ascii="宋体" w:hAnsi="宋体" w:cs="宋体"/>
          <w:highlight w:val="none"/>
        </w:rPr>
        <w:fldChar w:fldCharType="separate"/>
      </w:r>
      <w:r>
        <w:rPr>
          <w:rFonts w:hint="eastAsia" w:ascii="宋体" w:hAnsi="宋体" w:cs="宋体"/>
          <w:szCs w:val="32"/>
          <w:highlight w:val="none"/>
        </w:rPr>
        <w:t>第七章</w:t>
      </w:r>
      <w:r>
        <w:rPr>
          <w:rFonts w:ascii="宋体" w:hAnsi="宋体" w:cs="宋体"/>
          <w:szCs w:val="32"/>
          <w:highlight w:val="none"/>
        </w:rPr>
        <w:t xml:space="preserve">  </w:t>
      </w:r>
      <w:r>
        <w:rPr>
          <w:rFonts w:hint="eastAsia" w:ascii="宋体" w:hAnsi="宋体" w:cs="宋体"/>
          <w:szCs w:val="32"/>
          <w:highlight w:val="none"/>
        </w:rPr>
        <w:t>投标文件格式</w:t>
      </w:r>
      <w:r>
        <w:tab/>
      </w:r>
      <w:r>
        <w:fldChar w:fldCharType="begin"/>
      </w:r>
      <w:r>
        <w:instrText xml:space="preserve"> PAGEREF _Toc22478 \h </w:instrText>
      </w:r>
      <w:r>
        <w:fldChar w:fldCharType="separate"/>
      </w:r>
      <w:r>
        <w:t>68</w:t>
      </w:r>
      <w:r>
        <w:fldChar w:fldCharType="end"/>
      </w:r>
      <w:r>
        <w:rPr>
          <w:rFonts w:ascii="宋体" w:hAnsi="宋体" w:cs="宋体"/>
          <w:color w:val="auto"/>
          <w:highlight w:val="none"/>
        </w:rPr>
        <w:fldChar w:fldCharType="end"/>
      </w:r>
    </w:p>
    <w:p w14:paraId="74F4A488">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_Toc20571 </w:instrText>
      </w:r>
      <w:r>
        <w:rPr>
          <w:rFonts w:ascii="宋体" w:hAnsi="宋体" w:cs="宋体"/>
          <w:highlight w:val="none"/>
        </w:rPr>
        <w:fldChar w:fldCharType="separate"/>
      </w:r>
      <w:r>
        <w:rPr>
          <w:rFonts w:hint="eastAsia" w:ascii="宋体" w:hAnsi="宋体" w:cs="宋体"/>
          <w:highlight w:val="none"/>
        </w:rPr>
        <w:t>一、投标函及投标函附录</w:t>
      </w:r>
      <w:r>
        <w:tab/>
      </w:r>
      <w:r>
        <w:fldChar w:fldCharType="begin"/>
      </w:r>
      <w:r>
        <w:instrText xml:space="preserve"> PAGEREF _Toc20571 \h </w:instrText>
      </w:r>
      <w:r>
        <w:fldChar w:fldCharType="separate"/>
      </w:r>
      <w:r>
        <w:t>70</w:t>
      </w:r>
      <w:r>
        <w:fldChar w:fldCharType="end"/>
      </w:r>
      <w:r>
        <w:rPr>
          <w:rFonts w:ascii="宋体" w:hAnsi="宋体" w:cs="宋体"/>
          <w:color w:val="auto"/>
          <w:highlight w:val="none"/>
        </w:rPr>
        <w:fldChar w:fldCharType="end"/>
      </w:r>
    </w:p>
    <w:p w14:paraId="219A4E54">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_Toc30616 </w:instrText>
      </w:r>
      <w:r>
        <w:rPr>
          <w:rFonts w:ascii="宋体" w:hAnsi="宋体" w:cs="宋体"/>
          <w:highlight w:val="none"/>
        </w:rPr>
        <w:fldChar w:fldCharType="separate"/>
      </w:r>
      <w:r>
        <w:rPr>
          <w:rFonts w:hint="eastAsia"/>
          <w:w w:val="95"/>
          <w:highlight w:val="none"/>
        </w:rPr>
        <w:t>二、法定代表人身份证明</w:t>
      </w:r>
      <w:r>
        <w:tab/>
      </w:r>
      <w:r>
        <w:fldChar w:fldCharType="begin"/>
      </w:r>
      <w:r>
        <w:instrText xml:space="preserve"> PAGEREF _Toc30616 \h </w:instrText>
      </w:r>
      <w:r>
        <w:fldChar w:fldCharType="separate"/>
      </w:r>
      <w:r>
        <w:t>74</w:t>
      </w:r>
      <w:r>
        <w:fldChar w:fldCharType="end"/>
      </w:r>
      <w:r>
        <w:rPr>
          <w:rFonts w:ascii="宋体" w:hAnsi="宋体" w:cs="宋体"/>
          <w:color w:val="auto"/>
          <w:highlight w:val="none"/>
        </w:rPr>
        <w:fldChar w:fldCharType="end"/>
      </w:r>
    </w:p>
    <w:p w14:paraId="00F8D3E9">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_Toc13725 </w:instrText>
      </w:r>
      <w:r>
        <w:rPr>
          <w:rFonts w:ascii="宋体" w:hAnsi="宋体" w:cs="宋体"/>
          <w:highlight w:val="none"/>
        </w:rPr>
        <w:fldChar w:fldCharType="separate"/>
      </w:r>
      <w:r>
        <w:rPr>
          <w:rFonts w:hint="eastAsia"/>
          <w:w w:val="95"/>
          <w:highlight w:val="none"/>
        </w:rPr>
        <w:t>三、授权委托书</w:t>
      </w:r>
      <w:r>
        <w:tab/>
      </w:r>
      <w:r>
        <w:fldChar w:fldCharType="begin"/>
      </w:r>
      <w:r>
        <w:instrText xml:space="preserve"> PAGEREF _Toc13725 \h </w:instrText>
      </w:r>
      <w:r>
        <w:fldChar w:fldCharType="separate"/>
      </w:r>
      <w:r>
        <w:t>75</w:t>
      </w:r>
      <w:r>
        <w:fldChar w:fldCharType="end"/>
      </w:r>
      <w:r>
        <w:rPr>
          <w:rFonts w:ascii="宋体" w:hAnsi="宋体" w:cs="宋体"/>
          <w:color w:val="auto"/>
          <w:highlight w:val="none"/>
        </w:rPr>
        <w:fldChar w:fldCharType="end"/>
      </w:r>
    </w:p>
    <w:p w14:paraId="2FE9CAD1">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_Toc27917 </w:instrText>
      </w:r>
      <w:r>
        <w:rPr>
          <w:rFonts w:ascii="宋体" w:hAnsi="宋体" w:cs="宋体"/>
          <w:highlight w:val="none"/>
        </w:rPr>
        <w:fldChar w:fldCharType="separate"/>
      </w:r>
      <w:r>
        <w:rPr>
          <w:rFonts w:hint="eastAsia"/>
          <w:w w:val="95"/>
          <w:highlight w:val="none"/>
        </w:rPr>
        <w:t>四、投标承诺书</w:t>
      </w:r>
      <w:r>
        <w:tab/>
      </w:r>
      <w:r>
        <w:fldChar w:fldCharType="begin"/>
      </w:r>
      <w:r>
        <w:instrText xml:space="preserve"> PAGEREF _Toc27917 \h </w:instrText>
      </w:r>
      <w:r>
        <w:fldChar w:fldCharType="separate"/>
      </w:r>
      <w:r>
        <w:t>76</w:t>
      </w:r>
      <w:r>
        <w:fldChar w:fldCharType="end"/>
      </w:r>
      <w:r>
        <w:rPr>
          <w:rFonts w:ascii="宋体" w:hAnsi="宋体" w:cs="宋体"/>
          <w:color w:val="auto"/>
          <w:highlight w:val="none"/>
        </w:rPr>
        <w:fldChar w:fldCharType="end"/>
      </w:r>
    </w:p>
    <w:p w14:paraId="6FEBFD94">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_Toc3123 </w:instrText>
      </w:r>
      <w:r>
        <w:rPr>
          <w:rFonts w:ascii="宋体" w:hAnsi="宋体" w:cs="宋体"/>
          <w:highlight w:val="none"/>
        </w:rPr>
        <w:fldChar w:fldCharType="separate"/>
      </w:r>
      <w:r>
        <w:rPr>
          <w:rFonts w:hint="eastAsia"/>
          <w:w w:val="95"/>
          <w:highlight w:val="none"/>
        </w:rPr>
        <w:t>五、技术部分</w:t>
      </w:r>
      <w:r>
        <w:tab/>
      </w:r>
      <w:r>
        <w:fldChar w:fldCharType="begin"/>
      </w:r>
      <w:r>
        <w:instrText xml:space="preserve"> PAGEREF _Toc3123 \h </w:instrText>
      </w:r>
      <w:r>
        <w:fldChar w:fldCharType="separate"/>
      </w:r>
      <w:r>
        <w:t>78</w:t>
      </w:r>
      <w:r>
        <w:fldChar w:fldCharType="end"/>
      </w:r>
      <w:r>
        <w:rPr>
          <w:rFonts w:ascii="宋体" w:hAnsi="宋体" w:cs="宋体"/>
          <w:color w:val="auto"/>
          <w:highlight w:val="none"/>
        </w:rPr>
        <w:fldChar w:fldCharType="end"/>
      </w:r>
    </w:p>
    <w:p w14:paraId="6A3E560B">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_Toc20622 </w:instrText>
      </w:r>
      <w:r>
        <w:rPr>
          <w:rFonts w:ascii="宋体" w:hAnsi="宋体" w:cs="宋体"/>
          <w:highlight w:val="none"/>
        </w:rPr>
        <w:fldChar w:fldCharType="separate"/>
      </w:r>
      <w:r>
        <w:rPr>
          <w:rFonts w:hint="eastAsia"/>
          <w:w w:val="95"/>
          <w:highlight w:val="none"/>
        </w:rPr>
        <w:t>六、</w:t>
      </w:r>
      <w:r>
        <w:rPr>
          <w:rFonts w:hint="eastAsia"/>
          <w:w w:val="95"/>
          <w:highlight w:val="none"/>
          <w:lang w:eastAsia="zh-CN"/>
        </w:rPr>
        <w:t>类似</w:t>
      </w:r>
      <w:r>
        <w:rPr>
          <w:rFonts w:hint="eastAsia"/>
          <w:highlight w:val="none"/>
        </w:rPr>
        <w:t>业绩</w:t>
      </w:r>
      <w:r>
        <w:tab/>
      </w:r>
      <w:r>
        <w:fldChar w:fldCharType="begin"/>
      </w:r>
      <w:r>
        <w:instrText xml:space="preserve"> PAGEREF _Toc20622 \h </w:instrText>
      </w:r>
      <w:r>
        <w:fldChar w:fldCharType="separate"/>
      </w:r>
      <w:r>
        <w:t>83</w:t>
      </w:r>
      <w:r>
        <w:fldChar w:fldCharType="end"/>
      </w:r>
      <w:r>
        <w:rPr>
          <w:rFonts w:ascii="宋体" w:hAnsi="宋体" w:cs="宋体"/>
          <w:color w:val="auto"/>
          <w:highlight w:val="none"/>
        </w:rPr>
        <w:fldChar w:fldCharType="end"/>
      </w:r>
    </w:p>
    <w:p w14:paraId="15DE7BC6">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_Toc1929 </w:instrText>
      </w:r>
      <w:r>
        <w:rPr>
          <w:rFonts w:ascii="宋体" w:hAnsi="宋体" w:cs="宋体"/>
          <w:highlight w:val="none"/>
        </w:rPr>
        <w:fldChar w:fldCharType="separate"/>
      </w:r>
      <w:r>
        <w:rPr>
          <w:rFonts w:hint="eastAsia"/>
          <w:highlight w:val="none"/>
        </w:rPr>
        <w:t>七、实施方案</w:t>
      </w:r>
      <w:r>
        <w:tab/>
      </w:r>
      <w:r>
        <w:fldChar w:fldCharType="begin"/>
      </w:r>
      <w:r>
        <w:instrText xml:space="preserve"> PAGEREF _Toc1929 \h </w:instrText>
      </w:r>
      <w:r>
        <w:fldChar w:fldCharType="separate"/>
      </w:r>
      <w:r>
        <w:t>84</w:t>
      </w:r>
      <w:r>
        <w:fldChar w:fldCharType="end"/>
      </w:r>
      <w:r>
        <w:rPr>
          <w:rFonts w:ascii="宋体" w:hAnsi="宋体" w:cs="宋体"/>
          <w:color w:val="auto"/>
          <w:highlight w:val="none"/>
        </w:rPr>
        <w:fldChar w:fldCharType="end"/>
      </w:r>
    </w:p>
    <w:p w14:paraId="248F7BC6">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_Toc23073 </w:instrText>
      </w:r>
      <w:r>
        <w:rPr>
          <w:rFonts w:ascii="宋体" w:hAnsi="宋体" w:cs="宋体"/>
          <w:highlight w:val="none"/>
        </w:rPr>
        <w:fldChar w:fldCharType="separate"/>
      </w:r>
      <w:r>
        <w:rPr>
          <w:rFonts w:hint="eastAsia"/>
          <w:highlight w:val="none"/>
        </w:rPr>
        <w:t>八、履约能力</w:t>
      </w:r>
      <w:r>
        <w:tab/>
      </w:r>
      <w:r>
        <w:fldChar w:fldCharType="begin"/>
      </w:r>
      <w:r>
        <w:instrText xml:space="preserve"> PAGEREF _Toc23073 \h </w:instrText>
      </w:r>
      <w:r>
        <w:fldChar w:fldCharType="separate"/>
      </w:r>
      <w:r>
        <w:t>85</w:t>
      </w:r>
      <w:r>
        <w:fldChar w:fldCharType="end"/>
      </w:r>
      <w:r>
        <w:rPr>
          <w:rFonts w:ascii="宋体" w:hAnsi="宋体" w:cs="宋体"/>
          <w:color w:val="auto"/>
          <w:highlight w:val="none"/>
        </w:rPr>
        <w:fldChar w:fldCharType="end"/>
      </w:r>
    </w:p>
    <w:p w14:paraId="60CB2BB0">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_Toc12464 </w:instrText>
      </w:r>
      <w:r>
        <w:rPr>
          <w:rFonts w:ascii="宋体" w:hAnsi="宋体" w:cs="宋体"/>
          <w:highlight w:val="none"/>
        </w:rPr>
        <w:fldChar w:fldCharType="separate"/>
      </w:r>
      <w:r>
        <w:rPr>
          <w:rFonts w:hint="eastAsia"/>
          <w:highlight w:val="none"/>
        </w:rPr>
        <w:t>九、售后服务及培训方案</w:t>
      </w:r>
      <w:r>
        <w:tab/>
      </w:r>
      <w:r>
        <w:fldChar w:fldCharType="begin"/>
      </w:r>
      <w:r>
        <w:instrText xml:space="preserve"> PAGEREF _Toc12464 \h </w:instrText>
      </w:r>
      <w:r>
        <w:fldChar w:fldCharType="separate"/>
      </w:r>
      <w:r>
        <w:t>86</w:t>
      </w:r>
      <w:r>
        <w:fldChar w:fldCharType="end"/>
      </w:r>
      <w:r>
        <w:rPr>
          <w:rFonts w:ascii="宋体" w:hAnsi="宋体" w:cs="宋体"/>
          <w:color w:val="auto"/>
          <w:highlight w:val="none"/>
        </w:rPr>
        <w:fldChar w:fldCharType="end"/>
      </w:r>
    </w:p>
    <w:p w14:paraId="56C79809">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_Toc25390 </w:instrText>
      </w:r>
      <w:r>
        <w:rPr>
          <w:rFonts w:ascii="宋体" w:hAnsi="宋体" w:cs="宋体"/>
          <w:highlight w:val="none"/>
        </w:rPr>
        <w:fldChar w:fldCharType="separate"/>
      </w:r>
      <w:r>
        <w:rPr>
          <w:rFonts w:hint="eastAsia"/>
          <w:highlight w:val="none"/>
        </w:rPr>
        <w:t>十、资格证明文件</w:t>
      </w:r>
      <w:r>
        <w:tab/>
      </w:r>
      <w:r>
        <w:fldChar w:fldCharType="begin"/>
      </w:r>
      <w:r>
        <w:instrText xml:space="preserve"> PAGEREF _Toc25390 \h </w:instrText>
      </w:r>
      <w:r>
        <w:fldChar w:fldCharType="separate"/>
      </w:r>
      <w:r>
        <w:t>87</w:t>
      </w:r>
      <w:r>
        <w:fldChar w:fldCharType="end"/>
      </w:r>
      <w:r>
        <w:rPr>
          <w:rFonts w:ascii="宋体" w:hAnsi="宋体" w:cs="宋体"/>
          <w:color w:val="auto"/>
          <w:highlight w:val="none"/>
        </w:rPr>
        <w:fldChar w:fldCharType="end"/>
      </w:r>
    </w:p>
    <w:p w14:paraId="3A629904">
      <w:pPr>
        <w:pStyle w:val="20"/>
        <w:tabs>
          <w:tab w:val="right" w:leader="dot" w:pos="8305"/>
        </w:tabs>
      </w:pPr>
      <w:r>
        <w:rPr>
          <w:rFonts w:ascii="宋体" w:hAnsi="宋体" w:cs="宋体"/>
          <w:color w:val="auto"/>
          <w:highlight w:val="none"/>
        </w:rPr>
        <w:fldChar w:fldCharType="begin"/>
      </w:r>
      <w:r>
        <w:rPr>
          <w:rFonts w:ascii="宋体" w:hAnsi="宋体" w:cs="宋体"/>
          <w:highlight w:val="none"/>
        </w:rPr>
        <w:instrText xml:space="preserve"> HYPERLINK \l _Toc1440 </w:instrText>
      </w:r>
      <w:r>
        <w:rPr>
          <w:rFonts w:ascii="宋体" w:hAnsi="宋体" w:cs="宋体"/>
          <w:highlight w:val="none"/>
        </w:rPr>
        <w:fldChar w:fldCharType="separate"/>
      </w:r>
      <w:r>
        <w:rPr>
          <w:rFonts w:hint="eastAsia"/>
          <w:highlight w:val="none"/>
        </w:rPr>
        <w:t>十一、其他资料</w:t>
      </w:r>
      <w:r>
        <w:tab/>
      </w:r>
      <w:r>
        <w:fldChar w:fldCharType="begin"/>
      </w:r>
      <w:r>
        <w:instrText xml:space="preserve"> PAGEREF _Toc1440 \h </w:instrText>
      </w:r>
      <w:r>
        <w:fldChar w:fldCharType="separate"/>
      </w:r>
      <w:r>
        <w:t>90</w:t>
      </w:r>
      <w:r>
        <w:fldChar w:fldCharType="end"/>
      </w:r>
      <w:r>
        <w:rPr>
          <w:rFonts w:ascii="宋体" w:hAnsi="宋体" w:cs="宋体"/>
          <w:color w:val="auto"/>
          <w:highlight w:val="none"/>
        </w:rPr>
        <w:fldChar w:fldCharType="end"/>
      </w:r>
    </w:p>
    <w:p w14:paraId="1457F0B4">
      <w:pPr>
        <w:pStyle w:val="2"/>
        <w:rPr>
          <w:rFonts w:ascii="宋体" w:cs="宋体"/>
          <w:color w:val="auto"/>
          <w:szCs w:val="32"/>
          <w:highlight w:val="none"/>
        </w:rPr>
        <w:sectPr>
          <w:headerReference r:id="rId5" w:type="default"/>
          <w:footerReference r:id="rId6" w:type="default"/>
          <w:pgSz w:w="11911" w:h="16838"/>
          <w:pgMar w:top="1440" w:right="1803" w:bottom="1440" w:left="1803" w:header="884" w:footer="737" w:gutter="0"/>
          <w:pgBorders>
            <w:top w:val="none" w:sz="0" w:space="0"/>
            <w:left w:val="none" w:sz="0" w:space="0"/>
            <w:bottom w:val="none" w:sz="0" w:space="0"/>
            <w:right w:val="none" w:sz="0" w:space="0"/>
          </w:pgBorders>
          <w:pgNumType w:fmt="decimal" w:start="1"/>
          <w:cols w:space="0" w:num="1"/>
          <w:rtlGutter w:val="0"/>
          <w:docGrid w:linePitch="315" w:charSpace="0"/>
        </w:sectPr>
      </w:pPr>
      <w:r>
        <w:rPr>
          <w:rFonts w:ascii="宋体" w:hAnsi="宋体" w:cs="宋体"/>
          <w:color w:val="auto"/>
          <w:highlight w:val="none"/>
        </w:rPr>
        <w:fldChar w:fldCharType="end"/>
      </w:r>
      <w:bookmarkStart w:id="1" w:name="_Toc40112127"/>
    </w:p>
    <w:p w14:paraId="2CDCBFA5">
      <w:pPr>
        <w:pStyle w:val="2"/>
        <w:rPr>
          <w:rStyle w:val="27"/>
          <w:rFonts w:ascii="宋体" w:cs="宋体"/>
          <w:b/>
          <w:color w:val="auto"/>
          <w:highlight w:val="none"/>
        </w:rPr>
      </w:pPr>
      <w:bookmarkStart w:id="2" w:name="_Toc2201"/>
      <w:r>
        <w:rPr>
          <w:rStyle w:val="27"/>
          <w:rFonts w:hint="eastAsia" w:ascii="宋体" w:hAnsi="宋体" w:cs="宋体"/>
          <w:b/>
          <w:color w:val="auto"/>
          <w:highlight w:val="none"/>
        </w:rPr>
        <w:t>第一章</w:t>
      </w:r>
      <w:r>
        <w:rPr>
          <w:rStyle w:val="27"/>
          <w:rFonts w:ascii="宋体" w:hAnsi="宋体" w:cs="宋体"/>
          <w:b/>
          <w:color w:val="auto"/>
          <w:highlight w:val="none"/>
        </w:rPr>
        <w:t xml:space="preserve"> </w:t>
      </w:r>
      <w:r>
        <w:rPr>
          <w:rStyle w:val="27"/>
          <w:rFonts w:hint="eastAsia" w:ascii="宋体" w:hAnsi="宋体" w:cs="宋体"/>
          <w:b/>
          <w:color w:val="auto"/>
          <w:highlight w:val="none"/>
        </w:rPr>
        <w:t>招标公告</w:t>
      </w:r>
      <w:bookmarkEnd w:id="1"/>
      <w:bookmarkEnd w:id="2"/>
    </w:p>
    <w:p w14:paraId="75EF7293">
      <w:pPr>
        <w:spacing w:line="360" w:lineRule="auto"/>
        <w:jc w:val="center"/>
        <w:rPr>
          <w:rFonts w:ascii="Calibri" w:hAnsi="Calibri"/>
          <w:b/>
          <w:bCs/>
          <w:color w:val="auto"/>
          <w:sz w:val="28"/>
          <w:szCs w:val="36"/>
          <w:highlight w:val="none"/>
        </w:rPr>
      </w:pPr>
      <w:r>
        <w:rPr>
          <w:rFonts w:hint="eastAsia" w:ascii="Calibri" w:hAnsi="Calibri"/>
          <w:b/>
          <w:bCs/>
          <w:color w:val="auto"/>
          <w:sz w:val="28"/>
          <w:szCs w:val="36"/>
          <w:highlight w:val="none"/>
          <w:lang w:val="en-US" w:eastAsia="zh-CN"/>
        </w:rPr>
        <w:t>【平公资采20241080号】平顶山市消防救援支队河南省消防救援总队“自然灾害应急能力提升工程”平顶山支队装备建设（第二批）项目-</w:t>
      </w:r>
      <w:r>
        <w:rPr>
          <w:rFonts w:hint="eastAsia" w:ascii="Calibri" w:hAnsi="Calibri"/>
          <w:b/>
          <w:bCs/>
          <w:color w:val="auto"/>
          <w:sz w:val="28"/>
          <w:szCs w:val="36"/>
          <w:highlight w:val="none"/>
        </w:rPr>
        <w:t>公开招标公告</w:t>
      </w:r>
    </w:p>
    <w:p w14:paraId="0AC94E30">
      <w:pPr>
        <w:widowControl/>
        <w:adjustRightInd w:val="0"/>
        <w:snapToGrid w:val="0"/>
        <w:spacing w:line="360" w:lineRule="auto"/>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项目概况</w:t>
      </w:r>
    </w:p>
    <w:p w14:paraId="4C280567">
      <w:pPr>
        <w:widowControl/>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平顶山市消防救援支队河南省消防救援总队“自然灾害应急能力提升工程”平顶山支队装备建设（第二批）项目</w:t>
      </w:r>
      <w:r>
        <w:rPr>
          <w:rFonts w:hint="eastAsia" w:ascii="宋体" w:hAnsi="宋体" w:cs="宋体"/>
          <w:b w:val="0"/>
          <w:bCs w:val="0"/>
          <w:color w:val="auto"/>
          <w:sz w:val="24"/>
          <w:highlight w:val="none"/>
        </w:rPr>
        <w:t>招标项目的潜在投标人应在</w:t>
      </w:r>
      <w:r>
        <w:rPr>
          <w:rFonts w:hint="eastAsia" w:ascii="宋体" w:hAnsi="宋体" w:eastAsia="宋体" w:cs="宋体"/>
          <w:b w:val="0"/>
          <w:bCs w:val="0"/>
          <w:color w:val="auto"/>
          <w:sz w:val="24"/>
          <w:szCs w:val="24"/>
          <w:highlight w:val="none"/>
        </w:rPr>
        <w:t>《全国公共资源交易平台（河南省·平顶山市）》（网址：http://ggzy.pds.gov.cn/)</w:t>
      </w:r>
      <w:r>
        <w:rPr>
          <w:rFonts w:hint="eastAsia" w:ascii="宋体" w:hAnsi="宋体" w:cs="宋体"/>
          <w:b w:val="0"/>
          <w:bCs w:val="0"/>
          <w:color w:val="auto"/>
          <w:sz w:val="24"/>
          <w:highlight w:val="none"/>
        </w:rPr>
        <w:t>获取招标文件，并于202</w:t>
      </w: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rPr>
        <w:t>年</w:t>
      </w:r>
      <w:r>
        <w:rPr>
          <w:rFonts w:hint="eastAsia" w:ascii="宋体" w:hAnsi="宋体" w:cs="宋体"/>
          <w:b w:val="0"/>
          <w:bCs w:val="0"/>
          <w:color w:val="auto"/>
          <w:sz w:val="24"/>
          <w:highlight w:val="none"/>
          <w:lang w:val="en-US" w:eastAsia="zh-CN"/>
        </w:rPr>
        <w:t>12</w:t>
      </w:r>
      <w:r>
        <w:rPr>
          <w:rFonts w:hint="eastAsia" w:ascii="宋体" w:hAnsi="宋体" w:cs="宋体"/>
          <w:b w:val="0"/>
          <w:bCs w:val="0"/>
          <w:color w:val="auto"/>
          <w:sz w:val="24"/>
          <w:highlight w:val="none"/>
        </w:rPr>
        <w:t>月</w:t>
      </w:r>
      <w:r>
        <w:rPr>
          <w:rFonts w:hint="eastAsia" w:ascii="宋体" w:hAnsi="宋体" w:cs="宋体"/>
          <w:b w:val="0"/>
          <w:bCs w:val="0"/>
          <w:color w:val="auto"/>
          <w:sz w:val="24"/>
          <w:highlight w:val="none"/>
          <w:lang w:val="en-US" w:eastAsia="zh-CN"/>
        </w:rPr>
        <w:t>16</w:t>
      </w:r>
      <w:r>
        <w:rPr>
          <w:rFonts w:hint="eastAsia" w:ascii="宋体" w:hAnsi="宋体" w:cs="宋体"/>
          <w:b w:val="0"/>
          <w:bCs w:val="0"/>
          <w:color w:val="auto"/>
          <w:sz w:val="24"/>
          <w:highlight w:val="none"/>
        </w:rPr>
        <w:t>日</w:t>
      </w:r>
      <w:r>
        <w:rPr>
          <w:rFonts w:hint="eastAsia" w:ascii="宋体" w:hAnsi="宋体" w:cs="宋体"/>
          <w:b w:val="0"/>
          <w:bCs w:val="0"/>
          <w:color w:val="auto"/>
          <w:sz w:val="24"/>
          <w:highlight w:val="none"/>
          <w:lang w:val="en-US" w:eastAsia="zh-CN"/>
        </w:rPr>
        <w:t>08</w:t>
      </w:r>
      <w:r>
        <w:rPr>
          <w:rFonts w:hint="eastAsia" w:ascii="宋体" w:hAnsi="宋体" w:cs="宋体"/>
          <w:b w:val="0"/>
          <w:bCs w:val="0"/>
          <w:color w:val="auto"/>
          <w:sz w:val="24"/>
          <w:highlight w:val="none"/>
        </w:rPr>
        <w:t>时</w:t>
      </w:r>
      <w:r>
        <w:rPr>
          <w:rFonts w:hint="eastAsia" w:ascii="宋体" w:hAnsi="宋体" w:cs="宋体"/>
          <w:b w:val="0"/>
          <w:bCs w:val="0"/>
          <w:color w:val="auto"/>
          <w:sz w:val="24"/>
          <w:highlight w:val="none"/>
          <w:lang w:val="en-US" w:eastAsia="zh-CN"/>
        </w:rPr>
        <w:t>40</w:t>
      </w:r>
      <w:r>
        <w:rPr>
          <w:rFonts w:hint="eastAsia" w:ascii="宋体" w:hAnsi="宋体" w:cs="宋体"/>
          <w:b w:val="0"/>
          <w:bCs w:val="0"/>
          <w:color w:val="auto"/>
          <w:sz w:val="24"/>
          <w:highlight w:val="none"/>
        </w:rPr>
        <w:t>分（北京时间）前递交投标文件。</w:t>
      </w:r>
    </w:p>
    <w:p w14:paraId="6EF6F0D9">
      <w:pPr>
        <w:widowControl/>
        <w:adjustRightInd w:val="0"/>
        <w:snapToGrid w:val="0"/>
        <w:spacing w:line="360" w:lineRule="auto"/>
        <w:jc w:val="left"/>
        <w:rPr>
          <w:rFonts w:ascii="宋体" w:cs="宋体"/>
          <w:b w:val="0"/>
          <w:bCs w:val="0"/>
          <w:color w:val="auto"/>
          <w:sz w:val="24"/>
          <w:highlight w:val="none"/>
        </w:rPr>
      </w:pPr>
      <w:r>
        <w:rPr>
          <w:rFonts w:hint="eastAsia" w:ascii="宋体" w:hAnsi="宋体" w:cs="宋体"/>
          <w:b w:val="0"/>
          <w:bCs w:val="0"/>
          <w:color w:val="auto"/>
          <w:sz w:val="24"/>
          <w:highlight w:val="none"/>
        </w:rPr>
        <w:t>一、项目基本情况</w:t>
      </w:r>
    </w:p>
    <w:p w14:paraId="469F66A8">
      <w:pPr>
        <w:widowControl/>
        <w:adjustRightInd w:val="0"/>
        <w:snapToGrid w:val="0"/>
        <w:spacing w:line="360" w:lineRule="auto"/>
        <w:ind w:firstLine="480" w:firstLineChars="200"/>
        <w:jc w:val="left"/>
        <w:rPr>
          <w:rFonts w:hint="default" w:ascii="宋体" w:eastAsia="宋体" w:cs="宋体"/>
          <w:b w:val="0"/>
          <w:bCs w:val="0"/>
          <w:color w:val="auto"/>
          <w:sz w:val="24"/>
          <w:highlight w:val="none"/>
          <w:lang w:val="en-US" w:eastAsia="zh-CN"/>
        </w:rPr>
      </w:pPr>
      <w:r>
        <w:rPr>
          <w:rFonts w:ascii="宋体" w:hAnsi="宋体" w:cs="宋体"/>
          <w:b w:val="0"/>
          <w:bCs w:val="0"/>
          <w:color w:val="auto"/>
          <w:sz w:val="24"/>
          <w:highlight w:val="none"/>
        </w:rPr>
        <w:t>1</w:t>
      </w:r>
      <w:r>
        <w:rPr>
          <w:rFonts w:hint="eastAsia" w:ascii="宋体" w:hAnsi="宋体" w:cs="宋体"/>
          <w:b w:val="0"/>
          <w:bCs w:val="0"/>
          <w:color w:val="auto"/>
          <w:sz w:val="24"/>
          <w:highlight w:val="none"/>
        </w:rPr>
        <w:t>、项目编号：平采招标-2024-</w:t>
      </w:r>
      <w:r>
        <w:rPr>
          <w:rFonts w:hint="eastAsia" w:ascii="宋体" w:hAnsi="宋体" w:cs="宋体"/>
          <w:b w:val="0"/>
          <w:bCs w:val="0"/>
          <w:color w:val="auto"/>
          <w:sz w:val="24"/>
          <w:highlight w:val="none"/>
          <w:lang w:val="en-US" w:eastAsia="zh-CN"/>
        </w:rPr>
        <w:t>159</w:t>
      </w:r>
    </w:p>
    <w:p w14:paraId="75C1897D">
      <w:pPr>
        <w:adjustRightInd w:val="0"/>
        <w:snapToGrid w:val="0"/>
        <w:spacing w:line="360" w:lineRule="auto"/>
        <w:ind w:firstLine="480" w:firstLineChars="200"/>
        <w:jc w:val="left"/>
        <w:rPr>
          <w:rFonts w:hint="eastAsia" w:ascii="宋体" w:hAnsi="宋体" w:cs="宋体"/>
          <w:b w:val="0"/>
          <w:bCs w:val="0"/>
          <w:color w:val="auto"/>
          <w:sz w:val="24"/>
          <w:highlight w:val="none"/>
          <w:lang w:eastAsia="zh-CN"/>
        </w:rPr>
      </w:pPr>
      <w:r>
        <w:rPr>
          <w:rFonts w:ascii="宋体" w:hAnsi="宋体" w:cs="宋体"/>
          <w:b w:val="0"/>
          <w:bCs w:val="0"/>
          <w:color w:val="auto"/>
          <w:sz w:val="24"/>
          <w:highlight w:val="none"/>
        </w:rPr>
        <w:t>2</w:t>
      </w:r>
      <w:r>
        <w:rPr>
          <w:rFonts w:hint="eastAsia" w:ascii="宋体" w:hAnsi="宋体" w:cs="宋体"/>
          <w:b w:val="0"/>
          <w:bCs w:val="0"/>
          <w:color w:val="auto"/>
          <w:sz w:val="24"/>
          <w:highlight w:val="none"/>
        </w:rPr>
        <w:t>、项目名称：</w:t>
      </w: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平顶山市消防救援支队河南省消防救援总队“自然灾害应急能力提升工程”平顶山支队装备建设（第二批）项目</w:t>
      </w:r>
    </w:p>
    <w:p w14:paraId="458EA019">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3</w:t>
      </w:r>
      <w:r>
        <w:rPr>
          <w:rFonts w:hint="eastAsia" w:ascii="宋体" w:hAnsi="宋体" w:cs="宋体"/>
          <w:b w:val="0"/>
          <w:bCs w:val="0"/>
          <w:color w:val="auto"/>
          <w:sz w:val="24"/>
          <w:highlight w:val="none"/>
        </w:rPr>
        <w:t>、采购方式：公开招标</w:t>
      </w:r>
    </w:p>
    <w:p w14:paraId="29350069">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ascii="宋体" w:hAnsi="宋体" w:cs="宋体"/>
          <w:b w:val="0"/>
          <w:bCs w:val="0"/>
          <w:color w:val="auto"/>
          <w:sz w:val="24"/>
          <w:highlight w:val="none"/>
        </w:rPr>
        <w:t>4</w:t>
      </w:r>
      <w:r>
        <w:rPr>
          <w:rFonts w:hint="eastAsia" w:ascii="宋体" w:hAnsi="宋体" w:cs="宋体"/>
          <w:b w:val="0"/>
          <w:bCs w:val="0"/>
          <w:color w:val="auto"/>
          <w:sz w:val="24"/>
          <w:highlight w:val="none"/>
        </w:rPr>
        <w:t>、预算金额：</w:t>
      </w:r>
      <w:r>
        <w:rPr>
          <w:rFonts w:hint="eastAsia" w:ascii="宋体" w:hAnsi="宋体" w:cs="宋体"/>
          <w:b w:val="0"/>
          <w:bCs w:val="0"/>
          <w:color w:val="auto"/>
          <w:sz w:val="24"/>
          <w:highlight w:val="none"/>
          <w:lang w:val="en-US" w:eastAsia="zh-CN"/>
        </w:rPr>
        <w:t>7919030</w:t>
      </w:r>
      <w:r>
        <w:rPr>
          <w:rFonts w:hint="eastAsia" w:ascii="宋体" w:hAnsi="宋体" w:cs="宋体"/>
          <w:b w:val="0"/>
          <w:bCs w:val="0"/>
          <w:color w:val="auto"/>
          <w:sz w:val="24"/>
          <w:highlight w:val="none"/>
        </w:rPr>
        <w:t>元</w:t>
      </w:r>
    </w:p>
    <w:p w14:paraId="6B9193FC">
      <w:pPr>
        <w:adjustRightInd w:val="0"/>
        <w:snapToGrid w:val="0"/>
        <w:spacing w:line="360" w:lineRule="auto"/>
        <w:ind w:left="0" w:leftChars="0" w:firstLine="840" w:firstLineChars="35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最高限价：</w:t>
      </w:r>
      <w:r>
        <w:rPr>
          <w:rFonts w:hint="eastAsia" w:ascii="宋体" w:hAnsi="宋体" w:cs="宋体"/>
          <w:b w:val="0"/>
          <w:bCs w:val="0"/>
          <w:color w:val="auto"/>
          <w:sz w:val="24"/>
          <w:highlight w:val="none"/>
          <w:lang w:val="en-US" w:eastAsia="zh-CN"/>
        </w:rPr>
        <w:t>7919030</w:t>
      </w:r>
      <w:r>
        <w:rPr>
          <w:rFonts w:hint="eastAsia" w:ascii="宋体" w:hAnsi="宋体" w:cs="宋体"/>
          <w:b w:val="0"/>
          <w:bCs w:val="0"/>
          <w:color w:val="auto"/>
          <w:sz w:val="24"/>
          <w:highlight w:val="none"/>
        </w:rPr>
        <w:t>元</w:t>
      </w:r>
    </w:p>
    <w:tbl>
      <w:tblPr>
        <w:tblStyle w:val="2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92"/>
        <w:gridCol w:w="1119"/>
        <w:gridCol w:w="1128"/>
        <w:gridCol w:w="1216"/>
        <w:gridCol w:w="1019"/>
        <w:gridCol w:w="1683"/>
      </w:tblGrid>
      <w:tr w14:paraId="517F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1" w:type="dxa"/>
            <w:vAlign w:val="center"/>
          </w:tcPr>
          <w:p w14:paraId="39EBEA53">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892" w:type="dxa"/>
            <w:vAlign w:val="center"/>
          </w:tcPr>
          <w:p w14:paraId="6263C571">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包号</w:t>
            </w:r>
          </w:p>
        </w:tc>
        <w:tc>
          <w:tcPr>
            <w:tcW w:w="1119" w:type="dxa"/>
            <w:vAlign w:val="center"/>
          </w:tcPr>
          <w:p w14:paraId="5C977525">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包名称</w:t>
            </w:r>
          </w:p>
        </w:tc>
        <w:tc>
          <w:tcPr>
            <w:tcW w:w="1128" w:type="dxa"/>
            <w:vAlign w:val="center"/>
          </w:tcPr>
          <w:p w14:paraId="2A632F09">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包预算（元）</w:t>
            </w:r>
          </w:p>
        </w:tc>
        <w:tc>
          <w:tcPr>
            <w:tcW w:w="1216" w:type="dxa"/>
            <w:vAlign w:val="center"/>
          </w:tcPr>
          <w:p w14:paraId="5D3ADA12">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包最高限价（元）</w:t>
            </w:r>
          </w:p>
        </w:tc>
        <w:tc>
          <w:tcPr>
            <w:tcW w:w="1019" w:type="dxa"/>
            <w:vAlign w:val="center"/>
          </w:tcPr>
          <w:p w14:paraId="3CCC68F5">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是否专门面向中小企业</w:t>
            </w:r>
          </w:p>
        </w:tc>
        <w:tc>
          <w:tcPr>
            <w:tcW w:w="1683" w:type="dxa"/>
            <w:vAlign w:val="center"/>
          </w:tcPr>
          <w:p w14:paraId="45308302">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采购预留金额（元）</w:t>
            </w:r>
          </w:p>
        </w:tc>
      </w:tr>
      <w:tr w14:paraId="3ADA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78BD247D">
            <w:pPr>
              <w:adjustRightInd w:val="0"/>
              <w:snapToGrid w:val="0"/>
              <w:spacing w:line="240" w:lineRule="auto"/>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892" w:type="dxa"/>
            <w:vAlign w:val="center"/>
          </w:tcPr>
          <w:p w14:paraId="256E3B35">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w:t>
            </w:r>
          </w:p>
          <w:p w14:paraId="7BCC7F75">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2024</w:t>
            </w:r>
            <w:r>
              <w:rPr>
                <w:rFonts w:hint="eastAsia" w:ascii="宋体" w:hAnsi="宋体" w:cs="宋体"/>
                <w:i w:val="0"/>
                <w:iCs w:val="0"/>
                <w:color w:val="auto"/>
                <w:kern w:val="0"/>
                <w:sz w:val="24"/>
                <w:szCs w:val="24"/>
                <w:highlight w:val="none"/>
                <w:u w:val="none"/>
                <w:lang w:val="en-US" w:eastAsia="zh-CN" w:bidi="ar"/>
              </w:rPr>
              <w:t>1080</w:t>
            </w:r>
            <w:r>
              <w:rPr>
                <w:rFonts w:hint="eastAsia" w:ascii="宋体" w:hAnsi="宋体" w:eastAsia="宋体" w:cs="宋体"/>
                <w:i w:val="0"/>
                <w:iCs w:val="0"/>
                <w:color w:val="auto"/>
                <w:kern w:val="0"/>
                <w:sz w:val="24"/>
                <w:szCs w:val="24"/>
                <w:highlight w:val="none"/>
                <w:u w:val="none"/>
                <w:lang w:val="en-US" w:eastAsia="zh-CN" w:bidi="ar"/>
              </w:rPr>
              <w:t>号-1</w:t>
            </w:r>
          </w:p>
        </w:tc>
        <w:tc>
          <w:tcPr>
            <w:tcW w:w="1119" w:type="dxa"/>
            <w:vAlign w:val="center"/>
          </w:tcPr>
          <w:p w14:paraId="6ADDD0EE">
            <w:pPr>
              <w:adjustRightInd w:val="0"/>
              <w:snapToGrid w:val="0"/>
              <w:spacing w:line="240" w:lineRule="auto"/>
              <w:jc w:val="center"/>
              <w:rPr>
                <w:rFonts w:hint="default" w:ascii="宋体" w:hAnsi="宋体" w:cs="宋体"/>
                <w:b w:val="0"/>
                <w:bCs w:val="0"/>
                <w:color w:val="auto"/>
                <w:sz w:val="24"/>
                <w:szCs w:val="24"/>
                <w:highlight w:val="none"/>
                <w:vertAlign w:val="baseline"/>
                <w:lang w:val="en-US"/>
              </w:rPr>
            </w:pPr>
            <w:r>
              <w:rPr>
                <w:rFonts w:hint="eastAsia" w:ascii="宋体" w:hAnsi="宋体" w:cs="宋体"/>
                <w:i w:val="0"/>
                <w:iCs w:val="0"/>
                <w:color w:val="auto"/>
                <w:kern w:val="0"/>
                <w:sz w:val="24"/>
                <w:szCs w:val="24"/>
                <w:highlight w:val="none"/>
                <w:u w:val="none"/>
                <w:lang w:val="en-US" w:eastAsia="zh-CN" w:bidi="ar"/>
              </w:rPr>
              <w:t>包1</w:t>
            </w:r>
          </w:p>
        </w:tc>
        <w:tc>
          <w:tcPr>
            <w:tcW w:w="1128" w:type="dxa"/>
            <w:vAlign w:val="center"/>
          </w:tcPr>
          <w:p w14:paraId="581A6E7C">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i w:val="0"/>
                <w:iCs w:val="0"/>
                <w:color w:val="000000"/>
                <w:sz w:val="24"/>
                <w:szCs w:val="24"/>
                <w:highlight w:val="none"/>
                <w:u w:val="none"/>
                <w:lang w:val="en-US" w:eastAsia="zh-CN"/>
              </w:rPr>
              <w:t>1300000</w:t>
            </w:r>
          </w:p>
        </w:tc>
        <w:tc>
          <w:tcPr>
            <w:tcW w:w="1216" w:type="dxa"/>
            <w:vAlign w:val="center"/>
          </w:tcPr>
          <w:p w14:paraId="41DF0EB3">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i w:val="0"/>
                <w:iCs w:val="0"/>
                <w:color w:val="000000"/>
                <w:sz w:val="24"/>
                <w:szCs w:val="24"/>
                <w:highlight w:val="none"/>
                <w:u w:val="none"/>
                <w:lang w:val="en-US" w:eastAsia="zh-CN"/>
              </w:rPr>
              <w:t>1300000</w:t>
            </w:r>
          </w:p>
        </w:tc>
        <w:tc>
          <w:tcPr>
            <w:tcW w:w="1019" w:type="dxa"/>
            <w:vAlign w:val="center"/>
          </w:tcPr>
          <w:p w14:paraId="51959776">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否</w:t>
            </w:r>
          </w:p>
        </w:tc>
        <w:tc>
          <w:tcPr>
            <w:tcW w:w="1683" w:type="dxa"/>
            <w:vAlign w:val="center"/>
          </w:tcPr>
          <w:p w14:paraId="314ADE51">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i w:val="0"/>
                <w:iCs w:val="0"/>
                <w:color w:val="auto"/>
                <w:kern w:val="0"/>
                <w:sz w:val="24"/>
                <w:szCs w:val="24"/>
                <w:highlight w:val="none"/>
                <w:u w:val="none"/>
                <w:lang w:val="en-US" w:eastAsia="zh-CN" w:bidi="ar"/>
              </w:rPr>
              <w:t>0</w:t>
            </w:r>
          </w:p>
        </w:tc>
      </w:tr>
      <w:tr w14:paraId="4D4F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3D19911C">
            <w:pPr>
              <w:adjustRightInd w:val="0"/>
              <w:snapToGrid w:val="0"/>
              <w:spacing w:line="240" w:lineRule="auto"/>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892" w:type="dxa"/>
            <w:vAlign w:val="center"/>
          </w:tcPr>
          <w:p w14:paraId="71CE3F88">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1080</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2</w:t>
            </w:r>
          </w:p>
        </w:tc>
        <w:tc>
          <w:tcPr>
            <w:tcW w:w="1119" w:type="dxa"/>
            <w:vAlign w:val="center"/>
          </w:tcPr>
          <w:p w14:paraId="4E764186">
            <w:pPr>
              <w:adjustRightInd w:val="0"/>
              <w:snapToGrid w:val="0"/>
              <w:spacing w:line="240" w:lineRule="auto"/>
              <w:jc w:val="center"/>
              <w:rPr>
                <w:rFonts w:hint="default" w:ascii="宋体" w:hAnsi="宋体" w:cs="宋体"/>
                <w:b w:val="0"/>
                <w:bCs w:val="0"/>
                <w:color w:val="auto"/>
                <w:sz w:val="24"/>
                <w:szCs w:val="24"/>
                <w:highlight w:val="none"/>
                <w:vertAlign w:val="baseline"/>
                <w:lang w:val="en-US"/>
              </w:rPr>
            </w:pPr>
            <w:r>
              <w:rPr>
                <w:rFonts w:hint="eastAsia" w:ascii="宋体" w:hAnsi="宋体" w:cs="宋体"/>
                <w:i w:val="0"/>
                <w:iCs w:val="0"/>
                <w:color w:val="auto"/>
                <w:kern w:val="0"/>
                <w:sz w:val="24"/>
                <w:szCs w:val="24"/>
                <w:highlight w:val="none"/>
                <w:u w:val="none"/>
                <w:lang w:val="en-US" w:eastAsia="zh-CN" w:bidi="ar"/>
              </w:rPr>
              <w:t>包2</w:t>
            </w:r>
          </w:p>
        </w:tc>
        <w:tc>
          <w:tcPr>
            <w:tcW w:w="1128" w:type="dxa"/>
            <w:vAlign w:val="center"/>
          </w:tcPr>
          <w:p w14:paraId="127FFEA5">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i w:val="0"/>
                <w:iCs w:val="0"/>
                <w:color w:val="000000"/>
                <w:sz w:val="24"/>
                <w:szCs w:val="24"/>
                <w:highlight w:val="none"/>
                <w:u w:val="none"/>
                <w:lang w:val="en-US" w:eastAsia="zh-CN"/>
              </w:rPr>
              <w:t>1584000</w:t>
            </w:r>
          </w:p>
        </w:tc>
        <w:tc>
          <w:tcPr>
            <w:tcW w:w="1216" w:type="dxa"/>
            <w:vAlign w:val="center"/>
          </w:tcPr>
          <w:p w14:paraId="74FA3E37">
            <w:pPr>
              <w:keepNext w:val="0"/>
              <w:keepLines w:val="0"/>
              <w:widowControl/>
              <w:suppressLineNumbers w:val="0"/>
              <w:jc w:val="center"/>
              <w:textAlignment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000000"/>
                <w:sz w:val="24"/>
                <w:szCs w:val="24"/>
                <w:highlight w:val="none"/>
                <w:u w:val="none"/>
                <w:lang w:val="en-US" w:eastAsia="zh-CN"/>
              </w:rPr>
              <w:t>1584000</w:t>
            </w:r>
          </w:p>
        </w:tc>
        <w:tc>
          <w:tcPr>
            <w:tcW w:w="1019" w:type="dxa"/>
            <w:vAlign w:val="center"/>
          </w:tcPr>
          <w:p w14:paraId="4A5CEB1B">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否</w:t>
            </w:r>
          </w:p>
        </w:tc>
        <w:tc>
          <w:tcPr>
            <w:tcW w:w="1683" w:type="dxa"/>
            <w:vAlign w:val="center"/>
          </w:tcPr>
          <w:p w14:paraId="113C31E3">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i w:val="0"/>
                <w:iCs w:val="0"/>
                <w:color w:val="auto"/>
                <w:kern w:val="0"/>
                <w:sz w:val="24"/>
                <w:szCs w:val="24"/>
                <w:highlight w:val="none"/>
                <w:u w:val="none"/>
                <w:lang w:val="en-US" w:eastAsia="zh-CN" w:bidi="ar"/>
              </w:rPr>
              <w:t>0</w:t>
            </w:r>
          </w:p>
        </w:tc>
      </w:tr>
      <w:tr w14:paraId="3A9D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4E449A3B">
            <w:pPr>
              <w:adjustRightInd w:val="0"/>
              <w:snapToGrid w:val="0"/>
              <w:spacing w:line="240" w:lineRule="auto"/>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892" w:type="dxa"/>
            <w:vAlign w:val="center"/>
          </w:tcPr>
          <w:p w14:paraId="4BD15ED8">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1080</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3</w:t>
            </w:r>
          </w:p>
        </w:tc>
        <w:tc>
          <w:tcPr>
            <w:tcW w:w="1119" w:type="dxa"/>
            <w:vAlign w:val="center"/>
          </w:tcPr>
          <w:p w14:paraId="599A6201">
            <w:pPr>
              <w:adjustRightInd w:val="0"/>
              <w:snapToGrid w:val="0"/>
              <w:spacing w:line="240" w:lineRule="auto"/>
              <w:jc w:val="center"/>
              <w:rPr>
                <w:rFonts w:hint="default" w:ascii="宋体" w:hAnsi="宋体" w:cs="宋体"/>
                <w:b w:val="0"/>
                <w:bCs w:val="0"/>
                <w:color w:val="auto"/>
                <w:sz w:val="24"/>
                <w:szCs w:val="24"/>
                <w:highlight w:val="none"/>
                <w:vertAlign w:val="baseline"/>
                <w:lang w:val="en-US"/>
              </w:rPr>
            </w:pPr>
            <w:r>
              <w:rPr>
                <w:rFonts w:hint="eastAsia" w:ascii="宋体" w:hAnsi="宋体" w:cs="宋体"/>
                <w:i w:val="0"/>
                <w:iCs w:val="0"/>
                <w:color w:val="auto"/>
                <w:kern w:val="0"/>
                <w:sz w:val="24"/>
                <w:szCs w:val="24"/>
                <w:highlight w:val="none"/>
                <w:u w:val="none"/>
                <w:lang w:val="en-US" w:eastAsia="zh-CN" w:bidi="ar"/>
              </w:rPr>
              <w:t>包3</w:t>
            </w:r>
          </w:p>
        </w:tc>
        <w:tc>
          <w:tcPr>
            <w:tcW w:w="1128" w:type="dxa"/>
            <w:vAlign w:val="center"/>
          </w:tcPr>
          <w:p w14:paraId="7037D02E">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i w:val="0"/>
                <w:iCs w:val="0"/>
                <w:color w:val="000000"/>
                <w:sz w:val="24"/>
                <w:szCs w:val="24"/>
                <w:highlight w:val="none"/>
                <w:u w:val="none"/>
                <w:lang w:val="en-US" w:eastAsia="zh-CN"/>
              </w:rPr>
              <w:t>1289000</w:t>
            </w:r>
          </w:p>
        </w:tc>
        <w:tc>
          <w:tcPr>
            <w:tcW w:w="1216" w:type="dxa"/>
            <w:vAlign w:val="center"/>
          </w:tcPr>
          <w:p w14:paraId="66079E04">
            <w:pPr>
              <w:keepNext w:val="0"/>
              <w:keepLines w:val="0"/>
              <w:widowControl/>
              <w:suppressLineNumbers w:val="0"/>
              <w:jc w:val="center"/>
              <w:textAlignment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000000"/>
                <w:sz w:val="24"/>
                <w:szCs w:val="24"/>
                <w:highlight w:val="none"/>
                <w:u w:val="none"/>
                <w:lang w:val="en-US" w:eastAsia="zh-CN"/>
              </w:rPr>
              <w:t>1289000</w:t>
            </w:r>
          </w:p>
        </w:tc>
        <w:tc>
          <w:tcPr>
            <w:tcW w:w="1019" w:type="dxa"/>
            <w:vAlign w:val="center"/>
          </w:tcPr>
          <w:p w14:paraId="39F7D236">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否</w:t>
            </w:r>
          </w:p>
        </w:tc>
        <w:tc>
          <w:tcPr>
            <w:tcW w:w="1683" w:type="dxa"/>
            <w:vAlign w:val="center"/>
          </w:tcPr>
          <w:p w14:paraId="44231456">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0</w:t>
            </w:r>
          </w:p>
        </w:tc>
      </w:tr>
      <w:tr w14:paraId="15BD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5173CC70">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w:t>
            </w:r>
          </w:p>
        </w:tc>
        <w:tc>
          <w:tcPr>
            <w:tcW w:w="1892" w:type="dxa"/>
            <w:vAlign w:val="center"/>
          </w:tcPr>
          <w:p w14:paraId="3D9F2408">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1080</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4</w:t>
            </w:r>
          </w:p>
        </w:tc>
        <w:tc>
          <w:tcPr>
            <w:tcW w:w="1119" w:type="dxa"/>
            <w:vAlign w:val="center"/>
          </w:tcPr>
          <w:p w14:paraId="30D4571B">
            <w:pPr>
              <w:adjustRightInd w:val="0"/>
              <w:snapToGrid w:val="0"/>
              <w:spacing w:line="240" w:lineRule="auto"/>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包4</w:t>
            </w:r>
          </w:p>
        </w:tc>
        <w:tc>
          <w:tcPr>
            <w:tcW w:w="1128" w:type="dxa"/>
            <w:vAlign w:val="center"/>
          </w:tcPr>
          <w:p w14:paraId="2A073372">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1638550</w:t>
            </w:r>
          </w:p>
        </w:tc>
        <w:tc>
          <w:tcPr>
            <w:tcW w:w="1216" w:type="dxa"/>
            <w:vAlign w:val="center"/>
          </w:tcPr>
          <w:p w14:paraId="11142282">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1638550</w:t>
            </w:r>
          </w:p>
        </w:tc>
        <w:tc>
          <w:tcPr>
            <w:tcW w:w="1019" w:type="dxa"/>
            <w:vAlign w:val="center"/>
          </w:tcPr>
          <w:p w14:paraId="0496144F">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是</w:t>
            </w:r>
          </w:p>
        </w:tc>
        <w:tc>
          <w:tcPr>
            <w:tcW w:w="1683" w:type="dxa"/>
            <w:vAlign w:val="center"/>
          </w:tcPr>
          <w:p w14:paraId="26777A3C">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1638550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1638550</w:t>
            </w:r>
          </w:p>
        </w:tc>
      </w:tr>
      <w:tr w14:paraId="1BF0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5AA1ADB7">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w:t>
            </w:r>
          </w:p>
        </w:tc>
        <w:tc>
          <w:tcPr>
            <w:tcW w:w="1892" w:type="dxa"/>
            <w:vAlign w:val="center"/>
          </w:tcPr>
          <w:p w14:paraId="2BA0FFE9">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1080</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5</w:t>
            </w:r>
          </w:p>
        </w:tc>
        <w:tc>
          <w:tcPr>
            <w:tcW w:w="1119" w:type="dxa"/>
            <w:vAlign w:val="center"/>
          </w:tcPr>
          <w:p w14:paraId="173CC235">
            <w:pPr>
              <w:adjustRightInd w:val="0"/>
              <w:snapToGrid w:val="0"/>
              <w:spacing w:line="240" w:lineRule="auto"/>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包5</w:t>
            </w:r>
          </w:p>
        </w:tc>
        <w:tc>
          <w:tcPr>
            <w:tcW w:w="1128" w:type="dxa"/>
            <w:vAlign w:val="center"/>
          </w:tcPr>
          <w:p w14:paraId="433D4E6A">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2107480</w:t>
            </w:r>
          </w:p>
        </w:tc>
        <w:tc>
          <w:tcPr>
            <w:tcW w:w="1216" w:type="dxa"/>
            <w:vAlign w:val="center"/>
          </w:tcPr>
          <w:p w14:paraId="22ECF993">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2107480</w:t>
            </w:r>
          </w:p>
        </w:tc>
        <w:tc>
          <w:tcPr>
            <w:tcW w:w="1019" w:type="dxa"/>
            <w:vAlign w:val="center"/>
          </w:tcPr>
          <w:p w14:paraId="45A6295B">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14:paraId="065BE8AC">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2107480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2107480</w:t>
            </w:r>
          </w:p>
        </w:tc>
      </w:tr>
    </w:tbl>
    <w:p w14:paraId="5CCEE385">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5</w:t>
      </w:r>
      <w:r>
        <w:rPr>
          <w:rFonts w:hint="eastAsia" w:ascii="宋体" w:hAnsi="宋体" w:cs="宋体"/>
          <w:b w:val="0"/>
          <w:bCs w:val="0"/>
          <w:color w:val="auto"/>
          <w:sz w:val="24"/>
          <w:highlight w:val="none"/>
        </w:rPr>
        <w:t>、采购需求：（包括但不限于标的的名称、数量、简要技术需求或服务要求等）</w:t>
      </w:r>
    </w:p>
    <w:p w14:paraId="7D6ED8D0">
      <w:pPr>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5.1</w:t>
      </w:r>
      <w:r>
        <w:rPr>
          <w:rFonts w:hint="eastAsia" w:ascii="宋体" w:hAnsi="宋体" w:cs="宋体"/>
          <w:b w:val="0"/>
          <w:bCs w:val="0"/>
          <w:color w:val="auto"/>
          <w:sz w:val="24"/>
          <w:szCs w:val="24"/>
          <w:highlight w:val="none"/>
        </w:rPr>
        <w:t>采购内容：</w:t>
      </w:r>
    </w:p>
    <w:p w14:paraId="175CABFA">
      <w:pPr>
        <w:adjustRightInd w:val="0"/>
        <w:snapToGrid w:val="0"/>
        <w:spacing w:line="360" w:lineRule="auto"/>
        <w:ind w:firstLine="480" w:firstLineChars="200"/>
        <w:jc w:val="left"/>
        <w:rPr>
          <w:rFonts w:hint="default"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1080</w:t>
      </w:r>
      <w:r>
        <w:rPr>
          <w:rFonts w:hint="eastAsia" w:ascii="宋体" w:hAnsi="宋体" w:eastAsia="宋体" w:cs="宋体"/>
          <w:i w:val="0"/>
          <w:iCs w:val="0"/>
          <w:color w:val="auto"/>
          <w:kern w:val="0"/>
          <w:sz w:val="24"/>
          <w:szCs w:val="24"/>
          <w:highlight w:val="none"/>
          <w:u w:val="none"/>
          <w:lang w:val="en-US" w:eastAsia="zh-CN" w:bidi="ar"/>
        </w:rPr>
        <w:t>号-1</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 xml:space="preserve">发电车1；   </w:t>
      </w:r>
    </w:p>
    <w:p w14:paraId="62BE8248">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1080</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物资运输车B1；</w:t>
      </w:r>
    </w:p>
    <w:p w14:paraId="16B94379">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1080</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干粉消防车1；</w:t>
      </w:r>
    </w:p>
    <w:p w14:paraId="17F83DB1">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1080</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便携指挥箱1、人员跟踪管理套装2、卫星便携站1、消防员单兵图侦系统1、指挥视频终端1；</w:t>
      </w:r>
    </w:p>
    <w:p w14:paraId="4B5CB8B0">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1080</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单人洗消帐篷10、公众洗消站2、简易洗消喷淋器10、锚固装备套件5、充气救援艇（橡皮艇）1、支撑保护套具1、浮艇泵3、空气呼吸器瓶30、手抬机动泵5、绳索救援套装2、重型防化服20、轻型防化服20、空气呼吸器85</w:t>
      </w:r>
    </w:p>
    <w:p w14:paraId="0E9132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5.2</w:t>
      </w:r>
      <w:r>
        <w:rPr>
          <w:rFonts w:hint="eastAsia" w:ascii="宋体" w:hAnsi="宋体" w:cs="宋体"/>
          <w:b w:val="0"/>
          <w:bCs w:val="0"/>
          <w:color w:val="auto"/>
          <w:sz w:val="24"/>
          <w:highlight w:val="none"/>
        </w:rPr>
        <w:t>资金来源：财政资金；</w:t>
      </w:r>
    </w:p>
    <w:p w14:paraId="09F7F6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5.3</w:t>
      </w:r>
      <w:r>
        <w:rPr>
          <w:rFonts w:hint="eastAsia" w:ascii="宋体" w:hAnsi="宋体" w:cs="宋体"/>
          <w:b w:val="0"/>
          <w:bCs w:val="0"/>
          <w:color w:val="auto"/>
          <w:sz w:val="24"/>
          <w:highlight w:val="none"/>
        </w:rPr>
        <w:t>质量要求：合格（符合现行国家、行业、地方相关规范要求）；</w:t>
      </w:r>
    </w:p>
    <w:p w14:paraId="7E4C4B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val="0"/>
          <w:bCs w:val="0"/>
          <w:color w:val="auto"/>
          <w:sz w:val="24"/>
          <w:highlight w:val="none"/>
          <w:lang w:eastAsia="zh-CN"/>
        </w:rPr>
      </w:pPr>
      <w:r>
        <w:rPr>
          <w:rFonts w:ascii="宋体" w:hAnsi="宋体" w:cs="宋体"/>
          <w:b w:val="0"/>
          <w:bCs w:val="0"/>
          <w:color w:val="auto"/>
          <w:sz w:val="24"/>
          <w:highlight w:val="none"/>
        </w:rPr>
        <w:t>5.4</w:t>
      </w:r>
      <w:r>
        <w:rPr>
          <w:rFonts w:hint="eastAsia" w:ascii="宋体" w:hAnsi="宋体" w:cs="宋体"/>
          <w:b w:val="0"/>
          <w:bCs w:val="0"/>
          <w:color w:val="auto"/>
          <w:sz w:val="24"/>
          <w:highlight w:val="none"/>
          <w:lang w:eastAsia="zh-CN"/>
        </w:rPr>
        <w:t>交货期（</w:t>
      </w:r>
      <w:r>
        <w:rPr>
          <w:rFonts w:hint="eastAsia" w:ascii="宋体" w:hAnsi="宋体" w:cs="宋体"/>
          <w:b w:val="0"/>
          <w:bCs w:val="0"/>
          <w:color w:val="auto"/>
          <w:sz w:val="24"/>
          <w:highlight w:val="none"/>
          <w:lang w:val="en-US" w:eastAsia="zh-CN"/>
        </w:rPr>
        <w:t>包1-包3</w:t>
      </w:r>
      <w:r>
        <w:rPr>
          <w:rFonts w:hint="eastAsia" w:ascii="宋体" w:hAnsi="宋体" w:cs="宋体"/>
          <w:b w:val="0"/>
          <w:bCs w:val="0"/>
          <w:color w:val="auto"/>
          <w:sz w:val="24"/>
          <w:highlight w:val="none"/>
          <w:lang w:eastAsia="zh-CN"/>
        </w:rPr>
        <w:t>）：采用进口底盘投标的，自合同签订之日起120日历天，采用国产底盘投标的，自合同签订之日起90日历天；</w:t>
      </w:r>
    </w:p>
    <w:p w14:paraId="251A9435">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jc w:val="left"/>
        <w:textAlignment w:val="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交货期</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包4-包5</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自样品验收合格之日起30日历天，合格样品须于合同签订之日起10日内提供，交货的货物必须是发布中标公告后生产日期（验收时，提供证明或原材料进货证明）</w:t>
      </w:r>
      <w:r>
        <w:rPr>
          <w:rFonts w:hint="eastAsia" w:ascii="宋体" w:hAnsi="宋体" w:cs="宋体"/>
          <w:b w:val="0"/>
          <w:bCs w:val="0"/>
          <w:color w:val="auto"/>
          <w:sz w:val="24"/>
          <w:highlight w:val="none"/>
        </w:rPr>
        <w:t>；</w:t>
      </w:r>
    </w:p>
    <w:p w14:paraId="5DD33F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5.5</w:t>
      </w:r>
      <w:r>
        <w:rPr>
          <w:rFonts w:hint="eastAsia" w:ascii="宋体" w:hAnsi="宋体" w:cs="宋体"/>
          <w:b w:val="0"/>
          <w:bCs w:val="0"/>
          <w:color w:val="auto"/>
          <w:sz w:val="24"/>
          <w:highlight w:val="none"/>
        </w:rPr>
        <w:t>交货地点：采购人指定地点；</w:t>
      </w:r>
    </w:p>
    <w:p w14:paraId="20807A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eastAsia="宋体" w:cs="宋体"/>
          <w:b w:val="0"/>
          <w:bCs w:val="0"/>
          <w:color w:val="auto"/>
          <w:sz w:val="24"/>
          <w:highlight w:val="none"/>
          <w:lang w:val="en-US" w:eastAsia="zh-CN"/>
        </w:rPr>
      </w:pPr>
      <w:r>
        <w:rPr>
          <w:rFonts w:ascii="宋体" w:hAnsi="宋体" w:cs="宋体"/>
          <w:b w:val="0"/>
          <w:bCs w:val="0"/>
          <w:color w:val="auto"/>
          <w:sz w:val="24"/>
          <w:highlight w:val="none"/>
        </w:rPr>
        <w:t>5.6</w:t>
      </w:r>
      <w:r>
        <w:rPr>
          <w:rFonts w:hint="eastAsia" w:ascii="宋体" w:hAnsi="宋体" w:cs="宋体"/>
          <w:b w:val="0"/>
          <w:bCs w:val="0"/>
          <w:color w:val="auto"/>
          <w:sz w:val="24"/>
          <w:highlight w:val="none"/>
        </w:rPr>
        <w:t>质保期：</w:t>
      </w:r>
      <w:r>
        <w:rPr>
          <w:rFonts w:hint="eastAsia" w:ascii="宋体" w:hAnsi="宋体" w:cs="宋体"/>
          <w:sz w:val="24"/>
          <w:highlight w:val="none"/>
        </w:rPr>
        <w:t>详见招标文件</w:t>
      </w:r>
      <w:r>
        <w:rPr>
          <w:rFonts w:hint="eastAsia" w:ascii="宋体" w:hAnsi="宋体" w:cs="宋体"/>
          <w:b w:val="0"/>
          <w:bCs w:val="0"/>
          <w:color w:val="auto"/>
          <w:sz w:val="24"/>
          <w:highlight w:val="none"/>
          <w:lang w:eastAsia="zh-CN"/>
        </w:rPr>
        <w:t>；</w:t>
      </w:r>
    </w:p>
    <w:p w14:paraId="6B08F7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6</w:t>
      </w:r>
      <w:r>
        <w:rPr>
          <w:rFonts w:hint="eastAsia" w:ascii="宋体" w:hAnsi="宋体" w:cs="宋体"/>
          <w:b w:val="0"/>
          <w:bCs w:val="0"/>
          <w:color w:val="auto"/>
          <w:sz w:val="24"/>
          <w:highlight w:val="none"/>
        </w:rPr>
        <w:t>、合同履行期限：合同签订之日至质保期结束；</w:t>
      </w:r>
    </w:p>
    <w:p w14:paraId="40ACA3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7</w:t>
      </w:r>
      <w:r>
        <w:rPr>
          <w:rFonts w:hint="eastAsia" w:ascii="宋体" w:hAnsi="宋体" w:cs="宋体"/>
          <w:b w:val="0"/>
          <w:bCs w:val="0"/>
          <w:color w:val="auto"/>
          <w:sz w:val="24"/>
          <w:highlight w:val="none"/>
        </w:rPr>
        <w:t>、本项目是否接受联合体投标：否；</w:t>
      </w:r>
    </w:p>
    <w:p w14:paraId="4C8E6C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8</w:t>
      </w:r>
      <w:r>
        <w:rPr>
          <w:rFonts w:hint="eastAsia" w:ascii="宋体" w:hAnsi="宋体" w:cs="宋体"/>
          <w:b w:val="0"/>
          <w:bCs w:val="0"/>
          <w:color w:val="auto"/>
          <w:sz w:val="24"/>
          <w:highlight w:val="none"/>
        </w:rPr>
        <w:t>、是否接受进口产品：否。</w:t>
      </w:r>
    </w:p>
    <w:p w14:paraId="5D19A2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9</w:t>
      </w:r>
      <w:r>
        <w:rPr>
          <w:rFonts w:hint="eastAsia" w:ascii="宋体" w:hAnsi="宋体" w:cs="宋体"/>
          <w:b w:val="0"/>
          <w:bCs w:val="0"/>
          <w:color w:val="auto"/>
          <w:sz w:val="24"/>
          <w:highlight w:val="none"/>
        </w:rPr>
        <w:t>、是否专门面向中小企业：是。</w:t>
      </w:r>
    </w:p>
    <w:p w14:paraId="4CAF8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二、申请人资格要求</w:t>
      </w:r>
    </w:p>
    <w:p w14:paraId="7CFFFA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1、满足《中华人民共和国政府采购法》第二十二条规定；</w:t>
      </w:r>
    </w:p>
    <w:p w14:paraId="07BFA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2、落实政府采购政策满足的资格要求：本项目</w:t>
      </w:r>
      <w:r>
        <w:rPr>
          <w:rFonts w:hint="eastAsia" w:ascii="宋体" w:hAnsi="宋体" w:cs="宋体"/>
          <w:b w:val="0"/>
          <w:bCs w:val="0"/>
          <w:color w:val="auto"/>
          <w:sz w:val="24"/>
          <w:szCs w:val="24"/>
          <w:highlight w:val="none"/>
          <w:lang w:val="en-US" w:eastAsia="zh-CN"/>
        </w:rPr>
        <w:t>包4、包5</w:t>
      </w:r>
      <w:r>
        <w:rPr>
          <w:rFonts w:hint="eastAsia" w:ascii="宋体" w:hAnsi="宋体" w:eastAsia="宋体" w:cs="宋体"/>
          <w:b w:val="0"/>
          <w:bCs w:val="0"/>
          <w:color w:val="auto"/>
          <w:sz w:val="24"/>
          <w:szCs w:val="24"/>
          <w:highlight w:val="none"/>
        </w:rPr>
        <w:t>专门面向</w:t>
      </w:r>
      <w:r>
        <w:rPr>
          <w:rFonts w:hint="eastAsia" w:ascii="宋体" w:hAnsi="宋体" w:cs="宋体"/>
          <w:b w:val="0"/>
          <w:bCs w:val="0"/>
          <w:color w:val="auto"/>
          <w:sz w:val="24"/>
          <w:szCs w:val="24"/>
          <w:highlight w:val="none"/>
          <w:lang w:val="en-US" w:eastAsia="zh-CN"/>
        </w:rPr>
        <w:t>小微</w:t>
      </w:r>
      <w:r>
        <w:rPr>
          <w:rFonts w:hint="eastAsia" w:ascii="宋体" w:hAnsi="宋体" w:eastAsia="宋体" w:cs="宋体"/>
          <w:b w:val="0"/>
          <w:bCs w:val="0"/>
          <w:color w:val="auto"/>
          <w:sz w:val="24"/>
          <w:szCs w:val="24"/>
          <w:highlight w:val="none"/>
        </w:rPr>
        <w:t>企业采购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需提供《中小企业声明函》或《残疾人福利性单位声明函》或《监狱企业的证明文件》。</w:t>
      </w:r>
    </w:p>
    <w:p w14:paraId="6C114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3、本项目的特定资格要求：</w:t>
      </w:r>
    </w:p>
    <w:p w14:paraId="183068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应在中华人民共和国境内注册，具有独立承担民事责任的能力。（须提供营业执照或自然人的身份证明等）</w:t>
      </w:r>
      <w:r>
        <w:rPr>
          <w:rFonts w:hint="eastAsia" w:ascii="宋体" w:hAnsi="宋体" w:cs="宋体"/>
          <w:b w:val="0"/>
          <w:bCs w:val="0"/>
          <w:color w:val="auto"/>
          <w:sz w:val="24"/>
          <w:szCs w:val="24"/>
          <w:highlight w:val="none"/>
          <w:lang w:eastAsia="zh-CN"/>
        </w:rPr>
        <w:t>；</w:t>
      </w:r>
    </w:p>
    <w:p w14:paraId="491849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3.2</w:t>
      </w:r>
      <w:r>
        <w:rPr>
          <w:rFonts w:hint="eastAsia" w:ascii="宋体" w:hAnsi="宋体" w:eastAsia="宋体" w:cs="宋体"/>
          <w:b w:val="0"/>
          <w:bCs w:val="0"/>
          <w:color w:val="auto"/>
          <w:sz w:val="24"/>
          <w:szCs w:val="24"/>
          <w:highlight w:val="none"/>
          <w:lang w:val="en-US" w:eastAsia="zh-CN"/>
        </w:rPr>
        <w:t>投标人资格要求</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包1-包3</w:t>
      </w:r>
      <w:r>
        <w:rPr>
          <w:rFonts w:hint="eastAsia" w:ascii="宋体" w:hAnsi="宋体" w:cs="宋体"/>
          <w:b w:val="0"/>
          <w:bCs w:val="0"/>
          <w:color w:val="auto"/>
          <w:sz w:val="24"/>
          <w:highlight w:val="none"/>
          <w:lang w:eastAsia="zh-CN"/>
        </w:rPr>
        <w:t>）</w:t>
      </w:r>
      <w:r>
        <w:rPr>
          <w:rFonts w:hint="eastAsia" w:ascii="宋体" w:hAnsi="宋体" w:eastAsia="宋体" w:cs="宋体"/>
          <w:b w:val="0"/>
          <w:bCs w:val="0"/>
          <w:color w:val="auto"/>
          <w:sz w:val="24"/>
          <w:szCs w:val="24"/>
          <w:highlight w:val="none"/>
          <w:lang w:val="en-US" w:eastAsia="zh-CN"/>
        </w:rPr>
        <w:t>：投标人必须为所投车辆的生产企业（须提供承诺函），</w:t>
      </w:r>
      <w:r>
        <w:rPr>
          <w:rFonts w:hint="eastAsia" w:ascii="宋体" w:hAnsi="宋体" w:eastAsia="宋体" w:cs="宋体"/>
          <w:color w:val="auto"/>
          <w:sz w:val="24"/>
          <w:szCs w:val="24"/>
          <w:highlight w:val="none"/>
        </w:rPr>
        <w:t>交车时（整车）必须是已取得中华人民共和国工业和信息化部发布的对应车型《道路机动车辆生产企业及产品公告》的合格产品（须提供工信部官方查询平台查询截图和网址链接），并在投标文件中进行承诺</w:t>
      </w:r>
      <w:r>
        <w:rPr>
          <w:rFonts w:hint="eastAsia" w:ascii="宋体" w:hAnsi="宋体" w:cs="宋体"/>
          <w:color w:val="auto"/>
          <w:sz w:val="24"/>
          <w:szCs w:val="24"/>
          <w:highlight w:val="none"/>
          <w:lang w:eastAsia="zh-CN"/>
        </w:rPr>
        <w:t>；</w:t>
      </w:r>
    </w:p>
    <w:p w14:paraId="29541B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具有良好的商业信誉和健全的财务会计制度（须提供</w:t>
      </w:r>
      <w:r>
        <w:rPr>
          <w:rFonts w:hint="eastAsia" w:ascii="宋体" w:hAnsi="宋体" w:cs="宋体"/>
          <w:b w:val="0"/>
          <w:bCs w:val="0"/>
          <w:color w:val="auto"/>
          <w:sz w:val="24"/>
          <w:szCs w:val="24"/>
          <w:highlight w:val="none"/>
          <w:lang w:val="en-US" w:eastAsia="zh-CN"/>
        </w:rPr>
        <w:t>2023年度</w:t>
      </w:r>
      <w:r>
        <w:rPr>
          <w:rFonts w:hint="eastAsia" w:ascii="宋体" w:hAnsi="宋体" w:eastAsia="宋体" w:cs="宋体"/>
          <w:b w:val="0"/>
          <w:bCs w:val="0"/>
          <w:color w:val="auto"/>
          <w:sz w:val="24"/>
          <w:szCs w:val="24"/>
          <w:highlight w:val="none"/>
        </w:rPr>
        <w:t>经会计师事务所或第三方审计机构审计后的财务报告（须包括资产负债表、现金流量表、利润表和附注)，新成立企业自成立之日起不足一年的须提供基本开户行出具的银行资信证明）</w:t>
      </w:r>
      <w:r>
        <w:rPr>
          <w:rFonts w:hint="eastAsia" w:ascii="宋体" w:hAnsi="宋体" w:cs="宋体"/>
          <w:b w:val="0"/>
          <w:bCs w:val="0"/>
          <w:color w:val="auto"/>
          <w:sz w:val="24"/>
          <w:szCs w:val="24"/>
          <w:highlight w:val="none"/>
          <w:lang w:eastAsia="zh-CN"/>
        </w:rPr>
        <w:t>；</w:t>
      </w:r>
    </w:p>
    <w:p w14:paraId="5FA16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具有履行合同所必需的设备和专业技术能力(须提供承诺函，承诺函格式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14:paraId="29C4E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有依法缴纳税收和社会保障资金的良好记录(提供2024年1月1日以来任意1个月依法缴纳税收和社会保障金的相关证明,依法免税或不需要缴纳社会保障资金的，应提供相应证明文件)</w:t>
      </w:r>
      <w:r>
        <w:rPr>
          <w:rFonts w:hint="eastAsia" w:ascii="宋体" w:hAnsi="宋体" w:cs="宋体"/>
          <w:b w:val="0"/>
          <w:bCs w:val="0"/>
          <w:color w:val="auto"/>
          <w:sz w:val="24"/>
          <w:szCs w:val="24"/>
          <w:highlight w:val="none"/>
          <w:lang w:eastAsia="zh-CN"/>
        </w:rPr>
        <w:t>；</w:t>
      </w:r>
    </w:p>
    <w:p w14:paraId="2C929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 xml:space="preserve"> 参加政府采购活动前三年内，在经营活动中没有重大违法记录(须提供承诺函，承诺函格式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14:paraId="4FA9EA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单位负责人为同一人或者存在直接控股、管理关系的不同供应商，不得参加同一合同项下的政府采购活动(须提供承诺函，承诺函格式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14:paraId="4DBB7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highlight w:val="none"/>
          <w:lang w:val="en-US" w:eastAsia="zh-CN"/>
        </w:rPr>
      </w:pPr>
      <w:r>
        <w:rPr>
          <w:rFonts w:hint="eastAsia" w:ascii="宋体" w:hAnsi="宋体" w:cs="宋体"/>
          <w:b w:val="0"/>
          <w:bCs w:val="0"/>
          <w:color w:val="auto"/>
          <w:kern w:val="0"/>
          <w:sz w:val="24"/>
          <w:szCs w:val="21"/>
          <w:highlight w:val="none"/>
        </w:rPr>
        <w:t>3.</w:t>
      </w:r>
      <w:r>
        <w:rPr>
          <w:rFonts w:hint="eastAsia" w:ascii="宋体" w:hAnsi="宋体" w:cs="宋体"/>
          <w:b w:val="0"/>
          <w:bCs w:val="0"/>
          <w:color w:val="auto"/>
          <w:kern w:val="0"/>
          <w:sz w:val="24"/>
          <w:szCs w:val="21"/>
          <w:highlight w:val="none"/>
          <w:lang w:val="en-US" w:eastAsia="zh-CN"/>
        </w:rPr>
        <w:t>8</w:t>
      </w:r>
      <w:r>
        <w:rPr>
          <w:rFonts w:hint="eastAsia" w:ascii="宋体" w:hAnsi="宋体" w:cs="宋体"/>
          <w:b w:val="0"/>
          <w:bCs w:val="0"/>
          <w:color w:val="auto"/>
          <w:kern w:val="0"/>
          <w:sz w:val="24"/>
          <w:szCs w:val="21"/>
          <w:highlight w:val="none"/>
        </w:rPr>
        <w:t xml:space="preserve"> 根据《关于在政府采购活动中查询及使用信用记录有关问题的通知》(财库[2016]125号)的规定，</w:t>
      </w:r>
      <w:r>
        <w:rPr>
          <w:rFonts w:hint="eastAsia" w:ascii="宋体" w:hAnsi="宋体" w:cs="宋体"/>
          <w:b w:val="0"/>
          <w:bCs w:val="0"/>
          <w:color w:val="auto"/>
          <w:kern w:val="0"/>
          <w:sz w:val="24"/>
          <w:szCs w:val="21"/>
          <w:highlight w:val="none"/>
          <w:lang w:eastAsia="zh-CN"/>
        </w:rPr>
        <w:t>开标结束后至符合性审查前</w:t>
      </w:r>
      <w:r>
        <w:rPr>
          <w:rFonts w:hint="eastAsia" w:ascii="宋体" w:hAnsi="宋体" w:cs="宋体"/>
          <w:b w:val="0"/>
          <w:bCs w:val="0"/>
          <w:color w:val="auto"/>
          <w:kern w:val="0"/>
          <w:sz w:val="24"/>
          <w:szCs w:val="21"/>
          <w:highlight w:val="none"/>
        </w:rPr>
        <w:t>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w:t>
      </w:r>
      <w:r>
        <w:rPr>
          <w:rFonts w:hint="eastAsia" w:ascii="宋体" w:hAnsi="宋体" w:cs="宋体"/>
          <w:b w:val="0"/>
          <w:bCs w:val="0"/>
          <w:color w:val="auto"/>
          <w:kern w:val="0"/>
          <w:sz w:val="24"/>
          <w:szCs w:val="21"/>
          <w:highlight w:val="none"/>
          <w:lang w:eastAsia="zh-CN"/>
        </w:rPr>
        <w:t>投标人</w:t>
      </w:r>
      <w:r>
        <w:rPr>
          <w:rFonts w:hint="eastAsia" w:ascii="宋体" w:hAnsi="宋体" w:cs="宋体"/>
          <w:b w:val="0"/>
          <w:bCs w:val="0"/>
          <w:color w:val="auto"/>
          <w:kern w:val="0"/>
          <w:sz w:val="24"/>
          <w:szCs w:val="21"/>
          <w:highlight w:val="none"/>
        </w:rPr>
        <w:t>，将拒绝参与本次政府采购活动</w:t>
      </w:r>
      <w:r>
        <w:rPr>
          <w:rFonts w:hint="eastAsia" w:ascii="宋体" w:hAnsi="宋体" w:cs="宋体"/>
          <w:b w:val="0"/>
          <w:bCs w:val="0"/>
          <w:color w:val="auto"/>
          <w:kern w:val="0"/>
          <w:sz w:val="24"/>
          <w:szCs w:val="21"/>
          <w:highlight w:val="none"/>
          <w:lang w:eastAsia="zh-CN"/>
        </w:rPr>
        <w:t>；</w:t>
      </w:r>
    </w:p>
    <w:p w14:paraId="32E0FB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三、获取招标文件</w:t>
      </w:r>
    </w:p>
    <w:p w14:paraId="3D63E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w:t>
      </w:r>
      <w:r>
        <w:rPr>
          <w:rFonts w:hint="eastAsia" w:ascii="宋体" w:hAnsi="宋体" w:eastAsia="宋体" w:cs="宋体"/>
          <w:b w:val="0"/>
          <w:bCs w:val="0"/>
          <w:color w:val="auto"/>
          <w:sz w:val="24"/>
          <w:szCs w:val="24"/>
          <w:highlight w:val="none"/>
          <w:lang w:val="en-US" w:eastAsia="zh-CN"/>
        </w:rPr>
        <w:t>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26</w:t>
      </w:r>
      <w:r>
        <w:rPr>
          <w:rFonts w:hint="eastAsia" w:ascii="宋体" w:hAnsi="宋体" w:eastAsia="宋体" w:cs="宋体"/>
          <w:b w:val="0"/>
          <w:bCs w:val="0"/>
          <w:color w:val="auto"/>
          <w:sz w:val="24"/>
          <w:szCs w:val="24"/>
          <w:highlight w:val="none"/>
        </w:rPr>
        <w:t>日至202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日。每天上午00时00分至12时00分，下午12时00分至23时59分（北京时间，法定节假日除外。）</w:t>
      </w:r>
    </w:p>
    <w:p w14:paraId="166A8D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14:paraId="4909A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3、方式：潜在供应商需凭CA数字证书通过《全国公共资源交易平台（河南省·平顶山市）》（网址：http://ggzy.pds.gov.cn/“供应商登录”入口进入交易系统进行下载文件。</w:t>
      </w:r>
    </w:p>
    <w:p w14:paraId="417FA1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4、售价：0元</w:t>
      </w:r>
    </w:p>
    <w:p w14:paraId="5B3986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四、投标截止时间及地点</w:t>
      </w:r>
    </w:p>
    <w:p w14:paraId="100A2F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 xml:space="preserve"> 16</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分（北京时间）</w:t>
      </w:r>
    </w:p>
    <w:p w14:paraId="1ED2C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14:paraId="185A3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需要在投标截止时间前在</w:t>
      </w:r>
      <w:r>
        <w:rPr>
          <w:rFonts w:hint="eastAsia" w:ascii="宋体" w:hAnsi="宋体" w:cs="宋体"/>
          <w:b w:val="0"/>
          <w:bCs w:val="0"/>
          <w:color w:val="auto"/>
          <w:sz w:val="24"/>
          <w:szCs w:val="24"/>
          <w:highlight w:val="none"/>
          <w:lang w:eastAsia="zh-CN"/>
        </w:rPr>
        <w:t>《全国公共资源交易平台（河南省·平顶山市）》</w:t>
      </w:r>
      <w:r>
        <w:rPr>
          <w:rFonts w:hint="eastAsia" w:ascii="宋体" w:hAnsi="宋体" w:eastAsia="宋体" w:cs="宋体"/>
          <w:b w:val="0"/>
          <w:bCs w:val="0"/>
          <w:color w:val="auto"/>
          <w:sz w:val="24"/>
          <w:szCs w:val="24"/>
          <w:highlight w:val="none"/>
        </w:rPr>
        <w:t>交易系统中上传加密电子投标文件。</w:t>
      </w:r>
    </w:p>
    <w:p w14:paraId="2E2D77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五、开标时间及地点</w:t>
      </w:r>
    </w:p>
    <w:p w14:paraId="2C0E7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分（北京时间）</w:t>
      </w:r>
    </w:p>
    <w:p w14:paraId="46DBC6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2、地点：《全国公共资源交易平台（河南省·平顶山市）》（网址：http://ggzy.pds.gov.cn/)</w:t>
      </w:r>
    </w:p>
    <w:p w14:paraId="488E41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六、发布公告的媒介及招标公告期限</w:t>
      </w:r>
    </w:p>
    <w:p w14:paraId="6BD4A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本次招标公告在</w:t>
      </w:r>
      <w:r>
        <w:rPr>
          <w:rFonts w:hint="eastAsia" w:ascii="宋体" w:hAnsi="宋体" w:cs="宋体"/>
          <w:sz w:val="24"/>
          <w:highlight w:val="none"/>
        </w:rPr>
        <w:t>《中国政府采购网》、</w:t>
      </w:r>
      <w:r>
        <w:rPr>
          <w:rFonts w:hint="eastAsia" w:ascii="宋体" w:hAnsi="宋体" w:eastAsia="宋体" w:cs="宋体"/>
          <w:b w:val="0"/>
          <w:bCs w:val="0"/>
          <w:color w:val="auto"/>
          <w:sz w:val="24"/>
          <w:szCs w:val="24"/>
          <w:highlight w:val="none"/>
        </w:rPr>
        <w:t>《河南省政府采购网》</w:t>
      </w:r>
      <w:r>
        <w:rPr>
          <w:rFonts w:hint="eastAsia" w:ascii="宋体" w:hAnsi="宋体" w:eastAsia="宋体" w:cs="宋体"/>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《平顶山市政府采购网》</w:t>
      </w:r>
      <w:r>
        <w:rPr>
          <w:rFonts w:hint="eastAsia" w:ascii="宋体" w:hAnsi="宋体" w:eastAsia="宋体" w:cs="宋体"/>
          <w:b w:val="0"/>
          <w:bCs w:val="0"/>
          <w:color w:val="auto"/>
          <w:sz w:val="24"/>
          <w:szCs w:val="24"/>
          <w:highlight w:val="none"/>
        </w:rPr>
        <w:t>、</w:t>
      </w:r>
      <w:r>
        <w:rPr>
          <w:rFonts w:hint="eastAsia" w:ascii="宋体" w:hAnsi="宋体" w:cs="宋体"/>
          <w:sz w:val="24"/>
          <w:highlight w:val="none"/>
        </w:rPr>
        <w:t>《中国招标投标公共服务平台》、《河南省电子招标投标公共服务平台》</w:t>
      </w:r>
      <w:r>
        <w:rPr>
          <w:rFonts w:hint="eastAsia" w:ascii="宋体" w:hAnsi="宋体" w:eastAsia="宋体" w:cs="宋体"/>
          <w:sz w:val="24"/>
          <w:szCs w:val="24"/>
          <w:highlight w:val="none"/>
          <w:lang w:eastAsia="zh-CN"/>
        </w:rPr>
        <w:t>、</w:t>
      </w:r>
      <w:r>
        <w:rPr>
          <w:rFonts w:hint="eastAsia" w:ascii="宋体" w:hAnsi="宋体" w:eastAsia="宋体" w:cs="宋体"/>
          <w:b w:val="0"/>
          <w:bCs w:val="0"/>
          <w:color w:val="auto"/>
          <w:sz w:val="24"/>
          <w:szCs w:val="24"/>
          <w:highlight w:val="none"/>
        </w:rPr>
        <w:t>《全国公共资源交易平台（河南省·平顶山）》上发布</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招标公告期限为五个工作日。</w:t>
      </w:r>
    </w:p>
    <w:p w14:paraId="63BF4B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七、其他补充事宜： </w:t>
      </w:r>
    </w:p>
    <w:p w14:paraId="1B52DF1B">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3" w:name="_Toc26073"/>
      <w:r>
        <w:rPr>
          <w:rFonts w:hint="eastAsia" w:ascii="宋体" w:hAnsi="宋体" w:cs="宋体"/>
          <w:b w:val="0"/>
          <w:bCs w:val="0"/>
          <w:color w:val="auto"/>
          <w:sz w:val="24"/>
          <w:highlight w:val="none"/>
          <w:lang w:val="en-US" w:eastAsia="zh-CN"/>
        </w:rPr>
        <w:t>1、本项目执行落实支持创新、绿色发展、节能环保、促进中小型企业发展政策（监狱企业、残疾人福利性企业视同小微企业），优先采购节能环保产品，政府强制采购节能产品等。</w:t>
      </w:r>
      <w:bookmarkEnd w:id="3"/>
    </w:p>
    <w:p w14:paraId="4BEBF596">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4" w:name="_Toc9504"/>
      <w:r>
        <w:rPr>
          <w:rFonts w:hint="eastAsia" w:ascii="宋体" w:hAnsi="宋体" w:cs="宋体"/>
          <w:b w:val="0"/>
          <w:bCs w:val="0"/>
          <w:color w:val="auto"/>
          <w:sz w:val="24"/>
          <w:highlight w:val="none"/>
          <w:lang w:val="en-US" w:eastAsia="zh-CN"/>
        </w:rPr>
        <w:t>2、中心全面实行在线“不见面”开标，供应商需要在投标截止时间前在平顶山市公共资源交易中心交易系统中将加密电子投标文件加密上传，不再到开标现场，供应商开标前应仔细阅读《“不见面”开标注意事项及操作流程》。逾期上传的投标文件，采购人不予受理。</w:t>
      </w:r>
      <w:bookmarkEnd w:id="4"/>
    </w:p>
    <w:p w14:paraId="16567B83">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5" w:name="_Toc19321"/>
      <w:r>
        <w:rPr>
          <w:rFonts w:hint="eastAsia" w:ascii="宋体" w:hAnsi="宋体" w:cs="宋体"/>
          <w:b w:val="0"/>
          <w:bCs w:val="0"/>
          <w:color w:val="auto"/>
          <w:sz w:val="24"/>
          <w:highlight w:val="none"/>
          <w:lang w:val="en-US" w:eastAsia="zh-CN"/>
        </w:rPr>
        <w:t>3、</w:t>
      </w:r>
      <w:bookmarkEnd w:id="5"/>
      <w:bookmarkStart w:id="6" w:name="_Toc22227"/>
      <w:r>
        <w:rPr>
          <w:rFonts w:hint="eastAsia" w:ascii="宋体" w:hAnsi="宋体" w:cs="宋体"/>
          <w:b w:val="0"/>
          <w:bCs w:val="0"/>
          <w:color w:val="auto"/>
          <w:sz w:val="24"/>
          <w:highlight w:val="none"/>
          <w:lang w:val="en-US" w:eastAsia="zh-CN"/>
        </w:rPr>
        <w:t>该公告已同步至“平顶山市公共资源交易中心微信公众号”，可通过公众号中的服务栏目进行查阅”。</w:t>
      </w:r>
      <w:bookmarkEnd w:id="6"/>
    </w:p>
    <w:p w14:paraId="62DC3F47">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7" w:name="_Toc30915"/>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rPr>
        <w:t>、</w:t>
      </w:r>
      <w:bookmarkEnd w:id="7"/>
      <w:r>
        <w:rPr>
          <w:rFonts w:hint="eastAsia" w:ascii="宋体" w:hAnsi="宋体" w:cs="宋体"/>
          <w:b w:val="0"/>
          <w:bCs w:val="0"/>
          <w:color w:val="auto"/>
          <w:sz w:val="24"/>
          <w:highlight w:val="none"/>
          <w:lang w:val="en-US" w:eastAsia="zh-CN"/>
        </w:rPr>
        <w:t xml:space="preserve">监督部门：平顶山市财政局 </w:t>
      </w:r>
    </w:p>
    <w:p w14:paraId="07E5A07C">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 xml:space="preserve">统一社会信用代码：11410400005452110L </w:t>
      </w:r>
    </w:p>
    <w:p w14:paraId="62301146">
      <w:pPr>
        <w:widowControl/>
        <w:spacing w:line="360" w:lineRule="auto"/>
        <w:ind w:firstLine="480" w:firstLineChars="200"/>
        <w:jc w:val="left"/>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联系方式：0375-2627595</w:t>
      </w:r>
    </w:p>
    <w:p w14:paraId="3C7716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八、凡对本次招标提出询问，请按照以下方式联系</w:t>
      </w:r>
    </w:p>
    <w:p w14:paraId="602B38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1.采购人信息：</w:t>
      </w:r>
    </w:p>
    <w:p w14:paraId="47A126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名称：</w:t>
      </w:r>
      <w:r>
        <w:rPr>
          <w:rFonts w:hint="eastAsia" w:ascii="宋体" w:hAnsi="宋体" w:cs="宋体"/>
          <w:b w:val="0"/>
          <w:bCs w:val="0"/>
          <w:color w:val="auto"/>
          <w:sz w:val="24"/>
          <w:szCs w:val="24"/>
          <w:highlight w:val="none"/>
          <w:lang w:eastAsia="zh-CN"/>
        </w:rPr>
        <w:t>平顶山市消防救援支队</w:t>
      </w:r>
      <w:r>
        <w:rPr>
          <w:rFonts w:hint="eastAsia" w:ascii="宋体" w:hAnsi="宋体" w:eastAsia="宋体" w:cs="宋体"/>
          <w:b w:val="0"/>
          <w:bCs w:val="0"/>
          <w:color w:val="auto"/>
          <w:sz w:val="24"/>
          <w:szCs w:val="24"/>
          <w:highlight w:val="none"/>
        </w:rPr>
        <w:t xml:space="preserve">  </w:t>
      </w:r>
    </w:p>
    <w:p w14:paraId="10ABA5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地址：平顶山市新城区未来路与吉祥路交叉口</w:t>
      </w:r>
    </w:p>
    <w:p w14:paraId="2927DB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张文超</w:t>
      </w:r>
    </w:p>
    <w:p w14:paraId="60525A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szCs w:val="24"/>
          <w:highlight w:val="none"/>
          <w:lang w:val="en-US" w:eastAsia="zh-CN"/>
        </w:rPr>
        <w:t>0375-2235025</w:t>
      </w:r>
      <w:r>
        <w:rPr>
          <w:rFonts w:hint="eastAsia" w:ascii="宋体" w:hAnsi="宋体" w:eastAsia="宋体" w:cs="宋体"/>
          <w:b w:val="0"/>
          <w:bCs w:val="0"/>
          <w:color w:val="auto"/>
          <w:sz w:val="24"/>
          <w:szCs w:val="24"/>
          <w:highlight w:val="none"/>
        </w:rPr>
        <w:t xml:space="preserve"> </w:t>
      </w:r>
    </w:p>
    <w:p w14:paraId="1C1D6FDE">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8" w:name="_Toc30939"/>
      <w:r>
        <w:rPr>
          <w:rFonts w:hint="eastAsia" w:ascii="宋体" w:hAnsi="宋体" w:cs="宋体"/>
          <w:b w:val="0"/>
          <w:bCs w:val="0"/>
          <w:color w:val="auto"/>
          <w:sz w:val="24"/>
          <w:highlight w:val="none"/>
        </w:rPr>
        <w:t>2.采购代理机构信息（如有）</w:t>
      </w:r>
      <w:bookmarkEnd w:id="8"/>
      <w:r>
        <w:rPr>
          <w:rFonts w:hint="eastAsia" w:ascii="宋体" w:hAnsi="宋体" w:cs="宋体"/>
          <w:b w:val="0"/>
          <w:bCs w:val="0"/>
          <w:color w:val="auto"/>
          <w:sz w:val="24"/>
          <w:highlight w:val="none"/>
        </w:rPr>
        <w:t xml:space="preserve"> </w:t>
      </w:r>
    </w:p>
    <w:p w14:paraId="552B69E3">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名称：</w:t>
      </w:r>
      <w:r>
        <w:rPr>
          <w:rFonts w:hint="eastAsia" w:ascii="宋体" w:hAnsi="宋体" w:cs="宋体"/>
          <w:b w:val="0"/>
          <w:bCs w:val="0"/>
          <w:color w:val="auto"/>
          <w:sz w:val="24"/>
          <w:highlight w:val="none"/>
          <w:lang w:eastAsia="zh-CN"/>
        </w:rPr>
        <w:t>中发祥和工程管理有限公司</w:t>
      </w:r>
      <w:r>
        <w:rPr>
          <w:rFonts w:hint="eastAsia" w:ascii="宋体" w:hAnsi="宋体" w:cs="宋体"/>
          <w:b w:val="0"/>
          <w:bCs w:val="0"/>
          <w:color w:val="auto"/>
          <w:sz w:val="24"/>
          <w:highlight w:val="none"/>
        </w:rPr>
        <w:t xml:space="preserve"> </w:t>
      </w:r>
    </w:p>
    <w:p w14:paraId="7174DDC7">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地址：河南省郑州市中原区建设西路198号院B座12层10号、11号</w:t>
      </w:r>
    </w:p>
    <w:p w14:paraId="12F7907A">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联系人：</w:t>
      </w:r>
      <w:r>
        <w:rPr>
          <w:rFonts w:hint="eastAsia" w:ascii="宋体" w:hAnsi="宋体" w:cs="宋体"/>
          <w:b w:val="0"/>
          <w:bCs w:val="0"/>
          <w:color w:val="auto"/>
          <w:sz w:val="24"/>
          <w:highlight w:val="none"/>
          <w:lang w:eastAsia="zh-CN"/>
        </w:rPr>
        <w:t>张克玉</w:t>
      </w:r>
    </w:p>
    <w:p w14:paraId="609D328A">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14:paraId="240FF234">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9" w:name="_Toc15407"/>
      <w:r>
        <w:rPr>
          <w:rFonts w:hint="eastAsia" w:ascii="宋体" w:hAnsi="宋体" w:cs="宋体"/>
          <w:b w:val="0"/>
          <w:bCs w:val="0"/>
          <w:color w:val="auto"/>
          <w:sz w:val="24"/>
          <w:highlight w:val="none"/>
        </w:rPr>
        <w:t>3.项目联系方式</w:t>
      </w:r>
      <w:bookmarkEnd w:id="9"/>
      <w:r>
        <w:rPr>
          <w:rFonts w:hint="eastAsia" w:ascii="宋体" w:hAnsi="宋体" w:cs="宋体"/>
          <w:b w:val="0"/>
          <w:bCs w:val="0"/>
          <w:color w:val="auto"/>
          <w:sz w:val="24"/>
          <w:highlight w:val="none"/>
        </w:rPr>
        <w:t xml:space="preserve"> </w:t>
      </w:r>
    </w:p>
    <w:p w14:paraId="42F86814">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项目联系人：</w:t>
      </w:r>
      <w:r>
        <w:rPr>
          <w:rFonts w:hint="eastAsia" w:ascii="宋体" w:hAnsi="宋体" w:cs="宋体"/>
          <w:b w:val="0"/>
          <w:bCs w:val="0"/>
          <w:color w:val="auto"/>
          <w:sz w:val="24"/>
          <w:highlight w:val="none"/>
          <w:lang w:eastAsia="zh-CN"/>
        </w:rPr>
        <w:t>张克玉</w:t>
      </w:r>
    </w:p>
    <w:p w14:paraId="69716509">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14:paraId="334A444A">
      <w:pPr>
        <w:rPr>
          <w:highlight w:val="none"/>
        </w:rPr>
      </w:pPr>
    </w:p>
    <w:p w14:paraId="550384F6">
      <w:pPr>
        <w:adjustRightInd w:val="0"/>
        <w:snapToGrid w:val="0"/>
        <w:spacing w:line="360" w:lineRule="auto"/>
        <w:ind w:firstLine="480" w:firstLineChars="200"/>
        <w:jc w:val="left"/>
        <w:rPr>
          <w:color w:val="auto"/>
          <w:highlight w:val="none"/>
        </w:rPr>
      </w:pPr>
      <w:r>
        <w:rPr>
          <w:rFonts w:ascii="宋体" w:hAnsi="宋体" w:cs="宋体"/>
          <w:color w:val="auto"/>
          <w:sz w:val="24"/>
          <w:highlight w:val="none"/>
        </w:rPr>
        <w:t xml:space="preserve">  </w:t>
      </w:r>
    </w:p>
    <w:p w14:paraId="3E662061">
      <w:pPr>
        <w:numPr>
          <w:ilvl w:val="0"/>
          <w:numId w:val="1"/>
        </w:numPr>
        <w:spacing w:line="360" w:lineRule="auto"/>
        <w:jc w:val="center"/>
        <w:outlineLvl w:val="0"/>
        <w:rPr>
          <w:rStyle w:val="27"/>
          <w:rFonts w:ascii="宋体" w:cs="宋体"/>
          <w:color w:val="auto"/>
          <w:highlight w:val="none"/>
        </w:rPr>
      </w:pPr>
      <w:bookmarkStart w:id="10" w:name="_Toc25086"/>
      <w:bookmarkStart w:id="11" w:name="_Toc40112128"/>
      <w:r>
        <w:rPr>
          <w:rStyle w:val="27"/>
          <w:rFonts w:ascii="宋体" w:cs="宋体"/>
          <w:color w:val="auto"/>
          <w:highlight w:val="none"/>
        </w:rPr>
        <w:br w:type="page"/>
      </w:r>
      <w:bookmarkStart w:id="12" w:name="_Toc32633"/>
      <w:bookmarkStart w:id="13" w:name="_Toc4342"/>
      <w:bookmarkStart w:id="14" w:name="_Toc25487"/>
      <w:r>
        <w:rPr>
          <w:rStyle w:val="27"/>
          <w:rFonts w:hint="eastAsia" w:ascii="宋体" w:hAnsi="宋体" w:cs="宋体"/>
          <w:color w:val="auto"/>
          <w:highlight w:val="none"/>
          <w:lang w:eastAsia="zh-CN"/>
        </w:rPr>
        <w:t>投标人</w:t>
      </w:r>
      <w:r>
        <w:rPr>
          <w:rStyle w:val="27"/>
          <w:rFonts w:hint="eastAsia" w:ascii="宋体" w:hAnsi="宋体" w:cs="宋体"/>
          <w:color w:val="auto"/>
          <w:highlight w:val="none"/>
        </w:rPr>
        <w:t>须知</w:t>
      </w:r>
      <w:bookmarkEnd w:id="10"/>
      <w:bookmarkEnd w:id="11"/>
      <w:bookmarkEnd w:id="12"/>
      <w:bookmarkEnd w:id="13"/>
      <w:bookmarkEnd w:id="14"/>
    </w:p>
    <w:p w14:paraId="09B84859">
      <w:pPr>
        <w:pStyle w:val="3"/>
        <w:ind w:left="420"/>
        <w:jc w:val="center"/>
        <w:rPr>
          <w:rStyle w:val="27"/>
          <w:rFonts w:ascii="宋体" w:hAnsi="Arial" w:cs="宋体"/>
          <w:b/>
          <w:bCs/>
          <w:color w:val="auto"/>
          <w:szCs w:val="32"/>
          <w:highlight w:val="none"/>
        </w:rPr>
      </w:pPr>
      <w:bookmarkStart w:id="15" w:name="_Toc14706"/>
      <w:bookmarkStart w:id="16" w:name="_Toc2805"/>
      <w:bookmarkStart w:id="17" w:name="_Toc19695"/>
      <w:bookmarkStart w:id="18" w:name="_Toc40112129"/>
      <w:bookmarkStart w:id="19" w:name="_Toc9954"/>
      <w:r>
        <w:rPr>
          <w:rStyle w:val="27"/>
          <w:rFonts w:hint="eastAsia" w:ascii="宋体" w:hAnsi="宋体" w:cs="宋体"/>
          <w:b/>
          <w:bCs/>
          <w:color w:val="auto"/>
          <w:szCs w:val="32"/>
          <w:highlight w:val="none"/>
          <w:lang w:eastAsia="zh-CN"/>
        </w:rPr>
        <w:t>投标人</w:t>
      </w:r>
      <w:r>
        <w:rPr>
          <w:rStyle w:val="27"/>
          <w:rFonts w:hint="eastAsia" w:ascii="宋体" w:hAnsi="宋体" w:cs="宋体"/>
          <w:b/>
          <w:bCs/>
          <w:color w:val="auto"/>
          <w:szCs w:val="32"/>
          <w:highlight w:val="none"/>
        </w:rPr>
        <w:t>须知前附表</w:t>
      </w:r>
      <w:bookmarkEnd w:id="15"/>
      <w:bookmarkEnd w:id="16"/>
      <w:bookmarkEnd w:id="17"/>
      <w:bookmarkEnd w:id="18"/>
      <w:bookmarkEnd w:id="19"/>
    </w:p>
    <w:p w14:paraId="2C8D0A5A">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本表是对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须知的具体补充和修改，如有矛盾，应以本表为准。</w:t>
      </w:r>
    </w:p>
    <w:tbl>
      <w:tblPr>
        <w:tblStyle w:val="23"/>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7878"/>
      </w:tblGrid>
      <w:tr w14:paraId="0A0E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05E8C3DE">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4449" w:type="pct"/>
            <w:vAlign w:val="center"/>
          </w:tcPr>
          <w:p w14:paraId="53501936">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r>
      <w:tr w14:paraId="2FD9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vAlign w:val="center"/>
          </w:tcPr>
          <w:p w14:paraId="60F3F9A1">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4449" w:type="pct"/>
            <w:vAlign w:val="center"/>
          </w:tcPr>
          <w:p w14:paraId="676C9F05">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平顶山市消防救援支队</w:t>
            </w:r>
            <w:r>
              <w:rPr>
                <w:rFonts w:hint="eastAsia" w:ascii="宋体" w:hAnsi="宋体" w:eastAsia="宋体" w:cs="宋体"/>
                <w:color w:val="auto"/>
                <w:sz w:val="24"/>
                <w:szCs w:val="24"/>
                <w:highlight w:val="none"/>
              </w:rPr>
              <w:t xml:space="preserve">  </w:t>
            </w:r>
          </w:p>
          <w:p w14:paraId="36E1F2CC">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地址：平顶山市新城区未来路与吉祥路交叉口</w:t>
            </w:r>
          </w:p>
          <w:p w14:paraId="1CB6B279">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张文超</w:t>
            </w:r>
          </w:p>
          <w:p w14:paraId="1E6764FD">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0375-</w:t>
            </w:r>
            <w:r>
              <w:rPr>
                <w:rFonts w:hint="eastAsia" w:ascii="宋体" w:hAnsi="宋体" w:eastAsia="宋体" w:cs="宋体"/>
                <w:color w:val="auto"/>
                <w:sz w:val="24"/>
                <w:szCs w:val="24"/>
                <w:highlight w:val="none"/>
              </w:rPr>
              <w:t xml:space="preserve">3325025   </w:t>
            </w:r>
          </w:p>
        </w:tc>
      </w:tr>
      <w:tr w14:paraId="4110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550" w:type="pct"/>
            <w:vAlign w:val="center"/>
          </w:tcPr>
          <w:p w14:paraId="65C1A74C">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4449" w:type="pct"/>
            <w:vAlign w:val="center"/>
          </w:tcPr>
          <w:p w14:paraId="4E4E22AC">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中发祥和工程管理有限公司</w:t>
            </w:r>
            <w:r>
              <w:rPr>
                <w:rFonts w:hint="eastAsia" w:ascii="宋体" w:hAnsi="宋体" w:eastAsia="宋体" w:cs="宋体"/>
                <w:color w:val="auto"/>
                <w:sz w:val="24"/>
                <w:szCs w:val="24"/>
                <w:highlight w:val="none"/>
              </w:rPr>
              <w:t xml:space="preserve"> </w:t>
            </w:r>
          </w:p>
          <w:p w14:paraId="1D3D14F1">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地址：河南省郑州市中原区建设西路198号院B座12层10号、11号</w:t>
            </w:r>
          </w:p>
          <w:p w14:paraId="0CE2CFFF">
            <w:pPr>
              <w:widowControl/>
              <w:adjustRightInd w:val="0"/>
              <w:snapToGrid w:val="0"/>
              <w:spacing w:line="312"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张克玉</w:t>
            </w:r>
          </w:p>
          <w:p w14:paraId="5F00CE71">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0371-63399916,15639044333</w:t>
            </w:r>
          </w:p>
        </w:tc>
      </w:tr>
      <w:tr w14:paraId="3CD8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50" w:type="pct"/>
            <w:vAlign w:val="center"/>
          </w:tcPr>
          <w:p w14:paraId="2EFCA689">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4449" w:type="pct"/>
            <w:vAlign w:val="center"/>
          </w:tcPr>
          <w:p w14:paraId="0986D022">
            <w:pPr>
              <w:widowControl/>
              <w:adjustRightInd w:val="0"/>
              <w:snapToGrid w:val="0"/>
              <w:spacing w:line="312"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项目编号：平采招标-2024-</w:t>
            </w:r>
            <w:r>
              <w:rPr>
                <w:rFonts w:hint="eastAsia" w:ascii="宋体" w:hAnsi="宋体" w:cs="宋体"/>
                <w:color w:val="auto"/>
                <w:sz w:val="24"/>
                <w:szCs w:val="24"/>
                <w:highlight w:val="none"/>
                <w:lang w:val="en-US" w:eastAsia="zh-CN"/>
              </w:rPr>
              <w:t>159</w:t>
            </w:r>
          </w:p>
          <w:p w14:paraId="5075F9C0">
            <w:pPr>
              <w:widowControl/>
              <w:adjustRightInd w:val="0"/>
              <w:snapToGrid w:val="0"/>
              <w:spacing w:line="312"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平顶山市消防救援支队河南省消防救援总队“自然灾害应急能力提升工程”平顶山支队装备建设（第二批）项目</w:t>
            </w:r>
          </w:p>
        </w:tc>
      </w:tr>
      <w:tr w14:paraId="4014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50" w:type="pct"/>
            <w:vAlign w:val="center"/>
          </w:tcPr>
          <w:p w14:paraId="67F17BF1">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4449" w:type="pct"/>
            <w:vAlign w:val="center"/>
          </w:tcPr>
          <w:p w14:paraId="5D633F94">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采购内容：详见招标公告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具体技术参数要求详见招标文件“第六章招标项目需求及技术要求”。</w:t>
            </w:r>
          </w:p>
        </w:tc>
      </w:tr>
      <w:tr w14:paraId="6339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50" w:type="pct"/>
            <w:vAlign w:val="center"/>
          </w:tcPr>
          <w:p w14:paraId="4B1DAEF6">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4449" w:type="pct"/>
            <w:vAlign w:val="center"/>
          </w:tcPr>
          <w:p w14:paraId="2B11BCB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14:paraId="507F40E7">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0000FF"/>
                <w:sz w:val="24"/>
                <w:szCs w:val="24"/>
                <w:highlight w:val="none"/>
              </w:rPr>
              <w:t>：</w:t>
            </w:r>
            <w:r>
              <w:rPr>
                <w:rFonts w:hint="eastAsia" w:ascii="宋体" w:hAnsi="宋体" w:cs="宋体"/>
                <w:b w:val="0"/>
                <w:bCs w:val="0"/>
                <w:color w:val="auto"/>
                <w:sz w:val="24"/>
                <w:highlight w:val="none"/>
                <w:lang w:val="en-US" w:eastAsia="zh-CN"/>
              </w:rPr>
              <w:t>7919030.00</w:t>
            </w:r>
            <w:r>
              <w:rPr>
                <w:rFonts w:hint="eastAsia" w:ascii="宋体" w:hAnsi="宋体" w:eastAsia="宋体" w:cs="宋体"/>
                <w:color w:val="auto"/>
                <w:sz w:val="24"/>
                <w:szCs w:val="24"/>
                <w:highlight w:val="none"/>
              </w:rPr>
              <w:t>元，最高限价：</w:t>
            </w:r>
            <w:r>
              <w:rPr>
                <w:rFonts w:hint="eastAsia" w:ascii="宋体" w:hAnsi="宋体" w:cs="宋体"/>
                <w:b w:val="0"/>
                <w:bCs w:val="0"/>
                <w:color w:val="auto"/>
                <w:sz w:val="24"/>
                <w:highlight w:val="none"/>
                <w:lang w:val="en-US" w:eastAsia="zh-CN"/>
              </w:rPr>
              <w:t>7919030.00</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所投标包投标总报价不可超过所投标包最高限价，且该标包中各单品报价不得超过单品最高限价，否则按无效标处理。各标包最高限价及单品限价详见“第六章  招标项目需求及技术要求”。</w:t>
            </w:r>
          </w:p>
        </w:tc>
      </w:tr>
      <w:tr w14:paraId="3548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50" w:type="pct"/>
            <w:vAlign w:val="center"/>
          </w:tcPr>
          <w:p w14:paraId="015BDE8D">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4449" w:type="pct"/>
            <w:vAlign w:val="center"/>
          </w:tcPr>
          <w:p w14:paraId="266E47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交货期：</w:t>
            </w:r>
            <w:r>
              <w:rPr>
                <w:rFonts w:hint="eastAsia" w:ascii="宋体" w:hAnsi="宋体" w:eastAsia="宋体" w:cs="宋体"/>
                <w:color w:val="auto"/>
                <w:sz w:val="24"/>
                <w:szCs w:val="24"/>
                <w:highlight w:val="none"/>
              </w:rPr>
              <w:t>详见招标文件“第六章招标项目需求及技术要求”。</w:t>
            </w:r>
          </w:p>
        </w:tc>
      </w:tr>
      <w:tr w14:paraId="2DBA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50" w:type="pct"/>
            <w:vAlign w:val="center"/>
          </w:tcPr>
          <w:p w14:paraId="470FB858">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4449" w:type="pct"/>
            <w:vAlign w:val="center"/>
          </w:tcPr>
          <w:p w14:paraId="5A97B2D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交货地点：采购人指定地点</w:t>
            </w:r>
          </w:p>
        </w:tc>
      </w:tr>
      <w:tr w14:paraId="0ADB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298F2FED">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4449" w:type="pct"/>
            <w:vAlign w:val="center"/>
          </w:tcPr>
          <w:p w14:paraId="171B652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r>
              <w:rPr>
                <w:rFonts w:hint="eastAsia" w:ascii="宋体" w:hAnsi="宋体" w:cs="宋体"/>
                <w:color w:val="auto"/>
                <w:sz w:val="24"/>
                <w:szCs w:val="24"/>
                <w:highlight w:val="none"/>
                <w:lang w:val="en-US" w:eastAsia="zh-CN"/>
              </w:rPr>
              <w:t>详见</w:t>
            </w:r>
            <w:r>
              <w:rPr>
                <w:rFonts w:hint="eastAsia" w:ascii="宋体" w:hAnsi="宋体" w:eastAsia="宋体" w:cs="宋体"/>
                <w:color w:val="auto"/>
                <w:sz w:val="24"/>
                <w:szCs w:val="24"/>
                <w:highlight w:val="none"/>
              </w:rPr>
              <w:t>招标文件“第六章招标项目需求及技术要求”，自验收合格之日算起。</w:t>
            </w:r>
          </w:p>
        </w:tc>
      </w:tr>
      <w:tr w14:paraId="0D1B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58441B0B">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4449" w:type="pct"/>
            <w:vAlign w:val="center"/>
          </w:tcPr>
          <w:p w14:paraId="7B193ED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r>
              <w:rPr>
                <w:rFonts w:hint="eastAsia" w:ascii="宋体" w:hAnsi="宋体" w:cs="宋体"/>
                <w:b w:val="0"/>
                <w:bCs w:val="0"/>
                <w:color w:val="auto"/>
                <w:sz w:val="24"/>
                <w:highlight w:val="none"/>
              </w:rPr>
              <w:t>合格（符合现行国家、行业、地方相关规范要求）</w:t>
            </w:r>
          </w:p>
        </w:tc>
      </w:tr>
      <w:tr w14:paraId="12A3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50" w:type="pct"/>
            <w:vAlign w:val="center"/>
          </w:tcPr>
          <w:p w14:paraId="0A4225F5">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1.2.10</w:t>
            </w:r>
          </w:p>
        </w:tc>
        <w:tc>
          <w:tcPr>
            <w:tcW w:w="4449" w:type="pct"/>
            <w:vAlign w:val="center"/>
          </w:tcPr>
          <w:p w14:paraId="001AE92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资格要求：详见招标公告“二、申请人资格要求”。</w:t>
            </w:r>
          </w:p>
        </w:tc>
      </w:tr>
      <w:tr w14:paraId="3460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0" w:type="pct"/>
            <w:vAlign w:val="center"/>
          </w:tcPr>
          <w:p w14:paraId="56F21243">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w:t>
            </w:r>
          </w:p>
        </w:tc>
        <w:tc>
          <w:tcPr>
            <w:tcW w:w="4449" w:type="pct"/>
            <w:vAlign w:val="center"/>
          </w:tcPr>
          <w:p w14:paraId="1CF73F34">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是否接受联合体投标：不接受</w:t>
            </w:r>
          </w:p>
        </w:tc>
      </w:tr>
      <w:tr w14:paraId="025B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1" w:hRule="atLeast"/>
          <w:jc w:val="center"/>
        </w:trPr>
        <w:tc>
          <w:tcPr>
            <w:tcW w:w="550" w:type="pct"/>
            <w:vAlign w:val="center"/>
          </w:tcPr>
          <w:p w14:paraId="4756983F">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w:t>
            </w:r>
          </w:p>
        </w:tc>
        <w:tc>
          <w:tcPr>
            <w:tcW w:w="4449" w:type="pct"/>
            <w:vAlign w:val="center"/>
          </w:tcPr>
          <w:p w14:paraId="3EED02F1">
            <w:pPr>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不得存在的其他情形：</w:t>
            </w:r>
          </w:p>
          <w:p w14:paraId="41770C1F">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（1）为采购人不具有独立法人资格的附属机构（单位）；</w:t>
            </w:r>
          </w:p>
          <w:p w14:paraId="20026A9F">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（2）单位负责人为同一人或者存在直接控股、管理关系的不同供应商，不得参加同一合同项下的政府采购活动；</w:t>
            </w:r>
          </w:p>
          <w:p w14:paraId="5A9A173B">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（3）不得相互串通损害国家利益、社会公共利益和其他当事人的合法权益；不得以任何手段排斥其他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参与竞争；</w:t>
            </w:r>
          </w:p>
          <w:p w14:paraId="43AEF6F5">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（4）不得以向采购人行贿或者采取其他不正当手段谋取非法利益；</w:t>
            </w:r>
          </w:p>
          <w:p w14:paraId="1AAD9424">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（5）为本项目提供招标代理服务的；</w:t>
            </w:r>
          </w:p>
          <w:p w14:paraId="2EF210AC">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（6）被责令停业的；</w:t>
            </w:r>
          </w:p>
          <w:p w14:paraId="3C1941C0">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（7）被暂停或取消投标资格的；</w:t>
            </w:r>
          </w:p>
          <w:p w14:paraId="09A5A504">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（8）财产被接管或冻结的；</w:t>
            </w:r>
          </w:p>
          <w:p w14:paraId="1EB6BA7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（9）在最近三年内有骗取中标或严重违约或重大质量问题的。</w:t>
            </w:r>
          </w:p>
        </w:tc>
      </w:tr>
      <w:tr w14:paraId="7233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43727A9A">
            <w:pPr>
              <w:adjustRightInd w:val="0"/>
              <w:snapToGrid w:val="0"/>
              <w:spacing w:line="360" w:lineRule="auto"/>
              <w:ind w:left="38" w:leftChars="18"/>
              <w:jc w:val="center"/>
              <w:rPr>
                <w:rFonts w:hint="eastAsia" w:ascii="宋体" w:hAnsi="宋体" w:eastAsia="宋体" w:cs="宋体"/>
                <w:color w:val="auto"/>
                <w:sz w:val="24"/>
                <w:szCs w:val="24"/>
                <w:highlight w:val="none"/>
                <w:u w:val="wave"/>
              </w:rPr>
            </w:pPr>
            <w:r>
              <w:rPr>
                <w:rFonts w:hint="eastAsia" w:ascii="宋体" w:hAnsi="宋体" w:eastAsia="宋体" w:cs="宋体"/>
                <w:color w:val="auto"/>
                <w:sz w:val="24"/>
                <w:szCs w:val="24"/>
                <w:highlight w:val="none"/>
              </w:rPr>
              <w:t>1.4.1</w:t>
            </w:r>
          </w:p>
        </w:tc>
        <w:tc>
          <w:tcPr>
            <w:tcW w:w="4449" w:type="pct"/>
            <w:vAlign w:val="center"/>
          </w:tcPr>
          <w:p w14:paraId="7A12F5A5">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现场考察：不组织</w:t>
            </w:r>
          </w:p>
        </w:tc>
      </w:tr>
      <w:tr w14:paraId="28D2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7C4CE849">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4449" w:type="pct"/>
            <w:vAlign w:val="center"/>
          </w:tcPr>
          <w:p w14:paraId="6DF7711B">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答疑会：不召开</w:t>
            </w:r>
          </w:p>
        </w:tc>
      </w:tr>
      <w:tr w14:paraId="165E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4FD1476B">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4449" w:type="pct"/>
            <w:vAlign w:val="center"/>
          </w:tcPr>
          <w:p w14:paraId="40547098">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分包：不允许</w:t>
            </w:r>
          </w:p>
        </w:tc>
      </w:tr>
      <w:tr w14:paraId="6DF3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0FD35031">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1.6.1</w:t>
            </w:r>
          </w:p>
        </w:tc>
        <w:tc>
          <w:tcPr>
            <w:tcW w:w="4449" w:type="pct"/>
            <w:vAlign w:val="center"/>
          </w:tcPr>
          <w:p w14:paraId="05B200ED">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实质性要求及条件：投标无效条款；招标文件中用“拒绝”、“不（予）接受”、“不得”、“不允许”、“否决”等文字规定的条款；法律、法规、规章的相关规定。</w:t>
            </w:r>
          </w:p>
        </w:tc>
      </w:tr>
      <w:tr w14:paraId="759F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top"/>
          </w:tcPr>
          <w:p w14:paraId="49F26C55">
            <w:pPr>
              <w:pStyle w:val="26"/>
              <w:spacing w:before="311" w:line="182"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1.6.2</w:t>
            </w:r>
          </w:p>
        </w:tc>
        <w:tc>
          <w:tcPr>
            <w:tcW w:w="4449" w:type="pct"/>
            <w:vAlign w:val="center"/>
          </w:tcPr>
          <w:p w14:paraId="02EE2E3C">
            <w:pPr>
              <w:pStyle w:val="26"/>
              <w:spacing w:before="39" w:line="467" w:lineRule="exact"/>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技术支持资料： 提供相关证明资料(如第三方检测报告、公开发行的彩页或者生产厂商出具尽可能详细的技术参数文件)</w:t>
            </w:r>
          </w:p>
        </w:tc>
      </w:tr>
      <w:tr w14:paraId="1B69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Align w:val="center"/>
          </w:tcPr>
          <w:p w14:paraId="6E4A14F9">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4449" w:type="pct"/>
            <w:vAlign w:val="center"/>
          </w:tcPr>
          <w:p w14:paraId="3ABB79DE">
            <w:pPr>
              <w:adjustRightInd w:val="0"/>
              <w:snapToGrid w:val="0"/>
              <w:spacing w:line="360" w:lineRule="auto"/>
              <w:jc w:val="both"/>
              <w:rPr>
                <w:rFonts w:hint="default" w:ascii="宋体" w:hAnsi="宋体" w:eastAsia="宋体" w:cs="宋体"/>
                <w:color w:val="auto"/>
                <w:sz w:val="24"/>
                <w:szCs w:val="24"/>
                <w:highlight w:val="none"/>
                <w:u w:val="wave"/>
                <w:lang w:val="en-US" w:eastAsia="zh-CN"/>
              </w:rPr>
            </w:pPr>
            <w:r>
              <w:rPr>
                <w:rFonts w:hint="eastAsia" w:ascii="宋体" w:hAnsi="宋体" w:eastAsia="宋体" w:cs="宋体"/>
                <w:color w:val="auto"/>
                <w:sz w:val="24"/>
                <w:szCs w:val="24"/>
                <w:highlight w:val="none"/>
              </w:rPr>
              <w:t>偏差： 实质性要求和条件不允许偏差，其他允许偏差。</w:t>
            </w:r>
          </w:p>
        </w:tc>
      </w:tr>
      <w:tr w14:paraId="4E28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50" w:type="pct"/>
            <w:vAlign w:val="center"/>
          </w:tcPr>
          <w:p w14:paraId="0EEFDEF7">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4449" w:type="pct"/>
            <w:vAlign w:val="center"/>
          </w:tcPr>
          <w:p w14:paraId="4E5C35A2">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质量把控： </w:t>
            </w:r>
          </w:p>
          <w:p w14:paraId="7693D5F2">
            <w:pPr>
              <w:numPr>
                <w:ilvl w:val="0"/>
                <w:numId w:val="2"/>
              </w:num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投标人需在投标文件中提供投标产品4张以上整车图片（正前方、左、右前方45度角，后侧）及有关设计图纸。</w:t>
            </w:r>
          </w:p>
          <w:p w14:paraId="2DAA29EC">
            <w:pPr>
              <w:numPr>
                <w:ilvl w:val="0"/>
                <w:numId w:val="2"/>
              </w:numPr>
              <w:autoSpaceDE w:val="0"/>
              <w:autoSpaceDN w:val="0"/>
              <w:adjustRightInd w:val="0"/>
              <w:snapToGrid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中标后，生产前，需提供详尽设计图纸及生产实施方案，待甲方确认后方可生产。</w:t>
            </w:r>
          </w:p>
          <w:p w14:paraId="65A5394B">
            <w:pPr>
              <w:numPr>
                <w:ilvl w:val="0"/>
                <w:numId w:val="2"/>
              </w:numPr>
              <w:autoSpaceDE w:val="0"/>
              <w:autoSpaceDN w:val="0"/>
              <w:adjustRightInd w:val="0"/>
              <w:snapToGrid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样品或抽样送检费用由中标人承担，不计入中标合同数量及金额。</w:t>
            </w:r>
          </w:p>
          <w:p w14:paraId="6D3D9AED">
            <w:pPr>
              <w:numPr>
                <w:ilvl w:val="0"/>
                <w:numId w:val="0"/>
              </w:numPr>
              <w:autoSpaceDE w:val="0"/>
              <w:autoSpaceDN w:val="0"/>
              <w:adjustRightInd w:val="0"/>
              <w:snapToGrid w:val="0"/>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4.质保期内投标人应按照合同约定到产品使用单位，开展技术巡检和售后服务。</w:t>
            </w:r>
          </w:p>
        </w:tc>
      </w:tr>
      <w:tr w14:paraId="22D8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Merge w:val="restart"/>
            <w:vAlign w:val="center"/>
          </w:tcPr>
          <w:p w14:paraId="7EE720AF">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2.2.1</w:t>
            </w:r>
          </w:p>
        </w:tc>
        <w:tc>
          <w:tcPr>
            <w:tcW w:w="4449" w:type="pct"/>
            <w:vAlign w:val="center"/>
          </w:tcPr>
          <w:p w14:paraId="42507BB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提出问题的截止时</w:t>
            </w:r>
            <w:r>
              <w:rPr>
                <w:rFonts w:hint="eastAsia" w:ascii="宋体" w:hAnsi="宋体" w:eastAsia="宋体" w:cs="宋体"/>
                <w:color w:val="auto"/>
                <w:sz w:val="24"/>
                <w:szCs w:val="24"/>
                <w:highlight w:val="none"/>
              </w:rPr>
              <w:t>间：</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文件或者</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文件公告期限届满之日起7个工作日内</w:t>
            </w:r>
            <w:r>
              <w:rPr>
                <w:rFonts w:hint="eastAsia" w:ascii="宋体" w:hAnsi="宋体" w:eastAsia="宋体" w:cs="宋体"/>
                <w:color w:val="auto"/>
                <w:sz w:val="24"/>
                <w:szCs w:val="24"/>
                <w:highlight w:val="none"/>
                <w:lang w:val="en-US" w:eastAsia="zh-CN"/>
              </w:rPr>
              <w:t>提出</w:t>
            </w:r>
            <w:r>
              <w:rPr>
                <w:rFonts w:hint="eastAsia" w:ascii="宋体" w:hAnsi="宋体" w:eastAsia="宋体" w:cs="宋体"/>
                <w:color w:val="auto"/>
                <w:sz w:val="24"/>
                <w:szCs w:val="24"/>
                <w:highlight w:val="none"/>
              </w:rPr>
              <w:t>。</w:t>
            </w:r>
          </w:p>
        </w:tc>
      </w:tr>
      <w:tr w14:paraId="1969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vMerge w:val="continue"/>
            <w:vAlign w:val="center"/>
          </w:tcPr>
          <w:p w14:paraId="3DD8DDC6">
            <w:pPr>
              <w:adjustRightInd w:val="0"/>
              <w:snapToGrid w:val="0"/>
              <w:spacing w:line="360" w:lineRule="auto"/>
              <w:ind w:left="38" w:leftChars="18"/>
              <w:jc w:val="center"/>
              <w:rPr>
                <w:rFonts w:hint="eastAsia" w:ascii="宋体" w:hAnsi="宋体" w:eastAsia="宋体" w:cs="宋体"/>
                <w:color w:val="auto"/>
                <w:sz w:val="24"/>
                <w:szCs w:val="24"/>
                <w:highlight w:val="none"/>
              </w:rPr>
            </w:pPr>
          </w:p>
        </w:tc>
        <w:tc>
          <w:tcPr>
            <w:tcW w:w="4449" w:type="pct"/>
            <w:vAlign w:val="center"/>
          </w:tcPr>
          <w:p w14:paraId="037C85A3">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采购人书面澄清时间及方式：</w:t>
            </w:r>
            <w:r>
              <w:rPr>
                <w:rFonts w:hint="eastAsia" w:ascii="宋体" w:hAnsi="宋体" w:eastAsia="宋体" w:cs="宋体"/>
                <w:color w:val="auto"/>
                <w:sz w:val="24"/>
                <w:szCs w:val="24"/>
                <w:highlight w:val="none"/>
              </w:rPr>
              <w:t>递交投标文件的截止之日15日前，在</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w:t>
            </w:r>
            <w:r>
              <w:rPr>
                <w:rFonts w:hint="eastAsia" w:ascii="宋体" w:hAnsi="宋体" w:eastAsia="宋体" w:cs="宋体"/>
                <w:color w:val="auto"/>
                <w:sz w:val="24"/>
                <w:szCs w:val="24"/>
                <w:highlight w:val="none"/>
              </w:rPr>
              <w:t>发布，发出即为收到。</w:t>
            </w:r>
          </w:p>
        </w:tc>
      </w:tr>
      <w:tr w14:paraId="09EB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6A586B00">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4449" w:type="pct"/>
            <w:vAlign w:val="center"/>
          </w:tcPr>
          <w:p w14:paraId="4786689E">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招标文件澄清发出形式：在“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14:paraId="4042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46921CAE">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2.3.2</w:t>
            </w:r>
          </w:p>
        </w:tc>
        <w:tc>
          <w:tcPr>
            <w:tcW w:w="4449" w:type="pct"/>
            <w:vAlign w:val="center"/>
          </w:tcPr>
          <w:p w14:paraId="7AD26CFD">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招标文件修改发出形式：在“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14:paraId="5F59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5869C9FD">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4449" w:type="pct"/>
            <w:vAlign w:val="center"/>
          </w:tcPr>
          <w:p w14:paraId="588F110D">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根据《河南省财政厅关于优化政府采购营商环境有关问题的通知》豫财购【2019】4号文要求，不再收取</w:t>
            </w:r>
            <w:r>
              <w:rPr>
                <w:rFonts w:hint="eastAsia" w:ascii="宋体" w:hAnsi="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en-US" w:eastAsia="zh-CN"/>
              </w:rPr>
              <w:t>保证金</w:t>
            </w:r>
            <w:r>
              <w:rPr>
                <w:rFonts w:hint="eastAsia" w:ascii="宋体" w:hAnsi="宋体" w:eastAsia="宋体" w:cs="宋体"/>
                <w:color w:val="auto"/>
                <w:kern w:val="0"/>
                <w:sz w:val="24"/>
                <w:szCs w:val="24"/>
                <w:highlight w:val="none"/>
              </w:rPr>
              <w:t>。</w:t>
            </w:r>
          </w:p>
        </w:tc>
      </w:tr>
      <w:tr w14:paraId="3127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6A7FC560">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4449" w:type="pct"/>
            <w:vAlign w:val="center"/>
          </w:tcPr>
          <w:p w14:paraId="2180F249">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投标有效期：递交投标文件截止之日起</w:t>
            </w:r>
            <w:r>
              <w:rPr>
                <w:rFonts w:hint="eastAsia" w:ascii="宋体" w:hAnsi="宋体" w:eastAsia="宋体" w:cs="宋体"/>
                <w:color w:val="auto"/>
                <w:sz w:val="24"/>
                <w:szCs w:val="24"/>
                <w:highlight w:val="none"/>
                <w:u w:val="none"/>
              </w:rPr>
              <w:t>120</w:t>
            </w:r>
            <w:r>
              <w:rPr>
                <w:rFonts w:hint="eastAsia" w:ascii="宋体" w:hAnsi="宋体" w:eastAsia="宋体" w:cs="宋体"/>
                <w:color w:val="auto"/>
                <w:sz w:val="24"/>
                <w:szCs w:val="24"/>
                <w:highlight w:val="none"/>
              </w:rPr>
              <w:t>日历天</w:t>
            </w:r>
          </w:p>
        </w:tc>
      </w:tr>
      <w:tr w14:paraId="3764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550" w:type="pct"/>
            <w:vAlign w:val="center"/>
          </w:tcPr>
          <w:p w14:paraId="3B93F9B2">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p>
        </w:tc>
        <w:tc>
          <w:tcPr>
            <w:tcW w:w="4449" w:type="pct"/>
            <w:vAlign w:val="center"/>
          </w:tcPr>
          <w:p w14:paraId="17DDB8FE">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电子投标文件须按招标文件格式要求进行电子签章或签字。</w:t>
            </w:r>
          </w:p>
          <w:p w14:paraId="4EC0BC6A">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若委托代理人签字的，且委托代理人没有CA锁，则投标文件需上传有手写签名的扫描件。</w:t>
            </w:r>
          </w:p>
          <w:p w14:paraId="785C1CB1">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必须在投标截止时间前，按系统指定位置上传投标文件。同时参与多个包(若有)的须分别编制递交投标文件。</w:t>
            </w:r>
          </w:p>
        </w:tc>
      </w:tr>
      <w:tr w14:paraId="32D9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24B1D574">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p>
        </w:tc>
        <w:tc>
          <w:tcPr>
            <w:tcW w:w="4449" w:type="pct"/>
            <w:vAlign w:val="center"/>
          </w:tcPr>
          <w:p w14:paraId="227B22D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截</w:t>
            </w:r>
            <w:r>
              <w:rPr>
                <w:rFonts w:hint="eastAsia" w:ascii="宋体" w:hAnsi="宋体" w:eastAsia="宋体" w:cs="宋体"/>
                <w:color w:val="auto"/>
                <w:kern w:val="0"/>
                <w:sz w:val="24"/>
                <w:szCs w:val="24"/>
                <w:highlight w:val="none"/>
              </w:rPr>
              <w:t>止</w:t>
            </w:r>
            <w:r>
              <w:rPr>
                <w:rFonts w:hint="eastAsia" w:ascii="宋体" w:hAnsi="宋体" w:eastAsia="宋体" w:cs="宋体"/>
                <w:color w:val="auto"/>
                <w:spacing w:val="-2"/>
                <w:kern w:val="0"/>
                <w:sz w:val="24"/>
                <w:szCs w:val="24"/>
                <w:highlight w:val="none"/>
              </w:rPr>
              <w:t>时</w:t>
            </w:r>
            <w:r>
              <w:rPr>
                <w:rFonts w:hint="eastAsia" w:ascii="宋体" w:hAnsi="宋体" w:eastAsia="宋体" w:cs="宋体"/>
                <w:color w:val="auto"/>
                <w:kern w:val="0"/>
                <w:sz w:val="24"/>
                <w:szCs w:val="24"/>
                <w:highlight w:val="none"/>
              </w:rPr>
              <w:t>间：</w:t>
            </w:r>
            <w:r>
              <w:rPr>
                <w:rFonts w:hint="eastAsia" w:ascii="宋体" w:hAnsi="宋体" w:eastAsia="宋体" w:cs="宋体"/>
                <w:b w:val="0"/>
                <w:bCs w:val="0"/>
                <w:color w:val="auto"/>
                <w:sz w:val="24"/>
                <w:szCs w:val="24"/>
                <w:highlight w:val="none"/>
              </w:rPr>
              <w:t>2024年</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分（北京时间）</w:t>
            </w:r>
          </w:p>
        </w:tc>
      </w:tr>
      <w:tr w14:paraId="2F44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463FF1D2">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4449" w:type="pct"/>
            <w:vAlign w:val="center"/>
          </w:tcPr>
          <w:p w14:paraId="57AC259A">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递交投标文件地点：</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 xml:space="preserve">电子交易平台 </w:t>
            </w:r>
          </w:p>
        </w:tc>
      </w:tr>
      <w:tr w14:paraId="3CD6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vAlign w:val="center"/>
          </w:tcPr>
          <w:p w14:paraId="5EE0EAB1">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w:t>
            </w:r>
          </w:p>
        </w:tc>
        <w:tc>
          <w:tcPr>
            <w:tcW w:w="4449" w:type="pct"/>
            <w:vAlign w:val="center"/>
          </w:tcPr>
          <w:p w14:paraId="365FB34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开标时间：同投标截止时间 </w:t>
            </w:r>
          </w:p>
          <w:p w14:paraId="6A35BE69">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cs="宋体"/>
                <w:color w:val="auto"/>
                <w:kern w:val="0"/>
                <w:sz w:val="24"/>
                <w:szCs w:val="24"/>
                <w:highlight w:val="none"/>
                <w:lang w:eastAsia="zh-CN"/>
              </w:rPr>
              <w:t>《全国公共资源交易平台（河南省·平顶山市）》</w:t>
            </w:r>
          </w:p>
        </w:tc>
      </w:tr>
      <w:tr w14:paraId="1E3E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50" w:type="pct"/>
            <w:vAlign w:val="center"/>
          </w:tcPr>
          <w:p w14:paraId="12E786DC">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5.3.1</w:t>
            </w:r>
          </w:p>
        </w:tc>
        <w:tc>
          <w:tcPr>
            <w:tcW w:w="4449" w:type="pct"/>
            <w:vAlign w:val="center"/>
          </w:tcPr>
          <w:p w14:paraId="2CED4E50">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评标委员会组成：评标委员会由采购人代表和评标专家组成，成员人数为</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人。其中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采购人（评委）代表</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人，评</w:t>
            </w:r>
            <w:r>
              <w:rPr>
                <w:rFonts w:hint="eastAsia" w:ascii="宋体" w:hAnsi="宋体" w:cs="宋体"/>
                <w:color w:val="auto"/>
                <w:kern w:val="0"/>
                <w:sz w:val="24"/>
                <w:szCs w:val="24"/>
                <w:highlight w:val="none"/>
                <w:lang w:eastAsia="zh-CN"/>
              </w:rPr>
              <w:t>标</w:t>
            </w:r>
            <w:r>
              <w:rPr>
                <w:rFonts w:hint="eastAsia" w:ascii="宋体" w:hAnsi="宋体" w:eastAsia="宋体" w:cs="宋体"/>
                <w:color w:val="auto"/>
                <w:kern w:val="0"/>
                <w:sz w:val="24"/>
                <w:szCs w:val="24"/>
                <w:highlight w:val="none"/>
              </w:rPr>
              <w:t>专家</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人。评标专家从政府采购专家库中随机抽取。</w:t>
            </w:r>
          </w:p>
        </w:tc>
      </w:tr>
      <w:tr w14:paraId="6D13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14:paraId="6C309BFB">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w:t>
            </w:r>
          </w:p>
        </w:tc>
        <w:tc>
          <w:tcPr>
            <w:tcW w:w="4449" w:type="pct"/>
            <w:vAlign w:val="center"/>
          </w:tcPr>
          <w:p w14:paraId="45B7606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推</w:t>
            </w:r>
            <w:r>
              <w:rPr>
                <w:rFonts w:hint="eastAsia" w:ascii="宋体" w:hAnsi="宋体" w:eastAsia="宋体" w:cs="宋体"/>
                <w:color w:val="auto"/>
                <w:spacing w:val="-2"/>
                <w:kern w:val="0"/>
                <w:sz w:val="24"/>
                <w:szCs w:val="24"/>
                <w:highlight w:val="none"/>
              </w:rPr>
              <w:t>荐</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候</w:t>
            </w:r>
            <w:r>
              <w:rPr>
                <w:rFonts w:hint="eastAsia" w:ascii="宋体" w:hAnsi="宋体" w:eastAsia="宋体" w:cs="宋体"/>
                <w:color w:val="auto"/>
                <w:spacing w:val="-2"/>
                <w:kern w:val="0"/>
                <w:sz w:val="24"/>
                <w:szCs w:val="24"/>
                <w:highlight w:val="none"/>
              </w:rPr>
              <w:t>选</w:t>
            </w:r>
            <w:r>
              <w:rPr>
                <w:rFonts w:hint="eastAsia" w:ascii="宋体" w:hAnsi="宋体" w:eastAsia="宋体" w:cs="宋体"/>
                <w:color w:val="auto"/>
                <w:kern w:val="0"/>
                <w:sz w:val="24"/>
                <w:szCs w:val="24"/>
                <w:highlight w:val="none"/>
              </w:rPr>
              <w:t>人：</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名。</w:t>
            </w:r>
          </w:p>
        </w:tc>
      </w:tr>
      <w:tr w14:paraId="5875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50" w:type="pct"/>
            <w:vAlign w:val="center"/>
          </w:tcPr>
          <w:p w14:paraId="5DA01C21">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w:t>
            </w:r>
          </w:p>
        </w:tc>
        <w:tc>
          <w:tcPr>
            <w:tcW w:w="4449" w:type="pct"/>
            <w:vAlign w:val="center"/>
          </w:tcPr>
          <w:p w14:paraId="202C8829">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履约保证金：</w:t>
            </w:r>
          </w:p>
          <w:p w14:paraId="1A36E963">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履约保证金的金额：中标金额的5%</w:t>
            </w:r>
          </w:p>
          <w:p w14:paraId="255AC1AF">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缴纳时间及其他要求：</w:t>
            </w:r>
            <w:r>
              <w:rPr>
                <w:rFonts w:hint="eastAsia" w:ascii="宋体" w:hAnsi="宋体" w:cs="宋体"/>
                <w:color w:val="auto"/>
                <w:spacing w:val="-3"/>
                <w:sz w:val="24"/>
                <w:highlight w:val="none"/>
                <w:lang w:eastAsia="zh-CN"/>
              </w:rPr>
              <w:t>中标人应在</w:t>
            </w:r>
            <w:r>
              <w:rPr>
                <w:rFonts w:hint="eastAsia" w:ascii="宋体" w:hAnsi="宋体" w:eastAsia="宋体" w:cs="宋体"/>
                <w:color w:val="auto"/>
                <w:sz w:val="24"/>
                <w:szCs w:val="24"/>
                <w:highlight w:val="none"/>
              </w:rPr>
              <w:t>合同签订之日起 14 个工作日内</w:t>
            </w:r>
            <w:r>
              <w:rPr>
                <w:rFonts w:hint="eastAsia" w:ascii="宋体" w:hAnsi="宋体" w:cs="宋体"/>
                <w:color w:val="auto"/>
                <w:spacing w:val="-3"/>
                <w:sz w:val="24"/>
                <w:highlight w:val="none"/>
              </w:rPr>
              <w:t>向采购人提交履约保证金</w:t>
            </w:r>
            <w:r>
              <w:rPr>
                <w:rFonts w:hint="eastAsia" w:ascii="宋体" w:hAnsi="宋体" w:cs="宋体"/>
                <w:spacing w:val="-3"/>
                <w:sz w:val="24"/>
                <w:highlight w:val="none"/>
              </w:rPr>
              <w:t>。</w:t>
            </w:r>
            <w:r>
              <w:rPr>
                <w:rFonts w:hint="eastAsia" w:ascii="宋体" w:hAnsi="宋体" w:eastAsia="宋体" w:cs="宋体"/>
                <w:color w:val="auto"/>
                <w:spacing w:val="-3"/>
                <w:sz w:val="24"/>
                <w:szCs w:val="24"/>
                <w:highlight w:val="none"/>
              </w:rPr>
              <w:t>履约保证金的提交形式：①转账及法律法规规定的其他形式②如乙方采用保函形式缴纳履约保证金的，则乙方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③履约保证金（履约保函等）期限：提交之日起至验收合格之日起的第366天止。 ④无论履约保证金、独立保函是否退还，采购人或采购人用户随时都有权对由中标人生产的尚未使用且在质量保证期内的产品发生的质量问题向乙方主张索赔。</w:t>
            </w:r>
          </w:p>
          <w:p w14:paraId="55C49DD0">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履约保证金期限：提交之日起至全部货物到货验收合格之日起的第366天止。 </w:t>
            </w:r>
          </w:p>
          <w:p w14:paraId="58D64EFA">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履约保证金的作用：履约保证金用以确保中标人履行承担总体协议、采购合同（采购人用户与中标人签订）中的所有义务及产生的全部违约责任，对于中标人应承担的违约责任/索赔金额/罚金，如违约责任/索赔金额/罚金应向采购人支付，采购人可直接使用中标人提供的履约保证金进行抵扣或直接向出具独立保函的金融机构主张索赔；如违约责任/索赔金额/罚金应向采购人用户支付，则采购人用户有权报告采购人直接使用中标人提供的履约保证金进行抵扣或委托采购人向出具独立保函的金融机构主张索赔。 </w:t>
            </w:r>
          </w:p>
          <w:p w14:paraId="42835D8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履约保证金的退还：采购人应于履约保证金期限届满后60日内向中标人退还剩余履约保证金或保函。中标人向采购人提交履约保证金后，中标人和采购人用户签订和实施采购合同时，无需再约定和分别提交履约保证金。无论履约保证金、独立保函是否退还，采购人或采购人用户随时都有权对由中标人交付的、仍在质量保证期内且尚未使用的采购人或采购人用户库存产品出现的质量问题，向中标人主张索赔。</w:t>
            </w:r>
          </w:p>
        </w:tc>
      </w:tr>
      <w:tr w14:paraId="5EFC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2"/>
            <w:vAlign w:val="center"/>
          </w:tcPr>
          <w:p w14:paraId="3951F2AA">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 他</w:t>
            </w:r>
          </w:p>
        </w:tc>
      </w:tr>
      <w:tr w14:paraId="630D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2185A8A2">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8.1</w:t>
            </w:r>
          </w:p>
        </w:tc>
        <w:tc>
          <w:tcPr>
            <w:tcW w:w="4449" w:type="pct"/>
            <w:vAlign w:val="center"/>
          </w:tcPr>
          <w:p w14:paraId="43444E5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所投车辆尾气排放选用国六排放标准。 </w:t>
            </w:r>
          </w:p>
          <w:p w14:paraId="5E62EE6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 投标人交车时（整车）必须是已取得中华人民共和国工业和信息化部发布的对应车型《道路机动车辆生产企业及产品公告》的合格产品（须提供工信部官方查询平台查询截图和网址链接），并在投标文件中进行承诺。 </w:t>
            </w:r>
          </w:p>
          <w:p w14:paraId="01CA575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所投车辆（整车）交车验收时需取得办理车辆产权（含上牌）所必需的一切手续资料，应符合现行国家专用汽车的相关要求。否则，采购方有权按照投标人虚假投标处理，解除合同、扣除履约保证金，并收回预付款，拉入企业黑名单，并向上级部门上报相关情况；其它未尽事宜，按国家有关法律、法规执行。投标人应作出声明，提供承诺（格式详见第七章投标文件格式）。投标人所提供的所有技术及商务证明材料需真实有效，若提供虚假文件将追究相关法律责任。 </w:t>
            </w:r>
          </w:p>
          <w:p w14:paraId="6821CE74">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 投标语言：中文，投标人提供的外文资料应附有相应的中文译本。投标文件应按照招标文件规定格式填写，内容完整，不得出现关键字迹模糊、 无法辨认。</w:t>
            </w:r>
          </w:p>
        </w:tc>
      </w:tr>
      <w:tr w14:paraId="294F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7F942786">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2</w:t>
            </w:r>
          </w:p>
        </w:tc>
        <w:tc>
          <w:tcPr>
            <w:tcW w:w="4449" w:type="pct"/>
            <w:vAlign w:val="center"/>
          </w:tcPr>
          <w:p w14:paraId="3523E67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有下列情形之一的，采购人有权向有管辖权的行政机关反映，由有管辖权的行政机关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列入本系统内质量“黑名单”： </w:t>
            </w:r>
          </w:p>
          <w:p w14:paraId="224D40D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（1）提供虚假材料谋取中标、成交的； </w:t>
            </w:r>
          </w:p>
          <w:p w14:paraId="0888EEF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的； </w:t>
            </w:r>
          </w:p>
          <w:p w14:paraId="23B3E5D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或者采购代理机构恶意串通的；</w:t>
            </w:r>
          </w:p>
          <w:p w14:paraId="1FD5C46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（4）向采购人、采购代理机构行贿或者提供其他不正当利益的； </w:t>
            </w:r>
          </w:p>
          <w:p w14:paraId="65E5B3D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（5）在招标采购过程中与采购人进行协商谈判的； </w:t>
            </w:r>
          </w:p>
          <w:p w14:paraId="41EA9FB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（6）拒绝有关部门监督检查或者提供虚假情况的。 </w:t>
            </w:r>
          </w:p>
          <w:p w14:paraId="36DC35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有上述第 1 至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项情形之一的，中标无效。</w:t>
            </w:r>
          </w:p>
        </w:tc>
      </w:tr>
      <w:tr w14:paraId="2917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42506A03">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p>
        </w:tc>
        <w:tc>
          <w:tcPr>
            <w:tcW w:w="4449" w:type="pct"/>
            <w:vAlign w:val="center"/>
          </w:tcPr>
          <w:p w14:paraId="07E86040">
            <w:pPr>
              <w:pStyle w:val="28"/>
              <w:numPr>
                <w:ilvl w:val="0"/>
                <w:numId w:val="3"/>
              </w:numPr>
              <w:spacing w:line="360" w:lineRule="auto"/>
              <w:ind w:left="28"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贯彻落实财库[2022]19号《关于进一步加大政府采购支持中小企业力度的通知》、财库[2020]46号《政府采购促进中小企业发展管理办法》的规定，豫财购[2013]14号《河南省财政厅、河南省工业和信息化厅关于政府采购促进小型微型企业发展的实施意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p w14:paraId="6728A08B">
            <w:pPr>
              <w:pStyle w:val="28"/>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中小企业划型标准以工信部联企业〔2011〕300号《工业和信息化部、国家统计局、国家发展和改革委员会、财政部关于印发中小企业划型标准规定的通知》为依据。</w:t>
            </w:r>
          </w:p>
          <w:p w14:paraId="53EC70F1">
            <w:pPr>
              <w:pStyle w:val="28"/>
              <w:spacing w:line="360" w:lineRule="auto"/>
              <w:ind w:right="6"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4DDCB2B">
            <w:pPr>
              <w:pStyle w:val="28"/>
              <w:spacing w:line="360" w:lineRule="auto"/>
              <w:ind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符合中小企业划分标准的个体工商户，在政府采购活动中视同中小企业。小型、微型企业提供中型企业制造的货物的，视同为中型企业。</w:t>
            </w:r>
          </w:p>
          <w:p w14:paraId="091C38D5">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提供的货物、工程或者服务符合下列情形的，享受本办法规定的中小企业扶持政策：</w:t>
            </w:r>
          </w:p>
          <w:p w14:paraId="2A39FF0A">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（一）在货物采购项目中，货物由中小企业制造，即货物由中小企业生产且使用该中小企业商号或者注册商标。</w:t>
            </w:r>
          </w:p>
          <w:p w14:paraId="0A7C6160">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14:paraId="627307DD">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（三）在服务采购项目中，服务由中小企业承接，即提供服务的人员为中小企业依照《中华人民共和国民法典》订立劳动合同的从业人员。</w:t>
            </w:r>
          </w:p>
          <w:p w14:paraId="3BFEE99A">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提供的货物既有中小企业制造货物，也有大型企业制造货物的，不享受本办法规定的中小企业扶持政策。</w:t>
            </w:r>
          </w:p>
          <w:p w14:paraId="1A817439">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1D3636B5">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关于投标报价评分中给予中小企业优惠的说明：评审时给予小型或微型企业10%的价格扣除，用扣除后的价格参与评审。</w:t>
            </w:r>
          </w:p>
          <w:p w14:paraId="0C5273D4">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大型企业评标报价=投标报价</w:t>
            </w:r>
          </w:p>
          <w:p w14:paraId="4B773397">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中型企业评标报价=投标报价</w:t>
            </w:r>
          </w:p>
          <w:p w14:paraId="035DFE4A">
            <w:pPr>
              <w:pStyle w:val="28"/>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小型或微型企业评标报价=投标报价*（1-10%）</w:t>
            </w:r>
          </w:p>
          <w:p w14:paraId="1448E984">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w:t>
            </w:r>
          </w:p>
          <w:p w14:paraId="25F214AB">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w:t>
            </w:r>
          </w:p>
          <w:p w14:paraId="0E9EC891">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w:t>
            </w:r>
          </w:p>
          <w:p w14:paraId="6B084149">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E、根据政府采购政策，本项目如涉及到自主创新首购产品，应当采购由财政部会同科技部等部门制定的《政府采购自主创新产品目录》内的产品。</w:t>
            </w:r>
          </w:p>
          <w:p w14:paraId="16C1A1BC">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F、根据政府采购政策，本项目如涉及到无线局域网产品，应当优先采购《无线局域网认证产品政府采购清单》内的产品，如涉及到信息安全产品，应当采购经国家认证的信息安全产品。</w:t>
            </w:r>
          </w:p>
          <w:p w14:paraId="175B17CA">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G、根据政府采购政策，本项目如涉及到计算机办公设备产品，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所投产品必须是预装正版操作系统软件的计算机产品。</w:t>
            </w:r>
          </w:p>
          <w:p w14:paraId="73591F94">
            <w:pPr>
              <w:pStyle w:val="28"/>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H、本项目采购标的所对应的中小</w:t>
            </w:r>
            <w:r>
              <w:rPr>
                <w:rFonts w:hint="eastAsia" w:ascii="宋体" w:hAnsi="宋体" w:cs="宋体"/>
                <w:b/>
                <w:bCs/>
                <w:color w:val="auto"/>
                <w:sz w:val="24"/>
                <w:szCs w:val="24"/>
                <w:highlight w:val="none"/>
                <w:lang w:val="en-US" w:eastAsia="zh-CN"/>
              </w:rPr>
              <w:t>微</w:t>
            </w:r>
            <w:r>
              <w:rPr>
                <w:rFonts w:hint="eastAsia" w:ascii="宋体" w:hAnsi="宋体" w:eastAsia="宋体" w:cs="宋体"/>
                <w:b/>
                <w:bCs/>
                <w:color w:val="auto"/>
                <w:sz w:val="24"/>
                <w:szCs w:val="24"/>
                <w:highlight w:val="none"/>
              </w:rPr>
              <w:t>企业划分标准所属行业：工业。</w:t>
            </w:r>
          </w:p>
          <w:p w14:paraId="716D8CB6">
            <w:pPr>
              <w:pStyle w:val="28"/>
              <w:spacing w:line="360" w:lineRule="auto"/>
              <w:ind w:left="28" w:leftChars="0" w:right="-72"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I、其它未尽事宜，按国家有关法律、法规执行。</w:t>
            </w:r>
          </w:p>
        </w:tc>
      </w:tr>
      <w:tr w14:paraId="5CEF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6A93434A">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4</w:t>
            </w:r>
          </w:p>
        </w:tc>
        <w:tc>
          <w:tcPr>
            <w:tcW w:w="4449" w:type="pct"/>
            <w:vAlign w:val="center"/>
          </w:tcPr>
          <w:p w14:paraId="5AD80C02">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本项目为远程不见面开标方式，远程开标大厅为</w:t>
            </w:r>
            <w:r>
              <w:rPr>
                <w:rFonts w:hint="eastAsia" w:ascii="宋体" w:hAnsi="宋体" w:eastAsia="宋体" w:cs="宋体"/>
                <w:b w:val="0"/>
                <w:bCs w:val="0"/>
                <w:color w:val="auto"/>
                <w:sz w:val="24"/>
                <w:szCs w:val="24"/>
                <w:highlight w:val="none"/>
                <w:lang w:val="en-US" w:eastAsia="zh-CN"/>
              </w:rPr>
              <w:t>http://ggzy.pds.gov.cn/</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应在投标截止时间前登录远程开标大厅，在线准时参加开标活动并进行投标文件解密等。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无需到交易中心现场参加开标会议。</w:t>
            </w:r>
          </w:p>
        </w:tc>
      </w:tr>
      <w:tr w14:paraId="4A20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1A2246C3">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.5</w:t>
            </w:r>
          </w:p>
        </w:tc>
        <w:tc>
          <w:tcPr>
            <w:tcW w:w="4449" w:type="pct"/>
            <w:vAlign w:val="center"/>
          </w:tcPr>
          <w:p w14:paraId="522603DF">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本项目产品需求及技术要求以招标文件第六章招标项目需求及技术要求为准。</w:t>
            </w:r>
          </w:p>
        </w:tc>
      </w:tr>
      <w:tr w14:paraId="1E56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029852E4">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6</w:t>
            </w:r>
          </w:p>
        </w:tc>
        <w:tc>
          <w:tcPr>
            <w:tcW w:w="4449" w:type="pct"/>
            <w:vAlign w:val="center"/>
          </w:tcPr>
          <w:p w14:paraId="136508F7">
            <w:pPr>
              <w:adjustRightInd w:val="0"/>
              <w:snapToGri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所投标包投标总报价不可超过所投标包最高限价，且该标包中各单品报价不得超过单品最高限价，否则按无效标处理。</w:t>
            </w:r>
          </w:p>
        </w:tc>
      </w:tr>
      <w:tr w14:paraId="4B5B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5B8D4771">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7</w:t>
            </w:r>
          </w:p>
        </w:tc>
        <w:tc>
          <w:tcPr>
            <w:tcW w:w="4449" w:type="pct"/>
            <w:vAlign w:val="center"/>
          </w:tcPr>
          <w:p w14:paraId="1C7623A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1.合同付款方式：详见招标文件“第五章合同”中的要求。</w:t>
            </w:r>
          </w:p>
          <w:p w14:paraId="67C440D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2.验收标准：符合招标文件的要求和投标文件的实质性承诺。</w:t>
            </w:r>
          </w:p>
          <w:p w14:paraId="5C354F9D">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3.采购人应当自政府采购合同签订之日起2个工作日内，将政府采购合同在省级以上人民政府财政部门指定的媒体上公告，但政府采购合同中涉及国家秘密、商业秘密的内容除外。</w:t>
            </w:r>
          </w:p>
        </w:tc>
      </w:tr>
      <w:tr w14:paraId="29CA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4105C91A">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8</w:t>
            </w:r>
          </w:p>
        </w:tc>
        <w:tc>
          <w:tcPr>
            <w:tcW w:w="4449" w:type="pct"/>
            <w:vAlign w:val="center"/>
          </w:tcPr>
          <w:p w14:paraId="71519B1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违约责任约定：</w:t>
            </w:r>
          </w:p>
          <w:p w14:paraId="3C3E3CC9">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1．甲方应依合同规定时间内，向乙方支付货款，每拖延一天乙方可向甲方加收合同金额的1‰的违约金，但不超过合同金额的2%。</w:t>
            </w:r>
          </w:p>
          <w:p w14:paraId="2AE0CF93">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w:t>
            </w:r>
            <w:r>
              <w:rPr>
                <w:rFonts w:hint="eastAsia" w:ascii="宋体" w:hAnsi="宋体" w:cs="宋体"/>
                <w:color w:val="auto"/>
                <w:sz w:val="24"/>
                <w:szCs w:val="24"/>
                <w:highlight w:val="none"/>
                <w:lang w:val="en-US" w:eastAsia="zh-CN"/>
              </w:rPr>
              <w:t>乙双方协商后，</w:t>
            </w:r>
            <w:r>
              <w:rPr>
                <w:rFonts w:hint="eastAsia" w:ascii="宋体" w:hAnsi="宋体" w:eastAsia="宋体" w:cs="宋体"/>
                <w:color w:val="auto"/>
                <w:sz w:val="24"/>
                <w:szCs w:val="24"/>
                <w:highlight w:val="none"/>
              </w:rPr>
              <w:t xml:space="preserve">选择继续履行本合同的，甲方将从本合同货款总额内一次性扣除10%作为乙方的违约金。 </w:t>
            </w:r>
          </w:p>
          <w:p w14:paraId="5FB9E272">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乙方交付货物不符合合同规定的或性能参数达不到招标文件要求、投标文件承诺的</w:t>
            </w:r>
            <w:r>
              <w:rPr>
                <w:rFonts w:hint="eastAsia" w:ascii="宋体" w:hAnsi="宋体" w:eastAsia="宋体" w:cs="宋体"/>
                <w:color w:val="auto"/>
                <w:sz w:val="24"/>
                <w:szCs w:val="24"/>
                <w:highlight w:val="none"/>
              </w:rPr>
              <w:t>，甲方有权拒收或单方面解除本合同，并要求乙方赔付合同价款的10%作为违约金，同时甲方向采购监管部门申请将乙方列入“黑名单”，禁止乙方在三年内参与甲方及甲方下属机构的任何招投标采购活动。</w:t>
            </w:r>
          </w:p>
          <w:p w14:paraId="701217FB">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因验收不合格需要更换同规格的货物时，货物更换完成时间晚于交货时间的视为逾期交货。</w:t>
            </w:r>
          </w:p>
          <w:p w14:paraId="076C8341">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甲方无正当理由拒收乙方按照合同约定提供合格货物的，甲方应向乙方支付合同金额的10%作为违约金。</w:t>
            </w:r>
          </w:p>
          <w:p w14:paraId="7974B55C">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．乙方未能按照故障响应时间履行售后维修、培训等服务的，甲方根据使用单位书面反馈情况，经核实属实的，每次乙方应支付合同金额的1%作为违约金，但不超过合同金额的5%。</w:t>
            </w:r>
          </w:p>
          <w:p w14:paraId="6E137D74">
            <w:pPr>
              <w:adjustRightInd w:val="0"/>
              <w:snapToGrid w:val="0"/>
              <w:spacing w:line="360" w:lineRule="auto"/>
              <w:ind w:left="38" w:leftChars="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．质保期满后，乙方未提供货物使用所有单位每半年巡检记录的，乙方应向甲方支付合同金额的5%作为违约金。</w:t>
            </w:r>
          </w:p>
        </w:tc>
      </w:tr>
      <w:tr w14:paraId="564B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6E5B5C8B">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9</w:t>
            </w:r>
          </w:p>
        </w:tc>
        <w:tc>
          <w:tcPr>
            <w:tcW w:w="4449" w:type="pct"/>
            <w:vAlign w:val="center"/>
          </w:tcPr>
          <w:p w14:paraId="148557ED">
            <w:pPr>
              <w:adjustRightInd w:val="0"/>
              <w:snapToGrid w:val="0"/>
              <w:spacing w:line="360" w:lineRule="auto"/>
              <w:ind w:left="38"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专利权和保密要求：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应保证使用方在使用该货物或其任何一部分时，不受第三方侵权指控。同时，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不得向第三方泄露招标人提供的技术文件等资料。</w:t>
            </w:r>
          </w:p>
        </w:tc>
      </w:tr>
      <w:tr w14:paraId="2943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70998F18">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10</w:t>
            </w:r>
          </w:p>
        </w:tc>
        <w:tc>
          <w:tcPr>
            <w:tcW w:w="4449" w:type="pct"/>
            <w:vAlign w:val="center"/>
          </w:tcPr>
          <w:p w14:paraId="6D9A1668">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投标文件制作机器码一致时投标文件视为无效投标。</w:t>
            </w:r>
          </w:p>
        </w:tc>
      </w:tr>
      <w:tr w14:paraId="34F5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4115F03E">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w:t>
            </w:r>
            <w:r>
              <w:rPr>
                <w:rFonts w:hint="eastAsia" w:ascii="宋体" w:hAnsi="宋体" w:cs="宋体"/>
                <w:color w:val="auto"/>
                <w:sz w:val="24"/>
                <w:szCs w:val="24"/>
                <w:highlight w:val="none"/>
                <w:lang w:val="en-US" w:eastAsia="zh-CN"/>
              </w:rPr>
              <w:t>1</w:t>
            </w:r>
          </w:p>
        </w:tc>
        <w:tc>
          <w:tcPr>
            <w:tcW w:w="4449" w:type="pct"/>
            <w:vAlign w:val="center"/>
          </w:tcPr>
          <w:p w14:paraId="493D8E32">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可同时参与多个标包投标，</w:t>
            </w:r>
            <w:r>
              <w:rPr>
                <w:rFonts w:hint="eastAsia" w:ascii="宋体" w:hAnsi="宋体" w:eastAsia="宋体" w:cs="宋体"/>
                <w:b w:val="0"/>
                <w:bCs w:val="0"/>
                <w:color w:val="auto"/>
                <w:sz w:val="24"/>
                <w:szCs w:val="24"/>
                <w:highlight w:val="none"/>
              </w:rPr>
              <w:t>可同时中标不同产品多个标包。同一产品划分多个标包的，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可同时参与多个标包投标，但只允许中取一个标包</w:t>
            </w:r>
            <w:r>
              <w:rPr>
                <w:rFonts w:hint="eastAsia" w:ascii="宋体" w:hAnsi="宋体" w:eastAsia="宋体" w:cs="宋体"/>
                <w:color w:val="auto"/>
                <w:sz w:val="24"/>
                <w:szCs w:val="24"/>
                <w:highlight w:val="none"/>
              </w:rPr>
              <w:t>（若同一投标人在多个包中综合得分排名第一时，确定其为包号顺序靠前一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p>
        </w:tc>
      </w:tr>
      <w:tr w14:paraId="3D65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503DC6AB">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w:t>
            </w:r>
            <w:r>
              <w:rPr>
                <w:rFonts w:hint="eastAsia" w:ascii="宋体" w:hAnsi="宋体" w:cs="宋体"/>
                <w:color w:val="auto"/>
                <w:sz w:val="24"/>
                <w:szCs w:val="24"/>
                <w:highlight w:val="none"/>
                <w:lang w:val="en-US" w:eastAsia="zh-CN"/>
              </w:rPr>
              <w:t>2</w:t>
            </w:r>
          </w:p>
        </w:tc>
        <w:tc>
          <w:tcPr>
            <w:tcW w:w="4449" w:type="pct"/>
            <w:vAlign w:val="center"/>
          </w:tcPr>
          <w:p w14:paraId="1B997E5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代理费收取：</w:t>
            </w:r>
            <w:r>
              <w:rPr>
                <w:rFonts w:hint="eastAsia" w:ascii="宋体" w:hAnsi="宋体" w:eastAsia="宋体" w:cs="宋体"/>
                <w:bCs/>
                <w:color w:val="auto"/>
                <w:kern w:val="0"/>
                <w:sz w:val="24"/>
                <w:szCs w:val="24"/>
                <w:highlight w:val="none"/>
                <w:lang w:val="en-US" w:eastAsia="zh-CN"/>
              </w:rPr>
              <w:t>采购代理服务费由中标单位支付，收费标准按照</w:t>
            </w:r>
            <w:r>
              <w:rPr>
                <w:rFonts w:hint="eastAsia" w:ascii="宋体" w:hAnsi="宋体" w:eastAsia="宋体" w:cs="宋体"/>
                <w:color w:val="auto"/>
                <w:sz w:val="24"/>
                <w:szCs w:val="24"/>
                <w:highlight w:val="none"/>
              </w:rPr>
              <w:t>《河南省招标代理服务收费指导意见》（豫招协【2023】002号）文件的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中标人应在领取中标通知书</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一次性缴纳。</w:t>
            </w:r>
          </w:p>
          <w:p w14:paraId="6EFFE30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代理服务费收取账号：</w:t>
            </w:r>
          </w:p>
          <w:p w14:paraId="68F5EC57">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cs="宋体"/>
                <w:color w:val="auto"/>
                <w:sz w:val="24"/>
                <w:szCs w:val="24"/>
                <w:highlight w:val="none"/>
                <w:lang w:eastAsia="zh-CN"/>
              </w:rPr>
              <w:t>中发祥和工程管理有限公司</w:t>
            </w:r>
          </w:p>
          <w:p w14:paraId="53B0AE9F">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auto"/>
                <w:sz w:val="24"/>
                <w:szCs w:val="24"/>
                <w:highlight w:val="none"/>
                <w:lang w:eastAsia="zh-CN"/>
              </w:rPr>
              <w:t>中国农业银行郑州商都支行</w:t>
            </w:r>
          </w:p>
          <w:p w14:paraId="7B756C4F">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w:t>
            </w:r>
            <w:r>
              <w:rPr>
                <w:rFonts w:hint="eastAsia" w:ascii="宋体" w:hAnsi="宋体" w:cs="宋体"/>
                <w:color w:val="auto"/>
                <w:sz w:val="24"/>
                <w:szCs w:val="24"/>
                <w:highlight w:val="none"/>
                <w:lang w:val="en-US" w:eastAsia="zh-CN"/>
              </w:rPr>
              <w:t>16003101040007372</w:t>
            </w:r>
          </w:p>
        </w:tc>
      </w:tr>
      <w:tr w14:paraId="18B6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6D4D373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cs="宋体"/>
                <w:color w:val="auto"/>
                <w:sz w:val="24"/>
                <w:szCs w:val="24"/>
                <w:highlight w:val="none"/>
                <w:lang w:val="en-US" w:eastAsia="zh-CN"/>
              </w:rPr>
              <w:t>3</w:t>
            </w:r>
          </w:p>
        </w:tc>
        <w:tc>
          <w:tcPr>
            <w:tcW w:w="4449" w:type="pct"/>
            <w:vAlign w:val="center"/>
          </w:tcPr>
          <w:p w14:paraId="47E8DE82">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质疑函接收信息</w:t>
            </w:r>
          </w:p>
          <w:p w14:paraId="1B3F9D5A">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1.供应商认为采购文件、采购过程、中标或者成交结果使自己的权益受到损害的，可以在知道或者应知其权益受到损害之日起7个工作日内，以书面形式向采购人、采购代理机构提出质疑。</w:t>
            </w:r>
          </w:p>
          <w:p w14:paraId="54DA4876">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提出质疑应当提交质疑函和必要的证明材料：质疑供应商应按照财政部制定的《政府采购质疑函范本》格式（可从财政部官方网站下载）及《政府采购质疑和投诉办法》的要求和必要的证明材料。供应商投诉的事项不得超出已质疑事项的范围，但基于质疑答复内容提出的投诉事项除外。</w:t>
            </w:r>
          </w:p>
          <w:p w14:paraId="3CB4F7DA">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3.供应商应当在法定质疑期内一次性提出针对同一采购程序环节的质疑。</w:t>
            </w:r>
          </w:p>
          <w:p w14:paraId="50B809FB">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4.采购人、采购代理机构接收质疑函的方式、联系部门、联系电话和通讯地址：</w:t>
            </w:r>
          </w:p>
          <w:p w14:paraId="185755B8">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单位</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中发祥和工程管理有限公司</w:t>
            </w:r>
          </w:p>
          <w:p w14:paraId="04B81186">
            <w:pPr>
              <w:adjustRightInd w:val="0"/>
              <w:snapToGrid w:val="0"/>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 系 人：</w:t>
            </w:r>
            <w:r>
              <w:rPr>
                <w:rFonts w:hint="eastAsia" w:ascii="宋体" w:hAnsi="宋体" w:cs="宋体"/>
                <w:b w:val="0"/>
                <w:bCs w:val="0"/>
                <w:color w:val="auto"/>
                <w:sz w:val="24"/>
                <w:szCs w:val="24"/>
                <w:highlight w:val="none"/>
                <w:lang w:eastAsia="zh-CN"/>
              </w:rPr>
              <w:t>张克玉</w:t>
            </w:r>
          </w:p>
          <w:p w14:paraId="2E809982">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highlight w:val="none"/>
                <w:lang w:val="en-US" w:eastAsia="zh-CN"/>
              </w:rPr>
              <w:t>0371-63399916,15639044333</w:t>
            </w:r>
          </w:p>
          <w:p w14:paraId="34835F9C">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通讯地址：</w:t>
            </w:r>
            <w:r>
              <w:rPr>
                <w:rFonts w:hint="eastAsia" w:ascii="宋体" w:hAnsi="宋体" w:cs="宋体"/>
                <w:b w:val="0"/>
                <w:bCs w:val="0"/>
                <w:color w:val="auto"/>
                <w:sz w:val="24"/>
                <w:highlight w:val="none"/>
              </w:rPr>
              <w:t>河南省郑州市中原区建设西路198号院B座12层10号、11号</w:t>
            </w:r>
          </w:p>
          <w:p w14:paraId="7B437E20">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接收质疑函的方式：供应商应以书面形式提供质疑函原件。采购人、采购代理机构应当向质疑供应商以书面形式签收回执。</w:t>
            </w:r>
          </w:p>
        </w:tc>
      </w:tr>
      <w:tr w14:paraId="2F65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7C668A8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8.14</w:t>
            </w:r>
          </w:p>
        </w:tc>
        <w:tc>
          <w:tcPr>
            <w:tcW w:w="4449" w:type="pct"/>
            <w:vAlign w:val="center"/>
          </w:tcPr>
          <w:p w14:paraId="7D294D3D">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为了不影响投标，交易主体（投标人）务必尽快根据自己的实际情况和招标文件要求，在网上添加市场主体类型，完善各投标人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提交交易中心工作人员验证，验证时间为一个工作日，建议投标人提前办理，以免影响下载招标文件及投标。市场主体登记的信息在交易中心网站“市场主体库公示”专栏对外公开，接受社会监督，登记的信息必须真实准确、合法有效，如信息填写错误或者未及时更新信息或者弄虚作假的，自行承担相应的后果及责任。</w:t>
            </w:r>
          </w:p>
        </w:tc>
      </w:tr>
      <w:tr w14:paraId="797F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3B30F95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8.15</w:t>
            </w:r>
          </w:p>
        </w:tc>
        <w:tc>
          <w:tcPr>
            <w:tcW w:w="4449" w:type="pct"/>
            <w:vAlign w:val="center"/>
          </w:tcPr>
          <w:p w14:paraId="73915D21">
            <w:pPr>
              <w:adjustRightInd w:val="0"/>
              <w:snapToGri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投标人在制作电子投标文件时，开标一览表</w:t>
            </w:r>
            <w:r>
              <w:rPr>
                <w:rFonts w:hint="eastAsia" w:ascii="宋体" w:hAnsi="宋体" w:cs="宋体"/>
                <w:b/>
                <w:bCs/>
                <w:color w:val="auto"/>
                <w:sz w:val="24"/>
                <w:szCs w:val="24"/>
                <w:highlight w:val="none"/>
                <w:lang w:val="en-US" w:eastAsia="zh-CN"/>
              </w:rPr>
              <w:t>为</w:t>
            </w:r>
            <w:r>
              <w:rPr>
                <w:rFonts w:hint="eastAsia" w:ascii="宋体" w:hAnsi="宋体" w:eastAsia="宋体" w:cs="宋体"/>
                <w:b/>
                <w:bCs/>
                <w:color w:val="auto"/>
                <w:sz w:val="24"/>
                <w:szCs w:val="24"/>
                <w:highlight w:val="none"/>
                <w:lang w:val="en-US" w:eastAsia="zh-CN"/>
              </w:rPr>
              <w:t>系统默认设置，供交易系统唱标时使用，若其中内容无法填写或不适用可填写“0”或“/”。本项目以投标人电子投标文件中的投标函及投标函附录中的内容为准。</w:t>
            </w:r>
          </w:p>
        </w:tc>
      </w:tr>
      <w:tr w14:paraId="4C82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14:paraId="62B6CF9A">
            <w:pPr>
              <w:adjustRightInd w:val="0"/>
              <w:snapToGrid w:val="0"/>
              <w:spacing w:line="360" w:lineRule="auto"/>
              <w:ind w:left="38" w:leftChars="18"/>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8.16</w:t>
            </w:r>
          </w:p>
        </w:tc>
        <w:tc>
          <w:tcPr>
            <w:tcW w:w="4449" w:type="pct"/>
            <w:vAlign w:val="center"/>
          </w:tcPr>
          <w:p w14:paraId="5FACB11A">
            <w:pPr>
              <w:pStyle w:val="22"/>
              <w:numPr>
                <w:ilvl w:val="0"/>
                <w:numId w:val="0"/>
              </w:numPr>
              <w:tabs>
                <w:tab w:val="left" w:pos="420"/>
              </w:tabs>
              <w:adjustRightInd w:val="0"/>
              <w:snapToGrid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1、招标文件中带“</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 w:val="24"/>
                <w:szCs w:val="24"/>
                <w:highlight w:val="none"/>
              </w:rPr>
              <w:t>”条款为实质性要求，供应商必须满足，如不满足，将导致无效投标或投标不予接受。</w:t>
            </w:r>
          </w:p>
          <w:p w14:paraId="1035557E">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参与本项目政府采购活动的供应商，在中标后可以持政府采购合同向融资机构申请贷款，融资渠道和方式见“河南省政府采购合同融资平台”。</w:t>
            </w:r>
          </w:p>
        </w:tc>
      </w:tr>
    </w:tbl>
    <w:p w14:paraId="1220D62F">
      <w:pPr>
        <w:adjustRightInd w:val="0"/>
        <w:snapToGrid w:val="0"/>
        <w:spacing w:line="360" w:lineRule="auto"/>
        <w:jc w:val="both"/>
        <w:rPr>
          <w:rFonts w:hint="eastAsia" w:ascii="宋体" w:hAnsi="宋体" w:eastAsia="宋体" w:cs="宋体"/>
          <w:color w:val="auto"/>
          <w:sz w:val="24"/>
          <w:szCs w:val="24"/>
          <w:highlight w:val="none"/>
        </w:rPr>
        <w:sectPr>
          <w:footerReference r:id="rId7" w:type="default"/>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315" w:charSpace="0"/>
        </w:sectPr>
      </w:pPr>
    </w:p>
    <w:p w14:paraId="2F028C05">
      <w:pPr>
        <w:numPr>
          <w:ilvl w:val="0"/>
          <w:numId w:val="0"/>
        </w:numPr>
        <w:spacing w:line="400" w:lineRule="exact"/>
        <w:outlineLvl w:val="1"/>
        <w:rPr>
          <w:rFonts w:ascii="宋体" w:cs="宋体"/>
          <w:color w:val="auto"/>
          <w:sz w:val="24"/>
          <w:highlight w:val="none"/>
        </w:rPr>
      </w:pPr>
      <w:bookmarkStart w:id="20" w:name="_Toc15365"/>
      <w:bookmarkStart w:id="21" w:name="_Toc17929"/>
      <w:bookmarkStart w:id="22" w:name="_Toc40112130"/>
      <w:bookmarkStart w:id="23" w:name="_Toc22522"/>
      <w:bookmarkStart w:id="24" w:name="_Toc3925"/>
      <w:r>
        <w:rPr>
          <w:rStyle w:val="29"/>
          <w:rFonts w:hint="eastAsia"/>
          <w:color w:val="auto"/>
          <w:sz w:val="21"/>
          <w:szCs w:val="21"/>
          <w:highlight w:val="none"/>
        </w:rPr>
        <w:t>总则</w:t>
      </w:r>
      <w:bookmarkEnd w:id="20"/>
      <w:bookmarkEnd w:id="21"/>
      <w:bookmarkEnd w:id="22"/>
      <w:bookmarkEnd w:id="23"/>
      <w:bookmarkEnd w:id="24"/>
    </w:p>
    <w:p w14:paraId="4E04913E">
      <w:pPr>
        <w:numPr>
          <w:ilvl w:val="1"/>
          <w:numId w:val="4"/>
        </w:numPr>
        <w:spacing w:line="400" w:lineRule="exact"/>
        <w:ind w:firstLine="422" w:firstLineChars="200"/>
        <w:rPr>
          <w:rFonts w:ascii="宋体" w:cs="宋体"/>
          <w:b/>
          <w:bCs/>
          <w:color w:val="auto"/>
          <w:highlight w:val="none"/>
        </w:rPr>
      </w:pPr>
      <w:bookmarkStart w:id="25" w:name="_Toc4828"/>
      <w:bookmarkStart w:id="26" w:name="_Toc30432"/>
      <w:bookmarkStart w:id="27" w:name="_Toc5358"/>
      <w:bookmarkStart w:id="28" w:name="_Toc20743"/>
      <w:bookmarkStart w:id="29" w:name="_Toc14496"/>
      <w:bookmarkStart w:id="30" w:name="_Toc30513"/>
      <w:bookmarkStart w:id="31" w:name="_Toc28377"/>
      <w:bookmarkStart w:id="32" w:name="_Toc2427"/>
      <w:bookmarkStart w:id="33" w:name="_Toc2081"/>
      <w:bookmarkStart w:id="34" w:name="_Toc28200"/>
      <w:bookmarkStart w:id="35" w:name="_Toc15062"/>
      <w:r>
        <w:rPr>
          <w:rFonts w:hint="eastAsia" w:ascii="宋体" w:hAnsi="宋体" w:cs="宋体"/>
          <w:b/>
          <w:bCs/>
          <w:color w:val="auto"/>
          <w:highlight w:val="none"/>
        </w:rPr>
        <w:t>适用范围</w:t>
      </w:r>
      <w:bookmarkEnd w:id="25"/>
      <w:bookmarkEnd w:id="26"/>
      <w:bookmarkEnd w:id="27"/>
      <w:bookmarkEnd w:id="28"/>
      <w:bookmarkEnd w:id="29"/>
      <w:bookmarkEnd w:id="30"/>
      <w:bookmarkEnd w:id="31"/>
      <w:bookmarkEnd w:id="32"/>
      <w:bookmarkEnd w:id="33"/>
      <w:bookmarkEnd w:id="34"/>
      <w:bookmarkEnd w:id="35"/>
    </w:p>
    <w:p w14:paraId="5A6F24B3">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本招标文件仅适用于本次所述的货物及其伴随的服务采购。</w:t>
      </w:r>
    </w:p>
    <w:p w14:paraId="20496341">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本招标文件的解释权归采购人所有。</w:t>
      </w:r>
    </w:p>
    <w:p w14:paraId="759B232C">
      <w:pPr>
        <w:numPr>
          <w:ilvl w:val="1"/>
          <w:numId w:val="4"/>
        </w:numPr>
        <w:spacing w:line="400" w:lineRule="exact"/>
        <w:ind w:firstLine="422" w:firstLineChars="200"/>
        <w:rPr>
          <w:rFonts w:ascii="宋体" w:cs="宋体"/>
          <w:b/>
          <w:bCs/>
          <w:color w:val="auto"/>
          <w:highlight w:val="none"/>
        </w:rPr>
      </w:pPr>
      <w:bookmarkStart w:id="36" w:name="_Toc19192"/>
      <w:bookmarkStart w:id="37" w:name="_Toc16716"/>
      <w:bookmarkStart w:id="38" w:name="_Toc18955"/>
      <w:bookmarkStart w:id="39" w:name="_Toc29424"/>
      <w:r>
        <w:rPr>
          <w:rFonts w:hint="eastAsia" w:ascii="宋体" w:hAnsi="宋体" w:cs="宋体"/>
          <w:b/>
          <w:bCs/>
          <w:color w:val="auto"/>
          <w:highlight w:val="none"/>
        </w:rPr>
        <w:t>招标项目概况</w:t>
      </w:r>
      <w:bookmarkEnd w:id="36"/>
      <w:bookmarkEnd w:id="37"/>
      <w:bookmarkEnd w:id="38"/>
      <w:bookmarkEnd w:id="39"/>
    </w:p>
    <w:p w14:paraId="2AB87670">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须知前附表中所述的、依法进行政府采购的国家机关、事业单位、团体组织。</w:t>
      </w:r>
    </w:p>
    <w:p w14:paraId="672086FA">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采购代理机构：受采购人委托组织招标活动，在招标过程中负有相应责任的社会中介组织。</w:t>
      </w:r>
    </w:p>
    <w:p w14:paraId="7BB9DB53">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项目编号及项目名称：见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FFC1F87">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本次采购内容：见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153E287">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资金来源及预算金额：见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14:paraId="0734A782">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交货期：见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14:paraId="164251ED">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交货地点：见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14:paraId="69E3B5B6">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质保期：见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14:paraId="7786ECA5">
      <w:pPr>
        <w:numPr>
          <w:ilvl w:val="2"/>
          <w:numId w:val="4"/>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质量要求：见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14:paraId="279D0A1D">
      <w:pPr>
        <w:numPr>
          <w:ilvl w:val="2"/>
          <w:numId w:val="4"/>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资格要求：详见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14:paraId="7F32AB70">
      <w:pPr>
        <w:numPr>
          <w:ilvl w:val="2"/>
          <w:numId w:val="4"/>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不接受联合体投标。</w:t>
      </w:r>
    </w:p>
    <w:p w14:paraId="7A338F25">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不得存在下列情形之一：</w:t>
      </w:r>
    </w:p>
    <w:p w14:paraId="3B1C165F">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为采购人不具有独立法人资格的附属机构（单位）；</w:t>
      </w:r>
    </w:p>
    <w:p w14:paraId="0E5EEBF8">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单位负责人为同一人或者存在直接控股、管理关系的不同供应商，不得参加同一合同项下的政府采购活动；</w:t>
      </w:r>
    </w:p>
    <w:p w14:paraId="010B1839">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不得相互串通损害国家利益、社会公共利益和其他当事人的合法权益；不得以任何手段排斥其他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参与竞争；</w:t>
      </w:r>
    </w:p>
    <w:p w14:paraId="41BFA024">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不得以向采购人行贿或者采取其他不正当手段谋取非法利益；</w:t>
      </w:r>
    </w:p>
    <w:p w14:paraId="1A8CC00B">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为本项目提供招标代理服务的；</w:t>
      </w:r>
    </w:p>
    <w:p w14:paraId="4E1CD2A6">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被责令停业的；</w:t>
      </w:r>
    </w:p>
    <w:p w14:paraId="7E8DD108">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被暂停或取消投标资格的；</w:t>
      </w:r>
    </w:p>
    <w:p w14:paraId="4E45ADFE">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财产被接管或冻结的；</w:t>
      </w:r>
    </w:p>
    <w:p w14:paraId="0FDA588A">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在最近三年内有骗取中标或严重违约或重大质量问题的。</w:t>
      </w:r>
    </w:p>
    <w:p w14:paraId="07375D85">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中标人：接到并接受中标通知，最终被授予合同的供应商。</w:t>
      </w:r>
    </w:p>
    <w:p w14:paraId="0B0CBA2F">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根据招标文件提交的所有文件。</w:t>
      </w:r>
    </w:p>
    <w:p w14:paraId="4FF4B6EE">
      <w:pPr>
        <w:numPr>
          <w:ilvl w:val="1"/>
          <w:numId w:val="4"/>
        </w:numPr>
        <w:spacing w:line="400" w:lineRule="exact"/>
        <w:ind w:firstLine="422" w:firstLineChars="200"/>
        <w:rPr>
          <w:rFonts w:ascii="宋体" w:cs="宋体"/>
          <w:b/>
          <w:bCs/>
          <w:color w:val="auto"/>
          <w:highlight w:val="none"/>
        </w:rPr>
      </w:pPr>
      <w:bookmarkStart w:id="40" w:name="_Toc4927"/>
      <w:bookmarkStart w:id="41" w:name="_Toc25850"/>
      <w:bookmarkStart w:id="42" w:name="_Toc9501"/>
      <w:bookmarkStart w:id="43" w:name="_Toc8166"/>
      <w:r>
        <w:rPr>
          <w:rFonts w:hint="eastAsia" w:ascii="宋体" w:hAnsi="宋体" w:cs="宋体"/>
          <w:b/>
          <w:bCs/>
          <w:color w:val="auto"/>
          <w:highlight w:val="none"/>
        </w:rPr>
        <w:t>投标费用</w:t>
      </w:r>
      <w:bookmarkEnd w:id="40"/>
      <w:bookmarkEnd w:id="41"/>
      <w:bookmarkEnd w:id="42"/>
      <w:bookmarkEnd w:id="43"/>
    </w:p>
    <w:p w14:paraId="20589A79">
      <w:pPr>
        <w:numPr>
          <w:ilvl w:val="2"/>
          <w:numId w:val="4"/>
        </w:numPr>
        <w:adjustRightInd w:val="0"/>
        <w:snapToGrid w:val="0"/>
        <w:spacing w:line="400" w:lineRule="exact"/>
        <w:ind w:firstLine="420" w:firstLineChars="200"/>
        <w:rPr>
          <w:rFonts w:ascii="宋体" w:cs="宋体"/>
          <w:color w:val="auto"/>
          <w:szCs w:val="21"/>
          <w:highlight w:val="none"/>
        </w:rPr>
      </w:pPr>
      <w:bookmarkStart w:id="44" w:name="_Toc22953398"/>
      <w:bookmarkEnd w:id="44"/>
      <w:bookmarkStart w:id="45" w:name="_Toc312133544"/>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14:paraId="2FFA78EA">
      <w:pPr>
        <w:numPr>
          <w:ilvl w:val="1"/>
          <w:numId w:val="4"/>
        </w:numPr>
        <w:spacing w:line="400" w:lineRule="exact"/>
        <w:ind w:firstLine="422" w:firstLineChars="200"/>
        <w:rPr>
          <w:rFonts w:ascii="宋体" w:cs="宋体"/>
          <w:b/>
          <w:bCs/>
          <w:color w:val="auto"/>
          <w:highlight w:val="none"/>
        </w:rPr>
      </w:pPr>
      <w:bookmarkStart w:id="46" w:name="_Toc27047"/>
      <w:bookmarkStart w:id="47" w:name="_Toc30990"/>
      <w:bookmarkStart w:id="48" w:name="_Toc28577"/>
      <w:bookmarkStart w:id="49" w:name="_Toc23865"/>
      <w:bookmarkStart w:id="50" w:name="_Toc12301"/>
      <w:bookmarkStart w:id="51" w:name="_Toc1130"/>
      <w:bookmarkStart w:id="52" w:name="_Toc31440"/>
      <w:bookmarkStart w:id="53" w:name="_Toc28829"/>
      <w:bookmarkStart w:id="54" w:name="_Toc13660"/>
      <w:bookmarkStart w:id="55" w:name="_Toc13179"/>
      <w:bookmarkStart w:id="56" w:name="_Toc18613"/>
      <w:r>
        <w:rPr>
          <w:rFonts w:hint="eastAsia" w:ascii="宋体" w:hAnsi="宋体" w:cs="宋体"/>
          <w:b/>
          <w:bCs/>
          <w:color w:val="auto"/>
          <w:highlight w:val="none"/>
        </w:rPr>
        <w:t>现场考察或答疑会</w:t>
      </w:r>
      <w:bookmarkEnd w:id="46"/>
      <w:bookmarkEnd w:id="47"/>
      <w:bookmarkEnd w:id="48"/>
      <w:bookmarkEnd w:id="49"/>
      <w:bookmarkEnd w:id="50"/>
      <w:bookmarkEnd w:id="51"/>
      <w:bookmarkEnd w:id="52"/>
      <w:bookmarkEnd w:id="53"/>
      <w:bookmarkEnd w:id="54"/>
      <w:bookmarkEnd w:id="55"/>
      <w:bookmarkEnd w:id="56"/>
    </w:p>
    <w:p w14:paraId="061064BB">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现场考察：</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前附表规定组织现场考察的，采购人按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考察项目现场。部分</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未按时参加现场考察的，不影响现场考察的正常进行。</w:t>
      </w:r>
    </w:p>
    <w:p w14:paraId="1129A1F7">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现场考察发生的费用自理。</w:t>
      </w:r>
    </w:p>
    <w:p w14:paraId="378B982C">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除采购人的原因外，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自行负责在现场考察中所发生的人员伤亡和财产损失。</w:t>
      </w:r>
    </w:p>
    <w:p w14:paraId="748C49CA">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采购人在现场考察中介绍的项目场地和相关的周边环境情况，供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在编制投标文件时参考，采购人不对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p>
    <w:p w14:paraId="1A87F562">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答疑会：见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14:paraId="32765F7A">
      <w:pPr>
        <w:numPr>
          <w:ilvl w:val="1"/>
          <w:numId w:val="4"/>
        </w:numPr>
        <w:spacing w:line="400" w:lineRule="exact"/>
        <w:ind w:firstLine="422" w:firstLineChars="200"/>
        <w:rPr>
          <w:rFonts w:ascii="宋体" w:cs="宋体"/>
          <w:b/>
          <w:bCs/>
          <w:color w:val="auto"/>
          <w:highlight w:val="none"/>
        </w:rPr>
      </w:pPr>
      <w:bookmarkStart w:id="57" w:name="_Toc11040"/>
      <w:bookmarkStart w:id="58" w:name="_Toc26711"/>
      <w:bookmarkStart w:id="59" w:name="_Toc6051"/>
      <w:bookmarkStart w:id="60" w:name="_Toc7448"/>
      <w:bookmarkStart w:id="61" w:name="_Toc28493"/>
      <w:bookmarkStart w:id="62" w:name="_Toc27635"/>
      <w:bookmarkStart w:id="63" w:name="_Toc8265"/>
      <w:bookmarkStart w:id="64" w:name="_Toc9561"/>
      <w:bookmarkStart w:id="65" w:name="_Toc9110"/>
      <w:bookmarkStart w:id="66" w:name="_Toc10737"/>
      <w:bookmarkStart w:id="67" w:name="_Toc20467"/>
      <w:r>
        <w:rPr>
          <w:rFonts w:hint="eastAsia" w:ascii="宋体" w:hAnsi="宋体" w:cs="宋体"/>
          <w:b/>
          <w:bCs/>
          <w:color w:val="auto"/>
          <w:highlight w:val="none"/>
        </w:rPr>
        <w:t>分包</w:t>
      </w:r>
      <w:bookmarkEnd w:id="57"/>
      <w:bookmarkEnd w:id="58"/>
      <w:bookmarkEnd w:id="59"/>
      <w:bookmarkEnd w:id="60"/>
      <w:bookmarkEnd w:id="61"/>
      <w:bookmarkEnd w:id="62"/>
      <w:bookmarkEnd w:id="63"/>
      <w:bookmarkEnd w:id="64"/>
      <w:bookmarkEnd w:id="65"/>
      <w:bookmarkEnd w:id="66"/>
      <w:bookmarkEnd w:id="67"/>
    </w:p>
    <w:p w14:paraId="4144DA23">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不允许分包</w:t>
      </w:r>
    </w:p>
    <w:p w14:paraId="531E58D8">
      <w:pPr>
        <w:numPr>
          <w:ilvl w:val="1"/>
          <w:numId w:val="4"/>
        </w:numPr>
        <w:spacing w:line="400" w:lineRule="exact"/>
        <w:ind w:firstLine="422" w:firstLineChars="200"/>
        <w:rPr>
          <w:rFonts w:ascii="宋体" w:cs="宋体"/>
          <w:b/>
          <w:bCs/>
          <w:color w:val="auto"/>
          <w:highlight w:val="none"/>
        </w:rPr>
      </w:pPr>
      <w:bookmarkStart w:id="68" w:name="_Toc31207"/>
      <w:bookmarkStart w:id="69" w:name="_Toc6725"/>
      <w:bookmarkStart w:id="70" w:name="_Toc26863"/>
      <w:bookmarkStart w:id="71" w:name="_Toc28651"/>
      <w:bookmarkStart w:id="72" w:name="_Toc18743"/>
      <w:bookmarkStart w:id="73" w:name="_Toc20874"/>
      <w:bookmarkStart w:id="74" w:name="_Toc26753"/>
      <w:bookmarkStart w:id="75" w:name="_Toc10914"/>
      <w:bookmarkStart w:id="76" w:name="_Toc6977"/>
      <w:bookmarkStart w:id="77" w:name="_Toc9963"/>
      <w:bookmarkStart w:id="78" w:name="_Toc21582"/>
      <w:bookmarkStart w:id="79" w:name="_Toc11954"/>
      <w:bookmarkStart w:id="80" w:name="_Toc2167"/>
      <w:r>
        <w:rPr>
          <w:rFonts w:hint="eastAsia" w:ascii="宋体" w:hAnsi="宋体" w:cs="宋体"/>
          <w:b/>
          <w:bCs/>
          <w:color w:val="auto"/>
          <w:highlight w:val="none"/>
        </w:rPr>
        <w:t>响应和偏差</w:t>
      </w:r>
      <w:bookmarkEnd w:id="68"/>
      <w:bookmarkEnd w:id="69"/>
      <w:bookmarkEnd w:id="70"/>
      <w:bookmarkEnd w:id="71"/>
      <w:bookmarkEnd w:id="72"/>
      <w:bookmarkEnd w:id="73"/>
      <w:bookmarkEnd w:id="74"/>
      <w:bookmarkEnd w:id="75"/>
      <w:bookmarkEnd w:id="76"/>
      <w:bookmarkEnd w:id="77"/>
      <w:bookmarkEnd w:id="78"/>
      <w:bookmarkEnd w:id="79"/>
      <w:bookmarkEnd w:id="80"/>
    </w:p>
    <w:p w14:paraId="49B82D90">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投标文件应当对招标文件的实质性要求和条件作出响应，实质性要求和条件见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14:paraId="3B0804EC">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rPr>
        <w:t>投标文件中应针对实质性要求和条件中列明的技术要求提供技术支持资料。技术支持资料以制造商公开发布的产品说明书，或检测机构</w:t>
      </w:r>
      <w:r>
        <w:rPr>
          <w:rFonts w:hint="eastAsia" w:ascii="宋体" w:hAnsi="宋体" w:cs="宋体"/>
          <w:color w:val="auto"/>
          <w:spacing w:val="-2"/>
          <w:kern w:val="0"/>
          <w:szCs w:val="21"/>
          <w:highlight w:val="none"/>
        </w:rPr>
        <w:t>出具的检测报告或检验报告，</w:t>
      </w:r>
      <w:r>
        <w:rPr>
          <w:rFonts w:hint="eastAsia" w:ascii="宋体" w:hAnsi="宋体" w:cs="宋体"/>
          <w:color w:val="auto"/>
          <w:kern w:val="0"/>
          <w:szCs w:val="21"/>
          <w:highlight w:val="none"/>
        </w:rPr>
        <w:t>或其他相关证明材料为准，不符合前述要求的，视为无技术支持资料。</w:t>
      </w:r>
    </w:p>
    <w:p w14:paraId="187B3582">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前附表允许投标文件偏离招标文件某些要求的，偏差应当符合招标文件规定的偏差范围和幅度。</w:t>
      </w:r>
    </w:p>
    <w:p w14:paraId="6A0DA1B5">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件对招标</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件的全部偏差，均应在</w:t>
      </w:r>
      <w:r>
        <w:rPr>
          <w:rFonts w:hint="eastAsia" w:ascii="宋体" w:hAnsi="宋体" w:cs="宋体"/>
          <w:color w:val="auto"/>
          <w:spacing w:val="-2"/>
          <w:kern w:val="0"/>
          <w:szCs w:val="21"/>
          <w:highlight w:val="none"/>
        </w:rPr>
        <w:t>投</w:t>
      </w:r>
      <w:r>
        <w:rPr>
          <w:rFonts w:hint="eastAsia" w:ascii="宋体" w:hAnsi="宋体" w:cs="宋体"/>
          <w:color w:val="auto"/>
          <w:kern w:val="0"/>
          <w:szCs w:val="21"/>
          <w:highlight w:val="none"/>
        </w:rPr>
        <w:t>标文件</w:t>
      </w:r>
      <w:r>
        <w:rPr>
          <w:rFonts w:hint="eastAsia" w:ascii="宋体" w:hAnsi="宋体" w:cs="宋体"/>
          <w:color w:val="auto"/>
          <w:spacing w:val="1"/>
          <w:kern w:val="0"/>
          <w:szCs w:val="21"/>
          <w:highlight w:val="none"/>
        </w:rPr>
        <w:t>的</w:t>
      </w:r>
      <w:r>
        <w:rPr>
          <w:rFonts w:hint="eastAsia" w:ascii="宋体" w:hAnsi="宋体" w:cs="宋体"/>
          <w:color w:val="auto"/>
          <w:kern w:val="0"/>
          <w:szCs w:val="21"/>
          <w:highlight w:val="none"/>
        </w:rPr>
        <w:t>商务和技术偏</w:t>
      </w:r>
      <w:r>
        <w:rPr>
          <w:rFonts w:hint="eastAsia" w:ascii="宋体" w:hAnsi="宋体" w:cs="宋体"/>
          <w:color w:val="auto"/>
          <w:spacing w:val="-2"/>
          <w:kern w:val="0"/>
          <w:szCs w:val="21"/>
          <w:highlight w:val="none"/>
        </w:rPr>
        <w:t>差</w:t>
      </w:r>
      <w:r>
        <w:rPr>
          <w:rFonts w:hint="eastAsia" w:ascii="宋体" w:hAnsi="宋体" w:cs="宋体"/>
          <w:color w:val="auto"/>
          <w:kern w:val="0"/>
          <w:szCs w:val="21"/>
          <w:highlight w:val="none"/>
        </w:rPr>
        <w:t>表中列明，除列明</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内</w:t>
      </w:r>
      <w:r>
        <w:rPr>
          <w:rFonts w:hint="eastAsia" w:ascii="宋体" w:hAnsi="宋体" w:cs="宋体"/>
          <w:color w:val="auto"/>
          <w:spacing w:val="-2"/>
          <w:kern w:val="0"/>
          <w:szCs w:val="21"/>
          <w:highlight w:val="none"/>
        </w:rPr>
        <w:t>容</w:t>
      </w:r>
      <w:r>
        <w:rPr>
          <w:rFonts w:hint="eastAsia" w:ascii="宋体" w:hAnsi="宋体" w:cs="宋体"/>
          <w:color w:val="auto"/>
          <w:kern w:val="0"/>
          <w:szCs w:val="21"/>
          <w:highlight w:val="none"/>
        </w:rPr>
        <w:t>外</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视</w:t>
      </w:r>
      <w:r>
        <w:rPr>
          <w:rFonts w:hint="eastAsia" w:ascii="宋体" w:hAnsi="宋体" w:cs="宋体"/>
          <w:color w:val="auto"/>
          <w:spacing w:val="-2"/>
          <w:kern w:val="0"/>
          <w:szCs w:val="21"/>
          <w:highlight w:val="none"/>
        </w:rPr>
        <w:t>为</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响</w:t>
      </w:r>
      <w:r>
        <w:rPr>
          <w:rFonts w:hint="eastAsia" w:ascii="宋体" w:hAnsi="宋体" w:cs="宋体"/>
          <w:color w:val="auto"/>
          <w:spacing w:val="-2"/>
          <w:kern w:val="0"/>
          <w:szCs w:val="21"/>
          <w:highlight w:val="none"/>
        </w:rPr>
        <w:t>应</w:t>
      </w:r>
      <w:r>
        <w:rPr>
          <w:rFonts w:hint="eastAsia" w:ascii="宋体" w:hAnsi="宋体" w:cs="宋体"/>
          <w:color w:val="auto"/>
          <w:kern w:val="0"/>
          <w:szCs w:val="21"/>
          <w:highlight w:val="none"/>
        </w:rPr>
        <w:t>招</w:t>
      </w:r>
      <w:r>
        <w:rPr>
          <w:rFonts w:hint="eastAsia" w:ascii="宋体" w:hAnsi="宋体" w:cs="宋体"/>
          <w:color w:val="auto"/>
          <w:spacing w:val="-2"/>
          <w:kern w:val="0"/>
          <w:szCs w:val="21"/>
          <w:highlight w:val="none"/>
        </w:rPr>
        <w:t>标</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r>
        <w:rPr>
          <w:rFonts w:hint="eastAsia" w:ascii="宋体" w:hAnsi="宋体" w:cs="宋体"/>
          <w:color w:val="auto"/>
          <w:kern w:val="0"/>
          <w:szCs w:val="21"/>
          <w:highlight w:val="none"/>
        </w:rPr>
        <w:t>的</w:t>
      </w:r>
      <w:r>
        <w:rPr>
          <w:rFonts w:hint="eastAsia" w:ascii="宋体" w:hAnsi="宋体" w:cs="宋体"/>
          <w:color w:val="auto"/>
          <w:spacing w:val="-2"/>
          <w:kern w:val="0"/>
          <w:szCs w:val="21"/>
          <w:highlight w:val="none"/>
        </w:rPr>
        <w:t>全</w:t>
      </w:r>
      <w:r>
        <w:rPr>
          <w:rFonts w:hint="eastAsia" w:ascii="宋体" w:hAnsi="宋体" w:cs="宋体"/>
          <w:color w:val="auto"/>
          <w:kern w:val="0"/>
          <w:szCs w:val="21"/>
          <w:highlight w:val="none"/>
        </w:rPr>
        <w:t>部</w:t>
      </w:r>
      <w:r>
        <w:rPr>
          <w:rFonts w:hint="eastAsia" w:ascii="宋体" w:hAnsi="宋体" w:cs="宋体"/>
          <w:color w:val="auto"/>
          <w:spacing w:val="-2"/>
          <w:kern w:val="0"/>
          <w:szCs w:val="21"/>
          <w:highlight w:val="none"/>
        </w:rPr>
        <w:t>要</w:t>
      </w:r>
      <w:r>
        <w:rPr>
          <w:rFonts w:hint="eastAsia" w:ascii="宋体" w:hAnsi="宋体" w:cs="宋体"/>
          <w:color w:val="auto"/>
          <w:kern w:val="0"/>
          <w:szCs w:val="21"/>
          <w:highlight w:val="none"/>
        </w:rPr>
        <w:t>求。</w:t>
      </w:r>
    </w:p>
    <w:p w14:paraId="4FE7B685">
      <w:pPr>
        <w:numPr>
          <w:ilvl w:val="1"/>
          <w:numId w:val="4"/>
        </w:numPr>
        <w:spacing w:line="400" w:lineRule="exact"/>
        <w:ind w:firstLine="422" w:firstLineChars="200"/>
        <w:rPr>
          <w:rFonts w:ascii="宋体" w:cs="宋体"/>
          <w:b/>
          <w:bCs/>
          <w:color w:val="auto"/>
          <w:highlight w:val="none"/>
        </w:rPr>
      </w:pPr>
      <w:r>
        <w:rPr>
          <w:rFonts w:hint="eastAsia" w:ascii="宋体" w:hAnsi="宋体" w:cs="宋体"/>
          <w:b/>
          <w:bCs/>
          <w:color w:val="auto"/>
          <w:highlight w:val="none"/>
        </w:rPr>
        <w:t>质量把控</w:t>
      </w:r>
    </w:p>
    <w:p w14:paraId="2D51E814">
      <w:pPr>
        <w:spacing w:line="400" w:lineRule="exact"/>
        <w:ind w:firstLine="420" w:firstLineChars="200"/>
        <w:rPr>
          <w:rFonts w:ascii="宋体" w:cs="宋体"/>
          <w:color w:val="auto"/>
          <w:highlight w:val="none"/>
        </w:rPr>
      </w:pPr>
      <w:r>
        <w:rPr>
          <w:rFonts w:hint="eastAsia" w:ascii="宋体" w:hAnsi="宋体" w:cs="宋体"/>
          <w:color w:val="auto"/>
          <w:highlight w:val="none"/>
        </w:rPr>
        <w:t>详见</w:t>
      </w:r>
      <w:r>
        <w:rPr>
          <w:rFonts w:hint="eastAsia" w:ascii="宋体" w:hAnsi="宋体" w:cs="宋体"/>
          <w:color w:val="auto"/>
          <w:highlight w:val="none"/>
          <w:lang w:eastAsia="zh-CN"/>
        </w:rPr>
        <w:t>投标人须知</w:t>
      </w:r>
      <w:r>
        <w:rPr>
          <w:rFonts w:hint="eastAsia" w:ascii="宋体" w:hAnsi="宋体" w:cs="宋体"/>
          <w:color w:val="auto"/>
          <w:highlight w:val="none"/>
        </w:rPr>
        <w:t>前附表。</w:t>
      </w:r>
    </w:p>
    <w:p w14:paraId="784E9210">
      <w:pPr>
        <w:numPr>
          <w:ilvl w:val="1"/>
          <w:numId w:val="4"/>
        </w:numPr>
        <w:spacing w:line="400" w:lineRule="exact"/>
        <w:ind w:firstLine="422" w:firstLineChars="200"/>
        <w:rPr>
          <w:rFonts w:ascii="宋体" w:cs="宋体"/>
          <w:b/>
          <w:bCs/>
          <w:color w:val="auto"/>
          <w:highlight w:val="none"/>
        </w:rPr>
      </w:pPr>
      <w:bookmarkStart w:id="81" w:name="_Toc12963"/>
      <w:bookmarkStart w:id="82" w:name="_Toc25924"/>
      <w:bookmarkStart w:id="83" w:name="_Toc16595"/>
      <w:bookmarkStart w:id="84" w:name="_Toc15630"/>
      <w:bookmarkStart w:id="85" w:name="_Toc14740"/>
      <w:bookmarkStart w:id="86" w:name="_Toc5477"/>
      <w:bookmarkStart w:id="87" w:name="_Toc9588"/>
      <w:bookmarkStart w:id="88" w:name="_Toc11845"/>
      <w:bookmarkStart w:id="89" w:name="_Toc29855"/>
      <w:bookmarkStart w:id="90" w:name="_Toc29202"/>
      <w:bookmarkStart w:id="91" w:name="_Toc9147"/>
      <w:r>
        <w:rPr>
          <w:rFonts w:hint="eastAsia" w:ascii="宋体" w:hAnsi="宋体" w:cs="宋体"/>
          <w:b/>
          <w:bCs/>
          <w:color w:val="auto"/>
          <w:highlight w:val="none"/>
        </w:rPr>
        <w:t>投标语言</w:t>
      </w:r>
      <w:bookmarkEnd w:id="81"/>
      <w:bookmarkEnd w:id="82"/>
      <w:bookmarkEnd w:id="83"/>
      <w:bookmarkEnd w:id="84"/>
      <w:bookmarkEnd w:id="85"/>
      <w:bookmarkEnd w:id="86"/>
      <w:bookmarkEnd w:id="87"/>
      <w:bookmarkEnd w:id="88"/>
      <w:bookmarkEnd w:id="89"/>
      <w:bookmarkEnd w:id="90"/>
      <w:bookmarkEnd w:id="91"/>
    </w:p>
    <w:p w14:paraId="1A027F96">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rPr>
        <w:t>招标</w:t>
      </w:r>
      <w:r>
        <w:rPr>
          <w:rFonts w:hint="eastAsia" w:ascii="宋体" w:hAnsi="宋体" w:cs="宋体"/>
          <w:color w:val="auto"/>
          <w:spacing w:val="-2"/>
          <w:kern w:val="0"/>
          <w:szCs w:val="21"/>
          <w:highlight w:val="none"/>
        </w:rPr>
        <w:t>投</w:t>
      </w:r>
      <w:r>
        <w:rPr>
          <w:rFonts w:hint="eastAsia" w:ascii="宋体" w:hAnsi="宋体" w:cs="宋体"/>
          <w:color w:val="auto"/>
          <w:kern w:val="0"/>
          <w:szCs w:val="21"/>
          <w:highlight w:val="none"/>
        </w:rPr>
        <w:t>标</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件</w:t>
      </w:r>
      <w:r>
        <w:rPr>
          <w:rFonts w:hint="eastAsia" w:ascii="宋体" w:hAnsi="宋体" w:cs="宋体"/>
          <w:color w:val="auto"/>
          <w:spacing w:val="-2"/>
          <w:kern w:val="0"/>
          <w:szCs w:val="21"/>
          <w:highlight w:val="none"/>
        </w:rPr>
        <w:t>使</w:t>
      </w:r>
      <w:r>
        <w:rPr>
          <w:rFonts w:hint="eastAsia" w:ascii="宋体" w:hAnsi="宋体" w:cs="宋体"/>
          <w:color w:val="auto"/>
          <w:kern w:val="0"/>
          <w:szCs w:val="21"/>
          <w:highlight w:val="none"/>
        </w:rPr>
        <w:t>用</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语</w:t>
      </w:r>
      <w:r>
        <w:rPr>
          <w:rFonts w:hint="eastAsia" w:ascii="宋体" w:hAnsi="宋体" w:cs="宋体"/>
          <w:color w:val="auto"/>
          <w:spacing w:val="-2"/>
          <w:kern w:val="0"/>
          <w:szCs w:val="21"/>
          <w:highlight w:val="none"/>
        </w:rPr>
        <w:t>言</w:t>
      </w:r>
      <w:r>
        <w:rPr>
          <w:rFonts w:hint="eastAsia" w:ascii="宋体" w:hAnsi="宋体" w:cs="宋体"/>
          <w:color w:val="auto"/>
          <w:kern w:val="0"/>
          <w:szCs w:val="21"/>
          <w:highlight w:val="none"/>
        </w:rPr>
        <w:t>文字</w:t>
      </w:r>
      <w:r>
        <w:rPr>
          <w:rFonts w:hint="eastAsia" w:ascii="宋体" w:hAnsi="宋体" w:cs="宋体"/>
          <w:color w:val="auto"/>
          <w:spacing w:val="-2"/>
          <w:kern w:val="0"/>
          <w:szCs w:val="21"/>
          <w:highlight w:val="none"/>
        </w:rPr>
        <w:t>为</w:t>
      </w:r>
      <w:r>
        <w:rPr>
          <w:rFonts w:hint="eastAsia" w:ascii="宋体" w:hAnsi="宋体" w:cs="宋体"/>
          <w:color w:val="auto"/>
          <w:kern w:val="0"/>
          <w:szCs w:val="21"/>
          <w:highlight w:val="none"/>
        </w:rPr>
        <w:t>中</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w:t>
      </w:r>
      <w:r>
        <w:rPr>
          <w:rFonts w:hint="eastAsia" w:ascii="宋体" w:hAnsi="宋体" w:cs="宋体"/>
          <w:color w:val="auto"/>
          <w:spacing w:val="-2"/>
          <w:kern w:val="0"/>
          <w:szCs w:val="21"/>
          <w:highlight w:val="none"/>
        </w:rPr>
        <w:t>专</w:t>
      </w:r>
      <w:r>
        <w:rPr>
          <w:rFonts w:hint="eastAsia" w:ascii="宋体" w:hAnsi="宋体" w:cs="宋体"/>
          <w:color w:val="auto"/>
          <w:kern w:val="0"/>
          <w:szCs w:val="21"/>
          <w:highlight w:val="none"/>
        </w:rPr>
        <w:t>用</w:t>
      </w:r>
      <w:r>
        <w:rPr>
          <w:rFonts w:hint="eastAsia" w:ascii="宋体" w:hAnsi="宋体" w:cs="宋体"/>
          <w:color w:val="auto"/>
          <w:spacing w:val="-2"/>
          <w:kern w:val="0"/>
          <w:szCs w:val="21"/>
          <w:highlight w:val="none"/>
        </w:rPr>
        <w:t>术</w:t>
      </w:r>
      <w:r>
        <w:rPr>
          <w:rFonts w:hint="eastAsia" w:ascii="宋体" w:hAnsi="宋体" w:cs="宋体"/>
          <w:color w:val="auto"/>
          <w:kern w:val="0"/>
          <w:szCs w:val="21"/>
          <w:highlight w:val="none"/>
        </w:rPr>
        <w:t>语</w:t>
      </w:r>
      <w:r>
        <w:rPr>
          <w:rFonts w:hint="eastAsia" w:ascii="宋体" w:hAnsi="宋体" w:cs="宋体"/>
          <w:color w:val="auto"/>
          <w:spacing w:val="-2"/>
          <w:kern w:val="0"/>
          <w:szCs w:val="21"/>
          <w:highlight w:val="none"/>
        </w:rPr>
        <w:t>使</w:t>
      </w:r>
      <w:r>
        <w:rPr>
          <w:rFonts w:hint="eastAsia" w:ascii="宋体" w:hAnsi="宋体" w:cs="宋体"/>
          <w:color w:val="auto"/>
          <w:kern w:val="0"/>
          <w:szCs w:val="21"/>
          <w:highlight w:val="none"/>
        </w:rPr>
        <w:t>用外</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的</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应</w:t>
      </w:r>
      <w:r>
        <w:rPr>
          <w:rFonts w:hint="eastAsia" w:ascii="宋体" w:hAnsi="宋体" w:cs="宋体"/>
          <w:color w:val="auto"/>
          <w:spacing w:val="-2"/>
          <w:kern w:val="0"/>
          <w:szCs w:val="21"/>
          <w:highlight w:val="none"/>
        </w:rPr>
        <w:t>附</w:t>
      </w:r>
      <w:r>
        <w:rPr>
          <w:rFonts w:hint="eastAsia" w:ascii="宋体" w:hAnsi="宋体" w:cs="宋体"/>
          <w:color w:val="auto"/>
          <w:kern w:val="0"/>
          <w:szCs w:val="21"/>
          <w:highlight w:val="none"/>
        </w:rPr>
        <w:t>有</w:t>
      </w:r>
      <w:r>
        <w:rPr>
          <w:rFonts w:hint="eastAsia" w:ascii="宋体" w:hAnsi="宋体" w:cs="宋体"/>
          <w:color w:val="auto"/>
          <w:spacing w:val="-2"/>
          <w:kern w:val="0"/>
          <w:szCs w:val="21"/>
          <w:highlight w:val="none"/>
        </w:rPr>
        <w:t>中</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注</w:t>
      </w:r>
      <w:r>
        <w:rPr>
          <w:rFonts w:hint="eastAsia" w:ascii="宋体" w:hAnsi="宋体" w:cs="宋体"/>
          <w:color w:val="auto"/>
          <w:kern w:val="0"/>
          <w:szCs w:val="21"/>
          <w:highlight w:val="none"/>
        </w:rPr>
        <w:t>释</w:t>
      </w:r>
      <w:r>
        <w:rPr>
          <w:rFonts w:hint="eastAsia" w:ascii="宋体" w:hAnsi="宋体" w:cs="宋体"/>
          <w:color w:val="auto"/>
          <w:szCs w:val="21"/>
          <w:highlight w:val="none"/>
        </w:rPr>
        <w:t>。</w:t>
      </w:r>
    </w:p>
    <w:p w14:paraId="5B9A1497">
      <w:pPr>
        <w:numPr>
          <w:ilvl w:val="1"/>
          <w:numId w:val="4"/>
        </w:numPr>
        <w:spacing w:line="400" w:lineRule="exact"/>
        <w:ind w:firstLine="422" w:firstLineChars="200"/>
        <w:rPr>
          <w:rFonts w:ascii="宋体" w:cs="宋体"/>
          <w:b/>
          <w:bCs/>
          <w:color w:val="auto"/>
          <w:highlight w:val="none"/>
        </w:rPr>
      </w:pPr>
      <w:bookmarkStart w:id="92" w:name="_Toc22605"/>
      <w:bookmarkStart w:id="93" w:name="_Toc14812"/>
      <w:bookmarkStart w:id="94" w:name="_Toc20418"/>
      <w:bookmarkStart w:id="95" w:name="_Toc21374"/>
      <w:bookmarkStart w:id="96" w:name="_Toc9167"/>
      <w:bookmarkStart w:id="97" w:name="_Toc22466"/>
      <w:bookmarkStart w:id="98" w:name="_Toc19599"/>
      <w:bookmarkStart w:id="99" w:name="_Toc7785"/>
      <w:bookmarkStart w:id="100" w:name="_Toc5019"/>
      <w:bookmarkStart w:id="101" w:name="_Toc14186"/>
      <w:bookmarkStart w:id="102" w:name="_Toc30395"/>
      <w:r>
        <w:rPr>
          <w:rFonts w:hint="eastAsia" w:ascii="宋体" w:hAnsi="宋体" w:cs="宋体"/>
          <w:b/>
          <w:bCs/>
          <w:color w:val="auto"/>
          <w:highlight w:val="none"/>
        </w:rPr>
        <w:t>投标文件计量单位</w:t>
      </w:r>
      <w:bookmarkEnd w:id="92"/>
      <w:bookmarkEnd w:id="93"/>
      <w:bookmarkEnd w:id="94"/>
      <w:bookmarkEnd w:id="95"/>
      <w:bookmarkEnd w:id="96"/>
      <w:bookmarkEnd w:id="97"/>
      <w:bookmarkEnd w:id="98"/>
      <w:bookmarkEnd w:id="99"/>
      <w:bookmarkEnd w:id="100"/>
      <w:bookmarkEnd w:id="101"/>
      <w:bookmarkEnd w:id="102"/>
    </w:p>
    <w:p w14:paraId="24085BC6">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除在招标文件的技术文件中另有规定外，计量单位均使用中华人民共和国法定计量标准单位。</w:t>
      </w:r>
    </w:p>
    <w:p w14:paraId="37C6D23D">
      <w:pPr>
        <w:numPr>
          <w:ilvl w:val="1"/>
          <w:numId w:val="4"/>
        </w:numPr>
        <w:spacing w:line="400" w:lineRule="exact"/>
        <w:ind w:firstLine="422" w:firstLineChars="200"/>
        <w:rPr>
          <w:rFonts w:ascii="宋体" w:cs="宋体"/>
          <w:color w:val="auto"/>
          <w:szCs w:val="21"/>
          <w:highlight w:val="none"/>
        </w:rPr>
      </w:pPr>
      <w:bookmarkStart w:id="103" w:name="_Toc10045"/>
      <w:bookmarkStart w:id="104" w:name="_Toc2806"/>
      <w:bookmarkStart w:id="105" w:name="_Toc4326"/>
      <w:bookmarkStart w:id="106" w:name="_Toc12071"/>
      <w:bookmarkStart w:id="107" w:name="_Toc26769"/>
      <w:bookmarkStart w:id="108" w:name="_Toc15754"/>
      <w:bookmarkStart w:id="109" w:name="_Toc16602"/>
      <w:bookmarkStart w:id="110" w:name="_Toc19923"/>
      <w:bookmarkStart w:id="111" w:name="_Toc23957"/>
      <w:bookmarkStart w:id="112" w:name="_Toc24747"/>
      <w:bookmarkStart w:id="113" w:name="_Toc23880"/>
      <w:r>
        <w:rPr>
          <w:rFonts w:hint="eastAsia" w:ascii="宋体" w:hAnsi="宋体" w:cs="宋体"/>
          <w:b/>
          <w:bCs/>
          <w:color w:val="auto"/>
          <w:highlight w:val="none"/>
        </w:rPr>
        <w:t>投标货币</w:t>
      </w:r>
      <w:bookmarkEnd w:id="103"/>
      <w:bookmarkEnd w:id="104"/>
      <w:bookmarkEnd w:id="105"/>
      <w:bookmarkEnd w:id="106"/>
      <w:bookmarkEnd w:id="107"/>
      <w:bookmarkEnd w:id="108"/>
      <w:bookmarkEnd w:id="109"/>
      <w:bookmarkEnd w:id="110"/>
      <w:bookmarkEnd w:id="111"/>
      <w:bookmarkEnd w:id="112"/>
      <w:bookmarkEnd w:id="113"/>
    </w:p>
    <w:p w14:paraId="562E4734">
      <w:pPr>
        <w:spacing w:line="400" w:lineRule="exact"/>
        <w:ind w:left="420" w:leftChars="200"/>
        <w:rPr>
          <w:rFonts w:ascii="宋体" w:cs="宋体"/>
          <w:color w:val="auto"/>
          <w:szCs w:val="21"/>
          <w:highlight w:val="none"/>
        </w:rPr>
      </w:pPr>
      <w:r>
        <w:rPr>
          <w:rFonts w:hint="eastAsia" w:ascii="宋体" w:hAnsi="宋体" w:cs="宋体"/>
          <w:color w:val="auto"/>
          <w:szCs w:val="21"/>
          <w:highlight w:val="none"/>
        </w:rPr>
        <w:t>除非另有规定，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提供的所有服务用人民币报价。</w:t>
      </w:r>
    </w:p>
    <w:p w14:paraId="3B543751">
      <w:pPr>
        <w:numPr>
          <w:ilvl w:val="1"/>
          <w:numId w:val="4"/>
        </w:numPr>
        <w:spacing w:line="400" w:lineRule="exact"/>
        <w:ind w:firstLine="422" w:firstLineChars="200"/>
        <w:rPr>
          <w:rFonts w:ascii="宋体" w:cs="宋体"/>
          <w:b/>
          <w:bCs/>
          <w:color w:val="auto"/>
          <w:highlight w:val="none"/>
        </w:rPr>
      </w:pPr>
      <w:bookmarkStart w:id="114" w:name="_Toc16853"/>
      <w:bookmarkStart w:id="115" w:name="_Toc32032"/>
      <w:bookmarkStart w:id="116" w:name="_Toc29095"/>
      <w:bookmarkStart w:id="117" w:name="_Toc11598"/>
      <w:bookmarkStart w:id="118" w:name="_Toc141"/>
      <w:bookmarkStart w:id="119" w:name="_Toc4030"/>
      <w:bookmarkStart w:id="120" w:name="_Toc31058"/>
      <w:bookmarkStart w:id="121" w:name="_Toc26021"/>
      <w:bookmarkStart w:id="122" w:name="_Toc19335"/>
      <w:bookmarkStart w:id="123" w:name="_Toc24561"/>
      <w:bookmarkStart w:id="124" w:name="_Toc28184"/>
      <w:bookmarkStart w:id="125" w:name="_Toc12030"/>
      <w:bookmarkStart w:id="126" w:name="_Toc14764"/>
      <w:r>
        <w:rPr>
          <w:rFonts w:hint="eastAsia" w:ascii="宋体" w:hAnsi="宋体" w:cs="宋体"/>
          <w:b/>
          <w:bCs/>
          <w:color w:val="auto"/>
          <w:highlight w:val="none"/>
        </w:rPr>
        <w:t>保密</w:t>
      </w:r>
      <w:bookmarkEnd w:id="114"/>
      <w:bookmarkEnd w:id="115"/>
      <w:bookmarkEnd w:id="116"/>
      <w:bookmarkEnd w:id="117"/>
      <w:bookmarkEnd w:id="118"/>
      <w:bookmarkEnd w:id="119"/>
      <w:bookmarkEnd w:id="120"/>
      <w:bookmarkEnd w:id="121"/>
      <w:bookmarkEnd w:id="122"/>
      <w:bookmarkEnd w:id="123"/>
      <w:bookmarkEnd w:id="124"/>
      <w:bookmarkEnd w:id="125"/>
      <w:bookmarkEnd w:id="126"/>
    </w:p>
    <w:p w14:paraId="756DEB09">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参与招标投标活动的各方应对招标文件和投标文件中的商业和技术等秘密保密，否则应承担相应的法律责任。</w:t>
      </w:r>
    </w:p>
    <w:p w14:paraId="3A4C1339">
      <w:pPr>
        <w:numPr>
          <w:ilvl w:val="0"/>
          <w:numId w:val="6"/>
        </w:numPr>
        <w:spacing w:line="400" w:lineRule="exact"/>
        <w:ind w:firstLine="422" w:firstLineChars="200"/>
        <w:outlineLvl w:val="1"/>
        <w:rPr>
          <w:rStyle w:val="29"/>
          <w:color w:val="auto"/>
          <w:sz w:val="21"/>
          <w:szCs w:val="21"/>
          <w:highlight w:val="none"/>
        </w:rPr>
      </w:pPr>
      <w:bookmarkStart w:id="127" w:name="_Toc32644"/>
      <w:bookmarkStart w:id="128" w:name="_Toc40112131"/>
      <w:bookmarkStart w:id="129" w:name="_Toc12581"/>
      <w:bookmarkStart w:id="130" w:name="_Toc20563"/>
      <w:bookmarkStart w:id="131" w:name="_Toc6378"/>
      <w:r>
        <w:rPr>
          <w:rStyle w:val="29"/>
          <w:rFonts w:hint="eastAsia"/>
          <w:color w:val="auto"/>
          <w:sz w:val="21"/>
          <w:szCs w:val="21"/>
          <w:highlight w:val="none"/>
        </w:rPr>
        <w:t>招标文件</w:t>
      </w:r>
      <w:bookmarkEnd w:id="45"/>
      <w:bookmarkEnd w:id="127"/>
      <w:bookmarkEnd w:id="128"/>
      <w:bookmarkEnd w:id="129"/>
      <w:bookmarkEnd w:id="130"/>
      <w:bookmarkEnd w:id="131"/>
    </w:p>
    <w:p w14:paraId="356316AD">
      <w:pPr>
        <w:numPr>
          <w:ilvl w:val="1"/>
          <w:numId w:val="6"/>
        </w:numPr>
        <w:spacing w:line="400" w:lineRule="exact"/>
        <w:ind w:firstLine="422" w:firstLineChars="200"/>
        <w:rPr>
          <w:rFonts w:ascii="宋体" w:cs="宋体"/>
          <w:b/>
          <w:bCs/>
          <w:color w:val="auto"/>
          <w:highlight w:val="none"/>
        </w:rPr>
      </w:pPr>
      <w:bookmarkStart w:id="132" w:name="_Toc8008"/>
      <w:bookmarkStart w:id="133" w:name="_Toc3764"/>
      <w:bookmarkStart w:id="134" w:name="_Toc14801"/>
      <w:bookmarkStart w:id="135" w:name="_Toc20524"/>
      <w:r>
        <w:rPr>
          <w:rFonts w:hint="eastAsia" w:ascii="宋体" w:hAnsi="宋体" w:cs="宋体"/>
          <w:b/>
          <w:bCs/>
          <w:color w:val="auto"/>
          <w:highlight w:val="none"/>
        </w:rPr>
        <w:t>招标文件的构成</w:t>
      </w:r>
      <w:bookmarkEnd w:id="132"/>
      <w:bookmarkEnd w:id="133"/>
      <w:bookmarkEnd w:id="134"/>
      <w:bookmarkEnd w:id="135"/>
    </w:p>
    <w:p w14:paraId="4CC0086C">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招标文件用以阐明本次招标的货物和服务要求、招标投标程序和合同条件。</w:t>
      </w:r>
    </w:p>
    <w:p w14:paraId="6D4C885C">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招标文件由下述部分组成：</w:t>
      </w:r>
      <w:r>
        <w:rPr>
          <w:rFonts w:ascii="宋体" w:hAnsi="宋体" w:eastAsia="宋体" w:cs="宋体"/>
          <w:color w:val="auto"/>
          <w:sz w:val="21"/>
          <w:szCs w:val="21"/>
          <w:highlight w:val="none"/>
        </w:rPr>
        <w:t xml:space="preserve"> </w:t>
      </w:r>
    </w:p>
    <w:p w14:paraId="234A6CAB">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招标公告</w:t>
      </w:r>
    </w:p>
    <w:p w14:paraId="58D4EDF1">
      <w:pPr>
        <w:pStyle w:val="19"/>
        <w:tabs>
          <w:tab w:val="left" w:pos="720"/>
          <w:tab w:val="left" w:pos="1080"/>
        </w:tabs>
        <w:adjustRightInd w:val="0"/>
        <w:snapToGrid w:val="0"/>
        <w:spacing w:line="400" w:lineRule="exact"/>
        <w:ind w:lef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第二章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投标人须知</w:t>
      </w:r>
    </w:p>
    <w:p w14:paraId="470C1124">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资格审查</w:t>
      </w:r>
    </w:p>
    <w:p w14:paraId="6293D4AD">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评标办法（综合评分法）</w:t>
      </w:r>
    </w:p>
    <w:p w14:paraId="213EDB5C">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合同</w:t>
      </w:r>
    </w:p>
    <w:p w14:paraId="1F7B22CF">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招标项目需求及技术要求</w:t>
      </w:r>
    </w:p>
    <w:p w14:paraId="276236E6">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投标文件格式</w:t>
      </w:r>
    </w:p>
    <w:p w14:paraId="3F1365A5">
      <w:pPr>
        <w:numPr>
          <w:ilvl w:val="2"/>
          <w:numId w:val="6"/>
        </w:numPr>
        <w:adjustRightInd w:val="0"/>
        <w:snapToGrid w:val="0"/>
        <w:spacing w:line="400" w:lineRule="exact"/>
        <w:ind w:firstLine="420" w:firstLineChars="200"/>
        <w:rPr>
          <w:rFonts w:ascii="宋体" w:cs="宋体"/>
          <w:color w:val="auto"/>
          <w:sz w:val="24"/>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应仔细阅读招标文件中</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合同条款的所有事项、格式要求和技术规范，按招标文件的要求提供投标文件，并保证所提供的全部资料的真实性，以使其投标对招标文件做出实质性响应，否则，将承担其投标被拒绝或认定为投标无效的风险。</w:t>
      </w:r>
    </w:p>
    <w:p w14:paraId="15586306">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制作投标文件时应充分完整理解招标文件的整体要求。</w:t>
      </w:r>
    </w:p>
    <w:p w14:paraId="7BEA93C7">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根据本章第</w:t>
      </w:r>
      <w:r>
        <w:rPr>
          <w:rFonts w:ascii="宋体" w:hAnsi="宋体" w:cs="宋体"/>
          <w:color w:val="auto"/>
          <w:szCs w:val="21"/>
          <w:highlight w:val="none"/>
        </w:rPr>
        <w:t>1.4</w:t>
      </w:r>
      <w:r>
        <w:rPr>
          <w:rFonts w:hint="eastAsia" w:ascii="宋体" w:hAnsi="宋体" w:cs="宋体"/>
          <w:color w:val="auto"/>
          <w:szCs w:val="21"/>
          <w:highlight w:val="none"/>
        </w:rPr>
        <w:t>款、第</w:t>
      </w:r>
      <w:r>
        <w:rPr>
          <w:rFonts w:ascii="宋体" w:hAnsi="宋体" w:cs="宋体"/>
          <w:color w:val="auto"/>
          <w:szCs w:val="21"/>
          <w:highlight w:val="none"/>
        </w:rPr>
        <w:t>2.2</w:t>
      </w:r>
      <w:r>
        <w:rPr>
          <w:rFonts w:hint="eastAsia" w:ascii="宋体" w:hAnsi="宋体" w:cs="宋体"/>
          <w:color w:val="auto"/>
          <w:szCs w:val="21"/>
          <w:highlight w:val="none"/>
        </w:rPr>
        <w:t>款和第</w:t>
      </w:r>
      <w:r>
        <w:rPr>
          <w:rFonts w:ascii="宋体" w:hAnsi="宋体" w:cs="宋体"/>
          <w:color w:val="auto"/>
          <w:szCs w:val="21"/>
          <w:highlight w:val="none"/>
        </w:rPr>
        <w:t>2.3</w:t>
      </w:r>
      <w:r>
        <w:rPr>
          <w:rFonts w:hint="eastAsia" w:ascii="宋体" w:hAnsi="宋体" w:cs="宋体"/>
          <w:color w:val="auto"/>
          <w:szCs w:val="21"/>
          <w:highlight w:val="none"/>
        </w:rPr>
        <w:t>款对招标文件所做的澄清和修改，构成招标文件的组成部分。</w:t>
      </w:r>
    </w:p>
    <w:p w14:paraId="7A09CD71">
      <w:pPr>
        <w:numPr>
          <w:ilvl w:val="1"/>
          <w:numId w:val="6"/>
        </w:numPr>
        <w:spacing w:line="400" w:lineRule="exact"/>
        <w:ind w:firstLine="422" w:firstLineChars="200"/>
        <w:rPr>
          <w:rFonts w:ascii="宋体" w:cs="宋体"/>
          <w:b/>
          <w:bCs/>
          <w:color w:val="auto"/>
          <w:highlight w:val="none"/>
        </w:rPr>
      </w:pPr>
      <w:bookmarkStart w:id="136" w:name="_Toc23431"/>
      <w:bookmarkStart w:id="137" w:name="_Toc6978"/>
      <w:bookmarkStart w:id="138" w:name="_Toc7923"/>
      <w:bookmarkStart w:id="139" w:name="_Toc3408"/>
      <w:r>
        <w:rPr>
          <w:rFonts w:hint="eastAsia" w:ascii="宋体" w:hAnsi="宋体" w:cs="宋体"/>
          <w:b/>
          <w:bCs/>
          <w:color w:val="auto"/>
          <w:highlight w:val="none"/>
        </w:rPr>
        <w:t>招标文件的澄清</w:t>
      </w:r>
      <w:bookmarkEnd w:id="136"/>
      <w:bookmarkEnd w:id="137"/>
      <w:bookmarkEnd w:id="138"/>
      <w:bookmarkEnd w:id="139"/>
    </w:p>
    <w:p w14:paraId="16E4409F">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应仔细阅读和检查招标文件的全部内容。如发现缺页或附件不全，应及时向采购人提出，以便补齐。如有疑问，应按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前附表规定的时间和形式将提出的问题送达采购人，要求采购人对招标文件予以澄清。</w:t>
      </w:r>
    </w:p>
    <w:p w14:paraId="14E51AA7">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招标文件的澄清以</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前附表规定的形式发给所有购买招标文件的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，但不指明澄清问题的来源。澄清发出的时间距本章第</w:t>
      </w:r>
      <w:r>
        <w:rPr>
          <w:rFonts w:ascii="宋体" w:hAnsi="宋体" w:cs="宋体"/>
          <w:color w:val="auto"/>
          <w:szCs w:val="21"/>
          <w:highlight w:val="none"/>
        </w:rPr>
        <w:t>4.2.1</w:t>
      </w:r>
      <w:r>
        <w:rPr>
          <w:rFonts w:hint="eastAsia" w:ascii="宋体" w:hAnsi="宋体" w:cs="宋体"/>
          <w:color w:val="auto"/>
          <w:szCs w:val="21"/>
          <w:highlight w:val="none"/>
        </w:rPr>
        <w:t>项规定的投标截止时间不足</w:t>
      </w:r>
      <w:r>
        <w:rPr>
          <w:rFonts w:ascii="宋体" w:hAnsi="宋体" w:cs="宋体"/>
          <w:color w:val="auto"/>
          <w:szCs w:val="21"/>
          <w:highlight w:val="none"/>
        </w:rPr>
        <w:t>15</w:t>
      </w:r>
      <w:r>
        <w:rPr>
          <w:rFonts w:hint="eastAsia" w:ascii="宋体" w:hAnsi="宋体" w:cs="宋体"/>
          <w:color w:val="auto"/>
          <w:szCs w:val="21"/>
          <w:highlight w:val="none"/>
        </w:rPr>
        <w:t>日的，并且澄清内容可能影响投标文件编制的，将相应延长投标截止时间。</w:t>
      </w:r>
    </w:p>
    <w:p w14:paraId="7C2FDFEB">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在收到澄清后，应按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前附表规定的时间和形式通知采购人，确认已收到该澄清。</w:t>
      </w:r>
    </w:p>
    <w:p w14:paraId="3A604AE4">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除非采购人认为确有必要答复，否则，采购人有权拒绝回复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在本章第</w:t>
      </w:r>
      <w:r>
        <w:rPr>
          <w:rFonts w:ascii="宋体" w:hAnsi="宋体" w:cs="宋体"/>
          <w:color w:val="auto"/>
          <w:szCs w:val="21"/>
          <w:highlight w:val="none"/>
        </w:rPr>
        <w:t xml:space="preserve"> 2.2.1 </w:t>
      </w:r>
      <w:r>
        <w:rPr>
          <w:rFonts w:hint="eastAsia" w:ascii="宋体" w:hAnsi="宋体" w:cs="宋体"/>
          <w:color w:val="auto"/>
          <w:szCs w:val="21"/>
          <w:highlight w:val="none"/>
        </w:rPr>
        <w:t>项规定的时间后的任何澄清要求。在规定的时间内未提出疑问的，将被视为对招标文件完全认可。</w:t>
      </w:r>
    </w:p>
    <w:p w14:paraId="307AD39D">
      <w:pPr>
        <w:numPr>
          <w:ilvl w:val="1"/>
          <w:numId w:val="6"/>
        </w:numPr>
        <w:spacing w:line="400" w:lineRule="exact"/>
        <w:ind w:firstLine="422" w:firstLineChars="200"/>
        <w:rPr>
          <w:rFonts w:ascii="宋体" w:cs="宋体"/>
          <w:b/>
          <w:bCs/>
          <w:color w:val="auto"/>
          <w:highlight w:val="none"/>
        </w:rPr>
      </w:pPr>
      <w:bookmarkStart w:id="140" w:name="_Toc32510"/>
      <w:bookmarkStart w:id="141" w:name="_Toc25801"/>
      <w:bookmarkStart w:id="142" w:name="_Toc12162"/>
      <w:bookmarkStart w:id="143" w:name="_Toc28742"/>
      <w:r>
        <w:rPr>
          <w:rFonts w:hint="eastAsia" w:ascii="宋体" w:hAnsi="宋体" w:cs="宋体"/>
          <w:b/>
          <w:bCs/>
          <w:color w:val="auto"/>
          <w:highlight w:val="none"/>
        </w:rPr>
        <w:t>招标文件的修改</w:t>
      </w:r>
      <w:bookmarkEnd w:id="140"/>
      <w:bookmarkEnd w:id="141"/>
      <w:bookmarkEnd w:id="142"/>
      <w:bookmarkEnd w:id="143"/>
    </w:p>
    <w:p w14:paraId="362B92ED">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采购人或采购代理机构可以对已发出的招标文件进行必要的修改，但不得改变采购标的和资格条件，修改的内容为招标文件的组成部分。</w:t>
      </w:r>
    </w:p>
    <w:p w14:paraId="7389BC55">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采购人或采购代理机构以</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前附表规定的形式修改招标文件，并通知所有已购买招标文件的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。修改招标文件的时间距本章第</w:t>
      </w:r>
      <w:r>
        <w:rPr>
          <w:rFonts w:ascii="宋体" w:hAnsi="宋体" w:cs="宋体"/>
          <w:color w:val="auto"/>
          <w:szCs w:val="21"/>
          <w:highlight w:val="none"/>
        </w:rPr>
        <w:t>4.2.1</w:t>
      </w:r>
      <w:r>
        <w:rPr>
          <w:rFonts w:hint="eastAsia" w:ascii="宋体" w:hAnsi="宋体" w:cs="宋体"/>
          <w:color w:val="auto"/>
          <w:szCs w:val="21"/>
          <w:highlight w:val="none"/>
        </w:rPr>
        <w:t>项规定的投标截止时间不足</w:t>
      </w:r>
      <w:r>
        <w:rPr>
          <w:rFonts w:ascii="宋体" w:hAnsi="宋体" w:cs="宋体"/>
          <w:color w:val="auto"/>
          <w:szCs w:val="21"/>
          <w:highlight w:val="none"/>
        </w:rPr>
        <w:t>15</w:t>
      </w:r>
      <w:r>
        <w:rPr>
          <w:rFonts w:hint="eastAsia" w:ascii="宋体" w:hAnsi="宋体" w:cs="宋体"/>
          <w:color w:val="auto"/>
          <w:szCs w:val="21"/>
          <w:highlight w:val="none"/>
        </w:rPr>
        <w:t>日的，并且修改内容可能影响投标文件编制的，将相应延长投标截止时间。</w:t>
      </w:r>
    </w:p>
    <w:p w14:paraId="4DBCEA99">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收到修改内容后，应按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前附表规定的时间和形式通知采购人，确认已收到该修改。</w:t>
      </w:r>
    </w:p>
    <w:p w14:paraId="7092DB68">
      <w:pPr>
        <w:numPr>
          <w:ilvl w:val="0"/>
          <w:numId w:val="6"/>
        </w:numPr>
        <w:spacing w:line="400" w:lineRule="exact"/>
        <w:ind w:firstLine="422" w:firstLineChars="200"/>
        <w:outlineLvl w:val="1"/>
        <w:rPr>
          <w:rStyle w:val="29"/>
          <w:color w:val="auto"/>
          <w:sz w:val="21"/>
          <w:szCs w:val="21"/>
          <w:highlight w:val="none"/>
        </w:rPr>
      </w:pPr>
      <w:bookmarkStart w:id="144" w:name="_Toc26472"/>
      <w:bookmarkStart w:id="145" w:name="_Toc1553"/>
      <w:bookmarkStart w:id="146" w:name="_Toc312133545"/>
      <w:bookmarkStart w:id="147" w:name="_Toc23680"/>
      <w:bookmarkStart w:id="148" w:name="_Toc40112132"/>
      <w:bookmarkStart w:id="149" w:name="_Toc18538"/>
      <w:r>
        <w:rPr>
          <w:rStyle w:val="29"/>
          <w:rFonts w:hint="eastAsia"/>
          <w:color w:val="auto"/>
          <w:sz w:val="21"/>
          <w:szCs w:val="21"/>
          <w:highlight w:val="none"/>
        </w:rPr>
        <w:t>投标文件的编写</w:t>
      </w:r>
      <w:bookmarkEnd w:id="144"/>
      <w:bookmarkEnd w:id="145"/>
      <w:bookmarkEnd w:id="146"/>
      <w:bookmarkEnd w:id="147"/>
      <w:bookmarkEnd w:id="148"/>
      <w:bookmarkEnd w:id="149"/>
    </w:p>
    <w:p w14:paraId="40FCF494">
      <w:pPr>
        <w:numPr>
          <w:ilvl w:val="1"/>
          <w:numId w:val="6"/>
        </w:numPr>
        <w:spacing w:line="400" w:lineRule="exact"/>
        <w:ind w:firstLine="422" w:firstLineChars="200"/>
        <w:rPr>
          <w:rFonts w:ascii="宋体" w:cs="宋体"/>
          <w:b/>
          <w:bCs/>
          <w:color w:val="auto"/>
          <w:highlight w:val="none"/>
        </w:rPr>
      </w:pPr>
      <w:bookmarkStart w:id="150" w:name="_Toc21879"/>
      <w:bookmarkStart w:id="151" w:name="_Toc17436"/>
      <w:bookmarkStart w:id="152" w:name="_Toc27498"/>
      <w:bookmarkStart w:id="153" w:name="_Toc9605"/>
      <w:r>
        <w:rPr>
          <w:rFonts w:hint="eastAsia" w:ascii="宋体" w:hAnsi="宋体" w:cs="宋体"/>
          <w:b/>
          <w:bCs/>
          <w:color w:val="auto"/>
          <w:highlight w:val="none"/>
        </w:rPr>
        <w:t>投标文件的组成</w:t>
      </w:r>
      <w:bookmarkEnd w:id="150"/>
      <w:bookmarkEnd w:id="151"/>
      <w:bookmarkEnd w:id="152"/>
      <w:bookmarkEnd w:id="153"/>
    </w:p>
    <w:p w14:paraId="6C248BFB">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投标文件包括下列部分：详见第七章投标文件格式</w:t>
      </w:r>
    </w:p>
    <w:p w14:paraId="49F845D4">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投标文件应按招标文件中投标文件格式编写。</w:t>
      </w:r>
    </w:p>
    <w:p w14:paraId="6E60E9CD">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招标文件中的每个分包，是项目招标不可拆分的最小投标单元，</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必须按此分包编制投标文件，提交相应的文件资料，拆包投标将视为漏项或非实质性响应予以认定为投标无效。</w:t>
      </w:r>
    </w:p>
    <w:p w14:paraId="3BD35574">
      <w:pPr>
        <w:numPr>
          <w:ilvl w:val="1"/>
          <w:numId w:val="6"/>
        </w:numPr>
        <w:spacing w:line="400" w:lineRule="exact"/>
        <w:ind w:firstLine="422" w:firstLineChars="200"/>
        <w:rPr>
          <w:rFonts w:ascii="宋体" w:cs="宋体"/>
          <w:b/>
          <w:bCs/>
          <w:color w:val="auto"/>
          <w:highlight w:val="none"/>
        </w:rPr>
      </w:pPr>
      <w:bookmarkStart w:id="154" w:name="_Toc2826"/>
      <w:bookmarkStart w:id="155" w:name="_Toc1833"/>
      <w:bookmarkStart w:id="156" w:name="_Toc4941"/>
      <w:bookmarkStart w:id="157" w:name="_Toc32754"/>
      <w:r>
        <w:rPr>
          <w:rFonts w:hint="eastAsia" w:ascii="宋体" w:hAnsi="宋体" w:cs="宋体"/>
          <w:b/>
          <w:bCs/>
          <w:color w:val="auto"/>
          <w:highlight w:val="none"/>
        </w:rPr>
        <w:t>投标报价</w:t>
      </w:r>
      <w:bookmarkEnd w:id="154"/>
      <w:bookmarkEnd w:id="155"/>
      <w:bookmarkEnd w:id="156"/>
      <w:bookmarkEnd w:id="157"/>
    </w:p>
    <w:p w14:paraId="078E8B3D">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应按照招标文件提供的报价明细表格式填写提供各项货物及服务的单价、分项总价和总投标价。</w:t>
      </w:r>
    </w:p>
    <w:p w14:paraId="36299E45">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val="en-US" w:eastAsia="zh-CN"/>
        </w:rPr>
        <w:t>投标总报价应是采购人指定地点交货的，包括基于交货或提供服务前发生的各种包括但不限于货物及配置产品的设计、采购、制造、检测、试验、包装、运输、保险、装卸、货款、安装调试、培训、保修维护、技术支持、质保期服务、税费和服务内容的检验、验收、技术服务（包括技术资料、图纸的提供）、质保期保障等的全部费用的总报价</w:t>
      </w:r>
      <w:r>
        <w:rPr>
          <w:rFonts w:hint="eastAsia" w:ascii="宋体" w:hAnsi="宋体" w:cs="宋体"/>
          <w:color w:val="auto"/>
          <w:szCs w:val="21"/>
          <w:highlight w:val="none"/>
        </w:rPr>
        <w:t>。</w:t>
      </w:r>
    </w:p>
    <w:p w14:paraId="53DEEE3E">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根据上述规定所作分项报价的目的只是为了评标时对投标文件进行比较的方便，但并不限制采购人订立合同的权力。</w:t>
      </w:r>
    </w:p>
    <w:p w14:paraId="265C44CA">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投标报价应完全包括招标文件规定的全部货物及其伴随的服务范围，不得任意分割或合并所规定的货物及其伴随的服务分项。</w:t>
      </w:r>
    </w:p>
    <w:p w14:paraId="69A7010C">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对每种货物只允许有一个报价，采购人和采购代理机构不接受有任何选择报价的投标。</w:t>
      </w:r>
    </w:p>
    <w:p w14:paraId="251583A7">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不得以任何理由在</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后对投标报价予以修改，报价在投标有效期内是固定的，不因任何原因而改变。任何包含价格调整要求和条件的投标，将被视为非实质性响应投标而予以拒绝。最低投标报价并不意味着一定中标。</w:t>
      </w:r>
    </w:p>
    <w:p w14:paraId="6DBC877D">
      <w:pPr>
        <w:numPr>
          <w:ilvl w:val="1"/>
          <w:numId w:val="6"/>
        </w:numPr>
        <w:spacing w:line="400" w:lineRule="exact"/>
        <w:ind w:firstLine="422" w:firstLineChars="200"/>
        <w:rPr>
          <w:rFonts w:ascii="宋体" w:cs="宋体"/>
          <w:b/>
          <w:bCs/>
          <w:color w:val="auto"/>
          <w:highlight w:val="none"/>
        </w:rPr>
      </w:pPr>
      <w:bookmarkStart w:id="158" w:name="_Toc28543"/>
      <w:bookmarkStart w:id="159" w:name="_Toc31023"/>
      <w:bookmarkStart w:id="160" w:name="_Toc25999"/>
      <w:bookmarkStart w:id="161" w:name="_Toc26916"/>
      <w:r>
        <w:rPr>
          <w:rFonts w:hint="eastAsia" w:ascii="宋体" w:hAnsi="宋体" w:cs="宋体"/>
          <w:b/>
          <w:bCs/>
          <w:color w:val="auto"/>
          <w:highlight w:val="none"/>
          <w:lang w:eastAsia="zh-CN"/>
        </w:rPr>
        <w:t>投标人</w:t>
      </w:r>
      <w:r>
        <w:rPr>
          <w:rFonts w:hint="eastAsia" w:ascii="宋体" w:hAnsi="宋体" w:cs="宋体"/>
          <w:b/>
          <w:bCs/>
          <w:color w:val="auto"/>
          <w:highlight w:val="none"/>
        </w:rPr>
        <w:t>资格的证明文件</w:t>
      </w:r>
      <w:bookmarkEnd w:id="158"/>
      <w:bookmarkEnd w:id="159"/>
      <w:bookmarkEnd w:id="160"/>
      <w:bookmarkEnd w:id="161"/>
    </w:p>
    <w:p w14:paraId="13D1D20D">
      <w:pPr>
        <w:adjustRightInd w:val="0"/>
        <w:snapToGrid w:val="0"/>
        <w:spacing w:line="400" w:lineRule="exact"/>
        <w:ind w:firstLine="420" w:firstLineChars="200"/>
        <w:rPr>
          <w:rFonts w:ascii="宋体" w:cs="宋体"/>
          <w:color w:val="auto"/>
          <w:szCs w:val="21"/>
          <w:highlight w:val="none"/>
        </w:rPr>
      </w:pPr>
      <w:bookmarkStart w:id="162" w:name="_Toc28461"/>
      <w:bookmarkStart w:id="163" w:name="_Toc30002"/>
      <w:r>
        <w:rPr>
          <w:rFonts w:hint="eastAsia" w:ascii="宋体" w:hAnsi="宋体" w:cs="宋体"/>
          <w:color w:val="auto"/>
          <w:szCs w:val="21"/>
          <w:highlight w:val="none"/>
        </w:rPr>
        <w:t>依据</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前附表中的要求提交相应的资格证明文件，作为投标文件资格审查的一部分，以证明其有资格进行投标和有能力履行合同。</w:t>
      </w:r>
    </w:p>
    <w:p w14:paraId="23D39204">
      <w:pPr>
        <w:numPr>
          <w:ilvl w:val="1"/>
          <w:numId w:val="6"/>
        </w:numPr>
        <w:spacing w:line="400" w:lineRule="exact"/>
        <w:ind w:firstLine="422" w:firstLineChars="200"/>
        <w:rPr>
          <w:rFonts w:ascii="宋体" w:cs="宋体"/>
          <w:b/>
          <w:bCs/>
          <w:color w:val="auto"/>
          <w:highlight w:val="none"/>
        </w:rPr>
      </w:pPr>
      <w:bookmarkStart w:id="164" w:name="_Toc7564"/>
      <w:bookmarkStart w:id="165" w:name="_Toc13866"/>
      <w:r>
        <w:rPr>
          <w:rFonts w:hint="eastAsia" w:ascii="宋体" w:hAnsi="宋体" w:cs="宋体"/>
          <w:b/>
          <w:bCs/>
          <w:color w:val="auto"/>
          <w:highlight w:val="none"/>
          <w:lang w:eastAsia="zh-CN"/>
        </w:rPr>
        <w:t>投标人</w:t>
      </w:r>
      <w:r>
        <w:rPr>
          <w:rFonts w:hint="eastAsia" w:ascii="宋体" w:hAnsi="宋体" w:cs="宋体"/>
          <w:b/>
          <w:bCs/>
          <w:color w:val="auto"/>
          <w:highlight w:val="none"/>
        </w:rPr>
        <w:t>技术证明文件</w:t>
      </w:r>
      <w:bookmarkEnd w:id="162"/>
      <w:bookmarkEnd w:id="163"/>
      <w:bookmarkEnd w:id="164"/>
      <w:bookmarkEnd w:id="165"/>
    </w:p>
    <w:p w14:paraId="20D83376">
      <w:pPr>
        <w:numPr>
          <w:ilvl w:val="2"/>
          <w:numId w:val="6"/>
        </w:numPr>
        <w:adjustRightInd w:val="0"/>
        <w:snapToGrid w:val="0"/>
        <w:spacing w:line="400" w:lineRule="exact"/>
        <w:ind w:firstLine="420" w:firstLineChars="200"/>
        <w:rPr>
          <w:rFonts w:ascii="宋体" w:cs="宋体"/>
          <w:color w:val="auto"/>
          <w:szCs w:val="21"/>
          <w:highlight w:val="none"/>
        </w:rPr>
      </w:pPr>
      <w:bookmarkStart w:id="166" w:name="_Toc26009"/>
      <w:bookmarkStart w:id="167" w:name="_Toc26473"/>
      <w:bookmarkStart w:id="168" w:name="_Toc14418"/>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应提交证明其拟供货物及伴随服务符合招标文件规定的技术响应文件，作为投标文件的一部分。</w:t>
      </w:r>
    </w:p>
    <w:p w14:paraId="3BD58D45">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在投标文件中应说明各项货物名称、数量、单价、规格型号等。</w:t>
      </w:r>
    </w:p>
    <w:p w14:paraId="4C5A790A">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证明文件可以是文字资料、图纸和数据。</w:t>
      </w:r>
    </w:p>
    <w:p w14:paraId="6ADD8677">
      <w:pPr>
        <w:numPr>
          <w:ilvl w:val="1"/>
          <w:numId w:val="6"/>
        </w:numPr>
        <w:spacing w:line="400" w:lineRule="exact"/>
        <w:ind w:firstLine="422" w:firstLineChars="200"/>
        <w:rPr>
          <w:rFonts w:ascii="宋体" w:cs="宋体"/>
          <w:b/>
          <w:bCs/>
          <w:color w:val="auto"/>
          <w:highlight w:val="none"/>
        </w:rPr>
      </w:pPr>
      <w:bookmarkStart w:id="169" w:name="_Toc20716"/>
      <w:r>
        <w:rPr>
          <w:rFonts w:hint="eastAsia" w:ascii="宋体" w:hAnsi="宋体" w:cs="宋体"/>
          <w:b/>
          <w:bCs/>
          <w:color w:val="auto"/>
          <w:highlight w:val="none"/>
        </w:rPr>
        <w:t>投标保证金</w:t>
      </w:r>
      <w:bookmarkEnd w:id="166"/>
      <w:bookmarkEnd w:id="167"/>
      <w:bookmarkEnd w:id="168"/>
      <w:bookmarkEnd w:id="169"/>
    </w:p>
    <w:p w14:paraId="596BD4E0">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根据豫财购【</w:t>
      </w:r>
      <w:r>
        <w:rPr>
          <w:rFonts w:ascii="宋体" w:hAnsi="宋体" w:cs="宋体"/>
          <w:color w:val="auto"/>
          <w:szCs w:val="21"/>
          <w:highlight w:val="none"/>
        </w:rPr>
        <w:t>2019</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号文要求，不再收取投标保证金。</w:t>
      </w:r>
    </w:p>
    <w:p w14:paraId="45FD1994">
      <w:pPr>
        <w:numPr>
          <w:ilvl w:val="1"/>
          <w:numId w:val="6"/>
        </w:numPr>
        <w:spacing w:line="400" w:lineRule="exact"/>
        <w:ind w:firstLine="422" w:firstLineChars="200"/>
        <w:rPr>
          <w:rFonts w:ascii="宋体" w:cs="宋体"/>
          <w:b/>
          <w:bCs/>
          <w:color w:val="auto"/>
          <w:highlight w:val="none"/>
        </w:rPr>
      </w:pPr>
      <w:bookmarkStart w:id="170" w:name="_Toc29010"/>
      <w:bookmarkStart w:id="171" w:name="_Toc11749"/>
      <w:bookmarkStart w:id="172" w:name="_Toc11525"/>
      <w:bookmarkStart w:id="173" w:name="_Toc878"/>
      <w:r>
        <w:rPr>
          <w:rFonts w:hint="eastAsia" w:ascii="宋体" w:hAnsi="宋体" w:cs="宋体"/>
          <w:b/>
          <w:bCs/>
          <w:color w:val="auto"/>
          <w:highlight w:val="none"/>
        </w:rPr>
        <w:t>投标有效期</w:t>
      </w:r>
      <w:bookmarkEnd w:id="170"/>
      <w:bookmarkEnd w:id="171"/>
      <w:bookmarkEnd w:id="172"/>
      <w:bookmarkEnd w:id="173"/>
    </w:p>
    <w:p w14:paraId="61843F22">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投标有效期见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前附表，从递交投标文件的截止之日起算。投标有效期内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不得要求撤销投标文件。</w:t>
      </w:r>
    </w:p>
    <w:p w14:paraId="590D4C5E">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投标文件应自递交投标文件的截止之日起，在</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前附表规定的时间内保持有效。投标有效期不足的将被视为非响应投标而予以拒绝。</w:t>
      </w:r>
    </w:p>
    <w:p w14:paraId="77A22CA0">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在特殊情况下，在原投标有效期截止之前，采购人和采购代理机构可征求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同意延长投标有效期。这种要求与答复均应以书面形式提交。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可以拒绝这种要求。同意延期的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将不会被要求也不允许修改其投标。</w:t>
      </w:r>
    </w:p>
    <w:p w14:paraId="31769102">
      <w:pPr>
        <w:numPr>
          <w:ilvl w:val="1"/>
          <w:numId w:val="6"/>
        </w:numPr>
        <w:spacing w:line="400" w:lineRule="exact"/>
        <w:ind w:firstLine="422" w:firstLineChars="200"/>
        <w:rPr>
          <w:rFonts w:ascii="宋体" w:cs="宋体"/>
          <w:b/>
          <w:bCs/>
          <w:color w:val="auto"/>
          <w:highlight w:val="none"/>
        </w:rPr>
      </w:pPr>
      <w:bookmarkStart w:id="174" w:name="_Toc5773"/>
      <w:bookmarkStart w:id="175" w:name="_Toc25251"/>
      <w:bookmarkStart w:id="176" w:name="_Toc9753"/>
      <w:bookmarkStart w:id="177" w:name="_Toc10777"/>
      <w:r>
        <w:rPr>
          <w:rFonts w:hint="eastAsia" w:ascii="宋体" w:hAnsi="宋体" w:cs="宋体"/>
          <w:b/>
          <w:bCs/>
          <w:color w:val="auto"/>
          <w:highlight w:val="none"/>
        </w:rPr>
        <w:t>投标文件编制</w:t>
      </w:r>
      <w:bookmarkEnd w:id="174"/>
      <w:bookmarkEnd w:id="175"/>
      <w:bookmarkEnd w:id="176"/>
      <w:bookmarkEnd w:id="177"/>
    </w:p>
    <w:p w14:paraId="61CA281C">
      <w:pPr>
        <w:numPr>
          <w:ilvl w:val="2"/>
          <w:numId w:val="6"/>
        </w:numPr>
        <w:adjustRightInd w:val="0"/>
        <w:snapToGrid w:val="0"/>
        <w:spacing w:line="400" w:lineRule="exact"/>
        <w:ind w:firstLine="420" w:firstLineChars="200"/>
        <w:rPr>
          <w:rFonts w:ascii="宋体" w:cs="宋体"/>
          <w:color w:val="auto"/>
          <w:szCs w:val="21"/>
          <w:highlight w:val="none"/>
        </w:rPr>
      </w:pPr>
      <w:bookmarkStart w:id="178" w:name="_Toc312133546"/>
      <w:r>
        <w:rPr>
          <w:rFonts w:hint="eastAsia" w:ascii="宋体" w:hAnsi="宋体" w:cs="宋体"/>
          <w:color w:val="auto"/>
          <w:szCs w:val="21"/>
          <w:highlight w:val="none"/>
        </w:rPr>
        <w:t>投标文件应按第七章“投标文件格式”进行编写，如有必要，可以增加附页，作为投标文件的组成部分。其中，投标函附录在满足招标文件实质性要求的基础上，可以提出比招标文件要求更有利于采购人的承诺。</w:t>
      </w:r>
    </w:p>
    <w:p w14:paraId="74C5AF55">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投标文件应当对招标文件有关投标有效期、招标范围等实质性内容作出响应。</w:t>
      </w:r>
    </w:p>
    <w:p w14:paraId="782DABFC">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投标文件须是已上传加密的的电子投标文件，并按招标文件中要求签字盖章，如授权代表签字或盖章，授权代表必须将书面形式出具的法定代表人授权委托书附在投标文件中。</w:t>
      </w:r>
    </w:p>
    <w:p w14:paraId="4A292831">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任何行间插字、涂改和增删，必须由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法定代表人或其委托代理人在旁边签字或加盖公章后有效。</w:t>
      </w:r>
    </w:p>
    <w:p w14:paraId="1726D145">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电报、电传和传真投标文件一律不接受。</w:t>
      </w:r>
    </w:p>
    <w:p w14:paraId="428AA25A">
      <w:pPr>
        <w:numPr>
          <w:ilvl w:val="0"/>
          <w:numId w:val="6"/>
        </w:numPr>
        <w:spacing w:line="400" w:lineRule="exact"/>
        <w:ind w:firstLine="422" w:firstLineChars="200"/>
        <w:outlineLvl w:val="1"/>
        <w:rPr>
          <w:rStyle w:val="29"/>
          <w:color w:val="auto"/>
          <w:sz w:val="21"/>
          <w:szCs w:val="21"/>
          <w:highlight w:val="none"/>
        </w:rPr>
      </w:pPr>
      <w:bookmarkStart w:id="179" w:name="_Toc5919"/>
      <w:bookmarkStart w:id="180" w:name="_Toc25147"/>
      <w:bookmarkStart w:id="181" w:name="_Toc40112133"/>
      <w:bookmarkStart w:id="182" w:name="_Toc18954"/>
      <w:bookmarkStart w:id="183" w:name="_Toc13655"/>
      <w:r>
        <w:rPr>
          <w:rStyle w:val="29"/>
          <w:rFonts w:hint="eastAsia"/>
          <w:color w:val="auto"/>
          <w:sz w:val="21"/>
          <w:szCs w:val="21"/>
          <w:highlight w:val="none"/>
        </w:rPr>
        <w:t>投标</w:t>
      </w:r>
      <w:bookmarkEnd w:id="178"/>
      <w:bookmarkEnd w:id="179"/>
      <w:bookmarkEnd w:id="180"/>
      <w:bookmarkEnd w:id="181"/>
      <w:bookmarkEnd w:id="182"/>
      <w:bookmarkEnd w:id="183"/>
    </w:p>
    <w:p w14:paraId="6CC1CFB5">
      <w:pPr>
        <w:numPr>
          <w:ilvl w:val="1"/>
          <w:numId w:val="6"/>
        </w:numPr>
        <w:spacing w:line="400" w:lineRule="exact"/>
        <w:ind w:firstLine="422" w:firstLineChars="200"/>
        <w:rPr>
          <w:rFonts w:ascii="宋体" w:cs="宋体"/>
          <w:b/>
          <w:bCs/>
          <w:color w:val="auto"/>
          <w:highlight w:val="none"/>
        </w:rPr>
      </w:pPr>
      <w:bookmarkStart w:id="184" w:name="_Toc9486"/>
      <w:bookmarkStart w:id="185" w:name="_Toc15515"/>
      <w:bookmarkStart w:id="186" w:name="_Toc2541"/>
      <w:bookmarkStart w:id="187" w:name="_Toc7201"/>
      <w:bookmarkStart w:id="188" w:name="_Toc7004"/>
      <w:bookmarkStart w:id="189" w:name="_Toc17190"/>
      <w:bookmarkStart w:id="190" w:name="_Toc22690"/>
      <w:bookmarkStart w:id="191" w:name="_Toc24089"/>
      <w:bookmarkStart w:id="192" w:name="_Toc25740"/>
      <w:bookmarkStart w:id="193" w:name="_Toc23777"/>
      <w:bookmarkStart w:id="194" w:name="_Toc24770"/>
      <w:bookmarkStart w:id="195" w:name="_Toc312133547"/>
      <w:r>
        <w:rPr>
          <w:rFonts w:hint="eastAsia" w:ascii="宋体" w:hAnsi="宋体" w:cs="宋体"/>
          <w:b/>
          <w:bCs/>
          <w:color w:val="auto"/>
          <w:highlight w:val="none"/>
        </w:rPr>
        <w:t>投标文件签署和盖章</w:t>
      </w:r>
      <w:bookmarkEnd w:id="184"/>
      <w:bookmarkEnd w:id="185"/>
      <w:bookmarkEnd w:id="186"/>
      <w:bookmarkEnd w:id="187"/>
      <w:bookmarkEnd w:id="188"/>
      <w:bookmarkEnd w:id="189"/>
      <w:bookmarkEnd w:id="190"/>
      <w:bookmarkEnd w:id="191"/>
      <w:bookmarkEnd w:id="192"/>
      <w:bookmarkEnd w:id="193"/>
      <w:bookmarkEnd w:id="194"/>
    </w:p>
    <w:p w14:paraId="6A58AA65">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按照招标文件中格式的要求签字或盖章。</w:t>
      </w:r>
    </w:p>
    <w:p w14:paraId="299566DB">
      <w:pPr>
        <w:numPr>
          <w:ilvl w:val="1"/>
          <w:numId w:val="6"/>
        </w:numPr>
        <w:spacing w:line="400" w:lineRule="exact"/>
        <w:ind w:firstLine="422" w:firstLineChars="200"/>
        <w:rPr>
          <w:rFonts w:ascii="宋体" w:cs="宋体"/>
          <w:b/>
          <w:bCs/>
          <w:color w:val="auto"/>
          <w:highlight w:val="none"/>
        </w:rPr>
      </w:pPr>
      <w:bookmarkStart w:id="196" w:name="_Toc17164"/>
      <w:bookmarkStart w:id="197" w:name="_Toc8642"/>
      <w:bookmarkStart w:id="198" w:name="_Toc14647"/>
      <w:bookmarkStart w:id="199" w:name="_Toc28937"/>
      <w:bookmarkStart w:id="200" w:name="_Toc27621"/>
      <w:bookmarkStart w:id="201" w:name="_Toc27859"/>
      <w:bookmarkStart w:id="202" w:name="_Toc17234"/>
      <w:bookmarkStart w:id="203" w:name="_Toc20161"/>
      <w:bookmarkStart w:id="204" w:name="_Toc10849"/>
      <w:bookmarkStart w:id="205" w:name="_Toc2882"/>
      <w:bookmarkStart w:id="206" w:name="_Toc25206"/>
      <w:r>
        <w:rPr>
          <w:rFonts w:hint="eastAsia" w:ascii="宋体" w:hAnsi="宋体" w:cs="宋体"/>
          <w:b/>
          <w:bCs/>
          <w:color w:val="auto"/>
          <w:highlight w:val="none"/>
        </w:rPr>
        <w:t>投标文件的递交</w:t>
      </w:r>
      <w:bookmarkEnd w:id="196"/>
      <w:bookmarkEnd w:id="197"/>
      <w:bookmarkEnd w:id="198"/>
      <w:bookmarkEnd w:id="199"/>
      <w:bookmarkEnd w:id="200"/>
      <w:bookmarkEnd w:id="201"/>
      <w:bookmarkEnd w:id="202"/>
      <w:bookmarkEnd w:id="203"/>
      <w:bookmarkEnd w:id="204"/>
      <w:bookmarkEnd w:id="205"/>
      <w:bookmarkEnd w:id="206"/>
    </w:p>
    <w:p w14:paraId="09F48EB5">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lang w:eastAsia="zh-CN"/>
        </w:rPr>
        <w:t>投标人</w:t>
      </w:r>
      <w:r>
        <w:rPr>
          <w:rFonts w:hint="eastAsia" w:ascii="宋体" w:hAnsi="宋体" w:cs="宋体"/>
          <w:color w:val="auto"/>
          <w:spacing w:val="-2"/>
          <w:kern w:val="0"/>
          <w:szCs w:val="21"/>
          <w:highlight w:val="none"/>
        </w:rPr>
        <w:t>应</w:t>
      </w:r>
      <w:r>
        <w:rPr>
          <w:rFonts w:hint="eastAsia" w:ascii="宋体" w:hAnsi="宋体" w:cs="宋体"/>
          <w:color w:val="auto"/>
          <w:kern w:val="0"/>
          <w:szCs w:val="21"/>
          <w:highlight w:val="none"/>
        </w:rPr>
        <w:t>在</w:t>
      </w:r>
      <w:r>
        <w:rPr>
          <w:rFonts w:hint="eastAsia" w:ascii="宋体" w:hAnsi="宋体" w:cs="宋体"/>
          <w:color w:val="auto"/>
          <w:spacing w:val="-2"/>
          <w:kern w:val="0"/>
          <w:szCs w:val="21"/>
          <w:highlight w:val="none"/>
          <w:lang w:eastAsia="zh-CN"/>
        </w:rPr>
        <w:t>投标人须知</w:t>
      </w:r>
      <w:r>
        <w:rPr>
          <w:rFonts w:hint="eastAsia" w:ascii="宋体" w:hAnsi="宋体" w:cs="宋体"/>
          <w:color w:val="auto"/>
          <w:kern w:val="0"/>
          <w:szCs w:val="21"/>
          <w:highlight w:val="none"/>
        </w:rPr>
        <w:t>前</w:t>
      </w:r>
      <w:r>
        <w:rPr>
          <w:rFonts w:hint="eastAsia" w:ascii="宋体" w:hAnsi="宋体" w:cs="宋体"/>
          <w:color w:val="auto"/>
          <w:spacing w:val="-2"/>
          <w:kern w:val="0"/>
          <w:szCs w:val="21"/>
          <w:highlight w:val="none"/>
        </w:rPr>
        <w:t>附</w:t>
      </w:r>
      <w:r>
        <w:rPr>
          <w:rFonts w:hint="eastAsia" w:ascii="宋体" w:hAnsi="宋体" w:cs="宋体"/>
          <w:color w:val="auto"/>
          <w:kern w:val="0"/>
          <w:szCs w:val="21"/>
          <w:highlight w:val="none"/>
        </w:rPr>
        <w:t>表</w:t>
      </w:r>
      <w:r>
        <w:rPr>
          <w:rFonts w:hint="eastAsia" w:ascii="宋体" w:hAnsi="宋体" w:cs="宋体"/>
          <w:color w:val="auto"/>
          <w:spacing w:val="-2"/>
          <w:kern w:val="0"/>
          <w:szCs w:val="21"/>
          <w:highlight w:val="none"/>
        </w:rPr>
        <w:t>规</w:t>
      </w:r>
      <w:r>
        <w:rPr>
          <w:rFonts w:hint="eastAsia" w:ascii="宋体" w:hAnsi="宋体" w:cs="宋体"/>
          <w:color w:val="auto"/>
          <w:kern w:val="0"/>
          <w:szCs w:val="21"/>
          <w:highlight w:val="none"/>
        </w:rPr>
        <w:t>定</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投</w:t>
      </w:r>
      <w:r>
        <w:rPr>
          <w:rFonts w:hint="eastAsia" w:ascii="宋体" w:hAnsi="宋体" w:cs="宋体"/>
          <w:color w:val="auto"/>
          <w:spacing w:val="-2"/>
          <w:kern w:val="0"/>
          <w:szCs w:val="21"/>
          <w:highlight w:val="none"/>
        </w:rPr>
        <w:t>标</w:t>
      </w:r>
      <w:r>
        <w:rPr>
          <w:rFonts w:hint="eastAsia" w:ascii="宋体" w:hAnsi="宋体" w:cs="宋体"/>
          <w:color w:val="auto"/>
          <w:kern w:val="0"/>
          <w:szCs w:val="21"/>
          <w:highlight w:val="none"/>
        </w:rPr>
        <w:t>截</w:t>
      </w:r>
      <w:r>
        <w:rPr>
          <w:rFonts w:hint="eastAsia" w:ascii="宋体" w:hAnsi="宋体" w:cs="宋体"/>
          <w:color w:val="auto"/>
          <w:spacing w:val="-2"/>
          <w:kern w:val="0"/>
          <w:szCs w:val="21"/>
          <w:highlight w:val="none"/>
        </w:rPr>
        <w:t>止</w:t>
      </w:r>
      <w:r>
        <w:rPr>
          <w:rFonts w:hint="eastAsia" w:ascii="宋体" w:hAnsi="宋体" w:cs="宋体"/>
          <w:color w:val="auto"/>
          <w:kern w:val="0"/>
          <w:szCs w:val="21"/>
          <w:highlight w:val="none"/>
        </w:rPr>
        <w:t>时间</w:t>
      </w:r>
      <w:r>
        <w:rPr>
          <w:rFonts w:hint="eastAsia" w:ascii="宋体" w:hAnsi="宋体" w:cs="宋体"/>
          <w:color w:val="auto"/>
          <w:spacing w:val="-2"/>
          <w:kern w:val="0"/>
          <w:szCs w:val="21"/>
          <w:highlight w:val="none"/>
        </w:rPr>
        <w:t>前</w:t>
      </w:r>
      <w:r>
        <w:rPr>
          <w:rFonts w:hint="eastAsia" w:ascii="宋体" w:hAnsi="宋体" w:cs="宋体"/>
          <w:color w:val="auto"/>
          <w:kern w:val="0"/>
          <w:szCs w:val="21"/>
          <w:highlight w:val="none"/>
        </w:rPr>
        <w:t>递</w:t>
      </w:r>
      <w:r>
        <w:rPr>
          <w:rFonts w:hint="eastAsia" w:ascii="宋体" w:hAnsi="宋体" w:cs="宋体"/>
          <w:color w:val="auto"/>
          <w:spacing w:val="-2"/>
          <w:kern w:val="0"/>
          <w:szCs w:val="21"/>
          <w:highlight w:val="none"/>
        </w:rPr>
        <w:t>交</w:t>
      </w:r>
      <w:r>
        <w:rPr>
          <w:rFonts w:hint="eastAsia" w:ascii="宋体" w:hAnsi="宋体" w:cs="宋体"/>
          <w:color w:val="auto"/>
          <w:kern w:val="0"/>
          <w:szCs w:val="21"/>
          <w:highlight w:val="none"/>
        </w:rPr>
        <w:t>投</w:t>
      </w:r>
      <w:r>
        <w:rPr>
          <w:rFonts w:hint="eastAsia" w:ascii="宋体" w:hAnsi="宋体" w:cs="宋体"/>
          <w:color w:val="auto"/>
          <w:spacing w:val="-2"/>
          <w:kern w:val="0"/>
          <w:szCs w:val="21"/>
          <w:highlight w:val="none"/>
        </w:rPr>
        <w:t>标</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r>
        <w:rPr>
          <w:rFonts w:hint="eastAsia" w:ascii="宋体" w:hAnsi="宋体" w:cs="宋体"/>
          <w:color w:val="auto"/>
          <w:kern w:val="0"/>
          <w:szCs w:val="21"/>
          <w:highlight w:val="none"/>
        </w:rPr>
        <w:t>。</w:t>
      </w:r>
    </w:p>
    <w:p w14:paraId="314B93DD">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电子投标文件的递交：</w:t>
      </w:r>
      <w:r>
        <w:rPr>
          <w:rFonts w:ascii="宋体" w:hAnsi="宋体" w:cs="宋体"/>
          <w:color w:val="auto"/>
          <w:szCs w:val="21"/>
          <w:highlight w:val="none"/>
        </w:rPr>
        <w:t xml:space="preserve"> </w:t>
      </w:r>
    </w:p>
    <w:p w14:paraId="3D7DACC8">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应在投标截止时间前上传加密的电子投标文件到电子交易平台系统的指定位置。上传时必须得到电脑“上传成功”的确认。请</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在上传时认真检查上传投标文件是否完整、正确。</w:t>
      </w:r>
      <w:r>
        <w:rPr>
          <w:rFonts w:ascii="宋体" w:hAnsi="宋体" w:cs="宋体"/>
          <w:color w:val="auto"/>
          <w:szCs w:val="21"/>
          <w:highlight w:val="none"/>
        </w:rPr>
        <w:t xml:space="preserve"> </w:t>
      </w:r>
    </w:p>
    <w:p w14:paraId="051EA6C0">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因交易中心投标系统问题无法上传电子投标文件时，请在工作时间与</w:t>
      </w:r>
      <w:r>
        <w:rPr>
          <w:rFonts w:hint="eastAsia" w:ascii="宋体" w:hAnsi="宋体" w:cs="宋体"/>
          <w:color w:val="auto"/>
          <w:szCs w:val="21"/>
          <w:highlight w:val="none"/>
          <w:lang w:eastAsia="zh-CN"/>
        </w:rPr>
        <w:t>《全国公共资源交易平台（河南省·平顶山市）》</w:t>
      </w:r>
      <w:r>
        <w:rPr>
          <w:rFonts w:hint="eastAsia" w:ascii="宋体" w:hAnsi="宋体" w:cs="宋体"/>
          <w:color w:val="auto"/>
          <w:szCs w:val="21"/>
          <w:highlight w:val="none"/>
        </w:rPr>
        <w:t>联系。</w:t>
      </w:r>
      <w:r>
        <w:rPr>
          <w:rFonts w:ascii="宋体" w:hAnsi="宋体" w:cs="宋体"/>
          <w:color w:val="auto"/>
          <w:szCs w:val="21"/>
          <w:highlight w:val="none"/>
        </w:rPr>
        <w:t xml:space="preserve"> </w:t>
      </w:r>
    </w:p>
    <w:p w14:paraId="22234B11">
      <w:pPr>
        <w:numPr>
          <w:ilvl w:val="1"/>
          <w:numId w:val="6"/>
        </w:numPr>
        <w:spacing w:line="400" w:lineRule="exact"/>
        <w:ind w:firstLine="422" w:firstLineChars="200"/>
        <w:rPr>
          <w:rFonts w:ascii="宋体" w:cs="宋体"/>
          <w:b/>
          <w:bCs/>
          <w:color w:val="auto"/>
          <w:highlight w:val="none"/>
        </w:rPr>
      </w:pPr>
      <w:bookmarkStart w:id="207" w:name="_Toc8025"/>
      <w:bookmarkStart w:id="208" w:name="_Toc23125"/>
      <w:bookmarkStart w:id="209" w:name="_Toc27900"/>
      <w:bookmarkStart w:id="210" w:name="_Toc22212"/>
      <w:bookmarkStart w:id="211" w:name="_Toc3471"/>
      <w:bookmarkStart w:id="212" w:name="_Toc7423"/>
      <w:bookmarkStart w:id="213" w:name="_Toc31018"/>
      <w:bookmarkStart w:id="214" w:name="_Toc13886"/>
      <w:bookmarkStart w:id="215" w:name="_Toc32365"/>
      <w:bookmarkStart w:id="216" w:name="_Toc27084"/>
      <w:bookmarkStart w:id="217" w:name="_Toc19554"/>
      <w:r>
        <w:rPr>
          <w:rFonts w:hint="eastAsia" w:ascii="宋体" w:hAnsi="宋体" w:cs="宋体"/>
          <w:b/>
          <w:bCs/>
          <w:color w:val="auto"/>
          <w:highlight w:val="none"/>
        </w:rPr>
        <w:t>投标文件的修改和撤回</w:t>
      </w:r>
      <w:bookmarkEnd w:id="207"/>
      <w:bookmarkEnd w:id="208"/>
      <w:bookmarkEnd w:id="209"/>
      <w:bookmarkEnd w:id="210"/>
      <w:bookmarkEnd w:id="211"/>
      <w:bookmarkEnd w:id="212"/>
      <w:bookmarkEnd w:id="213"/>
      <w:bookmarkEnd w:id="214"/>
      <w:bookmarkEnd w:id="215"/>
      <w:bookmarkEnd w:id="216"/>
      <w:bookmarkEnd w:id="217"/>
    </w:p>
    <w:p w14:paraId="50D40D69">
      <w:pPr>
        <w:numPr>
          <w:ilvl w:val="2"/>
          <w:numId w:val="6"/>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在本章第</w:t>
      </w:r>
      <w:r>
        <w:rPr>
          <w:rFonts w:ascii="宋体" w:hAnsi="宋体" w:cs="宋体"/>
          <w:color w:val="auto"/>
          <w:kern w:val="0"/>
          <w:szCs w:val="21"/>
          <w:highlight w:val="none"/>
        </w:rPr>
        <w:t>4.2.1</w:t>
      </w:r>
      <w:r>
        <w:rPr>
          <w:rFonts w:hint="eastAsia" w:ascii="宋体" w:hAnsi="宋体" w:cs="宋体"/>
          <w:color w:val="auto"/>
          <w:kern w:val="0"/>
          <w:szCs w:val="21"/>
          <w:highlight w:val="none"/>
        </w:rPr>
        <w:t>项规定的投标截止时间前，</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可以修改或撤回已上传的投标文件。</w:t>
      </w:r>
    </w:p>
    <w:p w14:paraId="169058DF">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在投标截止时间之后，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不得对其投标文件做任何修改。</w:t>
      </w:r>
    </w:p>
    <w:p w14:paraId="7C77E400">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从投标截止时间至</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在投标文件中载明的投标有效期满期间，</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不得撤回其投标文件。</w:t>
      </w:r>
    </w:p>
    <w:p w14:paraId="7DAC2F4F">
      <w:pPr>
        <w:numPr>
          <w:ilvl w:val="0"/>
          <w:numId w:val="6"/>
        </w:numPr>
        <w:spacing w:line="400" w:lineRule="exact"/>
        <w:ind w:firstLine="422" w:firstLineChars="200"/>
        <w:outlineLvl w:val="1"/>
        <w:rPr>
          <w:rStyle w:val="29"/>
          <w:color w:val="auto"/>
          <w:sz w:val="21"/>
          <w:szCs w:val="21"/>
          <w:highlight w:val="none"/>
        </w:rPr>
      </w:pPr>
      <w:bookmarkStart w:id="218" w:name="_Toc40112134"/>
      <w:bookmarkStart w:id="219" w:name="_Toc17439"/>
      <w:bookmarkStart w:id="220" w:name="_Toc27025"/>
      <w:bookmarkStart w:id="221" w:name="_Toc20910"/>
      <w:bookmarkStart w:id="222" w:name="_Toc28530"/>
      <w:r>
        <w:rPr>
          <w:rStyle w:val="29"/>
          <w:rFonts w:hint="eastAsia"/>
          <w:color w:val="auto"/>
          <w:sz w:val="21"/>
          <w:szCs w:val="21"/>
          <w:highlight w:val="none"/>
        </w:rPr>
        <w:t>开标、资格审查与评标</w:t>
      </w:r>
      <w:bookmarkEnd w:id="195"/>
      <w:bookmarkEnd w:id="218"/>
      <w:bookmarkEnd w:id="219"/>
      <w:bookmarkEnd w:id="220"/>
      <w:bookmarkEnd w:id="221"/>
      <w:bookmarkEnd w:id="222"/>
    </w:p>
    <w:p w14:paraId="2D5BC6FF">
      <w:pPr>
        <w:numPr>
          <w:ilvl w:val="1"/>
          <w:numId w:val="6"/>
        </w:numPr>
        <w:spacing w:line="400" w:lineRule="exact"/>
        <w:ind w:firstLine="422" w:firstLineChars="200"/>
        <w:rPr>
          <w:rFonts w:ascii="宋体" w:cs="宋体"/>
          <w:b/>
          <w:bCs/>
          <w:color w:val="auto"/>
          <w:highlight w:val="none"/>
        </w:rPr>
      </w:pPr>
      <w:bookmarkStart w:id="223" w:name="_Toc21689"/>
      <w:bookmarkStart w:id="224" w:name="_Toc3484"/>
      <w:bookmarkStart w:id="225" w:name="_Toc28821"/>
      <w:bookmarkStart w:id="226" w:name="_Toc1051"/>
      <w:bookmarkStart w:id="227" w:name="_Toc10066"/>
      <w:bookmarkStart w:id="228" w:name="_Toc24837"/>
      <w:bookmarkStart w:id="229" w:name="_Toc30917"/>
      <w:bookmarkStart w:id="230" w:name="_Toc22058"/>
      <w:bookmarkStart w:id="231" w:name="_Toc18834"/>
      <w:bookmarkStart w:id="232" w:name="_Toc10372"/>
      <w:bookmarkStart w:id="233" w:name="_Toc3802"/>
      <w:bookmarkStart w:id="234" w:name="_Toc312133548"/>
      <w:r>
        <w:rPr>
          <w:rFonts w:hint="eastAsia" w:ascii="宋体" w:hAnsi="宋体" w:cs="宋体"/>
          <w:b/>
          <w:bCs/>
          <w:color w:val="auto"/>
          <w:highlight w:val="none"/>
        </w:rPr>
        <w:t>开标</w:t>
      </w:r>
      <w:bookmarkEnd w:id="223"/>
      <w:bookmarkEnd w:id="224"/>
      <w:bookmarkEnd w:id="225"/>
      <w:bookmarkEnd w:id="226"/>
      <w:bookmarkEnd w:id="227"/>
      <w:bookmarkEnd w:id="228"/>
      <w:bookmarkEnd w:id="229"/>
      <w:bookmarkEnd w:id="230"/>
      <w:bookmarkEnd w:id="231"/>
      <w:bookmarkEnd w:id="232"/>
      <w:bookmarkEnd w:id="233"/>
    </w:p>
    <w:p w14:paraId="0BDF9249">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采购代理机构在</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前附表中规定的时间和地点组织公开开标。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不足</w:t>
      </w:r>
      <w:r>
        <w:rPr>
          <w:rFonts w:ascii="宋体" w:hAnsi="宋体" w:cs="宋体"/>
          <w:color w:val="auto"/>
          <w:szCs w:val="21"/>
          <w:highlight w:val="none"/>
        </w:rPr>
        <w:t>3</w:t>
      </w:r>
      <w:r>
        <w:rPr>
          <w:rFonts w:hint="eastAsia" w:ascii="宋体" w:hAnsi="宋体" w:cs="宋体"/>
          <w:color w:val="auto"/>
          <w:szCs w:val="21"/>
          <w:highlight w:val="none"/>
        </w:rPr>
        <w:t>家的，不得开标。开标由采购代理机构主持，邀请所有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的法定代表人或委托代理人参加远程不见面开标会议。</w:t>
      </w:r>
    </w:p>
    <w:p w14:paraId="6892C1C5">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开标程序：</w:t>
      </w:r>
    </w:p>
    <w:p w14:paraId="6A4B619A">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bookmarkStart w:id="235" w:name="_Toc14761"/>
      <w:r>
        <w:rPr>
          <w:rFonts w:hint="eastAsia" w:ascii="宋体" w:hAnsi="宋体" w:cs="宋体"/>
          <w:color w:val="auto"/>
          <w:szCs w:val="21"/>
          <w:highlight w:val="none"/>
        </w:rPr>
        <w:t>公布投标人</w:t>
      </w:r>
      <w:bookmarkEnd w:id="235"/>
      <w:r>
        <w:rPr>
          <w:rFonts w:hint="eastAsia" w:ascii="宋体" w:hAnsi="宋体" w:cs="宋体"/>
          <w:color w:val="auto"/>
          <w:szCs w:val="21"/>
          <w:highlight w:val="none"/>
        </w:rPr>
        <w:t>（供应商）；</w:t>
      </w:r>
    </w:p>
    <w:p w14:paraId="36D97E23">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bookmarkStart w:id="236" w:name="_Toc2651"/>
      <w:r>
        <w:rPr>
          <w:rFonts w:hint="eastAsia" w:ascii="宋体" w:hAnsi="宋体" w:cs="宋体"/>
          <w:color w:val="auto"/>
          <w:szCs w:val="21"/>
          <w:highlight w:val="none"/>
        </w:rPr>
        <w:t>投标人（供应商）解密</w:t>
      </w:r>
      <w:bookmarkEnd w:id="236"/>
      <w:r>
        <w:rPr>
          <w:rFonts w:hint="eastAsia" w:ascii="宋体" w:hAnsi="宋体" w:cs="宋体"/>
          <w:color w:val="auto"/>
          <w:szCs w:val="21"/>
          <w:highlight w:val="none"/>
        </w:rPr>
        <w:t>；</w:t>
      </w:r>
    </w:p>
    <w:p w14:paraId="305831F1">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）批量导入完成后，公布开标结果；</w:t>
      </w:r>
    </w:p>
    <w:p w14:paraId="19C917AF">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w:t>
      </w:r>
      <w:bookmarkStart w:id="237" w:name="_Toc17366"/>
      <w:r>
        <w:rPr>
          <w:rFonts w:hint="eastAsia" w:ascii="宋体" w:hAnsi="宋体" w:cs="宋体"/>
          <w:color w:val="auto"/>
          <w:szCs w:val="21"/>
          <w:highlight w:val="none"/>
        </w:rPr>
        <w:t>异议答复</w:t>
      </w:r>
      <w:bookmarkEnd w:id="237"/>
      <w:r>
        <w:rPr>
          <w:rFonts w:hint="eastAsia" w:ascii="宋体" w:hAnsi="宋体" w:cs="宋体"/>
          <w:color w:val="auto"/>
          <w:szCs w:val="21"/>
          <w:highlight w:val="none"/>
        </w:rPr>
        <w:t>；</w:t>
      </w:r>
    </w:p>
    <w:p w14:paraId="6428513C">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）开标结束；</w:t>
      </w:r>
    </w:p>
    <w:p w14:paraId="05412B5C">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代表对开标过程和开标记录有异议，以及认为采购人、采购代理机构相关工作人员有需要回避的情形的，应当场提出询问或者回避申请。采购人、采购代理机构对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代表提出的询问或者回避申请应当及时处理，并制作记录。</w:t>
      </w:r>
    </w:p>
    <w:p w14:paraId="1AD70925">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未参加开标的，视同认可开标结果。</w:t>
      </w:r>
    </w:p>
    <w:p w14:paraId="1AE6A85B">
      <w:pPr>
        <w:numPr>
          <w:ilvl w:val="1"/>
          <w:numId w:val="6"/>
        </w:numPr>
        <w:spacing w:line="400" w:lineRule="exact"/>
        <w:ind w:firstLine="422" w:firstLineChars="200"/>
        <w:rPr>
          <w:rFonts w:ascii="宋体" w:cs="宋体"/>
          <w:b/>
          <w:bCs/>
          <w:color w:val="auto"/>
          <w:highlight w:val="none"/>
        </w:rPr>
      </w:pPr>
      <w:bookmarkStart w:id="238" w:name="_Toc29588"/>
      <w:bookmarkStart w:id="239" w:name="_Toc11192"/>
      <w:bookmarkStart w:id="240" w:name="_Toc13168"/>
      <w:bookmarkStart w:id="241" w:name="_Toc24277"/>
      <w:bookmarkStart w:id="242" w:name="_Toc22131"/>
      <w:bookmarkStart w:id="243" w:name="_Toc22209"/>
      <w:bookmarkStart w:id="244" w:name="_Toc29637"/>
      <w:bookmarkStart w:id="245" w:name="_Toc29955"/>
      <w:bookmarkStart w:id="246" w:name="_Toc18862"/>
      <w:bookmarkStart w:id="247" w:name="_Toc3031"/>
      <w:bookmarkStart w:id="248" w:name="_Toc29315"/>
      <w:r>
        <w:rPr>
          <w:rFonts w:hint="eastAsia" w:ascii="宋体" w:hAnsi="宋体" w:cs="宋体"/>
          <w:b/>
          <w:bCs/>
          <w:color w:val="auto"/>
          <w:highlight w:val="none"/>
        </w:rPr>
        <w:t>资格审查工作</w:t>
      </w:r>
      <w:bookmarkEnd w:id="238"/>
      <w:bookmarkEnd w:id="239"/>
      <w:bookmarkEnd w:id="240"/>
      <w:bookmarkEnd w:id="241"/>
      <w:bookmarkEnd w:id="242"/>
      <w:bookmarkEnd w:id="243"/>
      <w:bookmarkEnd w:id="244"/>
      <w:bookmarkEnd w:id="245"/>
      <w:bookmarkEnd w:id="246"/>
      <w:bookmarkEnd w:id="247"/>
      <w:bookmarkEnd w:id="248"/>
    </w:p>
    <w:p w14:paraId="138712C2">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开标结束后，采购代理机构应当依法对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的资格进行审查。合格</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不足</w:t>
      </w:r>
      <w:r>
        <w:rPr>
          <w:rFonts w:ascii="宋体" w:hAnsi="宋体" w:cs="宋体"/>
          <w:color w:val="auto"/>
          <w:szCs w:val="21"/>
          <w:highlight w:val="none"/>
        </w:rPr>
        <w:t>3</w:t>
      </w:r>
      <w:r>
        <w:rPr>
          <w:rFonts w:hint="eastAsia" w:ascii="宋体" w:hAnsi="宋体" w:cs="宋体"/>
          <w:color w:val="auto"/>
          <w:szCs w:val="21"/>
          <w:highlight w:val="none"/>
        </w:rPr>
        <w:t>家的，不得评标。</w:t>
      </w:r>
    </w:p>
    <w:p w14:paraId="45852377">
      <w:pPr>
        <w:numPr>
          <w:ilvl w:val="1"/>
          <w:numId w:val="6"/>
        </w:numPr>
        <w:spacing w:line="400" w:lineRule="exact"/>
        <w:ind w:firstLine="422" w:firstLineChars="200"/>
        <w:rPr>
          <w:rFonts w:ascii="宋体" w:cs="宋体"/>
          <w:b/>
          <w:bCs/>
          <w:color w:val="auto"/>
          <w:highlight w:val="none"/>
        </w:rPr>
      </w:pPr>
      <w:bookmarkStart w:id="249" w:name="_Toc22105"/>
      <w:bookmarkStart w:id="250" w:name="_Toc32305"/>
      <w:bookmarkStart w:id="251" w:name="_Toc8092"/>
      <w:bookmarkStart w:id="252" w:name="_Toc12598"/>
      <w:bookmarkStart w:id="253" w:name="_Toc24379"/>
      <w:bookmarkStart w:id="254" w:name="_Toc2042"/>
      <w:bookmarkStart w:id="255" w:name="_Toc19513"/>
      <w:bookmarkStart w:id="256" w:name="_Toc26746"/>
      <w:bookmarkStart w:id="257" w:name="_Toc31129"/>
      <w:bookmarkStart w:id="258" w:name="_Toc31474"/>
      <w:bookmarkStart w:id="259" w:name="_Toc16180"/>
      <w:r>
        <w:rPr>
          <w:rFonts w:hint="eastAsia" w:ascii="宋体" w:hAnsi="宋体" w:cs="宋体"/>
          <w:b/>
          <w:bCs/>
          <w:color w:val="auto"/>
          <w:highlight w:val="none"/>
        </w:rPr>
        <w:t>评标工作</w:t>
      </w:r>
      <w:bookmarkEnd w:id="249"/>
      <w:bookmarkEnd w:id="250"/>
      <w:bookmarkEnd w:id="251"/>
      <w:bookmarkEnd w:id="252"/>
      <w:bookmarkEnd w:id="253"/>
      <w:bookmarkEnd w:id="254"/>
      <w:bookmarkEnd w:id="255"/>
      <w:bookmarkEnd w:id="256"/>
      <w:bookmarkEnd w:id="257"/>
      <w:bookmarkEnd w:id="258"/>
      <w:bookmarkEnd w:id="259"/>
    </w:p>
    <w:p w14:paraId="1F826A17">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w:t>
      </w:r>
    </w:p>
    <w:p w14:paraId="1998496F">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）评标工作由采购人依法组建的评标委员会负责，对符合资格的投标人的投标文件进行</w:t>
      </w:r>
      <w:r>
        <w:rPr>
          <w:rFonts w:hint="eastAsia" w:ascii="宋体" w:hAnsi="宋体" w:cs="宋体"/>
          <w:color w:val="auto"/>
          <w:kern w:val="0"/>
          <w:szCs w:val="21"/>
          <w:highlight w:val="none"/>
          <w:lang w:val="en-US" w:eastAsia="zh-CN"/>
        </w:rPr>
        <w:t>评审</w:t>
      </w:r>
      <w:r>
        <w:rPr>
          <w:rFonts w:hint="eastAsia" w:ascii="宋体" w:hAnsi="宋体" w:cs="宋体"/>
          <w:color w:val="auto"/>
          <w:kern w:val="0"/>
          <w:szCs w:val="21"/>
          <w:highlight w:val="none"/>
        </w:rPr>
        <w:t>，并按评标办法规定的方式推荐出</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前附表中载明数量的中标候选人。</w:t>
      </w:r>
    </w:p>
    <w:p w14:paraId="47EAFC15">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）评标委员会由采购人代表和评标专家组成，见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14:paraId="35DEAFCE">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评标专家对本单位的采购项目只能作为采购人代表参与评标，</w:t>
      </w:r>
      <w:r>
        <w:rPr>
          <w:rFonts w:hint="eastAsia" w:ascii="宋体" w:hAnsi="宋体" w:cs="宋体"/>
          <w:color w:val="auto"/>
          <w:kern w:val="0"/>
          <w:szCs w:val="21"/>
          <w:highlight w:val="none"/>
          <w:lang w:eastAsia="zh-CN"/>
        </w:rPr>
        <w:t>对技术复杂、专业性强的采购项目，通过随机方式难以确定合适评审专家的，经主管预算单位同意，采购人可以自行选定相应专业领域的评审专家</w:t>
      </w:r>
      <w:r>
        <w:rPr>
          <w:rFonts w:hint="eastAsia" w:ascii="宋体" w:hAnsi="宋体" w:cs="宋体"/>
          <w:color w:val="auto"/>
          <w:kern w:val="0"/>
          <w:szCs w:val="21"/>
          <w:highlight w:val="none"/>
        </w:rPr>
        <w:t>。</w:t>
      </w:r>
    </w:p>
    <w:p w14:paraId="0FEC0F4E">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）采购代理机构工作人员不得参加由本机构代理的政府采购项目的评标。</w:t>
      </w:r>
    </w:p>
    <w:p w14:paraId="022EC074">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）评标委员会成员名单在评标结果公告前应当保密。</w:t>
      </w:r>
    </w:p>
    <w:p w14:paraId="220A8BA1">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评标委员会及其成员不得有下列行为：</w:t>
      </w:r>
    </w:p>
    <w:p w14:paraId="427AEFAE">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）确定参与评标至评标结束前私自接触</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w:t>
      </w:r>
    </w:p>
    <w:p w14:paraId="36F3A287">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）接受</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提出的与投标文件不一致的澄清或者说明（对于投标文件中含义不明确、同类问题表述不一致或者有明显文字和计算错误的内容，评标委员会以书面形式要求</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作出必要的澄清、说明或者补正的除外）；</w:t>
      </w:r>
    </w:p>
    <w:p w14:paraId="19219E13">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）违反评标纪律发表倾向性意见或者征询采购人的倾向性意见；</w:t>
      </w:r>
    </w:p>
    <w:p w14:paraId="30D65873">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）在评标过程中擅离职守，影响评标程序正常进行的；</w:t>
      </w:r>
    </w:p>
    <w:p w14:paraId="1A90CE9B">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）记录、复制或者带走任何评标资料；</w:t>
      </w:r>
    </w:p>
    <w:p w14:paraId="6DD68930">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）其他不遵守评标纪律的行为。</w:t>
      </w:r>
    </w:p>
    <w:p w14:paraId="68A12347">
      <w:pPr>
        <w:tabs>
          <w:tab w:val="left" w:pos="720"/>
        </w:tabs>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评标委员会成员有本章第</w:t>
      </w:r>
      <w:r>
        <w:rPr>
          <w:rFonts w:hint="eastAsia" w:ascii="宋体" w:hAnsi="宋体" w:cs="宋体"/>
          <w:color w:val="auto"/>
          <w:szCs w:val="21"/>
          <w:highlight w:val="none"/>
          <w:lang w:val="en-US" w:eastAsia="zh-CN"/>
        </w:rPr>
        <w:t>4</w:t>
      </w:r>
      <w:r>
        <w:rPr>
          <w:rFonts w:ascii="宋体" w:hAnsi="宋体" w:cs="宋体"/>
          <w:color w:val="auto"/>
          <w:szCs w:val="21"/>
          <w:highlight w:val="none"/>
        </w:rPr>
        <w:t>.3.2</w:t>
      </w:r>
      <w:r>
        <w:rPr>
          <w:rFonts w:hint="eastAsia" w:ascii="宋体" w:hAnsi="宋体" w:cs="宋体"/>
          <w:color w:val="auto"/>
          <w:szCs w:val="21"/>
          <w:highlight w:val="none"/>
        </w:rPr>
        <w:t>项第（</w:t>
      </w:r>
      <w:r>
        <w:rPr>
          <w:rFonts w:ascii="宋体" w:hAnsi="宋体" w:cs="宋体"/>
          <w:color w:val="auto"/>
          <w:szCs w:val="21"/>
          <w:highlight w:val="none"/>
        </w:rPr>
        <w:t>1</w:t>
      </w:r>
      <w:r>
        <w:rPr>
          <w:rFonts w:hint="eastAsia" w:ascii="宋体" w:hAnsi="宋体" w:cs="宋体"/>
          <w:color w:val="auto"/>
          <w:szCs w:val="21"/>
          <w:highlight w:val="none"/>
        </w:rPr>
        <w:t>）至（</w:t>
      </w:r>
      <w:r>
        <w:rPr>
          <w:rFonts w:ascii="宋体" w:hAnsi="宋体" w:cs="宋体"/>
          <w:color w:val="auto"/>
          <w:szCs w:val="21"/>
          <w:highlight w:val="none"/>
        </w:rPr>
        <w:t>6</w:t>
      </w:r>
      <w:r>
        <w:rPr>
          <w:rFonts w:hint="eastAsia" w:ascii="宋体" w:hAnsi="宋体" w:cs="宋体"/>
          <w:color w:val="auto"/>
          <w:szCs w:val="21"/>
          <w:highlight w:val="none"/>
        </w:rPr>
        <w:t>）目行为之一的，其评标意见无效，并不得获取评标劳务报酬和报销异地评标差旅费。</w:t>
      </w:r>
    </w:p>
    <w:p w14:paraId="6CB5D50C">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5F6E950">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w:t>
      </w:r>
    </w:p>
    <w:p w14:paraId="70B87894">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）评标委员会按照第四章评标办法规定的方法、评标因素、标准和程序对投标文件进行评标。第四章评标办法没有规定的方法、评标因素和标准，不作为评标依据。</w:t>
      </w:r>
    </w:p>
    <w:p w14:paraId="146DF9E5">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）评标委员会完成评标后，评标委员会应当向</w:t>
      </w:r>
      <w:r>
        <w:rPr>
          <w:rFonts w:hint="eastAsia" w:ascii="宋体" w:hAnsi="宋体" w:cs="宋体"/>
          <w:color w:val="auto"/>
          <w:kern w:val="0"/>
          <w:szCs w:val="21"/>
          <w:highlight w:val="none"/>
          <w:lang w:eastAsia="zh-CN"/>
        </w:rPr>
        <w:t>《全国公共资源交易平台（河南省·平顶山市）》</w:t>
      </w:r>
      <w:r>
        <w:rPr>
          <w:rFonts w:hint="eastAsia" w:ascii="宋体" w:hAnsi="宋体" w:cs="宋体"/>
          <w:color w:val="auto"/>
          <w:kern w:val="0"/>
          <w:szCs w:val="21"/>
          <w:highlight w:val="none"/>
        </w:rPr>
        <w:t>评标系统上提交书面评标报告和中标候选人名单。评标委员会推荐中标候选人的人数见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14:paraId="2FAF5805">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评标委员会成员有下列情形之一的，应当回避：</w:t>
      </w:r>
    </w:p>
    <w:p w14:paraId="1711E6C9">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一</w:t>
      </w:r>
      <w:r>
        <w:rPr>
          <w:rFonts w:ascii="宋体" w:hAnsi="宋体" w:cs="宋体"/>
          <w:color w:val="auto"/>
          <w:kern w:val="0"/>
          <w:szCs w:val="21"/>
          <w:highlight w:val="none"/>
        </w:rPr>
        <w:t>)</w:t>
      </w:r>
      <w:r>
        <w:rPr>
          <w:rFonts w:hint="eastAsia" w:ascii="宋体" w:hAnsi="宋体" w:cs="宋体"/>
          <w:color w:val="auto"/>
          <w:kern w:val="0"/>
          <w:szCs w:val="21"/>
          <w:highlight w:val="none"/>
        </w:rPr>
        <w:t>参加采购活动前三年内</w:t>
      </w:r>
      <w:r>
        <w:rPr>
          <w:rFonts w:hint="eastAsia" w:ascii="宋体" w:cs="宋体"/>
          <w:color w:val="auto"/>
          <w:kern w:val="0"/>
          <w:szCs w:val="21"/>
          <w:highlight w:val="none"/>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存在劳动关系</w:t>
      </w:r>
      <w:r>
        <w:rPr>
          <w:rFonts w:hint="eastAsia" w:ascii="宋体" w:cs="宋体"/>
          <w:color w:val="auto"/>
          <w:kern w:val="0"/>
          <w:szCs w:val="21"/>
          <w:highlight w:val="none"/>
        </w:rPr>
        <w:t>，</w:t>
      </w:r>
      <w:r>
        <w:rPr>
          <w:rFonts w:hint="eastAsia" w:ascii="宋体" w:hAnsi="宋体" w:cs="宋体"/>
          <w:color w:val="auto"/>
          <w:kern w:val="0"/>
          <w:szCs w:val="21"/>
          <w:highlight w:val="none"/>
        </w:rPr>
        <w:t>或者担任过</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的董事、监事</w:t>
      </w:r>
      <w:r>
        <w:rPr>
          <w:rFonts w:hint="eastAsia" w:ascii="宋体" w:cs="宋体"/>
          <w:color w:val="auto"/>
          <w:kern w:val="0"/>
          <w:szCs w:val="21"/>
          <w:highlight w:val="none"/>
        </w:rPr>
        <w:t>，</w:t>
      </w:r>
      <w:r>
        <w:rPr>
          <w:rFonts w:hint="eastAsia" w:ascii="宋体" w:hAnsi="宋体" w:cs="宋体"/>
          <w:color w:val="auto"/>
          <w:kern w:val="0"/>
          <w:szCs w:val="21"/>
          <w:highlight w:val="none"/>
        </w:rPr>
        <w:t>或者是</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的控股股东或实际控制人；</w:t>
      </w:r>
    </w:p>
    <w:p w14:paraId="2A8EA1E4">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二</w:t>
      </w:r>
      <w:r>
        <w:rPr>
          <w:rFonts w:ascii="宋体" w:hAnsi="宋体" w:cs="宋体"/>
          <w:color w:val="auto"/>
          <w:kern w:val="0"/>
          <w:szCs w:val="21"/>
          <w:highlight w:val="none"/>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的法定代表人或者负责人有夫妻、直系血亲、三代以内旁系血亲或者近姻亲关系；</w:t>
      </w:r>
    </w:p>
    <w:p w14:paraId="5BA30015">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三</w:t>
      </w:r>
      <w:r>
        <w:rPr>
          <w:rFonts w:ascii="宋体" w:hAnsi="宋体" w:cs="宋体"/>
          <w:color w:val="auto"/>
          <w:kern w:val="0"/>
          <w:szCs w:val="21"/>
          <w:highlight w:val="none"/>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有其他可能影响政府采购活动公平、公正进行的关系。</w:t>
      </w:r>
    </w:p>
    <w:p w14:paraId="06E1D5AC">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评标专家发现本人与参加采购活动的</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有利害关系的</w:t>
      </w:r>
      <w:r>
        <w:rPr>
          <w:rFonts w:hint="eastAsia" w:ascii="宋体" w:cs="宋体"/>
          <w:color w:val="auto"/>
          <w:kern w:val="0"/>
          <w:szCs w:val="21"/>
          <w:highlight w:val="none"/>
        </w:rPr>
        <w:t>，</w:t>
      </w:r>
      <w:r>
        <w:rPr>
          <w:rFonts w:hint="eastAsia" w:ascii="宋体" w:hAnsi="宋体" w:cs="宋体"/>
          <w:color w:val="auto"/>
          <w:kern w:val="0"/>
          <w:szCs w:val="21"/>
          <w:highlight w:val="none"/>
        </w:rPr>
        <w:t>应当主动提出回避。采购代理机构发现评标专家与参加采购活动的</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有利害关系的</w:t>
      </w:r>
      <w:r>
        <w:rPr>
          <w:rFonts w:hint="eastAsia" w:ascii="宋体" w:cs="宋体"/>
          <w:color w:val="auto"/>
          <w:kern w:val="0"/>
          <w:szCs w:val="21"/>
          <w:highlight w:val="none"/>
        </w:rPr>
        <w:t>，</w:t>
      </w:r>
      <w:r>
        <w:rPr>
          <w:rFonts w:hint="eastAsia" w:ascii="宋体" w:hAnsi="宋体" w:cs="宋体"/>
          <w:color w:val="auto"/>
          <w:kern w:val="0"/>
          <w:szCs w:val="21"/>
          <w:highlight w:val="none"/>
        </w:rPr>
        <w:t>应当要求其回避。</w:t>
      </w:r>
    </w:p>
    <w:p w14:paraId="6483A020">
      <w:pPr>
        <w:numPr>
          <w:ilvl w:val="1"/>
          <w:numId w:val="6"/>
        </w:numPr>
        <w:spacing w:line="400" w:lineRule="exact"/>
        <w:ind w:firstLine="422" w:firstLineChars="200"/>
        <w:rPr>
          <w:rFonts w:ascii="宋体" w:cs="宋体"/>
          <w:b/>
          <w:bCs/>
          <w:color w:val="auto"/>
          <w:highlight w:val="none"/>
        </w:rPr>
      </w:pPr>
      <w:bookmarkStart w:id="260" w:name="_Toc8996"/>
      <w:bookmarkStart w:id="261" w:name="_Toc608"/>
      <w:bookmarkStart w:id="262" w:name="_Toc25509"/>
      <w:bookmarkStart w:id="263" w:name="_Toc25755"/>
      <w:bookmarkStart w:id="264" w:name="_Toc12609"/>
      <w:bookmarkStart w:id="265" w:name="_Toc10927"/>
      <w:bookmarkStart w:id="266" w:name="_Toc12131"/>
      <w:bookmarkStart w:id="267" w:name="_Toc5830"/>
      <w:bookmarkStart w:id="268" w:name="_Toc25530"/>
      <w:bookmarkStart w:id="269" w:name="_Toc7396"/>
      <w:bookmarkStart w:id="270" w:name="_Toc22420"/>
      <w:r>
        <w:rPr>
          <w:rFonts w:hint="eastAsia" w:ascii="宋体" w:hAnsi="宋体" w:cs="宋体"/>
          <w:b/>
          <w:bCs/>
          <w:color w:val="auto"/>
          <w:highlight w:val="none"/>
        </w:rPr>
        <w:t>保密及其它注意事项</w:t>
      </w:r>
      <w:bookmarkEnd w:id="260"/>
      <w:bookmarkEnd w:id="261"/>
      <w:bookmarkEnd w:id="262"/>
      <w:bookmarkEnd w:id="263"/>
      <w:bookmarkEnd w:id="264"/>
      <w:bookmarkEnd w:id="265"/>
      <w:bookmarkEnd w:id="266"/>
      <w:bookmarkEnd w:id="267"/>
      <w:bookmarkEnd w:id="268"/>
      <w:bookmarkEnd w:id="269"/>
      <w:bookmarkEnd w:id="270"/>
    </w:p>
    <w:p w14:paraId="29842A82">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评标是招标工作的重要环节，评标工作在评标委员会内独立进行。</w:t>
      </w:r>
    </w:p>
    <w:p w14:paraId="1CC2D041">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评标委员会将遵照规定的评标方法，公正、平等地对待所有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p>
    <w:p w14:paraId="3AA8DC66">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在开标、评标期间，</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不得向评委询问评标情况，不得进行旨在影响评标结果的活动。否则其投标可能被拒绝。</w:t>
      </w:r>
    </w:p>
    <w:p w14:paraId="4EA99373">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为保证评标的公正性，开标后直至授予</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合同，评委不得与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私下交换意见。</w:t>
      </w:r>
    </w:p>
    <w:p w14:paraId="58897B4B">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在评标工作结束后，凡与评标情况有接触的任何人不得擅自将评标情况扩散出评标人员之外。</w:t>
      </w:r>
    </w:p>
    <w:p w14:paraId="33B4EBC5">
      <w:pPr>
        <w:numPr>
          <w:ilvl w:val="2"/>
          <w:numId w:val="6"/>
        </w:numPr>
        <w:adjustRightInd w:val="0"/>
        <w:snapToGrid w:val="0"/>
        <w:spacing w:line="400" w:lineRule="exact"/>
        <w:ind w:firstLine="420" w:firstLineChars="200"/>
        <w:rPr>
          <w:rFonts w:ascii="宋体" w:cs="宋体"/>
          <w:b/>
          <w:bCs/>
          <w:color w:val="auto"/>
          <w:highlight w:val="none"/>
        </w:rPr>
      </w:pPr>
      <w:r>
        <w:rPr>
          <w:rFonts w:hint="eastAsia" w:ascii="宋体" w:hAnsi="宋体" w:cs="宋体"/>
          <w:color w:val="auto"/>
          <w:szCs w:val="21"/>
          <w:highlight w:val="none"/>
        </w:rPr>
        <w:t>评标结束后，投标文件概不退还。</w:t>
      </w:r>
      <w:bookmarkStart w:id="271" w:name="_Toc40112135"/>
      <w:bookmarkStart w:id="272" w:name="_Toc30376"/>
    </w:p>
    <w:p w14:paraId="6F53B2C1">
      <w:pPr>
        <w:numPr>
          <w:ilvl w:val="0"/>
          <w:numId w:val="6"/>
        </w:numPr>
        <w:spacing w:line="400" w:lineRule="exact"/>
        <w:ind w:firstLine="422" w:firstLineChars="200"/>
        <w:outlineLvl w:val="1"/>
        <w:rPr>
          <w:rStyle w:val="29"/>
          <w:color w:val="auto"/>
          <w:sz w:val="21"/>
          <w:szCs w:val="21"/>
          <w:highlight w:val="none"/>
        </w:rPr>
      </w:pPr>
      <w:bookmarkStart w:id="273" w:name="_Toc11701"/>
      <w:bookmarkStart w:id="274" w:name="_Toc11279"/>
      <w:bookmarkStart w:id="275" w:name="_Toc30544"/>
      <w:r>
        <w:rPr>
          <w:rStyle w:val="29"/>
          <w:rFonts w:hint="eastAsia"/>
          <w:color w:val="auto"/>
          <w:sz w:val="21"/>
          <w:szCs w:val="21"/>
          <w:highlight w:val="none"/>
        </w:rPr>
        <w:t>授予合同</w:t>
      </w:r>
      <w:bookmarkEnd w:id="234"/>
      <w:bookmarkEnd w:id="271"/>
      <w:bookmarkEnd w:id="272"/>
      <w:bookmarkEnd w:id="273"/>
      <w:bookmarkEnd w:id="274"/>
      <w:bookmarkEnd w:id="275"/>
    </w:p>
    <w:p w14:paraId="2E6E699A">
      <w:pPr>
        <w:numPr>
          <w:ilvl w:val="1"/>
          <w:numId w:val="6"/>
        </w:numPr>
        <w:spacing w:line="400" w:lineRule="exact"/>
        <w:ind w:firstLine="422" w:firstLineChars="200"/>
        <w:rPr>
          <w:rFonts w:ascii="宋体" w:cs="宋体"/>
          <w:b/>
          <w:bCs/>
          <w:color w:val="auto"/>
          <w:highlight w:val="none"/>
        </w:rPr>
      </w:pPr>
      <w:bookmarkStart w:id="276" w:name="_Toc22971"/>
      <w:bookmarkStart w:id="277" w:name="_Toc22245"/>
      <w:bookmarkStart w:id="278" w:name="_Toc13599"/>
      <w:bookmarkStart w:id="279" w:name="_Toc32241"/>
      <w:bookmarkStart w:id="280" w:name="_Toc21756"/>
      <w:bookmarkStart w:id="281" w:name="_Toc7898"/>
      <w:bookmarkStart w:id="282" w:name="_Toc16230"/>
      <w:bookmarkStart w:id="283" w:name="_Toc27126"/>
      <w:bookmarkStart w:id="284" w:name="_Toc15637"/>
      <w:bookmarkStart w:id="285" w:name="_Toc3574"/>
      <w:bookmarkStart w:id="286" w:name="_Toc6320"/>
      <w:bookmarkStart w:id="287" w:name="_Toc26604"/>
      <w:bookmarkStart w:id="288" w:name="_Toc23900"/>
      <w:bookmarkStart w:id="289" w:name="_Toc17818"/>
      <w:bookmarkStart w:id="290" w:name="_Toc22088"/>
      <w:bookmarkStart w:id="291" w:name="_Toc22457"/>
      <w:bookmarkStart w:id="292" w:name="_Toc30644"/>
      <w:r>
        <w:rPr>
          <w:rFonts w:hint="eastAsia" w:ascii="宋体" w:hAnsi="宋体" w:cs="宋体"/>
          <w:b/>
          <w:bCs/>
          <w:color w:val="auto"/>
          <w:highlight w:val="none"/>
        </w:rPr>
        <w:t>中标公告</w:t>
      </w:r>
      <w:bookmarkEnd w:id="276"/>
      <w:bookmarkEnd w:id="277"/>
      <w:bookmarkEnd w:id="278"/>
      <w:bookmarkEnd w:id="279"/>
      <w:bookmarkEnd w:id="280"/>
      <w:bookmarkEnd w:id="281"/>
      <w:bookmarkEnd w:id="282"/>
      <w:bookmarkEnd w:id="283"/>
      <w:bookmarkEnd w:id="284"/>
      <w:bookmarkEnd w:id="285"/>
      <w:bookmarkEnd w:id="286"/>
    </w:p>
    <w:p w14:paraId="225684C9">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采购代理机构应当在评标结束后</w:t>
      </w:r>
      <w:r>
        <w:rPr>
          <w:rFonts w:ascii="宋体" w:hAnsi="宋体" w:cs="宋体"/>
          <w:color w:val="auto"/>
          <w:szCs w:val="21"/>
          <w:highlight w:val="none"/>
        </w:rPr>
        <w:t>2</w:t>
      </w:r>
      <w:r>
        <w:rPr>
          <w:rFonts w:hint="eastAsia" w:ascii="宋体" w:hAnsi="宋体" w:cs="宋体"/>
          <w:color w:val="auto"/>
          <w:szCs w:val="21"/>
          <w:highlight w:val="none"/>
        </w:rPr>
        <w:t>个工作日内将评标报告送采购人。采购人应自收到评标报告之日起</w:t>
      </w:r>
      <w:r>
        <w:rPr>
          <w:rFonts w:ascii="宋体" w:hAnsi="宋体" w:cs="宋体"/>
          <w:color w:val="auto"/>
          <w:szCs w:val="21"/>
          <w:highlight w:val="none"/>
        </w:rPr>
        <w:t>5</w:t>
      </w:r>
      <w:r>
        <w:rPr>
          <w:rFonts w:hint="eastAsia" w:ascii="宋体" w:hAnsi="宋体" w:cs="宋体"/>
          <w:color w:val="auto"/>
          <w:szCs w:val="21"/>
          <w:highlight w:val="none"/>
        </w:rPr>
        <w:t>个工作日内，依法确定中标人。中标候选人并列的，由采购人确定中标人。</w:t>
      </w:r>
    </w:p>
    <w:p w14:paraId="7442F52D">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采购代理机构应当自中标人确定之日起</w:t>
      </w:r>
      <w:r>
        <w:rPr>
          <w:rFonts w:ascii="宋体" w:hAnsi="宋体" w:cs="宋体"/>
          <w:color w:val="auto"/>
          <w:szCs w:val="21"/>
          <w:highlight w:val="none"/>
        </w:rPr>
        <w:t>2</w:t>
      </w:r>
      <w:r>
        <w:rPr>
          <w:rFonts w:hint="eastAsia" w:ascii="宋体" w:hAnsi="宋体" w:cs="宋体"/>
          <w:color w:val="auto"/>
          <w:szCs w:val="21"/>
          <w:highlight w:val="none"/>
        </w:rPr>
        <w:t>个工作日内，在省级以上财政部门指定的媒体上公告中标结果，招标文件应当随中标结果同时公告。</w:t>
      </w:r>
    </w:p>
    <w:p w14:paraId="1F4B5C9E">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评标专家名单。公告期限为</w:t>
      </w:r>
      <w:r>
        <w:rPr>
          <w:rFonts w:ascii="宋体" w:hAnsi="宋体" w:cs="宋体"/>
          <w:color w:val="auto"/>
          <w:szCs w:val="21"/>
          <w:highlight w:val="none"/>
        </w:rPr>
        <w:t>1</w:t>
      </w:r>
      <w:r>
        <w:rPr>
          <w:rFonts w:hint="eastAsia" w:ascii="宋体" w:hAnsi="宋体" w:cs="宋体"/>
          <w:color w:val="auto"/>
          <w:szCs w:val="21"/>
          <w:highlight w:val="none"/>
        </w:rPr>
        <w:t>个工作日。</w:t>
      </w:r>
    </w:p>
    <w:p w14:paraId="5DE273FD">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在公告中标结果的同时，采购代理机构应当向中标人发出中标通知书；对未通过资格审查的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，应当告知其未通过的原因；采用综合评分法评标的，还应当告知未中标人单位的评审得分与排序。</w:t>
      </w:r>
    </w:p>
    <w:p w14:paraId="783DCF0A">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中标通知书发出后，采购人无正当理由不得改变中标结果，中标人无正当理由不得放弃中标。</w:t>
      </w:r>
    </w:p>
    <w:p w14:paraId="1A164C29">
      <w:pPr>
        <w:numPr>
          <w:ilvl w:val="2"/>
          <w:numId w:val="6"/>
        </w:numPr>
        <w:adjustRightInd w:val="0"/>
        <w:snapToGrid w:val="0"/>
        <w:spacing w:line="400" w:lineRule="exact"/>
        <w:ind w:firstLine="420" w:firstLineChars="200"/>
        <w:rPr>
          <w:rFonts w:ascii="宋体" w:cs="宋体"/>
          <w:color w:val="auto"/>
          <w:highlight w:val="none"/>
        </w:rPr>
      </w:pPr>
      <w:r>
        <w:rPr>
          <w:rFonts w:hint="eastAsia" w:ascii="宋体" w:hAnsi="宋体" w:cs="宋体"/>
          <w:color w:val="auto"/>
          <w:szCs w:val="21"/>
          <w:highlight w:val="none"/>
        </w:rPr>
        <w:t>中标人为中小企业的，采购代理机构将随中标结果同时公告其《中小企业声明函》；中标人为残疾人福利性单位的，采购代理机构将随中标结果同时公告其《残疾人福利性单位声明函》，接受社会监督。</w:t>
      </w:r>
    </w:p>
    <w:p w14:paraId="084D0C62">
      <w:pPr>
        <w:numPr>
          <w:ilvl w:val="2"/>
          <w:numId w:val="6"/>
        </w:numPr>
        <w:adjustRightInd w:val="0"/>
        <w:snapToGrid w:val="0"/>
        <w:spacing w:line="400" w:lineRule="exact"/>
        <w:ind w:firstLine="420" w:firstLineChars="200"/>
        <w:rPr>
          <w:rFonts w:ascii="宋体" w:cs="宋体"/>
          <w:color w:val="auto"/>
          <w:highlight w:val="none"/>
        </w:rPr>
      </w:pPr>
      <w:r>
        <w:rPr>
          <w:rFonts w:hint="eastAsia" w:ascii="宋体" w:hAnsi="宋体" w:cs="宋体"/>
          <w:color w:val="auto"/>
          <w:szCs w:val="21"/>
          <w:highlight w:val="none"/>
        </w:rPr>
        <w:t>各有关当事人对中标结果有异议的，可以在</w:t>
      </w:r>
      <w:r>
        <w:rPr>
          <w:rFonts w:hint="eastAsia" w:ascii="宋体" w:hAnsi="宋体" w:cs="宋体"/>
          <w:color w:val="auto"/>
          <w:szCs w:val="21"/>
          <w:highlight w:val="none"/>
          <w:lang w:eastAsia="zh-CN"/>
        </w:rPr>
        <w:t>中标结果公告</w:t>
      </w:r>
      <w:r>
        <w:rPr>
          <w:rFonts w:hint="eastAsia" w:ascii="宋体" w:hAnsi="宋体" w:cs="宋体"/>
          <w:color w:val="auto"/>
          <w:szCs w:val="21"/>
          <w:highlight w:val="none"/>
        </w:rPr>
        <w:t>期限届满之日起七个工作日内，按《政府采购质疑和投诉办法》（财政部令第</w:t>
      </w:r>
      <w:r>
        <w:rPr>
          <w:rFonts w:ascii="宋体" w:hAnsi="宋体" w:cs="宋体"/>
          <w:color w:val="auto"/>
          <w:szCs w:val="21"/>
          <w:highlight w:val="none"/>
        </w:rPr>
        <w:t>94</w:t>
      </w:r>
      <w:r>
        <w:rPr>
          <w:rFonts w:hint="eastAsia" w:ascii="宋体" w:hAnsi="宋体" w:cs="宋体"/>
          <w:color w:val="auto"/>
          <w:szCs w:val="21"/>
          <w:highlight w:val="none"/>
        </w:rPr>
        <w:t>号）要求以书面形式同时向采购人和采购代理机构提出质疑，逾期提交或未按照要求提交的质疑函将不予受理。</w:t>
      </w:r>
    </w:p>
    <w:bookmarkEnd w:id="287"/>
    <w:bookmarkEnd w:id="288"/>
    <w:bookmarkEnd w:id="289"/>
    <w:bookmarkEnd w:id="290"/>
    <w:bookmarkEnd w:id="291"/>
    <w:bookmarkEnd w:id="292"/>
    <w:p w14:paraId="3B2C767E">
      <w:pPr>
        <w:numPr>
          <w:ilvl w:val="1"/>
          <w:numId w:val="6"/>
        </w:numPr>
        <w:spacing w:line="400" w:lineRule="exact"/>
        <w:ind w:firstLine="422" w:firstLineChars="200"/>
        <w:rPr>
          <w:rFonts w:ascii="宋体" w:cs="宋体"/>
          <w:b/>
          <w:bCs/>
          <w:color w:val="auto"/>
          <w:highlight w:val="none"/>
        </w:rPr>
      </w:pPr>
      <w:bookmarkStart w:id="293" w:name="_Toc7497"/>
      <w:r>
        <w:rPr>
          <w:rFonts w:hint="eastAsia" w:ascii="宋体" w:hAnsi="宋体" w:cs="宋体"/>
          <w:b/>
          <w:bCs/>
          <w:color w:val="auto"/>
          <w:highlight w:val="none"/>
        </w:rPr>
        <w:t>采购任务取消</w:t>
      </w:r>
      <w:bookmarkEnd w:id="293"/>
    </w:p>
    <w:p w14:paraId="01B688EB">
      <w:pPr>
        <w:adjustRightInd w:val="0"/>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因重大变故采购任务取消时，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Pr>
          <w:rFonts w:ascii="宋体" w:cs="宋体"/>
          <w:color w:val="auto"/>
          <w:szCs w:val="21"/>
          <w:highlight w:val="none"/>
        </w:rPr>
        <w:t>5</w:t>
      </w:r>
      <w:r>
        <w:rPr>
          <w:rFonts w:hint="eastAsia" w:ascii="宋体" w:cs="宋体"/>
          <w:color w:val="auto"/>
          <w:szCs w:val="21"/>
          <w:highlight w:val="none"/>
        </w:rPr>
        <w:t>个工作日内，退还所收取的招标文件费用和所收取的投标保证金及其在银行产生的孳息。采购人有权拒绝任何</w:t>
      </w:r>
      <w:r>
        <w:rPr>
          <w:rFonts w:hint="eastAsia" w:ascii="宋体" w:cs="宋体"/>
          <w:color w:val="auto"/>
          <w:szCs w:val="21"/>
          <w:highlight w:val="none"/>
          <w:lang w:eastAsia="zh-CN"/>
        </w:rPr>
        <w:t>投标人</w:t>
      </w:r>
      <w:r>
        <w:rPr>
          <w:rFonts w:hint="eastAsia" w:ascii="宋体" w:cs="宋体"/>
          <w:color w:val="auto"/>
          <w:szCs w:val="21"/>
          <w:highlight w:val="none"/>
        </w:rPr>
        <w:t>中标，且对受影响的</w:t>
      </w:r>
      <w:r>
        <w:rPr>
          <w:rFonts w:hint="eastAsia" w:ascii="宋体" w:cs="宋体"/>
          <w:color w:val="auto"/>
          <w:szCs w:val="21"/>
          <w:highlight w:val="none"/>
          <w:lang w:eastAsia="zh-CN"/>
        </w:rPr>
        <w:t>投标人</w:t>
      </w:r>
      <w:r>
        <w:rPr>
          <w:rFonts w:hint="eastAsia" w:ascii="宋体" w:cs="宋体"/>
          <w:color w:val="auto"/>
          <w:szCs w:val="21"/>
          <w:highlight w:val="none"/>
        </w:rPr>
        <w:t>不承担任何责任。</w:t>
      </w:r>
    </w:p>
    <w:p w14:paraId="04BB7415">
      <w:pPr>
        <w:numPr>
          <w:ilvl w:val="1"/>
          <w:numId w:val="6"/>
        </w:numPr>
        <w:spacing w:line="400" w:lineRule="exact"/>
        <w:ind w:firstLine="422" w:firstLineChars="200"/>
        <w:rPr>
          <w:rFonts w:ascii="宋体" w:cs="宋体"/>
          <w:b/>
          <w:bCs/>
          <w:color w:val="auto"/>
          <w:highlight w:val="none"/>
        </w:rPr>
      </w:pPr>
      <w:bookmarkStart w:id="294" w:name="_Toc12305"/>
      <w:bookmarkStart w:id="295" w:name="_Toc5799"/>
      <w:bookmarkStart w:id="296" w:name="_Toc14610"/>
      <w:bookmarkStart w:id="297" w:name="_Toc24223"/>
      <w:bookmarkStart w:id="298" w:name="_Toc23214"/>
      <w:bookmarkStart w:id="299" w:name="_Toc25326"/>
      <w:bookmarkStart w:id="300" w:name="_Toc21282"/>
      <w:bookmarkStart w:id="301" w:name="_Toc29785"/>
      <w:bookmarkStart w:id="302" w:name="_Toc1468"/>
      <w:bookmarkStart w:id="303" w:name="_Toc3846"/>
      <w:bookmarkStart w:id="304" w:name="_Toc12174"/>
      <w:r>
        <w:rPr>
          <w:rFonts w:hint="eastAsia" w:ascii="宋体" w:hAnsi="宋体" w:cs="宋体"/>
          <w:b/>
          <w:bCs/>
          <w:color w:val="auto"/>
          <w:highlight w:val="none"/>
        </w:rPr>
        <w:t>中标通知书</w:t>
      </w:r>
      <w:bookmarkEnd w:id="294"/>
      <w:bookmarkEnd w:id="295"/>
      <w:bookmarkEnd w:id="296"/>
      <w:bookmarkEnd w:id="297"/>
      <w:bookmarkEnd w:id="298"/>
      <w:bookmarkEnd w:id="299"/>
      <w:bookmarkEnd w:id="300"/>
      <w:bookmarkEnd w:id="301"/>
      <w:bookmarkEnd w:id="302"/>
      <w:bookmarkEnd w:id="303"/>
      <w:bookmarkEnd w:id="304"/>
    </w:p>
    <w:p w14:paraId="0A95BF9E">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在公告中标结果的同时，采购人或采购代理机构应当向中标人发出中标通知书，中标通知书将作为进行签订合同的依据。</w:t>
      </w:r>
    </w:p>
    <w:p w14:paraId="273FC39C">
      <w:pPr>
        <w:numPr>
          <w:ilvl w:val="1"/>
          <w:numId w:val="6"/>
        </w:numPr>
        <w:spacing w:line="400" w:lineRule="exact"/>
        <w:ind w:firstLine="422" w:firstLineChars="200"/>
        <w:rPr>
          <w:rFonts w:ascii="宋体" w:cs="宋体"/>
          <w:b/>
          <w:bCs/>
          <w:color w:val="auto"/>
          <w:highlight w:val="none"/>
        </w:rPr>
      </w:pPr>
      <w:bookmarkStart w:id="305" w:name="_Toc9865"/>
      <w:bookmarkStart w:id="306" w:name="_Toc20517"/>
      <w:bookmarkStart w:id="307" w:name="_Toc25686"/>
      <w:bookmarkStart w:id="308" w:name="_Toc25990"/>
      <w:bookmarkStart w:id="309" w:name="_Toc26111"/>
      <w:bookmarkStart w:id="310" w:name="_Toc11448"/>
      <w:bookmarkStart w:id="311" w:name="_Toc14397"/>
      <w:bookmarkStart w:id="312" w:name="_Toc3979"/>
      <w:bookmarkStart w:id="313" w:name="_Toc9428"/>
      <w:bookmarkStart w:id="314" w:name="_Toc21924"/>
      <w:bookmarkStart w:id="315" w:name="_Toc15209"/>
      <w:bookmarkStart w:id="316" w:name="_Toc11221"/>
      <w:bookmarkStart w:id="317" w:name="_Toc15061"/>
      <w:bookmarkStart w:id="318" w:name="_Toc3376"/>
      <w:bookmarkStart w:id="319" w:name="_Toc12530"/>
      <w:bookmarkStart w:id="320" w:name="_Toc1226"/>
      <w:bookmarkStart w:id="321" w:name="_Toc26471"/>
      <w:r>
        <w:rPr>
          <w:rFonts w:hint="eastAsia" w:ascii="宋体" w:hAnsi="宋体" w:cs="宋体"/>
          <w:b/>
          <w:bCs/>
          <w:color w:val="auto"/>
          <w:highlight w:val="none"/>
        </w:rPr>
        <w:t>履约保证金</w:t>
      </w:r>
      <w:bookmarkEnd w:id="305"/>
      <w:bookmarkEnd w:id="306"/>
      <w:bookmarkEnd w:id="307"/>
      <w:bookmarkEnd w:id="308"/>
      <w:bookmarkEnd w:id="309"/>
      <w:bookmarkEnd w:id="310"/>
      <w:bookmarkEnd w:id="311"/>
      <w:bookmarkEnd w:id="312"/>
      <w:bookmarkEnd w:id="313"/>
      <w:bookmarkEnd w:id="314"/>
      <w:bookmarkEnd w:id="315"/>
    </w:p>
    <w:p w14:paraId="6C78612B">
      <w:pPr>
        <w:numPr>
          <w:ilvl w:val="2"/>
          <w:numId w:val="6"/>
        </w:numPr>
        <w:adjustRightInd w:val="0"/>
        <w:snapToGrid w:val="0"/>
        <w:spacing w:line="400" w:lineRule="exact"/>
        <w:ind w:firstLine="420" w:firstLineChars="200"/>
        <w:rPr>
          <w:rFonts w:ascii="宋体" w:cs="宋体"/>
          <w:color w:val="auto"/>
          <w:szCs w:val="21"/>
          <w:highlight w:val="none"/>
        </w:rPr>
      </w:pPr>
      <w:bookmarkStart w:id="322" w:name="_Toc13295"/>
      <w:bookmarkStart w:id="323" w:name="_Toc1508"/>
      <w:bookmarkStart w:id="324" w:name="_Toc24299"/>
      <w:bookmarkStart w:id="325" w:name="_Toc22384"/>
      <w:r>
        <w:rPr>
          <w:rFonts w:hint="eastAsia" w:ascii="宋体" w:hAnsi="宋体" w:cs="宋体"/>
          <w:color w:val="auto"/>
          <w:szCs w:val="21"/>
          <w:highlight w:val="none"/>
          <w:lang w:val="en-US" w:eastAsia="zh-CN"/>
        </w:rPr>
        <w:t>中标人应按投标人须知前附表规定的形式、金额和招标文件第五章“合同条款及格式”的规定向招标人提交履约保证金</w:t>
      </w:r>
      <w:r>
        <w:rPr>
          <w:rFonts w:hint="eastAsia" w:ascii="宋体" w:hAnsi="宋体" w:cs="宋体"/>
          <w:color w:val="auto"/>
          <w:szCs w:val="21"/>
          <w:highlight w:val="none"/>
        </w:rPr>
        <w:t>。</w:t>
      </w:r>
    </w:p>
    <w:p w14:paraId="19F9F06F">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中标人不能按</w:t>
      </w:r>
      <w:r>
        <w:rPr>
          <w:rFonts w:hint="eastAsia" w:ascii="宋体" w:hAnsi="宋体" w:cs="宋体"/>
          <w:color w:val="auto"/>
          <w:szCs w:val="21"/>
          <w:highlight w:val="none"/>
          <w:lang w:eastAsia="zh-CN"/>
        </w:rPr>
        <w:t>投标人须知前附表</w:t>
      </w:r>
      <w:r>
        <w:rPr>
          <w:rFonts w:hint="eastAsia" w:ascii="宋体" w:hAnsi="宋体" w:cs="宋体"/>
          <w:color w:val="auto"/>
          <w:szCs w:val="21"/>
          <w:highlight w:val="none"/>
        </w:rPr>
        <w:t>第</w:t>
      </w:r>
      <w:r>
        <w:rPr>
          <w:rFonts w:ascii="宋体" w:hAnsi="宋体" w:cs="宋体"/>
          <w:color w:val="auto"/>
          <w:szCs w:val="21"/>
          <w:highlight w:val="none"/>
        </w:rPr>
        <w:t>6.4.1</w:t>
      </w:r>
      <w:r>
        <w:rPr>
          <w:rFonts w:hint="eastAsia" w:ascii="宋体" w:hAnsi="宋体" w:cs="宋体"/>
          <w:color w:val="auto"/>
          <w:szCs w:val="21"/>
          <w:highlight w:val="none"/>
        </w:rPr>
        <w:t>项要求提交履约保证金的，视为放弃中标。</w:t>
      </w:r>
    </w:p>
    <w:p w14:paraId="37307186">
      <w:pPr>
        <w:numPr>
          <w:ilvl w:val="1"/>
          <w:numId w:val="6"/>
        </w:numPr>
        <w:spacing w:line="400" w:lineRule="exact"/>
        <w:ind w:firstLine="422" w:firstLineChars="200"/>
        <w:rPr>
          <w:rFonts w:ascii="宋体" w:cs="宋体"/>
          <w:b/>
          <w:bCs/>
          <w:color w:val="auto"/>
          <w:highlight w:val="none"/>
        </w:rPr>
      </w:pPr>
      <w:bookmarkStart w:id="326" w:name="_Toc20184"/>
      <w:r>
        <w:rPr>
          <w:rFonts w:hint="eastAsia" w:ascii="宋体" w:hAnsi="宋体" w:cs="宋体"/>
          <w:b/>
          <w:bCs/>
          <w:color w:val="auto"/>
          <w:highlight w:val="none"/>
        </w:rPr>
        <w:t>签订合同</w:t>
      </w:r>
      <w:bookmarkEnd w:id="316"/>
      <w:bookmarkEnd w:id="317"/>
      <w:bookmarkEnd w:id="318"/>
      <w:bookmarkEnd w:id="319"/>
      <w:bookmarkEnd w:id="320"/>
      <w:bookmarkEnd w:id="321"/>
      <w:bookmarkEnd w:id="322"/>
      <w:bookmarkEnd w:id="323"/>
      <w:bookmarkEnd w:id="324"/>
      <w:bookmarkEnd w:id="325"/>
      <w:bookmarkEnd w:id="326"/>
    </w:p>
    <w:p w14:paraId="4FB715F2">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采购人应当自中标通知书发出之日起</w:t>
      </w: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日内，按照招标文件和中标人投标文件的规定，与中标人签订书面合同。所签订的合同不得对招标文件确定的事项和中标人投标文件作实质性修改。</w:t>
      </w:r>
    </w:p>
    <w:p w14:paraId="73BFD040">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招标文件、中标人的投标文件和澄清文件等，均应作为签约合同文本的基础。</w:t>
      </w:r>
    </w:p>
    <w:p w14:paraId="3ED23392">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如中标人拒签合同，则按违约处理。对违约方收取中标金额</w:t>
      </w:r>
      <w:r>
        <w:rPr>
          <w:rFonts w:ascii="宋体" w:hAnsi="宋体" w:cs="宋体"/>
          <w:color w:val="auto"/>
          <w:szCs w:val="21"/>
          <w:highlight w:val="none"/>
        </w:rPr>
        <w:t>2%</w:t>
      </w:r>
      <w:r>
        <w:rPr>
          <w:rFonts w:hint="eastAsia" w:ascii="宋体" w:hAnsi="宋体" w:cs="宋体"/>
          <w:color w:val="auto"/>
          <w:szCs w:val="21"/>
          <w:highlight w:val="none"/>
        </w:rPr>
        <w:t>的违约金。</w:t>
      </w:r>
    </w:p>
    <w:p w14:paraId="4A62CB97">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政府采购合同应当包括采购人与中标人的名称和住所、标的、数量、质量、价款或者报酬、履行期限及地点和方式、验收要求、违约责任、解决争议的方法等内容。</w:t>
      </w:r>
    </w:p>
    <w:p w14:paraId="4FCD8E56">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如中标人不</w:t>
      </w:r>
      <w:r>
        <w:rPr>
          <w:rFonts w:hint="eastAsia" w:ascii="宋体" w:hAnsi="宋体" w:cs="宋体"/>
          <w:color w:val="auto"/>
          <w:szCs w:val="21"/>
          <w:highlight w:val="none"/>
          <w:lang w:val="en-US" w:eastAsia="zh-CN"/>
        </w:rPr>
        <w:t>按</w:t>
      </w:r>
      <w:r>
        <w:rPr>
          <w:rFonts w:hint="eastAsia" w:ascii="宋体" w:hAnsi="宋体" w:cs="宋体"/>
          <w:color w:val="auto"/>
          <w:szCs w:val="21"/>
          <w:highlight w:val="none"/>
        </w:rPr>
        <w:t>约定签订合同，采购人将报请取消其中标决定。采购人可重新招标。</w:t>
      </w:r>
    </w:p>
    <w:p w14:paraId="16D60CC2">
      <w:pPr>
        <w:numPr>
          <w:ilvl w:val="0"/>
          <w:numId w:val="6"/>
        </w:numPr>
        <w:spacing w:line="400" w:lineRule="exact"/>
        <w:ind w:firstLine="422" w:firstLineChars="200"/>
        <w:outlineLvl w:val="1"/>
        <w:rPr>
          <w:rStyle w:val="29"/>
          <w:color w:val="auto"/>
          <w:sz w:val="21"/>
          <w:szCs w:val="21"/>
          <w:highlight w:val="none"/>
        </w:rPr>
      </w:pPr>
      <w:bookmarkStart w:id="327" w:name="_Toc21335"/>
      <w:bookmarkStart w:id="328" w:name="_Toc40112136"/>
      <w:bookmarkStart w:id="329" w:name="_Toc23358"/>
      <w:bookmarkStart w:id="330" w:name="_Toc11106"/>
      <w:bookmarkStart w:id="331" w:name="_Toc3577"/>
      <w:r>
        <w:rPr>
          <w:rStyle w:val="29"/>
          <w:rFonts w:hint="eastAsia"/>
          <w:color w:val="auto"/>
          <w:sz w:val="21"/>
          <w:szCs w:val="21"/>
          <w:highlight w:val="none"/>
        </w:rPr>
        <w:t>信用记录</w:t>
      </w:r>
      <w:bookmarkEnd w:id="327"/>
      <w:bookmarkEnd w:id="328"/>
      <w:bookmarkEnd w:id="329"/>
      <w:bookmarkEnd w:id="330"/>
      <w:bookmarkEnd w:id="331"/>
    </w:p>
    <w:p w14:paraId="76159069">
      <w:pPr>
        <w:adjustRightInd w:val="0"/>
        <w:snapToGrid w:val="0"/>
        <w:spacing w:line="400" w:lineRule="exact"/>
        <w:ind w:firstLine="420" w:firstLineChars="200"/>
        <w:rPr>
          <w:rFonts w:ascii="宋体" w:cs="宋体"/>
          <w:color w:val="auto"/>
          <w:szCs w:val="21"/>
          <w:highlight w:val="none"/>
        </w:rPr>
      </w:pPr>
      <w:bookmarkStart w:id="332" w:name="_Toc18298"/>
      <w:bookmarkStart w:id="333" w:name="_Toc40112137"/>
      <w:bookmarkStart w:id="334" w:name="_Toc16339"/>
      <w:r>
        <w:rPr>
          <w:rFonts w:hint="eastAsia" w:ascii="宋体" w:hAnsi="宋体" w:cs="宋体"/>
          <w:color w:val="auto"/>
          <w:szCs w:val="21"/>
          <w:highlight w:val="none"/>
        </w:rPr>
        <w:t>根据《关于在政府采购活动中查询及使用信用记录有关问题的通知》</w:t>
      </w:r>
      <w:r>
        <w:rPr>
          <w:rFonts w:ascii="宋体" w:hAnsi="宋体" w:cs="宋体"/>
          <w:color w:val="auto"/>
          <w:szCs w:val="21"/>
          <w:highlight w:val="none"/>
        </w:rPr>
        <w:t>(</w:t>
      </w:r>
      <w:r>
        <w:rPr>
          <w:rFonts w:hint="eastAsia" w:ascii="宋体" w:hAnsi="宋体" w:cs="宋体"/>
          <w:color w:val="auto"/>
          <w:szCs w:val="21"/>
          <w:highlight w:val="none"/>
        </w:rPr>
        <w:t>财库</w:t>
      </w:r>
      <w:r>
        <w:rPr>
          <w:rFonts w:ascii="宋体" w:hAnsi="宋体" w:cs="宋体"/>
          <w:color w:val="auto"/>
          <w:szCs w:val="21"/>
          <w:highlight w:val="none"/>
        </w:rPr>
        <w:t>[2016]125</w:t>
      </w:r>
      <w:r>
        <w:rPr>
          <w:rFonts w:hint="eastAsia" w:ascii="宋体" w:hAnsi="宋体" w:cs="宋体"/>
          <w:color w:val="auto"/>
          <w:szCs w:val="21"/>
          <w:highlight w:val="none"/>
        </w:rPr>
        <w:t>号</w:t>
      </w:r>
      <w:r>
        <w:rPr>
          <w:rFonts w:ascii="宋体" w:hAnsi="宋体" w:cs="宋体"/>
          <w:color w:val="auto"/>
          <w:szCs w:val="21"/>
          <w:highlight w:val="none"/>
        </w:rPr>
        <w:t>)</w:t>
      </w:r>
      <w:r>
        <w:rPr>
          <w:rFonts w:hint="eastAsia" w:ascii="宋体" w:hAnsi="宋体" w:cs="宋体"/>
          <w:color w:val="auto"/>
          <w:szCs w:val="21"/>
          <w:highlight w:val="none"/>
        </w:rPr>
        <w:t>的规定，</w:t>
      </w:r>
      <w:r>
        <w:rPr>
          <w:rFonts w:hint="eastAsia" w:ascii="宋体" w:hAnsi="宋体" w:cs="宋体"/>
          <w:color w:val="auto"/>
          <w:szCs w:val="21"/>
          <w:highlight w:val="none"/>
          <w:lang w:eastAsia="zh-CN"/>
        </w:rPr>
        <w:t>开标结束后至符合性审查前</w:t>
      </w:r>
      <w:r>
        <w:rPr>
          <w:rFonts w:hint="eastAsia" w:ascii="宋体" w:hAnsi="宋体" w:cs="宋体"/>
          <w:color w:val="auto"/>
          <w:szCs w:val="21"/>
          <w:highlight w:val="none"/>
        </w:rPr>
        <w:t>采购代理机构通过“信用中国”网站（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）、“中国执行信息公开网”网站（</w:t>
      </w:r>
      <w:r>
        <w:rPr>
          <w:rFonts w:ascii="宋体" w:hAnsi="宋体" w:cs="宋体"/>
          <w:color w:val="auto"/>
          <w:szCs w:val="21"/>
          <w:highlight w:val="none"/>
        </w:rPr>
        <w:t>zxgk.court.gov.cn</w:t>
      </w:r>
      <w:r>
        <w:rPr>
          <w:rFonts w:hint="eastAsia" w:ascii="宋体" w:hAnsi="宋体" w:cs="宋体"/>
          <w:color w:val="auto"/>
          <w:szCs w:val="21"/>
          <w:highlight w:val="none"/>
        </w:rPr>
        <w:t>）和中国政府采购网（</w:t>
      </w:r>
      <w:r>
        <w:rPr>
          <w:rFonts w:ascii="宋体" w:hAnsi="宋体" w:cs="宋体"/>
          <w:color w:val="auto"/>
          <w:szCs w:val="21"/>
          <w:highlight w:val="none"/>
        </w:rPr>
        <w:t>www.ccgp.gov.cn</w:t>
      </w:r>
      <w:r>
        <w:rPr>
          <w:rFonts w:hint="eastAsia" w:ascii="宋体" w:hAnsi="宋体" w:cs="宋体"/>
          <w:color w:val="auto"/>
          <w:szCs w:val="21"/>
          <w:highlight w:val="none"/>
        </w:rPr>
        <w:t>）查询企业的信用记录，列入“中国执行信息公开网”网站的“失信被执行人”、“信用中国”网站的</w:t>
      </w:r>
      <w:r>
        <w:rPr>
          <w:rFonts w:hint="eastAsia" w:ascii="宋体" w:hAnsi="宋体" w:cs="宋体"/>
          <w:color w:val="auto"/>
          <w:highlight w:val="none"/>
        </w:rPr>
        <w:t>“重大税收违法失信主体”</w:t>
      </w:r>
      <w:r>
        <w:rPr>
          <w:rFonts w:hint="eastAsia" w:ascii="宋体" w:hAnsi="宋体" w:cs="宋体"/>
          <w:color w:val="auto"/>
          <w:szCs w:val="21"/>
          <w:highlight w:val="none"/>
        </w:rPr>
        <w:t>和“中国政府采购网”网站的“政府采购严重违法失信行为记录名单”及其他不符合《中华人民共和国政府采购法》第二十二条规定条件的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，将拒绝参与本次政府采购活动。</w:t>
      </w:r>
    </w:p>
    <w:p w14:paraId="7A9198B5">
      <w:pPr>
        <w:adjustRightInd w:val="0"/>
        <w:snapToGrid w:val="0"/>
        <w:spacing w:line="400" w:lineRule="exact"/>
        <w:ind w:firstLine="420" w:firstLineChars="200"/>
        <w:rPr>
          <w:rFonts w:ascii="宋体" w:cs="宋体"/>
          <w:color w:val="auto"/>
          <w:highlight w:val="none"/>
        </w:rPr>
      </w:pPr>
      <w:r>
        <w:rPr>
          <w:rFonts w:hint="eastAsia" w:ascii="宋体" w:hAnsi="宋体" w:cs="宋体"/>
          <w:color w:val="auto"/>
          <w:szCs w:val="21"/>
          <w:highlight w:val="none"/>
        </w:rPr>
        <w:t>在本招标文件规定的查询时间之后，网站信息发生的任何变更均不再作为评标依据。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自行提供的与网站信息不一致的其他证明材料亦不作为资格审查的依据。信用信息查询记录及相关证据与其他采购文件一并保存。</w:t>
      </w:r>
    </w:p>
    <w:p w14:paraId="4F414B13">
      <w:pPr>
        <w:numPr>
          <w:ilvl w:val="0"/>
          <w:numId w:val="6"/>
        </w:numPr>
        <w:spacing w:line="400" w:lineRule="exact"/>
        <w:ind w:firstLine="422" w:firstLineChars="200"/>
        <w:outlineLvl w:val="1"/>
        <w:rPr>
          <w:rStyle w:val="29"/>
          <w:color w:val="auto"/>
          <w:sz w:val="21"/>
          <w:szCs w:val="21"/>
          <w:highlight w:val="none"/>
        </w:rPr>
      </w:pPr>
      <w:bookmarkStart w:id="335" w:name="_Toc7802"/>
      <w:bookmarkStart w:id="336" w:name="_Toc10534"/>
      <w:bookmarkStart w:id="337" w:name="_Toc25040"/>
      <w:r>
        <w:rPr>
          <w:rStyle w:val="29"/>
          <w:rFonts w:hint="eastAsia"/>
          <w:color w:val="auto"/>
          <w:sz w:val="21"/>
          <w:szCs w:val="21"/>
          <w:highlight w:val="none"/>
        </w:rPr>
        <w:t>需要补充的其他内容</w:t>
      </w:r>
      <w:bookmarkEnd w:id="332"/>
      <w:bookmarkEnd w:id="333"/>
      <w:bookmarkEnd w:id="335"/>
      <w:bookmarkEnd w:id="336"/>
      <w:bookmarkEnd w:id="337"/>
    </w:p>
    <w:p w14:paraId="1B2B634C">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bookmarkEnd w:id="334"/>
    </w:p>
    <w:p w14:paraId="7C557E56">
      <w:pPr>
        <w:rPr>
          <w:highlight w:val="none"/>
        </w:rPr>
      </w:pPr>
      <w:r>
        <w:rPr>
          <w:highlight w:val="none"/>
        </w:rPr>
        <w:br w:type="page"/>
      </w:r>
    </w:p>
    <w:p w14:paraId="013DE2AC">
      <w:pPr>
        <w:pStyle w:val="2"/>
        <w:adjustRightInd w:val="0"/>
        <w:snapToGrid w:val="0"/>
        <w:rPr>
          <w:rFonts w:ascii="宋体" w:cs="宋体"/>
          <w:color w:val="auto"/>
          <w:szCs w:val="32"/>
          <w:highlight w:val="none"/>
        </w:rPr>
      </w:pPr>
      <w:bookmarkStart w:id="338" w:name="_Toc19667"/>
      <w:bookmarkStart w:id="339" w:name="_Toc28292"/>
      <w:bookmarkStart w:id="340" w:name="_Toc5739"/>
      <w:bookmarkStart w:id="341" w:name="_Toc11970"/>
      <w:bookmarkStart w:id="342" w:name="_Toc40112138"/>
      <w:r>
        <w:rPr>
          <w:rFonts w:hint="eastAsia" w:ascii="宋体" w:hAnsi="宋体" w:cs="宋体"/>
          <w:color w:val="auto"/>
          <w:szCs w:val="32"/>
          <w:highlight w:val="none"/>
        </w:rPr>
        <w:t>第三章</w:t>
      </w:r>
      <w:r>
        <w:rPr>
          <w:rFonts w:ascii="宋体" w:hAnsi="宋体" w:cs="宋体"/>
          <w:color w:val="auto"/>
          <w:szCs w:val="32"/>
          <w:highlight w:val="none"/>
        </w:rPr>
        <w:t xml:space="preserve">  </w:t>
      </w:r>
      <w:r>
        <w:rPr>
          <w:rFonts w:hint="eastAsia" w:ascii="宋体" w:hAnsi="宋体" w:cs="宋体"/>
          <w:color w:val="auto"/>
          <w:szCs w:val="32"/>
          <w:highlight w:val="none"/>
        </w:rPr>
        <w:t>资格审查</w:t>
      </w:r>
      <w:bookmarkEnd w:id="338"/>
      <w:bookmarkEnd w:id="339"/>
      <w:bookmarkEnd w:id="340"/>
      <w:bookmarkEnd w:id="341"/>
      <w:bookmarkEnd w:id="342"/>
    </w:p>
    <w:p w14:paraId="4C02BDED">
      <w:pPr>
        <w:pStyle w:val="4"/>
        <w:adjustRightInd w:val="0"/>
        <w:snapToGrid w:val="0"/>
        <w:ind w:left="482"/>
        <w:jc w:val="center"/>
        <w:rPr>
          <w:rFonts w:hint="eastAsia" w:ascii="宋体" w:eastAsia="宋体" w:cs="宋体"/>
          <w:color w:val="auto"/>
          <w:sz w:val="24"/>
          <w:szCs w:val="24"/>
          <w:highlight w:val="none"/>
          <w:lang w:eastAsia="zh-CN"/>
        </w:rPr>
      </w:pPr>
      <w:bookmarkStart w:id="343" w:name="_Toc28519"/>
      <w:bookmarkStart w:id="344" w:name="_Toc6735"/>
      <w:bookmarkStart w:id="345" w:name="_Toc21173"/>
      <w:bookmarkStart w:id="346" w:name="_Toc11714"/>
      <w:bookmarkStart w:id="347" w:name="_Toc13197"/>
      <w:bookmarkStart w:id="348" w:name="_Toc27205"/>
      <w:bookmarkStart w:id="349" w:name="_Toc16729"/>
      <w:bookmarkStart w:id="350" w:name="_Toc30398"/>
      <w:bookmarkStart w:id="351" w:name="_Toc27033"/>
      <w:r>
        <w:rPr>
          <w:rFonts w:hint="eastAsia" w:ascii="宋体" w:hAnsi="宋体" w:cs="宋体"/>
          <w:color w:val="auto"/>
          <w:sz w:val="24"/>
          <w:szCs w:val="24"/>
          <w:highlight w:val="none"/>
        </w:rPr>
        <w:t>资格审查前附表</w:t>
      </w:r>
      <w:bookmarkEnd w:id="343"/>
      <w:bookmarkEnd w:id="344"/>
      <w:bookmarkEnd w:id="345"/>
      <w:bookmarkEnd w:id="346"/>
      <w:bookmarkEnd w:id="347"/>
      <w:bookmarkEnd w:id="348"/>
      <w:bookmarkEnd w:id="349"/>
      <w:bookmarkEnd w:id="350"/>
      <w:bookmarkEnd w:id="351"/>
    </w:p>
    <w:tbl>
      <w:tblPr>
        <w:tblStyle w:val="23"/>
        <w:tblpPr w:leftFromText="180" w:rightFromText="180" w:vertAnchor="text" w:horzAnchor="page" w:tblpX="1455" w:tblpY="71"/>
        <w:tblOverlap w:val="never"/>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3104"/>
        <w:gridCol w:w="5153"/>
      </w:tblGrid>
      <w:tr w14:paraId="1EBB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72" w:type="dxa"/>
            <w:vAlign w:val="center"/>
          </w:tcPr>
          <w:p w14:paraId="1C91E3A8">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条款</w:t>
            </w:r>
          </w:p>
        </w:tc>
        <w:tc>
          <w:tcPr>
            <w:tcW w:w="3104" w:type="dxa"/>
            <w:vAlign w:val="center"/>
          </w:tcPr>
          <w:p w14:paraId="7E1626DC">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评审因素</w:t>
            </w:r>
          </w:p>
        </w:tc>
        <w:tc>
          <w:tcPr>
            <w:tcW w:w="5153" w:type="dxa"/>
            <w:vAlign w:val="center"/>
          </w:tcPr>
          <w:p w14:paraId="49AEC541">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评审标准</w:t>
            </w:r>
          </w:p>
        </w:tc>
      </w:tr>
      <w:tr w14:paraId="78B7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 w:type="dxa"/>
            <w:vMerge w:val="restart"/>
            <w:vAlign w:val="center"/>
          </w:tcPr>
          <w:p w14:paraId="3725306B">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资格审查</w:t>
            </w:r>
            <w:r>
              <w:rPr>
                <w:rFonts w:hint="eastAsia" w:ascii="宋体" w:hAnsi="宋体" w:cs="宋体"/>
                <w:color w:val="auto"/>
                <w:kern w:val="0"/>
                <w:sz w:val="24"/>
                <w:highlight w:val="none"/>
              </w:rPr>
              <w:t>标准</w:t>
            </w:r>
          </w:p>
        </w:tc>
        <w:tc>
          <w:tcPr>
            <w:tcW w:w="3104" w:type="dxa"/>
            <w:vAlign w:val="center"/>
          </w:tcPr>
          <w:p w14:paraId="53B92C8B">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应在中华人民共和国境内注册，具有独立承担民事责任的能力</w:t>
            </w:r>
          </w:p>
        </w:tc>
        <w:tc>
          <w:tcPr>
            <w:tcW w:w="5153" w:type="dxa"/>
            <w:vAlign w:val="center"/>
          </w:tcPr>
          <w:p w14:paraId="7330A8D4">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提供营业执照或自然人的身份证明等</w:t>
            </w:r>
          </w:p>
        </w:tc>
      </w:tr>
      <w:tr w14:paraId="2AA7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72" w:type="dxa"/>
            <w:vMerge w:val="continue"/>
            <w:vAlign w:val="center"/>
          </w:tcPr>
          <w:p w14:paraId="1E023C4A">
            <w:pPr>
              <w:widowControl/>
              <w:adjustRightInd w:val="0"/>
              <w:snapToGrid w:val="0"/>
              <w:spacing w:line="360" w:lineRule="auto"/>
              <w:jc w:val="center"/>
              <w:rPr>
                <w:rFonts w:ascii="宋体" w:cs="宋体"/>
                <w:color w:val="auto"/>
                <w:kern w:val="0"/>
                <w:sz w:val="24"/>
                <w:highlight w:val="none"/>
              </w:rPr>
            </w:pPr>
          </w:p>
        </w:tc>
        <w:tc>
          <w:tcPr>
            <w:tcW w:w="3104" w:type="dxa"/>
            <w:vAlign w:val="top"/>
          </w:tcPr>
          <w:p w14:paraId="4C36B162">
            <w:pPr>
              <w:pStyle w:val="26"/>
              <w:spacing w:before="113" w:line="308" w:lineRule="auto"/>
              <w:ind w:right="190"/>
              <w:jc w:val="both"/>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投标人必须为所投车辆的生产企业（须提供承诺函），</w:t>
            </w:r>
            <w:r>
              <w:rPr>
                <w:rFonts w:hint="default" w:ascii="宋体" w:hAnsi="宋体" w:eastAsia="宋体" w:cs="宋体"/>
                <w:color w:val="auto"/>
                <w:kern w:val="2"/>
                <w:sz w:val="24"/>
                <w:szCs w:val="24"/>
                <w:highlight w:val="none"/>
                <w:lang w:val="en-US" w:eastAsia="zh-CN" w:bidi="ar-SA"/>
              </w:rPr>
              <w:t>交车时（整车）必须是已取得中华人民共和国工业和信息化部发布的对应车型《道路机动车辆生产企业及产品公告》的合格产品（须提供工信部官方查询平台查询截图和网址链接）</w:t>
            </w:r>
          </w:p>
        </w:tc>
        <w:tc>
          <w:tcPr>
            <w:tcW w:w="5153" w:type="dxa"/>
            <w:vAlign w:val="top"/>
          </w:tcPr>
          <w:p w14:paraId="4DA26A49">
            <w:pPr>
              <w:spacing w:line="245" w:lineRule="auto"/>
              <w:rPr>
                <w:rFonts w:ascii="Arial"/>
                <w:sz w:val="21"/>
                <w:highlight w:val="none"/>
              </w:rPr>
            </w:pPr>
          </w:p>
          <w:p w14:paraId="0659A306">
            <w:pPr>
              <w:spacing w:line="245" w:lineRule="auto"/>
              <w:rPr>
                <w:rFonts w:ascii="Arial"/>
                <w:sz w:val="21"/>
                <w:highlight w:val="none"/>
              </w:rPr>
            </w:pPr>
          </w:p>
          <w:p w14:paraId="3A072DB0">
            <w:pPr>
              <w:spacing w:line="246" w:lineRule="auto"/>
              <w:rPr>
                <w:rFonts w:ascii="Arial"/>
                <w:sz w:val="21"/>
                <w:highlight w:val="none"/>
              </w:rPr>
            </w:pPr>
          </w:p>
          <w:p w14:paraId="4F3ECF2B">
            <w:pPr>
              <w:spacing w:line="246" w:lineRule="auto"/>
              <w:rPr>
                <w:rFonts w:ascii="Arial"/>
                <w:sz w:val="21"/>
                <w:highlight w:val="none"/>
              </w:rPr>
            </w:pPr>
          </w:p>
          <w:p w14:paraId="229AAFC3">
            <w:pPr>
              <w:spacing w:line="246" w:lineRule="auto"/>
              <w:rPr>
                <w:rFonts w:ascii="Arial"/>
                <w:sz w:val="21"/>
                <w:highlight w:val="none"/>
              </w:rPr>
            </w:pPr>
          </w:p>
          <w:p w14:paraId="308211D8">
            <w:pPr>
              <w:pStyle w:val="26"/>
              <w:spacing w:before="78" w:line="219" w:lineRule="auto"/>
              <w:ind w:left="118" w:leftChars="0"/>
              <w:rPr>
                <w:rFonts w:hint="eastAsia"/>
                <w:color w:val="auto"/>
                <w:sz w:val="24"/>
                <w:szCs w:val="24"/>
                <w:highlight w:val="none"/>
                <w:lang w:eastAsia="zh-CN"/>
              </w:rPr>
            </w:pPr>
            <w:r>
              <w:rPr>
                <w:spacing w:val="-2"/>
                <w:highlight w:val="none"/>
              </w:rPr>
              <w:t>须提供承诺函</w:t>
            </w:r>
          </w:p>
        </w:tc>
      </w:tr>
      <w:tr w14:paraId="67EF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72" w:type="dxa"/>
            <w:vMerge w:val="continue"/>
            <w:vAlign w:val="center"/>
          </w:tcPr>
          <w:p w14:paraId="4FB1F322">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631CA3F6">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具有良好的商业信誉和健全的财务会计制度</w:t>
            </w:r>
          </w:p>
        </w:tc>
        <w:tc>
          <w:tcPr>
            <w:tcW w:w="5153" w:type="dxa"/>
            <w:vAlign w:val="center"/>
          </w:tcPr>
          <w:p w14:paraId="033B2E6D">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须提供</w:t>
            </w:r>
            <w:r>
              <w:rPr>
                <w:rFonts w:hint="eastAsia"/>
                <w:color w:val="auto"/>
                <w:sz w:val="24"/>
                <w:szCs w:val="24"/>
                <w:highlight w:val="none"/>
                <w:lang w:val="en-US" w:eastAsia="zh-CN"/>
              </w:rPr>
              <w:t>2023年度</w:t>
            </w:r>
            <w:r>
              <w:rPr>
                <w:rFonts w:hint="eastAsia"/>
                <w:color w:val="auto"/>
                <w:sz w:val="24"/>
                <w:szCs w:val="24"/>
                <w:highlight w:val="none"/>
                <w:lang w:eastAsia="zh-CN"/>
              </w:rPr>
              <w:t>经会计师事务所或第三方审计机构审计后的财务报告（须包括资产负债表、现金流量表、利润表和附注</w:t>
            </w:r>
            <w:r>
              <w:rPr>
                <w:color w:val="auto"/>
                <w:sz w:val="24"/>
                <w:szCs w:val="24"/>
                <w:highlight w:val="none"/>
                <w:lang w:eastAsia="zh-CN"/>
              </w:rPr>
              <w:t>)</w:t>
            </w:r>
            <w:r>
              <w:rPr>
                <w:rFonts w:hint="eastAsia"/>
                <w:color w:val="auto"/>
                <w:sz w:val="24"/>
                <w:szCs w:val="24"/>
                <w:highlight w:val="none"/>
                <w:lang w:eastAsia="zh-CN"/>
              </w:rPr>
              <w:t>，新成立企业自成立之日起不足一年的须提供基本开户行出具的银行资信证明</w:t>
            </w:r>
          </w:p>
        </w:tc>
      </w:tr>
      <w:tr w14:paraId="1DBB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72" w:type="dxa"/>
            <w:vMerge w:val="continue"/>
            <w:vAlign w:val="center"/>
          </w:tcPr>
          <w:p w14:paraId="6FEB6C58">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2F52A500">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具有履行合同所必需的设备和专业技术能力</w:t>
            </w:r>
          </w:p>
        </w:tc>
        <w:tc>
          <w:tcPr>
            <w:tcW w:w="5153" w:type="dxa"/>
            <w:vAlign w:val="center"/>
          </w:tcPr>
          <w:p w14:paraId="59A0CD40">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w:t>
            </w:r>
            <w:r>
              <w:rPr>
                <w:rFonts w:hint="eastAsia" w:ascii="宋体" w:hAnsi="宋体" w:cs="宋体"/>
                <w:b w:val="0"/>
                <w:bCs w:val="0"/>
                <w:color w:val="auto"/>
                <w:sz w:val="24"/>
                <w:szCs w:val="24"/>
                <w:highlight w:val="none"/>
                <w:lang w:eastAsia="zh-CN"/>
              </w:rPr>
              <w:t>格式自拟</w:t>
            </w:r>
            <w:r>
              <w:rPr>
                <w:rFonts w:hint="eastAsia" w:ascii="宋体" w:hAnsi="宋体" w:eastAsia="宋体" w:cs="宋体"/>
                <w:b w:val="0"/>
                <w:bCs w:val="0"/>
                <w:color w:val="auto"/>
                <w:sz w:val="24"/>
                <w:szCs w:val="24"/>
                <w:highlight w:val="none"/>
              </w:rPr>
              <w:t>)</w:t>
            </w:r>
          </w:p>
        </w:tc>
      </w:tr>
      <w:tr w14:paraId="6316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72" w:type="dxa"/>
            <w:vMerge w:val="continue"/>
            <w:vAlign w:val="center"/>
          </w:tcPr>
          <w:p w14:paraId="0374FE84">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0BDC6EBE">
            <w:pPr>
              <w:widowControl/>
              <w:adjustRightInd w:val="0"/>
              <w:snapToGrid w:val="0"/>
              <w:spacing w:line="360" w:lineRule="auto"/>
              <w:jc w:val="center"/>
              <w:rPr>
                <w:rFonts w:hint="default" w:ascii="宋体" w:eastAsia="宋体" w:cs="宋体"/>
                <w:color w:val="auto"/>
                <w:kern w:val="0"/>
                <w:sz w:val="24"/>
                <w:highlight w:val="none"/>
                <w:lang w:val="en-US" w:eastAsia="zh-CN"/>
              </w:rPr>
            </w:pPr>
            <w:r>
              <w:rPr>
                <w:rFonts w:hint="eastAsia" w:ascii="宋体" w:hAnsi="宋体" w:cs="宋体"/>
                <w:color w:val="auto"/>
                <w:sz w:val="24"/>
                <w:highlight w:val="none"/>
              </w:rPr>
              <w:t>依法缴纳税收</w:t>
            </w:r>
            <w:r>
              <w:rPr>
                <w:rFonts w:hint="eastAsia" w:ascii="宋体" w:hAnsi="宋体" w:cs="宋体"/>
                <w:color w:val="auto"/>
                <w:sz w:val="24"/>
                <w:highlight w:val="none"/>
                <w:lang w:val="en-US" w:eastAsia="zh-CN"/>
              </w:rPr>
              <w:t>和社会保障资金</w:t>
            </w:r>
          </w:p>
        </w:tc>
        <w:tc>
          <w:tcPr>
            <w:tcW w:w="5153" w:type="dxa"/>
            <w:vAlign w:val="center"/>
          </w:tcPr>
          <w:p w14:paraId="47FF8210">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提供</w:t>
            </w:r>
            <w:r>
              <w:rPr>
                <w:color w:val="auto"/>
                <w:sz w:val="24"/>
                <w:szCs w:val="24"/>
                <w:highlight w:val="none"/>
                <w:lang w:eastAsia="zh-CN"/>
              </w:rPr>
              <w:t>202</w:t>
            </w:r>
            <w:r>
              <w:rPr>
                <w:rFonts w:hint="eastAsia"/>
                <w:color w:val="auto"/>
                <w:sz w:val="24"/>
                <w:szCs w:val="24"/>
                <w:highlight w:val="none"/>
                <w:lang w:val="en-US" w:eastAsia="zh-CN"/>
              </w:rPr>
              <w:t>4</w:t>
            </w:r>
            <w:r>
              <w:rPr>
                <w:rFonts w:hint="eastAsia"/>
                <w:color w:val="auto"/>
                <w:sz w:val="24"/>
                <w:szCs w:val="24"/>
                <w:highlight w:val="none"/>
                <w:lang w:eastAsia="zh-CN"/>
              </w:rPr>
              <w:t>年</w:t>
            </w:r>
            <w:r>
              <w:rPr>
                <w:color w:val="auto"/>
                <w:sz w:val="24"/>
                <w:szCs w:val="24"/>
                <w:highlight w:val="none"/>
                <w:lang w:eastAsia="zh-CN"/>
              </w:rPr>
              <w:t>1</w:t>
            </w:r>
            <w:r>
              <w:rPr>
                <w:rFonts w:hint="eastAsia"/>
                <w:color w:val="auto"/>
                <w:sz w:val="24"/>
                <w:szCs w:val="24"/>
                <w:highlight w:val="none"/>
                <w:lang w:eastAsia="zh-CN"/>
              </w:rPr>
              <w:t>月</w:t>
            </w:r>
            <w:r>
              <w:rPr>
                <w:color w:val="auto"/>
                <w:sz w:val="24"/>
                <w:szCs w:val="24"/>
                <w:highlight w:val="none"/>
                <w:lang w:eastAsia="zh-CN"/>
              </w:rPr>
              <w:t>1</w:t>
            </w:r>
            <w:r>
              <w:rPr>
                <w:rFonts w:hint="eastAsia"/>
                <w:color w:val="auto"/>
                <w:sz w:val="24"/>
                <w:szCs w:val="24"/>
                <w:highlight w:val="none"/>
                <w:lang w:eastAsia="zh-CN"/>
              </w:rPr>
              <w:t>日以来任意</w:t>
            </w:r>
            <w:r>
              <w:rPr>
                <w:color w:val="auto"/>
                <w:sz w:val="24"/>
                <w:szCs w:val="24"/>
                <w:highlight w:val="none"/>
                <w:lang w:eastAsia="zh-CN"/>
              </w:rPr>
              <w:t>1</w:t>
            </w:r>
            <w:r>
              <w:rPr>
                <w:rFonts w:hint="eastAsia"/>
                <w:color w:val="auto"/>
                <w:sz w:val="24"/>
                <w:szCs w:val="24"/>
                <w:highlight w:val="none"/>
                <w:lang w:eastAsia="zh-CN"/>
              </w:rPr>
              <w:t>个月依法缴纳税收</w:t>
            </w:r>
            <w:r>
              <w:rPr>
                <w:rFonts w:hint="eastAsia"/>
                <w:color w:val="auto"/>
                <w:sz w:val="24"/>
                <w:szCs w:val="24"/>
                <w:highlight w:val="none"/>
                <w:lang w:val="en-US" w:eastAsia="zh-CN"/>
              </w:rPr>
              <w:t>和社保</w:t>
            </w:r>
            <w:r>
              <w:rPr>
                <w:rFonts w:hint="eastAsia"/>
                <w:color w:val="auto"/>
                <w:sz w:val="24"/>
                <w:szCs w:val="24"/>
                <w:highlight w:val="none"/>
                <w:lang w:eastAsia="zh-CN"/>
              </w:rPr>
              <w:t>的相关证明，依法免税的，应提供相应证明文件</w:t>
            </w:r>
          </w:p>
        </w:tc>
      </w:tr>
      <w:tr w14:paraId="7EE5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2" w:type="dxa"/>
            <w:vMerge w:val="continue"/>
            <w:vAlign w:val="center"/>
          </w:tcPr>
          <w:p w14:paraId="00287C15">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1AEFEFBE">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参加政府采购活动前三年内，在经营活动中没有重大违法记录</w:t>
            </w:r>
          </w:p>
        </w:tc>
        <w:tc>
          <w:tcPr>
            <w:tcW w:w="5153" w:type="dxa"/>
            <w:vAlign w:val="center"/>
          </w:tcPr>
          <w:p w14:paraId="26C31D0A">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w:t>
            </w:r>
            <w:r>
              <w:rPr>
                <w:rFonts w:hint="eastAsia" w:ascii="宋体" w:hAnsi="宋体" w:cs="宋体"/>
                <w:b w:val="0"/>
                <w:bCs w:val="0"/>
                <w:color w:val="auto"/>
                <w:sz w:val="24"/>
                <w:szCs w:val="24"/>
                <w:highlight w:val="none"/>
                <w:lang w:eastAsia="zh-CN"/>
              </w:rPr>
              <w:t>格式自拟</w:t>
            </w:r>
            <w:r>
              <w:rPr>
                <w:rFonts w:hint="eastAsia" w:ascii="宋体" w:hAnsi="宋体" w:eastAsia="宋体" w:cs="宋体"/>
                <w:b w:val="0"/>
                <w:bCs w:val="0"/>
                <w:color w:val="auto"/>
                <w:sz w:val="24"/>
                <w:szCs w:val="24"/>
                <w:highlight w:val="none"/>
              </w:rPr>
              <w:t>)</w:t>
            </w:r>
          </w:p>
        </w:tc>
      </w:tr>
      <w:tr w14:paraId="5DA0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2" w:type="dxa"/>
            <w:vMerge w:val="continue"/>
            <w:vAlign w:val="center"/>
          </w:tcPr>
          <w:p w14:paraId="20A6EDB2">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053D2C78">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单位负责人为同一人或者存在直接控股、管理关系的不同供应商，不得参加同一合同项下的政府采购活动</w:t>
            </w:r>
          </w:p>
        </w:tc>
        <w:tc>
          <w:tcPr>
            <w:tcW w:w="5153" w:type="dxa"/>
            <w:vAlign w:val="center"/>
          </w:tcPr>
          <w:p w14:paraId="7A0EF8A4">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w:t>
            </w:r>
            <w:r>
              <w:rPr>
                <w:rFonts w:hint="eastAsia" w:ascii="宋体" w:hAnsi="宋体" w:cs="宋体"/>
                <w:b w:val="0"/>
                <w:bCs w:val="0"/>
                <w:color w:val="auto"/>
                <w:sz w:val="24"/>
                <w:szCs w:val="24"/>
                <w:highlight w:val="none"/>
                <w:lang w:eastAsia="zh-CN"/>
              </w:rPr>
              <w:t>格式自拟</w:t>
            </w:r>
            <w:r>
              <w:rPr>
                <w:rFonts w:hint="eastAsia" w:ascii="宋体" w:hAnsi="宋体" w:eastAsia="宋体" w:cs="宋体"/>
                <w:b w:val="0"/>
                <w:bCs w:val="0"/>
                <w:color w:val="auto"/>
                <w:sz w:val="24"/>
                <w:szCs w:val="24"/>
                <w:highlight w:val="none"/>
              </w:rPr>
              <w:t>)</w:t>
            </w:r>
          </w:p>
        </w:tc>
      </w:tr>
      <w:tr w14:paraId="14C3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9" w:hRule="atLeast"/>
        </w:trPr>
        <w:tc>
          <w:tcPr>
            <w:tcW w:w="972" w:type="dxa"/>
            <w:vMerge w:val="continue"/>
            <w:vAlign w:val="center"/>
          </w:tcPr>
          <w:p w14:paraId="2412F1C5">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6B0F9811">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信用记录</w:t>
            </w:r>
          </w:p>
        </w:tc>
        <w:tc>
          <w:tcPr>
            <w:tcW w:w="5153" w:type="dxa"/>
            <w:vAlign w:val="center"/>
          </w:tcPr>
          <w:p w14:paraId="303F640D">
            <w:pPr>
              <w:widowControl/>
              <w:adjustRightInd w:val="0"/>
              <w:snapToGrid w:val="0"/>
              <w:spacing w:line="360" w:lineRule="auto"/>
              <w:jc w:val="left"/>
              <w:rPr>
                <w:rFonts w:ascii="宋体" w:cs="宋体"/>
                <w:color w:val="auto"/>
                <w:kern w:val="0"/>
                <w:sz w:val="24"/>
                <w:highlight w:val="none"/>
              </w:rPr>
            </w:pPr>
            <w:r>
              <w:rPr>
                <w:rFonts w:hint="eastAsia" w:ascii="宋体" w:hAnsi="宋体" w:cs="宋体"/>
                <w:color w:val="auto"/>
                <w:kern w:val="0"/>
                <w:sz w:val="24"/>
                <w:highlight w:val="none"/>
              </w:rPr>
              <w:t>根据《关于在政府采购活动中查询及使用信用记录有关问题的通知》</w:t>
            </w:r>
            <w:r>
              <w:rPr>
                <w:rFonts w:ascii="宋体" w:hAnsi="宋体" w:cs="宋体"/>
                <w:color w:val="auto"/>
                <w:kern w:val="0"/>
                <w:sz w:val="24"/>
                <w:highlight w:val="none"/>
              </w:rPr>
              <w:t>(</w:t>
            </w:r>
            <w:r>
              <w:rPr>
                <w:rFonts w:hint="eastAsia" w:ascii="宋体" w:hAnsi="宋体" w:cs="宋体"/>
                <w:color w:val="auto"/>
                <w:kern w:val="0"/>
                <w:sz w:val="24"/>
                <w:highlight w:val="none"/>
              </w:rPr>
              <w:t>财库</w:t>
            </w:r>
            <w:r>
              <w:rPr>
                <w:rFonts w:ascii="宋体" w:hAnsi="宋体" w:cs="宋体"/>
                <w:color w:val="auto"/>
                <w:kern w:val="0"/>
                <w:sz w:val="24"/>
                <w:highlight w:val="none"/>
              </w:rPr>
              <w:t>[2016]125</w:t>
            </w:r>
            <w:r>
              <w:rPr>
                <w:rFonts w:hint="eastAsia" w:ascii="宋体" w:hAnsi="宋体" w:cs="宋体"/>
                <w:color w:val="auto"/>
                <w:kern w:val="0"/>
                <w:sz w:val="24"/>
                <w:highlight w:val="none"/>
              </w:rPr>
              <w:t>号</w:t>
            </w:r>
            <w:r>
              <w:rPr>
                <w:rFonts w:ascii="宋体" w:hAnsi="宋体" w:cs="宋体"/>
                <w:color w:val="auto"/>
                <w:kern w:val="0"/>
                <w:sz w:val="24"/>
                <w:highlight w:val="none"/>
              </w:rPr>
              <w:t>)</w:t>
            </w:r>
            <w:r>
              <w:rPr>
                <w:rFonts w:hint="eastAsia" w:ascii="宋体" w:hAnsi="宋体" w:cs="宋体"/>
                <w:color w:val="auto"/>
                <w:kern w:val="0"/>
                <w:sz w:val="24"/>
                <w:highlight w:val="none"/>
              </w:rPr>
              <w:t>的规定，</w:t>
            </w:r>
            <w:r>
              <w:rPr>
                <w:rFonts w:hint="eastAsia" w:ascii="宋体" w:hAnsi="宋体" w:cs="宋体"/>
                <w:color w:val="auto"/>
                <w:kern w:val="0"/>
                <w:sz w:val="24"/>
                <w:highlight w:val="none"/>
                <w:lang w:eastAsia="zh-CN"/>
              </w:rPr>
              <w:t>开标结束后至符合性审查前</w:t>
            </w:r>
            <w:r>
              <w:rPr>
                <w:rFonts w:hint="eastAsia" w:ascii="宋体" w:hAnsi="宋体" w:cs="宋体"/>
                <w:color w:val="auto"/>
                <w:kern w:val="0"/>
                <w:sz w:val="24"/>
                <w:highlight w:val="none"/>
              </w:rPr>
              <w:t>采购代理机构通过“信用中国”网站（</w:t>
            </w:r>
            <w:r>
              <w:rPr>
                <w:rFonts w:ascii="宋体" w:hAnsi="宋体" w:cs="宋体"/>
                <w:color w:val="auto"/>
                <w:kern w:val="0"/>
                <w:sz w:val="24"/>
                <w:highlight w:val="none"/>
              </w:rPr>
              <w:t>www.creditchina.gov.cn</w:t>
            </w:r>
            <w:r>
              <w:rPr>
                <w:rFonts w:hint="eastAsia" w:ascii="宋体" w:hAnsi="宋体" w:cs="宋体"/>
                <w:color w:val="auto"/>
                <w:kern w:val="0"/>
                <w:sz w:val="24"/>
                <w:highlight w:val="none"/>
              </w:rPr>
              <w:t>）、“中国执行信息公开网”网站（</w:t>
            </w:r>
            <w:r>
              <w:rPr>
                <w:rFonts w:ascii="宋体" w:hAnsi="宋体" w:cs="宋体"/>
                <w:color w:val="auto"/>
                <w:kern w:val="0"/>
                <w:sz w:val="24"/>
                <w:highlight w:val="none"/>
              </w:rPr>
              <w:t>zxgk.court.gov.cn</w:t>
            </w:r>
            <w:r>
              <w:rPr>
                <w:rFonts w:hint="eastAsia" w:ascii="宋体" w:hAnsi="宋体" w:cs="宋体"/>
                <w:color w:val="auto"/>
                <w:kern w:val="0"/>
                <w:sz w:val="24"/>
                <w:highlight w:val="none"/>
              </w:rPr>
              <w:t>）和中国政府采购网（</w:t>
            </w:r>
            <w:r>
              <w:rPr>
                <w:rFonts w:ascii="宋体" w:hAnsi="宋体" w:cs="宋体"/>
                <w:color w:val="auto"/>
                <w:kern w:val="0"/>
                <w:sz w:val="24"/>
                <w:highlight w:val="none"/>
              </w:rPr>
              <w:t>www.ccgp.gov.cn</w:t>
            </w:r>
            <w:r>
              <w:rPr>
                <w:rFonts w:hint="eastAsia" w:ascii="宋体" w:hAnsi="宋体" w:cs="宋体"/>
                <w:color w:val="auto"/>
                <w:kern w:val="0"/>
                <w:sz w:val="24"/>
                <w:highlight w:val="none"/>
              </w:rPr>
              <w:t>）查询企业的信用记录，列入“中国执行信息公开网”网站的“失信被执行人”、“信用中国”网站的</w:t>
            </w:r>
            <w:r>
              <w:rPr>
                <w:rFonts w:hint="eastAsia" w:ascii="宋体" w:hAnsi="宋体" w:cs="宋体"/>
                <w:color w:val="auto"/>
                <w:sz w:val="24"/>
                <w:highlight w:val="none"/>
              </w:rPr>
              <w:t>“重大税收违法失信主体”</w:t>
            </w:r>
            <w:r>
              <w:rPr>
                <w:rFonts w:hint="eastAsia" w:ascii="宋体" w:hAnsi="宋体" w:cs="宋体"/>
                <w:color w:val="auto"/>
                <w:kern w:val="0"/>
                <w:sz w:val="24"/>
                <w:highlight w:val="none"/>
              </w:rPr>
              <w:t>和“中国政府采购网”网站的“政府采购严重违法失信行为记录名单”及其他不符合《中华人民共和国政府采购法》第二十二条规定条件的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，将拒绝参与本次政府采购活动。</w:t>
            </w:r>
          </w:p>
        </w:tc>
      </w:tr>
    </w:tbl>
    <w:p w14:paraId="734CA849">
      <w:pPr>
        <w:pStyle w:val="4"/>
        <w:numPr>
          <w:ilvl w:val="0"/>
          <w:numId w:val="7"/>
        </w:numPr>
        <w:adjustRightInd w:val="0"/>
        <w:snapToGrid w:val="0"/>
        <w:rPr>
          <w:rFonts w:ascii="宋体" w:cs="宋体"/>
          <w:color w:val="auto"/>
          <w:sz w:val="24"/>
          <w:szCs w:val="24"/>
          <w:highlight w:val="none"/>
        </w:rPr>
      </w:pPr>
      <w:bookmarkStart w:id="352" w:name="_Toc25514"/>
      <w:bookmarkStart w:id="353" w:name="_Toc16607"/>
      <w:bookmarkStart w:id="354" w:name="_Toc2378"/>
      <w:bookmarkStart w:id="355" w:name="_Toc19241"/>
      <w:bookmarkStart w:id="356" w:name="_Toc16293"/>
      <w:bookmarkStart w:id="357" w:name="_Toc16266"/>
      <w:bookmarkStart w:id="358" w:name="_Toc21337"/>
      <w:bookmarkStart w:id="359" w:name="_Toc1301"/>
      <w:bookmarkStart w:id="360" w:name="_Toc23399"/>
      <w:bookmarkStart w:id="361" w:name="_Toc465"/>
      <w:r>
        <w:rPr>
          <w:rFonts w:hint="eastAsia" w:ascii="宋体" w:hAnsi="宋体" w:cs="宋体"/>
          <w:color w:val="auto"/>
          <w:sz w:val="24"/>
          <w:szCs w:val="24"/>
          <w:highlight w:val="none"/>
        </w:rPr>
        <w:t>资格审查</w:t>
      </w:r>
      <w:bookmarkEnd w:id="352"/>
      <w:bookmarkEnd w:id="353"/>
      <w:bookmarkEnd w:id="354"/>
      <w:bookmarkEnd w:id="355"/>
      <w:bookmarkEnd w:id="356"/>
      <w:bookmarkEnd w:id="357"/>
      <w:bookmarkEnd w:id="358"/>
      <w:bookmarkEnd w:id="359"/>
      <w:bookmarkEnd w:id="360"/>
      <w:bookmarkEnd w:id="361"/>
    </w:p>
    <w:p w14:paraId="5D8BFDA5">
      <w:pPr>
        <w:adjustRightInd w:val="0"/>
        <w:snapToGrid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开标结束后，采购代理机构应当依法对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的资格进行审查。</w:t>
      </w:r>
    </w:p>
    <w:p w14:paraId="039B7299">
      <w:pPr>
        <w:pStyle w:val="4"/>
        <w:numPr>
          <w:ilvl w:val="0"/>
          <w:numId w:val="7"/>
        </w:numPr>
        <w:adjustRightInd w:val="0"/>
        <w:snapToGrid w:val="0"/>
        <w:rPr>
          <w:rFonts w:ascii="宋体" w:cs="宋体"/>
          <w:color w:val="auto"/>
          <w:sz w:val="24"/>
          <w:szCs w:val="24"/>
          <w:highlight w:val="none"/>
        </w:rPr>
      </w:pPr>
      <w:bookmarkStart w:id="362" w:name="_Toc12137"/>
      <w:bookmarkStart w:id="363" w:name="_Toc18033"/>
      <w:bookmarkStart w:id="364" w:name="_Toc29893"/>
      <w:bookmarkStart w:id="365" w:name="_Toc23230"/>
      <w:bookmarkStart w:id="366" w:name="_Toc2610"/>
      <w:bookmarkStart w:id="367" w:name="_Toc11542"/>
      <w:bookmarkStart w:id="368" w:name="_Toc3310"/>
      <w:bookmarkStart w:id="369" w:name="_Toc21593"/>
      <w:bookmarkStart w:id="370" w:name="_Toc8631"/>
      <w:bookmarkStart w:id="371" w:name="_Toc8280"/>
      <w:r>
        <w:rPr>
          <w:rFonts w:hint="eastAsia" w:ascii="宋体" w:hAnsi="宋体" w:cs="宋体"/>
          <w:color w:val="auto"/>
          <w:sz w:val="24"/>
          <w:szCs w:val="24"/>
          <w:highlight w:val="none"/>
        </w:rPr>
        <w:t>资格审查标准</w:t>
      </w:r>
      <w:bookmarkEnd w:id="362"/>
      <w:bookmarkEnd w:id="363"/>
      <w:bookmarkEnd w:id="364"/>
      <w:bookmarkEnd w:id="365"/>
      <w:bookmarkEnd w:id="366"/>
      <w:bookmarkEnd w:id="367"/>
      <w:bookmarkEnd w:id="368"/>
      <w:bookmarkEnd w:id="369"/>
      <w:bookmarkEnd w:id="370"/>
      <w:bookmarkEnd w:id="371"/>
    </w:p>
    <w:p w14:paraId="387C6DEF">
      <w:pPr>
        <w:autoSpaceDE w:val="0"/>
        <w:autoSpaceDN w:val="0"/>
        <w:adjustRightInd w:val="0"/>
        <w:snapToGrid w:val="0"/>
        <w:spacing w:line="360" w:lineRule="auto"/>
        <w:ind w:right="-20"/>
        <w:jc w:val="left"/>
        <w:rPr>
          <w:rFonts w:ascii="宋体" w:cs="宋体"/>
          <w:color w:val="auto"/>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资格审查标准：见资格审查前附表。</w:t>
      </w:r>
    </w:p>
    <w:p w14:paraId="0FCB3425">
      <w:pPr>
        <w:pStyle w:val="4"/>
        <w:numPr>
          <w:ilvl w:val="0"/>
          <w:numId w:val="7"/>
        </w:numPr>
        <w:adjustRightInd w:val="0"/>
        <w:snapToGrid w:val="0"/>
        <w:rPr>
          <w:rFonts w:ascii="宋体" w:cs="宋体"/>
          <w:color w:val="auto"/>
          <w:sz w:val="24"/>
          <w:szCs w:val="24"/>
          <w:highlight w:val="none"/>
        </w:rPr>
      </w:pPr>
      <w:bookmarkStart w:id="372" w:name="_Toc10180"/>
      <w:bookmarkStart w:id="373" w:name="_Toc2029"/>
      <w:bookmarkStart w:id="374" w:name="_Toc13549"/>
      <w:bookmarkStart w:id="375" w:name="_Toc16031"/>
      <w:bookmarkStart w:id="376" w:name="_Toc2259"/>
      <w:bookmarkStart w:id="377" w:name="_Toc19383"/>
      <w:bookmarkStart w:id="378" w:name="_Toc920"/>
      <w:bookmarkStart w:id="379" w:name="_Toc5940"/>
      <w:bookmarkStart w:id="380" w:name="_Toc14072"/>
      <w:bookmarkStart w:id="381" w:name="_Toc32375"/>
      <w:r>
        <w:rPr>
          <w:rFonts w:hint="eastAsia" w:ascii="宋体" w:hAnsi="宋体" w:cs="宋体"/>
          <w:color w:val="auto"/>
          <w:sz w:val="24"/>
          <w:szCs w:val="24"/>
          <w:highlight w:val="none"/>
        </w:rPr>
        <w:t>资格审查程序</w:t>
      </w:r>
      <w:bookmarkEnd w:id="372"/>
      <w:bookmarkEnd w:id="373"/>
      <w:bookmarkEnd w:id="374"/>
      <w:bookmarkEnd w:id="375"/>
      <w:bookmarkEnd w:id="376"/>
      <w:bookmarkEnd w:id="377"/>
      <w:bookmarkEnd w:id="378"/>
      <w:bookmarkEnd w:id="379"/>
      <w:bookmarkEnd w:id="380"/>
      <w:bookmarkEnd w:id="381"/>
    </w:p>
    <w:p w14:paraId="3412393E">
      <w:pPr>
        <w:autoSpaceDE w:val="0"/>
        <w:autoSpaceDN w:val="0"/>
        <w:adjustRightInd w:val="0"/>
        <w:snapToGrid w:val="0"/>
        <w:spacing w:line="360" w:lineRule="auto"/>
        <w:ind w:right="40" w:firstLine="472" w:firstLineChars="200"/>
        <w:jc w:val="left"/>
        <w:rPr>
          <w:rFonts w:ascii="宋体" w:cs="宋体"/>
          <w:color w:val="auto"/>
          <w:kern w:val="0"/>
          <w:sz w:val="24"/>
          <w:highlight w:val="none"/>
        </w:rPr>
      </w:pPr>
      <w:r>
        <w:rPr>
          <w:rFonts w:hint="eastAsia" w:ascii="宋体" w:hAnsi="宋体" w:cs="宋体"/>
          <w:color w:val="auto"/>
          <w:spacing w:val="-2"/>
          <w:kern w:val="0"/>
          <w:sz w:val="24"/>
          <w:highlight w:val="none"/>
        </w:rPr>
        <w:t>资格审查人员依</w:t>
      </w:r>
      <w:r>
        <w:rPr>
          <w:rFonts w:hint="eastAsia" w:ascii="宋体" w:hAnsi="宋体" w:cs="宋体"/>
          <w:color w:val="auto"/>
          <w:kern w:val="0"/>
          <w:sz w:val="24"/>
          <w:highlight w:val="none"/>
        </w:rPr>
        <w:t>据本</w:t>
      </w:r>
      <w:r>
        <w:rPr>
          <w:rFonts w:hint="eastAsia" w:ascii="宋体" w:hAnsi="宋体" w:cs="宋体"/>
          <w:color w:val="auto"/>
          <w:spacing w:val="-2"/>
          <w:kern w:val="0"/>
          <w:sz w:val="24"/>
          <w:highlight w:val="none"/>
        </w:rPr>
        <w:t>章</w:t>
      </w:r>
      <w:r>
        <w:rPr>
          <w:rFonts w:hint="eastAsia" w:ascii="宋体" w:hAnsi="宋体" w:cs="宋体"/>
          <w:color w:val="auto"/>
          <w:kern w:val="0"/>
          <w:sz w:val="24"/>
          <w:highlight w:val="none"/>
        </w:rPr>
        <w:t>资格审查前附表</w:t>
      </w:r>
      <w:r>
        <w:rPr>
          <w:rFonts w:hint="eastAsia" w:ascii="宋体" w:hAnsi="宋体" w:cs="宋体"/>
          <w:color w:val="auto"/>
          <w:spacing w:val="-2"/>
          <w:kern w:val="0"/>
          <w:sz w:val="24"/>
          <w:highlight w:val="none"/>
        </w:rPr>
        <w:t>规</w:t>
      </w:r>
      <w:r>
        <w:rPr>
          <w:rFonts w:hint="eastAsia" w:ascii="宋体" w:hAnsi="宋体" w:cs="宋体"/>
          <w:color w:val="auto"/>
          <w:kern w:val="0"/>
          <w:sz w:val="24"/>
          <w:highlight w:val="none"/>
        </w:rPr>
        <w:t>定</w:t>
      </w:r>
      <w:r>
        <w:rPr>
          <w:rFonts w:hint="eastAsia" w:ascii="宋体" w:hAnsi="宋体" w:cs="宋体"/>
          <w:color w:val="auto"/>
          <w:spacing w:val="-2"/>
          <w:kern w:val="0"/>
          <w:sz w:val="24"/>
          <w:highlight w:val="none"/>
        </w:rPr>
        <w:t>的标</w:t>
      </w:r>
      <w:r>
        <w:rPr>
          <w:rFonts w:hint="eastAsia" w:ascii="宋体" w:hAnsi="宋体" w:cs="宋体"/>
          <w:color w:val="auto"/>
          <w:kern w:val="0"/>
          <w:sz w:val="24"/>
          <w:highlight w:val="none"/>
        </w:rPr>
        <w:t>准对</w:t>
      </w:r>
      <w:r>
        <w:rPr>
          <w:rFonts w:hint="eastAsia" w:ascii="宋体" w:hAnsi="宋体" w:cs="宋体"/>
          <w:color w:val="auto"/>
          <w:spacing w:val="-2"/>
          <w:kern w:val="0"/>
          <w:sz w:val="24"/>
          <w:highlight w:val="none"/>
        </w:rPr>
        <w:t>投</w:t>
      </w:r>
      <w:r>
        <w:rPr>
          <w:rFonts w:hint="eastAsia" w:ascii="宋体" w:hAnsi="宋体" w:cs="宋体"/>
          <w:color w:val="auto"/>
          <w:kern w:val="0"/>
          <w:sz w:val="24"/>
          <w:highlight w:val="none"/>
        </w:rPr>
        <w:t>标</w:t>
      </w:r>
      <w:r>
        <w:rPr>
          <w:rFonts w:hint="eastAsia" w:ascii="宋体" w:hAnsi="宋体" w:cs="宋体"/>
          <w:color w:val="auto"/>
          <w:spacing w:val="-2"/>
          <w:kern w:val="0"/>
          <w:sz w:val="24"/>
          <w:highlight w:val="none"/>
        </w:rPr>
        <w:t>文</w:t>
      </w:r>
      <w:r>
        <w:rPr>
          <w:rFonts w:hint="eastAsia" w:ascii="宋体" w:hAnsi="宋体" w:cs="宋体"/>
          <w:color w:val="auto"/>
          <w:kern w:val="0"/>
          <w:sz w:val="24"/>
          <w:highlight w:val="none"/>
        </w:rPr>
        <w:t>件</w:t>
      </w:r>
      <w:r>
        <w:rPr>
          <w:rFonts w:hint="eastAsia" w:ascii="宋体" w:hAnsi="宋体" w:cs="宋体"/>
          <w:color w:val="auto"/>
          <w:spacing w:val="-2"/>
          <w:kern w:val="0"/>
          <w:sz w:val="24"/>
          <w:highlight w:val="none"/>
        </w:rPr>
        <w:t>进</w:t>
      </w:r>
      <w:r>
        <w:rPr>
          <w:rFonts w:hint="eastAsia" w:ascii="宋体" w:hAnsi="宋体" w:cs="宋体"/>
          <w:color w:val="auto"/>
          <w:kern w:val="0"/>
          <w:sz w:val="24"/>
          <w:highlight w:val="none"/>
        </w:rPr>
        <w:t>行</w:t>
      </w:r>
      <w:r>
        <w:rPr>
          <w:rFonts w:hint="eastAsia" w:ascii="宋体" w:hAnsi="宋体" w:cs="宋体"/>
          <w:color w:val="auto"/>
          <w:spacing w:val="-2"/>
          <w:kern w:val="0"/>
          <w:sz w:val="24"/>
          <w:highlight w:val="none"/>
        </w:rPr>
        <w:t>资</w:t>
      </w:r>
      <w:r>
        <w:rPr>
          <w:rFonts w:hint="eastAsia" w:ascii="宋体" w:hAnsi="宋体" w:cs="宋体"/>
          <w:color w:val="auto"/>
          <w:kern w:val="0"/>
          <w:sz w:val="24"/>
          <w:highlight w:val="none"/>
        </w:rPr>
        <w:t>格审查，以确定</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是否具备投标资格，有一项不符合评审标准的，资格审查人员应当认定其投标无效，合格</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不足</w:t>
      </w:r>
      <w:r>
        <w:rPr>
          <w:rFonts w:ascii="宋体" w:hAnsi="宋体" w:cs="宋体"/>
          <w:color w:val="auto"/>
          <w:kern w:val="0"/>
          <w:sz w:val="24"/>
          <w:highlight w:val="none"/>
        </w:rPr>
        <w:t>3</w:t>
      </w:r>
      <w:r>
        <w:rPr>
          <w:rFonts w:hint="eastAsia" w:ascii="宋体" w:hAnsi="宋体" w:cs="宋体"/>
          <w:color w:val="auto"/>
          <w:kern w:val="0"/>
          <w:sz w:val="24"/>
          <w:highlight w:val="none"/>
        </w:rPr>
        <w:t>家的，不得评标。</w:t>
      </w:r>
    </w:p>
    <w:p w14:paraId="55B82CE3">
      <w:pPr>
        <w:pStyle w:val="2"/>
        <w:rPr>
          <w:rFonts w:ascii="宋体" w:cs="宋体"/>
          <w:color w:val="auto"/>
          <w:szCs w:val="32"/>
          <w:highlight w:val="none"/>
        </w:rPr>
      </w:pPr>
      <w:r>
        <w:rPr>
          <w:rFonts w:ascii="宋体" w:cs="宋体"/>
          <w:color w:val="auto"/>
          <w:highlight w:val="none"/>
        </w:rPr>
        <w:br w:type="page"/>
      </w:r>
      <w:bookmarkStart w:id="382" w:name="_Toc40112139"/>
      <w:bookmarkStart w:id="383" w:name="_Toc31076"/>
      <w:bookmarkStart w:id="384" w:name="_Toc2792"/>
      <w:bookmarkStart w:id="385" w:name="_Toc16762"/>
      <w:r>
        <w:rPr>
          <w:rFonts w:hint="eastAsia" w:ascii="宋体" w:hAnsi="宋体" w:cs="宋体"/>
          <w:color w:val="auto"/>
          <w:szCs w:val="32"/>
          <w:highlight w:val="none"/>
        </w:rPr>
        <w:t>第四章</w:t>
      </w:r>
      <w:r>
        <w:rPr>
          <w:rFonts w:ascii="宋体" w:hAnsi="宋体" w:cs="宋体"/>
          <w:color w:val="auto"/>
          <w:szCs w:val="32"/>
          <w:highlight w:val="none"/>
        </w:rPr>
        <w:t xml:space="preserve">  </w:t>
      </w:r>
      <w:r>
        <w:rPr>
          <w:rFonts w:hint="eastAsia" w:ascii="宋体" w:hAnsi="宋体" w:cs="宋体"/>
          <w:color w:val="auto"/>
          <w:szCs w:val="32"/>
          <w:highlight w:val="none"/>
        </w:rPr>
        <w:t>评标办法（综合评分法）</w:t>
      </w:r>
      <w:bookmarkEnd w:id="382"/>
      <w:bookmarkEnd w:id="383"/>
      <w:bookmarkEnd w:id="384"/>
      <w:bookmarkEnd w:id="385"/>
    </w:p>
    <w:p w14:paraId="575B8530">
      <w:pPr>
        <w:keepNext/>
        <w:keepLines/>
        <w:spacing w:line="360" w:lineRule="auto"/>
        <w:ind w:left="482"/>
        <w:jc w:val="center"/>
        <w:rPr>
          <w:color w:val="auto"/>
          <w:highlight w:val="none"/>
        </w:rPr>
      </w:pPr>
      <w:bookmarkStart w:id="386" w:name="_Toc12415"/>
      <w:bookmarkStart w:id="387" w:name="_Toc14114"/>
      <w:bookmarkStart w:id="388" w:name="_Toc1534"/>
      <w:bookmarkStart w:id="389" w:name="_Toc16950"/>
      <w:bookmarkStart w:id="390" w:name="_Toc16535"/>
      <w:bookmarkStart w:id="391" w:name="_Toc4734"/>
      <w:bookmarkStart w:id="392" w:name="_Toc22753"/>
      <w:bookmarkStart w:id="393" w:name="_Toc23659"/>
      <w:bookmarkStart w:id="394" w:name="_Toc22649"/>
      <w:bookmarkStart w:id="395" w:name="_Toc6633"/>
      <w:r>
        <w:rPr>
          <w:rFonts w:hint="eastAsia" w:ascii="宋体" w:hAnsi="宋体" w:cs="宋体"/>
          <w:b/>
          <w:bCs/>
          <w:color w:val="auto"/>
          <w:sz w:val="30"/>
          <w:szCs w:val="30"/>
          <w:highlight w:val="none"/>
        </w:rPr>
        <w:t>评标办法前附表</w:t>
      </w:r>
      <w:bookmarkEnd w:id="386"/>
      <w:bookmarkEnd w:id="387"/>
      <w:bookmarkEnd w:id="388"/>
      <w:bookmarkEnd w:id="389"/>
      <w:bookmarkEnd w:id="390"/>
      <w:bookmarkEnd w:id="391"/>
      <w:bookmarkEnd w:id="392"/>
      <w:bookmarkEnd w:id="393"/>
      <w:bookmarkEnd w:id="394"/>
      <w:bookmarkEnd w:id="395"/>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19"/>
        <w:gridCol w:w="929"/>
        <w:gridCol w:w="3"/>
        <w:gridCol w:w="1449"/>
        <w:gridCol w:w="3"/>
        <w:gridCol w:w="5177"/>
        <w:gridCol w:w="6"/>
      </w:tblGrid>
      <w:tr w14:paraId="197B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105" w:type="pct"/>
            <w:gridSpan w:val="4"/>
            <w:vAlign w:val="center"/>
          </w:tcPr>
          <w:p w14:paraId="3BFACBD8">
            <w:pPr>
              <w:widowControl/>
              <w:adjustRightInd w:val="0"/>
              <w:snapToGrid w:val="0"/>
              <w:spacing w:line="360" w:lineRule="auto"/>
              <w:jc w:val="center"/>
              <w:rPr>
                <w:rFonts w:ascii="宋体" w:cs="宋体"/>
                <w:b/>
                <w:bCs/>
                <w:color w:val="auto"/>
                <w:sz w:val="24"/>
                <w:highlight w:val="none"/>
              </w:rPr>
            </w:pPr>
            <w:r>
              <w:rPr>
                <w:rFonts w:hint="eastAsia" w:ascii="宋体" w:hAnsi="宋体" w:cs="宋体"/>
                <w:b/>
                <w:bCs/>
                <w:color w:val="auto"/>
                <w:sz w:val="24"/>
                <w:highlight w:val="none"/>
              </w:rPr>
              <w:t>条款号</w:t>
            </w:r>
          </w:p>
        </w:tc>
        <w:tc>
          <w:tcPr>
            <w:tcW w:w="852" w:type="pct"/>
            <w:gridSpan w:val="2"/>
            <w:vAlign w:val="center"/>
          </w:tcPr>
          <w:p w14:paraId="524F1169">
            <w:pPr>
              <w:autoSpaceDE w:val="0"/>
              <w:autoSpaceDN w:val="0"/>
              <w:adjustRightInd w:val="0"/>
              <w:snapToGrid w:val="0"/>
              <w:spacing w:line="360" w:lineRule="auto"/>
              <w:ind w:left="38" w:leftChars="18"/>
              <w:jc w:val="center"/>
              <w:rPr>
                <w:rFonts w:ascii="宋体" w:cs="宋体"/>
                <w:b/>
                <w:bCs/>
                <w:color w:val="auto"/>
                <w:kern w:val="0"/>
                <w:sz w:val="24"/>
                <w:highlight w:val="none"/>
              </w:rPr>
            </w:pPr>
            <w:r>
              <w:rPr>
                <w:rFonts w:hint="eastAsia" w:ascii="宋体" w:hAnsi="宋体" w:cs="宋体"/>
                <w:b/>
                <w:bCs/>
                <w:color w:val="auto"/>
                <w:kern w:val="0"/>
                <w:sz w:val="24"/>
                <w:highlight w:val="none"/>
              </w:rPr>
              <w:t>评审因素</w:t>
            </w:r>
          </w:p>
        </w:tc>
        <w:tc>
          <w:tcPr>
            <w:tcW w:w="3041" w:type="pct"/>
            <w:gridSpan w:val="2"/>
            <w:vAlign w:val="center"/>
          </w:tcPr>
          <w:p w14:paraId="1A4A0966">
            <w:pPr>
              <w:autoSpaceDE w:val="0"/>
              <w:autoSpaceDN w:val="0"/>
              <w:adjustRightInd w:val="0"/>
              <w:snapToGrid w:val="0"/>
              <w:spacing w:line="360" w:lineRule="auto"/>
              <w:ind w:left="38" w:leftChars="18"/>
              <w:jc w:val="center"/>
              <w:rPr>
                <w:rFonts w:ascii="宋体" w:cs="宋体"/>
                <w:b/>
                <w:bCs/>
                <w:color w:val="auto"/>
                <w:sz w:val="24"/>
                <w:highlight w:val="none"/>
              </w:rPr>
            </w:pPr>
            <w:r>
              <w:rPr>
                <w:rFonts w:hint="eastAsia" w:ascii="宋体" w:hAnsi="宋体" w:cs="宋体"/>
                <w:b/>
                <w:bCs/>
                <w:color w:val="auto"/>
                <w:kern w:val="0"/>
                <w:sz w:val="24"/>
                <w:highlight w:val="none"/>
              </w:rPr>
              <w:t>评审标准</w:t>
            </w:r>
          </w:p>
        </w:tc>
      </w:tr>
      <w:tr w14:paraId="0019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558" w:type="pct"/>
            <w:gridSpan w:val="2"/>
            <w:vMerge w:val="restart"/>
            <w:vAlign w:val="center"/>
          </w:tcPr>
          <w:p w14:paraId="0AD9B480">
            <w:pPr>
              <w:widowControl/>
              <w:adjustRightInd w:val="0"/>
              <w:snapToGrid w:val="0"/>
              <w:spacing w:line="360" w:lineRule="auto"/>
              <w:jc w:val="center"/>
              <w:rPr>
                <w:rFonts w:ascii="宋体" w:cs="宋体"/>
                <w:color w:val="auto"/>
                <w:kern w:val="0"/>
                <w:sz w:val="24"/>
                <w:highlight w:val="none"/>
              </w:rPr>
            </w:pPr>
            <w:r>
              <w:rPr>
                <w:rFonts w:ascii="宋体" w:hAnsi="宋体" w:cs="宋体"/>
                <w:color w:val="auto"/>
                <w:kern w:val="0"/>
                <w:sz w:val="24"/>
                <w:highlight w:val="none"/>
              </w:rPr>
              <w:t>2.1.1</w:t>
            </w:r>
          </w:p>
        </w:tc>
        <w:tc>
          <w:tcPr>
            <w:tcW w:w="547" w:type="pct"/>
            <w:gridSpan w:val="2"/>
            <w:vMerge w:val="restart"/>
            <w:vAlign w:val="center"/>
          </w:tcPr>
          <w:p w14:paraId="5D42C41A">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形式</w:t>
            </w:r>
          </w:p>
          <w:p w14:paraId="3F688747">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w:t>
            </w:r>
          </w:p>
        </w:tc>
        <w:tc>
          <w:tcPr>
            <w:tcW w:w="852" w:type="pct"/>
            <w:gridSpan w:val="2"/>
            <w:vAlign w:val="center"/>
          </w:tcPr>
          <w:p w14:paraId="19B76998">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投标文件签署、盖章</w:t>
            </w:r>
          </w:p>
        </w:tc>
        <w:tc>
          <w:tcPr>
            <w:tcW w:w="3041" w:type="pct"/>
            <w:gridSpan w:val="2"/>
            <w:vAlign w:val="center"/>
          </w:tcPr>
          <w:p w14:paraId="0C31C14B">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sz w:val="24"/>
                <w:highlight w:val="none"/>
              </w:rPr>
              <w:t>投标文件按招标文件要求签署、盖章</w:t>
            </w:r>
          </w:p>
        </w:tc>
      </w:tr>
      <w:tr w14:paraId="6745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558" w:type="pct"/>
            <w:gridSpan w:val="2"/>
            <w:vMerge w:val="continue"/>
            <w:vAlign w:val="center"/>
          </w:tcPr>
          <w:p w14:paraId="7D945073">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14:paraId="52FF3F7A">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14:paraId="1067951B">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投标文件格式</w:t>
            </w:r>
          </w:p>
        </w:tc>
        <w:tc>
          <w:tcPr>
            <w:tcW w:w="3041" w:type="pct"/>
            <w:gridSpan w:val="2"/>
            <w:vAlign w:val="center"/>
          </w:tcPr>
          <w:p w14:paraId="22E49AB8">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符合招标文件中提供的投标文件格式</w:t>
            </w:r>
          </w:p>
        </w:tc>
      </w:tr>
      <w:tr w14:paraId="1749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58" w:type="pct"/>
            <w:gridSpan w:val="2"/>
            <w:vMerge w:val="continue"/>
            <w:vAlign w:val="center"/>
          </w:tcPr>
          <w:p w14:paraId="17EC7A45">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14:paraId="7E0D331B">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14:paraId="08616063">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总报价唯一</w:t>
            </w:r>
          </w:p>
        </w:tc>
        <w:tc>
          <w:tcPr>
            <w:tcW w:w="3041" w:type="pct"/>
            <w:gridSpan w:val="2"/>
            <w:vAlign w:val="center"/>
          </w:tcPr>
          <w:p w14:paraId="0AB74655">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只能有一个有效报价</w:t>
            </w:r>
          </w:p>
        </w:tc>
      </w:tr>
      <w:tr w14:paraId="3580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558" w:type="pct"/>
            <w:gridSpan w:val="2"/>
            <w:vMerge w:val="continue"/>
            <w:vAlign w:val="center"/>
          </w:tcPr>
          <w:p w14:paraId="3868B9B0">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14:paraId="760E8639">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14:paraId="5878B44C">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投标报价</w:t>
            </w:r>
          </w:p>
        </w:tc>
        <w:tc>
          <w:tcPr>
            <w:tcW w:w="3041" w:type="pct"/>
            <w:gridSpan w:val="2"/>
            <w:vAlign w:val="center"/>
          </w:tcPr>
          <w:p w14:paraId="216654A7">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所投标包投标总报价不可超过所投标包最高限价，且该标包中各单品报价不得超过单品最高限价。</w:t>
            </w:r>
          </w:p>
        </w:tc>
      </w:tr>
      <w:tr w14:paraId="6544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558" w:type="pct"/>
            <w:gridSpan w:val="2"/>
            <w:vMerge w:val="restart"/>
            <w:vAlign w:val="center"/>
          </w:tcPr>
          <w:p w14:paraId="251895B3">
            <w:pPr>
              <w:widowControl/>
              <w:adjustRightInd w:val="0"/>
              <w:snapToGrid w:val="0"/>
              <w:spacing w:line="360" w:lineRule="auto"/>
              <w:jc w:val="center"/>
              <w:rPr>
                <w:rFonts w:ascii="宋体" w:cs="宋体"/>
                <w:color w:val="auto"/>
                <w:kern w:val="0"/>
                <w:sz w:val="24"/>
                <w:highlight w:val="none"/>
              </w:rPr>
            </w:pPr>
            <w:r>
              <w:rPr>
                <w:rFonts w:ascii="宋体" w:hAnsi="宋体" w:cs="宋体"/>
                <w:color w:val="auto"/>
                <w:kern w:val="0"/>
                <w:sz w:val="24"/>
                <w:highlight w:val="none"/>
              </w:rPr>
              <w:t>2.1.2</w:t>
            </w:r>
          </w:p>
        </w:tc>
        <w:tc>
          <w:tcPr>
            <w:tcW w:w="547" w:type="pct"/>
            <w:gridSpan w:val="2"/>
            <w:vMerge w:val="restart"/>
            <w:vAlign w:val="center"/>
          </w:tcPr>
          <w:p w14:paraId="3138A34E">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符合性审查</w:t>
            </w:r>
            <w:r>
              <w:rPr>
                <w:rFonts w:hint="eastAsia" w:ascii="宋体" w:hAnsi="宋体" w:cs="宋体"/>
                <w:color w:val="auto"/>
                <w:kern w:val="0"/>
                <w:sz w:val="24"/>
                <w:highlight w:val="none"/>
              </w:rPr>
              <w:t>标准</w:t>
            </w:r>
          </w:p>
        </w:tc>
        <w:tc>
          <w:tcPr>
            <w:tcW w:w="852" w:type="pct"/>
            <w:gridSpan w:val="2"/>
            <w:vAlign w:val="center"/>
          </w:tcPr>
          <w:p w14:paraId="4EDD1E9F">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交货期</w:t>
            </w:r>
          </w:p>
        </w:tc>
        <w:tc>
          <w:tcPr>
            <w:tcW w:w="3041" w:type="pct"/>
            <w:gridSpan w:val="2"/>
            <w:vAlign w:val="center"/>
          </w:tcPr>
          <w:p w14:paraId="253BD98F">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符合第二章“</w:t>
            </w:r>
            <w:r>
              <w:rPr>
                <w:rFonts w:hint="eastAsia" w:ascii="宋体" w:hAnsi="宋体" w:cs="宋体"/>
                <w:color w:val="auto"/>
                <w:kern w:val="0"/>
                <w:sz w:val="24"/>
                <w:highlight w:val="none"/>
                <w:lang w:eastAsia="zh-CN"/>
              </w:rPr>
              <w:t>投标人须知</w:t>
            </w:r>
            <w:r>
              <w:rPr>
                <w:rFonts w:hint="eastAsia" w:ascii="宋体" w:hAnsi="宋体" w:cs="宋体"/>
                <w:color w:val="auto"/>
                <w:kern w:val="0"/>
                <w:sz w:val="24"/>
                <w:highlight w:val="none"/>
              </w:rPr>
              <w:t>前附表”第</w:t>
            </w:r>
            <w:r>
              <w:rPr>
                <w:rFonts w:ascii="宋体" w:hAnsi="宋体" w:cs="宋体"/>
                <w:color w:val="auto"/>
                <w:kern w:val="0"/>
                <w:sz w:val="24"/>
                <w:highlight w:val="none"/>
              </w:rPr>
              <w:t>1.2.6</w:t>
            </w:r>
            <w:r>
              <w:rPr>
                <w:rFonts w:hint="eastAsia" w:ascii="宋体" w:hAnsi="宋体" w:cs="宋体"/>
                <w:color w:val="auto"/>
                <w:kern w:val="0"/>
                <w:sz w:val="24"/>
                <w:highlight w:val="none"/>
              </w:rPr>
              <w:t>项规定</w:t>
            </w:r>
          </w:p>
        </w:tc>
      </w:tr>
      <w:tr w14:paraId="1ECA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558" w:type="pct"/>
            <w:gridSpan w:val="2"/>
            <w:vMerge w:val="continue"/>
            <w:vAlign w:val="center"/>
          </w:tcPr>
          <w:p w14:paraId="142CC9F6">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14:paraId="758677A1">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14:paraId="36468A1C">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交货地点</w:t>
            </w:r>
          </w:p>
        </w:tc>
        <w:tc>
          <w:tcPr>
            <w:tcW w:w="3041" w:type="pct"/>
            <w:gridSpan w:val="2"/>
            <w:vAlign w:val="center"/>
          </w:tcPr>
          <w:p w14:paraId="421174C0">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符合第二章“</w:t>
            </w:r>
            <w:r>
              <w:rPr>
                <w:rFonts w:hint="eastAsia" w:ascii="宋体" w:hAnsi="宋体" w:cs="宋体"/>
                <w:color w:val="auto"/>
                <w:kern w:val="0"/>
                <w:sz w:val="24"/>
                <w:highlight w:val="none"/>
                <w:lang w:eastAsia="zh-CN"/>
              </w:rPr>
              <w:t>投标人须知</w:t>
            </w:r>
            <w:r>
              <w:rPr>
                <w:rFonts w:hint="eastAsia" w:ascii="宋体" w:hAnsi="宋体" w:cs="宋体"/>
                <w:color w:val="auto"/>
                <w:kern w:val="0"/>
                <w:sz w:val="24"/>
                <w:highlight w:val="none"/>
              </w:rPr>
              <w:t>前附表”第</w:t>
            </w:r>
            <w:r>
              <w:rPr>
                <w:rFonts w:ascii="宋体" w:hAnsi="宋体" w:cs="宋体"/>
                <w:color w:val="auto"/>
                <w:kern w:val="0"/>
                <w:sz w:val="24"/>
                <w:highlight w:val="none"/>
              </w:rPr>
              <w:t>1.2.7</w:t>
            </w:r>
            <w:r>
              <w:rPr>
                <w:rFonts w:hint="eastAsia" w:ascii="宋体" w:hAnsi="宋体" w:cs="宋体"/>
                <w:color w:val="auto"/>
                <w:kern w:val="0"/>
                <w:sz w:val="24"/>
                <w:highlight w:val="none"/>
              </w:rPr>
              <w:t>项规定</w:t>
            </w:r>
          </w:p>
        </w:tc>
      </w:tr>
      <w:tr w14:paraId="0510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58" w:type="pct"/>
            <w:gridSpan w:val="2"/>
            <w:vMerge w:val="continue"/>
            <w:vAlign w:val="center"/>
          </w:tcPr>
          <w:p w14:paraId="1B8C4C27">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14:paraId="5A2A65EB">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14:paraId="7AEEC378">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质保期</w:t>
            </w:r>
          </w:p>
        </w:tc>
        <w:tc>
          <w:tcPr>
            <w:tcW w:w="3041" w:type="pct"/>
            <w:gridSpan w:val="2"/>
            <w:vAlign w:val="center"/>
          </w:tcPr>
          <w:p w14:paraId="225BDAD9">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符合第二章“</w:t>
            </w:r>
            <w:r>
              <w:rPr>
                <w:rFonts w:hint="eastAsia" w:ascii="宋体" w:hAnsi="宋体" w:cs="宋体"/>
                <w:color w:val="auto"/>
                <w:sz w:val="24"/>
                <w:highlight w:val="none"/>
                <w:lang w:eastAsia="zh-CN"/>
              </w:rPr>
              <w:t>投标人须知</w:t>
            </w:r>
            <w:r>
              <w:rPr>
                <w:rFonts w:hint="eastAsia" w:ascii="宋体" w:hAnsi="宋体" w:cs="宋体"/>
                <w:color w:val="auto"/>
                <w:sz w:val="24"/>
                <w:highlight w:val="none"/>
              </w:rPr>
              <w:t>前附表”第</w:t>
            </w:r>
            <w:r>
              <w:rPr>
                <w:rFonts w:ascii="宋体" w:hAnsi="宋体" w:cs="宋体"/>
                <w:color w:val="auto"/>
                <w:sz w:val="24"/>
                <w:highlight w:val="none"/>
              </w:rPr>
              <w:t>1.2.8</w:t>
            </w:r>
            <w:r>
              <w:rPr>
                <w:rFonts w:hint="eastAsia" w:ascii="宋体" w:hAnsi="宋体" w:cs="宋体"/>
                <w:color w:val="auto"/>
                <w:sz w:val="24"/>
                <w:highlight w:val="none"/>
              </w:rPr>
              <w:t>项规定</w:t>
            </w:r>
          </w:p>
        </w:tc>
      </w:tr>
      <w:tr w14:paraId="06CF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58" w:type="pct"/>
            <w:gridSpan w:val="2"/>
            <w:vMerge w:val="continue"/>
            <w:vAlign w:val="center"/>
          </w:tcPr>
          <w:p w14:paraId="2C6835C8">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14:paraId="09CFF46C">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14:paraId="4E2866BF">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质量要求</w:t>
            </w:r>
          </w:p>
        </w:tc>
        <w:tc>
          <w:tcPr>
            <w:tcW w:w="3041" w:type="pct"/>
            <w:gridSpan w:val="2"/>
            <w:vAlign w:val="center"/>
          </w:tcPr>
          <w:p w14:paraId="773B0B6A">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符合第二章“</w:t>
            </w:r>
            <w:r>
              <w:rPr>
                <w:rFonts w:hint="eastAsia" w:ascii="宋体" w:hAnsi="宋体" w:cs="宋体"/>
                <w:color w:val="auto"/>
                <w:sz w:val="24"/>
                <w:highlight w:val="none"/>
                <w:lang w:eastAsia="zh-CN"/>
              </w:rPr>
              <w:t>投标人须知</w:t>
            </w:r>
            <w:r>
              <w:rPr>
                <w:rFonts w:hint="eastAsia" w:ascii="宋体" w:hAnsi="宋体" w:cs="宋体"/>
                <w:color w:val="auto"/>
                <w:sz w:val="24"/>
                <w:highlight w:val="none"/>
              </w:rPr>
              <w:t>前附表”第</w:t>
            </w:r>
            <w:r>
              <w:rPr>
                <w:rFonts w:ascii="宋体" w:hAnsi="宋体" w:cs="宋体"/>
                <w:color w:val="auto"/>
                <w:sz w:val="24"/>
                <w:highlight w:val="none"/>
              </w:rPr>
              <w:t>1.2.9</w:t>
            </w:r>
            <w:r>
              <w:rPr>
                <w:rFonts w:hint="eastAsia" w:ascii="宋体" w:hAnsi="宋体" w:cs="宋体"/>
                <w:color w:val="auto"/>
                <w:sz w:val="24"/>
                <w:highlight w:val="none"/>
              </w:rPr>
              <w:t>项规定</w:t>
            </w:r>
          </w:p>
        </w:tc>
      </w:tr>
      <w:tr w14:paraId="3060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14:paraId="51EC16EE">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14:paraId="6122EEA3">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14:paraId="52280B48">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投标有效期</w:t>
            </w:r>
          </w:p>
        </w:tc>
        <w:tc>
          <w:tcPr>
            <w:tcW w:w="3041" w:type="pct"/>
            <w:gridSpan w:val="2"/>
            <w:vAlign w:val="center"/>
          </w:tcPr>
          <w:p w14:paraId="639B7893">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符合第二章“</w:t>
            </w:r>
            <w:r>
              <w:rPr>
                <w:rFonts w:hint="eastAsia" w:ascii="宋体" w:hAnsi="宋体" w:cs="宋体"/>
                <w:color w:val="auto"/>
                <w:sz w:val="24"/>
                <w:highlight w:val="none"/>
                <w:lang w:eastAsia="zh-CN"/>
              </w:rPr>
              <w:t>投标人须知</w:t>
            </w:r>
            <w:r>
              <w:rPr>
                <w:rFonts w:hint="eastAsia" w:ascii="宋体" w:hAnsi="宋体" w:cs="宋体"/>
                <w:color w:val="auto"/>
                <w:sz w:val="24"/>
                <w:highlight w:val="none"/>
              </w:rPr>
              <w:t>前附表”第</w:t>
            </w:r>
            <w:r>
              <w:rPr>
                <w:rFonts w:ascii="宋体" w:hAnsi="宋体" w:cs="宋体"/>
                <w:color w:val="auto"/>
                <w:sz w:val="24"/>
                <w:highlight w:val="none"/>
              </w:rPr>
              <w:t>3.6.1</w:t>
            </w:r>
            <w:r>
              <w:rPr>
                <w:rFonts w:hint="eastAsia" w:ascii="宋体" w:hAnsi="宋体" w:cs="宋体"/>
                <w:color w:val="auto"/>
                <w:sz w:val="24"/>
                <w:highlight w:val="none"/>
              </w:rPr>
              <w:t>项规定</w:t>
            </w:r>
          </w:p>
        </w:tc>
      </w:tr>
      <w:tr w14:paraId="1325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14:paraId="5592302F">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14:paraId="1FD3B0E9">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14:paraId="6076CA73">
            <w:pPr>
              <w:widowControl/>
              <w:adjustRightInd w:val="0"/>
              <w:snapToGrid w:val="0"/>
              <w:spacing w:line="400" w:lineRule="exact"/>
              <w:jc w:val="center"/>
              <w:rPr>
                <w:rFonts w:ascii="宋体" w:cs="宋体"/>
                <w:color w:val="auto"/>
                <w:sz w:val="24"/>
                <w:highlight w:val="none"/>
              </w:rPr>
            </w:pPr>
            <w:r>
              <w:rPr>
                <w:rFonts w:hint="eastAsia"/>
                <w:color w:val="auto"/>
                <w:sz w:val="24"/>
                <w:highlight w:val="none"/>
              </w:rPr>
              <w:t>投标文件制作机器码</w:t>
            </w:r>
          </w:p>
        </w:tc>
        <w:tc>
          <w:tcPr>
            <w:tcW w:w="3041" w:type="pct"/>
            <w:gridSpan w:val="2"/>
            <w:vAlign w:val="center"/>
          </w:tcPr>
          <w:p w14:paraId="21597F85">
            <w:pPr>
              <w:widowControl/>
              <w:adjustRightInd w:val="0"/>
              <w:snapToGrid w:val="0"/>
              <w:spacing w:line="400" w:lineRule="exact"/>
              <w:jc w:val="center"/>
              <w:rPr>
                <w:rFonts w:ascii="宋体" w:cs="宋体"/>
                <w:color w:val="auto"/>
                <w:sz w:val="24"/>
                <w:highlight w:val="none"/>
              </w:rPr>
            </w:pPr>
            <w:r>
              <w:rPr>
                <w:rFonts w:hint="eastAsia"/>
                <w:color w:val="auto"/>
                <w:sz w:val="24"/>
                <w:highlight w:val="none"/>
              </w:rPr>
              <w:t>投标文件制作机器码一致的视为无效投标</w:t>
            </w:r>
          </w:p>
        </w:tc>
      </w:tr>
      <w:tr w14:paraId="295C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14:paraId="293C484F">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14:paraId="550E81F2">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14:paraId="089E952E">
            <w:pPr>
              <w:widowControl/>
              <w:adjustRightInd w:val="0"/>
              <w:snapToGrid w:val="0"/>
              <w:spacing w:line="400" w:lineRule="exact"/>
              <w:jc w:val="center"/>
              <w:rPr>
                <w:color w:val="auto"/>
                <w:sz w:val="24"/>
                <w:highlight w:val="none"/>
              </w:rPr>
            </w:pPr>
            <w:r>
              <w:rPr>
                <w:rFonts w:ascii="宋体" w:hAnsi="宋体" w:eastAsia="宋体" w:cs="宋体"/>
                <w:color w:val="auto"/>
                <w:sz w:val="24"/>
                <w:szCs w:val="24"/>
                <w:highlight w:val="none"/>
              </w:rPr>
              <w:t>技术要求</w:t>
            </w:r>
          </w:p>
        </w:tc>
        <w:tc>
          <w:tcPr>
            <w:tcW w:w="3041" w:type="pct"/>
            <w:gridSpan w:val="2"/>
            <w:vAlign w:val="center"/>
          </w:tcPr>
          <w:p w14:paraId="5AB93A09">
            <w:pPr>
              <w:widowControl/>
              <w:adjustRightInd w:val="0"/>
              <w:snapToGrid w:val="0"/>
              <w:spacing w:line="400" w:lineRule="exact"/>
              <w:jc w:val="center"/>
              <w:rPr>
                <w:color w:val="auto"/>
                <w:sz w:val="24"/>
                <w:highlight w:val="none"/>
              </w:rPr>
            </w:pPr>
            <w:r>
              <w:rPr>
                <w:rFonts w:ascii="宋体" w:hAnsi="宋体" w:eastAsia="宋体" w:cs="宋体"/>
                <w:color w:val="auto"/>
                <w:sz w:val="24"/>
                <w:szCs w:val="24"/>
                <w:highlight w:val="none"/>
              </w:rPr>
              <w:t>招标项目需求及技术要求中标注“</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”号条款为实质性条款，符合技术标准要求。</w:t>
            </w:r>
          </w:p>
        </w:tc>
      </w:tr>
      <w:tr w14:paraId="12B1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14:paraId="367CEDAB">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14:paraId="06BDA051">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14:paraId="19FED428">
            <w:pPr>
              <w:widowControl/>
              <w:adjustRightInd w:val="0"/>
              <w:snapToGrid w:val="0"/>
              <w:spacing w:line="400" w:lineRule="exact"/>
              <w:jc w:val="center"/>
              <w:rPr>
                <w:color w:val="auto"/>
                <w:sz w:val="24"/>
                <w:highlight w:val="none"/>
              </w:rPr>
            </w:pPr>
            <w:r>
              <w:rPr>
                <w:rFonts w:hint="eastAsia"/>
                <w:color w:val="auto"/>
                <w:sz w:val="24"/>
                <w:highlight w:val="none"/>
              </w:rPr>
              <w:t>其他</w:t>
            </w:r>
          </w:p>
        </w:tc>
        <w:tc>
          <w:tcPr>
            <w:tcW w:w="3041" w:type="pct"/>
            <w:gridSpan w:val="2"/>
            <w:vAlign w:val="center"/>
          </w:tcPr>
          <w:p w14:paraId="1824580A">
            <w:pPr>
              <w:widowControl/>
              <w:adjustRightInd w:val="0"/>
              <w:snapToGrid w:val="0"/>
              <w:spacing w:line="400" w:lineRule="exact"/>
              <w:jc w:val="center"/>
              <w:rPr>
                <w:color w:val="auto"/>
                <w:sz w:val="24"/>
                <w:highlight w:val="none"/>
              </w:rPr>
            </w:pPr>
            <w:r>
              <w:rPr>
                <w:rFonts w:hint="eastAsia"/>
                <w:color w:val="auto"/>
                <w:sz w:val="24"/>
                <w:highlight w:val="none"/>
              </w:rPr>
              <w:t>响应招标文件规定的其他实质性内容</w:t>
            </w:r>
          </w:p>
        </w:tc>
      </w:tr>
      <w:tr w14:paraId="007A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105" w:type="pct"/>
            <w:gridSpan w:val="4"/>
            <w:vAlign w:val="center"/>
          </w:tcPr>
          <w:p w14:paraId="0B404D96">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ascii="宋体" w:hAnsi="宋体" w:cs="宋体"/>
                <w:color w:val="auto"/>
                <w:kern w:val="0"/>
                <w:sz w:val="24"/>
                <w:highlight w:val="none"/>
              </w:rPr>
              <w:t>条款号</w:t>
            </w:r>
          </w:p>
        </w:tc>
        <w:tc>
          <w:tcPr>
            <w:tcW w:w="852" w:type="pct"/>
            <w:gridSpan w:val="2"/>
            <w:vAlign w:val="center"/>
          </w:tcPr>
          <w:p w14:paraId="0CC7FBA8">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b/>
                <w:color w:val="auto"/>
                <w:spacing w:val="1"/>
                <w:sz w:val="24"/>
                <w:highlight w:val="none"/>
              </w:rPr>
              <w:t>评审因素</w:t>
            </w:r>
          </w:p>
        </w:tc>
        <w:tc>
          <w:tcPr>
            <w:tcW w:w="3041" w:type="pct"/>
            <w:gridSpan w:val="2"/>
            <w:vAlign w:val="center"/>
          </w:tcPr>
          <w:p w14:paraId="310A41AE">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b/>
                <w:color w:val="auto"/>
                <w:spacing w:val="1"/>
                <w:sz w:val="24"/>
                <w:highlight w:val="none"/>
              </w:rPr>
              <w:t>评审内容</w:t>
            </w:r>
          </w:p>
        </w:tc>
      </w:tr>
      <w:tr w14:paraId="5D38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pct"/>
            <w:gridSpan w:val="4"/>
            <w:vAlign w:val="center"/>
          </w:tcPr>
          <w:p w14:paraId="1F899BDA">
            <w:pPr>
              <w:autoSpaceDE w:val="0"/>
              <w:autoSpaceDN w:val="0"/>
              <w:adjustRightInd w:val="0"/>
              <w:snapToGrid w:val="0"/>
              <w:spacing w:line="360" w:lineRule="auto"/>
              <w:ind w:left="38" w:leftChars="18"/>
              <w:jc w:val="center"/>
              <w:rPr>
                <w:rFonts w:ascii="宋体" w:cs="宋体"/>
                <w:color w:val="auto"/>
                <w:kern w:val="0"/>
                <w:sz w:val="24"/>
                <w:highlight w:val="none"/>
              </w:rPr>
            </w:pPr>
            <w:r>
              <w:rPr>
                <w:rFonts w:ascii="宋体" w:hAnsi="宋体" w:cs="宋体"/>
                <w:color w:val="auto"/>
                <w:kern w:val="0"/>
                <w:sz w:val="24"/>
                <w:highlight w:val="none"/>
              </w:rPr>
              <w:t>2.2.1</w:t>
            </w:r>
          </w:p>
        </w:tc>
        <w:tc>
          <w:tcPr>
            <w:tcW w:w="852" w:type="pct"/>
            <w:gridSpan w:val="2"/>
            <w:vAlign w:val="center"/>
          </w:tcPr>
          <w:p w14:paraId="1BDF98BC">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ascii="宋体" w:hAnsi="宋体" w:cs="宋体"/>
                <w:color w:val="auto"/>
                <w:kern w:val="0"/>
                <w:sz w:val="24"/>
                <w:highlight w:val="none"/>
              </w:rPr>
              <w:t>分值构成</w:t>
            </w:r>
          </w:p>
          <w:p w14:paraId="0A4C9A6F">
            <w:pPr>
              <w:autoSpaceDE w:val="0"/>
              <w:autoSpaceDN w:val="0"/>
              <w:adjustRightInd w:val="0"/>
              <w:snapToGrid w:val="0"/>
              <w:spacing w:line="360" w:lineRule="auto"/>
              <w:ind w:left="38" w:leftChars="18"/>
              <w:jc w:val="center"/>
              <w:rPr>
                <w:rFonts w:ascii="宋体" w:cs="宋体"/>
                <w:color w:val="auto"/>
                <w:kern w:val="0"/>
                <w:sz w:val="24"/>
                <w:highlight w:val="none"/>
              </w:rPr>
            </w:pPr>
            <w:r>
              <w:rPr>
                <w:rFonts w:ascii="宋体" w:hAnsi="宋体" w:cs="宋体"/>
                <w:color w:val="auto"/>
                <w:kern w:val="0"/>
                <w:sz w:val="24"/>
                <w:highlight w:val="none"/>
              </w:rPr>
              <w:t>(</w:t>
            </w:r>
            <w:r>
              <w:rPr>
                <w:rFonts w:hint="eastAsia" w:ascii="宋体" w:hAnsi="宋体" w:cs="宋体"/>
                <w:color w:val="auto"/>
                <w:kern w:val="0"/>
                <w:sz w:val="24"/>
                <w:highlight w:val="none"/>
              </w:rPr>
              <w:t>总分</w:t>
            </w:r>
            <w:r>
              <w:rPr>
                <w:rFonts w:ascii="宋体" w:hAnsi="宋体" w:cs="宋体"/>
                <w:color w:val="auto"/>
                <w:kern w:val="0"/>
                <w:sz w:val="24"/>
                <w:highlight w:val="none"/>
              </w:rPr>
              <w:t>100</w:t>
            </w:r>
            <w:r>
              <w:rPr>
                <w:rFonts w:hint="eastAsia" w:ascii="宋体" w:hAnsi="宋体" w:cs="宋体"/>
                <w:color w:val="auto"/>
                <w:kern w:val="0"/>
                <w:sz w:val="24"/>
                <w:highlight w:val="none"/>
              </w:rPr>
              <w:t>分</w:t>
            </w:r>
            <w:r>
              <w:rPr>
                <w:rFonts w:ascii="宋体" w:hAnsi="宋体" w:cs="宋体"/>
                <w:color w:val="auto"/>
                <w:kern w:val="0"/>
                <w:sz w:val="24"/>
                <w:highlight w:val="none"/>
              </w:rPr>
              <w:t>)</w:t>
            </w:r>
          </w:p>
        </w:tc>
        <w:tc>
          <w:tcPr>
            <w:tcW w:w="3041" w:type="pct"/>
            <w:gridSpan w:val="2"/>
            <w:vAlign w:val="center"/>
          </w:tcPr>
          <w:p w14:paraId="58567FAD">
            <w:pPr>
              <w:autoSpaceDE w:val="0"/>
              <w:autoSpaceDN w:val="0"/>
              <w:adjustRightInd w:val="0"/>
              <w:snapToGrid w:val="0"/>
              <w:spacing w:line="360" w:lineRule="auto"/>
              <w:ind w:left="38" w:leftChars="18"/>
              <w:jc w:val="left"/>
              <w:rPr>
                <w:rFonts w:ascii="宋体" w:cs="宋体"/>
                <w:b/>
                <w:bCs/>
                <w:color w:val="auto"/>
                <w:kern w:val="0"/>
                <w:sz w:val="24"/>
                <w:highlight w:val="none"/>
              </w:rPr>
            </w:pPr>
            <w:r>
              <w:rPr>
                <w:rFonts w:hint="eastAsia" w:ascii="宋体" w:hAnsi="宋体" w:cs="宋体"/>
                <w:b/>
                <w:bCs/>
                <w:color w:val="auto"/>
                <w:kern w:val="0"/>
                <w:sz w:val="24"/>
                <w:highlight w:val="none"/>
              </w:rPr>
              <w:t>报价得分：</w:t>
            </w:r>
            <w:r>
              <w:rPr>
                <w:rFonts w:ascii="宋体" w:hAnsi="宋体" w:cs="宋体"/>
                <w:b/>
                <w:bCs/>
                <w:color w:val="auto"/>
                <w:kern w:val="0"/>
                <w:sz w:val="24"/>
                <w:highlight w:val="none"/>
              </w:rPr>
              <w:t>3</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 xml:space="preserve">  </w:t>
            </w:r>
          </w:p>
          <w:p w14:paraId="2FADBE4C">
            <w:pPr>
              <w:autoSpaceDE w:val="0"/>
              <w:autoSpaceDN w:val="0"/>
              <w:adjustRightInd w:val="0"/>
              <w:snapToGrid w:val="0"/>
              <w:spacing w:line="360" w:lineRule="auto"/>
              <w:ind w:left="38" w:leftChars="18"/>
              <w:jc w:val="left"/>
              <w:rPr>
                <w:rFonts w:ascii="宋体" w:cs="宋体"/>
                <w:b/>
                <w:color w:val="auto"/>
                <w:sz w:val="24"/>
                <w:highlight w:val="none"/>
              </w:rPr>
            </w:pPr>
            <w:r>
              <w:rPr>
                <w:rFonts w:hint="eastAsia" w:ascii="宋体" w:hAnsi="宋体" w:cs="宋体"/>
                <w:b/>
                <w:color w:val="auto"/>
                <w:sz w:val="24"/>
                <w:highlight w:val="none"/>
              </w:rPr>
              <w:t>技术部分：</w:t>
            </w:r>
            <w:r>
              <w:rPr>
                <w:rFonts w:hint="eastAsia" w:ascii="宋体" w:hAnsi="宋体" w:cs="宋体"/>
                <w:b/>
                <w:color w:val="auto"/>
                <w:sz w:val="24"/>
                <w:highlight w:val="none"/>
                <w:lang w:val="en-US" w:eastAsia="zh-CN"/>
              </w:rPr>
              <w:t>45</w:t>
            </w:r>
            <w:r>
              <w:rPr>
                <w:rFonts w:hint="eastAsia" w:ascii="宋体" w:hAnsi="宋体" w:cs="宋体"/>
                <w:b/>
                <w:color w:val="auto"/>
                <w:sz w:val="24"/>
                <w:highlight w:val="none"/>
              </w:rPr>
              <w:t>分</w:t>
            </w:r>
            <w:r>
              <w:rPr>
                <w:rFonts w:ascii="宋体" w:hAnsi="宋体" w:cs="宋体"/>
                <w:b/>
                <w:color w:val="auto"/>
                <w:sz w:val="24"/>
                <w:highlight w:val="none"/>
              </w:rPr>
              <w:t xml:space="preserve">   </w:t>
            </w:r>
          </w:p>
          <w:p w14:paraId="1AEE6CE4">
            <w:pPr>
              <w:autoSpaceDE w:val="0"/>
              <w:autoSpaceDN w:val="0"/>
              <w:adjustRightInd w:val="0"/>
              <w:snapToGrid w:val="0"/>
              <w:spacing w:line="360" w:lineRule="auto"/>
              <w:ind w:left="38" w:leftChars="18"/>
              <w:jc w:val="left"/>
              <w:rPr>
                <w:rFonts w:ascii="宋体" w:cs="宋体"/>
                <w:b/>
                <w:color w:val="auto"/>
                <w:sz w:val="24"/>
                <w:highlight w:val="none"/>
              </w:rPr>
            </w:pPr>
            <w:r>
              <w:rPr>
                <w:rFonts w:hint="eastAsia" w:ascii="宋体" w:hAnsi="宋体" w:cs="宋体"/>
                <w:b/>
                <w:color w:val="auto"/>
                <w:sz w:val="24"/>
                <w:highlight w:val="none"/>
              </w:rPr>
              <w:t>商务部分：</w:t>
            </w:r>
            <w:r>
              <w:rPr>
                <w:rFonts w:hint="eastAsia" w:ascii="宋体" w:hAnsi="宋体" w:cs="宋体"/>
                <w:b/>
                <w:color w:val="auto"/>
                <w:sz w:val="24"/>
                <w:highlight w:val="none"/>
                <w:lang w:val="en-US" w:eastAsia="zh-CN"/>
              </w:rPr>
              <w:t>25</w:t>
            </w:r>
            <w:r>
              <w:rPr>
                <w:rFonts w:hint="eastAsia" w:ascii="宋体" w:hAnsi="宋体" w:cs="宋体"/>
                <w:b/>
                <w:color w:val="auto"/>
                <w:sz w:val="24"/>
                <w:highlight w:val="none"/>
              </w:rPr>
              <w:t>分</w:t>
            </w:r>
          </w:p>
        </w:tc>
      </w:tr>
      <w:tr w14:paraId="0C61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5" w:type="pct"/>
            <w:gridSpan w:val="4"/>
            <w:vAlign w:val="center"/>
          </w:tcPr>
          <w:p w14:paraId="5AD4A3C7">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852" w:type="pct"/>
            <w:gridSpan w:val="2"/>
            <w:vAlign w:val="center"/>
          </w:tcPr>
          <w:p w14:paraId="4312DC9B">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评审因素</w:t>
            </w:r>
          </w:p>
        </w:tc>
        <w:tc>
          <w:tcPr>
            <w:tcW w:w="3041" w:type="pct"/>
            <w:gridSpan w:val="2"/>
            <w:vAlign w:val="center"/>
          </w:tcPr>
          <w:p w14:paraId="02923F00">
            <w:pPr>
              <w:autoSpaceDE w:val="0"/>
              <w:autoSpaceDN w:val="0"/>
              <w:adjustRightInd w:val="0"/>
              <w:snapToGrid w:val="0"/>
              <w:spacing w:line="360" w:lineRule="auto"/>
              <w:ind w:left="38" w:leftChars="18"/>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1"/>
                <w:sz w:val="21"/>
                <w:szCs w:val="21"/>
                <w:highlight w:val="none"/>
              </w:rPr>
              <w:t>评审内容</w:t>
            </w:r>
          </w:p>
        </w:tc>
      </w:tr>
      <w:tr w14:paraId="092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42" w:hRule="atLeast"/>
          <w:jc w:val="center"/>
        </w:trPr>
        <w:tc>
          <w:tcPr>
            <w:tcW w:w="488" w:type="pct"/>
            <w:vAlign w:val="center"/>
          </w:tcPr>
          <w:p w14:paraId="12BBC62E">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2.2.2（1）</w:t>
            </w:r>
          </w:p>
        </w:tc>
        <w:tc>
          <w:tcPr>
            <w:tcW w:w="615" w:type="pct"/>
            <w:gridSpan w:val="2"/>
            <w:vAlign w:val="center"/>
          </w:tcPr>
          <w:p w14:paraId="4BDFC8DA">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w:t>
            </w:r>
          </w:p>
          <w:p w14:paraId="3A2B300B">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得分</w:t>
            </w:r>
          </w:p>
          <w:p w14:paraId="303EC185">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c>
          <w:tcPr>
            <w:tcW w:w="852" w:type="pct"/>
            <w:gridSpan w:val="2"/>
            <w:vAlign w:val="center"/>
          </w:tcPr>
          <w:p w14:paraId="1DE0344F">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投标报价标准</w:t>
            </w:r>
          </w:p>
        </w:tc>
        <w:tc>
          <w:tcPr>
            <w:tcW w:w="3040" w:type="pct"/>
            <w:gridSpan w:val="2"/>
            <w:vAlign w:val="center"/>
          </w:tcPr>
          <w:p w14:paraId="4D22F317">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计算方法如下：</w:t>
            </w:r>
          </w:p>
          <w:p w14:paraId="27A33DA5">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评标基准值=有效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的最低评标报价</w:t>
            </w:r>
          </w:p>
          <w:p w14:paraId="558615EE">
            <w:pPr>
              <w:adjustRightInd w:val="0"/>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投标报价得分=评标基准值/评标报价×3</w:t>
            </w:r>
            <w:r>
              <w:rPr>
                <w:rFonts w:hint="eastAsia" w:ascii="宋体" w:hAnsi="宋体" w:eastAsia="宋体" w:cs="宋体"/>
                <w:color w:val="auto"/>
                <w:kern w:val="0"/>
                <w:sz w:val="21"/>
                <w:szCs w:val="21"/>
                <w:highlight w:val="none"/>
                <w:lang w:val="en-US" w:eastAsia="zh-CN"/>
              </w:rPr>
              <w:t>0</w:t>
            </w:r>
          </w:p>
          <w:p w14:paraId="33581E36">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为贯彻落实《政府采购促进中小企业发展管理办法》（财库[2020]46号）、财库〔2022〕19号《财政部关于进一步加大政府采购支持中小企业力度的通知》、《关于促进残疾人就业政府采购政策的通知》（财库[2017]141号）、《关于政府采购支持监狱企业发展有关问题的通知》（财库[2014]68号）等规定，促进中小型企业的发展，评审时给予小型或微型企业、监狱企业、残疾人福利性单位10%的价格扣除，用扣除后的价格参与评审。同一</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，小微企业、监狱企业、残疾人福利性单位价格扣除优惠只享受一次，不得重复享受。应提供《中小企业声明函》、《残疾人福利性单位声明函》、《监狱企业的证明文件》，格式见</w:t>
            </w:r>
            <w:r>
              <w:rPr>
                <w:rFonts w:hint="eastAsia" w:ascii="宋体" w:hAnsi="宋体" w:cs="宋体"/>
                <w:color w:val="auto"/>
                <w:kern w:val="0"/>
                <w:sz w:val="21"/>
                <w:szCs w:val="21"/>
                <w:highlight w:val="none"/>
                <w:lang w:eastAsia="zh-CN"/>
              </w:rPr>
              <w:t>投标文件格式</w:t>
            </w:r>
            <w:r>
              <w:rPr>
                <w:rFonts w:hint="eastAsia" w:ascii="宋体" w:hAnsi="宋体" w:eastAsia="宋体" w:cs="宋体"/>
                <w:color w:val="auto"/>
                <w:kern w:val="0"/>
                <w:sz w:val="21"/>
                <w:szCs w:val="21"/>
                <w:highlight w:val="none"/>
              </w:rPr>
              <w:t>，未提供声明函者不予认定。</w:t>
            </w:r>
          </w:p>
          <w:p w14:paraId="073A98E5">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（2）评标委员会认定某</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的投标报价明显低于其他有效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投标报价，有可能影响产品质量或者不能诚信履约的，评标委员会有权要求该</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对其报价的合理性作出书面说明，并提供相关证明材料，否则作为无效投标处理。</w:t>
            </w:r>
          </w:p>
          <w:p w14:paraId="0B299663">
            <w:pPr>
              <w:adjustRightInd w:val="0"/>
              <w:snapToGrid w:val="0"/>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w:t>
            </w:r>
          </w:p>
          <w:p w14:paraId="69DE42E9">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1、有效投标人是指响应招标文件要求并通过资格审查、形式评审、符合性审查未被判定为无效投标的所有投标人。</w:t>
            </w:r>
          </w:p>
        </w:tc>
      </w:tr>
      <w:tr w14:paraId="0779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12" w:hRule="atLeast"/>
          <w:jc w:val="center"/>
        </w:trPr>
        <w:tc>
          <w:tcPr>
            <w:tcW w:w="488" w:type="pct"/>
            <w:vMerge w:val="restart"/>
            <w:vAlign w:val="center"/>
          </w:tcPr>
          <w:p w14:paraId="203BD4C1">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21D54309">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45EA5CB0">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74DA9E5E">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3919626C">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01F24117">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72F16B03">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2.2.2（2）</w:t>
            </w:r>
          </w:p>
          <w:p w14:paraId="30EF29A6">
            <w:pPr>
              <w:widowControl/>
              <w:adjustRightInd w:val="0"/>
              <w:snapToGrid w:val="0"/>
              <w:spacing w:line="360" w:lineRule="auto"/>
              <w:jc w:val="center"/>
              <w:rPr>
                <w:rFonts w:hint="eastAsia" w:ascii="宋体" w:hAnsi="宋体" w:eastAsia="宋体" w:cs="宋体"/>
                <w:color w:val="auto"/>
                <w:sz w:val="21"/>
                <w:szCs w:val="21"/>
                <w:highlight w:val="none"/>
              </w:rPr>
            </w:pPr>
          </w:p>
          <w:p w14:paraId="6BFD14D3">
            <w:pPr>
              <w:spacing w:after="120" w:line="360" w:lineRule="auto"/>
              <w:ind w:left="1470" w:leftChars="700" w:right="1470" w:rightChars="700"/>
              <w:rPr>
                <w:rFonts w:hint="eastAsia" w:ascii="宋体" w:hAnsi="宋体" w:eastAsia="宋体" w:cs="宋体"/>
                <w:color w:val="auto"/>
                <w:sz w:val="21"/>
                <w:szCs w:val="21"/>
                <w:highlight w:val="none"/>
              </w:rPr>
            </w:pPr>
          </w:p>
        </w:tc>
        <w:tc>
          <w:tcPr>
            <w:tcW w:w="615" w:type="pct"/>
            <w:gridSpan w:val="2"/>
            <w:vMerge w:val="restart"/>
            <w:vAlign w:val="center"/>
          </w:tcPr>
          <w:p w14:paraId="4AC645C7">
            <w:pPr>
              <w:widowControl/>
              <w:adjustRightInd w:val="0"/>
              <w:snapToGrid w:val="0"/>
              <w:spacing w:line="360" w:lineRule="auto"/>
              <w:jc w:val="center"/>
              <w:rPr>
                <w:rFonts w:hint="eastAsia" w:ascii="宋体" w:hAnsi="宋体" w:eastAsia="宋体" w:cs="宋体"/>
                <w:b/>
                <w:color w:val="auto"/>
                <w:sz w:val="21"/>
                <w:szCs w:val="21"/>
                <w:highlight w:val="none"/>
              </w:rPr>
            </w:pPr>
          </w:p>
          <w:p w14:paraId="09F6613C">
            <w:pPr>
              <w:widowControl/>
              <w:adjustRightInd w:val="0"/>
              <w:snapToGrid w:val="0"/>
              <w:spacing w:line="360" w:lineRule="auto"/>
              <w:jc w:val="center"/>
              <w:rPr>
                <w:rFonts w:hint="eastAsia" w:ascii="宋体" w:hAnsi="宋体" w:eastAsia="宋体" w:cs="宋体"/>
                <w:b/>
                <w:color w:val="auto"/>
                <w:sz w:val="21"/>
                <w:szCs w:val="21"/>
                <w:highlight w:val="none"/>
              </w:rPr>
            </w:pPr>
          </w:p>
          <w:p w14:paraId="1D3D8DFE">
            <w:pPr>
              <w:widowControl/>
              <w:adjustRightInd w:val="0"/>
              <w:snapToGrid w:val="0"/>
              <w:spacing w:line="360" w:lineRule="auto"/>
              <w:jc w:val="center"/>
              <w:rPr>
                <w:rFonts w:hint="eastAsia" w:ascii="宋体" w:hAnsi="宋体" w:eastAsia="宋体" w:cs="宋体"/>
                <w:b/>
                <w:color w:val="auto"/>
                <w:sz w:val="21"/>
                <w:szCs w:val="21"/>
                <w:highlight w:val="none"/>
              </w:rPr>
            </w:pPr>
          </w:p>
          <w:p w14:paraId="76CDE77D">
            <w:pPr>
              <w:widowControl/>
              <w:adjustRightInd w:val="0"/>
              <w:snapToGrid w:val="0"/>
              <w:spacing w:line="360" w:lineRule="auto"/>
              <w:jc w:val="center"/>
              <w:rPr>
                <w:rFonts w:hint="eastAsia" w:ascii="宋体" w:hAnsi="宋体" w:eastAsia="宋体" w:cs="宋体"/>
                <w:b/>
                <w:color w:val="auto"/>
                <w:sz w:val="21"/>
                <w:szCs w:val="21"/>
                <w:highlight w:val="none"/>
              </w:rPr>
            </w:pPr>
          </w:p>
          <w:p w14:paraId="4317AF78">
            <w:pPr>
              <w:widowControl/>
              <w:adjustRightInd w:val="0"/>
              <w:snapToGrid w:val="0"/>
              <w:spacing w:line="360" w:lineRule="auto"/>
              <w:jc w:val="center"/>
              <w:rPr>
                <w:rFonts w:hint="eastAsia" w:ascii="宋体" w:hAnsi="宋体" w:eastAsia="宋体" w:cs="宋体"/>
                <w:b/>
                <w:color w:val="auto"/>
                <w:sz w:val="21"/>
                <w:szCs w:val="21"/>
                <w:highlight w:val="none"/>
              </w:rPr>
            </w:pPr>
          </w:p>
          <w:p w14:paraId="4D4367E1">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w:t>
            </w:r>
          </w:p>
          <w:p w14:paraId="59EFCEE7">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14:paraId="02CAE9FF">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分）</w:t>
            </w:r>
          </w:p>
        </w:tc>
        <w:tc>
          <w:tcPr>
            <w:tcW w:w="852" w:type="pct"/>
            <w:gridSpan w:val="2"/>
            <w:vAlign w:val="center"/>
          </w:tcPr>
          <w:p w14:paraId="71D2BF35">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技术指标响应情况（0-35分）</w:t>
            </w:r>
          </w:p>
        </w:tc>
        <w:tc>
          <w:tcPr>
            <w:tcW w:w="3040" w:type="pct"/>
            <w:gridSpan w:val="2"/>
            <w:vAlign w:val="center"/>
          </w:tcPr>
          <w:p w14:paraId="77B564AA">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技术参数(0-35分)完全满足或优于招标文件技术要求的得35分，投标技术参数与招标文件参数要求有负偏离的在</w:t>
            </w:r>
            <w:r>
              <w:rPr>
                <w:rFonts w:hint="eastAsia" w:ascii="宋体" w:hAnsi="宋体" w:eastAsia="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rPr>
              <w:t>分的基础上，不带标注符号的技术参数出现负偏离的每有一项扣1分，标注“</w:t>
            </w:r>
            <w:r>
              <w:rPr>
                <w:rFonts w:hint="eastAsia" w:ascii="宋体" w:hAnsi="宋体" w:cs="宋体"/>
                <w:sz w:val="24"/>
                <w:szCs w:val="24"/>
                <w:highlight w:val="none"/>
                <w:lang w:eastAsia="zh-CN"/>
              </w:rPr>
              <w:t>☆</w:t>
            </w:r>
            <w:r>
              <w:rPr>
                <w:rFonts w:hint="eastAsia" w:ascii="宋体" w:hAnsi="宋体" w:eastAsia="宋体" w:cs="宋体"/>
                <w:color w:val="auto"/>
                <w:kern w:val="0"/>
                <w:sz w:val="21"/>
                <w:szCs w:val="21"/>
                <w:highlight w:val="none"/>
              </w:rPr>
              <w:t>”号项技术参数出现负偏离的每有一项扣</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分，在本项分值范围技术指标</w:t>
            </w:r>
            <w:r>
              <w:rPr>
                <w:rFonts w:hint="eastAsia" w:ascii="宋体" w:hAnsi="宋体" w:cs="宋体"/>
                <w:color w:val="auto"/>
                <w:kern w:val="0"/>
                <w:sz w:val="21"/>
                <w:szCs w:val="21"/>
                <w:highlight w:val="none"/>
                <w:lang w:val="en-US" w:eastAsia="zh-CN"/>
              </w:rPr>
              <w:t>项</w:t>
            </w:r>
            <w:r>
              <w:rPr>
                <w:rFonts w:hint="eastAsia" w:ascii="宋体" w:hAnsi="宋体" w:eastAsia="宋体" w:cs="宋体"/>
                <w:color w:val="auto"/>
                <w:kern w:val="0"/>
                <w:sz w:val="21"/>
                <w:szCs w:val="21"/>
                <w:highlight w:val="none"/>
              </w:rPr>
              <w:t>内扣完为止。招标项目需求及技术要求中标注“</w:t>
            </w:r>
            <w:r>
              <w:rPr>
                <w:rFonts w:hint="eastAsia" w:ascii="宋体" w:hAnsi="宋体" w:cs="宋体"/>
                <w:sz w:val="24"/>
                <w:szCs w:val="24"/>
                <w:highlight w:val="none"/>
                <w:lang w:eastAsia="zh-CN"/>
              </w:rPr>
              <w:t>★</w:t>
            </w:r>
            <w:r>
              <w:rPr>
                <w:rFonts w:hint="eastAsia" w:ascii="宋体" w:hAnsi="宋体" w:eastAsia="宋体" w:cs="宋体"/>
                <w:color w:val="auto"/>
                <w:kern w:val="0"/>
                <w:sz w:val="21"/>
                <w:szCs w:val="21"/>
                <w:highlight w:val="none"/>
              </w:rPr>
              <w:t>”号条款为实质性条款，必须逐条进行响应，有任何一条负偏离的，将导致无效投标。注:提供相关证明资料(如制造商公开发布的产品说明书或检测机构出具的检测报告或投标人须知前附表允许的其他形式予以佐证，否则为负偏离扣分或者无效投标。</w:t>
            </w:r>
          </w:p>
        </w:tc>
      </w:tr>
      <w:tr w14:paraId="717D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16" w:hRule="atLeast"/>
          <w:jc w:val="center"/>
        </w:trPr>
        <w:tc>
          <w:tcPr>
            <w:tcW w:w="488" w:type="pct"/>
            <w:vMerge w:val="continue"/>
            <w:vAlign w:val="center"/>
          </w:tcPr>
          <w:p w14:paraId="2C233E62">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2066C33E">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2FBA6CCA">
            <w:pPr>
              <w:adjustRightInd w:val="0"/>
              <w:snapToGrid w:val="0"/>
              <w:spacing w:line="360" w:lineRule="auto"/>
              <w:ind w:left="31680" w:hanging="308" w:hangingChars="147"/>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车辆选型（整体设计）（0-5分）</w:t>
            </w:r>
          </w:p>
        </w:tc>
        <w:tc>
          <w:tcPr>
            <w:tcW w:w="3040" w:type="pct"/>
            <w:gridSpan w:val="2"/>
            <w:vAlign w:val="center"/>
          </w:tcPr>
          <w:p w14:paraId="54C8FF0F">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产品的底盘选型、上装设计及布局、电气设备、随车配套设备及配件等情况进行综合评审（须提供设计说明、整体设计图、结构设计图、功能设计图、三维系统图等）：投标产品的底盘选型具有针对性、对各使用场景适用性高，上装设计及布局科学合理，内部结构选用制作板材等材料可靠性高、性能稳定，电气设备配置与采购需求吻合，配置随车器材及备件满足采购需求，且描述清晰、性能稳定可靠的，得5分；</w:t>
            </w:r>
          </w:p>
          <w:p w14:paraId="32C9E3E3">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产品的底盘选型较合理，对于各种适用场景具有较高适用性，上装设计及布局较合理，内部结构选用制作板材等材料可靠性较高、性能较稳定，电气设备配置与采购需求较为吻合，随车器材及备件的相关描述较清晰，性能较稳定、可靠性较高的，得3分；</w:t>
            </w:r>
          </w:p>
          <w:p w14:paraId="53B7DD3F">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产品的底盘选型基本合理，对于各种适用场景具有一定适用性，上装设计及布局合理性略有欠缺，内部结构选用制作板材等材料可靠性较高、性能略有不足，电气设备配置与采购需求较为吻合，随车器材及备件的相关描述基本清晰，性能基本稳定、具有基本的可靠性，得1分；</w:t>
            </w:r>
          </w:p>
          <w:p w14:paraId="153CB254">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产品的底盘选型性能配置及适用性较差，上装设计及布局有较大缺陷，电气设备配置不明确，随车器材及备件的相关信息描述简单，或者未同时提供设计说明、整体设计图、结构设计图、功能设计图、三维系统图等材料，得0分。</w:t>
            </w:r>
          </w:p>
        </w:tc>
      </w:tr>
      <w:tr w14:paraId="2BEA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16" w:hRule="atLeast"/>
          <w:jc w:val="center"/>
        </w:trPr>
        <w:tc>
          <w:tcPr>
            <w:tcW w:w="488" w:type="pct"/>
            <w:vMerge w:val="continue"/>
            <w:vAlign w:val="center"/>
          </w:tcPr>
          <w:p w14:paraId="750A8618">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4A0BC4F4">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03D7E189">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车辆制造商专业技术生产能力（0-5分）</w:t>
            </w:r>
          </w:p>
        </w:tc>
        <w:tc>
          <w:tcPr>
            <w:tcW w:w="3040" w:type="pct"/>
            <w:gridSpan w:val="2"/>
            <w:vAlign w:val="center"/>
          </w:tcPr>
          <w:p w14:paraId="6D45C091">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所投车辆制造商专业技术生产能力（包括但不限于自主研发能力、生产工艺、生产步骤、产品检验等）进行评审：投标人所投车辆制造商具备自主研发能力及先进的生产工艺，提供完整工艺流程图并配有详细的图片和文字说明，生产步骤完整周详，能够提供各环节完整的生产车间环境及详细的实际生产实景照片，具有严格的产品检验流程，检验设备配置齐全、检验步骤严密无纰漏，得5分；投标人所投车辆制造商具备一定的自主研发能力及较先进的生产工艺，提供较完整的工艺流程图并配有较详细的图片和文字说明，生产步骤较完整，能够提供各环节较完整的生产车间环境及较详细的实际生产实景照片，具有较严格的产品检验流程，检验设备配置较齐全、检验步骤较严密，得3分；投标人所投车辆制造商具有一定自主研发能力，提供部分生产工艺流程说明，生产步骤基本完善并提供生产车间环境及实际生产照片，产品检验流程及具体检验步骤基本完整，检验设备配置基本齐全，得1分；投标人所投车辆制造商不具备自主研发能力，生产工艺简单粗糙，生产步骤完善程度较差，未能提供生产车间环境及实际生产照片，产品检验流程及具体检验步骤不完整，检验设备配置不齐全，或者未提供投标人所投车辆制造商专业技术生产能力证明材料，本项得0分。</w:t>
            </w:r>
          </w:p>
        </w:tc>
      </w:tr>
      <w:tr w14:paraId="2BC0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91" w:hRule="atLeast"/>
          <w:jc w:val="center"/>
        </w:trPr>
        <w:tc>
          <w:tcPr>
            <w:tcW w:w="488" w:type="pct"/>
            <w:vMerge w:val="restart"/>
            <w:vAlign w:val="center"/>
          </w:tcPr>
          <w:p w14:paraId="7EF87638">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2.2.2（3）</w:t>
            </w:r>
          </w:p>
        </w:tc>
        <w:tc>
          <w:tcPr>
            <w:tcW w:w="615" w:type="pct"/>
            <w:gridSpan w:val="2"/>
            <w:vMerge w:val="restart"/>
            <w:vAlign w:val="center"/>
          </w:tcPr>
          <w:p w14:paraId="429244A8">
            <w:pPr>
              <w:widowControl/>
              <w:adjustRightInd w:val="0"/>
              <w:snapToGrid w:val="0"/>
              <w:spacing w:line="360" w:lineRule="auto"/>
              <w:jc w:val="center"/>
              <w:rPr>
                <w:rFonts w:hint="eastAsia" w:ascii="宋体" w:hAnsi="宋体" w:eastAsia="宋体" w:cs="宋体"/>
                <w:b/>
                <w:color w:val="auto"/>
                <w:sz w:val="21"/>
                <w:szCs w:val="21"/>
                <w:highlight w:val="none"/>
              </w:rPr>
            </w:pPr>
          </w:p>
          <w:p w14:paraId="313F9C09">
            <w:pPr>
              <w:widowControl/>
              <w:adjustRightInd w:val="0"/>
              <w:snapToGrid w:val="0"/>
              <w:spacing w:line="360" w:lineRule="auto"/>
              <w:jc w:val="center"/>
              <w:rPr>
                <w:rFonts w:hint="eastAsia" w:ascii="宋体" w:hAnsi="宋体" w:eastAsia="宋体" w:cs="宋体"/>
                <w:b/>
                <w:color w:val="auto"/>
                <w:sz w:val="21"/>
                <w:szCs w:val="21"/>
                <w:highlight w:val="none"/>
              </w:rPr>
            </w:pPr>
          </w:p>
          <w:p w14:paraId="12C337FF">
            <w:pPr>
              <w:widowControl/>
              <w:adjustRightInd w:val="0"/>
              <w:snapToGrid w:val="0"/>
              <w:spacing w:line="360" w:lineRule="auto"/>
              <w:jc w:val="center"/>
              <w:rPr>
                <w:rFonts w:hint="eastAsia" w:ascii="宋体" w:hAnsi="宋体" w:eastAsia="宋体" w:cs="宋体"/>
                <w:b/>
                <w:color w:val="auto"/>
                <w:sz w:val="21"/>
                <w:szCs w:val="21"/>
                <w:highlight w:val="none"/>
              </w:rPr>
            </w:pPr>
          </w:p>
          <w:p w14:paraId="56E44052">
            <w:pPr>
              <w:widowControl/>
              <w:adjustRightInd w:val="0"/>
              <w:snapToGrid w:val="0"/>
              <w:spacing w:line="360" w:lineRule="auto"/>
              <w:jc w:val="center"/>
              <w:rPr>
                <w:rFonts w:hint="eastAsia" w:ascii="宋体" w:hAnsi="宋体" w:eastAsia="宋体" w:cs="宋体"/>
                <w:b/>
                <w:color w:val="auto"/>
                <w:sz w:val="21"/>
                <w:szCs w:val="21"/>
                <w:highlight w:val="none"/>
              </w:rPr>
            </w:pPr>
          </w:p>
          <w:p w14:paraId="74CC7AF0">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14:paraId="2CD31090">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14:paraId="7E4EEE18">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p w14:paraId="2C19C4F9">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69F4E711">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企业认证（0-1.5分）</w:t>
            </w:r>
          </w:p>
        </w:tc>
        <w:tc>
          <w:tcPr>
            <w:tcW w:w="3040" w:type="pct"/>
            <w:gridSpan w:val="2"/>
            <w:vAlign w:val="center"/>
          </w:tcPr>
          <w:p w14:paraId="18783D0F">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投标人提供经认监委批准的认证机构颁发的有效的：</w:t>
            </w:r>
          </w:p>
          <w:p w14:paraId="0BFAB90B">
            <w:pPr>
              <w:numPr>
                <w:ilvl w:val="0"/>
                <w:numId w:val="8"/>
              </w:num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质量管理体系认证证书得0.5分；</w:t>
            </w:r>
          </w:p>
          <w:p w14:paraId="15C439AA">
            <w:pPr>
              <w:numPr>
                <w:ilvl w:val="0"/>
                <w:numId w:val="8"/>
              </w:numPr>
              <w:adjustRightInd w:val="0"/>
              <w:snapToGrid w:val="0"/>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环境管理体系认证证书得0.5分；</w:t>
            </w:r>
          </w:p>
          <w:p w14:paraId="068FD533">
            <w:pPr>
              <w:numPr>
                <w:ilvl w:val="0"/>
                <w:numId w:val="8"/>
              </w:numPr>
              <w:adjustRightInd w:val="0"/>
              <w:snapToGrid w:val="0"/>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职业健康安全体系认证证书得0.5分。</w:t>
            </w:r>
          </w:p>
          <w:p w14:paraId="5A8E94CC">
            <w:pPr>
              <w:numPr>
                <w:ilvl w:val="0"/>
                <w:numId w:val="0"/>
              </w:numPr>
              <w:adjustRightInd w:val="0"/>
              <w:snapToGrid w:val="0"/>
              <w:spacing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注：本项累计最高得1.5分，需提供有效期内的有效证书扫描件，清晰可辨，无或其它不得分。</w:t>
            </w:r>
          </w:p>
        </w:tc>
      </w:tr>
      <w:tr w14:paraId="5AC7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7" w:hRule="atLeast"/>
          <w:jc w:val="center"/>
        </w:trPr>
        <w:tc>
          <w:tcPr>
            <w:tcW w:w="488" w:type="pct"/>
            <w:vMerge w:val="continue"/>
            <w:vAlign w:val="center"/>
          </w:tcPr>
          <w:p w14:paraId="1D2FB322">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453F3F21">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1265A125">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eastAsia="zh-CN"/>
              </w:rPr>
              <w:t>产品</w:t>
            </w:r>
            <w:r>
              <w:rPr>
                <w:rFonts w:hint="eastAsia" w:ascii="宋体" w:hAnsi="宋体" w:eastAsia="宋体" w:cs="宋体"/>
                <w:b/>
                <w:color w:val="auto"/>
                <w:kern w:val="0"/>
                <w:sz w:val="21"/>
                <w:szCs w:val="21"/>
                <w:highlight w:val="none"/>
              </w:rPr>
              <w:t>业绩（0-2 分）</w:t>
            </w:r>
          </w:p>
        </w:tc>
        <w:tc>
          <w:tcPr>
            <w:tcW w:w="3040" w:type="pct"/>
            <w:gridSpan w:val="2"/>
            <w:vAlign w:val="center"/>
          </w:tcPr>
          <w:p w14:paraId="0561E537">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投标人每提供一份产品业绩得1分，最多得2分，不提供得0分。业绩年份要求，自202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年1月1日算起。产品业绩是指投标人所投标包项目</w:t>
            </w:r>
            <w:r>
              <w:rPr>
                <w:rFonts w:hint="eastAsia" w:ascii="宋体" w:hAnsi="宋体" w:cs="宋体"/>
                <w:color w:val="auto"/>
                <w:sz w:val="21"/>
                <w:szCs w:val="21"/>
                <w:highlight w:val="none"/>
                <w:lang w:eastAsia="zh-CN"/>
              </w:rPr>
              <w:t>产品相同类别的</w:t>
            </w:r>
            <w:r>
              <w:rPr>
                <w:rFonts w:hint="eastAsia" w:ascii="宋体" w:hAnsi="宋体" w:eastAsia="宋体" w:cs="宋体"/>
                <w:color w:val="auto"/>
                <w:sz w:val="21"/>
                <w:szCs w:val="21"/>
                <w:highlight w:val="none"/>
              </w:rPr>
              <w:t>业绩，以合同签订时间为准，业绩须包括发票、合同。注：投标文件中须附合同（需包含签订合同双方的单位名称、合同项目名称、项目金额与含签订合同双方的落款盖章、签订日期的关键页）、发票扫描件，清晰可辨，并加盖投标人公章，以上内容缺一不得分。</w:t>
            </w:r>
          </w:p>
        </w:tc>
      </w:tr>
      <w:tr w14:paraId="0C78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14:paraId="3B22BA8D">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28C8D526">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603B1975">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节能环保产品（0-1 分）</w:t>
            </w:r>
          </w:p>
        </w:tc>
        <w:tc>
          <w:tcPr>
            <w:tcW w:w="3040" w:type="pct"/>
            <w:gridSpan w:val="2"/>
            <w:vAlign w:val="center"/>
          </w:tcPr>
          <w:p w14:paraId="43D5D62F">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产品如为节能产品政府采购品目清单内非强制节能产品的，加0.5分。投标人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所投产品如为环境标志产品政府采购品目清单内的产品，加0.5分。投标人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r>
      <w:tr w14:paraId="68EB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14:paraId="6FC338EF">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46F689DE">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79B03D92">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质保期（0-4.5 分）</w:t>
            </w:r>
          </w:p>
        </w:tc>
        <w:tc>
          <w:tcPr>
            <w:tcW w:w="3040" w:type="pct"/>
            <w:gridSpan w:val="2"/>
            <w:vAlign w:val="center"/>
          </w:tcPr>
          <w:p w14:paraId="227E9174">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highlight w:val="none"/>
              </w:rPr>
              <w:t>在招标文件要求的质保期基础上，每承诺延长一年质保期得1.5分，最多得4.5分，未承诺的不得分。（注：如标包内有多个产品的，所有产品的质保期均需延长，否则不得分）</w:t>
            </w:r>
          </w:p>
        </w:tc>
      </w:tr>
      <w:tr w14:paraId="42F9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14:paraId="7BEF007E">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72CE9895">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596D5D2E">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优惠条款（0-1分）</w:t>
            </w:r>
          </w:p>
        </w:tc>
        <w:tc>
          <w:tcPr>
            <w:tcW w:w="3040" w:type="pct"/>
            <w:gridSpan w:val="2"/>
            <w:vAlign w:val="center"/>
          </w:tcPr>
          <w:p w14:paraId="41806CA7">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参照首保项目及范围进行维保延期承诺，承诺免费增加维保1次加0.5分，最多加1分，未承诺的不得分。</w:t>
            </w:r>
          </w:p>
        </w:tc>
      </w:tr>
      <w:tr w14:paraId="6663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14:paraId="1AADF88B">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0AF71B10">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55FF1FAC">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实施方案（0-4分）</w:t>
            </w:r>
          </w:p>
        </w:tc>
        <w:tc>
          <w:tcPr>
            <w:tcW w:w="3040" w:type="pct"/>
            <w:gridSpan w:val="2"/>
            <w:vAlign w:val="center"/>
          </w:tcPr>
          <w:p w14:paraId="3DA851B0">
            <w:pPr>
              <w:numPr>
                <w:ilvl w:val="0"/>
                <w:numId w:val="9"/>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具体实施进度方案（2分）：（1）整体实施进度方案详实、切实可行，生产进度规划详细、原材料采购及生产计划响应迅速，供货周期优于项目要求，进度保障措施规划详细、响应周全、切实可行，项目组人员配备齐全、分工明确、团队力量强，得2分；（2）整体实施进度方案、生产进度规划、原材料采购及生产计划、供货周期、进度保障措施规划、项目组人员配备不详实、不详细或者部分不满足项目要求，得1分；（3）整体实施进度方案、生产进度规划、原材料采购及生产计划、供货周期、进度保障措施规划、项目组人员配备不能满足采购需求，得0.5分；（4）未提供方案，得0分。</w:t>
            </w:r>
          </w:p>
          <w:p w14:paraId="46518950">
            <w:pPr>
              <w:numPr>
                <w:ilvl w:val="0"/>
                <w:numId w:val="9"/>
              </w:numPr>
              <w:adjustRightInd w:val="0"/>
              <w:snapToGrid w:val="0"/>
              <w:spacing w:line="360" w:lineRule="auto"/>
              <w:ind w:left="0" w:leftChars="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障措施（1分）：（1）质量保障方案制定详实、切实可行，质量保障制度制定完善、可操作性强，质量保障人员配备齐全、分工明确、团队力量强，有专门的的质量保障经费规划，质量保障设施设备配备齐全，得1分；（2）质量保障方案制定、质量保障制度制定、质量保障人员配备、质量保障设施设备配备不详实、不齐全或者部分不满足项目要求，得0.5分；（3）未提供方案，得0分。</w:t>
            </w:r>
          </w:p>
          <w:p w14:paraId="3E8F7F7A">
            <w:pPr>
              <w:numPr>
                <w:ilvl w:val="0"/>
                <w:numId w:val="0"/>
              </w:numPr>
              <w:adjustRightInd w:val="0"/>
              <w:snapToGrid w:val="0"/>
              <w:spacing w:line="360" w:lineRule="auto"/>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测试方案、验收方案（1分）：（1）方案提供的测试、验收依据和相关的技术标准准确完整，方案制定的测试、验收的组织形式、程序、注意事项周全详实，测试、验收环节和内容设置详实，得1分；（2）方案提供的测试、验收依据和相关的技术标准、方案制定的测试、验收的组织形式、程序、注意事项、测试、验收环节和内容设置不详实或者部分不满足项目要求，得0.5分；（3）未提供方案，得0分。</w:t>
            </w:r>
          </w:p>
        </w:tc>
      </w:tr>
      <w:tr w14:paraId="4415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14:paraId="3397181D">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3F003178">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2E45D4B7">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履约能力（0-3分）</w:t>
            </w:r>
          </w:p>
        </w:tc>
        <w:tc>
          <w:tcPr>
            <w:tcW w:w="3040" w:type="pct"/>
            <w:gridSpan w:val="2"/>
            <w:vAlign w:val="center"/>
          </w:tcPr>
          <w:p w14:paraId="502A5352">
            <w:pPr>
              <w:numPr>
                <w:ilvl w:val="0"/>
                <w:numId w:val="10"/>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各阶段资金使用计划规划明确、各环节资金投入明确且保障有力得1分，没有保障或未提供该项内容得0分。</w:t>
            </w:r>
          </w:p>
          <w:p w14:paraId="484459FE">
            <w:pPr>
              <w:numPr>
                <w:ilvl w:val="0"/>
                <w:numId w:val="0"/>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2.生产过程有落实节能环保相关措施且可行得1分，措施不可行或未提供该项内容得0分。</w:t>
            </w:r>
          </w:p>
          <w:p w14:paraId="1897CC54">
            <w:pPr>
              <w:numPr>
                <w:ilvl w:val="0"/>
                <w:numId w:val="0"/>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3.与各用户单位沟通和协调管理制度完善可行得1分，不完善、不可行或未提供该项内容得0分。</w:t>
            </w:r>
          </w:p>
        </w:tc>
      </w:tr>
      <w:tr w14:paraId="47B5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14:paraId="3D5C2C8B">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0130C3B9">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293E29CE">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售后服务（0-</w:t>
            </w: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分）</w:t>
            </w:r>
          </w:p>
        </w:tc>
        <w:tc>
          <w:tcPr>
            <w:tcW w:w="3040" w:type="pct"/>
            <w:gridSpan w:val="2"/>
            <w:vAlign w:val="center"/>
          </w:tcPr>
          <w:p w14:paraId="1336C088">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售后服务（5分）</w:t>
            </w:r>
          </w:p>
          <w:p w14:paraId="71D7903E">
            <w:pPr>
              <w:numPr>
                <w:ilvl w:val="0"/>
                <w:numId w:val="11"/>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售后服务计划（内容包括但不限于售后服务内容、售后服务体系、故障响应、备品备件保障供应、巡检服务等）进行综合评分：服务计划完整（涵盖上述全部内容）、详尽，完全满足项目要求的，得2分；服务计划基本完整（涵盖上述全部内容，但是内容不够详尽或者其中某项描述欠缺的），得1分；服务计划不完整（内容缺少一项或多项的），或者服务计划无法满足采购需求的得0.5分；无服务计划的不得分。</w:t>
            </w:r>
          </w:p>
          <w:p w14:paraId="2EDDD24C">
            <w:pPr>
              <w:numPr>
                <w:ilvl w:val="0"/>
                <w:numId w:val="11"/>
              </w:numPr>
              <w:adjustRightInd w:val="0"/>
              <w:snapToGrid w:val="0"/>
              <w:spacing w:line="360" w:lineRule="auto"/>
              <w:ind w:left="0" w:leftChars="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应急维修保障措施（内容包括但不限应急维修程序、应急维修预案、应急维修人员配备等）进行综合评分：维修保障措施完整（涵盖上述全部内容）、详尽，完全满足项目要求的，得2分；维修保障措施基本完整（涵盖上述全部内容，但是内容不够详尽或者其中某项描述欠缺的），得1分；维修保障措施不完整（内容缺少一项或多项的），或者服务计划无法满足采购需求的得0.5分；无服务计划的不得分。</w:t>
            </w:r>
          </w:p>
          <w:p w14:paraId="24789839">
            <w:pPr>
              <w:numPr>
                <w:ilvl w:val="0"/>
                <w:numId w:val="0"/>
              </w:numPr>
              <w:adjustRightInd w:val="0"/>
              <w:snapToGrid w:val="0"/>
              <w:spacing w:line="360" w:lineRule="auto"/>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（3）投标人提供本地化服务承诺（具体实施方式在合同中约定）的得1分，未提供的得0分。</w:t>
            </w:r>
          </w:p>
        </w:tc>
      </w:tr>
      <w:tr w14:paraId="281D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14:paraId="6AE28E71">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3211BB11">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39AAC8C8">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培训方案（0-</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分）</w:t>
            </w:r>
          </w:p>
        </w:tc>
        <w:tc>
          <w:tcPr>
            <w:tcW w:w="3040" w:type="pct"/>
            <w:gridSpan w:val="2"/>
            <w:vAlign w:val="center"/>
          </w:tcPr>
          <w:p w14:paraId="27027CEC">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培训方案（3分）</w:t>
            </w:r>
          </w:p>
          <w:p w14:paraId="2F6F5A97">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培训方案（内容包括但不限于培训内容、培训形式、培训计划和培训效果、培训师资力量、课时安排、培训时间安排等）进行综合评分：培训方案全面（涵盖上述全部内容）、详尽，符合项目特点，针对性强，确保满足培训效果的得3分；培训方案不全面（内容缺少一项或多项的）、针对性不强，得1.5分；培训方案无法满足项目实际需求的得0.5分；方案未提供不得分。</w:t>
            </w:r>
          </w:p>
        </w:tc>
      </w:tr>
    </w:tbl>
    <w:p w14:paraId="31DBE988">
      <w:pPr>
        <w:autoSpaceDE w:val="0"/>
        <w:autoSpaceDN w:val="0"/>
        <w:adjustRightInd w:val="0"/>
        <w:spacing w:line="360" w:lineRule="auto"/>
        <w:ind w:right="-23" w:firstLine="480" w:firstLineChars="200"/>
        <w:jc w:val="left"/>
        <w:rPr>
          <w:rFonts w:ascii="宋体" w:hAnsi="宋体" w:cs="宋体"/>
          <w:color w:val="auto"/>
          <w:kern w:val="0"/>
          <w:sz w:val="24"/>
          <w:highlight w:val="none"/>
        </w:rPr>
      </w:pPr>
    </w:p>
    <w:p w14:paraId="21B54B27">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、本次招标采用综合评分法评标，投标文件满足招标文件全部实质性要求，且按照评标因素的量化指标评标得分最高的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为中标候选人的评标方法。评分相等时，以投标报价低的优先；投标报价也相等的，以技术评分得分高的优先。</w:t>
      </w:r>
    </w:p>
    <w:p w14:paraId="199D388E">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采购人已根据采购项目技术构成、产品价格比重等合理确定各标包核心产品，并在招标文件中载明。多家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提供的核心产品品牌相同的，按以下规定处理：提供相同品牌产品且通过资格审查、符合性审查的不同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参加同一合同项下投标的，按一家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计算，评标后得分最高的同品牌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获得中标人推荐资格；评标得分相同的，由采购人或者采购人委托评标委员会按照招标文件规定的方式确定一个</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获得中标人推荐资格，招标文件未规定的采取随机抽取方式确定，其他同品牌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不作为中标候选人。</w:t>
      </w:r>
      <w:bookmarkStart w:id="396" w:name="_Toc6135"/>
      <w:bookmarkStart w:id="397" w:name="_Toc4003"/>
      <w:bookmarkStart w:id="398" w:name="_Toc13454"/>
      <w:bookmarkStart w:id="399" w:name="_Toc30234"/>
      <w:bookmarkStart w:id="400" w:name="_Toc5920"/>
      <w:bookmarkStart w:id="401" w:name="_Toc30895"/>
      <w:bookmarkStart w:id="402" w:name="_Toc3406"/>
      <w:bookmarkStart w:id="403" w:name="_Toc26533"/>
      <w:bookmarkStart w:id="404" w:name="_Toc17219"/>
    </w:p>
    <w:p w14:paraId="63031538">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、评标标准</w:t>
      </w:r>
      <w:bookmarkEnd w:id="396"/>
      <w:bookmarkEnd w:id="397"/>
      <w:bookmarkEnd w:id="398"/>
      <w:bookmarkEnd w:id="399"/>
      <w:bookmarkEnd w:id="400"/>
      <w:bookmarkEnd w:id="401"/>
      <w:bookmarkEnd w:id="402"/>
      <w:bookmarkEnd w:id="403"/>
      <w:bookmarkEnd w:id="404"/>
    </w:p>
    <w:p w14:paraId="5011121E">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2.1</w:t>
      </w:r>
      <w:r>
        <w:rPr>
          <w:rFonts w:hint="eastAsia" w:ascii="宋体" w:hAnsi="宋体" w:cs="宋体"/>
          <w:color w:val="auto"/>
          <w:kern w:val="0"/>
          <w:sz w:val="24"/>
          <w:highlight w:val="none"/>
        </w:rPr>
        <w:t>初步评审标准</w:t>
      </w:r>
    </w:p>
    <w:p w14:paraId="7242A94A">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2.1.1 </w:t>
      </w:r>
      <w:r>
        <w:rPr>
          <w:rFonts w:hint="eastAsia" w:ascii="宋体" w:hAnsi="宋体" w:cs="宋体"/>
          <w:color w:val="auto"/>
          <w:kern w:val="0"/>
          <w:sz w:val="24"/>
          <w:highlight w:val="none"/>
        </w:rPr>
        <w:t>形式评审标准：见评标办法前附表；</w:t>
      </w:r>
    </w:p>
    <w:p w14:paraId="6B9B5464">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2.1.2 </w:t>
      </w:r>
      <w:r>
        <w:rPr>
          <w:rFonts w:hint="eastAsia" w:ascii="宋体" w:hAnsi="宋体" w:cs="宋体"/>
          <w:color w:val="auto"/>
          <w:kern w:val="0"/>
          <w:sz w:val="24"/>
          <w:highlight w:val="none"/>
        </w:rPr>
        <w:t>符合性评审标准：见评标办法前附表；</w:t>
      </w:r>
    </w:p>
    <w:p w14:paraId="3AA4EDF0">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05" w:name="_Toc10856"/>
      <w:bookmarkStart w:id="406" w:name="_Toc28336"/>
      <w:bookmarkStart w:id="407" w:name="_Toc5467"/>
      <w:bookmarkStart w:id="408" w:name="_Toc6724"/>
      <w:bookmarkStart w:id="409" w:name="_Toc17735"/>
      <w:bookmarkStart w:id="410" w:name="_Toc31651"/>
      <w:bookmarkStart w:id="411" w:name="_Toc27094"/>
      <w:bookmarkStart w:id="412" w:name="_Toc7259"/>
      <w:bookmarkStart w:id="413" w:name="_Toc29139"/>
      <w:r>
        <w:rPr>
          <w:rFonts w:ascii="宋体" w:hAnsi="宋体" w:cs="宋体"/>
          <w:color w:val="auto"/>
          <w:kern w:val="0"/>
          <w:sz w:val="24"/>
          <w:highlight w:val="none"/>
        </w:rPr>
        <w:t xml:space="preserve">2.2 </w:t>
      </w:r>
      <w:r>
        <w:rPr>
          <w:rFonts w:hint="eastAsia" w:ascii="宋体" w:hAnsi="宋体" w:cs="宋体"/>
          <w:color w:val="auto"/>
          <w:kern w:val="0"/>
          <w:sz w:val="24"/>
          <w:highlight w:val="none"/>
        </w:rPr>
        <w:t>分值构成与评分标准</w:t>
      </w:r>
      <w:bookmarkEnd w:id="405"/>
      <w:bookmarkEnd w:id="406"/>
      <w:bookmarkEnd w:id="407"/>
      <w:bookmarkEnd w:id="408"/>
      <w:bookmarkEnd w:id="409"/>
      <w:bookmarkEnd w:id="410"/>
      <w:bookmarkEnd w:id="411"/>
      <w:bookmarkEnd w:id="412"/>
      <w:bookmarkEnd w:id="413"/>
    </w:p>
    <w:p w14:paraId="164C933E">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2.2.1 </w:t>
      </w:r>
      <w:r>
        <w:rPr>
          <w:rFonts w:hint="eastAsia" w:ascii="宋体" w:hAnsi="宋体" w:cs="宋体"/>
          <w:color w:val="auto"/>
          <w:kern w:val="0"/>
          <w:sz w:val="24"/>
          <w:highlight w:val="none"/>
        </w:rPr>
        <w:t>分值构成</w:t>
      </w:r>
    </w:p>
    <w:p w14:paraId="759C57C0">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）投标报价：见评标办法前附表；</w:t>
      </w:r>
    </w:p>
    <w:p w14:paraId="3A350E1E">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）技术部分：见评标办法前附表；</w:t>
      </w:r>
    </w:p>
    <w:p w14:paraId="3A422002">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）商务部分：见评标办法前附表；</w:t>
      </w:r>
    </w:p>
    <w:p w14:paraId="3B8A4F4D">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2.2.2 </w:t>
      </w:r>
      <w:r>
        <w:rPr>
          <w:rFonts w:hint="eastAsia" w:ascii="宋体" w:hAnsi="宋体" w:cs="宋体"/>
          <w:color w:val="auto"/>
          <w:kern w:val="0"/>
          <w:sz w:val="24"/>
          <w:highlight w:val="none"/>
        </w:rPr>
        <w:t>评分标准</w:t>
      </w:r>
    </w:p>
    <w:p w14:paraId="328A20EF">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）投标报价评分标准：见评标办法前附表；</w:t>
      </w:r>
    </w:p>
    <w:p w14:paraId="1F95EABA">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）技术评分标准：见评标办法前附表；</w:t>
      </w:r>
    </w:p>
    <w:p w14:paraId="5BA91CD7">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）商务评分标准：见评标办法前附表；</w:t>
      </w:r>
    </w:p>
    <w:p w14:paraId="705FB572">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14" w:name="_Toc28724"/>
      <w:bookmarkStart w:id="415" w:name="_Toc5605"/>
      <w:bookmarkStart w:id="416" w:name="_Toc5149"/>
      <w:bookmarkStart w:id="417" w:name="_Toc21732"/>
      <w:bookmarkStart w:id="418" w:name="_Toc4338"/>
      <w:bookmarkStart w:id="419" w:name="_Toc1740"/>
      <w:bookmarkStart w:id="420" w:name="_Toc16356"/>
      <w:bookmarkStart w:id="421" w:name="_Toc26726"/>
      <w:bookmarkStart w:id="422" w:name="_Toc22175"/>
      <w:r>
        <w:rPr>
          <w:rFonts w:ascii="宋体" w:hAnsi="宋体" w:cs="宋体"/>
          <w:color w:val="auto"/>
          <w:kern w:val="0"/>
          <w:sz w:val="24"/>
          <w:highlight w:val="none"/>
        </w:rPr>
        <w:t>3</w:t>
      </w:r>
      <w:r>
        <w:rPr>
          <w:rFonts w:hint="eastAsia" w:ascii="宋体" w:hAnsi="宋体" w:cs="宋体"/>
          <w:color w:val="auto"/>
          <w:kern w:val="0"/>
          <w:sz w:val="24"/>
          <w:highlight w:val="none"/>
        </w:rPr>
        <w:t>、评标程序</w:t>
      </w:r>
      <w:bookmarkEnd w:id="414"/>
      <w:bookmarkEnd w:id="415"/>
      <w:bookmarkEnd w:id="416"/>
      <w:bookmarkEnd w:id="417"/>
      <w:bookmarkEnd w:id="418"/>
      <w:bookmarkEnd w:id="419"/>
      <w:bookmarkEnd w:id="420"/>
      <w:bookmarkEnd w:id="421"/>
      <w:bookmarkEnd w:id="422"/>
    </w:p>
    <w:p w14:paraId="4001D633">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23" w:name="_Toc5708"/>
      <w:bookmarkStart w:id="424" w:name="_Toc17957"/>
      <w:bookmarkStart w:id="425" w:name="_Toc9443"/>
      <w:bookmarkStart w:id="426" w:name="_Toc7036"/>
      <w:bookmarkStart w:id="427" w:name="_Toc10682"/>
      <w:bookmarkStart w:id="428" w:name="_Toc32083"/>
      <w:bookmarkStart w:id="429" w:name="_Toc1654"/>
      <w:bookmarkStart w:id="430" w:name="_Toc9613"/>
      <w:bookmarkStart w:id="431" w:name="_Toc18983"/>
      <w:r>
        <w:rPr>
          <w:rFonts w:ascii="宋体" w:hAnsi="宋体" w:cs="宋体"/>
          <w:color w:val="auto"/>
          <w:kern w:val="0"/>
          <w:sz w:val="24"/>
          <w:highlight w:val="none"/>
        </w:rPr>
        <w:t xml:space="preserve">3.1 </w:t>
      </w:r>
      <w:bookmarkEnd w:id="423"/>
      <w:bookmarkEnd w:id="424"/>
      <w:bookmarkEnd w:id="425"/>
      <w:bookmarkEnd w:id="426"/>
      <w:bookmarkEnd w:id="427"/>
      <w:bookmarkEnd w:id="428"/>
      <w:bookmarkEnd w:id="429"/>
      <w:bookmarkEnd w:id="430"/>
      <w:bookmarkEnd w:id="431"/>
      <w:r>
        <w:rPr>
          <w:rFonts w:hint="eastAsia" w:ascii="宋体" w:hAnsi="宋体" w:cs="宋体"/>
          <w:color w:val="auto"/>
          <w:kern w:val="0"/>
          <w:sz w:val="24"/>
          <w:highlight w:val="none"/>
        </w:rPr>
        <w:t>初步评审</w:t>
      </w:r>
    </w:p>
    <w:p w14:paraId="41EFF3B4">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评标委员会依据本章评标办法前附表规定的标准，对符合资格的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的投标文件进行初步评审，以确定其是否满足招标文件的实质性要求，有一项不符合评标标准的，评标委员会应当认定其投标无效。</w:t>
      </w:r>
    </w:p>
    <w:p w14:paraId="69DC25A6">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3.1.1 </w:t>
      </w:r>
      <w:r>
        <w:rPr>
          <w:rFonts w:hint="eastAsia" w:ascii="宋体" w:hAnsi="宋体" w:cs="宋体"/>
          <w:color w:val="auto"/>
          <w:kern w:val="0"/>
          <w:sz w:val="24"/>
          <w:highlight w:val="none"/>
        </w:rPr>
        <w:t>投标报价有算术错误及其他错误的，评标委员会按以下原则要求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对投标报价进行修正</w:t>
      </w:r>
    </w:p>
    <w:p w14:paraId="7A760A07">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32" w:name="_Toc26213"/>
      <w:bookmarkStart w:id="433" w:name="_Toc1221"/>
      <w:bookmarkStart w:id="434" w:name="_Toc22449"/>
      <w:bookmarkStart w:id="435" w:name="_Toc12089"/>
      <w:bookmarkStart w:id="436" w:name="_Toc30428"/>
      <w:bookmarkStart w:id="437" w:name="_Toc18705"/>
      <w:bookmarkStart w:id="438" w:name="_Toc10132"/>
      <w:bookmarkStart w:id="439" w:name="_Toc24391"/>
      <w:bookmarkStart w:id="440" w:name="_Toc13336"/>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）投标文件中开标一览表（报价表）内容与投标文件中相应内容不一致的，以开标一览表（报价表）为准；</w:t>
      </w:r>
    </w:p>
    <w:p w14:paraId="48CF3EA3">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）大写金额和小写金额不一致的，以大写金额为准；</w:t>
      </w:r>
    </w:p>
    <w:p w14:paraId="47FC7057">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）单价金额小数点或者百分比有明显错位的，以开标一览表的总价为准，并修改单价；</w:t>
      </w:r>
    </w:p>
    <w:p w14:paraId="00376212">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kern w:val="0"/>
          <w:sz w:val="24"/>
          <w:highlight w:val="none"/>
        </w:rPr>
        <w:t>）总价金额与按单价汇总金额不一致的，以单价金额计算结果为准。</w:t>
      </w:r>
    </w:p>
    <w:p w14:paraId="31444881">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）同时出现两种以上不一致的，按照前款规定的顺序修正。投标人不确认的，其投标无效。</w:t>
      </w:r>
    </w:p>
    <w:p w14:paraId="51A6F5DC">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 </w:t>
      </w:r>
      <w:r>
        <w:rPr>
          <w:rFonts w:hint="eastAsia" w:ascii="宋体" w:hAnsi="宋体" w:cs="宋体"/>
          <w:color w:val="auto"/>
          <w:kern w:val="0"/>
          <w:sz w:val="24"/>
          <w:highlight w:val="none"/>
        </w:rPr>
        <w:t>详细</w:t>
      </w:r>
      <w:bookmarkEnd w:id="432"/>
      <w:bookmarkEnd w:id="433"/>
      <w:bookmarkEnd w:id="434"/>
      <w:bookmarkEnd w:id="435"/>
      <w:bookmarkEnd w:id="436"/>
      <w:bookmarkEnd w:id="437"/>
      <w:bookmarkEnd w:id="438"/>
      <w:bookmarkEnd w:id="439"/>
      <w:bookmarkEnd w:id="440"/>
      <w:r>
        <w:rPr>
          <w:rFonts w:hint="eastAsia" w:ascii="宋体" w:hAnsi="宋体" w:cs="宋体"/>
          <w:color w:val="auto"/>
          <w:kern w:val="0"/>
          <w:sz w:val="24"/>
          <w:highlight w:val="none"/>
        </w:rPr>
        <w:t>评标</w:t>
      </w:r>
    </w:p>
    <w:p w14:paraId="5C8BAC6C">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3.2.1 </w:t>
      </w:r>
      <w:r>
        <w:rPr>
          <w:rFonts w:hint="eastAsia" w:ascii="宋体" w:hAnsi="宋体" w:cs="宋体"/>
          <w:color w:val="auto"/>
          <w:kern w:val="0"/>
          <w:sz w:val="24"/>
          <w:highlight w:val="none"/>
        </w:rPr>
        <w:t>评标委员会按本章规定的量化因素和分值进行打分，并计算出综合评估得分。</w:t>
      </w:r>
    </w:p>
    <w:p w14:paraId="2B742FA5">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3.2.2 </w:t>
      </w:r>
      <w:r>
        <w:rPr>
          <w:rFonts w:hint="eastAsia" w:ascii="宋体" w:hAnsi="宋体" w:cs="宋体"/>
          <w:color w:val="auto"/>
          <w:kern w:val="0"/>
          <w:sz w:val="24"/>
          <w:highlight w:val="none"/>
        </w:rPr>
        <w:t>评分分值计算保留小数点后两位，小数点后第三位“四舍五入”。</w:t>
      </w:r>
    </w:p>
    <w:p w14:paraId="4A4B718D">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3.2.3 </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综合得分等于所有评委最终打分的算数平均值。</w:t>
      </w:r>
    </w:p>
    <w:p w14:paraId="0671477E">
      <w:pPr>
        <w:autoSpaceDE w:val="0"/>
        <w:autoSpaceDN w:val="0"/>
        <w:adjustRightInd w:val="0"/>
        <w:spacing w:line="360" w:lineRule="auto"/>
        <w:ind w:right="-23"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 xml:space="preserve">3.2.4 </w:t>
      </w:r>
      <w:r>
        <w:rPr>
          <w:rFonts w:hint="eastAsia" w:ascii="宋体" w:hAnsi="宋体" w:cs="宋体"/>
          <w:color w:val="auto"/>
          <w:kern w:val="0"/>
          <w:sz w:val="24"/>
          <w:highlight w:val="none"/>
        </w:rPr>
        <w:t>评标委员会认为投标人的报价明显低于其他通过符合性审查投标人的报价，有可能影响产品质量或者不能诚信履约的，应当通过平台向投标人发出问询，在合理时间内提供书面说明，必要时提交相关证明材料；投标人不能证明其报价合理性的，评标委员会应当将其作为无效投标处理。</w:t>
      </w:r>
    </w:p>
    <w:p w14:paraId="69A477C4">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41" w:name="_Toc18083"/>
      <w:bookmarkStart w:id="442" w:name="_Toc11785"/>
      <w:bookmarkStart w:id="443" w:name="_Toc18381"/>
      <w:bookmarkStart w:id="444" w:name="_Toc5640"/>
      <w:bookmarkStart w:id="445" w:name="_Toc9150"/>
      <w:bookmarkStart w:id="446" w:name="_Toc11722"/>
      <w:bookmarkStart w:id="447" w:name="_Toc7845"/>
      <w:bookmarkStart w:id="448" w:name="_Toc2162"/>
      <w:bookmarkStart w:id="449" w:name="_Toc6048"/>
      <w:r>
        <w:rPr>
          <w:rFonts w:ascii="宋体" w:hAnsi="宋体" w:cs="宋体"/>
          <w:color w:val="auto"/>
          <w:kern w:val="0"/>
          <w:sz w:val="24"/>
          <w:highlight w:val="none"/>
        </w:rPr>
        <w:t xml:space="preserve">3.3 </w:t>
      </w:r>
      <w:r>
        <w:rPr>
          <w:rFonts w:hint="eastAsia" w:ascii="宋体" w:hAnsi="宋体" w:cs="宋体"/>
          <w:color w:val="auto"/>
          <w:kern w:val="0"/>
          <w:sz w:val="24"/>
          <w:highlight w:val="none"/>
        </w:rPr>
        <w:t>投标文件的澄清</w:t>
      </w:r>
      <w:bookmarkEnd w:id="441"/>
      <w:bookmarkEnd w:id="442"/>
      <w:bookmarkEnd w:id="443"/>
      <w:bookmarkEnd w:id="444"/>
      <w:bookmarkEnd w:id="445"/>
      <w:bookmarkEnd w:id="446"/>
      <w:bookmarkEnd w:id="447"/>
      <w:bookmarkEnd w:id="448"/>
      <w:bookmarkEnd w:id="449"/>
    </w:p>
    <w:p w14:paraId="76C1912E">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3.3.1 </w:t>
      </w:r>
      <w:r>
        <w:rPr>
          <w:rFonts w:hint="eastAsia" w:ascii="宋体" w:hAnsi="宋体" w:cs="宋体"/>
          <w:color w:val="auto"/>
          <w:kern w:val="0"/>
          <w:sz w:val="24"/>
          <w:highlight w:val="none"/>
        </w:rPr>
        <w:t>在评标过程中，评标委员会可以书面形式要求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文件中含义不明确、对同类问题表述不一致或者有明显文字和计算错误的内容作必要的澄清、说明或补正。澄清、说明或补正应以书面方式进行，并加盖公章，或者由法定代表人或其授权的代表签字。评标委员会不接受</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主动提出的澄清、说明或补正。</w:t>
      </w:r>
    </w:p>
    <w:p w14:paraId="730E5687">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3.3.2 </w:t>
      </w:r>
      <w:r>
        <w:rPr>
          <w:rFonts w:hint="eastAsia" w:ascii="宋体" w:hAnsi="宋体" w:cs="宋体"/>
          <w:color w:val="auto"/>
          <w:kern w:val="0"/>
          <w:sz w:val="24"/>
          <w:highlight w:val="none"/>
        </w:rPr>
        <w:t>澄清、说明或补正不得超出投标文件的范围且不得改变投标文件的实质性内容，并构成投标文件的组成部分。</w:t>
      </w:r>
    </w:p>
    <w:p w14:paraId="53C6A013">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3.3.3</w:t>
      </w:r>
      <w:r>
        <w:rPr>
          <w:rFonts w:hint="eastAsia" w:ascii="宋体" w:hAnsi="宋体" w:cs="宋体"/>
          <w:color w:val="auto"/>
          <w:kern w:val="0"/>
          <w:sz w:val="24"/>
          <w:highlight w:val="none"/>
        </w:rPr>
        <w:t>评标委员会对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提交的澄清、说明或补正有疑问的，可以要求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进一步澄清、说明或补正，直至满足评标委员会的要求。</w:t>
      </w:r>
    </w:p>
    <w:p w14:paraId="343B3C88">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50" w:name="_Toc25857"/>
      <w:bookmarkStart w:id="451" w:name="_Toc7956"/>
      <w:bookmarkStart w:id="452" w:name="_Toc12060"/>
      <w:bookmarkStart w:id="453" w:name="_Toc10336"/>
      <w:bookmarkStart w:id="454" w:name="_Toc28041"/>
      <w:bookmarkStart w:id="455" w:name="_Toc27845"/>
      <w:bookmarkStart w:id="456" w:name="_Toc19426"/>
      <w:bookmarkStart w:id="457" w:name="_Toc12108"/>
      <w:bookmarkStart w:id="458" w:name="_Toc19756"/>
      <w:r>
        <w:rPr>
          <w:rFonts w:ascii="宋体" w:hAnsi="宋体" w:cs="宋体"/>
          <w:color w:val="auto"/>
          <w:kern w:val="0"/>
          <w:sz w:val="24"/>
          <w:highlight w:val="none"/>
        </w:rPr>
        <w:t xml:space="preserve">3.4 </w:t>
      </w:r>
      <w:r>
        <w:rPr>
          <w:rFonts w:hint="eastAsia" w:ascii="宋体" w:hAnsi="宋体" w:cs="宋体"/>
          <w:color w:val="auto"/>
          <w:kern w:val="0"/>
          <w:sz w:val="24"/>
          <w:highlight w:val="none"/>
        </w:rPr>
        <w:t>评标结果</w:t>
      </w:r>
      <w:bookmarkEnd w:id="450"/>
      <w:bookmarkEnd w:id="451"/>
      <w:bookmarkEnd w:id="452"/>
      <w:bookmarkEnd w:id="453"/>
      <w:bookmarkEnd w:id="454"/>
      <w:bookmarkEnd w:id="455"/>
      <w:bookmarkEnd w:id="456"/>
      <w:bookmarkEnd w:id="457"/>
      <w:bookmarkEnd w:id="458"/>
    </w:p>
    <w:p w14:paraId="3E9E7FC2">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评标委员会完成评标后，采购代理机构应当在评标结束后</w:t>
      </w:r>
      <w:r>
        <w:rPr>
          <w:rFonts w:ascii="宋体" w:hAnsi="宋体" w:cs="宋体"/>
          <w:color w:val="auto"/>
          <w:kern w:val="0"/>
          <w:sz w:val="24"/>
          <w:highlight w:val="none"/>
        </w:rPr>
        <w:t>2</w:t>
      </w:r>
      <w:r>
        <w:rPr>
          <w:rFonts w:hint="eastAsia" w:ascii="宋体" w:hAnsi="宋体" w:cs="宋体"/>
          <w:color w:val="auto"/>
          <w:kern w:val="0"/>
          <w:sz w:val="24"/>
          <w:highlight w:val="none"/>
        </w:rPr>
        <w:t>个工作日内将评标报告送采购人。</w:t>
      </w:r>
    </w:p>
    <w:p w14:paraId="228CB22A">
      <w:pPr>
        <w:pStyle w:val="2"/>
        <w:rPr>
          <w:rFonts w:ascii="宋体" w:cs="宋体"/>
          <w:color w:val="auto"/>
          <w:szCs w:val="32"/>
          <w:highlight w:val="none"/>
        </w:rPr>
      </w:pPr>
      <w:bookmarkStart w:id="459" w:name="_Toc40112140"/>
      <w:bookmarkStart w:id="460" w:name="_Toc312133549"/>
      <w:r>
        <w:rPr>
          <w:rFonts w:ascii="宋体" w:cs="宋体"/>
          <w:color w:val="auto"/>
          <w:szCs w:val="32"/>
          <w:highlight w:val="none"/>
        </w:rPr>
        <w:br w:type="page"/>
      </w:r>
      <w:bookmarkStart w:id="461" w:name="_Toc27357"/>
      <w:bookmarkStart w:id="462" w:name="_Toc17148"/>
      <w:bookmarkStart w:id="463" w:name="_Toc16056"/>
      <w:r>
        <w:rPr>
          <w:rFonts w:hint="eastAsia" w:ascii="宋体" w:hAnsi="宋体" w:cs="宋体"/>
          <w:color w:val="auto"/>
          <w:szCs w:val="32"/>
          <w:highlight w:val="none"/>
        </w:rPr>
        <w:t>第五章</w:t>
      </w:r>
      <w:r>
        <w:rPr>
          <w:rFonts w:ascii="宋体" w:hAnsi="宋体" w:cs="宋体"/>
          <w:color w:val="auto"/>
          <w:szCs w:val="32"/>
          <w:highlight w:val="none"/>
        </w:rPr>
        <w:t xml:space="preserve">  </w:t>
      </w:r>
      <w:r>
        <w:rPr>
          <w:rFonts w:hint="eastAsia" w:ascii="宋体" w:hAnsi="宋体" w:cs="宋体"/>
          <w:color w:val="auto"/>
          <w:szCs w:val="32"/>
          <w:highlight w:val="none"/>
        </w:rPr>
        <w:t>合同</w:t>
      </w:r>
      <w:bookmarkEnd w:id="459"/>
      <w:bookmarkEnd w:id="461"/>
      <w:bookmarkEnd w:id="462"/>
      <w:bookmarkEnd w:id="463"/>
    </w:p>
    <w:bookmarkEnd w:id="460"/>
    <w:p w14:paraId="7E25B143">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（以双方签订为准）</w:t>
      </w:r>
    </w:p>
    <w:p w14:paraId="0018A133">
      <w:pPr>
        <w:widowControl/>
        <w:spacing w:line="360" w:lineRule="auto"/>
        <w:jc w:val="center"/>
        <w:rPr>
          <w:rFonts w:ascii="宋体" w:hAnsi="宋体" w:cs="宋体"/>
          <w:b/>
          <w:bCs/>
          <w:color w:val="auto"/>
          <w:sz w:val="52"/>
          <w:szCs w:val="52"/>
          <w:highlight w:val="none"/>
        </w:rPr>
      </w:pPr>
      <w:bookmarkStart w:id="464" w:name="_Toc29143"/>
      <w:r>
        <w:rPr>
          <w:rFonts w:hint="eastAsia" w:ascii="宋体" w:hAnsi="宋体" w:cs="宋体"/>
          <w:b/>
          <w:bCs/>
          <w:color w:val="auto"/>
          <w:sz w:val="52"/>
          <w:szCs w:val="52"/>
          <w:highlight w:val="none"/>
        </w:rPr>
        <w:t>合  同  书</w:t>
      </w:r>
    </w:p>
    <w:p w14:paraId="520F2901">
      <w:pPr>
        <w:widowControl/>
        <w:spacing w:line="360" w:lineRule="auto"/>
        <w:jc w:val="center"/>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p w14:paraId="0C18220C">
      <w:pPr>
        <w:widowControl/>
        <w:spacing w:line="360" w:lineRule="auto"/>
        <w:jc w:val="center"/>
        <w:rPr>
          <w:rFonts w:hint="default" w:ascii="宋体" w:eastAsia="宋体" w:cs="宋体"/>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合同编号：</w:t>
      </w:r>
      <w:r>
        <w:rPr>
          <w:rFonts w:hint="eastAsia" w:ascii="宋体" w:hAnsi="宋体" w:cs="宋体"/>
          <w:color w:val="auto"/>
          <w:sz w:val="28"/>
          <w:szCs w:val="28"/>
          <w:highlight w:val="none"/>
          <w:u w:val="single"/>
          <w:lang w:val="en-US" w:eastAsia="zh-CN"/>
        </w:rPr>
        <w:t xml:space="preserve">          </w:t>
      </w:r>
    </w:p>
    <w:p w14:paraId="3E6B5F9F">
      <w:pPr>
        <w:widowControl/>
        <w:spacing w:line="360" w:lineRule="auto"/>
        <w:jc w:val="center"/>
        <w:rPr>
          <w:rFonts w:ascii="宋体" w:cs="宋体"/>
          <w:color w:val="auto"/>
          <w:szCs w:val="21"/>
          <w:highlight w:val="none"/>
        </w:rPr>
      </w:pPr>
    </w:p>
    <w:p w14:paraId="76DB836B">
      <w:pPr>
        <w:pStyle w:val="12"/>
        <w:spacing w:line="360" w:lineRule="auto"/>
        <w:ind w:left="0" w:leftChars="0" w:right="1470"/>
        <w:rPr>
          <w:rFonts w:ascii="宋体" w:cs="宋体"/>
          <w:color w:val="auto"/>
          <w:sz w:val="32"/>
          <w:szCs w:val="32"/>
          <w:highlight w:val="none"/>
        </w:rPr>
      </w:pPr>
      <w:r>
        <w:rPr>
          <w:rFonts w:hint="eastAsia" w:ascii="宋体" w:hAnsi="宋体" w:cs="宋体"/>
          <w:color w:val="auto"/>
          <w:w w:val="90"/>
          <w:sz w:val="44"/>
          <w:szCs w:val="44"/>
          <w:highlight w:val="none"/>
        </w:rPr>
        <w:t>项目名称：</w:t>
      </w:r>
      <w:r>
        <w:rPr>
          <w:rFonts w:hint="eastAsia" w:ascii="宋体" w:hAnsi="宋体" w:cs="宋体"/>
          <w:color w:val="auto"/>
          <w:w w:val="90"/>
          <w:sz w:val="44"/>
          <w:szCs w:val="44"/>
          <w:highlight w:val="none"/>
          <w:lang w:eastAsia="zh-CN"/>
        </w:rPr>
        <w:t>平顶山市消防救援支队河南省消防救援总队“自然灾害应急能力提升工程”平顶山支队装备建设（第二批）项目</w:t>
      </w:r>
    </w:p>
    <w:p w14:paraId="7FFE64BD">
      <w:pPr>
        <w:pStyle w:val="12"/>
        <w:spacing w:line="360" w:lineRule="auto"/>
        <w:ind w:left="0" w:leftChars="0" w:right="1470"/>
        <w:rPr>
          <w:rFonts w:ascii="宋体" w:cs="宋体"/>
          <w:color w:val="auto"/>
          <w:sz w:val="32"/>
          <w:szCs w:val="32"/>
          <w:highlight w:val="none"/>
        </w:rPr>
      </w:pPr>
    </w:p>
    <w:p w14:paraId="7E48D566">
      <w:pPr>
        <w:pStyle w:val="12"/>
        <w:spacing w:line="360" w:lineRule="auto"/>
        <w:ind w:left="0" w:leftChars="0" w:right="1470"/>
        <w:rPr>
          <w:rFonts w:ascii="宋体" w:cs="宋体"/>
          <w:color w:val="auto"/>
          <w:sz w:val="32"/>
          <w:szCs w:val="32"/>
          <w:highlight w:val="none"/>
        </w:rPr>
      </w:pPr>
    </w:p>
    <w:p w14:paraId="4E7A98B1">
      <w:pPr>
        <w:pStyle w:val="12"/>
        <w:spacing w:line="360" w:lineRule="auto"/>
        <w:ind w:left="0" w:leftChars="0" w:right="1470"/>
        <w:rPr>
          <w:rFonts w:ascii="宋体" w:cs="宋体"/>
          <w:color w:val="auto"/>
          <w:sz w:val="32"/>
          <w:szCs w:val="32"/>
          <w:highlight w:val="none"/>
        </w:rPr>
      </w:pPr>
    </w:p>
    <w:p w14:paraId="31F9B8BD">
      <w:pPr>
        <w:pStyle w:val="12"/>
        <w:spacing w:line="360" w:lineRule="auto"/>
        <w:ind w:left="0" w:leftChars="0" w:right="1470"/>
        <w:rPr>
          <w:rFonts w:ascii="宋体" w:cs="宋体"/>
          <w:color w:val="auto"/>
          <w:sz w:val="32"/>
          <w:szCs w:val="32"/>
          <w:highlight w:val="none"/>
        </w:rPr>
      </w:pPr>
    </w:p>
    <w:p w14:paraId="15548C54">
      <w:pPr>
        <w:widowControl/>
        <w:spacing w:line="360" w:lineRule="auto"/>
        <w:rPr>
          <w:rFonts w:ascii="宋体" w:cs="宋体"/>
          <w:color w:val="auto"/>
          <w:sz w:val="32"/>
          <w:szCs w:val="32"/>
          <w:highlight w:val="none"/>
          <w:u w:val="singl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甲方（需方）：</w:t>
      </w:r>
    </w:p>
    <w:p w14:paraId="3033C8B6">
      <w:pPr>
        <w:widowControl/>
        <w:spacing w:line="360" w:lineRule="auto"/>
        <w:rPr>
          <w:rFonts w:ascii="宋体" w:cs="宋体"/>
          <w:color w:val="auto"/>
          <w:sz w:val="32"/>
          <w:szCs w:val="32"/>
          <w:highlight w:val="none"/>
        </w:rPr>
      </w:pPr>
    </w:p>
    <w:p w14:paraId="3F34B6C2">
      <w:pPr>
        <w:widowControl/>
        <w:spacing w:line="360" w:lineRule="auto"/>
        <w:rPr>
          <w:rFonts w:ascii="宋体" w:cs="宋体"/>
          <w:color w:val="auto"/>
          <w:sz w:val="32"/>
          <w:szCs w:val="32"/>
          <w:highlight w:val="none"/>
          <w:u w:val="singl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 xml:space="preserve">乙方（供方）： </w:t>
      </w:r>
    </w:p>
    <w:p w14:paraId="447E3A8C">
      <w:pPr>
        <w:widowControl/>
        <w:spacing w:line="360" w:lineRule="auto"/>
        <w:jc w:val="right"/>
        <w:rPr>
          <w:rFonts w:ascii="宋体" w:cs="宋体"/>
          <w:color w:val="auto"/>
          <w:sz w:val="32"/>
          <w:szCs w:val="32"/>
          <w:highlight w:val="none"/>
        </w:rPr>
      </w:pPr>
    </w:p>
    <w:p w14:paraId="4CCBFBC7">
      <w:pPr>
        <w:widowControl/>
        <w:spacing w:line="360" w:lineRule="auto"/>
        <w:rPr>
          <w:rFonts w:ascii="宋体" w:cs="宋体"/>
          <w:color w:val="auto"/>
          <w:sz w:val="32"/>
          <w:szCs w:val="32"/>
          <w:highlight w:val="none"/>
          <w:u w:val="singl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合同签订日期：二〇二</w:t>
      </w:r>
      <w:r>
        <w:rPr>
          <w:rFonts w:hint="eastAsia" w:ascii="宋体" w:hAnsi="宋体" w:cs="宋体"/>
          <w:color w:val="auto"/>
          <w:sz w:val="32"/>
          <w:szCs w:val="32"/>
          <w:highlight w:val="none"/>
          <w:lang w:val="en-US" w:eastAsia="zh-CN"/>
        </w:rPr>
        <w:t>四</w:t>
      </w:r>
      <w:r>
        <w:rPr>
          <w:rFonts w:hint="eastAsia" w:ascii="宋体" w:hAnsi="宋体" w:cs="宋体"/>
          <w:color w:val="auto"/>
          <w:sz w:val="32"/>
          <w:szCs w:val="32"/>
          <w:highlight w:val="none"/>
        </w:rPr>
        <w:t>年</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日</w:t>
      </w:r>
      <w:r>
        <w:rPr>
          <w:rFonts w:ascii="宋体" w:hAnsi="宋体" w:cs="宋体"/>
          <w:color w:val="auto"/>
          <w:sz w:val="32"/>
          <w:szCs w:val="32"/>
          <w:highlight w:val="none"/>
        </w:rPr>
        <w:t xml:space="preserve">   </w:t>
      </w:r>
    </w:p>
    <w:p w14:paraId="4752DEE0">
      <w:pPr>
        <w:spacing w:line="384" w:lineRule="auto"/>
        <w:ind w:firstLine="520"/>
        <w:jc w:val="both"/>
        <w:rPr>
          <w:rFonts w:hint="eastAsia" w:ascii="宋体" w:hAnsi="宋体" w:eastAsia="宋体"/>
          <w:color w:val="000000"/>
          <w:sz w:val="27"/>
          <w:highlight w:val="none"/>
        </w:rPr>
      </w:pPr>
    </w:p>
    <w:p w14:paraId="73973C4B">
      <w:pPr>
        <w:spacing w:line="384" w:lineRule="auto"/>
        <w:ind w:firstLine="520"/>
        <w:jc w:val="both"/>
        <w:rPr>
          <w:sz w:val="24"/>
          <w:szCs w:val="24"/>
          <w:highlight w:val="none"/>
        </w:rPr>
      </w:pPr>
      <w:r>
        <w:rPr>
          <w:rFonts w:hint="eastAsia" w:ascii="宋体" w:hAnsi="宋体" w:eastAsia="宋体"/>
          <w:color w:val="000000"/>
          <w:sz w:val="24"/>
          <w:szCs w:val="24"/>
          <w:highlight w:val="none"/>
        </w:rPr>
        <w:t>甲方：</w:t>
      </w:r>
      <w:r>
        <w:rPr>
          <w:rFonts w:hint="eastAsia" w:ascii="宋体" w:hAnsi="宋体" w:eastAsia="宋体"/>
          <w:color w:val="000000"/>
          <w:sz w:val="24"/>
          <w:szCs w:val="24"/>
          <w:highlight w:val="none"/>
          <w:u w:val="single"/>
        </w:rPr>
        <w:t xml:space="preserve">         </w:t>
      </w:r>
    </w:p>
    <w:p w14:paraId="353DDD40">
      <w:pPr>
        <w:spacing w:line="384" w:lineRule="auto"/>
        <w:ind w:firstLine="520"/>
        <w:jc w:val="both"/>
        <w:rPr>
          <w:sz w:val="24"/>
          <w:szCs w:val="24"/>
          <w:highlight w:val="none"/>
        </w:rPr>
      </w:pPr>
      <w:r>
        <w:rPr>
          <w:rFonts w:hint="eastAsia" w:ascii="宋体" w:hAnsi="宋体" w:eastAsia="宋体"/>
          <w:color w:val="000000"/>
          <w:sz w:val="24"/>
          <w:szCs w:val="24"/>
          <w:highlight w:val="none"/>
        </w:rPr>
        <w:t>乙方：</w:t>
      </w:r>
      <w:r>
        <w:rPr>
          <w:rFonts w:hint="eastAsia" w:ascii="宋体" w:hAnsi="宋体" w:eastAsia="宋体"/>
          <w:color w:val="000000"/>
          <w:sz w:val="24"/>
          <w:szCs w:val="24"/>
          <w:highlight w:val="none"/>
          <w:u w:val="single"/>
        </w:rPr>
        <w:t xml:space="preserve">         </w:t>
      </w:r>
    </w:p>
    <w:p w14:paraId="2153D3E2">
      <w:pPr>
        <w:spacing w:line="384" w:lineRule="auto"/>
        <w:ind w:firstLine="520"/>
        <w:jc w:val="both"/>
        <w:rPr>
          <w:sz w:val="24"/>
          <w:szCs w:val="24"/>
          <w:highlight w:val="none"/>
        </w:rPr>
      </w:pPr>
      <w:r>
        <w:rPr>
          <w:rFonts w:hint="eastAsia" w:ascii="宋体" w:hAnsi="宋体" w:eastAsia="宋体"/>
          <w:color w:val="000000"/>
          <w:sz w:val="24"/>
          <w:szCs w:val="24"/>
          <w:highlight w:val="none"/>
        </w:rPr>
        <w:t>为了保护供需各方的合法权益，甲乙双方依照《中华人民共和国民法典》有关条款，就</w:t>
      </w:r>
      <w:r>
        <w:rPr>
          <w:rFonts w:hint="eastAsia" w:ascii="宋体" w:hAnsi="宋体"/>
          <w:color w:val="000000"/>
          <w:sz w:val="24"/>
          <w:szCs w:val="24"/>
          <w:highlight w:val="none"/>
          <w:u w:val="single"/>
          <w:lang w:val="en-US" w:eastAsia="zh-CN"/>
        </w:rPr>
        <w:t xml:space="preserve">          项目 </w:t>
      </w:r>
      <w:r>
        <w:rPr>
          <w:rFonts w:hint="eastAsia" w:ascii="宋体" w:hAnsi="宋体" w:eastAsia="宋体"/>
          <w:color w:val="000000"/>
          <w:sz w:val="24"/>
          <w:szCs w:val="24"/>
          <w:highlight w:val="none"/>
        </w:rPr>
        <w:t>（项目编号：</w:t>
      </w:r>
      <w:r>
        <w:rPr>
          <w:rFonts w:hint="eastAsia" w:ascii="宋体" w:hAnsi="宋体"/>
          <w:color w:val="000000"/>
          <w:sz w:val="24"/>
          <w:szCs w:val="24"/>
          <w:highlight w:val="none"/>
          <w:lang w:val="en-US" w:eastAsia="zh-CN"/>
        </w:rPr>
        <w:t xml:space="preserve">  </w:t>
      </w:r>
      <w:r>
        <w:rPr>
          <w:rFonts w:hint="eastAsia" w:ascii="宋体" w:hAnsi="宋体" w:eastAsia="宋体"/>
          <w:color w:val="000000"/>
          <w:sz w:val="24"/>
          <w:szCs w:val="24"/>
          <w:highlight w:val="none"/>
        </w:rPr>
        <w:t>）第</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包中，乙方向甲方提供的供货及相关服务，经甲乙双方协商一致，签订本合同，共同遵守执行。</w:t>
      </w:r>
    </w:p>
    <w:p w14:paraId="62EBFF46">
      <w:pPr>
        <w:spacing w:line="384" w:lineRule="auto"/>
        <w:ind w:firstLine="520"/>
        <w:jc w:val="both"/>
        <w:rPr>
          <w:sz w:val="24"/>
          <w:szCs w:val="24"/>
          <w:highlight w:val="none"/>
        </w:rPr>
      </w:pP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．合同货物清单</w:t>
      </w:r>
    </w:p>
    <w:tbl>
      <w:tblPr>
        <w:tblStyle w:val="23"/>
        <w:tblW w:w="941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649"/>
        <w:gridCol w:w="1754"/>
        <w:gridCol w:w="1350"/>
        <w:gridCol w:w="631"/>
        <w:gridCol w:w="596"/>
        <w:gridCol w:w="701"/>
        <w:gridCol w:w="1297"/>
        <w:gridCol w:w="1227"/>
        <w:gridCol w:w="1211"/>
      </w:tblGrid>
      <w:tr w14:paraId="612ACD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19"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721C830C">
            <w:pPr>
              <w:spacing w:line="336" w:lineRule="auto"/>
              <w:jc w:val="center"/>
              <w:rPr>
                <w:sz w:val="24"/>
                <w:szCs w:val="24"/>
                <w:highlight w:val="none"/>
              </w:rPr>
            </w:pPr>
            <w:r>
              <w:rPr>
                <w:rFonts w:hint="eastAsia" w:ascii="宋体" w:hAnsi="宋体" w:eastAsia="宋体"/>
                <w:color w:val="000000"/>
                <w:sz w:val="24"/>
                <w:szCs w:val="24"/>
                <w:highlight w:val="none"/>
              </w:rPr>
              <w:t>序号</w:t>
            </w:r>
          </w:p>
        </w:tc>
        <w:tc>
          <w:tcPr>
            <w:tcW w:w="1754" w:type="dxa"/>
            <w:tcBorders>
              <w:top w:val="single" w:color="000000" w:sz="4" w:space="0"/>
              <w:left w:val="single" w:color="000000" w:sz="4" w:space="0"/>
              <w:bottom w:val="single" w:color="000000" w:sz="4" w:space="0"/>
              <w:right w:val="single" w:color="000000" w:sz="4" w:space="0"/>
            </w:tcBorders>
            <w:vAlign w:val="center"/>
          </w:tcPr>
          <w:p w14:paraId="5D802C54">
            <w:pPr>
              <w:spacing w:line="336" w:lineRule="auto"/>
              <w:jc w:val="center"/>
              <w:rPr>
                <w:sz w:val="24"/>
                <w:szCs w:val="24"/>
                <w:highlight w:val="none"/>
              </w:rPr>
            </w:pPr>
            <w:r>
              <w:rPr>
                <w:rFonts w:hint="eastAsia" w:ascii="宋体" w:hAnsi="宋体" w:eastAsia="宋体"/>
                <w:color w:val="000000"/>
                <w:sz w:val="24"/>
                <w:szCs w:val="24"/>
                <w:highlight w:val="none"/>
              </w:rPr>
              <w:t>货物名称</w:t>
            </w:r>
          </w:p>
        </w:tc>
        <w:tc>
          <w:tcPr>
            <w:tcW w:w="1350" w:type="dxa"/>
            <w:tcBorders>
              <w:top w:val="single" w:color="000000" w:sz="4" w:space="0"/>
              <w:left w:val="single" w:color="000000" w:sz="4" w:space="0"/>
              <w:bottom w:val="single" w:color="000000" w:sz="4" w:space="0"/>
              <w:right w:val="single" w:color="000000" w:sz="4" w:space="0"/>
            </w:tcBorders>
            <w:vAlign w:val="center"/>
          </w:tcPr>
          <w:p w14:paraId="0269D352">
            <w:pPr>
              <w:spacing w:line="336" w:lineRule="auto"/>
              <w:jc w:val="center"/>
              <w:rPr>
                <w:sz w:val="24"/>
                <w:szCs w:val="24"/>
                <w:highlight w:val="none"/>
              </w:rPr>
            </w:pPr>
            <w:r>
              <w:rPr>
                <w:rFonts w:hint="eastAsia" w:ascii="宋体" w:hAnsi="宋体" w:eastAsia="宋体"/>
                <w:color w:val="000000"/>
                <w:sz w:val="24"/>
                <w:szCs w:val="24"/>
                <w:highlight w:val="none"/>
              </w:rPr>
              <w:t>产地厂家</w:t>
            </w:r>
          </w:p>
        </w:tc>
        <w:tc>
          <w:tcPr>
            <w:tcW w:w="631" w:type="dxa"/>
            <w:tcBorders>
              <w:top w:val="single" w:color="000000" w:sz="4" w:space="0"/>
              <w:left w:val="single" w:color="000000" w:sz="4" w:space="0"/>
              <w:bottom w:val="single" w:color="000000" w:sz="4" w:space="0"/>
              <w:right w:val="single" w:color="000000" w:sz="4" w:space="0"/>
            </w:tcBorders>
            <w:vAlign w:val="center"/>
          </w:tcPr>
          <w:p w14:paraId="63379B3C">
            <w:pPr>
              <w:spacing w:line="384" w:lineRule="auto"/>
              <w:jc w:val="center"/>
              <w:rPr>
                <w:sz w:val="24"/>
                <w:szCs w:val="24"/>
                <w:highlight w:val="none"/>
              </w:rPr>
            </w:pPr>
            <w:r>
              <w:rPr>
                <w:rFonts w:hint="eastAsia" w:ascii="宋体" w:hAnsi="宋体" w:eastAsia="宋体"/>
                <w:color w:val="000000"/>
                <w:sz w:val="24"/>
                <w:szCs w:val="24"/>
                <w:highlight w:val="none"/>
              </w:rPr>
              <w:t>单位</w:t>
            </w:r>
          </w:p>
        </w:tc>
        <w:tc>
          <w:tcPr>
            <w:tcW w:w="596" w:type="dxa"/>
            <w:tcBorders>
              <w:top w:val="single" w:color="000000" w:sz="4" w:space="0"/>
              <w:left w:val="single" w:color="000000" w:sz="4" w:space="0"/>
              <w:bottom w:val="single" w:color="000000" w:sz="4" w:space="0"/>
              <w:right w:val="single" w:color="000000" w:sz="4" w:space="0"/>
            </w:tcBorders>
            <w:vAlign w:val="center"/>
          </w:tcPr>
          <w:p w14:paraId="048CF81E">
            <w:pPr>
              <w:spacing w:line="384" w:lineRule="auto"/>
              <w:jc w:val="center"/>
              <w:rPr>
                <w:sz w:val="24"/>
                <w:szCs w:val="24"/>
                <w:highlight w:val="none"/>
              </w:rPr>
            </w:pPr>
            <w:r>
              <w:rPr>
                <w:rFonts w:hint="eastAsia" w:ascii="宋体" w:hAnsi="宋体" w:eastAsia="宋体"/>
                <w:color w:val="000000"/>
                <w:sz w:val="24"/>
                <w:szCs w:val="24"/>
                <w:highlight w:val="none"/>
              </w:rPr>
              <w:t>数量</w:t>
            </w:r>
          </w:p>
        </w:tc>
        <w:tc>
          <w:tcPr>
            <w:tcW w:w="701" w:type="dxa"/>
            <w:tcBorders>
              <w:top w:val="single" w:color="000000" w:sz="4" w:space="0"/>
              <w:left w:val="single" w:color="000000" w:sz="4" w:space="0"/>
              <w:bottom w:val="single" w:color="000000" w:sz="4" w:space="0"/>
              <w:right w:val="single" w:color="000000" w:sz="4" w:space="0"/>
            </w:tcBorders>
            <w:vAlign w:val="center"/>
          </w:tcPr>
          <w:p w14:paraId="372557C4">
            <w:pPr>
              <w:spacing w:line="336" w:lineRule="auto"/>
              <w:jc w:val="center"/>
              <w:rPr>
                <w:sz w:val="24"/>
                <w:szCs w:val="24"/>
                <w:highlight w:val="none"/>
              </w:rPr>
            </w:pPr>
            <w:r>
              <w:rPr>
                <w:rFonts w:hint="eastAsia" w:ascii="宋体" w:hAnsi="宋体" w:eastAsia="宋体"/>
                <w:color w:val="000000"/>
                <w:sz w:val="24"/>
                <w:szCs w:val="24"/>
                <w:highlight w:val="none"/>
              </w:rPr>
              <w:t>规格型号</w:t>
            </w:r>
          </w:p>
        </w:tc>
        <w:tc>
          <w:tcPr>
            <w:tcW w:w="1297" w:type="dxa"/>
            <w:tcBorders>
              <w:top w:val="single" w:color="000000" w:sz="4" w:space="0"/>
              <w:left w:val="single" w:color="000000" w:sz="4" w:space="0"/>
              <w:bottom w:val="single" w:color="000000" w:sz="4" w:space="0"/>
              <w:right w:val="single" w:color="000000" w:sz="4" w:space="0"/>
            </w:tcBorders>
            <w:vAlign w:val="center"/>
          </w:tcPr>
          <w:p w14:paraId="6E234420">
            <w:pPr>
              <w:spacing w:line="336" w:lineRule="auto"/>
              <w:jc w:val="center"/>
              <w:rPr>
                <w:sz w:val="24"/>
                <w:szCs w:val="24"/>
                <w:highlight w:val="none"/>
              </w:rPr>
            </w:pPr>
            <w:r>
              <w:rPr>
                <w:rFonts w:hint="eastAsia" w:ascii="宋体" w:hAnsi="宋体" w:eastAsia="宋体"/>
                <w:color w:val="000000"/>
                <w:sz w:val="24"/>
                <w:szCs w:val="24"/>
                <w:highlight w:val="none"/>
              </w:rPr>
              <w:t>单价（元）</w:t>
            </w:r>
          </w:p>
        </w:tc>
        <w:tc>
          <w:tcPr>
            <w:tcW w:w="1227" w:type="dxa"/>
            <w:tcBorders>
              <w:top w:val="single" w:color="000000" w:sz="4" w:space="0"/>
              <w:left w:val="single" w:color="000000" w:sz="4" w:space="0"/>
              <w:bottom w:val="single" w:color="000000" w:sz="4" w:space="0"/>
              <w:right w:val="single" w:color="000000" w:sz="4" w:space="0"/>
            </w:tcBorders>
            <w:vAlign w:val="center"/>
          </w:tcPr>
          <w:p w14:paraId="1A94F179">
            <w:pPr>
              <w:spacing w:line="384" w:lineRule="auto"/>
              <w:jc w:val="center"/>
              <w:rPr>
                <w:sz w:val="24"/>
                <w:szCs w:val="24"/>
                <w:highlight w:val="none"/>
              </w:rPr>
            </w:pPr>
            <w:r>
              <w:rPr>
                <w:rFonts w:hint="eastAsia" w:ascii="宋体" w:hAnsi="宋体" w:eastAsia="宋体"/>
                <w:color w:val="000000"/>
                <w:sz w:val="24"/>
                <w:szCs w:val="24"/>
                <w:highlight w:val="none"/>
              </w:rPr>
              <w:t>小计（元）</w:t>
            </w:r>
          </w:p>
        </w:tc>
        <w:tc>
          <w:tcPr>
            <w:tcW w:w="1211" w:type="dxa"/>
            <w:tcBorders>
              <w:top w:val="single" w:color="000000" w:sz="4" w:space="0"/>
              <w:left w:val="single" w:color="000000" w:sz="4" w:space="0"/>
              <w:bottom w:val="single" w:color="000000" w:sz="4" w:space="0"/>
              <w:right w:val="single" w:color="000000" w:sz="4" w:space="0"/>
            </w:tcBorders>
            <w:vAlign w:val="center"/>
          </w:tcPr>
          <w:p w14:paraId="6CB4DF64">
            <w:pPr>
              <w:spacing w:line="384" w:lineRule="auto"/>
              <w:jc w:val="center"/>
              <w:rPr>
                <w:sz w:val="24"/>
                <w:szCs w:val="24"/>
                <w:highlight w:val="none"/>
              </w:rPr>
            </w:pPr>
            <w:r>
              <w:rPr>
                <w:rFonts w:hint="eastAsia" w:ascii="宋体" w:hAnsi="宋体" w:eastAsia="宋体"/>
                <w:color w:val="000000"/>
                <w:sz w:val="24"/>
                <w:szCs w:val="24"/>
                <w:highlight w:val="none"/>
              </w:rPr>
              <w:t>需求单位</w:t>
            </w:r>
          </w:p>
        </w:tc>
      </w:tr>
      <w:tr w14:paraId="2237850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72D84901">
            <w:pPr>
              <w:spacing w:line="384" w:lineRule="auto"/>
              <w:jc w:val="center"/>
              <w:rPr>
                <w:rFonts w:hint="eastAsia" w:ascii="Calibri" w:hAnsi="Calibri" w:eastAsia="宋体"/>
                <w:color w:val="000000"/>
                <w:sz w:val="24"/>
                <w:szCs w:val="24"/>
                <w:highlight w:val="none"/>
                <w:lang w:val="en-US" w:eastAsia="zh-CN"/>
              </w:rPr>
            </w:pPr>
            <w:r>
              <w:rPr>
                <w:rFonts w:hint="eastAsia" w:ascii="Calibri" w:hAnsi="Calibri" w:eastAsia="宋体"/>
                <w:color w:val="000000"/>
                <w:sz w:val="24"/>
                <w:szCs w:val="24"/>
                <w:highlight w:val="none"/>
                <w:lang w:val="en-US" w:eastAsia="zh-CN"/>
              </w:rPr>
              <w:t>1</w:t>
            </w:r>
          </w:p>
        </w:tc>
        <w:tc>
          <w:tcPr>
            <w:tcW w:w="1754" w:type="dxa"/>
            <w:tcBorders>
              <w:top w:val="single" w:color="000000" w:sz="4" w:space="0"/>
              <w:left w:val="single" w:color="000000" w:sz="4" w:space="0"/>
              <w:bottom w:val="single" w:color="000000" w:sz="4" w:space="0"/>
              <w:right w:val="single" w:color="000000" w:sz="4" w:space="0"/>
            </w:tcBorders>
            <w:vAlign w:val="center"/>
          </w:tcPr>
          <w:p w14:paraId="0FA82B7A">
            <w:pPr>
              <w:rPr>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6C148F4E">
            <w:pPr>
              <w:rPr>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14:paraId="5C865B3A">
            <w:pPr>
              <w:rPr>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14:paraId="575A6D1E">
            <w:pPr>
              <w:rPr>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14:paraId="3C6C56E3">
            <w:pPr>
              <w:rPr>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9182AA3">
            <w:pPr>
              <w:rPr>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14:paraId="6DAE1782">
            <w:pPr>
              <w:rPr>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30EACC42">
            <w:pPr>
              <w:rPr>
                <w:sz w:val="24"/>
                <w:szCs w:val="24"/>
                <w:highlight w:val="none"/>
              </w:rPr>
            </w:pPr>
          </w:p>
        </w:tc>
      </w:tr>
      <w:tr w14:paraId="3AD098B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3C423352">
            <w:pPr>
              <w:spacing w:line="384" w:lineRule="auto"/>
              <w:jc w:val="center"/>
              <w:rPr>
                <w:rFonts w:hint="eastAsia" w:ascii="Calibri" w:hAnsi="Calibri" w:eastAsia="宋体"/>
                <w:color w:val="000000"/>
                <w:sz w:val="24"/>
                <w:szCs w:val="24"/>
                <w:highlight w:val="none"/>
                <w:lang w:val="en-US" w:eastAsia="zh-CN"/>
              </w:rPr>
            </w:pPr>
            <w:r>
              <w:rPr>
                <w:rFonts w:hint="eastAsia" w:ascii="Calibri" w:hAnsi="Calibri" w:eastAsia="宋体"/>
                <w:color w:val="000000"/>
                <w:sz w:val="24"/>
                <w:szCs w:val="24"/>
                <w:highlight w:val="none"/>
                <w:lang w:val="en-US" w:eastAsia="zh-CN"/>
              </w:rPr>
              <w:t>2</w:t>
            </w:r>
          </w:p>
        </w:tc>
        <w:tc>
          <w:tcPr>
            <w:tcW w:w="1754" w:type="dxa"/>
            <w:tcBorders>
              <w:top w:val="single" w:color="000000" w:sz="4" w:space="0"/>
              <w:left w:val="single" w:color="000000" w:sz="4" w:space="0"/>
              <w:bottom w:val="single" w:color="000000" w:sz="4" w:space="0"/>
              <w:right w:val="single" w:color="000000" w:sz="4" w:space="0"/>
            </w:tcBorders>
            <w:vAlign w:val="center"/>
          </w:tcPr>
          <w:p w14:paraId="04A24658">
            <w:pPr>
              <w:rPr>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24393B16">
            <w:pPr>
              <w:rPr>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14:paraId="35CD2B51">
            <w:pPr>
              <w:rPr>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14:paraId="7B9AD566">
            <w:pPr>
              <w:rPr>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14:paraId="7B6D9505">
            <w:pPr>
              <w:rPr>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0AEC11D8">
            <w:pPr>
              <w:rPr>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14:paraId="4D458962">
            <w:pPr>
              <w:rPr>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61B34410">
            <w:pPr>
              <w:rPr>
                <w:sz w:val="24"/>
                <w:szCs w:val="24"/>
                <w:highlight w:val="none"/>
              </w:rPr>
            </w:pPr>
          </w:p>
        </w:tc>
      </w:tr>
      <w:tr w14:paraId="22AB8E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6E3F02E9">
            <w:pPr>
              <w:spacing w:line="384" w:lineRule="auto"/>
              <w:jc w:val="center"/>
              <w:rPr>
                <w:rFonts w:hint="eastAsia" w:ascii="Calibri" w:hAnsi="Calibri" w:eastAsia="宋体"/>
                <w:color w:val="000000"/>
                <w:sz w:val="24"/>
                <w:szCs w:val="24"/>
                <w:highlight w:val="none"/>
                <w:lang w:val="en-US" w:eastAsia="zh-CN"/>
              </w:rPr>
            </w:pPr>
            <w:r>
              <w:rPr>
                <w:rFonts w:hint="eastAsia" w:ascii="Calibri" w:hAnsi="Calibri" w:eastAsia="宋体"/>
                <w:color w:val="000000"/>
                <w:sz w:val="24"/>
                <w:szCs w:val="24"/>
                <w:highlight w:val="none"/>
                <w:lang w:val="en-US" w:eastAsia="zh-CN"/>
              </w:rPr>
              <w:t>3</w:t>
            </w:r>
          </w:p>
        </w:tc>
        <w:tc>
          <w:tcPr>
            <w:tcW w:w="1754" w:type="dxa"/>
            <w:tcBorders>
              <w:top w:val="single" w:color="000000" w:sz="4" w:space="0"/>
              <w:left w:val="single" w:color="000000" w:sz="4" w:space="0"/>
              <w:bottom w:val="single" w:color="000000" w:sz="4" w:space="0"/>
              <w:right w:val="single" w:color="000000" w:sz="4" w:space="0"/>
            </w:tcBorders>
            <w:vAlign w:val="center"/>
          </w:tcPr>
          <w:p w14:paraId="2507A310">
            <w:pPr>
              <w:rPr>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38C7FC8F">
            <w:pPr>
              <w:rPr>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14:paraId="00EFB26A">
            <w:pPr>
              <w:rPr>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14:paraId="05499E4F">
            <w:pPr>
              <w:rPr>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14:paraId="2089E97E">
            <w:pPr>
              <w:rPr>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369ACC6">
            <w:pPr>
              <w:rPr>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14:paraId="576B3309">
            <w:pPr>
              <w:rPr>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67A5C629">
            <w:pPr>
              <w:rPr>
                <w:sz w:val="24"/>
                <w:szCs w:val="24"/>
                <w:highlight w:val="none"/>
              </w:rPr>
            </w:pPr>
          </w:p>
        </w:tc>
      </w:tr>
      <w:tr w14:paraId="5DAD89F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28ACF81F">
            <w:pPr>
              <w:spacing w:line="384" w:lineRule="auto"/>
              <w:jc w:val="center"/>
              <w:rPr>
                <w:rFonts w:hint="eastAsia" w:eastAsia="宋体"/>
                <w:sz w:val="24"/>
                <w:szCs w:val="24"/>
                <w:highlight w:val="none"/>
                <w:lang w:val="en-US" w:eastAsia="zh-CN"/>
              </w:rPr>
            </w:pPr>
            <w:r>
              <w:rPr>
                <w:rFonts w:hint="eastAsia"/>
                <w:sz w:val="24"/>
                <w:szCs w:val="24"/>
                <w:highlight w:val="none"/>
                <w:lang w:val="en-US" w:eastAsia="zh-CN"/>
              </w:rPr>
              <w:t>4</w:t>
            </w:r>
          </w:p>
        </w:tc>
        <w:tc>
          <w:tcPr>
            <w:tcW w:w="1754" w:type="dxa"/>
            <w:tcBorders>
              <w:top w:val="single" w:color="000000" w:sz="4" w:space="0"/>
              <w:left w:val="single" w:color="000000" w:sz="4" w:space="0"/>
              <w:bottom w:val="single" w:color="000000" w:sz="4" w:space="0"/>
              <w:right w:val="single" w:color="000000" w:sz="4" w:space="0"/>
            </w:tcBorders>
            <w:vAlign w:val="center"/>
          </w:tcPr>
          <w:p w14:paraId="095EBAE8">
            <w:pPr>
              <w:rPr>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197142CD">
            <w:pPr>
              <w:rPr>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14:paraId="3EF0868E">
            <w:pPr>
              <w:rPr>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14:paraId="56BA71B5">
            <w:pPr>
              <w:rPr>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14:paraId="7BC1708D">
            <w:pPr>
              <w:rPr>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668ECD28">
            <w:pPr>
              <w:rPr>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14:paraId="36A93306">
            <w:pPr>
              <w:rPr>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1E17ABC1">
            <w:pPr>
              <w:rPr>
                <w:sz w:val="24"/>
                <w:szCs w:val="24"/>
                <w:highlight w:val="none"/>
              </w:rPr>
            </w:pPr>
          </w:p>
        </w:tc>
      </w:tr>
      <w:tr w14:paraId="12C13E4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32" w:hRule="atLeast"/>
          <w:jc w:val="center"/>
        </w:trPr>
        <w:tc>
          <w:tcPr>
            <w:tcW w:w="9416" w:type="dxa"/>
            <w:gridSpan w:val="9"/>
            <w:tcBorders>
              <w:top w:val="single" w:color="000000" w:sz="4" w:space="0"/>
              <w:left w:val="single" w:color="000000" w:sz="4" w:space="0"/>
              <w:bottom w:val="single" w:color="000000" w:sz="4" w:space="0"/>
              <w:right w:val="single" w:color="000000" w:sz="4" w:space="0"/>
            </w:tcBorders>
            <w:vAlign w:val="center"/>
          </w:tcPr>
          <w:p w14:paraId="3ACA13EB">
            <w:pPr>
              <w:spacing w:line="384" w:lineRule="auto"/>
              <w:ind w:firstLine="0"/>
              <w:jc w:val="both"/>
              <w:rPr>
                <w:sz w:val="24"/>
                <w:szCs w:val="24"/>
                <w:highlight w:val="none"/>
              </w:rPr>
            </w:pPr>
            <w:r>
              <w:rPr>
                <w:rFonts w:hint="eastAsia" w:ascii="宋体" w:hAnsi="宋体" w:eastAsia="宋体"/>
                <w:color w:val="000000"/>
                <w:sz w:val="24"/>
                <w:szCs w:val="24"/>
                <w:highlight w:val="none"/>
              </w:rPr>
              <w:t>合计总价</w:t>
            </w:r>
            <w:r>
              <w:rPr>
                <w:rFonts w:hint="eastAsia" w:ascii="Calibri" w:hAnsi="Calibri" w:eastAsia="Calibri"/>
                <w:color w:val="000000"/>
                <w:sz w:val="24"/>
                <w:szCs w:val="24"/>
                <w:highlight w:val="none"/>
              </w:rPr>
              <w:t>RMB</w:t>
            </w:r>
            <w:r>
              <w:rPr>
                <w:rFonts w:hint="eastAsia" w:ascii="宋体" w:hAnsi="宋体" w:eastAsia="宋体"/>
                <w:color w:val="000000"/>
                <w:sz w:val="24"/>
                <w:szCs w:val="24"/>
                <w:highlight w:val="none"/>
              </w:rPr>
              <w:t>¥：   元</w:t>
            </w:r>
          </w:p>
        </w:tc>
      </w:tr>
    </w:tbl>
    <w:p w14:paraId="52BDCE6C">
      <w:pPr>
        <w:spacing w:line="384" w:lineRule="auto"/>
        <w:ind w:firstLine="520"/>
        <w:jc w:val="both"/>
        <w:rPr>
          <w:sz w:val="24"/>
          <w:szCs w:val="24"/>
          <w:highlight w:val="none"/>
        </w:rPr>
      </w:pP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．合同总价</w:t>
      </w:r>
    </w:p>
    <w:p w14:paraId="4C14BD08">
      <w:pPr>
        <w:spacing w:line="384" w:lineRule="auto"/>
        <w:ind w:firstLine="520"/>
        <w:jc w:val="both"/>
        <w:rPr>
          <w:sz w:val="24"/>
          <w:szCs w:val="24"/>
          <w:highlight w:val="none"/>
        </w:rPr>
      </w:pPr>
      <w:r>
        <w:rPr>
          <w:rFonts w:hint="eastAsia" w:ascii="宋体" w:hAnsi="宋体" w:eastAsia="宋体"/>
          <w:color w:val="000000"/>
          <w:sz w:val="24"/>
          <w:szCs w:val="24"/>
          <w:highlight w:val="none"/>
        </w:rPr>
        <w:t>总价为人民币（大写）：</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整，即</w:t>
      </w:r>
      <w:r>
        <w:rPr>
          <w:rFonts w:hint="eastAsia" w:ascii="Calibri" w:hAnsi="Calibri" w:eastAsia="Calibri"/>
          <w:color w:val="000000"/>
          <w:sz w:val="24"/>
          <w:szCs w:val="24"/>
          <w:highlight w:val="none"/>
        </w:rPr>
        <w:t>RMB</w:t>
      </w:r>
      <w:r>
        <w:rPr>
          <w:rFonts w:hint="eastAsia" w:ascii="宋体" w:hAnsi="宋体" w:eastAsia="宋体"/>
          <w:color w:val="000000"/>
          <w:sz w:val="24"/>
          <w:szCs w:val="24"/>
          <w:highlight w:val="none"/>
        </w:rPr>
        <w:t>¥：</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元，合同总价包括货物的全部价款、税率及汇率的变化风险、包装、运输、装卸、安装、调试及出厂前验收、技术、指导、培训、咨询、服务、检测、保险、验收、交付、售后服务等全部费用，甲方不再另向乙方支付本合同规定之外的任何费用。本合同总价为固定不变价。</w:t>
      </w:r>
    </w:p>
    <w:p w14:paraId="2DC4275A">
      <w:pPr>
        <w:spacing w:line="384" w:lineRule="auto"/>
        <w:ind w:firstLine="520"/>
        <w:jc w:val="both"/>
        <w:rPr>
          <w:sz w:val="24"/>
          <w:szCs w:val="24"/>
          <w:highlight w:val="none"/>
        </w:rPr>
      </w:pP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．合同组成</w:t>
      </w:r>
    </w:p>
    <w:p w14:paraId="0620AA8C">
      <w:pPr>
        <w:spacing w:line="384" w:lineRule="auto"/>
        <w:ind w:firstLine="520"/>
        <w:jc w:val="both"/>
        <w:rPr>
          <w:sz w:val="24"/>
          <w:szCs w:val="24"/>
          <w:highlight w:val="none"/>
        </w:rPr>
      </w:pPr>
      <w:r>
        <w:rPr>
          <w:rFonts w:hint="eastAsia" w:ascii="宋体" w:hAnsi="宋体" w:eastAsia="宋体"/>
          <w:color w:val="000000"/>
          <w:sz w:val="24"/>
          <w:szCs w:val="24"/>
          <w:highlight w:val="none"/>
        </w:rPr>
        <w:t>技术规格、技术要求及其他有关货物的特定信息由合同附件说明。所有合同附件及本项目的报价文件、中标通知书、招标文件、投标文件、会议纪要、协议等均为本合同不可分割之部分。解释的顺序除特别说明外，以文件生成时间在后的为准。</w:t>
      </w:r>
    </w:p>
    <w:p w14:paraId="137BEBD8">
      <w:pPr>
        <w:spacing w:line="384" w:lineRule="auto"/>
        <w:ind w:firstLine="520"/>
        <w:jc w:val="both"/>
        <w:rPr>
          <w:sz w:val="24"/>
          <w:szCs w:val="24"/>
          <w:highlight w:val="none"/>
        </w:rPr>
      </w:pP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．技术要求</w:t>
      </w:r>
    </w:p>
    <w:p w14:paraId="6B117DC1">
      <w:pPr>
        <w:spacing w:line="360" w:lineRule="auto"/>
        <w:ind w:firstLine="0"/>
        <w:jc w:val="both"/>
        <w:rPr>
          <w:sz w:val="24"/>
          <w:szCs w:val="24"/>
          <w:highlight w:val="none"/>
        </w:rPr>
      </w:pP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 xml:space="preserve"> 乙方提供的货物必须符合中华人民共和国国家安全环保标准、国家有关产品质量认证标准，以及甲方采购文件和乙方投标文件中规定的质量要求和技术指标；甲乙双方如遇对质量要求和技术指标的约定标准有相互抵触或异议的事项，由甲方在采购与投标文件中按质量要求和技术指标比较优胜的原则确定该项的约定标准。如果中华人民共和国没有相关标准的，则采用货物来源国适用的官方标准。这些标准必须是相关国家或行业机构发布的最新版标准。</w:t>
      </w:r>
    </w:p>
    <w:p w14:paraId="0217F584">
      <w:pPr>
        <w:spacing w:line="360" w:lineRule="auto"/>
        <w:ind w:firstLine="480"/>
        <w:jc w:val="both"/>
        <w:rPr>
          <w:sz w:val="24"/>
          <w:szCs w:val="24"/>
          <w:highlight w:val="none"/>
        </w:rPr>
      </w:pP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 xml:space="preserve"> 乙方保证提供的货物不侵犯任何第三方的专利、商标版权或其他知识产权。一旦出现任何第三方提出侵权指控，乙方必须与第三方交涉，并承担可能发生的一切责任与费用，如因此给甲方造成损失的，乙方负责全额赔偿。</w:t>
      </w:r>
    </w:p>
    <w:p w14:paraId="7918FE64">
      <w:pPr>
        <w:spacing w:line="360" w:lineRule="auto"/>
        <w:ind w:firstLine="480"/>
        <w:jc w:val="both"/>
        <w:rPr>
          <w:sz w:val="24"/>
          <w:szCs w:val="24"/>
          <w:highlight w:val="none"/>
        </w:rPr>
      </w:pP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 xml:space="preserve"> 进口底盘及设备必须具备有效的原产地证明、报关手续、商检部门的检验证明及合法进口渠道证明。</w:t>
      </w:r>
    </w:p>
    <w:p w14:paraId="6DFB8652">
      <w:pPr>
        <w:spacing w:line="360" w:lineRule="auto"/>
        <w:ind w:firstLine="480"/>
        <w:jc w:val="both"/>
        <w:rPr>
          <w:sz w:val="24"/>
          <w:szCs w:val="24"/>
          <w:highlight w:val="none"/>
        </w:rPr>
      </w:pP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 xml:space="preserve"> 合同货物上均应标有铭牌（内容包括：制造商、货物名称、型号规格、出厂日期等），并附有产品质量检验合格标志。</w:t>
      </w:r>
    </w:p>
    <w:p w14:paraId="60EBCC8B">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．合同货物交货及验收</w:t>
      </w:r>
    </w:p>
    <w:p w14:paraId="103AD2D8">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交货期</w:t>
      </w:r>
    </w:p>
    <w:p w14:paraId="35B40B0C">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交货时间：合同签订之日起</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日历天。</w:t>
      </w:r>
    </w:p>
    <w:p w14:paraId="762DAA7A">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交货地点：</w:t>
      </w:r>
    </w:p>
    <w:p w14:paraId="17E8D944">
      <w:pPr>
        <w:spacing w:line="360" w:lineRule="auto"/>
        <w:ind w:firstLine="1160"/>
        <w:jc w:val="both"/>
        <w:rPr>
          <w:sz w:val="24"/>
          <w:szCs w:val="24"/>
          <w:highlight w:val="none"/>
        </w:rPr>
      </w:pPr>
      <w:r>
        <w:rPr>
          <w:rFonts w:hint="eastAsia" w:ascii="宋体" w:hAnsi="宋体" w:eastAsia="宋体"/>
          <w:color w:val="000000"/>
          <w:sz w:val="24"/>
          <w:szCs w:val="24"/>
          <w:highlight w:val="none"/>
        </w:rPr>
        <w:t>甲方联系人：</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联系电话：</w:t>
      </w:r>
      <w:r>
        <w:rPr>
          <w:rFonts w:hint="eastAsia" w:ascii="宋体" w:hAnsi="宋体" w:eastAsia="宋体"/>
          <w:color w:val="000000"/>
          <w:sz w:val="24"/>
          <w:szCs w:val="24"/>
          <w:highlight w:val="none"/>
          <w:u w:val="single"/>
        </w:rPr>
        <w:t xml:space="preserve">           </w:t>
      </w:r>
    </w:p>
    <w:p w14:paraId="7381739A">
      <w:pPr>
        <w:spacing w:line="360" w:lineRule="auto"/>
        <w:ind w:firstLine="1160"/>
        <w:jc w:val="both"/>
        <w:rPr>
          <w:sz w:val="24"/>
          <w:szCs w:val="24"/>
          <w:highlight w:val="none"/>
        </w:rPr>
      </w:pPr>
      <w:r>
        <w:rPr>
          <w:rFonts w:hint="eastAsia" w:ascii="宋体" w:hAnsi="宋体" w:eastAsia="宋体"/>
          <w:color w:val="000000"/>
          <w:sz w:val="24"/>
          <w:szCs w:val="24"/>
          <w:highlight w:val="none"/>
        </w:rPr>
        <w:t>乙方联系人：</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联系电话：</w:t>
      </w:r>
      <w:r>
        <w:rPr>
          <w:rFonts w:hint="eastAsia" w:ascii="宋体" w:hAnsi="宋体" w:eastAsia="宋体"/>
          <w:color w:val="000000"/>
          <w:sz w:val="24"/>
          <w:szCs w:val="24"/>
          <w:highlight w:val="none"/>
          <w:u w:val="single"/>
        </w:rPr>
        <w:t xml:space="preserve">   </w:t>
      </w:r>
    </w:p>
    <w:p w14:paraId="793DA80F">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．货物验收</w:t>
      </w:r>
    </w:p>
    <w:p w14:paraId="2CBF9B04">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乙方交付的车辆（整车）应为已取得中华人民共和国工业和信息化部发布的对应车型《道路机动车辆生产企业及产品公告》的合格产品；所交付车辆已取得办理车辆产权（含上牌）所必需的一切手续资料，应符合现行国家专用汽车的相关要求，否则，甲方有权按照投标人虚假投标处理，解除合同、扣除履约保证金，收回预付款，拉入企业黑名单，并向上级部门上报相关情况；其它未尽事宜，按国家有关法律、法规执行；同时，乙方向甲方递交验收申请书；货物到达甲方指定地点，乙方应自行完成安装调试工作，货物安装调试完成后</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个工作日内，甲乙双方共同进行验收，验收合格后双方签订验收调试合格报告书一式</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份。</w:t>
      </w:r>
    </w:p>
    <w:p w14:paraId="448B5A9B">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货物验收时，乙方必须向甲方验收小组提供货物发票、合格证及相关检测证明资料，并同时向甲方设立的维修中心提供</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套完整的操作、维修技术资料，包括整车操作使用说明书及光盘（中文）、底盘使用说明书及光盘（中文）、整车操作维修手册（中文）、底盘操作维修手册（中文）等。</w:t>
      </w:r>
    </w:p>
    <w:p w14:paraId="33A636C0">
      <w:pPr>
        <w:spacing w:line="360" w:lineRule="auto"/>
        <w:ind w:firstLine="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14:paraId="0177F198">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货物在运输和安装调试过程中发生短缺、损坏，乙方应及时安排换装，所需费用由乙方承担。</w:t>
      </w:r>
    </w:p>
    <w:p w14:paraId="0A2D7B30">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乙方交货时应将货物的配置清单、用户手册、保修手册、原厂保修卡、产品合格证、资料及配件、随车工具、进口货物的商检证明、合法进口渠道证明、设计三视图等资料交付给甲方：乙方为执行本合同而提供的技术资料（具体内容见本合同</w:t>
      </w: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条）、软件的使用权归甲方所有。乙方不能完整交付货物及本款规定的资料和工具的，视为未按合同约定交货，乙方必须负责补齐，因此导致逾期交付的，由乙方承担相关的违约责任。</w:t>
      </w:r>
    </w:p>
    <w:p w14:paraId="53029CB5">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货物到达交货地点之前的所有保险费用和派往甲方进行服务人员的人身险和其他有关险种，以及有关费用由乙方负责。</w:t>
      </w:r>
    </w:p>
    <w:p w14:paraId="6EB7F377">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底盘进场后，甲方安排技术骨干驻厂监督（期间，人员食宿费自理）。监造过程中如发现有车辆主要部件性能不达标、质量差并经国家检测部门检测不符合国家或行业标准等问题拒不改正的，采购方有权终止合同，并按相关法律规定有权向上级主管机构举报，列入本系统消防车招标采购项目黑名单。</w:t>
      </w:r>
    </w:p>
    <w:p w14:paraId="0D34A3EF">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甲方有正当理由拒收货物或者解除合同的，货物毁损、丢失的风险由乙方承担。</w:t>
      </w:r>
    </w:p>
    <w:p w14:paraId="601890C7">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．质量保证及售后服务</w:t>
      </w:r>
    </w:p>
    <w:p w14:paraId="19A6229C">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乙方保证货物是通过合法渠道进货、全新且未使用过的，所有权权属无任何瑕疵（即不存在抵押或其他可能影响货物所有权属事宜），其质量、规格及技术特征要符合本合同及合同第</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条所包括的资料的要求。</w:t>
      </w:r>
    </w:p>
    <w:p w14:paraId="4F53B85F">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以书面形式提供货物原厂家承诺的质量保证。</w:t>
      </w:r>
    </w:p>
    <w:p w14:paraId="2B6B5CFD">
      <w:pPr>
        <w:spacing w:line="360" w:lineRule="auto"/>
        <w:ind w:firstLine="480"/>
        <w:jc w:val="both"/>
        <w:rPr>
          <w:sz w:val="24"/>
          <w:szCs w:val="24"/>
          <w:highlight w:val="none"/>
        </w:rPr>
      </w:pPr>
      <w:r>
        <w:rPr>
          <w:rFonts w:hint="eastAsia" w:ascii="宋体" w:hAnsi="宋体" w:eastAsia="宋体"/>
          <w:color w:val="000000"/>
          <w:sz w:val="24"/>
          <w:szCs w:val="24"/>
          <w:highlight w:val="none"/>
        </w:rPr>
        <w:t>乙方及货物原厂家应保证车辆在正常行驶状况下的安全性，而无安全隐患。乙方及货物原厂家应保证车辆在保修期内，所有《产品说明书》或《产品使用书》所载明的安全装置都处在有效的使用状态。</w:t>
      </w:r>
    </w:p>
    <w:p w14:paraId="5203959C">
      <w:pPr>
        <w:spacing w:line="360" w:lineRule="auto"/>
        <w:ind w:firstLine="480"/>
        <w:jc w:val="both"/>
        <w:rPr>
          <w:sz w:val="24"/>
          <w:szCs w:val="24"/>
          <w:highlight w:val="none"/>
        </w:rPr>
      </w:pPr>
      <w:r>
        <w:rPr>
          <w:rFonts w:hint="eastAsia" w:ascii="宋体" w:hAnsi="宋体" w:eastAsia="宋体"/>
          <w:color w:val="000000"/>
          <w:sz w:val="24"/>
          <w:szCs w:val="24"/>
          <w:highlight w:val="none"/>
        </w:rPr>
        <w:t>乙方提供整车（含车内和改装设备）不少于</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年的质保服务（与投标文件承诺一致），质保期自甲乙双方代表在货物交付后的验收合格报告书上签字之日起计算（如果乙方投标承诺或生产制造厂家提供的质保期超过本款要求，按乙方投标承诺或生产制造厂家的质保期执行），首保费用由中标人承担。</w:t>
      </w:r>
    </w:p>
    <w:p w14:paraId="1F272B1F">
      <w:pPr>
        <w:spacing w:line="384" w:lineRule="auto"/>
        <w:ind w:firstLine="480"/>
        <w:jc w:val="both"/>
        <w:rPr>
          <w:sz w:val="24"/>
          <w:szCs w:val="24"/>
          <w:highlight w:val="none"/>
        </w:rPr>
      </w:pPr>
      <w:r>
        <w:rPr>
          <w:rFonts w:hint="eastAsia" w:ascii="宋体" w:hAnsi="宋体" w:eastAsia="宋体"/>
          <w:color w:val="000000"/>
          <w:sz w:val="24"/>
          <w:szCs w:val="24"/>
          <w:highlight w:val="none"/>
        </w:rPr>
        <w:t>质保期内非甲方的人为原因而出现货物质量及安装问题，由乙方负责包修、包换或包退，并承担因此而产生的一切费用。乙方应在收到甲方通知后派员在</w:t>
      </w:r>
    </w:p>
    <w:p w14:paraId="6A1A2FA8">
      <w:pPr>
        <w:spacing w:line="384" w:lineRule="auto"/>
        <w:ind w:firstLine="0"/>
        <w:jc w:val="both"/>
        <w:rPr>
          <w:sz w:val="24"/>
          <w:szCs w:val="24"/>
          <w:highlight w:val="none"/>
        </w:rPr>
      </w:pP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小时内到现场维修。质保期后，由乙方提供</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的免费保修服务，保修费用计入合同总价，乙方只收取材料费。</w:t>
      </w:r>
    </w:p>
    <w:p w14:paraId="42DA6BAF">
      <w:pPr>
        <w:spacing w:line="384" w:lineRule="auto"/>
        <w:ind w:firstLine="480"/>
        <w:jc w:val="both"/>
        <w:rPr>
          <w:sz w:val="24"/>
          <w:szCs w:val="24"/>
          <w:highlight w:val="none"/>
        </w:rPr>
      </w:pPr>
      <w:r>
        <w:rPr>
          <w:rFonts w:hint="eastAsia" w:ascii="宋体" w:hAnsi="宋体" w:eastAsia="宋体"/>
          <w:color w:val="000000"/>
          <w:sz w:val="24"/>
          <w:szCs w:val="24"/>
          <w:highlight w:val="none"/>
        </w:rPr>
        <w:t>如有下列情况之一乙方不负责免费保修：</w:t>
      </w:r>
    </w:p>
    <w:p w14:paraId="7E2BC442">
      <w:pPr>
        <w:spacing w:line="384" w:lineRule="auto"/>
        <w:ind w:firstLine="480"/>
        <w:jc w:val="both"/>
        <w:rPr>
          <w:sz w:val="24"/>
          <w:szCs w:val="24"/>
          <w:highlight w:val="none"/>
        </w:rPr>
      </w:pP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）甲方不按照乙方提供的正确方法使用而引致货物故障损坏；</w:t>
      </w:r>
    </w:p>
    <w:p w14:paraId="3123C667">
      <w:pPr>
        <w:spacing w:line="384" w:lineRule="auto"/>
        <w:ind w:firstLine="480"/>
        <w:jc w:val="both"/>
        <w:rPr>
          <w:sz w:val="24"/>
          <w:szCs w:val="24"/>
          <w:highlight w:val="none"/>
        </w:rPr>
      </w:pP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）甲方擅自改装货物：</w:t>
      </w:r>
    </w:p>
    <w:p w14:paraId="11953931">
      <w:pPr>
        <w:spacing w:line="384" w:lineRule="auto"/>
        <w:ind w:firstLine="480"/>
        <w:jc w:val="both"/>
        <w:rPr>
          <w:sz w:val="24"/>
          <w:szCs w:val="24"/>
          <w:highlight w:val="none"/>
        </w:rPr>
      </w:pP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）各种不可抗力事件造成的损坏。</w:t>
      </w:r>
    </w:p>
    <w:p w14:paraId="4BE45E92">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货物交付使用后，仍需以书面形式承诺维修服务，实行终身维护：在质保期内，乙方必须提供至少</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次免费上门维保服务（与投标文件承诺一致），乙方必须提供</w:t>
      </w:r>
      <w:r>
        <w:rPr>
          <w:rFonts w:hint="eastAsia" w:ascii="Calibri" w:hAnsi="Calibri" w:eastAsia="Calibri"/>
          <w:color w:val="000000"/>
          <w:sz w:val="24"/>
          <w:szCs w:val="24"/>
          <w:highlight w:val="none"/>
        </w:rPr>
        <w:t>24</w:t>
      </w:r>
      <w:r>
        <w:rPr>
          <w:rFonts w:hint="eastAsia" w:ascii="宋体" w:hAnsi="宋体" w:eastAsia="宋体"/>
          <w:color w:val="000000"/>
          <w:sz w:val="24"/>
          <w:szCs w:val="24"/>
          <w:highlight w:val="none"/>
        </w:rPr>
        <w:t>小时电话服务热线，保证在接到甲方故障报告电话后</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小时内到达现场。</w:t>
      </w:r>
    </w:p>
    <w:p w14:paraId="4ACDD2A0">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保修期内，乙方负责对其提供的全部货物进行维修和维护，不再向甲方收取费用，但自然因素（如火灾、雷击等）造成的故障除外。货物厂家因货物发生质量问题需要成批召回维修的，乙方应及时通知甲方并积极协助办理有关手续，一切费用由乙方承担。</w:t>
      </w:r>
    </w:p>
    <w:p w14:paraId="50FF1B5D">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所有货物保修服务方式均为乙方上门保修，即由乙方派员到甲方货物使用现场维修，由此产生的一切费用均由乙方承担。</w:t>
      </w:r>
    </w:p>
    <w:p w14:paraId="66A91F18">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保修期内，乙方应负责货物运行的稳定性。</w:t>
      </w:r>
    </w:p>
    <w:p w14:paraId="1845F91E">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乙方应于验收后向甲方提供项目各项详细验收报告、技术文档的归纳、整理、提交。并提供完整的硬件技术资料。</w:t>
      </w:r>
    </w:p>
    <w:p w14:paraId="0D9563AA">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技术文件：包括验收报告、技术文档、完整的软、硬件技术资料（含纸介质和光电介质），进口货物必须提供中文说明书。</w:t>
      </w:r>
    </w:p>
    <w:p w14:paraId="6110D246">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如甲方向乙方单独订购配件，乙方应按照投标（中标）文件中所约定的比例进行优惠。</w:t>
      </w:r>
    </w:p>
    <w:p w14:paraId="05C5CF14">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乙方应建立质量跟踪档案，每季度不少于一次向甲方进行现场（或电话）回访，以保证货物的正常高效使用，并以售后服务情况记录及甲方使用单位的反馈意见作为质量保证金退还凭证。如乙方已与甲方设立的维修中心签订了售后服务协议，乙方至少每半年与维修中心开展一次技术交流活动，并采取派人现场培训或入厂培训的方式对维修中心员工进行技术培训。</w:t>
      </w:r>
    </w:p>
    <w:p w14:paraId="5D15FBC6">
      <w:pPr>
        <w:spacing w:line="360" w:lineRule="auto"/>
        <w:ind w:firstLine="480" w:firstLineChars="20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依据法律规定或直观观察等日常使用情况能够直接确认的事实，可以直接作为判断是否有质量问题的依据，无需鉴定；确需鉴定的，以国家消防装备质量监督检验中心出具的书面鉴定意见为准。货物符合质量标准的，鉴定费用由甲方承担；货物不符合质量标准的，鉴定费用由乙方承担，并且甲方有权追究乙方的责任。</w:t>
      </w:r>
    </w:p>
    <w:p w14:paraId="42DEA72D">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14:paraId="129715EE">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车辆控制面板的软件应用中，后期涉及所有更新换代及升级问题，乙方不得向甲方收取任何相关费用，终身免费升级维护。</w:t>
      </w:r>
    </w:p>
    <w:p w14:paraId="66CA9C20">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针对本标包产品（货物），甲方有权采取驻厂监督、随机送检、到货验收等方式全程监督货物质量。存在质量问题，拒不改正的，甲方有权单方解除合同，并依法追究乙方商违约责任。</w:t>
      </w:r>
    </w:p>
    <w:p w14:paraId="056CCE15">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8</w:t>
      </w:r>
      <w:r>
        <w:rPr>
          <w:rFonts w:hint="eastAsia" w:ascii="宋体" w:hAnsi="宋体" w:eastAsia="宋体"/>
          <w:color w:val="000000"/>
          <w:sz w:val="24"/>
          <w:szCs w:val="24"/>
          <w:highlight w:val="none"/>
        </w:rPr>
        <w:t>货物送达合同约定地点后，乙方书面向采购方递交验收申请，双方共同参与验收。必要时，甲方有权邀请参加本项目的评标专家或者第三方机构参与验收。对验收结果有争议的，可以委托国家相关机构质量检验，产生费用由过错方承担。</w:t>
      </w:r>
    </w:p>
    <w:p w14:paraId="305841DC">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9</w:t>
      </w:r>
      <w:r>
        <w:rPr>
          <w:rFonts w:hint="eastAsia" w:ascii="宋体" w:hAnsi="宋体" w:eastAsia="宋体"/>
          <w:color w:val="000000"/>
          <w:sz w:val="24"/>
          <w:szCs w:val="24"/>
          <w:highlight w:val="none"/>
        </w:rPr>
        <w:t>乙方在批量生产前需提供详尽设计图纸及生产实施方案，待甲方确认后方可生产。样品或抽样送检费用由乙方承担，不计入中标合同数量及金额。质保期内乙方应到甲方开展技术巡检和售后服务。</w:t>
      </w:r>
    </w:p>
    <w:p w14:paraId="1653ECD7">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10</w:t>
      </w:r>
      <w:r>
        <w:rPr>
          <w:rFonts w:hint="eastAsia" w:ascii="宋体" w:hAnsi="宋体" w:eastAsia="宋体"/>
          <w:color w:val="000000"/>
          <w:sz w:val="24"/>
          <w:szCs w:val="24"/>
          <w:highlight w:val="none"/>
        </w:rPr>
        <w:t>在发出信息、通知</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日内没有收到回复，视为对方收到信息、通知。</w:t>
      </w:r>
    </w:p>
    <w:p w14:paraId="11620190">
      <w:pPr>
        <w:spacing w:line="360" w:lineRule="auto"/>
        <w:ind w:firstLine="480"/>
        <w:jc w:val="both"/>
        <w:rPr>
          <w:sz w:val="24"/>
          <w:szCs w:val="24"/>
          <w:highlight w:val="none"/>
        </w:rPr>
      </w:pP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．付款方式</w:t>
      </w:r>
    </w:p>
    <w:p w14:paraId="7BB8C3D3">
      <w:pPr>
        <w:spacing w:line="360" w:lineRule="auto"/>
        <w:ind w:firstLine="480"/>
        <w:jc w:val="both"/>
        <w:rPr>
          <w:sz w:val="24"/>
          <w:szCs w:val="24"/>
          <w:highlight w:val="none"/>
        </w:rPr>
      </w:pP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s="宋体"/>
          <w:color w:val="auto"/>
          <w:sz w:val="24"/>
          <w:szCs w:val="24"/>
          <w:highlight w:val="none"/>
        </w:rPr>
        <w:t>合同签订之日起 14 个工作日内，乙方向甲方提供合同总金额5%的履约保证金</w:t>
      </w:r>
      <w:r>
        <w:rPr>
          <w:rFonts w:hint="eastAsia" w:ascii="宋体" w:hAnsi="宋体" w:eastAsia="宋体"/>
          <w:color w:val="auto"/>
          <w:sz w:val="24"/>
          <w:szCs w:val="24"/>
          <w:highlight w:val="none"/>
        </w:rPr>
        <w:t>（履约保证金期限届满后</w:t>
      </w:r>
      <w:r>
        <w:rPr>
          <w:rFonts w:hint="eastAsia" w:ascii="Calibri" w:hAnsi="Calibri" w:eastAsia="Calibri"/>
          <w:color w:val="auto"/>
          <w:sz w:val="24"/>
          <w:szCs w:val="24"/>
          <w:highlight w:val="none"/>
        </w:rPr>
        <w:t>60</w:t>
      </w:r>
      <w:r>
        <w:rPr>
          <w:rFonts w:hint="eastAsia" w:ascii="宋体" w:hAnsi="宋体" w:eastAsia="宋体"/>
          <w:color w:val="auto"/>
          <w:sz w:val="24"/>
          <w:szCs w:val="24"/>
          <w:highlight w:val="none"/>
        </w:rPr>
        <w:t>日内向乙方退还）</w:t>
      </w:r>
      <w:r>
        <w:rPr>
          <w:rFonts w:hint="eastAsia" w:ascii="宋体" w:hAnsi="宋体" w:eastAsia="宋体"/>
          <w:color w:val="000000"/>
          <w:sz w:val="24"/>
          <w:szCs w:val="24"/>
          <w:highlight w:val="none"/>
        </w:rPr>
        <w:t>。同时乙方先向甲方提供合同金额</w:t>
      </w:r>
      <w:r>
        <w:rPr>
          <w:rFonts w:hint="eastAsia" w:ascii="宋体" w:hAnsi="宋体" w:eastAsia="宋体"/>
          <w:color w:val="auto"/>
          <w:sz w:val="24"/>
          <w:szCs w:val="24"/>
          <w:highlight w:val="none"/>
        </w:rPr>
        <w:t xml:space="preserve"> </w:t>
      </w:r>
      <w:r>
        <w:rPr>
          <w:rFonts w:hint="eastAsia" w:ascii="Calibri" w:hAnsi="Calibri"/>
          <w:color w:val="auto"/>
          <w:sz w:val="24"/>
          <w:szCs w:val="24"/>
          <w:highlight w:val="none"/>
          <w:lang w:val="en-US" w:eastAsia="zh-CN"/>
        </w:rPr>
        <w:t>5</w:t>
      </w:r>
      <w:r>
        <w:rPr>
          <w:rFonts w:hint="eastAsia" w:ascii="Calibri" w:hAnsi="Calibri" w:eastAsia="Calibri"/>
          <w:color w:val="auto"/>
          <w:sz w:val="24"/>
          <w:szCs w:val="24"/>
          <w:highlight w:val="none"/>
        </w:rPr>
        <w:t>0</w:t>
      </w:r>
      <w:r>
        <w:rPr>
          <w:rFonts w:hint="eastAsia" w:ascii="宋体" w:hAnsi="宋体" w:eastAsia="宋体"/>
          <w:color w:val="auto"/>
          <w:sz w:val="24"/>
          <w:szCs w:val="24"/>
          <w:highlight w:val="none"/>
        </w:rPr>
        <w:t xml:space="preserve">％的预付款银行保函（乙方提供的保函须为具有开保函资格和所属额度的信誉良好的地市级以上的国有或股份制商业银行分行或支行开具的独立保函，预付款银行保函有效期大于供货期 </w:t>
      </w:r>
      <w:r>
        <w:rPr>
          <w:rFonts w:hint="eastAsia" w:ascii="Calibri" w:hAnsi="Calibri" w:eastAsia="Calibri"/>
          <w:color w:val="auto"/>
          <w:sz w:val="24"/>
          <w:szCs w:val="24"/>
          <w:highlight w:val="none"/>
        </w:rPr>
        <w:t>30</w:t>
      </w:r>
      <w:r>
        <w:rPr>
          <w:rFonts w:hint="eastAsia" w:ascii="宋体" w:hAnsi="宋体" w:eastAsia="宋体"/>
          <w:color w:val="auto"/>
          <w:sz w:val="24"/>
          <w:szCs w:val="24"/>
          <w:highlight w:val="none"/>
        </w:rPr>
        <w:t xml:space="preserve">日历天以上，如乙方延期供货的，预付款保函有限期应相应的延长），甲方向乙方支付合同总金额 </w:t>
      </w:r>
      <w:r>
        <w:rPr>
          <w:rFonts w:hint="eastAsia" w:ascii="Calibri" w:hAnsi="Calibri"/>
          <w:color w:val="auto"/>
          <w:sz w:val="24"/>
          <w:szCs w:val="24"/>
          <w:highlight w:val="none"/>
          <w:lang w:val="en-US" w:eastAsia="zh-CN"/>
        </w:rPr>
        <w:t>5</w:t>
      </w:r>
      <w:r>
        <w:rPr>
          <w:rFonts w:hint="eastAsia" w:ascii="Calibri" w:hAnsi="Calibri" w:eastAsia="Calibri"/>
          <w:color w:val="auto"/>
          <w:sz w:val="24"/>
          <w:szCs w:val="24"/>
          <w:highlight w:val="none"/>
        </w:rPr>
        <w:t>0</w:t>
      </w:r>
      <w:r>
        <w:rPr>
          <w:rFonts w:hint="eastAsia" w:ascii="宋体" w:hAnsi="宋体" w:eastAsia="宋体"/>
          <w:color w:val="auto"/>
          <w:sz w:val="24"/>
          <w:szCs w:val="24"/>
          <w:highlight w:val="none"/>
        </w:rPr>
        <w:t>％</w:t>
      </w:r>
      <w:r>
        <w:rPr>
          <w:rFonts w:hint="eastAsia" w:ascii="宋体" w:hAnsi="宋体" w:eastAsia="宋体"/>
          <w:color w:val="000000"/>
          <w:sz w:val="24"/>
          <w:szCs w:val="24"/>
          <w:highlight w:val="none"/>
        </w:rPr>
        <w:t>的预付款。车辆验收合格后，乙方向甲方提交车辆资料（产品出厂合格证、工信部公告、中文产品使用说明书、电子文档产品使用说明书、检验报告和货物有关配件等）及车辆质量验收报告及意见反馈单。经审核后，乙方向甲方提供审定金额全额发票后</w:t>
      </w:r>
      <w:r>
        <w:rPr>
          <w:rFonts w:hint="eastAsia" w:ascii="Calibri" w:hAnsi="Calibri" w:eastAsia="Calibri"/>
          <w:color w:val="000000"/>
          <w:sz w:val="24"/>
          <w:szCs w:val="24"/>
          <w:highlight w:val="none"/>
        </w:rPr>
        <w:t>60</w:t>
      </w:r>
      <w:r>
        <w:rPr>
          <w:rFonts w:hint="eastAsia" w:ascii="宋体" w:hAnsi="宋体" w:eastAsia="宋体"/>
          <w:color w:val="000000"/>
          <w:sz w:val="24"/>
          <w:szCs w:val="24"/>
          <w:highlight w:val="none"/>
        </w:rPr>
        <w:t>日历天内，甲方向乙方支付全部货款。质保期内乙方应到产品使用单位，开展技术巡检和售后服务。</w:t>
      </w:r>
    </w:p>
    <w:p w14:paraId="6239F2DE">
      <w:pPr>
        <w:spacing w:line="360" w:lineRule="auto"/>
        <w:ind w:firstLine="480"/>
        <w:jc w:val="both"/>
        <w:rPr>
          <w:sz w:val="24"/>
          <w:szCs w:val="24"/>
          <w:highlight w:val="none"/>
        </w:rPr>
      </w:pP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履约保证金的提交形式：转账及法律法规规定的其他形式。</w:t>
      </w:r>
    </w:p>
    <w:p w14:paraId="3930C11B">
      <w:pPr>
        <w:spacing w:line="360" w:lineRule="auto"/>
        <w:ind w:firstLine="480"/>
        <w:jc w:val="both"/>
        <w:rPr>
          <w:sz w:val="24"/>
          <w:szCs w:val="24"/>
          <w:highlight w:val="none"/>
        </w:rPr>
      </w:pP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 xml:space="preserve"> 如乙方采用保函形式缴纳履约保证金的，则乙方提供的保函须为具有开保函资格和所属额度的信誉良好的地市级以上的国有或股份制商业银行分行或支行开具的独立保函，该保函需载明：（</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）见索即付：（</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w:t>
      </w:r>
    </w:p>
    <w:p w14:paraId="7495F53D">
      <w:pPr>
        <w:spacing w:line="360" w:lineRule="auto"/>
        <w:ind w:firstLine="480"/>
        <w:jc w:val="both"/>
        <w:rPr>
          <w:sz w:val="24"/>
          <w:szCs w:val="24"/>
          <w:highlight w:val="none"/>
        </w:rPr>
      </w:pP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 xml:space="preserve"> 履约保证金（履约保函等）期限：提交之日起至验收合格之日起的第</w:t>
      </w:r>
      <w:r>
        <w:rPr>
          <w:rFonts w:hint="eastAsia" w:ascii="Calibri" w:hAnsi="Calibri" w:eastAsia="Calibri"/>
          <w:color w:val="000000"/>
          <w:sz w:val="24"/>
          <w:szCs w:val="24"/>
          <w:highlight w:val="none"/>
        </w:rPr>
        <w:t>366</w:t>
      </w:r>
      <w:r>
        <w:rPr>
          <w:rFonts w:hint="eastAsia" w:ascii="宋体" w:hAnsi="宋体" w:eastAsia="宋体"/>
          <w:color w:val="000000"/>
          <w:sz w:val="24"/>
          <w:szCs w:val="24"/>
          <w:highlight w:val="none"/>
        </w:rPr>
        <w:t>天止。</w:t>
      </w:r>
    </w:p>
    <w:p w14:paraId="2C5091B2">
      <w:pPr>
        <w:spacing w:line="360" w:lineRule="auto"/>
        <w:ind w:firstLine="480"/>
        <w:jc w:val="both"/>
        <w:rPr>
          <w:sz w:val="24"/>
          <w:szCs w:val="24"/>
          <w:highlight w:val="none"/>
        </w:rPr>
      </w:pP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 xml:space="preserve"> 无论履约保证金、独立保函是否退还，采购人或采购人用户随时都有权对由中标人生产的尚未使用且在质量保证期内的产品发生的质量问题向乙方主张索赔。</w:t>
      </w:r>
    </w:p>
    <w:p w14:paraId="7C7AD938">
      <w:pPr>
        <w:spacing w:line="360" w:lineRule="auto"/>
        <w:ind w:firstLine="480"/>
        <w:jc w:val="both"/>
        <w:rPr>
          <w:sz w:val="24"/>
          <w:szCs w:val="24"/>
          <w:highlight w:val="none"/>
        </w:rPr>
      </w:pPr>
      <w:r>
        <w:rPr>
          <w:rFonts w:hint="eastAsia" w:ascii="Calibri" w:hAnsi="Calibri" w:eastAsia="Calibri"/>
          <w:color w:val="000000"/>
          <w:sz w:val="24"/>
          <w:szCs w:val="24"/>
          <w:highlight w:val="none"/>
        </w:rPr>
        <w:t>8</w:t>
      </w:r>
      <w:r>
        <w:rPr>
          <w:rFonts w:hint="eastAsia" w:ascii="宋体" w:hAnsi="宋体" w:eastAsia="宋体"/>
          <w:color w:val="000000"/>
          <w:sz w:val="24"/>
          <w:szCs w:val="24"/>
          <w:highlight w:val="none"/>
        </w:rPr>
        <w:t>．保密条款</w:t>
      </w:r>
    </w:p>
    <w:p w14:paraId="3824522F">
      <w:pPr>
        <w:spacing w:line="360" w:lineRule="auto"/>
        <w:ind w:firstLine="480"/>
        <w:jc w:val="both"/>
        <w:rPr>
          <w:sz w:val="24"/>
          <w:szCs w:val="24"/>
          <w:highlight w:val="none"/>
        </w:rPr>
      </w:pPr>
      <w:r>
        <w:rPr>
          <w:rFonts w:hint="eastAsia" w:ascii="Calibri" w:hAnsi="Calibri" w:eastAsia="Calibri"/>
          <w:color w:val="000000"/>
          <w:sz w:val="24"/>
          <w:szCs w:val="24"/>
          <w:highlight w:val="none"/>
        </w:rPr>
        <w:t>8</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未事先得到甲方书面同意，乙方不得将涉及货物的任何保密资料透露或以其他方式提供给合同以外的其他方或乙方内部与本合同无关的任何人员，乙方不得对保密信息进行拷贝或抄写。</w:t>
      </w:r>
    </w:p>
    <w:p w14:paraId="056061CF">
      <w:pPr>
        <w:spacing w:line="360" w:lineRule="auto"/>
        <w:ind w:firstLine="480"/>
        <w:jc w:val="both"/>
        <w:rPr>
          <w:sz w:val="24"/>
          <w:szCs w:val="24"/>
          <w:highlight w:val="none"/>
        </w:rPr>
      </w:pPr>
      <w:r>
        <w:rPr>
          <w:rFonts w:hint="eastAsia" w:ascii="Calibri" w:hAnsi="Calibri" w:eastAsia="Calibri"/>
          <w:color w:val="000000"/>
          <w:sz w:val="24"/>
          <w:szCs w:val="24"/>
          <w:highlight w:val="none"/>
        </w:rPr>
        <w:t>8</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乙方在合同履行期间知悉的甲方秘密（包括业务信息在内），同样负有保密责任。</w:t>
      </w:r>
    </w:p>
    <w:p w14:paraId="093DB373">
      <w:pPr>
        <w:spacing w:line="360" w:lineRule="auto"/>
        <w:ind w:firstLine="480"/>
        <w:jc w:val="both"/>
        <w:rPr>
          <w:sz w:val="24"/>
          <w:szCs w:val="24"/>
          <w:highlight w:val="none"/>
        </w:rPr>
      </w:pPr>
      <w:r>
        <w:rPr>
          <w:rFonts w:hint="eastAsia" w:ascii="Calibri" w:hAnsi="Calibri" w:eastAsia="Calibri"/>
          <w:color w:val="000000"/>
          <w:sz w:val="24"/>
          <w:szCs w:val="24"/>
          <w:highlight w:val="none"/>
        </w:rPr>
        <w:t>8</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乙方的保密责任不因合同的终止而终止，保密期限：永久（除非甲方将有关信息向社会公开）。</w:t>
      </w:r>
    </w:p>
    <w:p w14:paraId="669FDDB0">
      <w:pPr>
        <w:spacing w:line="360" w:lineRule="auto"/>
        <w:ind w:firstLine="480"/>
        <w:jc w:val="both"/>
        <w:rPr>
          <w:sz w:val="24"/>
          <w:szCs w:val="24"/>
          <w:highlight w:val="none"/>
        </w:rPr>
      </w:pPr>
      <w:r>
        <w:rPr>
          <w:rFonts w:hint="eastAsia" w:ascii="Calibri" w:hAnsi="Calibri" w:eastAsia="Calibri"/>
          <w:color w:val="000000"/>
          <w:sz w:val="24"/>
          <w:szCs w:val="24"/>
          <w:highlight w:val="none"/>
        </w:rPr>
        <w:t>9</w:t>
      </w:r>
      <w:r>
        <w:rPr>
          <w:rFonts w:hint="eastAsia" w:ascii="宋体" w:hAnsi="宋体" w:eastAsia="宋体"/>
          <w:color w:val="000000"/>
          <w:sz w:val="24"/>
          <w:szCs w:val="24"/>
          <w:highlight w:val="none"/>
        </w:rPr>
        <w:t>．不可抗力</w:t>
      </w:r>
    </w:p>
    <w:p w14:paraId="44804D6C">
      <w:pPr>
        <w:spacing w:line="360" w:lineRule="auto"/>
        <w:ind w:firstLine="480"/>
        <w:jc w:val="both"/>
        <w:rPr>
          <w:sz w:val="24"/>
          <w:szCs w:val="24"/>
          <w:highlight w:val="none"/>
        </w:rPr>
      </w:pPr>
      <w:r>
        <w:rPr>
          <w:rFonts w:hint="eastAsia" w:ascii="Calibri" w:hAnsi="Calibri" w:eastAsia="Calibri"/>
          <w:color w:val="000000"/>
          <w:sz w:val="24"/>
          <w:szCs w:val="24"/>
          <w:highlight w:val="none"/>
        </w:rPr>
        <w:t>9</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不可抗力指战争、严重火灾、洪水、台风、地震等或其它双方认定的不可抗力事件。无法克服的技术因素不属于不可抗力范围。</w:t>
      </w:r>
    </w:p>
    <w:p w14:paraId="54A861A2">
      <w:pPr>
        <w:spacing w:line="360" w:lineRule="auto"/>
        <w:ind w:firstLine="480"/>
        <w:jc w:val="both"/>
        <w:rPr>
          <w:sz w:val="24"/>
          <w:szCs w:val="24"/>
          <w:highlight w:val="none"/>
        </w:rPr>
      </w:pPr>
      <w:r>
        <w:rPr>
          <w:rFonts w:hint="eastAsia" w:ascii="Calibri" w:hAnsi="Calibri" w:eastAsia="Calibri"/>
          <w:color w:val="000000"/>
          <w:sz w:val="24"/>
          <w:szCs w:val="24"/>
          <w:highlight w:val="none"/>
        </w:rPr>
        <w:t>9</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进口货物或附属设备及备品、备件由于出口国限制出口导致不能供货、政策变化等原因导致本采购项目不能继续实施，不属于不可抗力范围。</w:t>
      </w:r>
    </w:p>
    <w:p w14:paraId="22149E0E">
      <w:pPr>
        <w:spacing w:line="360" w:lineRule="auto"/>
        <w:ind w:firstLine="480"/>
        <w:jc w:val="both"/>
        <w:rPr>
          <w:sz w:val="24"/>
          <w:szCs w:val="24"/>
          <w:highlight w:val="none"/>
        </w:rPr>
      </w:pPr>
      <w:r>
        <w:rPr>
          <w:rFonts w:hint="eastAsia" w:ascii="Calibri" w:hAnsi="Calibri" w:eastAsia="Calibri"/>
          <w:color w:val="000000"/>
          <w:sz w:val="24"/>
          <w:szCs w:val="24"/>
          <w:highlight w:val="none"/>
        </w:rPr>
        <w:t>9</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由于不可抗力导致本合同不能履行的，双方均不需承担违约责任。但如系因违约而遇上不可抗力，违约方不得以不可抗力为由进行抗辩，违约方仍应按本合同约定执行。</w:t>
      </w:r>
    </w:p>
    <w:p w14:paraId="47447F12">
      <w:pPr>
        <w:spacing w:line="360" w:lineRule="auto"/>
        <w:ind w:firstLine="480"/>
        <w:jc w:val="both"/>
        <w:rPr>
          <w:sz w:val="24"/>
          <w:szCs w:val="24"/>
          <w:highlight w:val="none"/>
        </w:rPr>
      </w:pPr>
      <w:r>
        <w:rPr>
          <w:rFonts w:hint="eastAsia" w:ascii="Calibri" w:hAnsi="Calibri" w:eastAsia="Calibri"/>
          <w:color w:val="000000"/>
          <w:sz w:val="24"/>
          <w:szCs w:val="24"/>
          <w:highlight w:val="none"/>
        </w:rPr>
        <w:t>10．</w:t>
      </w:r>
      <w:r>
        <w:rPr>
          <w:rFonts w:hint="eastAsia" w:ascii="宋体" w:hAnsi="宋体" w:eastAsia="宋体"/>
          <w:color w:val="000000"/>
          <w:sz w:val="24"/>
          <w:szCs w:val="24"/>
          <w:highlight w:val="none"/>
        </w:rPr>
        <w:t>索赔</w:t>
      </w:r>
    </w:p>
    <w:p w14:paraId="0B46AAB4">
      <w:pPr>
        <w:spacing w:line="360" w:lineRule="auto"/>
        <w:ind w:firstLine="480"/>
        <w:jc w:val="both"/>
        <w:rPr>
          <w:sz w:val="24"/>
          <w:szCs w:val="24"/>
          <w:highlight w:val="none"/>
        </w:rPr>
      </w:pPr>
      <w:r>
        <w:rPr>
          <w:rFonts w:hint="eastAsia" w:ascii="Calibri" w:hAnsi="Calibri" w:eastAsia="Calibri"/>
          <w:color w:val="000000"/>
          <w:sz w:val="24"/>
          <w:szCs w:val="24"/>
          <w:highlight w:val="none"/>
        </w:rPr>
        <w:t>10</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货物经两次验收仍不合格的，甲方将根据国家消防装备质量监督检验中心的检验结果向乙方提出索赔或乙方同意甲方选择下列一种或多种方式解决：</w:t>
      </w:r>
    </w:p>
    <w:p w14:paraId="4B6A9CD5">
      <w:pPr>
        <w:spacing w:line="384" w:lineRule="auto"/>
        <w:ind w:firstLine="480" w:firstLineChars="200"/>
        <w:jc w:val="both"/>
        <w:rPr>
          <w:sz w:val="24"/>
          <w:szCs w:val="24"/>
          <w:highlight w:val="none"/>
        </w:rPr>
      </w:pP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）甲方拒收货物，乙方按合同规定的同种货币将货款退还给甲方，并承担由此发生的一切损失和费用。</w:t>
      </w:r>
    </w:p>
    <w:p w14:paraId="37FBF938">
      <w:pPr>
        <w:spacing w:line="384" w:lineRule="auto"/>
        <w:ind w:firstLine="480"/>
        <w:jc w:val="both"/>
        <w:rPr>
          <w:sz w:val="24"/>
          <w:szCs w:val="24"/>
          <w:highlight w:val="none"/>
        </w:rPr>
      </w:pP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用符合规格、质量和性能要求的新零件、部件或货物来更换有缺陷的部分或修补缺陷的部分，乙方应承担一切费用和风险并赔偿甲方的一切直接损失和费用。同时，相应延长被更换零件、部件或货物的质量保证期。</w:t>
      </w:r>
    </w:p>
    <w:p w14:paraId="25D3F88C">
      <w:pPr>
        <w:spacing w:line="384" w:lineRule="auto"/>
        <w:ind w:firstLine="480"/>
        <w:jc w:val="both"/>
        <w:rPr>
          <w:sz w:val="24"/>
          <w:szCs w:val="24"/>
          <w:highlight w:val="none"/>
        </w:rPr>
      </w:pPr>
      <w:r>
        <w:rPr>
          <w:rFonts w:hint="eastAsia" w:ascii="Calibri" w:hAnsi="Calibri" w:eastAsia="Calibri"/>
          <w:color w:val="000000"/>
          <w:sz w:val="24"/>
          <w:szCs w:val="24"/>
          <w:highlight w:val="none"/>
        </w:rPr>
        <w:t>10</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货物验收不合格，甲方按照</w:t>
      </w:r>
      <w:r>
        <w:rPr>
          <w:rFonts w:hint="eastAsia" w:ascii="Calibri" w:hAnsi="Calibri" w:eastAsia="Calibri"/>
          <w:color w:val="000000"/>
          <w:sz w:val="24"/>
          <w:szCs w:val="24"/>
          <w:highlight w:val="none"/>
        </w:rPr>
        <w:t>10</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条款履行权利后，有权单方面解除合同。</w:t>
      </w:r>
    </w:p>
    <w:p w14:paraId="6A6F2C68">
      <w:pPr>
        <w:spacing w:line="384" w:lineRule="auto"/>
        <w:ind w:firstLine="480"/>
        <w:jc w:val="both"/>
        <w:rPr>
          <w:sz w:val="24"/>
          <w:szCs w:val="24"/>
          <w:highlight w:val="none"/>
        </w:rPr>
      </w:pPr>
      <w:r>
        <w:rPr>
          <w:rFonts w:hint="eastAsia" w:ascii="Calibri" w:hAnsi="Calibri" w:eastAsia="Calibri"/>
          <w:color w:val="000000"/>
          <w:sz w:val="24"/>
          <w:szCs w:val="24"/>
          <w:highlight w:val="none"/>
        </w:rPr>
        <w:t>10</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如果在甲方发出索赔通知后</w:t>
      </w:r>
      <w:r>
        <w:rPr>
          <w:rFonts w:hint="eastAsia" w:ascii="Calibri" w:hAnsi="Calibri" w:eastAsia="Calibri"/>
          <w:color w:val="000000"/>
          <w:sz w:val="24"/>
          <w:szCs w:val="24"/>
          <w:highlight w:val="none"/>
        </w:rPr>
        <w:t>30</w:t>
      </w:r>
      <w:r>
        <w:rPr>
          <w:rFonts w:hint="eastAsia" w:ascii="宋体" w:hAnsi="宋体" w:eastAsia="宋体"/>
          <w:color w:val="000000"/>
          <w:sz w:val="24"/>
          <w:szCs w:val="24"/>
          <w:highlight w:val="none"/>
        </w:rPr>
        <w:t>天内，乙方未作答复，索赔应视为已被乙方接受。甲方将有权从合同款或从乙方的履约保证金中优先扣除索赔金额。若不足以赔偿索赔金额的，不足部分由乙方另行赔偿。</w:t>
      </w:r>
    </w:p>
    <w:p w14:paraId="29139280">
      <w:pPr>
        <w:spacing w:line="384" w:lineRule="auto"/>
        <w:ind w:firstLine="480"/>
        <w:jc w:val="both"/>
        <w:rPr>
          <w:sz w:val="24"/>
          <w:szCs w:val="24"/>
          <w:highlight w:val="none"/>
        </w:rPr>
      </w:pPr>
      <w:r>
        <w:rPr>
          <w:rFonts w:hint="eastAsia" w:ascii="Calibri" w:hAnsi="Calibri" w:eastAsia="Calibri"/>
          <w:color w:val="000000"/>
          <w:sz w:val="24"/>
          <w:szCs w:val="24"/>
          <w:highlight w:val="none"/>
        </w:rPr>
        <w:t>11</w:t>
      </w:r>
      <w:r>
        <w:rPr>
          <w:rFonts w:hint="eastAsia" w:ascii="宋体" w:hAnsi="宋体" w:eastAsia="宋体"/>
          <w:color w:val="000000"/>
          <w:sz w:val="24"/>
          <w:szCs w:val="24"/>
          <w:highlight w:val="none"/>
        </w:rPr>
        <w:t>．违约责任</w:t>
      </w:r>
    </w:p>
    <w:p w14:paraId="75C99E77">
      <w:pPr>
        <w:spacing w:line="384" w:lineRule="auto"/>
        <w:ind w:firstLine="480"/>
        <w:jc w:val="both"/>
        <w:rPr>
          <w:sz w:val="24"/>
          <w:szCs w:val="24"/>
          <w:highlight w:val="none"/>
        </w:rPr>
      </w:pPr>
      <w:r>
        <w:rPr>
          <w:rFonts w:hint="eastAsia" w:ascii="Calibri" w:hAnsi="Calibri" w:eastAsia="Calibri"/>
          <w:color w:val="000000"/>
          <w:sz w:val="24"/>
          <w:szCs w:val="24"/>
          <w:highlight w:val="none"/>
        </w:rPr>
        <w:t>11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甲方无正当理由拒收货物的，甲方向乙方偿付货款总值</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％的违约金。</w:t>
      </w:r>
    </w:p>
    <w:p w14:paraId="0B6B2CE4">
      <w:pPr>
        <w:spacing w:line="384" w:lineRule="auto"/>
        <w:ind w:firstLine="480"/>
        <w:jc w:val="both"/>
        <w:rPr>
          <w:sz w:val="24"/>
          <w:szCs w:val="24"/>
          <w:highlight w:val="none"/>
        </w:rPr>
      </w:pPr>
      <w:r>
        <w:rPr>
          <w:rFonts w:hint="eastAsia" w:ascii="Calibri" w:hAnsi="Calibri" w:eastAsia="Calibri"/>
          <w:color w:val="000000"/>
          <w:sz w:val="24"/>
          <w:szCs w:val="24"/>
          <w:highlight w:val="none"/>
        </w:rPr>
        <w:t>11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乙方不能按期交付货物的，乙方每日向甲方支付货款总值</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‰的违约金。非不可抗力，延期交货超过</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个月的，甲方可以单方解除合同，若违约金不足以弥补损失的，由乙方继续承担全部损失。并扣除全部履约保证金。</w:t>
      </w:r>
    </w:p>
    <w:p w14:paraId="791713E2">
      <w:pPr>
        <w:spacing w:line="384" w:lineRule="auto"/>
        <w:ind w:firstLine="480"/>
        <w:jc w:val="both"/>
        <w:rPr>
          <w:sz w:val="24"/>
          <w:szCs w:val="24"/>
          <w:highlight w:val="none"/>
        </w:rPr>
      </w:pPr>
      <w:r>
        <w:rPr>
          <w:rFonts w:hint="eastAsia" w:ascii="Calibri" w:hAnsi="Calibri" w:eastAsia="Calibri"/>
          <w:color w:val="000000"/>
          <w:sz w:val="24"/>
          <w:szCs w:val="24"/>
          <w:highlight w:val="none"/>
        </w:rPr>
        <w:t>11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乙方所交货物品牌、型号、规格、产地及制造商、质量不符合合同约定标准的，甲方有权拒收。</w:t>
      </w:r>
    </w:p>
    <w:p w14:paraId="34836E3E">
      <w:pPr>
        <w:spacing w:line="384" w:lineRule="auto"/>
        <w:ind w:firstLine="480"/>
        <w:jc w:val="both"/>
        <w:rPr>
          <w:sz w:val="24"/>
          <w:szCs w:val="24"/>
          <w:highlight w:val="none"/>
        </w:rPr>
      </w:pPr>
      <w:r>
        <w:rPr>
          <w:rFonts w:hint="eastAsia" w:ascii="Calibri" w:hAnsi="Calibri" w:eastAsia="Calibri"/>
          <w:color w:val="000000"/>
          <w:sz w:val="24"/>
          <w:szCs w:val="24"/>
          <w:highlight w:val="none"/>
        </w:rPr>
        <w:t>11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因货物质量问题发生争议的，由国家消防装备质量检验中心质量鉴定，该鉴定结论是终局的，甲乙双方均应当接受，发生的相关费用由责任方承担。</w:t>
      </w:r>
    </w:p>
    <w:p w14:paraId="7F5E1C55">
      <w:pPr>
        <w:spacing w:line="384" w:lineRule="auto"/>
        <w:ind w:firstLine="480"/>
        <w:jc w:val="both"/>
        <w:rPr>
          <w:sz w:val="24"/>
          <w:szCs w:val="24"/>
          <w:highlight w:val="none"/>
        </w:rPr>
      </w:pPr>
      <w:r>
        <w:rPr>
          <w:rFonts w:hint="eastAsia" w:ascii="Calibri" w:hAnsi="Calibri" w:eastAsia="Calibri"/>
          <w:color w:val="000000"/>
          <w:sz w:val="24"/>
          <w:szCs w:val="24"/>
          <w:highlight w:val="none"/>
        </w:rPr>
        <w:t>11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因验收不合格需要更换同规格的货物时，货物更换完成时间晚于交货时间的视为逾期交货。</w:t>
      </w:r>
    </w:p>
    <w:p w14:paraId="08B0B792">
      <w:pPr>
        <w:spacing w:line="384" w:lineRule="auto"/>
        <w:ind w:firstLine="480"/>
        <w:jc w:val="both"/>
        <w:rPr>
          <w:sz w:val="24"/>
          <w:szCs w:val="24"/>
          <w:highlight w:val="none"/>
        </w:rPr>
      </w:pPr>
      <w:r>
        <w:rPr>
          <w:rFonts w:hint="eastAsia" w:ascii="Calibri" w:hAnsi="Calibri" w:eastAsia="Calibri"/>
          <w:color w:val="000000"/>
          <w:sz w:val="24"/>
          <w:szCs w:val="24"/>
          <w:highlight w:val="none"/>
        </w:rPr>
        <w:t>12</w:t>
      </w:r>
      <w:r>
        <w:rPr>
          <w:rFonts w:hint="eastAsia" w:ascii="宋体" w:hAnsi="宋体" w:eastAsia="宋体"/>
          <w:color w:val="000000"/>
          <w:sz w:val="24"/>
          <w:szCs w:val="24"/>
          <w:highlight w:val="none"/>
        </w:rPr>
        <w:t>．合同解除和终止</w:t>
      </w:r>
    </w:p>
    <w:p w14:paraId="667E35C5">
      <w:pPr>
        <w:spacing w:line="384" w:lineRule="auto"/>
        <w:ind w:firstLine="480"/>
        <w:jc w:val="both"/>
        <w:rPr>
          <w:sz w:val="24"/>
          <w:szCs w:val="24"/>
          <w:highlight w:val="none"/>
        </w:rPr>
      </w:pPr>
      <w:r>
        <w:rPr>
          <w:rFonts w:hint="eastAsia" w:ascii="Calibri" w:hAnsi="Calibri" w:eastAsia="Calibri"/>
          <w:color w:val="000000"/>
          <w:sz w:val="24"/>
          <w:szCs w:val="24"/>
          <w:highlight w:val="none"/>
        </w:rPr>
        <w:t>12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如果一方严重违反合同，并在收到对方违约通知书后在</w:t>
      </w:r>
      <w:r>
        <w:rPr>
          <w:rFonts w:hint="eastAsia" w:ascii="Calibri" w:hAnsi="Calibri" w:eastAsia="Calibri"/>
          <w:color w:val="000000"/>
          <w:sz w:val="24"/>
          <w:szCs w:val="24"/>
          <w:highlight w:val="none"/>
        </w:rPr>
        <w:t>30</w:t>
      </w:r>
      <w:r>
        <w:rPr>
          <w:rFonts w:hint="eastAsia" w:ascii="宋体" w:hAnsi="宋体" w:eastAsia="宋体"/>
          <w:color w:val="000000"/>
          <w:sz w:val="24"/>
          <w:szCs w:val="24"/>
          <w:highlight w:val="none"/>
        </w:rPr>
        <w:t>天内仍未能改正违约行为的，另一方可立即解除本合同。</w:t>
      </w:r>
    </w:p>
    <w:p w14:paraId="1FE4D366">
      <w:pPr>
        <w:spacing w:line="384" w:lineRule="auto"/>
        <w:ind w:firstLine="480"/>
        <w:jc w:val="both"/>
        <w:rPr>
          <w:sz w:val="24"/>
          <w:szCs w:val="24"/>
          <w:highlight w:val="none"/>
        </w:rPr>
      </w:pPr>
      <w:r>
        <w:rPr>
          <w:rFonts w:hint="eastAsia" w:ascii="Calibri" w:hAnsi="Calibri" w:eastAsia="Calibri"/>
          <w:color w:val="000000"/>
          <w:sz w:val="24"/>
          <w:szCs w:val="24"/>
          <w:highlight w:val="none"/>
        </w:rPr>
        <w:t>12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本合同履行完毕，自然终止。</w:t>
      </w:r>
    </w:p>
    <w:p w14:paraId="7E2C52DE">
      <w:pPr>
        <w:spacing w:line="384" w:lineRule="auto"/>
        <w:ind w:firstLine="480"/>
        <w:jc w:val="both"/>
        <w:rPr>
          <w:sz w:val="24"/>
          <w:szCs w:val="24"/>
          <w:highlight w:val="none"/>
        </w:rPr>
      </w:pPr>
      <w:r>
        <w:rPr>
          <w:rFonts w:hint="eastAsia" w:ascii="Calibri" w:hAnsi="Calibri" w:eastAsia="Calibri"/>
          <w:color w:val="000000"/>
          <w:sz w:val="24"/>
          <w:szCs w:val="24"/>
          <w:highlight w:val="none"/>
        </w:rPr>
        <w:t>13</w:t>
      </w:r>
      <w:r>
        <w:rPr>
          <w:rFonts w:hint="eastAsia" w:ascii="宋体" w:hAnsi="宋体" w:eastAsia="宋体"/>
          <w:color w:val="000000"/>
          <w:sz w:val="24"/>
          <w:szCs w:val="24"/>
          <w:highlight w:val="none"/>
        </w:rPr>
        <w:t>．法律诉讼</w:t>
      </w:r>
    </w:p>
    <w:p w14:paraId="2DD10442">
      <w:pPr>
        <w:spacing w:line="384" w:lineRule="auto"/>
        <w:ind w:firstLine="480"/>
        <w:jc w:val="both"/>
        <w:rPr>
          <w:sz w:val="24"/>
          <w:szCs w:val="24"/>
          <w:highlight w:val="none"/>
        </w:rPr>
      </w:pPr>
      <w:r>
        <w:rPr>
          <w:rFonts w:hint="eastAsia" w:ascii="Calibri" w:hAnsi="Calibri" w:eastAsia="Calibri"/>
          <w:color w:val="000000"/>
          <w:sz w:val="24"/>
          <w:szCs w:val="24"/>
          <w:highlight w:val="none"/>
        </w:rPr>
        <w:t>13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凡与本合同有关的一切争议，甲乙双方应首先通过友好协商解决：如经协商后仍不能达成协议时，双方同意采取</w:t>
      </w:r>
      <w:r>
        <w:rPr>
          <w:rFonts w:hint="eastAsia" w:ascii="Calibri" w:hAnsi="Calibri" w:eastAsia="Calibri"/>
          <w:color w:val="000000"/>
          <w:sz w:val="24"/>
          <w:szCs w:val="24"/>
          <w:highlight w:val="none"/>
          <w:u w:val="single"/>
        </w:rPr>
        <w:t>13</w:t>
      </w:r>
      <w:r>
        <w:rPr>
          <w:rFonts w:hint="eastAsia" w:ascii="宋体" w:hAnsi="宋体" w:eastAsia="宋体"/>
          <w:color w:val="000000"/>
          <w:sz w:val="24"/>
          <w:szCs w:val="24"/>
          <w:highlight w:val="none"/>
          <w:u w:val="single"/>
        </w:rPr>
        <w:t>.</w:t>
      </w:r>
      <w:r>
        <w:rPr>
          <w:rFonts w:hint="eastAsia" w:ascii="Calibri" w:hAnsi="Calibri" w:eastAsia="Calibri"/>
          <w:color w:val="000000"/>
          <w:sz w:val="24"/>
          <w:szCs w:val="24"/>
          <w:highlight w:val="none"/>
          <w:u w:val="single"/>
        </w:rPr>
        <w:t>1</w:t>
      </w:r>
      <w:r>
        <w:rPr>
          <w:rFonts w:hint="eastAsia" w:ascii="宋体" w:hAnsi="宋体" w:eastAsia="宋体"/>
          <w:color w:val="000000"/>
          <w:sz w:val="24"/>
          <w:szCs w:val="24"/>
          <w:highlight w:val="none"/>
          <w:u w:val="single"/>
        </w:rPr>
        <w:t>.</w:t>
      </w:r>
      <w:r>
        <w:rPr>
          <w:rFonts w:hint="eastAsia" w:ascii="Calibri" w:hAnsi="Calibri" w:eastAsia="Calibri"/>
          <w:color w:val="000000"/>
          <w:sz w:val="24"/>
          <w:szCs w:val="24"/>
          <w:highlight w:val="none"/>
          <w:u w:val="single"/>
        </w:rPr>
        <w:t>2</w:t>
      </w:r>
      <w:r>
        <w:rPr>
          <w:rFonts w:hint="eastAsia" w:ascii="宋体" w:hAnsi="宋体" w:eastAsia="宋体"/>
          <w:color w:val="000000"/>
          <w:sz w:val="24"/>
          <w:szCs w:val="24"/>
          <w:highlight w:val="none"/>
        </w:rPr>
        <w:t>条款约定方式解决：</w:t>
      </w:r>
    </w:p>
    <w:p w14:paraId="2714A9D4">
      <w:pPr>
        <w:spacing w:line="384" w:lineRule="auto"/>
        <w:ind w:firstLine="480"/>
        <w:jc w:val="both"/>
        <w:rPr>
          <w:sz w:val="24"/>
          <w:szCs w:val="24"/>
          <w:highlight w:val="none"/>
        </w:rPr>
      </w:pPr>
      <w:r>
        <w:rPr>
          <w:rFonts w:hint="eastAsia" w:ascii="Calibri" w:hAnsi="Calibri" w:eastAsia="Calibri"/>
          <w:color w:val="000000"/>
          <w:sz w:val="24"/>
          <w:szCs w:val="24"/>
          <w:highlight w:val="none"/>
        </w:rPr>
        <w:t>13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向</w:t>
      </w:r>
      <w:r>
        <w:rPr>
          <w:rFonts w:hint="eastAsia" w:ascii="宋体" w:hAnsi="宋体" w:eastAsia="宋体"/>
          <w:color w:val="000000"/>
          <w:sz w:val="24"/>
          <w:szCs w:val="24"/>
          <w:highlight w:val="none"/>
          <w:u w:val="single"/>
        </w:rPr>
        <w:t xml:space="preserve">  ／  </w:t>
      </w:r>
      <w:r>
        <w:rPr>
          <w:rFonts w:hint="eastAsia" w:ascii="宋体" w:hAnsi="宋体" w:eastAsia="宋体"/>
          <w:color w:val="000000"/>
          <w:sz w:val="24"/>
          <w:szCs w:val="24"/>
          <w:highlight w:val="none"/>
        </w:rPr>
        <w:t>仲裁委员会申请仲裁：</w:t>
      </w:r>
    </w:p>
    <w:p w14:paraId="04D5ECFC">
      <w:pPr>
        <w:spacing w:line="384" w:lineRule="auto"/>
        <w:ind w:firstLine="480"/>
        <w:jc w:val="both"/>
        <w:rPr>
          <w:sz w:val="24"/>
          <w:szCs w:val="24"/>
          <w:highlight w:val="none"/>
        </w:rPr>
      </w:pPr>
      <w:r>
        <w:rPr>
          <w:rFonts w:hint="eastAsia" w:ascii="Calibri" w:hAnsi="Calibri" w:eastAsia="Calibri"/>
          <w:color w:val="000000"/>
          <w:sz w:val="24"/>
          <w:szCs w:val="24"/>
          <w:highlight w:val="none"/>
        </w:rPr>
        <w:t>13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向甲方所在地法院提出诉讼。</w:t>
      </w:r>
    </w:p>
    <w:p w14:paraId="2A701171">
      <w:pPr>
        <w:spacing w:line="384" w:lineRule="auto"/>
        <w:ind w:firstLine="480"/>
        <w:jc w:val="both"/>
        <w:rPr>
          <w:sz w:val="24"/>
          <w:szCs w:val="24"/>
          <w:highlight w:val="none"/>
        </w:rPr>
      </w:pPr>
      <w:r>
        <w:rPr>
          <w:rFonts w:hint="eastAsia" w:ascii="Calibri" w:hAnsi="Calibri" w:eastAsia="Calibri"/>
          <w:color w:val="000000"/>
          <w:sz w:val="24"/>
          <w:szCs w:val="24"/>
          <w:highlight w:val="none"/>
        </w:rPr>
        <w:t>13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在仲裁或诉讼期间，除有争议部分的事项外，合同其他部分仍应继续履行。</w:t>
      </w:r>
    </w:p>
    <w:p w14:paraId="2CA30D71">
      <w:pPr>
        <w:spacing w:line="384" w:lineRule="auto"/>
        <w:ind w:firstLine="480"/>
        <w:jc w:val="both"/>
        <w:rPr>
          <w:sz w:val="24"/>
          <w:szCs w:val="24"/>
          <w:highlight w:val="none"/>
        </w:rPr>
      </w:pPr>
      <w:r>
        <w:rPr>
          <w:rFonts w:hint="eastAsia" w:ascii="Calibri" w:hAnsi="Calibri" w:eastAsia="Calibri"/>
          <w:color w:val="000000"/>
          <w:sz w:val="24"/>
          <w:szCs w:val="24"/>
          <w:highlight w:val="none"/>
        </w:rPr>
        <w:t>13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甲乙双方共同确认，本合同中所列明的联系地址及电话，视为双方在履行本合同中及发生争议时，各类文书（包括法律文书）的送达地址。</w:t>
      </w:r>
    </w:p>
    <w:p w14:paraId="5B743273">
      <w:pPr>
        <w:spacing w:line="384" w:lineRule="auto"/>
        <w:ind w:firstLine="480"/>
        <w:jc w:val="both"/>
        <w:rPr>
          <w:sz w:val="24"/>
          <w:szCs w:val="24"/>
          <w:highlight w:val="none"/>
        </w:rPr>
      </w:pPr>
      <w:r>
        <w:rPr>
          <w:rFonts w:hint="eastAsia" w:ascii="Calibri" w:hAnsi="Calibri" w:eastAsia="Calibri"/>
          <w:color w:val="000000"/>
          <w:sz w:val="24"/>
          <w:szCs w:val="24"/>
          <w:highlight w:val="none"/>
        </w:rPr>
        <w:t>14．</w:t>
      </w:r>
      <w:r>
        <w:rPr>
          <w:rFonts w:hint="eastAsia" w:ascii="宋体" w:hAnsi="宋体" w:eastAsia="宋体"/>
          <w:color w:val="000000"/>
          <w:sz w:val="24"/>
          <w:szCs w:val="24"/>
          <w:highlight w:val="none"/>
        </w:rPr>
        <w:t>其他</w:t>
      </w:r>
    </w:p>
    <w:p w14:paraId="12F10AD9">
      <w:pPr>
        <w:spacing w:line="384" w:lineRule="auto"/>
        <w:ind w:firstLine="480"/>
        <w:jc w:val="both"/>
        <w:rPr>
          <w:sz w:val="24"/>
          <w:szCs w:val="24"/>
          <w:highlight w:val="none"/>
        </w:rPr>
      </w:pPr>
      <w:r>
        <w:rPr>
          <w:rFonts w:hint="eastAsia" w:ascii="Calibri" w:hAnsi="Calibri" w:eastAsia="Calibri"/>
          <w:color w:val="000000"/>
          <w:sz w:val="24"/>
          <w:szCs w:val="24"/>
          <w:highlight w:val="none"/>
        </w:rPr>
        <w:t>14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本合同一式</w:t>
      </w:r>
      <w:r>
        <w:rPr>
          <w:rFonts w:hint="eastAsia" w:ascii="宋体" w:hAnsi="宋体" w:eastAsia="宋体"/>
          <w:color w:val="000000"/>
          <w:sz w:val="24"/>
          <w:szCs w:val="24"/>
          <w:highlight w:val="none"/>
          <w:u w:val="single"/>
        </w:rPr>
        <w:t>肆</w:t>
      </w:r>
      <w:r>
        <w:rPr>
          <w:rFonts w:hint="eastAsia" w:ascii="宋体" w:hAnsi="宋体" w:eastAsia="宋体"/>
          <w:color w:val="000000"/>
          <w:sz w:val="24"/>
          <w:szCs w:val="24"/>
          <w:highlight w:val="none"/>
        </w:rPr>
        <w:t>份，均为正本，具有同等法律效力，甲方</w:t>
      </w:r>
      <w:r>
        <w:rPr>
          <w:rFonts w:hint="eastAsia" w:ascii="宋体" w:hAnsi="宋体" w:eastAsia="宋体"/>
          <w:color w:val="000000"/>
          <w:sz w:val="24"/>
          <w:szCs w:val="24"/>
          <w:highlight w:val="none"/>
          <w:u w:val="single"/>
        </w:rPr>
        <w:t>叁</w:t>
      </w:r>
      <w:r>
        <w:rPr>
          <w:rFonts w:hint="eastAsia" w:ascii="宋体" w:hAnsi="宋体" w:eastAsia="宋体"/>
          <w:color w:val="000000"/>
          <w:sz w:val="24"/>
          <w:szCs w:val="24"/>
          <w:highlight w:val="none"/>
        </w:rPr>
        <w:t>份，乙方</w:t>
      </w:r>
      <w:r>
        <w:rPr>
          <w:rFonts w:hint="eastAsia" w:ascii="宋体" w:hAnsi="宋体" w:eastAsia="宋体"/>
          <w:color w:val="000000"/>
          <w:sz w:val="24"/>
          <w:szCs w:val="24"/>
          <w:highlight w:val="none"/>
          <w:u w:val="single"/>
        </w:rPr>
        <w:t>壹</w:t>
      </w:r>
      <w:r>
        <w:rPr>
          <w:rFonts w:hint="eastAsia" w:ascii="宋体" w:hAnsi="宋体" w:eastAsia="宋体"/>
          <w:color w:val="000000"/>
          <w:sz w:val="24"/>
          <w:szCs w:val="24"/>
          <w:highlight w:val="none"/>
        </w:rPr>
        <w:t>份。合同自双方法人代表或授权代表签字并加盖合同专用章或公章之日起生效。合同生效日期以最后一个签字日期为准。</w:t>
      </w:r>
    </w:p>
    <w:p w14:paraId="6DE8E4FD">
      <w:pPr>
        <w:spacing w:line="384" w:lineRule="auto"/>
        <w:ind w:firstLine="480"/>
        <w:jc w:val="both"/>
        <w:rPr>
          <w:sz w:val="24"/>
          <w:szCs w:val="24"/>
          <w:highlight w:val="none"/>
        </w:rPr>
      </w:pPr>
      <w:r>
        <w:rPr>
          <w:rFonts w:hint="eastAsia" w:ascii="Calibri" w:hAnsi="Calibri" w:eastAsia="Calibri"/>
          <w:color w:val="000000"/>
          <w:sz w:val="24"/>
          <w:szCs w:val="24"/>
          <w:highlight w:val="none"/>
        </w:rPr>
        <w:t>14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14:paraId="4612B1D9">
      <w:pPr>
        <w:spacing w:line="384" w:lineRule="auto"/>
        <w:ind w:firstLine="480"/>
        <w:jc w:val="both"/>
        <w:rPr>
          <w:sz w:val="24"/>
          <w:szCs w:val="24"/>
          <w:highlight w:val="none"/>
        </w:rPr>
      </w:pPr>
      <w:r>
        <w:rPr>
          <w:rFonts w:hint="eastAsia" w:ascii="Calibri" w:hAnsi="Calibri" w:eastAsia="Calibri"/>
          <w:color w:val="000000"/>
          <w:sz w:val="24"/>
          <w:szCs w:val="24"/>
          <w:highlight w:val="none"/>
        </w:rPr>
        <w:t>14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合同附件包括：</w:t>
      </w:r>
    </w:p>
    <w:p w14:paraId="77FB8C7F">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：投标一览表；</w:t>
      </w:r>
    </w:p>
    <w:p w14:paraId="2400F6FD">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：投标分项报价：</w:t>
      </w:r>
      <w:r>
        <w:rPr>
          <w:rFonts w:hint="eastAsia" w:ascii="Calibri" w:hAnsi="Calibri" w:eastAsia="Calibri"/>
          <w:color w:val="000000"/>
          <w:sz w:val="24"/>
          <w:szCs w:val="24"/>
          <w:highlight w:val="none"/>
        </w:rPr>
        <w:t xml:space="preserve">                       I</w:t>
      </w:r>
    </w:p>
    <w:p w14:paraId="1B169D1D">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：技术规格偏离表：</w:t>
      </w:r>
    </w:p>
    <w:p w14:paraId="10B8C4D7">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：技术规格及供货范围：</w:t>
      </w:r>
    </w:p>
    <w:p w14:paraId="2E242EA3">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：技术文件（包括图纸、手册等）；</w:t>
      </w:r>
    </w:p>
    <w:p w14:paraId="7CA6BD04">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：售后服务条款（同投标文件内容一致）；</w:t>
      </w:r>
    </w:p>
    <w:p w14:paraId="7EA15DDA">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：合同最后一页请附中标通知书复印件；</w:t>
      </w:r>
    </w:p>
    <w:p w14:paraId="7B288C69">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8</w:t>
      </w:r>
      <w:r>
        <w:rPr>
          <w:rFonts w:hint="eastAsia" w:ascii="宋体" w:hAnsi="宋体" w:eastAsia="宋体"/>
          <w:color w:val="000000"/>
          <w:sz w:val="24"/>
          <w:szCs w:val="24"/>
          <w:highlight w:val="none"/>
        </w:rPr>
        <w:t>：零配件清单报价表。</w:t>
      </w:r>
    </w:p>
    <w:p w14:paraId="0978F075">
      <w:pPr>
        <w:spacing w:line="384" w:lineRule="auto"/>
        <w:ind w:firstLine="480"/>
        <w:jc w:val="both"/>
        <w:rPr>
          <w:sz w:val="24"/>
          <w:szCs w:val="24"/>
          <w:highlight w:val="none"/>
        </w:rPr>
      </w:pPr>
      <w:r>
        <w:rPr>
          <w:rFonts w:hint="eastAsia" w:ascii="Calibri" w:hAnsi="Calibri" w:eastAsia="Calibri"/>
          <w:color w:val="000000"/>
          <w:sz w:val="24"/>
          <w:szCs w:val="24"/>
          <w:highlight w:val="none"/>
        </w:rPr>
        <w:t>14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货物的技术规格、性能指标、培训计划及售后服务方案等以招投标文件为依据。本合同中未尽事宜，由双方协商处理。</w:t>
      </w:r>
    </w:p>
    <w:p w14:paraId="0AC85053">
      <w:pPr>
        <w:spacing w:line="360" w:lineRule="auto"/>
        <w:ind w:firstLine="480"/>
        <w:jc w:val="both"/>
        <w:rPr>
          <w:sz w:val="24"/>
          <w:szCs w:val="24"/>
          <w:highlight w:val="none"/>
        </w:rPr>
      </w:pPr>
    </w:p>
    <w:p w14:paraId="3D164A85">
      <w:pPr>
        <w:spacing w:line="384" w:lineRule="auto"/>
        <w:ind w:firstLine="480"/>
        <w:jc w:val="both"/>
        <w:rPr>
          <w:sz w:val="24"/>
          <w:szCs w:val="24"/>
          <w:highlight w:val="none"/>
        </w:rPr>
      </w:pPr>
    </w:p>
    <w:p w14:paraId="692FD3AC">
      <w:pPr>
        <w:spacing w:line="384" w:lineRule="auto"/>
        <w:ind w:firstLine="480"/>
        <w:jc w:val="both"/>
        <w:rPr>
          <w:sz w:val="24"/>
          <w:szCs w:val="24"/>
          <w:highlight w:val="none"/>
        </w:rPr>
      </w:pPr>
    </w:p>
    <w:p w14:paraId="7FCED9FF">
      <w:pPr>
        <w:spacing w:line="384" w:lineRule="auto"/>
        <w:ind w:firstLine="480"/>
        <w:jc w:val="both"/>
        <w:rPr>
          <w:sz w:val="24"/>
          <w:szCs w:val="24"/>
          <w:highlight w:val="none"/>
        </w:rPr>
      </w:pPr>
    </w:p>
    <w:p w14:paraId="6F9E2582">
      <w:pPr>
        <w:spacing w:line="384" w:lineRule="auto"/>
        <w:ind w:firstLine="480"/>
        <w:jc w:val="both"/>
        <w:rPr>
          <w:sz w:val="24"/>
          <w:szCs w:val="24"/>
          <w:highlight w:val="none"/>
        </w:rPr>
      </w:pPr>
    </w:p>
    <w:p w14:paraId="577AB206">
      <w:pPr>
        <w:spacing w:line="384" w:lineRule="auto"/>
        <w:ind w:firstLine="480"/>
        <w:jc w:val="both"/>
        <w:rPr>
          <w:sz w:val="24"/>
          <w:szCs w:val="24"/>
          <w:highlight w:val="none"/>
        </w:rPr>
      </w:pPr>
    </w:p>
    <w:p w14:paraId="5CD35277">
      <w:pPr>
        <w:spacing w:line="384" w:lineRule="auto"/>
        <w:ind w:firstLine="480"/>
        <w:jc w:val="both"/>
        <w:rPr>
          <w:sz w:val="24"/>
          <w:szCs w:val="24"/>
          <w:highlight w:val="none"/>
        </w:rPr>
      </w:pPr>
    </w:p>
    <w:p w14:paraId="6DCAD19E">
      <w:pPr>
        <w:spacing w:line="384" w:lineRule="auto"/>
        <w:ind w:firstLine="480"/>
        <w:jc w:val="both"/>
        <w:rPr>
          <w:sz w:val="24"/>
          <w:szCs w:val="24"/>
          <w:highlight w:val="none"/>
        </w:rPr>
      </w:pPr>
    </w:p>
    <w:p w14:paraId="66447980">
      <w:pPr>
        <w:spacing w:line="384" w:lineRule="auto"/>
        <w:ind w:firstLine="480"/>
        <w:jc w:val="both"/>
        <w:rPr>
          <w:sz w:val="24"/>
          <w:szCs w:val="24"/>
          <w:highlight w:val="none"/>
        </w:rPr>
      </w:pPr>
    </w:p>
    <w:p w14:paraId="30B4EF2F">
      <w:pPr>
        <w:spacing w:line="384" w:lineRule="auto"/>
        <w:ind w:firstLine="480"/>
        <w:jc w:val="both"/>
        <w:rPr>
          <w:sz w:val="24"/>
          <w:szCs w:val="24"/>
          <w:highlight w:val="none"/>
        </w:rPr>
      </w:pPr>
    </w:p>
    <w:p w14:paraId="7F6420B9">
      <w:pPr>
        <w:spacing w:line="384" w:lineRule="auto"/>
        <w:ind w:firstLine="480"/>
        <w:jc w:val="both"/>
        <w:rPr>
          <w:sz w:val="24"/>
          <w:szCs w:val="24"/>
          <w:highlight w:val="none"/>
        </w:rPr>
      </w:pPr>
    </w:p>
    <w:p w14:paraId="0669807B">
      <w:pPr>
        <w:spacing w:line="384" w:lineRule="auto"/>
        <w:jc w:val="both"/>
        <w:rPr>
          <w:sz w:val="24"/>
          <w:szCs w:val="24"/>
          <w:highlight w:val="none"/>
        </w:rPr>
      </w:pPr>
    </w:p>
    <w:p w14:paraId="559DAC1B">
      <w:pPr>
        <w:spacing w:line="360" w:lineRule="auto"/>
        <w:ind w:firstLine="480"/>
        <w:jc w:val="both"/>
        <w:rPr>
          <w:sz w:val="24"/>
          <w:szCs w:val="24"/>
          <w:highlight w:val="none"/>
        </w:rPr>
      </w:pPr>
    </w:p>
    <w:p w14:paraId="1E568DFC">
      <w:pPr>
        <w:rPr>
          <w:rFonts w:hint="eastAsia" w:ascii="宋体" w:cs="宋体"/>
          <w:color w:val="auto"/>
          <w:kern w:val="0"/>
          <w:sz w:val="24"/>
          <w:szCs w:val="24"/>
          <w:highlight w:val="none"/>
        </w:rPr>
      </w:pPr>
      <w:r>
        <w:rPr>
          <w:rFonts w:hint="eastAsia" w:ascii="宋体" w:cs="宋体"/>
          <w:color w:val="auto"/>
          <w:kern w:val="0"/>
          <w:sz w:val="24"/>
          <w:szCs w:val="24"/>
          <w:highlight w:val="none"/>
        </w:rPr>
        <w:t>（本页为签署页）</w:t>
      </w:r>
    </w:p>
    <w:tbl>
      <w:tblPr>
        <w:tblStyle w:val="23"/>
        <w:tblW w:w="8659" w:type="dxa"/>
        <w:tblInd w:w="0" w:type="dxa"/>
        <w:tblLayout w:type="fixed"/>
        <w:tblCellMar>
          <w:top w:w="0" w:type="dxa"/>
          <w:left w:w="108" w:type="dxa"/>
          <w:bottom w:w="0" w:type="dxa"/>
          <w:right w:w="108" w:type="dxa"/>
        </w:tblCellMar>
      </w:tblPr>
      <w:tblGrid>
        <w:gridCol w:w="4001"/>
        <w:gridCol w:w="4658"/>
      </w:tblGrid>
      <w:tr w14:paraId="6D90DB61">
        <w:tblPrEx>
          <w:tblCellMar>
            <w:top w:w="0" w:type="dxa"/>
            <w:left w:w="108" w:type="dxa"/>
            <w:bottom w:w="0" w:type="dxa"/>
            <w:right w:w="108" w:type="dxa"/>
          </w:tblCellMar>
        </w:tblPrEx>
        <w:trPr>
          <w:trHeight w:val="996" w:hRule="atLeast"/>
        </w:trPr>
        <w:tc>
          <w:tcPr>
            <w:tcW w:w="4001" w:type="dxa"/>
          </w:tcPr>
          <w:p w14:paraId="00557E37">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甲  方（盖章）：   </w:t>
            </w:r>
          </w:p>
        </w:tc>
        <w:tc>
          <w:tcPr>
            <w:tcW w:w="4658" w:type="dxa"/>
          </w:tcPr>
          <w:p w14:paraId="6A4175EA">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  方（盖章）：</w:t>
            </w:r>
            <w:r>
              <w:rPr>
                <w:rFonts w:ascii="宋体" w:hAnsi="宋体" w:cs="宋体"/>
                <w:color w:val="auto"/>
                <w:kern w:val="0"/>
                <w:sz w:val="24"/>
                <w:szCs w:val="24"/>
                <w:highlight w:val="none"/>
              </w:rPr>
              <w:t xml:space="preserve"> </w:t>
            </w:r>
          </w:p>
        </w:tc>
      </w:tr>
      <w:tr w14:paraId="7B532D1B">
        <w:tblPrEx>
          <w:tblCellMar>
            <w:top w:w="0" w:type="dxa"/>
            <w:left w:w="108" w:type="dxa"/>
            <w:bottom w:w="0" w:type="dxa"/>
            <w:right w:w="108" w:type="dxa"/>
          </w:tblCellMar>
        </w:tblPrEx>
        <w:trPr>
          <w:trHeight w:val="996" w:hRule="atLeast"/>
        </w:trPr>
        <w:tc>
          <w:tcPr>
            <w:tcW w:w="4001" w:type="dxa"/>
          </w:tcPr>
          <w:p w14:paraId="4F1E6DFB">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法定代表人（签字）： </w:t>
            </w:r>
          </w:p>
        </w:tc>
        <w:tc>
          <w:tcPr>
            <w:tcW w:w="4658" w:type="dxa"/>
          </w:tcPr>
          <w:p w14:paraId="6B0D128F">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法定代表人（签字或盖章）： </w:t>
            </w:r>
          </w:p>
        </w:tc>
      </w:tr>
      <w:tr w14:paraId="21CA6EE0">
        <w:tblPrEx>
          <w:tblCellMar>
            <w:top w:w="0" w:type="dxa"/>
            <w:left w:w="108" w:type="dxa"/>
            <w:bottom w:w="0" w:type="dxa"/>
            <w:right w:w="108" w:type="dxa"/>
          </w:tblCellMar>
        </w:tblPrEx>
        <w:trPr>
          <w:trHeight w:val="996" w:hRule="atLeast"/>
        </w:trPr>
        <w:tc>
          <w:tcPr>
            <w:tcW w:w="4001" w:type="dxa"/>
          </w:tcPr>
          <w:p w14:paraId="2667308A">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甲方授权代表（签字）：</w:t>
            </w:r>
          </w:p>
        </w:tc>
        <w:tc>
          <w:tcPr>
            <w:tcW w:w="4658" w:type="dxa"/>
          </w:tcPr>
          <w:p w14:paraId="5BD572DC">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乙方授权代表（签字）：</w:t>
            </w:r>
          </w:p>
        </w:tc>
      </w:tr>
      <w:tr w14:paraId="131DCC56">
        <w:tblPrEx>
          <w:tblCellMar>
            <w:top w:w="0" w:type="dxa"/>
            <w:left w:w="108" w:type="dxa"/>
            <w:bottom w:w="0" w:type="dxa"/>
            <w:right w:w="108" w:type="dxa"/>
          </w:tblCellMar>
        </w:tblPrEx>
        <w:trPr>
          <w:trHeight w:val="996" w:hRule="atLeast"/>
        </w:trPr>
        <w:tc>
          <w:tcPr>
            <w:tcW w:w="4001" w:type="dxa"/>
          </w:tcPr>
          <w:p w14:paraId="4EEA0B09">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 </w:t>
            </w:r>
          </w:p>
        </w:tc>
        <w:tc>
          <w:tcPr>
            <w:tcW w:w="4658" w:type="dxa"/>
          </w:tcPr>
          <w:p w14:paraId="0B46F6B0">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r>
              <w:rPr>
                <w:rFonts w:ascii="宋体" w:hAnsi="宋体" w:cs="宋体"/>
                <w:color w:val="auto"/>
                <w:kern w:val="0"/>
                <w:sz w:val="24"/>
                <w:szCs w:val="24"/>
                <w:highlight w:val="none"/>
              </w:rPr>
              <w:t xml:space="preserve"> </w:t>
            </w:r>
          </w:p>
        </w:tc>
      </w:tr>
      <w:tr w14:paraId="5E7C278A">
        <w:tblPrEx>
          <w:tblCellMar>
            <w:top w:w="0" w:type="dxa"/>
            <w:left w:w="108" w:type="dxa"/>
            <w:bottom w:w="0" w:type="dxa"/>
            <w:right w:w="108" w:type="dxa"/>
          </w:tblCellMar>
        </w:tblPrEx>
        <w:trPr>
          <w:trHeight w:val="996" w:hRule="atLeast"/>
        </w:trPr>
        <w:tc>
          <w:tcPr>
            <w:tcW w:w="4001" w:type="dxa"/>
          </w:tcPr>
          <w:p w14:paraId="0A6FA7CE">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邮政编码： </w:t>
            </w:r>
          </w:p>
        </w:tc>
        <w:tc>
          <w:tcPr>
            <w:tcW w:w="4658" w:type="dxa"/>
          </w:tcPr>
          <w:p w14:paraId="4737CDFE">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p>
        </w:tc>
      </w:tr>
      <w:tr w14:paraId="443DC4B5">
        <w:tblPrEx>
          <w:tblCellMar>
            <w:top w:w="0" w:type="dxa"/>
            <w:left w:w="108" w:type="dxa"/>
            <w:bottom w:w="0" w:type="dxa"/>
            <w:right w:w="108" w:type="dxa"/>
          </w:tblCellMar>
        </w:tblPrEx>
        <w:trPr>
          <w:trHeight w:val="996" w:hRule="atLeast"/>
        </w:trPr>
        <w:tc>
          <w:tcPr>
            <w:tcW w:w="4001" w:type="dxa"/>
          </w:tcPr>
          <w:p w14:paraId="17D9BA16">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 </w:t>
            </w:r>
          </w:p>
        </w:tc>
        <w:tc>
          <w:tcPr>
            <w:tcW w:w="4658" w:type="dxa"/>
          </w:tcPr>
          <w:p w14:paraId="18AF38A9">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r>
      <w:tr w14:paraId="2D4413F8">
        <w:tblPrEx>
          <w:tblCellMar>
            <w:top w:w="0" w:type="dxa"/>
            <w:left w:w="108" w:type="dxa"/>
            <w:bottom w:w="0" w:type="dxa"/>
            <w:right w:w="108" w:type="dxa"/>
          </w:tblCellMar>
        </w:tblPrEx>
        <w:trPr>
          <w:trHeight w:val="996" w:hRule="atLeast"/>
        </w:trPr>
        <w:tc>
          <w:tcPr>
            <w:tcW w:w="4001" w:type="dxa"/>
          </w:tcPr>
          <w:p w14:paraId="390647AE">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传真： </w:t>
            </w:r>
          </w:p>
        </w:tc>
        <w:tc>
          <w:tcPr>
            <w:tcW w:w="4658" w:type="dxa"/>
          </w:tcPr>
          <w:p w14:paraId="384C8EE2">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传真：</w:t>
            </w:r>
          </w:p>
        </w:tc>
      </w:tr>
      <w:tr w14:paraId="46D55DD3">
        <w:tblPrEx>
          <w:tblCellMar>
            <w:top w:w="0" w:type="dxa"/>
            <w:left w:w="108" w:type="dxa"/>
            <w:bottom w:w="0" w:type="dxa"/>
            <w:right w:w="108" w:type="dxa"/>
          </w:tblCellMar>
        </w:tblPrEx>
        <w:trPr>
          <w:trHeight w:val="996" w:hRule="atLeast"/>
        </w:trPr>
        <w:tc>
          <w:tcPr>
            <w:tcW w:w="4001" w:type="dxa"/>
          </w:tcPr>
          <w:p w14:paraId="3A19C24D">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开户银行： </w:t>
            </w:r>
          </w:p>
        </w:tc>
        <w:tc>
          <w:tcPr>
            <w:tcW w:w="4658" w:type="dxa"/>
          </w:tcPr>
          <w:p w14:paraId="53E92FCE">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r>
              <w:rPr>
                <w:rFonts w:ascii="宋体" w:hAnsi="宋体" w:cs="宋体"/>
                <w:color w:val="auto"/>
                <w:kern w:val="0"/>
                <w:sz w:val="24"/>
                <w:szCs w:val="24"/>
                <w:highlight w:val="none"/>
              </w:rPr>
              <w:t xml:space="preserve"> </w:t>
            </w:r>
          </w:p>
        </w:tc>
      </w:tr>
      <w:tr w14:paraId="43493056">
        <w:tblPrEx>
          <w:tblCellMar>
            <w:top w:w="0" w:type="dxa"/>
            <w:left w:w="108" w:type="dxa"/>
            <w:bottom w:w="0" w:type="dxa"/>
            <w:right w:w="108" w:type="dxa"/>
          </w:tblCellMar>
        </w:tblPrEx>
        <w:trPr>
          <w:trHeight w:val="996" w:hRule="atLeast"/>
        </w:trPr>
        <w:tc>
          <w:tcPr>
            <w:tcW w:w="4001" w:type="dxa"/>
          </w:tcPr>
          <w:p w14:paraId="4170FBF7">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开户账号： </w:t>
            </w:r>
          </w:p>
        </w:tc>
        <w:tc>
          <w:tcPr>
            <w:tcW w:w="4658" w:type="dxa"/>
          </w:tcPr>
          <w:p w14:paraId="5D0397EE">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开户账号：</w:t>
            </w:r>
          </w:p>
        </w:tc>
      </w:tr>
      <w:tr w14:paraId="1AE021D3">
        <w:tblPrEx>
          <w:tblCellMar>
            <w:top w:w="0" w:type="dxa"/>
            <w:left w:w="108" w:type="dxa"/>
            <w:bottom w:w="0" w:type="dxa"/>
            <w:right w:w="108" w:type="dxa"/>
          </w:tblCellMar>
        </w:tblPrEx>
        <w:trPr>
          <w:trHeight w:val="996" w:hRule="atLeast"/>
        </w:trPr>
        <w:tc>
          <w:tcPr>
            <w:tcW w:w="4001" w:type="dxa"/>
            <w:vAlign w:val="center"/>
          </w:tcPr>
          <w:p w14:paraId="18EC0260">
            <w:pPr>
              <w:snapToGrid w:val="0"/>
              <w:spacing w:before="238" w:line="419" w:lineRule="atLeast"/>
              <w:ind w:firstLine="720" w:firstLineChars="3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年    月    日　                       </w:t>
            </w:r>
          </w:p>
        </w:tc>
        <w:tc>
          <w:tcPr>
            <w:tcW w:w="4658" w:type="dxa"/>
            <w:vAlign w:val="center"/>
          </w:tcPr>
          <w:p w14:paraId="6EB88B68">
            <w:pPr>
              <w:snapToGrid w:val="0"/>
              <w:spacing w:before="238" w:line="419" w:lineRule="atLeast"/>
              <w:ind w:firstLine="720" w:firstLineChars="3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年    月    日　                       </w:t>
            </w:r>
          </w:p>
        </w:tc>
      </w:tr>
    </w:tbl>
    <w:p w14:paraId="2348617B">
      <w:pPr>
        <w:snapToGrid w:val="0"/>
        <w:spacing w:before="119" w:line="360" w:lineRule="auto"/>
        <w:textAlignment w:val="baseline"/>
        <w:rPr>
          <w:rFonts w:hint="eastAsia" w:ascii="宋体" w:cs="宋体"/>
          <w:color w:val="auto"/>
          <w:kern w:val="0"/>
          <w:szCs w:val="21"/>
          <w:highlight w:val="none"/>
        </w:rPr>
      </w:pPr>
    </w:p>
    <w:p w14:paraId="128263DA">
      <w:pPr>
        <w:pStyle w:val="22"/>
        <w:rPr>
          <w:rFonts w:hint="eastAsia"/>
          <w:color w:val="auto"/>
          <w:highlight w:val="none"/>
        </w:rPr>
      </w:pPr>
    </w:p>
    <w:p w14:paraId="660088BE">
      <w:pPr>
        <w:pStyle w:val="6"/>
        <w:rPr>
          <w:rFonts w:hint="eastAsia"/>
          <w:color w:val="auto"/>
          <w:highlight w:val="none"/>
        </w:rPr>
      </w:pPr>
    </w:p>
    <w:bookmarkEnd w:id="464"/>
    <w:p w14:paraId="78C345D9">
      <w:pPr>
        <w:spacing w:line="360" w:lineRule="auto"/>
        <w:jc w:val="center"/>
        <w:rPr>
          <w:rFonts w:ascii="宋体" w:cs="宋体"/>
          <w:color w:val="auto"/>
          <w:sz w:val="36"/>
          <w:szCs w:val="44"/>
          <w:highlight w:val="none"/>
        </w:rPr>
      </w:pPr>
      <w:bookmarkStart w:id="465" w:name="bookmark24"/>
      <w:bookmarkStart w:id="466" w:name="bookmark23"/>
      <w:bookmarkStart w:id="467" w:name="bookmark22"/>
      <w:r>
        <w:rPr>
          <w:rFonts w:ascii="宋体" w:cs="宋体"/>
          <w:b/>
          <w:bCs/>
          <w:color w:val="auto"/>
          <w:sz w:val="36"/>
          <w:szCs w:val="36"/>
          <w:highlight w:val="none"/>
        </w:rPr>
        <w:br w:type="page"/>
      </w:r>
      <w:bookmarkEnd w:id="465"/>
      <w:bookmarkEnd w:id="466"/>
      <w:bookmarkEnd w:id="467"/>
      <w:r>
        <w:rPr>
          <w:rFonts w:hint="eastAsia" w:ascii="宋体" w:hAnsi="宋体" w:cs="宋体"/>
          <w:color w:val="auto"/>
          <w:sz w:val="36"/>
          <w:szCs w:val="44"/>
          <w:highlight w:val="none"/>
        </w:rPr>
        <w:t>政府采购廉政合同</w:t>
      </w:r>
    </w:p>
    <w:p w14:paraId="102F0320">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甲方（供货方）：</w:t>
      </w:r>
      <w:r>
        <w:rPr>
          <w:rFonts w:ascii="宋体" w:hAnsi="宋体" w:cs="宋体"/>
          <w:color w:val="auto"/>
          <w:kern w:val="0"/>
          <w:sz w:val="24"/>
          <w:highlight w:val="none"/>
        </w:rPr>
        <w:t xml:space="preserve"> </w:t>
      </w:r>
      <w:r>
        <w:rPr>
          <w:rFonts w:ascii="宋体" w:hAnsi="宋体" w:cs="宋体"/>
          <w:color w:val="auto"/>
          <w:kern w:val="0"/>
          <w:sz w:val="24"/>
          <w:highlight w:val="none"/>
        </w:rPr>
        <w:tab/>
      </w:r>
      <w:r>
        <w:rPr>
          <w:rFonts w:ascii="宋体" w:hAnsi="宋体" w:cs="宋体"/>
          <w:color w:val="auto"/>
          <w:kern w:val="0"/>
          <w:sz w:val="24"/>
          <w:highlight w:val="none"/>
        </w:rPr>
        <w:t xml:space="preserve"> </w:t>
      </w:r>
    </w:p>
    <w:p w14:paraId="06AD38C4">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乙方（购货方）：</w:t>
      </w:r>
      <w:r>
        <w:rPr>
          <w:rFonts w:ascii="宋体" w:hAnsi="宋体" w:cs="宋体"/>
          <w:color w:val="auto"/>
          <w:kern w:val="0"/>
          <w:sz w:val="24"/>
          <w:highlight w:val="none"/>
        </w:rPr>
        <w:t xml:space="preserve"> </w:t>
      </w:r>
      <w:r>
        <w:rPr>
          <w:rFonts w:ascii="宋体" w:hAnsi="宋体" w:cs="宋体"/>
          <w:color w:val="auto"/>
          <w:kern w:val="0"/>
          <w:sz w:val="24"/>
          <w:highlight w:val="none"/>
        </w:rPr>
        <w:tab/>
      </w:r>
    </w:p>
    <w:p w14:paraId="611ABF9A">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为促进甲乙双方廉洁高效合作，促使甲乙双方工作人员廉洁从业，不断推动党风廉政建设工作，按照《中华人民共和国民法典》和国家其他有关法律法规、廉政规定，经甲乙双方协商一致，</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自愿签订以下廉政合同。</w:t>
      </w:r>
    </w:p>
    <w:p w14:paraId="32D11DA2">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第一条：甲乙双方的权利和义务</w:t>
      </w:r>
    </w:p>
    <w:p w14:paraId="3CE5A6E1">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（一）严格遵守党和国家有关法律法规及党风廉政建设各项规定。</w:t>
      </w:r>
    </w:p>
    <w:p w14:paraId="5C57C427">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（二）严格履行《中华人民共和国反不正当竞争法》、《关于禁止商业贿赂行为的暂行规定》各项约定，杜绝违约行为的发生。</w:t>
      </w:r>
    </w:p>
    <w:p w14:paraId="4811BA68">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（三）双方的业务活动坚持公开、公平、公正、诚信的原则（除法律认定的商业秘密和合同文件另有规定之外），严禁损害国家和集体利益，违反法律法规及规章制度。</w:t>
      </w:r>
    </w:p>
    <w:p w14:paraId="4836CB80">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（四）建立健全党风廉政建设各项制度，开展党风廉政建设宣传教育，加强对本方工作人员的监督检查。</w:t>
      </w:r>
    </w:p>
    <w:p w14:paraId="7FAAF034">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（五）发现对方在业务活动中有违反廉政规定和本合同约定的行为时，有及时提醒和督促对方纠正的权利和义务。</w:t>
      </w:r>
    </w:p>
    <w:p w14:paraId="24DD2E79">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（六）发现对方在业务活动中有违反廉政规定和本合同约定的行为时，有权向对方主管部门或有关机构检举、揭发。</w:t>
      </w:r>
    </w:p>
    <w:p w14:paraId="245589E4">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（七）经济合同变更时廉政合同内容也应做相应调整，并履行有关手续。第二条：甲方在廉政建设方面义务</w:t>
      </w:r>
    </w:p>
    <w:p w14:paraId="1A3B29D9">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（一）甲方不准以任何形式向乙方及其工作人员馈赠礼金、礼品、有价证券、支付凭证、贵重物品等财物。</w:t>
      </w:r>
    </w:p>
    <w:p w14:paraId="4984173B">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（二）甲方不准以任何名义为乙方及其工作人员报销应由乙方或个人支付的任何费用。</w:t>
      </w:r>
    </w:p>
    <w:p w14:paraId="00C6B7C8">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（三）甲方不准以任何理由邀请乙方工作人员参加有影响合作业务的宴请及娱乐活动；不准为其提供通讯工具、交通工具、高档办公用品等。</w:t>
      </w:r>
    </w:p>
    <w:p w14:paraId="0C0ED911">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（四）甲方不准为乙方工作人员在住房装修、婚丧嫁娶、配偶、子女、亲友出国（境）</w:t>
      </w:r>
    </w:p>
    <w:p w14:paraId="0D664851">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旅游提供方便；不准为乙方工作人员的配偶、子女及有利害关系的人员安排工作或劳务。</w:t>
      </w:r>
    </w:p>
    <w:p w14:paraId="1A82A497">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（五）甲方及其工作人员不准与监管单位串通，违反有关规定和程序，损害乙方利益。</w:t>
      </w:r>
    </w:p>
    <w:p w14:paraId="2CE78E53">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（六）不得有其他违反法律法规、党纪政纪行为。第三条：乙方在廉政建设方面的义务</w:t>
      </w:r>
    </w:p>
    <w:p w14:paraId="34AA4537">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（一）乙方及其工作人员不得干扰协作企业正常的生产经营活动，不得以任何理由要挟甲方从事不属于甲方义务的工作。</w:t>
      </w:r>
    </w:p>
    <w:p w14:paraId="27B40309">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（二）乙方及其工作人员不得索要或接受甲方的礼金，有价证券、支付凭证、贵重物品等财物。</w:t>
      </w:r>
    </w:p>
    <w:p w14:paraId="1922747D">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（三）乙方及其工作人员不得在甲方报销应由乙方或个人支付的任何费用。</w:t>
      </w:r>
    </w:p>
    <w:p w14:paraId="0B79ABA4">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（四）乙方工作人员不得参加甲方提供的宴请、娱乐活动、高档消费；不得要求甲方提供交通工具、通讯工具、高档办公用品等。</w:t>
      </w:r>
    </w:p>
    <w:p w14:paraId="706A9946">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（五）乙方及其工作人员不得要求或者接受甲方为其住房装修、婚丧嫁娶、配偶、子女、亲友出国（境）旅游等违反规定的相关活动提供方便。</w:t>
      </w:r>
    </w:p>
    <w:p w14:paraId="198E0858">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（六）乙方及其工作人员不得要求甲方为其配偶、子女及有利害关系的人员安排工作或劳务；不得违反规定从事与甲方施工项目有关的材料设备供应、工程分包等经济活动。</w:t>
      </w:r>
    </w:p>
    <w:p w14:paraId="425987BA">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（七）乙方应根据经济合同约定进度付款，不得以不正当理由拖欠款项，不得超进度拨付款。</w:t>
      </w:r>
    </w:p>
    <w:p w14:paraId="28760951">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第四条：违约责任</w:t>
      </w:r>
    </w:p>
    <w:p w14:paraId="2E2ED2AA">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（一）甲方违反本《廉政合同》规定义务的，须向乙方承担经济合同总额</w:t>
      </w:r>
      <w:r>
        <w:rPr>
          <w:rFonts w:ascii="宋体" w:hAnsi="宋体" w:cs="宋体"/>
          <w:color w:val="auto"/>
          <w:kern w:val="0"/>
          <w:sz w:val="24"/>
          <w:highlight w:val="none"/>
        </w:rPr>
        <w:t xml:space="preserve"> 3%</w:t>
      </w:r>
      <w:r>
        <w:rPr>
          <w:rFonts w:hint="eastAsia" w:ascii="宋体" w:hAnsi="宋体" w:cs="宋体"/>
          <w:color w:val="auto"/>
          <w:kern w:val="0"/>
          <w:sz w:val="24"/>
          <w:highlight w:val="none"/>
        </w:rPr>
        <w:t>的经济违约责任。</w:t>
      </w:r>
    </w:p>
    <w:p w14:paraId="4321A267">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（二）甲方发生多次违反廉政合同约定内容，乙方有权将甲方列入黑名单，禁止</w:t>
      </w:r>
      <w:r>
        <w:rPr>
          <w:rFonts w:ascii="宋体" w:hAnsi="宋体" w:cs="宋体"/>
          <w:color w:val="auto"/>
          <w:kern w:val="0"/>
          <w:sz w:val="24"/>
          <w:highlight w:val="none"/>
        </w:rPr>
        <w:t xml:space="preserve"> 3-5 </w:t>
      </w:r>
      <w:r>
        <w:rPr>
          <w:rFonts w:hint="eastAsia" w:ascii="宋体" w:hAnsi="宋体" w:cs="宋体"/>
          <w:color w:val="auto"/>
          <w:kern w:val="0"/>
          <w:sz w:val="24"/>
          <w:highlight w:val="none"/>
        </w:rPr>
        <w:t>年内进入乙方作业市场；给乙方造成经济损失、社会影响较大的，乙方有权终止履行合同。</w:t>
      </w:r>
    </w:p>
    <w:p w14:paraId="07E1E9F6">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（三）乙方若违反本《廉政合同》有关规定的，对违法违纪人员，由乙方主管部门依据有关规定查处，给甲方造成的损失，按有关规定予以赔偿。</w:t>
      </w:r>
    </w:p>
    <w:p w14:paraId="50214523">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第五条：检查方式</w:t>
      </w:r>
    </w:p>
    <w:p w14:paraId="22240D2B">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本合同的履约情况由甲乙双方共同派员监督，检查方式为座谈、问卷调查、查看资料或由双方约定的其他方式等。检查时间、次数、方式、检查结论等由双方协商确定。</w:t>
      </w:r>
    </w:p>
    <w:p w14:paraId="4B7571FB">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第六条：本合同有效期同经济合同期限。</w:t>
      </w:r>
    </w:p>
    <w:p w14:paraId="780FC349">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第七条：本合同为经济合同附件，与主合同具有同等法律效力，甲乙双方签署后生效。</w:t>
      </w:r>
    </w:p>
    <w:p w14:paraId="560F1357">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第八条：本合同一式</w:t>
      </w:r>
      <w:r>
        <w:rPr>
          <w:rFonts w:ascii="宋体" w:cs="宋体"/>
          <w:color w:val="auto"/>
          <w:kern w:val="0"/>
          <w:sz w:val="24"/>
          <w:highlight w:val="none"/>
        </w:rPr>
        <w:tab/>
      </w:r>
      <w:r>
        <w:rPr>
          <w:rFonts w:hint="eastAsia" w:ascii="宋体" w:hAnsi="宋体" w:cs="宋体"/>
          <w:color w:val="auto"/>
          <w:kern w:val="0"/>
          <w:sz w:val="24"/>
          <w:highlight w:val="none"/>
        </w:rPr>
        <w:t>份，甲、乙双方</w:t>
      </w:r>
      <w:r>
        <w:rPr>
          <w:rFonts w:ascii="宋体" w:cs="宋体"/>
          <w:color w:val="auto"/>
          <w:kern w:val="0"/>
          <w:sz w:val="24"/>
          <w:highlight w:val="none"/>
        </w:rPr>
        <w:tab/>
      </w:r>
      <w:r>
        <w:rPr>
          <w:rFonts w:hint="eastAsia" w:ascii="宋体" w:hAnsi="宋体" w:cs="宋体"/>
          <w:color w:val="auto"/>
          <w:kern w:val="0"/>
          <w:sz w:val="24"/>
          <w:highlight w:val="none"/>
        </w:rPr>
        <w:t>份、采购办</w:t>
      </w:r>
      <w:r>
        <w:rPr>
          <w:rFonts w:ascii="宋体" w:cs="宋体"/>
          <w:color w:val="auto"/>
          <w:kern w:val="0"/>
          <w:sz w:val="24"/>
          <w:highlight w:val="none"/>
        </w:rPr>
        <w:tab/>
      </w:r>
      <w:r>
        <w:rPr>
          <w:rFonts w:hint="eastAsia" w:ascii="宋体" w:hAnsi="宋体" w:cs="宋体"/>
          <w:color w:val="auto"/>
          <w:kern w:val="0"/>
          <w:sz w:val="24"/>
          <w:highlight w:val="none"/>
        </w:rPr>
        <w:t>份。</w:t>
      </w:r>
    </w:p>
    <w:p w14:paraId="7EB47005">
      <w:pPr>
        <w:snapToGrid w:val="0"/>
        <w:spacing w:line="360" w:lineRule="auto"/>
        <w:ind w:firstLine="480" w:firstLineChars="200"/>
        <w:textAlignment w:val="baseline"/>
        <w:rPr>
          <w:rFonts w:ascii="宋体" w:cs="宋体"/>
          <w:color w:val="auto"/>
          <w:kern w:val="0"/>
          <w:sz w:val="24"/>
          <w:highlight w:val="none"/>
        </w:rPr>
      </w:pPr>
    </w:p>
    <w:p w14:paraId="30A7602D">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甲方单位：（盖章）</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乙方单位：（盖章）</w:t>
      </w:r>
    </w:p>
    <w:p w14:paraId="2E1B9D90">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法定代表人：</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法定代表人：</w:t>
      </w:r>
    </w:p>
    <w:p w14:paraId="623A2202">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（或委托代理人）签字：</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（或委托代理人）签字：</w:t>
      </w:r>
    </w:p>
    <w:p w14:paraId="66A23E8A">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单位地址：</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单位地址：</w:t>
      </w:r>
    </w:p>
    <w:p w14:paraId="2C49AF86">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联系电话：</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联系电话：</w:t>
      </w:r>
    </w:p>
    <w:p w14:paraId="1A2287B5">
      <w:pPr>
        <w:spacing w:line="360" w:lineRule="auto"/>
        <w:rPr>
          <w:color w:val="auto"/>
          <w:highlight w:val="none"/>
        </w:rPr>
      </w:pPr>
    </w:p>
    <w:p w14:paraId="67832E09">
      <w:pPr>
        <w:spacing w:line="360" w:lineRule="auto"/>
        <w:rPr>
          <w:rFonts w:ascii="宋体" w:cs="宋体"/>
          <w:b/>
          <w:bCs/>
          <w:color w:val="auto"/>
          <w:sz w:val="32"/>
          <w:szCs w:val="40"/>
          <w:highlight w:val="none"/>
        </w:rPr>
      </w:pPr>
      <w:r>
        <w:rPr>
          <w:color w:val="auto"/>
          <w:highlight w:val="none"/>
        </w:rPr>
        <w:br w:type="page"/>
      </w:r>
    </w:p>
    <w:p w14:paraId="5CDEC9F3">
      <w:pPr>
        <w:spacing w:line="360" w:lineRule="auto"/>
        <w:jc w:val="center"/>
        <w:rPr>
          <w:rFonts w:ascii="宋体" w:cs="宋体"/>
          <w:color w:val="auto"/>
          <w:sz w:val="36"/>
          <w:szCs w:val="44"/>
          <w:highlight w:val="none"/>
        </w:rPr>
      </w:pPr>
      <w:r>
        <w:rPr>
          <w:rFonts w:hint="eastAsia" w:ascii="宋体" w:hAnsi="宋体" w:cs="宋体"/>
          <w:color w:val="auto"/>
          <w:sz w:val="36"/>
          <w:szCs w:val="44"/>
          <w:highlight w:val="none"/>
        </w:rPr>
        <w:t>生产厂家售后服务承诺函</w:t>
      </w:r>
    </w:p>
    <w:p w14:paraId="08CA819C">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lang w:eastAsia="zh-CN"/>
        </w:rPr>
        <w:t>平顶山市消防救援支队</w:t>
      </w:r>
      <w:r>
        <w:rPr>
          <w:rFonts w:hint="eastAsia" w:ascii="宋体" w:hAnsi="宋体" w:cs="宋体"/>
          <w:color w:val="auto"/>
          <w:kern w:val="0"/>
          <w:sz w:val="24"/>
          <w:highlight w:val="none"/>
        </w:rPr>
        <w:t>：</w:t>
      </w:r>
    </w:p>
    <w:p w14:paraId="435D4F2F">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我司现对贵方招标的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项目</w:t>
      </w:r>
      <w:r>
        <w:rPr>
          <w:rFonts w:ascii="宋体" w:hAnsi="宋体" w:cs="宋体"/>
          <w:color w:val="auto"/>
          <w:kern w:val="0"/>
          <w:sz w:val="24"/>
          <w:highlight w:val="none"/>
        </w:rPr>
        <w:t>[</w:t>
      </w:r>
      <w:r>
        <w:rPr>
          <w:rFonts w:hint="eastAsia" w:ascii="宋体" w:hAnsi="宋体" w:cs="宋体"/>
          <w:color w:val="auto"/>
          <w:kern w:val="0"/>
          <w:sz w:val="24"/>
          <w:highlight w:val="none"/>
        </w:rPr>
        <w:t>项目编号：</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第</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包</w:t>
      </w:r>
      <w:r>
        <w:rPr>
          <w:rFonts w:ascii="宋体" w:hAnsi="宋体" w:cs="宋体"/>
          <w:color w:val="auto"/>
          <w:kern w:val="0"/>
          <w:sz w:val="24"/>
          <w:highlight w:val="none"/>
        </w:rPr>
        <w:t>]</w:t>
      </w:r>
      <w:r>
        <w:rPr>
          <w:rFonts w:hint="eastAsia" w:ascii="宋体" w:hAnsi="宋体" w:cs="宋体"/>
          <w:color w:val="auto"/>
          <w:kern w:val="0"/>
          <w:sz w:val="24"/>
          <w:highlight w:val="none"/>
        </w:rPr>
        <w:t>售后服务作出承诺，如果我司生产的产品中标，将授权给按</w:t>
      </w:r>
      <w:r>
        <w:rPr>
          <w:rFonts w:ascii="宋体" w:cs="宋体"/>
          <w:color w:val="auto"/>
          <w:kern w:val="0"/>
          <w:sz w:val="24"/>
          <w:highlight w:val="none"/>
          <w:u w:val="single"/>
        </w:rPr>
        <w:tab/>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（国家名称）法律成立的</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（制造商或代理商名称，以下简称“售后服务商”），主要营业地点设在</w:t>
      </w:r>
      <w:r>
        <w:rPr>
          <w:rFonts w:ascii="宋体" w:cs="宋体"/>
          <w:color w:val="auto"/>
          <w:kern w:val="0"/>
          <w:sz w:val="24"/>
          <w:highlight w:val="none"/>
          <w:u w:val="single"/>
        </w:rPr>
        <w:tab/>
      </w:r>
      <w:r>
        <w:rPr>
          <w:rFonts w:hint="eastAsia" w:ascii="宋体" w:hAnsi="宋体" w:cs="宋体"/>
          <w:color w:val="auto"/>
          <w:kern w:val="0"/>
          <w:sz w:val="24"/>
          <w:highlight w:val="none"/>
        </w:rPr>
        <w:t>（制造商地址），联系方式为</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（联系人、电话、传真、邮政编码）代表我方在中华人民共和国办理我司产品包含但不限于以下的售后服务承诺：</w:t>
      </w:r>
    </w:p>
    <w:p w14:paraId="6D5075ED">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售后服务商为贵方免费提供操作及维护培训，主要内容为货物的基本结构、性能、主要部件的构造及原理，日常使用操作、保养与管理，常见故障的排除，紧急情况的处理等，培训地点主要在货物安装、调试现场或最终使用单位进行；</w:t>
      </w:r>
    </w:p>
    <w:p w14:paraId="26F45E91">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、售后服务商提供整套设备（含底盘、上装、随带器材以及改装设备）不少于</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年的质保服务，质保期自合同中约定的验收合格报告书签字生效之日起计算；</w:t>
      </w:r>
    </w:p>
    <w:p w14:paraId="0B9EE69A">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、确实非我司生产的改装设备或部件出现故障时，将由售后服务商负责联系改装设备或部件的生产厂家进行免费上门维修，质保期时限仍按整套设备年限执行；</w:t>
      </w:r>
    </w:p>
    <w:p w14:paraId="71362ED4">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、质保期内售后服务商负责货物运行的稳定性，如非贵方的人为原因而出现货物质量及安装问题，由售后服务商负责包修、包换或包退，并承担因此而产生的一切费用。售后服务商将在收到贵方保修通知后派员在</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小时（或天）内到现场维修。质保期后，由售后服务商提供两年的免费保修服务，保修费用计入合同总价，售后服务商只收取材料成本费；</w:t>
      </w:r>
    </w:p>
    <w:p w14:paraId="0777EB14">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、在质保期与保修期内，售后服务商将提供</w:t>
      </w:r>
      <w:r>
        <w:rPr>
          <w:rFonts w:ascii="宋体" w:hAnsi="宋体" w:cs="宋体"/>
          <w:color w:val="auto"/>
          <w:kern w:val="0"/>
          <w:sz w:val="24"/>
          <w:highlight w:val="none"/>
        </w:rPr>
        <w:t xml:space="preserve"> 24 </w:t>
      </w:r>
      <w:r>
        <w:rPr>
          <w:rFonts w:hint="eastAsia" w:ascii="宋体" w:hAnsi="宋体" w:cs="宋体"/>
          <w:color w:val="auto"/>
          <w:kern w:val="0"/>
          <w:sz w:val="24"/>
          <w:highlight w:val="none"/>
        </w:rPr>
        <w:t>小时电话服务热线，保证在接到贵方故障报修电话后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小时（或天）内到达现场，并在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小时（或天）内解决故障，如果主要部件需从我司发运，将在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天（或月）内解决故障；</w:t>
      </w:r>
    </w:p>
    <w:p w14:paraId="73F3C67C">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、质保期内及质保期过后，如因货物设计或生产工艺质量问题需要成批召回维修的，</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我司将及时通过售后服务商通知贵方并积极协助办理有关手续，一切费用由售后服务商承担；</w:t>
      </w:r>
    </w:p>
    <w:p w14:paraId="5AFA3F7C">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、所有货物保修服务方式均为我司及售后服务商上门保修，即由我司派员连同售后服务商到贵方货物使用现场维修，由此产生的一切费用均由售后服务商承担；</w:t>
      </w:r>
    </w:p>
    <w:p w14:paraId="024D743C">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8</w:t>
      </w:r>
      <w:r>
        <w:rPr>
          <w:rFonts w:hint="eastAsia" w:ascii="宋体" w:hAnsi="宋体" w:cs="宋体"/>
          <w:color w:val="auto"/>
          <w:kern w:val="0"/>
          <w:sz w:val="24"/>
          <w:highlight w:val="none"/>
        </w:rPr>
        <w:t>、售后服务商在货物验收后将及时归纳、整理各项详细验收报告、技术文档、硬件技术文件等资料，并提交给贵方，技术文件包括验收报告、技术文档、完整的软、硬件技术资料（含纸介质和光电介质），同时提供中文说明书；</w:t>
      </w:r>
    </w:p>
    <w:p w14:paraId="0F4C446C">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9</w:t>
      </w:r>
      <w:r>
        <w:rPr>
          <w:rFonts w:hint="eastAsia" w:ascii="宋体" w:hAnsi="宋体" w:cs="宋体"/>
          <w:color w:val="auto"/>
          <w:kern w:val="0"/>
          <w:sz w:val="24"/>
          <w:highlight w:val="none"/>
        </w:rPr>
        <w:t>、售后服务商将建立质量跟踪档案，每季度不少于一次向贵方进行现场（或电话）</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回访，以保证货物的正常高效使用，同时记录售后服务情况并征求使用单位的售后服务反馈意见；</w:t>
      </w:r>
    </w:p>
    <w:p w14:paraId="6679CE40">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日签署本文件，</w:t>
      </w:r>
      <w:r>
        <w:rPr>
          <w:rFonts w:ascii="宋体" w:cs="宋体"/>
          <w:color w:val="auto"/>
          <w:kern w:val="0"/>
          <w:sz w:val="24"/>
          <w:highlight w:val="none"/>
          <w:u w:val="single"/>
        </w:rPr>
        <w:tab/>
      </w:r>
      <w:r>
        <w:rPr>
          <w:rFonts w:ascii="宋体" w:hAnsi="宋体" w:cs="宋体"/>
          <w:color w:val="auto"/>
          <w:kern w:val="0"/>
          <w:sz w:val="24"/>
          <w:highlight w:val="none"/>
        </w:rPr>
        <w:t>(</w:t>
      </w:r>
      <w:r>
        <w:rPr>
          <w:rFonts w:hint="eastAsia" w:ascii="宋体" w:hAnsi="宋体" w:cs="宋体"/>
          <w:color w:val="auto"/>
          <w:kern w:val="0"/>
          <w:sz w:val="24"/>
          <w:highlight w:val="none"/>
        </w:rPr>
        <w:t>售后服务商</w:t>
      </w:r>
      <w:r>
        <w:rPr>
          <w:rFonts w:ascii="宋体" w:hAnsi="宋体" w:cs="宋体"/>
          <w:color w:val="auto"/>
          <w:kern w:val="0"/>
          <w:sz w:val="24"/>
          <w:highlight w:val="none"/>
        </w:rPr>
        <w:t>)</w:t>
      </w:r>
      <w:r>
        <w:rPr>
          <w:rFonts w:hint="eastAsia" w:ascii="宋体" w:hAnsi="宋体" w:cs="宋体"/>
          <w:color w:val="auto"/>
          <w:kern w:val="0"/>
          <w:sz w:val="24"/>
          <w:highlight w:val="none"/>
        </w:rPr>
        <w:t>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日接受此件，代表我方履行上述售后服务条款，并具有替换或撤销的全权，如果售后服务商未能履行上述服务条款，我司将承担全部责任，以此为证。</w:t>
      </w:r>
    </w:p>
    <w:p w14:paraId="1853120E">
      <w:pPr>
        <w:snapToGrid w:val="0"/>
        <w:spacing w:line="360" w:lineRule="auto"/>
        <w:textAlignment w:val="baseline"/>
        <w:rPr>
          <w:rFonts w:hint="eastAsia" w:ascii="宋体" w:hAnsi="宋体" w:cs="宋体"/>
          <w:color w:val="auto"/>
          <w:kern w:val="0"/>
          <w:sz w:val="24"/>
          <w:highlight w:val="none"/>
        </w:rPr>
      </w:pPr>
    </w:p>
    <w:p w14:paraId="722F7AF2">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售后服务商名称：（公章）</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制造商名称：（公章）</w:t>
      </w:r>
    </w:p>
    <w:p w14:paraId="180CBC1B">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法定地址：</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法定地址：</w:t>
      </w:r>
    </w:p>
    <w:p w14:paraId="74C3B45B">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授权签字的代表姓名：</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授权签字的代表姓名：</w:t>
      </w:r>
    </w:p>
    <w:p w14:paraId="26BF32CF">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职务和部门：</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职务和部门：</w:t>
      </w:r>
    </w:p>
    <w:p w14:paraId="16D82624">
      <w:pPr>
        <w:spacing w:line="360" w:lineRule="auto"/>
        <w:rPr>
          <w:color w:val="auto"/>
          <w:highlight w:val="none"/>
        </w:rPr>
      </w:pPr>
    </w:p>
    <w:p w14:paraId="2E8F311E">
      <w:pPr>
        <w:spacing w:line="360" w:lineRule="auto"/>
        <w:rPr>
          <w:color w:val="auto"/>
          <w:highlight w:val="none"/>
        </w:rPr>
      </w:pPr>
    </w:p>
    <w:p w14:paraId="717A86DA">
      <w:pPr>
        <w:spacing w:line="360" w:lineRule="auto"/>
        <w:rPr>
          <w:color w:val="auto"/>
          <w:highlight w:val="none"/>
        </w:rPr>
      </w:pPr>
    </w:p>
    <w:p w14:paraId="6CF0A411">
      <w:pPr>
        <w:spacing w:line="360" w:lineRule="auto"/>
        <w:rPr>
          <w:color w:val="auto"/>
          <w:highlight w:val="none"/>
        </w:rPr>
      </w:pPr>
    </w:p>
    <w:p w14:paraId="515CEB78">
      <w:pPr>
        <w:spacing w:line="360" w:lineRule="auto"/>
        <w:rPr>
          <w:color w:val="auto"/>
          <w:highlight w:val="none"/>
        </w:rPr>
      </w:pPr>
    </w:p>
    <w:p w14:paraId="3F32BF59">
      <w:pPr>
        <w:spacing w:line="360" w:lineRule="auto"/>
        <w:rPr>
          <w:color w:val="auto"/>
          <w:highlight w:val="none"/>
        </w:rPr>
      </w:pPr>
    </w:p>
    <w:p w14:paraId="5CBCFE19">
      <w:pPr>
        <w:spacing w:line="360" w:lineRule="auto"/>
        <w:rPr>
          <w:color w:val="auto"/>
          <w:highlight w:val="none"/>
        </w:rPr>
      </w:pPr>
    </w:p>
    <w:p w14:paraId="2F0067EA">
      <w:pPr>
        <w:spacing w:line="360" w:lineRule="auto"/>
        <w:rPr>
          <w:color w:val="auto"/>
          <w:highlight w:val="none"/>
        </w:rPr>
      </w:pPr>
    </w:p>
    <w:p w14:paraId="21EBB344">
      <w:pPr>
        <w:widowControl/>
        <w:spacing w:line="360" w:lineRule="auto"/>
        <w:rPr>
          <w:rFonts w:ascii="宋体" w:cs="宋体"/>
          <w:color w:val="auto"/>
          <w:szCs w:val="21"/>
          <w:highlight w:val="none"/>
        </w:rPr>
      </w:pPr>
    </w:p>
    <w:p w14:paraId="45F82893">
      <w:pPr>
        <w:autoSpaceDE w:val="0"/>
        <w:autoSpaceDN w:val="0"/>
        <w:spacing w:line="360" w:lineRule="auto"/>
        <w:jc w:val="center"/>
        <w:rPr>
          <w:rFonts w:ascii="宋体" w:cs="宋体"/>
          <w:b/>
          <w:bCs/>
          <w:color w:val="auto"/>
          <w:sz w:val="36"/>
          <w:szCs w:val="36"/>
          <w:highlight w:val="none"/>
        </w:rPr>
      </w:pPr>
    </w:p>
    <w:p w14:paraId="64132367">
      <w:pPr>
        <w:pStyle w:val="21"/>
        <w:rPr>
          <w:rFonts w:ascii="宋体" w:cs="宋体"/>
          <w:b/>
          <w:bCs/>
          <w:color w:val="auto"/>
          <w:sz w:val="36"/>
          <w:szCs w:val="36"/>
          <w:highlight w:val="none"/>
        </w:rPr>
      </w:pPr>
    </w:p>
    <w:p w14:paraId="25962EBF">
      <w:pPr>
        <w:rPr>
          <w:rFonts w:ascii="宋体" w:cs="宋体"/>
          <w:b/>
          <w:bCs/>
          <w:color w:val="auto"/>
          <w:sz w:val="36"/>
          <w:szCs w:val="36"/>
          <w:highlight w:val="none"/>
        </w:rPr>
      </w:pPr>
    </w:p>
    <w:p w14:paraId="347E6EA8">
      <w:pPr>
        <w:rPr>
          <w:rFonts w:ascii="宋体" w:cs="宋体"/>
          <w:b/>
          <w:bCs/>
          <w:color w:val="auto"/>
          <w:sz w:val="36"/>
          <w:szCs w:val="36"/>
          <w:highlight w:val="none"/>
        </w:rPr>
      </w:pPr>
    </w:p>
    <w:p w14:paraId="46F675F1">
      <w:pPr>
        <w:rPr>
          <w:rFonts w:ascii="宋体" w:cs="宋体"/>
          <w:b/>
          <w:bCs/>
          <w:color w:val="auto"/>
          <w:sz w:val="36"/>
          <w:szCs w:val="36"/>
          <w:highlight w:val="none"/>
        </w:rPr>
      </w:pPr>
    </w:p>
    <w:p w14:paraId="46A19D86">
      <w:pPr>
        <w:rPr>
          <w:color w:val="auto"/>
          <w:highlight w:val="none"/>
        </w:rPr>
      </w:pPr>
    </w:p>
    <w:p w14:paraId="4B7C6E7F">
      <w:pPr>
        <w:jc w:val="center"/>
        <w:rPr>
          <w:rFonts w:ascii="宋体" w:cs="宋体"/>
          <w:b/>
          <w:bCs/>
          <w:color w:val="auto"/>
          <w:sz w:val="28"/>
          <w:szCs w:val="28"/>
          <w:highlight w:val="none"/>
        </w:rPr>
      </w:pPr>
      <w:r>
        <w:rPr>
          <w:rFonts w:hint="eastAsia" w:ascii="宋体" w:hAnsi="宋体" w:cs="宋体"/>
          <w:b/>
          <w:bCs/>
          <w:color w:val="auto"/>
          <w:sz w:val="28"/>
          <w:szCs w:val="28"/>
          <w:highlight w:val="none"/>
        </w:rPr>
        <w:t>专项预付款银行保函</w:t>
      </w:r>
    </w:p>
    <w:p w14:paraId="1B93182F">
      <w:pPr>
        <w:snapToGrid w:val="0"/>
        <w:spacing w:line="500" w:lineRule="exact"/>
        <w:ind w:firstLine="480" w:firstLineChars="200"/>
        <w:textAlignment w:val="baseline"/>
        <w:rPr>
          <w:rFonts w:hint="eastAsia" w:asci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lang w:eastAsia="zh-CN"/>
        </w:rPr>
        <w:t>平顶山市消防救援支队</w:t>
      </w:r>
    </w:p>
    <w:p w14:paraId="53AFE4F1">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根据</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（下称“公司”）</w:t>
      </w:r>
      <w:r>
        <w:rPr>
          <w:rFonts w:hint="eastAsia" w:ascii="宋体" w:hAnsi="宋体" w:cs="宋体"/>
          <w:color w:val="auto"/>
          <w:kern w:val="0"/>
          <w:sz w:val="24"/>
          <w:szCs w:val="24"/>
          <w:highlight w:val="none"/>
        </w:rPr>
        <w:t>与</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（下称“消防救援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队”）于</w:t>
      </w:r>
      <w:r>
        <w:rPr>
          <w:rFonts w:ascii="宋体" w:cs="宋体"/>
          <w:color w:val="auto"/>
          <w:kern w:val="0"/>
          <w:sz w:val="24"/>
          <w:szCs w:val="24"/>
          <w:highlight w:val="none"/>
          <w:u w:val="single"/>
        </w:rPr>
        <w:tab/>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日</w:t>
      </w:r>
      <w:r>
        <w:rPr>
          <w:rFonts w:hint="eastAsia" w:ascii="宋体" w:hAnsi="宋体" w:cs="宋体"/>
          <w:color w:val="auto"/>
          <w:kern w:val="0"/>
          <w:sz w:val="24"/>
          <w:szCs w:val="24"/>
          <w:highlight w:val="none"/>
        </w:rPr>
        <w:t>签订的</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按约定的金额提交一份预付款银行保函（下称“保函”）作为购买材料（或合同约定的其他专项义务）专款专用的担保后，</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即有权得到消防救援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队支付的一笔相等金额的（预购材料）的预付款。我行愿意出具保函为公司担保，担保金额为人民币</w:t>
      </w:r>
      <w:r>
        <w:rPr>
          <w:rFonts w:hint="eastAsia" w:ascii="宋体" w:hAnsi="宋体" w:cs="宋体"/>
          <w:color w:val="auto"/>
          <w:kern w:val="0"/>
          <w:sz w:val="24"/>
          <w:szCs w:val="24"/>
          <w:highlight w:val="none"/>
          <w:u w:val="single"/>
        </w:rPr>
        <w:t>（大写）</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 xml:space="preserve"> </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元）</w:t>
      </w:r>
      <w:r>
        <w:rPr>
          <w:rFonts w:hint="eastAsia" w:ascii="宋体" w:hAnsi="宋体" w:cs="宋体"/>
          <w:color w:val="auto"/>
          <w:kern w:val="0"/>
          <w:sz w:val="24"/>
          <w:szCs w:val="24"/>
          <w:highlight w:val="none"/>
        </w:rPr>
        <w:t>。</w:t>
      </w:r>
    </w:p>
    <w:p w14:paraId="466BF6BA">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本保函的义务是：我行在接到消防救援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队提出的因</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在履行合同过程中未将消防救援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队预付款按</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约定购买</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材料</w:t>
      </w:r>
      <w:r>
        <w:rPr>
          <w:rFonts w:hint="eastAsia" w:ascii="宋体" w:hAnsi="宋体" w:cs="宋体"/>
          <w:color w:val="auto"/>
          <w:kern w:val="0"/>
          <w:sz w:val="24"/>
          <w:szCs w:val="24"/>
          <w:highlight w:val="none"/>
        </w:rPr>
        <w:t>（或合同约定的其他专项义务）而要求索赔的书面通知后</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天内，我行在上述担保金额的限额内无条件向消防救援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队所要求数额的款项，无须消防救援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队出具任何证明或陈述理由。</w:t>
      </w:r>
    </w:p>
    <w:p w14:paraId="7CBECEDD">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在向我行提出要求时，我行将不得要求消防救援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队应首先向</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索要上述款项。我行同意，任何对合同条款所作的修改或补充都不能免除我行按本保函所应承担的义务。</w:t>
      </w:r>
    </w:p>
    <w:p w14:paraId="419E5B67">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本保函不可撤销，并为见索即付保函。本保函在担保金额支付完毕，或</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出具专款专用履行完毕证明书之日起失效。</w:t>
      </w:r>
    </w:p>
    <w:p w14:paraId="0526FE5E">
      <w:pPr>
        <w:snapToGrid w:val="0"/>
        <w:spacing w:line="500" w:lineRule="exact"/>
        <w:ind w:firstLine="480" w:firstLineChars="200"/>
        <w:textAlignment w:val="baseline"/>
        <w:rPr>
          <w:rFonts w:ascii="宋体" w:cs="宋体"/>
          <w:color w:val="auto"/>
          <w:kern w:val="0"/>
          <w:sz w:val="24"/>
          <w:szCs w:val="24"/>
          <w:highlight w:val="none"/>
        </w:rPr>
      </w:pPr>
    </w:p>
    <w:p w14:paraId="16CF4D62">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担保银行：</w:t>
      </w:r>
    </w:p>
    <w:p w14:paraId="3D390F29">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p w14:paraId="2703B791">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日</w:t>
      </w:r>
    </w:p>
    <w:p w14:paraId="7D6AF35F">
      <w:pPr>
        <w:widowControl/>
        <w:jc w:val="center"/>
        <w:rPr>
          <w:rFonts w:ascii="宋体" w:cs="宋体"/>
          <w:b/>
          <w:bCs/>
          <w:color w:val="auto"/>
          <w:sz w:val="36"/>
          <w:szCs w:val="36"/>
          <w:highlight w:val="none"/>
        </w:rPr>
      </w:pPr>
      <w:r>
        <w:rPr>
          <w:rFonts w:ascii="宋体" w:cs="宋体"/>
          <w:b/>
          <w:bCs/>
          <w:color w:val="auto"/>
          <w:sz w:val="36"/>
          <w:szCs w:val="36"/>
          <w:highlight w:val="none"/>
        </w:rPr>
        <w:br w:type="page"/>
      </w:r>
      <w:r>
        <w:rPr>
          <w:rFonts w:hint="eastAsia" w:ascii="宋体" w:hAnsi="宋体" w:cs="宋体"/>
          <w:b/>
          <w:bCs/>
          <w:color w:val="auto"/>
          <w:sz w:val="36"/>
          <w:szCs w:val="36"/>
          <w:highlight w:val="none"/>
        </w:rPr>
        <w:t>河南省政府采购合同融资政策告知函</w:t>
      </w:r>
    </w:p>
    <w:p w14:paraId="0BCB795F">
      <w:pPr>
        <w:autoSpaceDE w:val="0"/>
        <w:autoSpaceDN w:val="0"/>
        <w:spacing w:line="360" w:lineRule="auto"/>
        <w:ind w:firstLine="480" w:firstLineChars="200"/>
        <w:rPr>
          <w:rFonts w:ascii="宋体" w:cs="宋体"/>
          <w:color w:val="auto"/>
          <w:sz w:val="24"/>
          <w:highlight w:val="none"/>
        </w:rPr>
      </w:pPr>
    </w:p>
    <w:p w14:paraId="56E7FA69">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各供应商：</w:t>
      </w:r>
    </w:p>
    <w:p w14:paraId="6231997F">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欢迎贵公司参与河南省政府采购活动！</w:t>
      </w:r>
    </w:p>
    <w:p w14:paraId="77FF0142">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rPr>
        <w:t>2017</w:t>
      </w: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号），按照双方自愿的原则提供便捷、优惠的贷款服务。</w:t>
      </w:r>
    </w:p>
    <w:p w14:paraId="677E18C5">
      <w:pPr>
        <w:autoSpaceDE w:val="0"/>
        <w:autoSpaceDN w:val="0"/>
        <w:spacing w:line="360" w:lineRule="auto"/>
        <w:ind w:firstLine="480" w:firstLineChars="200"/>
        <w:rPr>
          <w:rFonts w:ascii="宋体" w:cs="宋体"/>
          <w:bCs/>
          <w:color w:val="auto"/>
          <w:kern w:val="0"/>
          <w:sz w:val="32"/>
          <w:szCs w:val="32"/>
          <w:highlight w:val="none"/>
        </w:rPr>
        <w:sectPr>
          <w:footerReference r:id="rId8" w:type="default"/>
          <w:pgSz w:w="11911" w:h="16838"/>
          <w:pgMar w:top="1440" w:right="1803" w:bottom="1440" w:left="1803" w:header="850" w:footer="964" w:gutter="0"/>
          <w:pgBorders>
            <w:top w:val="none" w:sz="0" w:space="0"/>
            <w:left w:val="none" w:sz="0" w:space="0"/>
            <w:bottom w:val="none" w:sz="0" w:space="0"/>
            <w:right w:val="none" w:sz="0" w:space="0"/>
          </w:pgBorders>
          <w:pgNumType w:fmt="decimal"/>
          <w:cols w:space="0" w:num="1"/>
          <w:rtlGutter w:val="0"/>
          <w:docGrid w:linePitch="315" w:charSpace="0"/>
        </w:sectPr>
      </w:pPr>
      <w:r>
        <w:rPr>
          <w:rFonts w:hint="eastAsia" w:ascii="宋体" w:hAnsi="宋体" w:cs="宋体"/>
          <w:color w:val="auto"/>
          <w:sz w:val="24"/>
          <w:highlight w:val="none"/>
        </w:rPr>
        <w:t>贷款渠道和提供贷款的金融机构，可在河南省政府采购网</w:t>
      </w:r>
      <w:r>
        <w:rPr>
          <w:rFonts w:hint="eastAsia" w:ascii="宋体" w:hAnsi="宋体" w:cs="宋体"/>
          <w:color w:val="auto"/>
          <w:sz w:val="24"/>
          <w:highlight w:val="none"/>
          <w:lang w:val="zh-CN"/>
        </w:rPr>
        <w:t>“河南</w:t>
      </w:r>
      <w:r>
        <w:rPr>
          <w:rFonts w:hint="eastAsia" w:ascii="宋体" w:hAnsi="宋体" w:cs="宋体"/>
          <w:color w:val="auto"/>
          <w:sz w:val="24"/>
          <w:highlight w:val="none"/>
        </w:rPr>
        <w:t>省政府采购合同融资平台</w:t>
      </w:r>
      <w:r>
        <w:rPr>
          <w:rFonts w:ascii="宋体" w:hAnsi="宋体" w:cs="宋体"/>
          <w:color w:val="auto"/>
          <w:sz w:val="24"/>
          <w:highlight w:val="none"/>
        </w:rPr>
        <w:t>"</w:t>
      </w:r>
      <w:r>
        <w:rPr>
          <w:rFonts w:hint="eastAsia" w:ascii="宋体" w:hAnsi="宋体" w:cs="宋体"/>
          <w:color w:val="auto"/>
          <w:sz w:val="24"/>
          <w:highlight w:val="none"/>
        </w:rPr>
        <w:t>查询联系。</w:t>
      </w:r>
    </w:p>
    <w:p w14:paraId="34294947">
      <w:pPr>
        <w:spacing w:line="360" w:lineRule="auto"/>
        <w:rPr>
          <w:rFonts w:ascii="宋体" w:cs="宋体"/>
          <w:bCs/>
          <w:color w:val="auto"/>
          <w:kern w:val="0"/>
          <w:szCs w:val="21"/>
          <w:highlight w:val="none"/>
        </w:rPr>
      </w:pPr>
    </w:p>
    <w:p w14:paraId="7825D16C">
      <w:pPr>
        <w:pStyle w:val="2"/>
        <w:rPr>
          <w:rFonts w:hint="eastAsia" w:ascii="宋体" w:hAnsi="宋体" w:cs="宋体"/>
          <w:color w:val="auto"/>
          <w:szCs w:val="32"/>
          <w:highlight w:val="none"/>
        </w:rPr>
      </w:pPr>
      <w:bookmarkStart w:id="468" w:name="_Toc22008"/>
      <w:bookmarkStart w:id="469" w:name="_Toc40112141"/>
      <w:bookmarkStart w:id="470" w:name="_Toc23795"/>
      <w:bookmarkStart w:id="471" w:name="_Toc8047"/>
      <w:r>
        <w:rPr>
          <w:rFonts w:hint="eastAsia" w:ascii="宋体" w:hAnsi="宋体" w:cs="宋体"/>
          <w:color w:val="auto"/>
          <w:szCs w:val="32"/>
          <w:highlight w:val="none"/>
        </w:rPr>
        <w:t>第六章</w:t>
      </w:r>
      <w:r>
        <w:rPr>
          <w:rFonts w:ascii="宋体" w:hAnsi="宋体" w:cs="宋体"/>
          <w:color w:val="auto"/>
          <w:szCs w:val="32"/>
          <w:highlight w:val="none"/>
        </w:rPr>
        <w:t xml:space="preserve">  </w:t>
      </w:r>
      <w:r>
        <w:rPr>
          <w:rFonts w:hint="eastAsia" w:ascii="宋体" w:hAnsi="宋体" w:cs="宋体"/>
          <w:color w:val="auto"/>
          <w:szCs w:val="32"/>
          <w:highlight w:val="none"/>
        </w:rPr>
        <w:t>招标项目需求及技术要求</w:t>
      </w:r>
      <w:bookmarkEnd w:id="468"/>
      <w:bookmarkEnd w:id="469"/>
      <w:bookmarkEnd w:id="470"/>
      <w:bookmarkEnd w:id="471"/>
    </w:p>
    <w:p w14:paraId="2FBC73A5">
      <w:pPr>
        <w:spacing w:line="360" w:lineRule="auto"/>
        <w:jc w:val="center"/>
        <w:outlineLvl w:val="1"/>
        <w:rPr>
          <w:rFonts w:ascii="宋体" w:cs="宋体"/>
          <w:b/>
          <w:color w:val="auto"/>
          <w:sz w:val="32"/>
          <w:szCs w:val="32"/>
          <w:highlight w:val="none"/>
        </w:rPr>
      </w:pPr>
      <w:bookmarkStart w:id="472" w:name="_Toc7733"/>
      <w:bookmarkStart w:id="473" w:name="_Toc2376"/>
      <w:bookmarkStart w:id="474" w:name="_Toc24050"/>
      <w:bookmarkStart w:id="475" w:name="_Toc612"/>
      <w:r>
        <w:rPr>
          <w:rFonts w:hint="eastAsia" w:ascii="宋体" w:hAnsi="宋体" w:cs="宋体"/>
          <w:b/>
          <w:color w:val="auto"/>
          <w:sz w:val="32"/>
          <w:szCs w:val="32"/>
          <w:highlight w:val="none"/>
        </w:rPr>
        <w:t>一、项目需求</w:t>
      </w:r>
      <w:bookmarkEnd w:id="472"/>
      <w:bookmarkEnd w:id="473"/>
      <w:bookmarkEnd w:id="474"/>
      <w:bookmarkEnd w:id="475"/>
    </w:p>
    <w:p w14:paraId="56AB3F94">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1.1 项目名称：</w:t>
      </w: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平顶山市消防救援支队河南省消防救援总队“自然灾害应急能力提升工程”平顶山支队装备建设（第二批）项目</w:t>
      </w:r>
    </w:p>
    <w:p w14:paraId="536A73DB">
      <w:pPr>
        <w:adjustRightInd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 采购内容：</w:t>
      </w:r>
    </w:p>
    <w:p w14:paraId="57A4B490">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包号：平公资采2024</w:t>
      </w:r>
      <w:r>
        <w:rPr>
          <w:rFonts w:hint="eastAsia" w:ascii="宋体" w:hAnsi="宋体" w:cs="宋体"/>
          <w:b w:val="0"/>
          <w:bCs w:val="0"/>
          <w:color w:val="auto"/>
          <w:sz w:val="24"/>
          <w:szCs w:val="24"/>
          <w:highlight w:val="none"/>
          <w:lang w:val="en-US" w:eastAsia="zh-CN"/>
        </w:rPr>
        <w:t>1080</w:t>
      </w:r>
      <w:r>
        <w:rPr>
          <w:rFonts w:hint="eastAsia" w:ascii="宋体" w:hAnsi="宋体" w:eastAsia="宋体" w:cs="宋体"/>
          <w:b w:val="0"/>
          <w:bCs w:val="0"/>
          <w:color w:val="auto"/>
          <w:sz w:val="24"/>
          <w:szCs w:val="24"/>
          <w:highlight w:val="none"/>
          <w:lang w:val="en-US" w:eastAsia="zh-CN"/>
        </w:rPr>
        <w:t xml:space="preserve">号-1，包内容及数量（辆/件/套/台）：发电车1；   </w:t>
      </w:r>
    </w:p>
    <w:p w14:paraId="5CAC3BBA">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包号：平公资采2024</w:t>
      </w:r>
      <w:r>
        <w:rPr>
          <w:rFonts w:hint="eastAsia" w:ascii="宋体" w:hAnsi="宋体" w:cs="宋体"/>
          <w:b w:val="0"/>
          <w:bCs w:val="0"/>
          <w:color w:val="auto"/>
          <w:sz w:val="24"/>
          <w:szCs w:val="24"/>
          <w:highlight w:val="none"/>
          <w:lang w:val="en-US" w:eastAsia="zh-CN"/>
        </w:rPr>
        <w:t>1080</w:t>
      </w:r>
      <w:r>
        <w:rPr>
          <w:rFonts w:hint="eastAsia" w:ascii="宋体" w:hAnsi="宋体" w:eastAsia="宋体" w:cs="宋体"/>
          <w:b w:val="0"/>
          <w:bCs w:val="0"/>
          <w:color w:val="auto"/>
          <w:sz w:val="24"/>
          <w:szCs w:val="24"/>
          <w:highlight w:val="none"/>
          <w:lang w:val="en-US" w:eastAsia="zh-CN"/>
        </w:rPr>
        <w:t>号-2，包内容及数量（辆/件/套/台）：物资运输车B1；</w:t>
      </w:r>
    </w:p>
    <w:p w14:paraId="7252014B">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包号：平公资采2024</w:t>
      </w:r>
      <w:r>
        <w:rPr>
          <w:rFonts w:hint="eastAsia" w:ascii="宋体" w:hAnsi="宋体" w:cs="宋体"/>
          <w:b w:val="0"/>
          <w:bCs w:val="0"/>
          <w:color w:val="auto"/>
          <w:sz w:val="24"/>
          <w:szCs w:val="24"/>
          <w:highlight w:val="none"/>
          <w:lang w:val="en-US" w:eastAsia="zh-CN"/>
        </w:rPr>
        <w:t>1080</w:t>
      </w:r>
      <w:r>
        <w:rPr>
          <w:rFonts w:hint="eastAsia" w:ascii="宋体" w:hAnsi="宋体" w:eastAsia="宋体" w:cs="宋体"/>
          <w:b w:val="0"/>
          <w:bCs w:val="0"/>
          <w:color w:val="auto"/>
          <w:sz w:val="24"/>
          <w:szCs w:val="24"/>
          <w:highlight w:val="none"/>
          <w:lang w:val="en-US" w:eastAsia="zh-CN"/>
        </w:rPr>
        <w:t>号-3，包内容及数量（辆/件/套/台）：干粉消防车1；</w:t>
      </w:r>
    </w:p>
    <w:p w14:paraId="176979E8">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 质量要求：合格（符合现行国家、行业、地方相关规范要求）。</w:t>
      </w:r>
    </w:p>
    <w:p w14:paraId="22AE55D4">
      <w:pPr>
        <w:adjustRightInd w:val="0"/>
        <w:snapToGrid w:val="0"/>
        <w:spacing w:line="360" w:lineRule="auto"/>
        <w:ind w:firstLine="480" w:firstLineChars="20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 w:val="0"/>
          <w:bCs w:val="0"/>
          <w:color w:val="auto"/>
          <w:sz w:val="24"/>
          <w:szCs w:val="24"/>
          <w:highlight w:val="none"/>
          <w:lang w:val="en-US" w:eastAsia="zh-CN"/>
        </w:rPr>
        <w:t>1.4 交货期：采用进口底盘投标的，自合同签订之日起120日历天，采用国产底盘投标的，自合同签订之日起90日历天。</w:t>
      </w:r>
    </w:p>
    <w:p w14:paraId="2B7B13AC">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1.5</w:t>
      </w:r>
      <w:r>
        <w:rPr>
          <w:rFonts w:hint="eastAsia" w:ascii="宋体" w:hAnsi="宋体" w:eastAsia="宋体" w:cs="宋体"/>
          <w:bCs/>
          <w:color w:val="auto"/>
          <w:kern w:val="0"/>
          <w:sz w:val="24"/>
          <w:szCs w:val="24"/>
          <w:highlight w:val="none"/>
        </w:rPr>
        <w:t>交货地点：采购人指定地点。</w:t>
      </w:r>
    </w:p>
    <w:p w14:paraId="2E7559DB">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本次采购车型整车质保期为5年（自验收合格之日算起）。</w:t>
      </w:r>
    </w:p>
    <w:p w14:paraId="1AB2346C">
      <w:pPr>
        <w:spacing w:line="360" w:lineRule="auto"/>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1.7标包划分（包1-包3）：</w:t>
      </w:r>
    </w:p>
    <w:tbl>
      <w:tblPr>
        <w:tblStyle w:val="23"/>
        <w:tblW w:w="86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684"/>
        <w:gridCol w:w="1391"/>
        <w:gridCol w:w="939"/>
        <w:gridCol w:w="1082"/>
        <w:gridCol w:w="1111"/>
        <w:gridCol w:w="907"/>
        <w:gridCol w:w="1077"/>
        <w:gridCol w:w="1024"/>
      </w:tblGrid>
      <w:tr w14:paraId="36BB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F7B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0E9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包号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3D7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FEB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数量（辆）</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9F7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预算单价（单品最高限价）（万元）</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247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单品合计金额（万元）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7D5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包最高限价（万元）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76B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质保期（年，自验收合格之日算起）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070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35"/>
                <w:sz w:val="24"/>
                <w:szCs w:val="24"/>
                <w:highlight w:val="none"/>
                <w:lang w:val="en-US" w:eastAsia="zh-CN" w:bidi="ar"/>
              </w:rPr>
              <w:t>交货期</w:t>
            </w:r>
          </w:p>
        </w:tc>
      </w:tr>
      <w:tr w14:paraId="2FD6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FB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E0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包1</w:t>
            </w:r>
          </w:p>
        </w:tc>
        <w:tc>
          <w:tcPr>
            <w:tcW w:w="1391" w:type="dxa"/>
            <w:tcBorders>
              <w:top w:val="single" w:color="000000" w:sz="4" w:space="0"/>
              <w:left w:val="single" w:color="000000" w:sz="4" w:space="0"/>
              <w:bottom w:val="single" w:color="000000" w:sz="4" w:space="0"/>
              <w:right w:val="nil"/>
            </w:tcBorders>
            <w:shd w:val="clear" w:color="auto" w:fill="auto"/>
            <w:vAlign w:val="center"/>
          </w:tcPr>
          <w:p w14:paraId="04B8DF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auto"/>
                <w:sz w:val="24"/>
                <w:szCs w:val="24"/>
                <w:highlight w:val="none"/>
                <w:lang w:val="en-US" w:eastAsia="zh-CN"/>
              </w:rPr>
              <w:t>发电车</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D4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2" w:type="dxa"/>
            <w:tcBorders>
              <w:top w:val="single" w:color="000000" w:sz="4" w:space="0"/>
              <w:left w:val="nil"/>
              <w:bottom w:val="single" w:color="000000" w:sz="4" w:space="0"/>
              <w:right w:val="single" w:color="000000" w:sz="4" w:space="0"/>
            </w:tcBorders>
            <w:shd w:val="clear" w:color="auto" w:fill="auto"/>
            <w:vAlign w:val="center"/>
          </w:tcPr>
          <w:p w14:paraId="6A93A634">
            <w:pPr>
              <w:adjustRightInd w:val="0"/>
              <w:snapToGrid w:val="0"/>
              <w:spacing w:line="240" w:lineRule="auto"/>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b w:val="0"/>
                <w:bCs w:val="0"/>
                <w:color w:val="auto"/>
                <w:sz w:val="24"/>
                <w:szCs w:val="24"/>
                <w:highlight w:val="none"/>
                <w:vertAlign w:val="baseline"/>
                <w:lang w:val="en-US" w:eastAsia="zh-CN"/>
              </w:rPr>
              <w:t>130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B26F">
            <w:pPr>
              <w:adjustRightInd w:val="0"/>
              <w:snapToGrid w:val="0"/>
              <w:spacing w:line="240" w:lineRule="auto"/>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b w:val="0"/>
                <w:bCs w:val="0"/>
                <w:color w:val="auto"/>
                <w:sz w:val="24"/>
                <w:szCs w:val="24"/>
                <w:highlight w:val="none"/>
                <w:vertAlign w:val="baseline"/>
                <w:lang w:val="en-US" w:eastAsia="zh-CN"/>
              </w:rPr>
              <w:t>130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1A07">
            <w:pPr>
              <w:adjustRightInd w:val="0"/>
              <w:snapToGrid w:val="0"/>
              <w:spacing w:line="240" w:lineRule="auto"/>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b w:val="0"/>
                <w:bCs w:val="0"/>
                <w:color w:val="auto"/>
                <w:sz w:val="24"/>
                <w:szCs w:val="24"/>
                <w:highlight w:val="none"/>
                <w:vertAlign w:val="baseline"/>
                <w:lang w:val="en-US" w:eastAsia="zh-CN"/>
              </w:rPr>
              <w:t>130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F2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78E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采用进口底盘投标的，自合同签订之日起120日历天，采用国产底盘投标的，自合同签订之日起90日历天</w:t>
            </w:r>
          </w:p>
        </w:tc>
      </w:tr>
      <w:tr w14:paraId="090D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A1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89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包2</w:t>
            </w:r>
          </w:p>
        </w:tc>
        <w:tc>
          <w:tcPr>
            <w:tcW w:w="1391" w:type="dxa"/>
            <w:tcBorders>
              <w:top w:val="single" w:color="000000" w:sz="4" w:space="0"/>
              <w:left w:val="single" w:color="000000" w:sz="4" w:space="0"/>
              <w:bottom w:val="single" w:color="000000" w:sz="4" w:space="0"/>
              <w:right w:val="nil"/>
            </w:tcBorders>
            <w:shd w:val="clear" w:color="auto" w:fill="auto"/>
            <w:vAlign w:val="center"/>
          </w:tcPr>
          <w:p w14:paraId="66D472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auto"/>
                <w:sz w:val="24"/>
                <w:szCs w:val="24"/>
                <w:highlight w:val="none"/>
                <w:lang w:val="en-US" w:eastAsia="zh-CN"/>
              </w:rPr>
              <w:t>物资运输车B</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22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2" w:type="dxa"/>
            <w:tcBorders>
              <w:top w:val="single" w:color="000000" w:sz="4" w:space="0"/>
              <w:left w:val="nil"/>
              <w:bottom w:val="single" w:color="000000" w:sz="4" w:space="0"/>
              <w:right w:val="single" w:color="000000" w:sz="4" w:space="0"/>
            </w:tcBorders>
            <w:shd w:val="clear" w:color="auto" w:fill="auto"/>
            <w:vAlign w:val="center"/>
          </w:tcPr>
          <w:p w14:paraId="07220214">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158.4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3D31">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158.4</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DACD">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158.4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53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AB54E">
            <w:pPr>
              <w:jc w:val="center"/>
              <w:rPr>
                <w:rFonts w:hint="eastAsia" w:ascii="宋体" w:hAnsi="宋体" w:eastAsia="宋体" w:cs="宋体"/>
                <w:i w:val="0"/>
                <w:iCs w:val="0"/>
                <w:color w:val="000000"/>
                <w:sz w:val="24"/>
                <w:szCs w:val="24"/>
                <w:highlight w:val="none"/>
                <w:u w:val="none"/>
              </w:rPr>
            </w:pPr>
          </w:p>
        </w:tc>
      </w:tr>
      <w:tr w14:paraId="4EB2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9F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B6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包3</w:t>
            </w:r>
          </w:p>
        </w:tc>
        <w:tc>
          <w:tcPr>
            <w:tcW w:w="1391" w:type="dxa"/>
            <w:tcBorders>
              <w:top w:val="single" w:color="000000" w:sz="4" w:space="0"/>
              <w:left w:val="single" w:color="000000" w:sz="4" w:space="0"/>
              <w:bottom w:val="single" w:color="000000" w:sz="4" w:space="0"/>
              <w:right w:val="nil"/>
            </w:tcBorders>
            <w:shd w:val="clear" w:color="auto" w:fill="auto"/>
            <w:vAlign w:val="center"/>
          </w:tcPr>
          <w:p w14:paraId="07DF06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auto"/>
                <w:sz w:val="24"/>
                <w:szCs w:val="24"/>
                <w:highlight w:val="none"/>
                <w:lang w:val="en-US" w:eastAsia="zh-CN"/>
              </w:rPr>
              <w:t>干粉消防车</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B5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2" w:type="dxa"/>
            <w:tcBorders>
              <w:top w:val="single" w:color="000000" w:sz="4" w:space="0"/>
              <w:left w:val="nil"/>
              <w:bottom w:val="single" w:color="000000" w:sz="4" w:space="0"/>
              <w:right w:val="single" w:color="000000" w:sz="4" w:space="0"/>
            </w:tcBorders>
            <w:shd w:val="clear" w:color="auto" w:fill="auto"/>
            <w:vAlign w:val="center"/>
          </w:tcPr>
          <w:p w14:paraId="21A6A96E">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128.9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B409">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128.9</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71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128.9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A2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E141B">
            <w:pPr>
              <w:jc w:val="center"/>
              <w:rPr>
                <w:rFonts w:hint="eastAsia" w:ascii="宋体" w:hAnsi="宋体" w:eastAsia="宋体" w:cs="宋体"/>
                <w:i w:val="0"/>
                <w:iCs w:val="0"/>
                <w:color w:val="000000"/>
                <w:sz w:val="24"/>
                <w:szCs w:val="24"/>
                <w:highlight w:val="none"/>
                <w:u w:val="none"/>
              </w:rPr>
            </w:pPr>
          </w:p>
        </w:tc>
      </w:tr>
    </w:tbl>
    <w:p w14:paraId="37FE529D">
      <w:pPr>
        <w:rPr>
          <w:rFonts w:hint="eastAsia" w:ascii="宋体" w:hAnsi="宋体" w:eastAsia="宋体" w:cs="宋体"/>
          <w:i w:val="0"/>
          <w:iCs w:val="0"/>
          <w:color w:val="000000"/>
          <w:kern w:val="0"/>
          <w:sz w:val="24"/>
          <w:szCs w:val="24"/>
          <w:highlight w:val="none"/>
          <w:u w:val="none"/>
          <w:lang w:val="en-US" w:eastAsia="zh-CN" w:bidi="ar"/>
        </w:rPr>
      </w:pPr>
    </w:p>
    <w:p w14:paraId="37CCE697">
      <w:pPr>
        <w:rPr>
          <w:rFonts w:hint="eastAsia" w:ascii="宋体" w:hAnsi="宋体" w:eastAsia="宋体" w:cs="宋体"/>
          <w:i w:val="0"/>
          <w:iCs w:val="0"/>
          <w:color w:val="000000"/>
          <w:kern w:val="0"/>
          <w:sz w:val="24"/>
          <w:szCs w:val="24"/>
          <w:highlight w:val="none"/>
          <w:u w:val="none"/>
          <w:lang w:val="en-US" w:eastAsia="zh-CN" w:bidi="ar"/>
        </w:rPr>
      </w:pPr>
    </w:p>
    <w:p w14:paraId="290A4F98">
      <w:pPr>
        <w:rPr>
          <w:rFonts w:hint="eastAsia" w:ascii="宋体" w:hAnsi="宋体" w:eastAsia="宋体" w:cs="宋体"/>
          <w:i w:val="0"/>
          <w:iCs w:val="0"/>
          <w:color w:val="000000"/>
          <w:kern w:val="0"/>
          <w:sz w:val="24"/>
          <w:szCs w:val="24"/>
          <w:highlight w:val="none"/>
          <w:u w:val="none"/>
          <w:lang w:val="en-US" w:eastAsia="zh-CN" w:bidi="ar"/>
        </w:rPr>
      </w:pPr>
    </w:p>
    <w:p w14:paraId="7D5B6A5A">
      <w:pPr>
        <w:rPr>
          <w:rFonts w:hint="eastAsia" w:ascii="宋体" w:hAnsi="宋体" w:eastAsia="宋体" w:cs="宋体"/>
          <w:i w:val="0"/>
          <w:iCs w:val="0"/>
          <w:color w:val="000000"/>
          <w:kern w:val="0"/>
          <w:sz w:val="24"/>
          <w:szCs w:val="24"/>
          <w:highlight w:val="none"/>
          <w:u w:val="none"/>
          <w:lang w:val="en-US" w:eastAsia="zh-CN" w:bidi="ar"/>
        </w:rPr>
      </w:pPr>
    </w:p>
    <w:p w14:paraId="20B017D0">
      <w:pPr>
        <w:rPr>
          <w:rFonts w:hint="eastAsia" w:ascii="宋体" w:hAnsi="宋体" w:eastAsia="宋体" w:cs="宋体"/>
          <w:i w:val="0"/>
          <w:iCs w:val="0"/>
          <w:color w:val="000000"/>
          <w:kern w:val="0"/>
          <w:sz w:val="24"/>
          <w:szCs w:val="24"/>
          <w:highlight w:val="none"/>
          <w:u w:val="none"/>
          <w:lang w:val="en-US" w:eastAsia="zh-CN" w:bidi="ar"/>
        </w:rPr>
      </w:pPr>
    </w:p>
    <w:p w14:paraId="399AD847">
      <w:pPr>
        <w:rPr>
          <w:rFonts w:hint="eastAsia" w:ascii="宋体" w:hAnsi="宋体" w:eastAsia="宋体" w:cs="宋体"/>
          <w:i w:val="0"/>
          <w:iCs w:val="0"/>
          <w:color w:val="000000"/>
          <w:kern w:val="0"/>
          <w:sz w:val="24"/>
          <w:szCs w:val="24"/>
          <w:highlight w:val="none"/>
          <w:u w:val="none"/>
          <w:lang w:val="en-US" w:eastAsia="zh-CN" w:bidi="ar"/>
        </w:rPr>
      </w:pPr>
    </w:p>
    <w:p w14:paraId="485A1F11">
      <w:pPr>
        <w:rPr>
          <w:rFonts w:hint="eastAsia" w:ascii="宋体" w:hAnsi="宋体" w:eastAsia="宋体" w:cs="宋体"/>
          <w:i w:val="0"/>
          <w:iCs w:val="0"/>
          <w:color w:val="000000"/>
          <w:kern w:val="0"/>
          <w:sz w:val="24"/>
          <w:szCs w:val="24"/>
          <w:highlight w:val="none"/>
          <w:u w:val="none"/>
          <w:lang w:val="en-US" w:eastAsia="zh-CN" w:bidi="ar"/>
        </w:rPr>
      </w:pPr>
    </w:p>
    <w:p w14:paraId="02A32BB7">
      <w:pPr>
        <w:rPr>
          <w:rFonts w:hint="eastAsia" w:ascii="宋体" w:hAnsi="宋体" w:eastAsia="宋体" w:cs="宋体"/>
          <w:i w:val="0"/>
          <w:iCs w:val="0"/>
          <w:color w:val="000000"/>
          <w:kern w:val="0"/>
          <w:sz w:val="24"/>
          <w:szCs w:val="24"/>
          <w:highlight w:val="none"/>
          <w:u w:val="none"/>
          <w:lang w:val="en-US" w:eastAsia="zh-CN" w:bidi="ar"/>
        </w:rPr>
      </w:pPr>
    </w:p>
    <w:p w14:paraId="61BF753E">
      <w:pPr>
        <w:rPr>
          <w:rFonts w:hint="eastAsia" w:ascii="宋体" w:hAnsi="宋体" w:eastAsia="宋体" w:cs="宋体"/>
          <w:i w:val="0"/>
          <w:iCs w:val="0"/>
          <w:color w:val="000000"/>
          <w:kern w:val="0"/>
          <w:sz w:val="24"/>
          <w:szCs w:val="24"/>
          <w:highlight w:val="none"/>
          <w:u w:val="none"/>
          <w:lang w:val="en-US" w:eastAsia="zh-CN" w:bidi="ar"/>
        </w:rPr>
      </w:pPr>
    </w:p>
    <w:p w14:paraId="00E586F8">
      <w:pPr>
        <w:rPr>
          <w:rFonts w:hint="eastAsia" w:ascii="宋体" w:hAnsi="宋体" w:eastAsia="宋体" w:cs="宋体"/>
          <w:i w:val="0"/>
          <w:iCs w:val="0"/>
          <w:color w:val="000000"/>
          <w:kern w:val="0"/>
          <w:sz w:val="24"/>
          <w:szCs w:val="24"/>
          <w:highlight w:val="none"/>
          <w:u w:val="none"/>
          <w:lang w:val="en-US" w:eastAsia="zh-CN" w:bidi="ar"/>
        </w:rPr>
      </w:pPr>
    </w:p>
    <w:p w14:paraId="6E32E701">
      <w:pPr>
        <w:rPr>
          <w:rFonts w:hint="eastAsia" w:ascii="宋体" w:hAnsi="宋体" w:eastAsia="宋体" w:cs="宋体"/>
          <w:i w:val="0"/>
          <w:iCs w:val="0"/>
          <w:color w:val="000000"/>
          <w:kern w:val="0"/>
          <w:sz w:val="24"/>
          <w:szCs w:val="24"/>
          <w:highlight w:val="none"/>
          <w:u w:val="none"/>
          <w:lang w:val="en-US" w:eastAsia="zh-CN" w:bidi="ar"/>
        </w:rPr>
      </w:pPr>
    </w:p>
    <w:p w14:paraId="3322CAE0">
      <w:pPr>
        <w:rPr>
          <w:rFonts w:hint="eastAsia" w:ascii="宋体" w:hAnsi="宋体" w:eastAsia="宋体" w:cs="宋体"/>
          <w:i w:val="0"/>
          <w:iCs w:val="0"/>
          <w:color w:val="000000"/>
          <w:kern w:val="0"/>
          <w:sz w:val="24"/>
          <w:szCs w:val="24"/>
          <w:highlight w:val="none"/>
          <w:u w:val="none"/>
          <w:lang w:val="en-US" w:eastAsia="zh-CN" w:bidi="ar"/>
        </w:rPr>
      </w:pPr>
    </w:p>
    <w:p w14:paraId="4392D64D">
      <w:pPr>
        <w:rPr>
          <w:rFonts w:hint="eastAsia" w:ascii="宋体" w:hAnsi="宋体" w:eastAsia="宋体" w:cs="宋体"/>
          <w:i w:val="0"/>
          <w:iCs w:val="0"/>
          <w:color w:val="000000"/>
          <w:kern w:val="0"/>
          <w:sz w:val="24"/>
          <w:szCs w:val="24"/>
          <w:highlight w:val="none"/>
          <w:u w:val="none"/>
          <w:lang w:val="en-US" w:eastAsia="zh-CN" w:bidi="ar"/>
        </w:rPr>
      </w:pPr>
    </w:p>
    <w:p w14:paraId="672B638E">
      <w:pPr>
        <w:rPr>
          <w:rFonts w:hint="eastAsia" w:ascii="宋体" w:hAnsi="宋体" w:eastAsia="宋体" w:cs="宋体"/>
          <w:i w:val="0"/>
          <w:iCs w:val="0"/>
          <w:color w:val="000000"/>
          <w:kern w:val="0"/>
          <w:sz w:val="24"/>
          <w:szCs w:val="24"/>
          <w:highlight w:val="none"/>
          <w:u w:val="none"/>
          <w:lang w:val="en-US" w:eastAsia="zh-CN" w:bidi="ar"/>
        </w:rPr>
      </w:pPr>
    </w:p>
    <w:p w14:paraId="393BC14C">
      <w:pPr>
        <w:rPr>
          <w:rFonts w:hint="eastAsia" w:ascii="宋体" w:hAnsi="宋体" w:eastAsia="宋体" w:cs="宋体"/>
          <w:i w:val="0"/>
          <w:iCs w:val="0"/>
          <w:color w:val="000000"/>
          <w:kern w:val="0"/>
          <w:sz w:val="24"/>
          <w:szCs w:val="24"/>
          <w:highlight w:val="none"/>
          <w:u w:val="none"/>
          <w:lang w:val="en-US" w:eastAsia="zh-CN" w:bidi="ar"/>
        </w:rPr>
      </w:pPr>
    </w:p>
    <w:p w14:paraId="59D4B55C">
      <w:pPr>
        <w:rPr>
          <w:rFonts w:hint="eastAsia" w:ascii="宋体" w:hAnsi="宋体" w:eastAsia="宋体" w:cs="宋体"/>
          <w:i w:val="0"/>
          <w:iCs w:val="0"/>
          <w:color w:val="000000"/>
          <w:kern w:val="0"/>
          <w:sz w:val="24"/>
          <w:szCs w:val="24"/>
          <w:highlight w:val="none"/>
          <w:u w:val="none"/>
          <w:lang w:val="en-US" w:eastAsia="zh-CN" w:bidi="ar"/>
        </w:rPr>
      </w:pPr>
    </w:p>
    <w:p w14:paraId="22DD36D2">
      <w:pPr>
        <w:rPr>
          <w:rFonts w:hint="eastAsia" w:ascii="宋体" w:hAnsi="宋体" w:eastAsia="宋体" w:cs="宋体"/>
          <w:i w:val="0"/>
          <w:iCs w:val="0"/>
          <w:color w:val="000000"/>
          <w:kern w:val="0"/>
          <w:sz w:val="24"/>
          <w:szCs w:val="24"/>
          <w:highlight w:val="none"/>
          <w:u w:val="none"/>
          <w:lang w:val="en-US" w:eastAsia="zh-CN" w:bidi="ar"/>
        </w:rPr>
      </w:pPr>
    </w:p>
    <w:p w14:paraId="30F541F2">
      <w:pPr>
        <w:rPr>
          <w:rFonts w:hint="eastAsia" w:ascii="宋体" w:hAnsi="宋体" w:eastAsia="宋体" w:cs="宋体"/>
          <w:i w:val="0"/>
          <w:iCs w:val="0"/>
          <w:color w:val="000000"/>
          <w:kern w:val="0"/>
          <w:sz w:val="24"/>
          <w:szCs w:val="24"/>
          <w:highlight w:val="none"/>
          <w:u w:val="none"/>
          <w:lang w:val="en-US" w:eastAsia="zh-CN" w:bidi="ar"/>
        </w:rPr>
      </w:pPr>
    </w:p>
    <w:p w14:paraId="5BA6E45E">
      <w:pPr>
        <w:rPr>
          <w:rFonts w:hint="eastAsia" w:ascii="宋体" w:hAnsi="宋体" w:eastAsia="宋体" w:cs="宋体"/>
          <w:i w:val="0"/>
          <w:iCs w:val="0"/>
          <w:color w:val="000000"/>
          <w:kern w:val="0"/>
          <w:sz w:val="24"/>
          <w:szCs w:val="24"/>
          <w:highlight w:val="none"/>
          <w:u w:val="none"/>
          <w:lang w:val="en-US" w:eastAsia="zh-CN" w:bidi="ar"/>
        </w:rPr>
      </w:pPr>
    </w:p>
    <w:p w14:paraId="7ED917DC">
      <w:pPr>
        <w:rPr>
          <w:rFonts w:hint="eastAsia" w:ascii="宋体" w:hAnsi="宋体" w:eastAsia="宋体" w:cs="宋体"/>
          <w:i w:val="0"/>
          <w:iCs w:val="0"/>
          <w:color w:val="000000"/>
          <w:kern w:val="0"/>
          <w:sz w:val="24"/>
          <w:szCs w:val="24"/>
          <w:highlight w:val="none"/>
          <w:u w:val="none"/>
          <w:lang w:val="en-US" w:eastAsia="zh-CN" w:bidi="ar"/>
        </w:rPr>
      </w:pPr>
    </w:p>
    <w:p w14:paraId="34053337">
      <w:pPr>
        <w:rPr>
          <w:rFonts w:hint="eastAsia" w:ascii="宋体" w:hAnsi="宋体" w:eastAsia="宋体" w:cs="宋体"/>
          <w:i w:val="0"/>
          <w:iCs w:val="0"/>
          <w:color w:val="000000"/>
          <w:kern w:val="0"/>
          <w:sz w:val="24"/>
          <w:szCs w:val="24"/>
          <w:highlight w:val="none"/>
          <w:u w:val="none"/>
          <w:lang w:val="en-US" w:eastAsia="zh-CN" w:bidi="ar"/>
        </w:rPr>
      </w:pPr>
    </w:p>
    <w:p w14:paraId="1EA9C4ED">
      <w:pPr>
        <w:rPr>
          <w:rFonts w:hint="eastAsia" w:ascii="宋体" w:hAnsi="宋体" w:eastAsia="宋体" w:cs="宋体"/>
          <w:i w:val="0"/>
          <w:iCs w:val="0"/>
          <w:color w:val="000000"/>
          <w:kern w:val="0"/>
          <w:sz w:val="24"/>
          <w:szCs w:val="24"/>
          <w:highlight w:val="none"/>
          <w:u w:val="none"/>
          <w:lang w:val="en-US" w:eastAsia="zh-CN" w:bidi="ar"/>
        </w:rPr>
      </w:pPr>
    </w:p>
    <w:p w14:paraId="786E234F">
      <w:pPr>
        <w:rPr>
          <w:rFonts w:hint="eastAsia" w:ascii="宋体" w:hAnsi="宋体" w:eastAsia="宋体" w:cs="宋体"/>
          <w:i w:val="0"/>
          <w:iCs w:val="0"/>
          <w:color w:val="000000"/>
          <w:kern w:val="0"/>
          <w:sz w:val="24"/>
          <w:szCs w:val="24"/>
          <w:highlight w:val="none"/>
          <w:u w:val="none"/>
          <w:lang w:val="en-US" w:eastAsia="zh-CN" w:bidi="ar"/>
        </w:rPr>
      </w:pPr>
    </w:p>
    <w:p w14:paraId="132DFE19">
      <w:pPr>
        <w:rPr>
          <w:rFonts w:hint="eastAsia" w:ascii="宋体" w:hAnsi="宋体" w:eastAsia="宋体" w:cs="宋体"/>
          <w:i w:val="0"/>
          <w:iCs w:val="0"/>
          <w:color w:val="000000"/>
          <w:kern w:val="0"/>
          <w:sz w:val="24"/>
          <w:szCs w:val="24"/>
          <w:highlight w:val="none"/>
          <w:u w:val="none"/>
          <w:lang w:val="en-US" w:eastAsia="zh-CN" w:bidi="ar"/>
        </w:rPr>
      </w:pPr>
    </w:p>
    <w:p w14:paraId="756E0E36">
      <w:pPr>
        <w:rPr>
          <w:rFonts w:hint="eastAsia" w:ascii="宋体" w:hAnsi="宋体" w:eastAsia="宋体" w:cs="宋体"/>
          <w:i w:val="0"/>
          <w:iCs w:val="0"/>
          <w:color w:val="000000"/>
          <w:kern w:val="0"/>
          <w:sz w:val="24"/>
          <w:szCs w:val="24"/>
          <w:highlight w:val="none"/>
          <w:u w:val="none"/>
          <w:lang w:val="en-US" w:eastAsia="zh-CN" w:bidi="ar"/>
        </w:rPr>
      </w:pPr>
    </w:p>
    <w:p w14:paraId="39977C94">
      <w:pPr>
        <w:rPr>
          <w:rFonts w:hint="eastAsia" w:ascii="宋体" w:hAnsi="宋体" w:eastAsia="宋体" w:cs="宋体"/>
          <w:i w:val="0"/>
          <w:iCs w:val="0"/>
          <w:color w:val="000000"/>
          <w:kern w:val="0"/>
          <w:sz w:val="24"/>
          <w:szCs w:val="24"/>
          <w:highlight w:val="none"/>
          <w:u w:val="none"/>
          <w:lang w:val="en-US" w:eastAsia="zh-CN" w:bidi="ar"/>
        </w:rPr>
      </w:pPr>
    </w:p>
    <w:p w14:paraId="5DC32721">
      <w:pPr>
        <w:rPr>
          <w:rFonts w:hint="eastAsia" w:ascii="宋体" w:hAnsi="宋体" w:eastAsia="宋体" w:cs="宋体"/>
          <w:i w:val="0"/>
          <w:iCs w:val="0"/>
          <w:color w:val="000000"/>
          <w:kern w:val="0"/>
          <w:sz w:val="24"/>
          <w:szCs w:val="24"/>
          <w:highlight w:val="none"/>
          <w:u w:val="none"/>
          <w:lang w:val="en-US" w:eastAsia="zh-CN" w:bidi="ar"/>
        </w:rPr>
      </w:pPr>
    </w:p>
    <w:p w14:paraId="21710714">
      <w:pPr>
        <w:rPr>
          <w:rFonts w:hint="eastAsia" w:ascii="宋体" w:hAnsi="宋体" w:eastAsia="宋体" w:cs="宋体"/>
          <w:i w:val="0"/>
          <w:iCs w:val="0"/>
          <w:color w:val="000000"/>
          <w:kern w:val="0"/>
          <w:sz w:val="24"/>
          <w:szCs w:val="24"/>
          <w:highlight w:val="none"/>
          <w:u w:val="none"/>
          <w:lang w:val="en-US" w:eastAsia="zh-CN" w:bidi="ar"/>
        </w:rPr>
      </w:pPr>
    </w:p>
    <w:p w14:paraId="65ADFC37">
      <w:pPr>
        <w:rPr>
          <w:rFonts w:hint="eastAsia" w:ascii="宋体" w:hAnsi="宋体" w:eastAsia="宋体" w:cs="宋体"/>
          <w:i w:val="0"/>
          <w:iCs w:val="0"/>
          <w:color w:val="000000"/>
          <w:kern w:val="0"/>
          <w:sz w:val="24"/>
          <w:szCs w:val="24"/>
          <w:highlight w:val="none"/>
          <w:u w:val="none"/>
          <w:lang w:val="en-US" w:eastAsia="zh-CN" w:bidi="ar"/>
        </w:rPr>
      </w:pPr>
    </w:p>
    <w:p w14:paraId="73CB9AB2">
      <w:pPr>
        <w:rPr>
          <w:rFonts w:hint="eastAsia" w:ascii="宋体" w:hAnsi="宋体" w:eastAsia="宋体" w:cs="宋体"/>
          <w:i w:val="0"/>
          <w:iCs w:val="0"/>
          <w:color w:val="000000"/>
          <w:kern w:val="0"/>
          <w:sz w:val="24"/>
          <w:szCs w:val="24"/>
          <w:highlight w:val="none"/>
          <w:u w:val="none"/>
          <w:lang w:val="en-US" w:eastAsia="zh-CN" w:bidi="ar"/>
        </w:rPr>
      </w:pPr>
    </w:p>
    <w:p w14:paraId="2A0D2692">
      <w:pPr>
        <w:rPr>
          <w:rFonts w:hint="eastAsia" w:ascii="宋体" w:hAnsi="宋体" w:eastAsia="宋体" w:cs="宋体"/>
          <w:i w:val="0"/>
          <w:iCs w:val="0"/>
          <w:color w:val="000000"/>
          <w:kern w:val="0"/>
          <w:sz w:val="24"/>
          <w:szCs w:val="24"/>
          <w:highlight w:val="none"/>
          <w:u w:val="none"/>
          <w:lang w:val="en-US" w:eastAsia="zh-CN" w:bidi="ar"/>
        </w:rPr>
      </w:pPr>
    </w:p>
    <w:p w14:paraId="2726F6E0">
      <w:pPr>
        <w:rPr>
          <w:rFonts w:hint="eastAsia" w:ascii="宋体" w:hAnsi="宋体" w:eastAsia="宋体" w:cs="宋体"/>
          <w:i w:val="0"/>
          <w:iCs w:val="0"/>
          <w:color w:val="000000"/>
          <w:kern w:val="0"/>
          <w:sz w:val="24"/>
          <w:szCs w:val="24"/>
          <w:highlight w:val="none"/>
          <w:u w:val="none"/>
          <w:lang w:val="en-US" w:eastAsia="zh-CN" w:bidi="ar"/>
        </w:rPr>
      </w:pPr>
    </w:p>
    <w:p w14:paraId="771D31F6">
      <w:pPr>
        <w:rPr>
          <w:rFonts w:hint="eastAsia" w:ascii="宋体" w:hAnsi="宋体" w:eastAsia="宋体" w:cs="宋体"/>
          <w:i w:val="0"/>
          <w:iCs w:val="0"/>
          <w:color w:val="000000"/>
          <w:kern w:val="0"/>
          <w:sz w:val="24"/>
          <w:szCs w:val="24"/>
          <w:highlight w:val="none"/>
          <w:u w:val="none"/>
          <w:lang w:val="en-US" w:eastAsia="zh-CN" w:bidi="ar"/>
        </w:rPr>
      </w:pPr>
    </w:p>
    <w:p w14:paraId="32829280">
      <w:pPr>
        <w:rPr>
          <w:rFonts w:hint="eastAsia" w:ascii="宋体" w:hAnsi="宋体" w:eastAsia="宋体" w:cs="宋体"/>
          <w:i w:val="0"/>
          <w:iCs w:val="0"/>
          <w:color w:val="000000"/>
          <w:kern w:val="0"/>
          <w:sz w:val="24"/>
          <w:szCs w:val="24"/>
          <w:highlight w:val="none"/>
          <w:u w:val="none"/>
          <w:lang w:val="en-US" w:eastAsia="zh-CN" w:bidi="ar"/>
        </w:rPr>
      </w:pPr>
    </w:p>
    <w:p w14:paraId="38DA35B1">
      <w:pPr>
        <w:rPr>
          <w:rFonts w:hint="eastAsia" w:ascii="宋体" w:hAnsi="宋体" w:eastAsia="宋体" w:cs="宋体"/>
          <w:i w:val="0"/>
          <w:iCs w:val="0"/>
          <w:color w:val="000000"/>
          <w:kern w:val="0"/>
          <w:sz w:val="24"/>
          <w:szCs w:val="24"/>
          <w:highlight w:val="none"/>
          <w:u w:val="none"/>
          <w:lang w:val="en-US" w:eastAsia="zh-CN" w:bidi="ar"/>
        </w:rPr>
      </w:pPr>
    </w:p>
    <w:p w14:paraId="72CCD82F">
      <w:pPr>
        <w:rPr>
          <w:rFonts w:hint="eastAsia" w:ascii="宋体" w:hAnsi="宋体" w:eastAsia="宋体" w:cs="宋体"/>
          <w:i w:val="0"/>
          <w:iCs w:val="0"/>
          <w:color w:val="000000"/>
          <w:kern w:val="0"/>
          <w:sz w:val="24"/>
          <w:szCs w:val="24"/>
          <w:highlight w:val="none"/>
          <w:u w:val="none"/>
          <w:lang w:val="en-US" w:eastAsia="zh-CN" w:bidi="ar"/>
        </w:rPr>
      </w:pPr>
    </w:p>
    <w:p w14:paraId="4C01BB14">
      <w:pPr>
        <w:rPr>
          <w:rFonts w:hint="eastAsia" w:ascii="宋体" w:hAnsi="宋体" w:eastAsia="宋体" w:cs="宋体"/>
          <w:i w:val="0"/>
          <w:iCs w:val="0"/>
          <w:color w:val="000000"/>
          <w:kern w:val="0"/>
          <w:sz w:val="24"/>
          <w:szCs w:val="24"/>
          <w:highlight w:val="none"/>
          <w:u w:val="none"/>
          <w:lang w:val="en-US" w:eastAsia="zh-CN" w:bidi="ar"/>
        </w:rPr>
      </w:pPr>
    </w:p>
    <w:p w14:paraId="28EF9EF9">
      <w:pPr>
        <w:numPr>
          <w:ilvl w:val="0"/>
          <w:numId w:val="12"/>
        </w:numPr>
        <w:spacing w:line="360" w:lineRule="auto"/>
        <w:jc w:val="center"/>
        <w:outlineLvl w:val="1"/>
        <w:rPr>
          <w:rFonts w:hint="eastAsia" w:ascii="宋体" w:hAnsi="宋体" w:cs="宋体"/>
          <w:b/>
          <w:color w:val="auto"/>
          <w:sz w:val="32"/>
          <w:szCs w:val="32"/>
          <w:highlight w:val="none"/>
          <w:lang w:eastAsia="zh-CN"/>
        </w:rPr>
      </w:pPr>
      <w:bookmarkStart w:id="476" w:name="_Toc95"/>
      <w:r>
        <w:rPr>
          <w:rFonts w:hint="eastAsia" w:ascii="宋体" w:hAnsi="宋体" w:cs="宋体"/>
          <w:b/>
          <w:color w:val="auto"/>
          <w:sz w:val="32"/>
          <w:szCs w:val="32"/>
          <w:highlight w:val="none"/>
        </w:rPr>
        <w:t>技术</w:t>
      </w:r>
      <w:r>
        <w:rPr>
          <w:rFonts w:hint="eastAsia" w:ascii="宋体" w:hAnsi="宋体" w:cs="宋体"/>
          <w:b/>
          <w:color w:val="auto"/>
          <w:sz w:val="32"/>
          <w:szCs w:val="32"/>
          <w:highlight w:val="none"/>
          <w:lang w:eastAsia="zh-CN"/>
        </w:rPr>
        <w:t>要求</w:t>
      </w:r>
      <w:bookmarkEnd w:id="476"/>
    </w:p>
    <w:p w14:paraId="5E279465">
      <w:pPr>
        <w:rPr>
          <w:rFonts w:hint="eastAsia"/>
          <w:highlight w:val="none"/>
          <w:lang w:eastAsia="zh-CN"/>
        </w:rPr>
      </w:pPr>
    </w:p>
    <w:p w14:paraId="6530BB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szCs w:val="24"/>
          <w:highlight w:val="none"/>
        </w:rPr>
      </w:pPr>
      <w:bookmarkStart w:id="477" w:name="_Toc25248"/>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通用要求</w:t>
      </w:r>
      <w:bookmarkEnd w:id="477"/>
    </w:p>
    <w:p w14:paraId="2DAD74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1车辆整车外廓尺寸、轴荷及质量符合GB1589-2016《道路车辆外廓尺寸、轴荷及质量限值》规定。</w:t>
      </w:r>
    </w:p>
    <w:p w14:paraId="0BF832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2、车辆整车外部照明和信号装置符合GB4785《汽车及挂车外部照明和光信号装置的安装规定》的规定，车辆标识：按照《消防救援局关于做好消防救援车辆外观制式涂装工作的通知》（应急消[2019]76号）要求涂装。</w:t>
      </w:r>
    </w:p>
    <w:p w14:paraId="37DE32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3、车辆标记符合GB7258《机动车安全技术条件》。</w:t>
      </w:r>
    </w:p>
    <w:p w14:paraId="1283B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4、车辆后下防护要求符合GB11567.1《汽车及挂车外部照明和信号装置的安装规定》。</w:t>
      </w:r>
    </w:p>
    <w:p w14:paraId="59487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根据应急消〔2020〕138号文件：所有消防车均应响应文件要求。底盘均应配置前轮盘式制动器（全驱越野底盘除外）、ABS（防抱死制动系统）和EBS（电控制动系统）等；配置ESP电子车身稳定系统，应设置限速装置，最高车速不得超过95Km/h，确保限制的车速不超过底盘厂允许的最高车速；加装排气制动、发动机缸内制动技术并配备液力缓速器。</w:t>
      </w:r>
    </w:p>
    <w:p w14:paraId="34E2AB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安装主外视镜、广角外视镜、前视镜、补盲外视镜、外部照明、信号装置、反光警示标识、前后保险杠、侧面防护等安全防护性能，以及各类报警装置、后排座加装安全带，配备PDT制式350MHz数模两用车载台（符合PDT技术标准，兼容370MHz应急专用频段，天线阻抗50Ω；防水防尘≥IP54；含吸盘天线，北斗卫星定位装置，能接入北斗消防综合管理服务平台），360°无盲区高清行车记录仪、倒车雷达（≥4个）及高清倒车影像（彩色显示屏≥7寸，具有夜视功能，夜间图像清晰），记录仪为硬盘式存储≥500G；行车记录仪采用自动分段录制，记录卡录满后可以自行删除最早记录；预留12V车载台连接线、220V充电线，配置24V转12V和24V转220V逆变器，便于后期加装设备；轮胎采用子午线钢丝胎及胎压监测系统，并与原车前轮胎同品牌、同型号备用轮胎一条，配备专用防滑链，加装轮胎调压系统。</w:t>
      </w:r>
    </w:p>
    <w:p w14:paraId="7DD8B9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7、车辆交付时须附着由“消防装备物资信息采集系统”统一发行的装备物资二维码（或RFID）。</w:t>
      </w:r>
      <w:r>
        <w:rPr>
          <w:rFonts w:hint="eastAsia" w:ascii="宋体" w:hAnsi="宋体" w:eastAsia="宋体" w:cs="宋体"/>
          <w:sz w:val="24"/>
          <w:szCs w:val="24"/>
          <w:highlight w:val="none"/>
          <w:lang w:bidi="ar"/>
        </w:rPr>
        <w:t>按照采购人要求，免费安装消防车感知定位终端及车辆多模芯片；终端及芯片数据能够实时传输至河南消防总队应急装备物资保障管理平台及国家消防局“消防一张图”系统，可查看消防车辆的实时动态信息(位置、车速、发动机转速、剩余燃油、故障预警信息、水量、泡沫量等)和车辆基础数据信息(隶属单位、车辆类型、随车装备等)。</w:t>
      </w:r>
    </w:p>
    <w:p w14:paraId="5A9197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8、进口底盘入港时须做港检，交车现场须底盘厂家做PDI(交车前检测)。</w:t>
      </w:r>
    </w:p>
    <w:p w14:paraId="2EC69E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各类车型显著位置须设置标注生产厂家名称、品牌名称、型号、发动机号、规格、生产日期、出厂日期等产品信息永久铭牌。各类操作开关、阀门、保险盒、随车器材等设置永久性标识。裸露在外的传动轴、皮带、设备等设置防护罩。</w:t>
      </w:r>
    </w:p>
    <w:p w14:paraId="37DB88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投标人在车厢结构设计布置时需提前与采购单位联系，设计方案必须经采购单位同意后方可进行生产，采购需求未全部列出所需功能或部件，投标时需全部列出其他全部配置以满足实际需求，保证所投车辆具备各项功能。若因投标人未全部列出其他配置导致产品不能正常使用，投标人需承诺免费增添部件或更换所供产品或作退货处理。交车时中标单位须提供详细电路图、水路图、液压管路图和保险分布图等。</w:t>
      </w:r>
    </w:p>
    <w:p w14:paraId="544365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11、器材箱改装后不得影响加油、清洗油箱管路滤网、更换蓄电池、燃油滤芯、干燥罐、空气滤芯、柴油滤芯等底盘部件正常维护保养。</w:t>
      </w:r>
    </w:p>
    <w:p w14:paraId="2B359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bidi="ar"/>
        </w:rPr>
        <w:t>车辆排气管尾部配备防火罩。</w:t>
      </w:r>
    </w:p>
    <w:p w14:paraId="622EC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各标包整车所有焊接部位牢固，光洁，平整；所有缝隙硅胶填充平整、密封良好。所有板材及骨架、零部件、结构件，均经过严格防锈处理，铝型材、铝板、花纹板均进行氧化处理。器材箱布置紧凑、装夹牢固，取用方便，使用防锈、防震、防脱落、防划伤的专用夹具固定随车器材（交车前固定完毕）。电气系统线路标识清楚，每根电线都具备单独编号，整车电气系统线路采用铜芯或铜合金芯电线，正负电极线路颜色区分明显，改装线路及接头采用防水、防尘材质，各线路捆扎整齐，线路铺设位置便于检查维修。改装线路裸露在车体外部、接近热源、靠近油箱等情况下应加装隔板或相应的保护。</w:t>
      </w:r>
    </w:p>
    <w:p w14:paraId="2EABE6C0">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ascii="宋体" w:hAnsi="宋体" w:eastAsia="宋体" w:cs="宋体"/>
          <w:sz w:val="24"/>
          <w:szCs w:val="24"/>
          <w:highlight w:val="none"/>
        </w:rPr>
        <w:t>14、随车文件</w:t>
      </w:r>
      <w:r>
        <w:rPr>
          <w:rFonts w:hint="eastAsia" w:ascii="宋体" w:hAnsi="宋体" w:eastAsia="宋体" w:cs="宋体"/>
          <w:sz w:val="24"/>
          <w:szCs w:val="24"/>
          <w:highlight w:val="none"/>
          <w:lang w:eastAsia="zh-CN"/>
        </w:rPr>
        <w:t>（附件）</w:t>
      </w:r>
      <w:r>
        <w:rPr>
          <w:rFonts w:hint="eastAsia" w:ascii="宋体" w:hAnsi="宋体" w:eastAsia="宋体" w:cs="宋体"/>
          <w:sz w:val="24"/>
          <w:szCs w:val="24"/>
          <w:highlight w:val="none"/>
        </w:rPr>
        <w:t>：1、整车操作使用说明书，均为中文。纸制和电子（PPT格式）各一套；2、整车维护保养手册，均为中文。纸制和电子（PPT格式）各一套；3、整车零配件清单，提供不少于200种零配件，内附价格，质保期内可按照此价格采购；4、底盘质量保修卡；5、底盘合格证；6、底盘随车配件清单（需提供原装底盘保养滤芯1套（空滤、柴油油滤、机滤、空调滤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7、改装零件目录图：8、消防车消防器材清单；9、整车合格证；10、国家工信部公告；11、消防车跟踪服务卡；12、消防车交接清单；13、机动车销售统一发票、发动机号拓印件3份、车架号拓印件3份、车辆照片4张（左前45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、带接头的轮胎充气管1根≥10m，车辆限位块4块，车用三角</w:t>
      </w:r>
      <w:r>
        <w:rPr>
          <w:rFonts w:hint="eastAsia" w:ascii="宋体" w:hAnsi="宋体" w:eastAsia="宋体" w:cs="宋体"/>
          <w:sz w:val="24"/>
          <w:szCs w:val="24"/>
          <w:highlight w:val="none"/>
          <w:lang w:eastAsia="zh-CN"/>
        </w:rPr>
        <w:t>警示架</w:t>
      </w:r>
      <w:r>
        <w:rPr>
          <w:rFonts w:hint="eastAsia" w:ascii="宋体" w:hAnsi="宋体" w:eastAsia="宋体" w:cs="宋体"/>
          <w:sz w:val="24"/>
          <w:szCs w:val="24"/>
          <w:highlight w:val="none"/>
          <w:lang w:val="en-US" w:eastAsia="zh-CN"/>
        </w:rPr>
        <w:t>1套</w:t>
      </w:r>
      <w:r>
        <w:rPr>
          <w:rFonts w:hint="eastAsia" w:ascii="宋体" w:hAnsi="宋体" w:eastAsia="宋体" w:cs="宋体"/>
          <w:sz w:val="24"/>
          <w:szCs w:val="24"/>
          <w:highlight w:val="none"/>
        </w:rPr>
        <w:t>，原装备用轮胎1个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防滑链1套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电路检测工具1套 ；15、配备维修工具≥150件套，符合国家有关标准；便携式拉杆箱分层设计，包括液压千斤顶≥30T、大小套筒、8-32#开口/梅花两用扳手、黄油枪等维修工具，维修组套≥150件、扭力扳手、棘轮扳手组、滤芯扳手、大中小#尖嘴钳、卡簧钳、大中小#大力钳等）</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备用保险套装1套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灭火器（含支架）4kg2具</w:t>
      </w:r>
      <w:r>
        <w:rPr>
          <w:rFonts w:hint="eastAsia" w:ascii="宋体" w:hAnsi="宋体" w:eastAsia="宋体" w:cs="宋体"/>
          <w:sz w:val="24"/>
          <w:szCs w:val="24"/>
          <w:highlight w:val="none"/>
          <w:lang w:eastAsia="zh-CN"/>
        </w:rPr>
        <w:t>。</w:t>
      </w:r>
    </w:p>
    <w:p w14:paraId="5A9AF898">
      <w:pPr>
        <w:rPr>
          <w:rFonts w:hint="eastAsia"/>
          <w:highlight w:val="none"/>
          <w:lang w:val="en-US" w:eastAsia="zh-CN"/>
        </w:rPr>
      </w:pPr>
    </w:p>
    <w:p w14:paraId="328A0608">
      <w:pPr>
        <w:rPr>
          <w:rFonts w:hint="eastAsia"/>
          <w:highlight w:val="none"/>
          <w:lang w:val="en-US" w:eastAsia="zh-CN"/>
        </w:rPr>
      </w:pPr>
    </w:p>
    <w:p w14:paraId="3BF4E3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4"/>
          <w:szCs w:val="24"/>
          <w:highlight w:val="none"/>
        </w:rPr>
      </w:pPr>
      <w:bookmarkStart w:id="478" w:name="_Toc29969"/>
      <w:r>
        <w:rPr>
          <w:rFonts w:hint="eastAsia" w:ascii="宋体" w:hAnsi="宋体" w:eastAsia="宋体" w:cs="宋体"/>
          <w:b/>
          <w:color w:val="auto"/>
          <w:sz w:val="24"/>
          <w:szCs w:val="24"/>
          <w:highlight w:val="none"/>
          <w:lang w:eastAsia="zh-CN"/>
        </w:rPr>
        <w:t>（二）技术需求专用要求</w:t>
      </w:r>
      <w:bookmarkEnd w:id="478"/>
    </w:p>
    <w:p w14:paraId="765A1C7B">
      <w:pPr>
        <w:jc w:val="center"/>
        <w:rPr>
          <w:rFonts w:hint="eastAsia"/>
          <w:b/>
          <w:bCs/>
          <w:sz w:val="28"/>
          <w:szCs w:val="28"/>
          <w:highlight w:val="none"/>
        </w:rPr>
      </w:pPr>
      <w:r>
        <w:rPr>
          <w:rFonts w:hint="eastAsia"/>
          <w:b/>
          <w:bCs/>
          <w:sz w:val="28"/>
          <w:szCs w:val="28"/>
          <w:highlight w:val="none"/>
          <w:lang w:val="en-US" w:eastAsia="zh-CN"/>
        </w:rPr>
        <w:t>1</w:t>
      </w:r>
      <w:r>
        <w:rPr>
          <w:rFonts w:hint="eastAsia"/>
          <w:b/>
          <w:bCs/>
          <w:sz w:val="28"/>
          <w:szCs w:val="28"/>
          <w:highlight w:val="none"/>
        </w:rPr>
        <w:t>、发电车</w:t>
      </w:r>
    </w:p>
    <w:p w14:paraId="527018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highlight w:val="none"/>
        </w:rPr>
      </w:pPr>
      <w:r>
        <w:rPr>
          <w:rFonts w:hint="eastAsia"/>
          <w:sz w:val="24"/>
          <w:szCs w:val="24"/>
          <w:highlight w:val="none"/>
        </w:rPr>
        <w:t>技术参数：</w:t>
      </w:r>
    </w:p>
    <w:p w14:paraId="52D8C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highlight w:val="none"/>
        </w:rPr>
      </w:pPr>
      <w:r>
        <w:rPr>
          <w:rFonts w:hint="eastAsia"/>
          <w:sz w:val="24"/>
          <w:szCs w:val="24"/>
          <w:highlight w:val="none"/>
        </w:rPr>
        <w:t>1、国家或行业标准：《消防车 第1部分：通用技术标准》（GB 7956.1-2014）、GB7258《机动车安全技术条件》。</w:t>
      </w:r>
    </w:p>
    <w:p w14:paraId="0A9FCF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highlight w:val="none"/>
        </w:rPr>
      </w:pPr>
      <w:r>
        <w:rPr>
          <w:rFonts w:hint="eastAsia"/>
          <w:sz w:val="24"/>
          <w:szCs w:val="24"/>
          <w:highlight w:val="none"/>
        </w:rPr>
        <w:t>2、整车主要功能：用于处置灾害事故时，保障前方及后方电力供应。</w:t>
      </w:r>
    </w:p>
    <w:p w14:paraId="649BDD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rPr>
        <w:t>3、底盘主要技术要求：驱动形式：4*2（等同或优于），发动机功率≥250KW，排放标准：国六；</w:t>
      </w:r>
    </w:p>
    <w:p w14:paraId="1453A1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highlight w:val="none"/>
        </w:rPr>
      </w:pPr>
      <w:r>
        <w:rPr>
          <w:rFonts w:hint="eastAsia"/>
          <w:sz w:val="24"/>
          <w:szCs w:val="24"/>
          <w:highlight w:val="none"/>
        </w:rPr>
        <w:t>4、单排平顶驾驶室，配备转220V逆变器多功能插座，设置2个24V、2个12V直流电源插口和2个USB电源接口；顶部安装LED红色长排警灯，单音200W警报器，车体两侧上部各安装不少于2个LED爆闪灯。</w:t>
      </w:r>
    </w:p>
    <w:p w14:paraId="62730D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rPr>
        <w:t>5、上装主要技术要求：发电机组额定功率≥500kw，可向外输电 220V/380V；配电输出与电缆（1）配有2套电动线缆盘，可绕8根≥50m电缆，主输出线缆185mm²，总长度≥400m；（2）配有防水输出插座AC220V40A≥6套，AC380V30A≥4套，AC380V60A≥2套，含漏电保护器；安装配电柜，可直接与空气开关连接，设置国标输出插头。（可根据客户实际使用需求定制）</w:t>
      </w:r>
    </w:p>
    <w:p w14:paraId="59D545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rPr>
        <w:t>6、其他要求：车顶设置升降LED照明灯，升降高度≥6m，功率≥4*500W；厢体内部设置LED照明灯，无照明死角；厢体内部进行降噪处理。</w:t>
      </w:r>
    </w:p>
    <w:p w14:paraId="76A4A5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p>
    <w:p w14:paraId="4BD863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b/>
          <w:bCs/>
          <w:sz w:val="28"/>
          <w:szCs w:val="28"/>
          <w:highlight w:val="none"/>
          <w:lang w:val="en-US" w:eastAsia="zh-CN"/>
        </w:rPr>
      </w:pPr>
      <w:r>
        <w:rPr>
          <w:rFonts w:hint="eastAsia"/>
          <w:b/>
          <w:bCs/>
          <w:sz w:val="28"/>
          <w:szCs w:val="28"/>
          <w:highlight w:val="none"/>
          <w:lang w:val="en-US" w:eastAsia="zh-CN"/>
        </w:rPr>
        <w:t>2、物资运输车B</w:t>
      </w:r>
    </w:p>
    <w:p w14:paraId="39A41343">
      <w:pPr>
        <w:spacing w:line="500" w:lineRule="exact"/>
        <w:rPr>
          <w:rFonts w:hint="eastAsia" w:ascii="宋体" w:hAnsi="宋体" w:eastAsia="宋体" w:cs="宋体"/>
          <w:sz w:val="24"/>
          <w:szCs w:val="24"/>
        </w:rPr>
      </w:pPr>
      <w:r>
        <w:rPr>
          <w:rFonts w:hint="eastAsia" w:ascii="宋体" w:hAnsi="宋体" w:eastAsia="宋体" w:cs="宋体"/>
          <w:sz w:val="24"/>
          <w:szCs w:val="24"/>
        </w:rPr>
        <w:t>技术参数：用于消防救援队伍运输各类器材装备。</w:t>
      </w:r>
    </w:p>
    <w:p w14:paraId="2ED5CBD5">
      <w:pPr>
        <w:spacing w:line="500" w:lineRule="exact"/>
        <w:rPr>
          <w:rFonts w:hint="eastAsia" w:ascii="宋体" w:hAnsi="宋体" w:eastAsia="宋体" w:cs="宋体"/>
          <w:sz w:val="24"/>
          <w:szCs w:val="24"/>
        </w:rPr>
      </w:pPr>
      <w:r>
        <w:rPr>
          <w:rFonts w:hint="eastAsia" w:ascii="宋体" w:hAnsi="宋体" w:eastAsia="宋体" w:cs="宋体"/>
          <w:sz w:val="24"/>
          <w:szCs w:val="24"/>
        </w:rPr>
        <w:t>1、整体要求：</w:t>
      </w:r>
    </w:p>
    <w:p w14:paraId="1EDBCA99">
      <w:pPr>
        <w:spacing w:line="500" w:lineRule="exact"/>
        <w:rPr>
          <w:rFonts w:hint="eastAsia" w:ascii="宋体" w:hAnsi="宋体" w:eastAsia="宋体" w:cs="宋体"/>
          <w:sz w:val="24"/>
          <w:szCs w:val="24"/>
        </w:rPr>
      </w:pPr>
      <w:r>
        <w:rPr>
          <w:rFonts w:hint="eastAsia" w:ascii="宋体" w:hAnsi="宋体" w:eastAsia="宋体" w:cs="宋体"/>
          <w:sz w:val="24"/>
          <w:szCs w:val="24"/>
        </w:rPr>
        <w:t>1.1外廓尺寸 (长×宽×高)：≥9100mm×2500mm×3900mm</w:t>
      </w:r>
    </w:p>
    <w:p w14:paraId="0D7C7804">
      <w:pPr>
        <w:spacing w:line="500" w:lineRule="exact"/>
        <w:rPr>
          <w:rFonts w:hint="eastAsia" w:ascii="宋体" w:hAnsi="宋体" w:eastAsia="宋体" w:cs="宋体"/>
          <w:sz w:val="24"/>
          <w:szCs w:val="24"/>
        </w:rPr>
      </w:pPr>
      <w:r>
        <w:rPr>
          <w:rFonts w:hint="eastAsia" w:ascii="宋体" w:hAnsi="宋体" w:eastAsia="宋体" w:cs="宋体"/>
          <w:sz w:val="24"/>
          <w:szCs w:val="24"/>
        </w:rPr>
        <w:t>1.2满载总质量：≤30000kg</w:t>
      </w:r>
    </w:p>
    <w:p w14:paraId="6A1A304B">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1.3额定功率：≥ 297kw</w:t>
      </w:r>
    </w:p>
    <w:p w14:paraId="617252E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1.4乘员人数：≥2人 </w:t>
      </w:r>
    </w:p>
    <w:p w14:paraId="2D673777">
      <w:pPr>
        <w:spacing w:line="500" w:lineRule="exact"/>
        <w:rPr>
          <w:rFonts w:hint="eastAsia" w:ascii="宋体" w:hAnsi="宋体" w:eastAsia="宋体" w:cs="宋体"/>
          <w:sz w:val="24"/>
          <w:szCs w:val="24"/>
        </w:rPr>
      </w:pPr>
      <w:r>
        <w:rPr>
          <w:rFonts w:hint="eastAsia" w:ascii="宋体" w:hAnsi="宋体" w:eastAsia="宋体" w:cs="宋体"/>
          <w:sz w:val="24"/>
          <w:szCs w:val="24"/>
        </w:rPr>
        <w:t>1.5最高车速：90km/h</w:t>
      </w:r>
    </w:p>
    <w:p w14:paraId="53FAFBA1">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1.6拉臂钩最大装卸质量：≥20000kg</w:t>
      </w:r>
    </w:p>
    <w:p w14:paraId="61FFDD0D">
      <w:pPr>
        <w:spacing w:line="500" w:lineRule="exact"/>
        <w:rPr>
          <w:rFonts w:hint="eastAsia" w:ascii="宋体" w:hAnsi="宋体" w:eastAsia="宋体" w:cs="宋体"/>
          <w:sz w:val="24"/>
          <w:szCs w:val="24"/>
        </w:rPr>
      </w:pPr>
      <w:r>
        <w:rPr>
          <w:rFonts w:hint="eastAsia" w:ascii="宋体" w:hAnsi="宋体" w:eastAsia="宋体" w:cs="宋体"/>
          <w:sz w:val="24"/>
          <w:szCs w:val="24"/>
        </w:rPr>
        <w:t>1.7整车满足GB 7956.1-2014、、GB7258《机动车安全技术条件》。</w:t>
      </w:r>
    </w:p>
    <w:p w14:paraId="18B00E73">
      <w:pPr>
        <w:spacing w:line="500" w:lineRule="exact"/>
        <w:rPr>
          <w:rFonts w:hint="eastAsia" w:ascii="宋体" w:hAnsi="宋体" w:eastAsia="宋体" w:cs="宋体"/>
          <w:sz w:val="24"/>
          <w:szCs w:val="24"/>
        </w:rPr>
      </w:pPr>
      <w:r>
        <w:rPr>
          <w:rFonts w:hint="eastAsia" w:ascii="宋体" w:hAnsi="宋体" w:eastAsia="宋体" w:cs="宋体"/>
          <w:sz w:val="24"/>
          <w:szCs w:val="24"/>
        </w:rPr>
        <w:t>2、底盘</w:t>
      </w:r>
    </w:p>
    <w:p w14:paraId="3CD74577">
      <w:pPr>
        <w:spacing w:line="500" w:lineRule="exact"/>
        <w:rPr>
          <w:rFonts w:hint="eastAsia" w:ascii="宋体" w:hAnsi="宋体" w:eastAsia="宋体" w:cs="宋体"/>
          <w:sz w:val="24"/>
          <w:szCs w:val="24"/>
        </w:rPr>
      </w:pPr>
      <w:r>
        <w:rPr>
          <w:rFonts w:hint="eastAsia" w:ascii="宋体" w:hAnsi="宋体" w:eastAsia="宋体" w:cs="宋体"/>
          <w:sz w:val="24"/>
          <w:szCs w:val="24"/>
        </w:rPr>
        <w:t>2.1驱动型式：6×4（等同或优于）</w:t>
      </w:r>
    </w:p>
    <w:p w14:paraId="3F6FAE9C">
      <w:pPr>
        <w:spacing w:line="500" w:lineRule="exact"/>
        <w:rPr>
          <w:rFonts w:hint="eastAsia" w:ascii="宋体" w:hAnsi="宋体" w:eastAsia="宋体" w:cs="宋体"/>
          <w:sz w:val="24"/>
          <w:szCs w:val="24"/>
        </w:rPr>
      </w:pPr>
      <w:r>
        <w:rPr>
          <w:rFonts w:hint="eastAsia" w:ascii="宋体" w:hAnsi="宋体" w:eastAsia="宋体" w:cs="宋体"/>
          <w:sz w:val="24"/>
          <w:szCs w:val="24"/>
        </w:rPr>
        <w:t>2.2轴距 4600mm+1400mm</w:t>
      </w:r>
    </w:p>
    <w:p w14:paraId="48F5DC1A">
      <w:pPr>
        <w:spacing w:line="500" w:lineRule="exact"/>
        <w:rPr>
          <w:rFonts w:hint="eastAsia" w:ascii="宋体" w:hAnsi="宋体" w:eastAsia="宋体" w:cs="宋体"/>
          <w:sz w:val="24"/>
          <w:szCs w:val="24"/>
        </w:rPr>
      </w:pPr>
      <w:r>
        <w:rPr>
          <w:rFonts w:hint="eastAsia" w:ascii="宋体" w:hAnsi="宋体" w:eastAsia="宋体" w:cs="宋体"/>
          <w:sz w:val="24"/>
          <w:szCs w:val="24"/>
        </w:rPr>
        <w:t>2.3最大允许总质量：≥30000kg</w:t>
      </w:r>
    </w:p>
    <w:p w14:paraId="0AB5C653">
      <w:pPr>
        <w:spacing w:line="500" w:lineRule="exact"/>
        <w:rPr>
          <w:rFonts w:hint="eastAsia" w:ascii="宋体" w:hAnsi="宋体" w:eastAsia="宋体" w:cs="宋体"/>
          <w:sz w:val="24"/>
          <w:szCs w:val="24"/>
        </w:rPr>
      </w:pPr>
      <w:r>
        <w:rPr>
          <w:rFonts w:hint="eastAsia" w:ascii="宋体" w:hAnsi="宋体" w:eastAsia="宋体" w:cs="宋体"/>
          <w:sz w:val="24"/>
          <w:szCs w:val="24"/>
        </w:rPr>
        <w:t>2.4发动机额定功率：≥297kw</w:t>
      </w:r>
    </w:p>
    <w:p w14:paraId="44F70DCE">
      <w:pPr>
        <w:spacing w:line="500" w:lineRule="exact"/>
        <w:rPr>
          <w:rFonts w:hint="eastAsia" w:ascii="宋体" w:hAnsi="宋体" w:eastAsia="宋体" w:cs="宋体"/>
          <w:sz w:val="24"/>
          <w:szCs w:val="24"/>
        </w:rPr>
      </w:pPr>
      <w:r>
        <w:rPr>
          <w:rFonts w:hint="eastAsia" w:ascii="宋体" w:hAnsi="宋体" w:eastAsia="宋体" w:cs="宋体"/>
          <w:sz w:val="24"/>
          <w:szCs w:val="24"/>
        </w:rPr>
        <w:t>2.5排放标准：不低于国六标准</w:t>
      </w:r>
    </w:p>
    <w:p w14:paraId="54424C48">
      <w:pPr>
        <w:spacing w:line="500" w:lineRule="exact"/>
        <w:rPr>
          <w:rFonts w:hint="eastAsia" w:ascii="宋体" w:hAnsi="宋体" w:eastAsia="宋体" w:cs="宋体"/>
          <w:sz w:val="24"/>
          <w:szCs w:val="24"/>
        </w:rPr>
      </w:pPr>
      <w:r>
        <w:rPr>
          <w:rFonts w:hint="eastAsia" w:ascii="宋体" w:hAnsi="宋体" w:eastAsia="宋体" w:cs="宋体"/>
          <w:sz w:val="24"/>
          <w:szCs w:val="24"/>
        </w:rPr>
        <w:t>2.6燃油类型：柴油</w:t>
      </w:r>
    </w:p>
    <w:p w14:paraId="49923091">
      <w:pPr>
        <w:spacing w:line="500" w:lineRule="exact"/>
        <w:rPr>
          <w:rFonts w:hint="eastAsia" w:ascii="宋体" w:hAnsi="宋体" w:eastAsia="宋体" w:cs="宋体"/>
          <w:sz w:val="24"/>
          <w:szCs w:val="24"/>
        </w:rPr>
      </w:pPr>
      <w:r>
        <w:rPr>
          <w:rFonts w:hint="eastAsia" w:ascii="宋体" w:hAnsi="宋体" w:eastAsia="宋体" w:cs="宋体"/>
          <w:sz w:val="24"/>
          <w:szCs w:val="24"/>
        </w:rPr>
        <w:t>2.7燃油箱：≥ 300L</w:t>
      </w:r>
    </w:p>
    <w:p w14:paraId="1A6835B2">
      <w:pPr>
        <w:spacing w:line="500" w:lineRule="exact"/>
        <w:rPr>
          <w:rFonts w:hint="eastAsia" w:ascii="宋体" w:hAnsi="宋体" w:eastAsia="宋体" w:cs="宋体"/>
          <w:sz w:val="24"/>
          <w:szCs w:val="24"/>
        </w:rPr>
      </w:pPr>
      <w:r>
        <w:rPr>
          <w:rFonts w:hint="eastAsia" w:ascii="宋体" w:hAnsi="宋体" w:eastAsia="宋体" w:cs="宋体"/>
          <w:sz w:val="24"/>
          <w:szCs w:val="24"/>
        </w:rPr>
        <w:t>2.8排气管道配备防火帽</w:t>
      </w:r>
    </w:p>
    <w:p w14:paraId="55786FAD">
      <w:pPr>
        <w:spacing w:line="500" w:lineRule="exact"/>
        <w:rPr>
          <w:rFonts w:hint="eastAsia" w:ascii="宋体" w:hAnsi="宋体" w:eastAsia="宋体" w:cs="宋体"/>
          <w:sz w:val="24"/>
          <w:szCs w:val="24"/>
        </w:rPr>
      </w:pPr>
      <w:r>
        <w:rPr>
          <w:rFonts w:hint="eastAsia" w:ascii="宋体" w:hAnsi="宋体" w:eastAsia="宋体" w:cs="宋体"/>
          <w:sz w:val="24"/>
          <w:szCs w:val="24"/>
        </w:rPr>
        <w:t>2.9轮胎：钢丝胎或优于</w:t>
      </w:r>
    </w:p>
    <w:p w14:paraId="0A02B408">
      <w:pPr>
        <w:spacing w:line="500" w:lineRule="exact"/>
        <w:rPr>
          <w:rFonts w:hint="eastAsia" w:ascii="宋体" w:hAnsi="宋体" w:eastAsia="宋体" w:cs="宋体"/>
          <w:sz w:val="24"/>
          <w:szCs w:val="24"/>
        </w:rPr>
      </w:pPr>
      <w:r>
        <w:rPr>
          <w:rFonts w:hint="eastAsia" w:ascii="宋体" w:hAnsi="宋体" w:eastAsia="宋体" w:cs="宋体"/>
          <w:sz w:val="24"/>
          <w:szCs w:val="24"/>
        </w:rPr>
        <w:t>2.10驾驶室结构：整车原厂双开门，带卧铺、带中控门锁，主驾气悬座椅；主副驾角度和前后位置可调，副驾驶侧带车头前部下视镜，带电加热及电动调整的后视镜及广角镜、冷暖空调，可调多功能方向盘，电动车窗，电动翻转驾驶室，四点支撑减震驾驶室</w:t>
      </w:r>
    </w:p>
    <w:p w14:paraId="1836C374">
      <w:pPr>
        <w:spacing w:line="500" w:lineRule="exact"/>
        <w:rPr>
          <w:rFonts w:hint="eastAsia" w:ascii="宋体" w:hAnsi="宋体" w:eastAsia="宋体" w:cs="宋体"/>
          <w:sz w:val="24"/>
          <w:szCs w:val="24"/>
        </w:rPr>
      </w:pPr>
      <w:r>
        <w:rPr>
          <w:rFonts w:hint="eastAsia" w:ascii="宋体" w:hAnsi="宋体" w:eastAsia="宋体" w:cs="宋体"/>
          <w:sz w:val="24"/>
          <w:szCs w:val="24"/>
        </w:rPr>
        <w:t>3、拉臂钩</w:t>
      </w:r>
    </w:p>
    <w:p w14:paraId="329B046C">
      <w:pPr>
        <w:spacing w:line="500" w:lineRule="exact"/>
        <w:rPr>
          <w:rFonts w:hint="eastAsia" w:ascii="宋体" w:hAnsi="宋体" w:eastAsia="宋体" w:cs="宋体"/>
          <w:sz w:val="24"/>
          <w:szCs w:val="24"/>
        </w:rPr>
      </w:pPr>
      <w:r>
        <w:rPr>
          <w:rFonts w:hint="eastAsia" w:ascii="宋体" w:hAnsi="宋体" w:eastAsia="宋体" w:cs="宋体"/>
          <w:sz w:val="24"/>
          <w:szCs w:val="24"/>
        </w:rPr>
        <w:t>3.1具有伸缩式，双倾卸油缸操作模式 手动+无线遥控（手持式遥控器）</w:t>
      </w:r>
    </w:p>
    <w:p w14:paraId="0EE80DD1">
      <w:pPr>
        <w:spacing w:line="500" w:lineRule="exact"/>
        <w:rPr>
          <w:rFonts w:hint="eastAsia" w:ascii="宋体" w:hAnsi="宋体" w:eastAsia="宋体" w:cs="宋体"/>
          <w:sz w:val="24"/>
          <w:szCs w:val="24"/>
        </w:rPr>
      </w:pPr>
      <w:r>
        <w:rPr>
          <w:rFonts w:hint="eastAsia" w:ascii="宋体" w:hAnsi="宋体" w:eastAsia="宋体" w:cs="宋体"/>
          <w:sz w:val="24"/>
          <w:szCs w:val="24"/>
        </w:rPr>
        <w:t>3.2最大装卸质量：≥20000kg</w:t>
      </w:r>
    </w:p>
    <w:p w14:paraId="6B3A3F2F">
      <w:pPr>
        <w:spacing w:line="500" w:lineRule="exact"/>
        <w:rPr>
          <w:rFonts w:hint="eastAsia" w:ascii="宋体" w:hAnsi="宋体" w:eastAsia="宋体" w:cs="宋体"/>
          <w:sz w:val="24"/>
          <w:szCs w:val="24"/>
        </w:rPr>
      </w:pPr>
      <w:r>
        <w:rPr>
          <w:rFonts w:hint="eastAsia" w:ascii="宋体" w:hAnsi="宋体" w:eastAsia="宋体" w:cs="宋体"/>
          <w:sz w:val="24"/>
          <w:szCs w:val="24"/>
        </w:rPr>
        <w:t>3.3自卸角度： ≥40°</w:t>
      </w:r>
    </w:p>
    <w:p w14:paraId="708D78AC">
      <w:pPr>
        <w:spacing w:line="500" w:lineRule="exact"/>
        <w:rPr>
          <w:rFonts w:hint="eastAsia" w:ascii="宋体" w:hAnsi="宋体" w:eastAsia="宋体" w:cs="宋体"/>
          <w:sz w:val="24"/>
          <w:szCs w:val="24"/>
        </w:rPr>
      </w:pPr>
      <w:r>
        <w:rPr>
          <w:rFonts w:hint="eastAsia" w:ascii="宋体" w:hAnsi="宋体" w:eastAsia="宋体" w:cs="宋体"/>
          <w:sz w:val="24"/>
          <w:szCs w:val="24"/>
        </w:rPr>
        <w:t>3.4钩心高度： ≥1200mm</w:t>
      </w:r>
    </w:p>
    <w:p w14:paraId="0B0A6E77">
      <w:pPr>
        <w:spacing w:line="500" w:lineRule="exact"/>
        <w:rPr>
          <w:rFonts w:hint="eastAsia" w:ascii="宋体" w:hAnsi="宋体" w:eastAsia="宋体" w:cs="宋体"/>
          <w:sz w:val="24"/>
          <w:szCs w:val="24"/>
        </w:rPr>
      </w:pPr>
      <w:r>
        <w:rPr>
          <w:rFonts w:hint="eastAsia" w:ascii="宋体" w:hAnsi="宋体" w:eastAsia="宋体" w:cs="宋体"/>
          <w:sz w:val="24"/>
          <w:szCs w:val="24"/>
        </w:rPr>
        <w:t>3.5适合箱体长度：3900-8000mm</w:t>
      </w:r>
    </w:p>
    <w:p w14:paraId="6CCDF66E">
      <w:pPr>
        <w:spacing w:line="500" w:lineRule="exact"/>
        <w:rPr>
          <w:rFonts w:hint="eastAsia" w:ascii="宋体" w:hAnsi="宋体" w:eastAsia="宋体" w:cs="宋体"/>
          <w:sz w:val="24"/>
          <w:szCs w:val="24"/>
        </w:rPr>
      </w:pPr>
      <w:r>
        <w:rPr>
          <w:rFonts w:hint="eastAsia" w:ascii="宋体" w:hAnsi="宋体" w:eastAsia="宋体" w:cs="宋体"/>
          <w:sz w:val="24"/>
          <w:szCs w:val="24"/>
        </w:rPr>
        <w:t>3.6控制方式：手动和遥控两种以上控制方式。</w:t>
      </w:r>
    </w:p>
    <w:p w14:paraId="2BAB0325">
      <w:pPr>
        <w:spacing w:line="500" w:lineRule="exact"/>
        <w:rPr>
          <w:rFonts w:hint="eastAsia" w:ascii="宋体" w:hAnsi="宋体" w:eastAsia="宋体" w:cs="宋体"/>
          <w:sz w:val="24"/>
          <w:szCs w:val="24"/>
        </w:rPr>
      </w:pPr>
      <w:r>
        <w:rPr>
          <w:rFonts w:hint="eastAsia" w:ascii="宋体" w:hAnsi="宋体" w:eastAsia="宋体" w:cs="宋体"/>
          <w:sz w:val="24"/>
          <w:szCs w:val="24"/>
        </w:rPr>
        <w:t>4、外观、器材箱要求</w:t>
      </w:r>
    </w:p>
    <w:p w14:paraId="6AC9122E">
      <w:pPr>
        <w:spacing w:line="500" w:lineRule="exact"/>
        <w:rPr>
          <w:rFonts w:hint="eastAsia" w:ascii="宋体" w:hAnsi="宋体" w:eastAsia="宋体" w:cs="宋体"/>
          <w:sz w:val="24"/>
          <w:szCs w:val="24"/>
        </w:rPr>
      </w:pPr>
      <w:r>
        <w:rPr>
          <w:rFonts w:hint="eastAsia" w:ascii="宋体" w:hAnsi="宋体" w:eastAsia="宋体" w:cs="宋体"/>
          <w:sz w:val="24"/>
          <w:szCs w:val="24"/>
        </w:rPr>
        <w:t>4.1车辆外观：驾驶室、车身、围板等外表面为消防红。颜色符合GB7258规定的GB/T3181《漆膜颜色标准》中的R03大红色。</w:t>
      </w:r>
    </w:p>
    <w:p w14:paraId="4B47DC03">
      <w:pPr>
        <w:spacing w:line="500" w:lineRule="exact"/>
        <w:rPr>
          <w:rFonts w:hint="eastAsia" w:ascii="宋体" w:hAnsi="宋体" w:eastAsia="宋体" w:cs="宋体"/>
          <w:sz w:val="24"/>
          <w:szCs w:val="24"/>
        </w:rPr>
      </w:pPr>
      <w:r>
        <w:rPr>
          <w:rFonts w:hint="eastAsia" w:ascii="宋体" w:hAnsi="宋体" w:eastAsia="宋体" w:cs="宋体"/>
          <w:sz w:val="24"/>
          <w:szCs w:val="24"/>
        </w:rPr>
        <w:t>4.2内部器材架：箱体采用耐腐蚀材料或表面经防腐处理，任何部件构建都不应有使人致伤的尖锐突出物或锐利边缘，应为设备器材提供固定夹持装置和空间，箱体内根据器材使用方式不同设置有各种专用拖架、旋转架、可调器材盒等机构放置和固定各种器材装备，在装卸和运输过程中不会发生移动，器材箱的设计箱体应通风、防潮、且能排除箱内积水。</w:t>
      </w:r>
    </w:p>
    <w:p w14:paraId="1F223990">
      <w:pPr>
        <w:spacing w:line="600" w:lineRule="exact"/>
        <w:rPr>
          <w:rFonts w:hint="eastAsia" w:ascii="宋体" w:hAnsi="宋体" w:eastAsia="宋体" w:cs="宋体"/>
          <w:sz w:val="24"/>
          <w:szCs w:val="24"/>
        </w:rPr>
      </w:pPr>
      <w:r>
        <w:rPr>
          <w:rFonts w:hint="eastAsia" w:ascii="宋体" w:hAnsi="宋体" w:eastAsia="宋体" w:cs="宋体"/>
          <w:sz w:val="24"/>
          <w:szCs w:val="24"/>
        </w:rPr>
        <w:t>4.3内部照明：器材箱内应设有LED照明装置，实现全方位照明，且自带电源可独立照明（发电机功率≥3KW）。</w:t>
      </w:r>
    </w:p>
    <w:p w14:paraId="438EB177">
      <w:pPr>
        <w:spacing w:line="500" w:lineRule="exact"/>
        <w:rPr>
          <w:rFonts w:hint="eastAsia" w:ascii="宋体" w:hAnsi="宋体" w:eastAsia="宋体" w:cs="宋体"/>
          <w:sz w:val="24"/>
          <w:szCs w:val="24"/>
        </w:rPr>
      </w:pPr>
      <w:r>
        <w:rPr>
          <w:rFonts w:hint="eastAsia" w:ascii="宋体" w:hAnsi="宋体" w:eastAsia="宋体" w:cs="宋体"/>
          <w:sz w:val="24"/>
          <w:szCs w:val="24"/>
        </w:rPr>
        <w:t>4.4厢体开启方式：拉杆式卷帘门、上下翻门等两种以上方案，可根据用户需求调整。</w:t>
      </w:r>
    </w:p>
    <w:p w14:paraId="7CB198D0">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4.5器材箱数量：≥2套，材质：车厢骨架采用优质钢材，内骨架采用高强度铝合金型材，内饰板采用光面拉丝氧化铝板。</w:t>
      </w:r>
    </w:p>
    <w:p w14:paraId="42F1EBC4">
      <w:pPr>
        <w:spacing w:line="500" w:lineRule="exact"/>
        <w:rPr>
          <w:rFonts w:hint="eastAsia" w:ascii="宋体" w:hAnsi="宋体" w:eastAsia="宋体" w:cs="宋体"/>
          <w:sz w:val="24"/>
          <w:szCs w:val="24"/>
        </w:rPr>
      </w:pPr>
      <w:r>
        <w:rPr>
          <w:rFonts w:hint="eastAsia" w:ascii="宋体" w:hAnsi="宋体" w:eastAsia="宋体" w:cs="宋体"/>
          <w:sz w:val="24"/>
          <w:szCs w:val="24"/>
        </w:rPr>
        <w:t>结构：车厢的骨架为优质钢材框架焊接式结构，外蒙皮为优质钢板；车厢内器材骨架采用铝合金型材搭接结构，器材箱内根据所配器材分隔隔舱，内骨架：采用优质铝型材装配式结构，器材箱用途根据采购单位需求定制，（地震救援模块、水域救援模块、山岳救援模块、水带铺设模块、石油化工模块、个人防护模块、消防机器人模块、宿营帐篷模块等）。</w:t>
      </w:r>
    </w:p>
    <w:p w14:paraId="4027836B">
      <w:pPr>
        <w:spacing w:line="500" w:lineRule="exact"/>
        <w:rPr>
          <w:rFonts w:hint="eastAsia" w:ascii="宋体" w:hAnsi="宋体" w:eastAsia="宋体" w:cs="宋体"/>
          <w:sz w:val="24"/>
          <w:szCs w:val="24"/>
        </w:rPr>
      </w:pPr>
      <w:r>
        <w:rPr>
          <w:rFonts w:hint="eastAsia" w:ascii="宋体" w:hAnsi="宋体" w:eastAsia="宋体" w:cs="宋体"/>
          <w:sz w:val="24"/>
          <w:szCs w:val="24"/>
        </w:rPr>
        <w:t>5、电气系统</w:t>
      </w:r>
    </w:p>
    <w:p w14:paraId="7542EFC6">
      <w:pPr>
        <w:spacing w:line="500" w:lineRule="exact"/>
        <w:rPr>
          <w:rFonts w:hint="eastAsia" w:ascii="宋体" w:hAnsi="宋体" w:eastAsia="宋体" w:cs="宋体"/>
          <w:sz w:val="24"/>
          <w:szCs w:val="24"/>
        </w:rPr>
      </w:pPr>
      <w:r>
        <w:rPr>
          <w:rFonts w:hint="eastAsia" w:ascii="宋体" w:hAnsi="宋体" w:eastAsia="宋体" w:cs="宋体"/>
          <w:sz w:val="24"/>
          <w:szCs w:val="24"/>
        </w:rPr>
        <w:t>5.1设有上装电源总开关。</w:t>
      </w:r>
    </w:p>
    <w:p w14:paraId="7FA7CD89">
      <w:pPr>
        <w:spacing w:line="500" w:lineRule="exact"/>
        <w:rPr>
          <w:rFonts w:hint="eastAsia" w:ascii="宋体" w:hAnsi="宋体" w:eastAsia="宋体" w:cs="宋体"/>
          <w:sz w:val="24"/>
          <w:szCs w:val="24"/>
        </w:rPr>
      </w:pPr>
      <w:r>
        <w:rPr>
          <w:rFonts w:hint="eastAsia" w:ascii="宋体" w:hAnsi="宋体" w:eastAsia="宋体" w:cs="宋体"/>
          <w:sz w:val="24"/>
          <w:szCs w:val="24"/>
        </w:rPr>
        <w:t>5.2所有电路都应设置保险装置，上装和底盘不共用一个保险装置，消防车所有的电路保险装置应集中放置，电路保险装置应放置在干燥、防水。防尘、避免机械振动和冲击并且维修人员易接触处。</w:t>
      </w:r>
    </w:p>
    <w:p w14:paraId="0FA7FBB8">
      <w:pPr>
        <w:spacing w:line="500" w:lineRule="exact"/>
        <w:rPr>
          <w:rFonts w:hint="eastAsia" w:ascii="宋体" w:hAnsi="宋体" w:eastAsia="宋体" w:cs="宋体"/>
          <w:sz w:val="24"/>
          <w:szCs w:val="24"/>
        </w:rPr>
      </w:pPr>
      <w:r>
        <w:rPr>
          <w:rFonts w:hint="eastAsia" w:ascii="宋体" w:hAnsi="宋体" w:eastAsia="宋体" w:cs="宋体"/>
          <w:sz w:val="24"/>
          <w:szCs w:val="24"/>
        </w:rPr>
        <w:t>5.3驾驶室顶部安装LED红色长排警灯，车体两侧上部各安装有红色LED爆闪灯，车体后上部红色LED爆闪灯。</w:t>
      </w:r>
    </w:p>
    <w:p w14:paraId="5E813660">
      <w:pPr>
        <w:spacing w:line="500" w:lineRule="exact"/>
        <w:rPr>
          <w:rFonts w:hint="eastAsia" w:ascii="宋体" w:hAnsi="宋体" w:eastAsia="宋体" w:cs="宋体"/>
          <w:sz w:val="24"/>
          <w:szCs w:val="24"/>
        </w:rPr>
      </w:pPr>
      <w:r>
        <w:rPr>
          <w:rFonts w:hint="eastAsia" w:ascii="宋体" w:hAnsi="宋体" w:eastAsia="宋体" w:cs="宋体"/>
          <w:sz w:val="24"/>
          <w:szCs w:val="24"/>
        </w:rPr>
        <w:t>5.4驾驶室内安装功率≥50W警报器，驾驶室内配有手持扩音控制器。</w:t>
      </w:r>
    </w:p>
    <w:p w14:paraId="3A6A092E">
      <w:pPr>
        <w:spacing w:line="500" w:lineRule="exact"/>
        <w:rPr>
          <w:rFonts w:hint="eastAsia" w:ascii="宋体" w:hAnsi="宋体" w:eastAsia="宋体" w:cs="宋体"/>
          <w:sz w:val="24"/>
          <w:szCs w:val="24"/>
        </w:rPr>
      </w:pPr>
      <w:r>
        <w:rPr>
          <w:rFonts w:hint="eastAsia" w:ascii="宋体" w:hAnsi="宋体" w:eastAsia="宋体" w:cs="宋体"/>
          <w:sz w:val="24"/>
          <w:szCs w:val="24"/>
        </w:rPr>
        <w:t>5.5驾驶室后部上方、箱体顶部两侧及后部各安装不少于2个LED工作照明灯；</w:t>
      </w:r>
    </w:p>
    <w:p w14:paraId="103AE3E6">
      <w:pPr>
        <w:spacing w:line="500" w:lineRule="exact"/>
        <w:rPr>
          <w:rFonts w:hint="eastAsia" w:ascii="宋体" w:hAnsi="宋体" w:eastAsia="宋体" w:cs="宋体"/>
          <w:sz w:val="24"/>
          <w:szCs w:val="24"/>
        </w:rPr>
      </w:pPr>
      <w:r>
        <w:rPr>
          <w:rFonts w:hint="eastAsia" w:ascii="宋体" w:hAnsi="宋体" w:eastAsia="宋体" w:cs="宋体"/>
          <w:sz w:val="24"/>
          <w:szCs w:val="24"/>
        </w:rPr>
        <w:t>5.6快速出动保障系统（用于底盘充电、充气）。</w:t>
      </w:r>
    </w:p>
    <w:p w14:paraId="6B50BD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highlight w:val="none"/>
        </w:rPr>
      </w:pPr>
    </w:p>
    <w:p w14:paraId="15D380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highlight w:val="none"/>
        </w:rPr>
      </w:pPr>
    </w:p>
    <w:p w14:paraId="616803B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b/>
          <w:bCs/>
          <w:sz w:val="28"/>
          <w:szCs w:val="28"/>
          <w:highlight w:val="none"/>
          <w:lang w:val="en-US" w:eastAsia="zh-CN"/>
        </w:rPr>
      </w:pPr>
      <w:r>
        <w:rPr>
          <w:rFonts w:hint="eastAsia"/>
          <w:b/>
          <w:bCs/>
          <w:sz w:val="28"/>
          <w:szCs w:val="28"/>
          <w:highlight w:val="none"/>
          <w:lang w:val="en-US" w:eastAsia="zh-CN"/>
        </w:rPr>
        <w:t>干粉消防车</w:t>
      </w:r>
    </w:p>
    <w:p w14:paraId="2BC499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技术参数：整车要求符合GB7956.1--2014《消防车第1部分：通用技术条件》、GB7956.4--2019《消防车第4部分： 干粉消防车》的规定； 整车外廓尺寸、轴荷及质量符合GB1589-2016《汽车、挂车及汽车列车外廓尺寸、轴荷及质量限值》的规定 整车外部照明和信号装置符合GB4785-2019《汽车及挂车外部照明和光信号装置的安装规定》的规定 整车符合GB7258-2017《机动车运行安全技术条件》的规定。</w:t>
      </w:r>
    </w:p>
    <w:p w14:paraId="200916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1、整车技术性能</w:t>
      </w:r>
    </w:p>
    <w:p w14:paraId="33920F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1.1国产底盘，国内消防车制造厂产品。</w:t>
      </w:r>
    </w:p>
    <w:p w14:paraId="7464E9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1.2最高车速：≥ 90km/h 。</w:t>
      </w:r>
    </w:p>
    <w:p w14:paraId="5BF5FC7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1.3排放标准：不低于中国国家机动车现行排放标准。</w:t>
      </w:r>
    </w:p>
    <w:p w14:paraId="2B8963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1.4指示标牌、操作说明、安全警示必须为中文，仪表计量单位必须为中国法定计量单位。</w:t>
      </w:r>
    </w:p>
    <w:p w14:paraId="7102E5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1.5整车外型尺寸（mm，长*宽*高）：≤ 10000×2550×4000。1.6指示标牌、操作说明、安全警示必须为中文，仪表计量单位必须为中国法定计量单位。</w:t>
      </w:r>
    </w:p>
    <w:p w14:paraId="00BC6B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1.6整车外型尺寸（mm，长*宽*高）：≤ 10000×2550×4000。</w:t>
      </w:r>
    </w:p>
    <w:p w14:paraId="7FA93D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2、底盘</w:t>
      </w:r>
    </w:p>
    <w:p w14:paraId="0508A0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2.1驱动形式：6×4。</w:t>
      </w:r>
    </w:p>
    <w:p w14:paraId="5F6F68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2.2发动机功率：≥340kw。</w:t>
      </w:r>
    </w:p>
    <w:p w14:paraId="6A095D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2.3转向：液压助力，方向盘高度和倾角可调。</w:t>
      </w:r>
    </w:p>
    <w:p w14:paraId="3E003C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2.4制动：配有ABS防抱死系统、配备液力缓速功能。</w:t>
      </w:r>
    </w:p>
    <w:p w14:paraId="191F7F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2.5其他：能满足整车承重要求，并留有承载余量，符合国内道路通行要求。</w:t>
      </w:r>
    </w:p>
    <w:p w14:paraId="4EB09E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3、驾驶室和乘员室</w:t>
      </w:r>
    </w:p>
    <w:p w14:paraId="61ABC3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31座位数≥6人，驾驶位为气动悬浮座椅，高度、前后位置可调；副驾驶座椅角度和前后位置可调；所有座椅配备安全带。</w:t>
      </w:r>
    </w:p>
    <w:p w14:paraId="699999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3.2结构：驾驶室经过安全碰撞试验，窗户玻璃采用加强型防爆玻璃。</w:t>
      </w:r>
    </w:p>
    <w:p w14:paraId="52E34B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3.3门窗：中控门锁，前后排均配备电动升降安全玻璃，四开门双排座。</w:t>
      </w:r>
    </w:p>
    <w:p w14:paraId="5923C1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3.4空调：配备独立通风冷暖空调。</w:t>
      </w:r>
    </w:p>
    <w:p w14:paraId="3DF881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3.5警灯：符合应急管理部相关标准。</w:t>
      </w:r>
    </w:p>
    <w:p w14:paraId="734F49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3.6其他：设置快速充电口（220V）；乘员室内所有扶手、内衬均经过防滑处理，配有防滑门阶；配置≥4个可安装空气呼吸器座椅，座椅靠背装有内嵌式6.8-9L通用型模具制作的空呼器支架（可调）。</w:t>
      </w:r>
    </w:p>
    <w:p w14:paraId="633E32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4、上装</w:t>
      </w:r>
    </w:p>
    <w:p w14:paraId="10E9AE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4.1器材箱和踏板</w:t>
      </w:r>
    </w:p>
    <w:p w14:paraId="22B6BC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4.2材质：高强度金属材质，满足满负荷承载能力。</w:t>
      </w:r>
    </w:p>
    <w:p w14:paraId="72C079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4.3箱内：无骨架板式联接，设有排水孔/槽，按需求方要求进行空间设计。</w:t>
      </w:r>
    </w:p>
    <w:p w14:paraId="6D6063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4.4箱门：高强度铝合金型材料，箱门关闭后密封、防水，箱门关闭时自动锁闭，在三级道路以60Km/h行驶时器材箱门不会开启，所有帘子门可以用一把钥匙开启。</w:t>
      </w:r>
    </w:p>
    <w:p w14:paraId="5B350A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4.5箱内照明：每道器材箱门内设置有LED自动照明系统。</w:t>
      </w:r>
    </w:p>
    <w:p w14:paraId="2AA228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4.6翻门踏板：防滑设计，承载≥150kg。</w:t>
      </w:r>
    </w:p>
    <w:p w14:paraId="5C00CA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5、干粉氮气系统</w:t>
      </w:r>
    </w:p>
    <w:p w14:paraId="774921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5.1干粉罐：装粉量：≥3吨×2个，工作压力：≥1.4MPa，剩粉率：≤15%；</w:t>
      </w:r>
    </w:p>
    <w:p w14:paraId="6E58AA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5.2氮气瓶：工作压力：≥15MPa，容量：≥80L，数量：≥18只，充气时间：≤3min；</w:t>
      </w:r>
    </w:p>
    <w:p w14:paraId="30F8F9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5.3减压阀工作压力：≥15MPa，输出压力：≥ 1.4MPa，最大流量：≥90m³/min，数量：2个；</w:t>
      </w:r>
    </w:p>
    <w:p w14:paraId="58B8E4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5.4干粉炮：喷射率：≥30kg/s，射程：≥40m，数量：≥2个；</w:t>
      </w:r>
    </w:p>
    <w:p w14:paraId="011AD4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5.5干粉卷盘规格：≥DN25×40m，喷射率：≥2kg/s 射程：≥10m，数量：2个。</w:t>
      </w:r>
    </w:p>
    <w:p w14:paraId="2CF664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5.6配备外部注氮接口，并随车配备外部注氮管线长度≥30m；</w:t>
      </w:r>
    </w:p>
    <w:p w14:paraId="4955C9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5.7干粉系统操纵面板：设置2组干粉系统操纵面板，包括气源压力表、罐压力表、罐进气阀开关、炮出粉开关、枪出粉开关、炮吹扫开关和枪吹扫开关，并配有管路图及操作使用要求。</w:t>
      </w:r>
    </w:p>
    <w:p w14:paraId="401D0F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6、外观颜色、标识（应急管理部最新外观标识统型标准）</w:t>
      </w:r>
    </w:p>
    <w:p w14:paraId="4FAE36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6.1整车标识：按消防救援车辆外观制式涂装要求进行涂装，车辆涂装符合《国家综合性消防救援车辆外观制式涂装规范》。</w:t>
      </w:r>
    </w:p>
    <w:p w14:paraId="193930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6.2其他：所有车上铭牌、显示屏幕信息、功能按键必须以中文或图形符号显示，随车技术文件带中文翻译件；在驾驶室显著位置上安放标注有生产厂家名称、品牌名称、型号、规格、生产日期等产品信息的铭牌。</w:t>
      </w:r>
    </w:p>
    <w:p w14:paraId="2240F1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7、随车提供以下附件及器材（可根据客户要求配置）</w:t>
      </w:r>
    </w:p>
    <w:p w14:paraId="48F443B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序号 名称 规格 单位 数量</w:t>
      </w:r>
    </w:p>
    <w:p w14:paraId="5E84C0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 底盘随车工具 适配 套 1</w:t>
      </w:r>
    </w:p>
    <w:p w14:paraId="0564D7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 干粉灭火器 2kg  ABC型 个 1</w:t>
      </w:r>
    </w:p>
    <w:p w14:paraId="075045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 备胎（包含轮毂） 适配 个 1</w:t>
      </w:r>
    </w:p>
    <w:p w14:paraId="67415F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 干粉加注漏斗  个 2</w:t>
      </w:r>
    </w:p>
    <w:p w14:paraId="771E1F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 氮气瓶充气软管  个 2</w:t>
      </w:r>
    </w:p>
    <w:p w14:paraId="67A20F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6 铁锹  把 1</w:t>
      </w:r>
    </w:p>
    <w:p w14:paraId="54B558F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7 尖斧  把 1</w:t>
      </w:r>
    </w:p>
    <w:p w14:paraId="24C2BAD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8 铁铤  把 1</w:t>
      </w:r>
    </w:p>
    <w:p w14:paraId="5853CA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9 水桶  个 1</w:t>
      </w:r>
    </w:p>
    <w:p w14:paraId="1C13D1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10 空气呼吸器≥4具（根据座椅数量配置）</w:t>
      </w:r>
    </w:p>
    <w:p w14:paraId="1B3A4A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9、其他要求</w:t>
      </w:r>
    </w:p>
    <w:p w14:paraId="5F2607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车辆交付时燃油、尿素等添加液处于满液状态，干粉量≥5吨（用于验收）</w:t>
      </w:r>
    </w:p>
    <w:p w14:paraId="1BDADC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color w:val="auto"/>
          <w:sz w:val="24"/>
          <w:szCs w:val="24"/>
          <w:highlight w:val="none"/>
        </w:rPr>
      </w:pPr>
      <w:r>
        <w:rPr>
          <w:rFonts w:hint="eastAsia"/>
          <w:highlight w:val="none"/>
        </w:rPr>
        <w:br w:type="page"/>
      </w:r>
    </w:p>
    <w:p w14:paraId="187D0926">
      <w:pPr>
        <w:pStyle w:val="2"/>
        <w:rPr>
          <w:rFonts w:ascii="宋体" w:cs="宋体"/>
          <w:color w:val="auto"/>
          <w:szCs w:val="32"/>
          <w:highlight w:val="none"/>
        </w:rPr>
      </w:pPr>
      <w:bookmarkStart w:id="479" w:name="_Toc11783"/>
      <w:bookmarkStart w:id="480" w:name="_Toc40112142"/>
      <w:bookmarkStart w:id="481" w:name="_Toc21444"/>
      <w:bookmarkStart w:id="482" w:name="_Toc22478"/>
      <w:r>
        <w:rPr>
          <w:rFonts w:hint="eastAsia" w:ascii="宋体" w:hAnsi="宋体" w:cs="宋体"/>
          <w:color w:val="auto"/>
          <w:szCs w:val="32"/>
          <w:highlight w:val="none"/>
        </w:rPr>
        <w:t>第七章</w:t>
      </w:r>
      <w:r>
        <w:rPr>
          <w:rFonts w:ascii="宋体" w:hAnsi="宋体" w:cs="宋体"/>
          <w:color w:val="auto"/>
          <w:szCs w:val="32"/>
          <w:highlight w:val="none"/>
        </w:rPr>
        <w:t xml:space="preserve">  </w:t>
      </w:r>
      <w:r>
        <w:rPr>
          <w:rFonts w:hint="eastAsia" w:ascii="宋体" w:hAnsi="宋体" w:cs="宋体"/>
          <w:color w:val="auto"/>
          <w:szCs w:val="32"/>
          <w:highlight w:val="none"/>
        </w:rPr>
        <w:t>投标文件格式</w:t>
      </w:r>
      <w:bookmarkEnd w:id="479"/>
      <w:bookmarkEnd w:id="480"/>
      <w:bookmarkEnd w:id="481"/>
      <w:bookmarkEnd w:id="482"/>
    </w:p>
    <w:p w14:paraId="3B5E99F2">
      <w:pPr>
        <w:spacing w:line="360" w:lineRule="auto"/>
        <w:ind w:left="720"/>
        <w:rPr>
          <w:color w:val="auto"/>
          <w:highlight w:val="none"/>
        </w:rPr>
      </w:pPr>
    </w:p>
    <w:p w14:paraId="1C5AD8E7">
      <w:pPr>
        <w:pStyle w:val="13"/>
        <w:spacing w:beforeLines="100" w:afterLines="100" w:line="360" w:lineRule="auto"/>
        <w:jc w:val="center"/>
        <w:rPr>
          <w:rFonts w:hint="eastAsia" w:ascii="宋体" w:cs="宋体"/>
          <w:b/>
          <w:color w:val="auto"/>
          <w:sz w:val="44"/>
          <w:szCs w:val="44"/>
          <w:highlight w:val="none"/>
          <w:lang w:eastAsia="zh-CN"/>
        </w:rPr>
      </w:pPr>
      <w:r>
        <w:rPr>
          <w:rFonts w:hint="eastAsia" w:ascii="宋体" w:cs="宋体"/>
          <w:b/>
          <w:color w:val="auto"/>
          <w:sz w:val="44"/>
          <w:szCs w:val="44"/>
          <w:highlight w:val="none"/>
          <w:lang w:eastAsia="zh-CN"/>
        </w:rPr>
        <w:t>平顶山市消防救援支队河南省消防救援总队“自然灾害应急能力提升工程”平顶山支队装备建设（第二批）项目</w:t>
      </w:r>
    </w:p>
    <w:p w14:paraId="2217DB17">
      <w:pPr>
        <w:pStyle w:val="13"/>
        <w:spacing w:beforeLines="100" w:afterLines="100" w:line="360" w:lineRule="auto"/>
        <w:jc w:val="center"/>
        <w:rPr>
          <w:rFonts w:hint="eastAsia" w:ascii="宋体" w:cs="宋体"/>
          <w:b/>
          <w:color w:val="auto"/>
          <w:sz w:val="44"/>
          <w:szCs w:val="44"/>
          <w:highlight w:val="none"/>
          <w:lang w:eastAsia="zh-CN"/>
        </w:rPr>
      </w:pPr>
    </w:p>
    <w:p w14:paraId="1DAD260F">
      <w:pPr>
        <w:pStyle w:val="13"/>
        <w:spacing w:beforeLines="100" w:afterLines="100" w:line="360" w:lineRule="auto"/>
        <w:jc w:val="center"/>
        <w:rPr>
          <w:rFonts w:hint="eastAsia" w:hAnsi="宋体" w:cs="宋体"/>
          <w:b/>
          <w:color w:val="auto"/>
          <w:sz w:val="36"/>
          <w:szCs w:val="36"/>
          <w:highlight w:val="none"/>
          <w:lang w:eastAsia="zh-CN"/>
        </w:rPr>
      </w:pPr>
      <w:r>
        <w:rPr>
          <w:rFonts w:hint="eastAsia" w:hAnsi="宋体" w:cs="宋体"/>
          <w:b/>
          <w:color w:val="auto"/>
          <w:sz w:val="36"/>
          <w:szCs w:val="36"/>
          <w:highlight w:val="none"/>
          <w:lang w:eastAsia="zh-CN"/>
        </w:rPr>
        <w:t>（</w:t>
      </w:r>
      <w:r>
        <w:rPr>
          <w:rFonts w:hint="eastAsia" w:hAnsi="宋体" w:cs="宋体"/>
          <w:b/>
          <w:color w:val="auto"/>
          <w:sz w:val="36"/>
          <w:szCs w:val="36"/>
          <w:highlight w:val="none"/>
        </w:rPr>
        <w:t>包</w:t>
      </w:r>
      <w:r>
        <w:rPr>
          <w:rFonts w:hint="eastAsia" w:hAnsi="宋体" w:cs="宋体"/>
          <w:b/>
          <w:color w:val="auto"/>
          <w:sz w:val="36"/>
          <w:szCs w:val="36"/>
          <w:highlight w:val="none"/>
          <w:lang w:val="en-US" w:eastAsia="zh-CN"/>
        </w:rPr>
        <w:t xml:space="preserve">    </w:t>
      </w:r>
      <w:r>
        <w:rPr>
          <w:rFonts w:hint="eastAsia" w:hAnsi="宋体" w:cs="宋体"/>
          <w:b/>
          <w:color w:val="auto"/>
          <w:sz w:val="36"/>
          <w:szCs w:val="36"/>
          <w:highlight w:val="none"/>
          <w:lang w:eastAsia="zh-CN"/>
        </w:rPr>
        <w:t>）</w:t>
      </w:r>
    </w:p>
    <w:p w14:paraId="0A041030">
      <w:pPr>
        <w:pStyle w:val="13"/>
        <w:spacing w:beforeLines="100" w:afterLines="100" w:line="360" w:lineRule="auto"/>
        <w:jc w:val="center"/>
        <w:rPr>
          <w:rFonts w:hAnsi="宋体" w:cs="宋体"/>
          <w:b/>
          <w:bCs/>
          <w:color w:val="auto"/>
          <w:sz w:val="84"/>
          <w:szCs w:val="84"/>
          <w:highlight w:val="none"/>
        </w:rPr>
      </w:pPr>
      <w:r>
        <w:rPr>
          <w:rFonts w:hint="eastAsia" w:hAnsi="宋体" w:cs="宋体"/>
          <w:b/>
          <w:bCs/>
          <w:color w:val="auto"/>
          <w:sz w:val="84"/>
          <w:szCs w:val="84"/>
          <w:highlight w:val="none"/>
        </w:rPr>
        <w:t>投标文件</w:t>
      </w:r>
    </w:p>
    <w:p w14:paraId="52FBF499">
      <w:pPr>
        <w:pStyle w:val="13"/>
        <w:spacing w:beforeLines="100" w:afterLines="100" w:line="360" w:lineRule="auto"/>
        <w:jc w:val="center"/>
        <w:rPr>
          <w:rFonts w:hint="eastAsia" w:hAnsi="宋体" w:eastAsia="宋体" w:cs="宋体"/>
          <w:b/>
          <w:bCs/>
          <w:color w:val="auto"/>
          <w:sz w:val="32"/>
          <w:highlight w:val="none"/>
          <w:u w:val="single"/>
          <w:lang w:eastAsia="zh-CN"/>
        </w:rPr>
      </w:pPr>
      <w:r>
        <w:rPr>
          <w:rFonts w:hint="eastAsia" w:hAnsi="宋体" w:cs="宋体"/>
          <w:bCs/>
          <w:color w:val="auto"/>
          <w:sz w:val="28"/>
          <w:szCs w:val="28"/>
          <w:highlight w:val="none"/>
        </w:rPr>
        <w:t>项目编号：</w:t>
      </w:r>
    </w:p>
    <w:p w14:paraId="481050DC">
      <w:pPr>
        <w:pStyle w:val="13"/>
        <w:spacing w:beforeLines="100" w:afterLines="100" w:line="360" w:lineRule="auto"/>
        <w:rPr>
          <w:rFonts w:hAnsi="宋体" w:cs="宋体"/>
          <w:b/>
          <w:bCs/>
          <w:color w:val="auto"/>
          <w:sz w:val="32"/>
          <w:highlight w:val="none"/>
          <w:u w:val="single"/>
        </w:rPr>
      </w:pPr>
    </w:p>
    <w:p w14:paraId="7128803C">
      <w:pPr>
        <w:pStyle w:val="13"/>
        <w:spacing w:beforeLines="100" w:afterLines="100" w:line="360" w:lineRule="auto"/>
        <w:jc w:val="center"/>
        <w:rPr>
          <w:rFonts w:hAnsi="宋体" w:cs="宋体"/>
          <w:b/>
          <w:bCs/>
          <w:color w:val="auto"/>
          <w:sz w:val="32"/>
          <w:highlight w:val="none"/>
          <w:u w:val="single"/>
        </w:rPr>
      </w:pPr>
    </w:p>
    <w:p w14:paraId="7CAE14EE">
      <w:pPr>
        <w:pStyle w:val="13"/>
        <w:spacing w:beforeLines="100" w:afterLines="100" w:line="360" w:lineRule="auto"/>
        <w:jc w:val="center"/>
        <w:rPr>
          <w:rFonts w:hAnsi="宋体" w:cs="宋体"/>
          <w:b/>
          <w:bCs/>
          <w:color w:val="auto"/>
          <w:sz w:val="32"/>
          <w:highlight w:val="none"/>
          <w:u w:val="single"/>
        </w:rPr>
      </w:pPr>
    </w:p>
    <w:p w14:paraId="15E498AF">
      <w:pPr>
        <w:spacing w:line="360" w:lineRule="auto"/>
        <w:jc w:val="center"/>
        <w:rPr>
          <w:rFonts w:ascii="宋体" w:cs="宋体"/>
          <w:color w:val="auto"/>
          <w:sz w:val="32"/>
          <w:szCs w:val="32"/>
          <w:highlight w:val="none"/>
          <w:u w:val="single"/>
        </w:rPr>
      </w:pPr>
      <w:r>
        <w:rPr>
          <w:rFonts w:hint="eastAsia" w:ascii="宋体" w:hAnsi="宋体" w:cs="宋体"/>
          <w:color w:val="auto"/>
          <w:sz w:val="32"/>
          <w:szCs w:val="32"/>
          <w:highlight w:val="none"/>
          <w:lang w:eastAsia="zh-CN"/>
        </w:rPr>
        <w:t>投标人</w:t>
      </w:r>
      <w:r>
        <w:rPr>
          <w:rFonts w:hint="eastAsia" w:ascii="宋体" w:hAnsi="宋体" w:cs="宋体"/>
          <w:color w:val="auto"/>
          <w:sz w:val="32"/>
          <w:szCs w:val="32"/>
          <w:highlight w:val="none"/>
        </w:rPr>
        <w:t>：</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w:t>
      </w:r>
    </w:p>
    <w:p w14:paraId="01C53041">
      <w:pPr>
        <w:spacing w:line="360" w:lineRule="auto"/>
        <w:jc w:val="center"/>
        <w:rPr>
          <w:rFonts w:ascii="宋体" w:cs="宋体"/>
          <w:color w:val="auto"/>
          <w:sz w:val="32"/>
          <w:szCs w:val="32"/>
          <w:highlight w:val="none"/>
        </w:rPr>
      </w:pPr>
      <w:r>
        <w:rPr>
          <w:rFonts w:hint="eastAsia" w:ascii="宋体" w:hAnsi="宋体" w:cs="宋体"/>
          <w:color w:val="auto"/>
          <w:sz w:val="32"/>
          <w:szCs w:val="32"/>
          <w:highlight w:val="none"/>
        </w:rPr>
        <w:t>法定代表人或其委托代理人：</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（电子签章或签字）</w:t>
      </w:r>
    </w:p>
    <w:p w14:paraId="56E4E624">
      <w:pPr>
        <w:spacing w:line="360" w:lineRule="auto"/>
        <w:jc w:val="center"/>
        <w:rPr>
          <w:rFonts w:ascii="宋体" w:cs="宋体"/>
          <w:color w:val="auto"/>
          <w:sz w:val="24"/>
          <w:highlight w:val="none"/>
        </w:rPr>
      </w:pP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p>
    <w:p w14:paraId="13648208">
      <w:pPr>
        <w:pStyle w:val="11"/>
        <w:spacing w:line="360" w:lineRule="auto"/>
        <w:ind w:left="0" w:leftChars="0" w:firstLine="2129" w:firstLineChars="707"/>
        <w:rPr>
          <w:rFonts w:ascii="宋体" w:cs="宋体"/>
          <w:b/>
          <w:bCs/>
          <w:color w:val="auto"/>
          <w:sz w:val="30"/>
          <w:szCs w:val="30"/>
          <w:highlight w:val="none"/>
        </w:rPr>
      </w:pPr>
    </w:p>
    <w:p w14:paraId="6863C559">
      <w:pPr>
        <w:pStyle w:val="12"/>
        <w:spacing w:line="360" w:lineRule="auto"/>
        <w:ind w:left="31680" w:right="31680"/>
        <w:rPr>
          <w:rFonts w:ascii="宋体" w:cs="宋体"/>
          <w:b/>
          <w:color w:val="auto"/>
          <w:sz w:val="24"/>
          <w:highlight w:val="none"/>
        </w:rPr>
      </w:pPr>
    </w:p>
    <w:p w14:paraId="2A2C5E82">
      <w:pPr>
        <w:spacing w:line="360" w:lineRule="auto"/>
        <w:jc w:val="center"/>
        <w:rPr>
          <w:rFonts w:ascii="宋体" w:cs="宋体"/>
          <w:b/>
          <w:color w:val="auto"/>
          <w:sz w:val="28"/>
          <w:szCs w:val="28"/>
          <w:highlight w:val="none"/>
        </w:rPr>
      </w:pPr>
      <w:r>
        <w:rPr>
          <w:rFonts w:hint="eastAsia" w:ascii="宋体" w:hAnsi="宋体" w:cs="宋体"/>
          <w:b/>
          <w:color w:val="auto"/>
          <w:sz w:val="28"/>
          <w:szCs w:val="28"/>
          <w:highlight w:val="none"/>
        </w:rPr>
        <w:t>投标文件目录</w:t>
      </w:r>
    </w:p>
    <w:p w14:paraId="0F4039A0">
      <w:pPr>
        <w:jc w:val="center"/>
        <w:rPr>
          <w:color w:val="auto"/>
          <w:sz w:val="24"/>
          <w:szCs w:val="32"/>
          <w:highlight w:val="none"/>
        </w:rPr>
      </w:pPr>
      <w:r>
        <w:rPr>
          <w:rFonts w:hint="eastAsia"/>
          <w:color w:val="auto"/>
          <w:sz w:val="24"/>
          <w:szCs w:val="32"/>
          <w:highlight w:val="none"/>
        </w:rPr>
        <w:t>（</w:t>
      </w:r>
      <w:r>
        <w:rPr>
          <w:rFonts w:hint="eastAsia"/>
          <w:color w:val="auto"/>
          <w:sz w:val="24"/>
          <w:szCs w:val="32"/>
          <w:highlight w:val="none"/>
          <w:lang w:eastAsia="zh-CN"/>
        </w:rPr>
        <w:t>投标人</w:t>
      </w:r>
      <w:r>
        <w:rPr>
          <w:rFonts w:hint="eastAsia"/>
          <w:color w:val="auto"/>
          <w:sz w:val="24"/>
          <w:szCs w:val="32"/>
          <w:highlight w:val="none"/>
        </w:rPr>
        <w:t>根据要求自行编制目录及页码）</w:t>
      </w:r>
    </w:p>
    <w:p w14:paraId="490BF2B3">
      <w:pPr>
        <w:pStyle w:val="12"/>
        <w:spacing w:line="360" w:lineRule="auto"/>
        <w:ind w:left="0" w:leftChars="0" w:right="31680"/>
        <w:jc w:val="center"/>
        <w:rPr>
          <w:rFonts w:ascii="宋体" w:cs="宋体"/>
          <w:color w:val="auto"/>
          <w:highlight w:val="none"/>
        </w:rPr>
      </w:pPr>
    </w:p>
    <w:p w14:paraId="19DA042C">
      <w:pPr>
        <w:spacing w:line="360" w:lineRule="auto"/>
        <w:rPr>
          <w:rFonts w:ascii="宋体" w:cs="宋体"/>
          <w:bCs/>
          <w:color w:val="auto"/>
          <w:szCs w:val="21"/>
          <w:highlight w:val="none"/>
        </w:rPr>
      </w:pPr>
    </w:p>
    <w:p w14:paraId="3D78C99A">
      <w:pPr>
        <w:spacing w:before="54" w:line="360" w:lineRule="auto"/>
        <w:ind w:left="6"/>
        <w:jc w:val="center"/>
        <w:outlineLvl w:val="1"/>
        <w:rPr>
          <w:b/>
          <w:color w:val="auto"/>
          <w:sz w:val="32"/>
          <w:highlight w:val="none"/>
        </w:rPr>
      </w:pPr>
      <w:r>
        <w:rPr>
          <w:rFonts w:ascii="宋体" w:cs="宋体"/>
          <w:color w:val="auto"/>
          <w:sz w:val="36"/>
          <w:highlight w:val="none"/>
        </w:rPr>
        <w:br w:type="page"/>
      </w:r>
      <w:bookmarkStart w:id="483" w:name="_Toc13982"/>
      <w:bookmarkStart w:id="484" w:name="_Toc20571"/>
      <w:bookmarkStart w:id="485" w:name="_Toc5119"/>
      <w:r>
        <w:rPr>
          <w:rFonts w:hint="eastAsia" w:ascii="宋体" w:hAnsi="宋体" w:cs="宋体"/>
          <w:b/>
          <w:color w:val="auto"/>
          <w:sz w:val="32"/>
          <w:highlight w:val="none"/>
        </w:rPr>
        <w:t>一、投标函及投标函附录</w:t>
      </w:r>
      <w:bookmarkEnd w:id="483"/>
      <w:bookmarkEnd w:id="484"/>
      <w:bookmarkEnd w:id="485"/>
    </w:p>
    <w:p w14:paraId="126FD623">
      <w:pPr>
        <w:spacing w:before="212" w:line="360" w:lineRule="auto"/>
        <w:ind w:left="1"/>
        <w:jc w:val="center"/>
        <w:rPr>
          <w:b/>
          <w:color w:val="auto"/>
          <w:sz w:val="32"/>
          <w:highlight w:val="none"/>
        </w:rPr>
      </w:pPr>
      <w:bookmarkStart w:id="486" w:name="（一）投标函"/>
      <w:bookmarkEnd w:id="486"/>
      <w:r>
        <w:rPr>
          <w:rFonts w:hint="eastAsia"/>
          <w:b/>
          <w:color w:val="auto"/>
          <w:sz w:val="32"/>
          <w:highlight w:val="none"/>
        </w:rPr>
        <w:t>（一）投标函</w:t>
      </w:r>
    </w:p>
    <w:p w14:paraId="7F74C91A">
      <w:pPr>
        <w:autoSpaceDE w:val="0"/>
        <w:autoSpaceDN w:val="0"/>
        <w:spacing w:line="360" w:lineRule="auto"/>
        <w:ind w:firstLine="630" w:firstLineChars="300"/>
        <w:jc w:val="left"/>
        <w:rPr>
          <w:rFonts w:hint="eastAsia" w:ascii="宋体" w:hAnsi="宋体" w:cs="宋体"/>
          <w:color w:val="auto"/>
          <w:kern w:val="0"/>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899160</wp:posOffset>
                </wp:positionH>
                <wp:positionV relativeFrom="paragraph">
                  <wp:posOffset>210185</wp:posOffset>
                </wp:positionV>
                <wp:extent cx="152971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152971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pt;margin-top:16.55pt;height:0pt;width:120.45pt;mso-position-horizontal-relative:page;z-index:251659264;mso-width-relative:page;mso-height-relative:page;" filled="f" stroked="t" coordsize="21600,21600" o:gfxdata="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JBXi7WAAAACQEAAA8AAAAAAAAAAQAgAAAAIgAAAGRycy9kb3ducmV2LnhtbFBLAQIU&#10;ABQAAAAIAIdO4kCWPJPq9QEAAOQDAAAOAAAAAAAAAAEAIAAAACUBAABkcnMvZTJvRG9jLnhtbFBL&#10;BQYAAAAABgAGAFkBAACMBQAAAAA=&#10;">
                <v:fill on="f" focussize="0,0"/>
                <v:stroke weight="0.6pt" color="#000000" joinstyle="round"/>
                <v:imagedata o:title=""/>
                <o:lock v:ext="edit" aspectratio="f"/>
              </v:line>
            </w:pict>
          </mc:Fallback>
        </mc:AlternateContent>
      </w:r>
      <w:r>
        <w:rPr>
          <w:rFonts w:hint="eastAsia" w:ascii="宋体" w:hAnsi="宋体" w:cs="宋体"/>
          <w:color w:val="auto"/>
          <w:kern w:val="0"/>
          <w:sz w:val="24"/>
          <w:highlight w:val="none"/>
        </w:rPr>
        <w:t>（采购人名称）：</w:t>
      </w:r>
    </w:p>
    <w:p w14:paraId="341D86AD">
      <w:pPr>
        <w:autoSpaceDE w:val="0"/>
        <w:autoSpaceDN w:val="0"/>
        <w:spacing w:line="360" w:lineRule="auto"/>
        <w:ind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我方已仔细研究了</w:t>
      </w:r>
      <w:r>
        <w:rPr>
          <w:rFonts w:hint="eastAsia" w:ascii="宋体" w:hAnsi="宋体" w:cs="宋体"/>
          <w:color w:val="auto"/>
          <w:kern w:val="0"/>
          <w:sz w:val="24"/>
          <w:highlight w:val="none"/>
          <w:u w:val="single"/>
        </w:rPr>
        <w:t>（项目名称）（项目编号）（包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招标文件的全部内容，签字代表</w:t>
      </w:r>
      <w:r>
        <w:rPr>
          <w:rFonts w:hAnsi="宋体" w:eastAsia="Times New Roman" w:cs="宋体"/>
          <w:color w:val="auto"/>
          <w:kern w:val="0"/>
          <w:sz w:val="24"/>
          <w:highlight w:val="none"/>
          <w:u w:val="single"/>
        </w:rPr>
        <w:tab/>
      </w:r>
      <w:r>
        <w:rPr>
          <w:rFonts w:hint="eastAsia"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（委托代理人全名、职务）经正式授权并代表</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eastAsia="zh-CN"/>
        </w:rPr>
        <w:t>投标人</w:t>
      </w:r>
      <w:r>
        <w:rPr>
          <w:rFonts w:hint="eastAsia" w:ascii="宋体" w:hAnsi="宋体" w:cs="宋体"/>
          <w:color w:val="auto"/>
          <w:kern w:val="0"/>
          <w:sz w:val="24"/>
          <w:highlight w:val="none"/>
          <w:u w:val="single"/>
        </w:rPr>
        <w:t>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签署、澄清确认、递交、撤回、修改投标文件、签订合同和处理有关事宜，并对之负法律责任。据此函，签字代表宣布同意如下：</w:t>
      </w:r>
    </w:p>
    <w:p w14:paraId="0D380910">
      <w:pPr>
        <w:numPr>
          <w:ilvl w:val="2"/>
          <w:numId w:val="13"/>
        </w:numPr>
        <w:tabs>
          <w:tab w:val="left" w:pos="1057"/>
          <w:tab w:val="left" w:pos="5927"/>
        </w:tabs>
        <w:autoSpaceDE w:val="0"/>
        <w:autoSpaceDN w:val="0"/>
        <w:spacing w:line="360" w:lineRule="auto"/>
        <w:jc w:val="left"/>
        <w:rPr>
          <w:rFonts w:hAnsi="宋体" w:eastAsia="Times New Roman" w:cs="宋体"/>
          <w:color w:val="auto"/>
          <w:kern w:val="0"/>
          <w:sz w:val="24"/>
          <w:szCs w:val="22"/>
          <w:highlight w:val="none"/>
        </w:rPr>
      </w:pPr>
      <w:r>
        <w:rPr>
          <w:rFonts w:hint="eastAsia" w:ascii="宋体" w:hAnsi="宋体" w:cs="宋体"/>
          <w:color w:val="auto"/>
          <w:spacing w:val="-1"/>
          <w:kern w:val="0"/>
          <w:sz w:val="24"/>
          <w:szCs w:val="22"/>
          <w:highlight w:val="none"/>
        </w:rPr>
        <w:t>所附投标报价表</w:t>
      </w:r>
      <w:r>
        <w:rPr>
          <w:rFonts w:hint="eastAsia" w:ascii="宋体" w:hAnsi="宋体" w:cs="宋体"/>
          <w:color w:val="auto"/>
          <w:kern w:val="0"/>
          <w:sz w:val="24"/>
          <w:szCs w:val="22"/>
          <w:highlight w:val="none"/>
        </w:rPr>
        <w:t>中规定的应提供和交付的货物投标总价：</w:t>
      </w:r>
    </w:p>
    <w:p w14:paraId="16BDA7C9">
      <w:pPr>
        <w:tabs>
          <w:tab w:val="left" w:pos="1057"/>
          <w:tab w:val="left" w:pos="5927"/>
        </w:tabs>
        <w:autoSpaceDE w:val="0"/>
        <w:autoSpaceDN w:val="0"/>
        <w:spacing w:line="360" w:lineRule="auto"/>
        <w:ind w:left="816"/>
        <w:jc w:val="left"/>
        <w:rPr>
          <w:rFonts w:hAnsi="宋体" w:eastAsia="Times New Roman" w:cs="宋体"/>
          <w:color w:val="auto"/>
          <w:kern w:val="0"/>
          <w:sz w:val="24"/>
          <w:szCs w:val="22"/>
          <w:highlight w:val="none"/>
        </w:rPr>
      </w:pPr>
      <w:r>
        <w:rPr>
          <w:rFonts w:hint="eastAsia" w:ascii="宋体" w:hAnsi="宋体" w:cs="宋体"/>
          <w:color w:val="auto"/>
          <w:kern w:val="0"/>
          <w:sz w:val="24"/>
          <w:szCs w:val="22"/>
          <w:highlight w:val="none"/>
        </w:rPr>
        <w:t>人民币（大写）：</w:t>
      </w:r>
      <w:r>
        <w:rPr>
          <w:rFonts w:hAnsi="宋体" w:eastAsia="Times New Roman" w:cs="宋体"/>
          <w:color w:val="auto"/>
          <w:kern w:val="0"/>
          <w:sz w:val="24"/>
          <w:szCs w:val="22"/>
          <w:highlight w:val="none"/>
          <w:u w:val="single"/>
        </w:rPr>
        <w:tab/>
      </w:r>
    </w:p>
    <w:p w14:paraId="663AEFE1">
      <w:pPr>
        <w:tabs>
          <w:tab w:val="left" w:pos="5927"/>
        </w:tabs>
        <w:autoSpaceDE w:val="0"/>
        <w:autoSpaceDN w:val="0"/>
        <w:spacing w:line="360" w:lineRule="auto"/>
        <w:ind w:left="1536"/>
        <w:jc w:val="left"/>
        <w:rPr>
          <w:rFonts w:hAnsi="宋体" w:eastAsia="Times New Roman" w:cs="宋体"/>
          <w:color w:val="auto"/>
          <w:kern w:val="0"/>
          <w:sz w:val="24"/>
          <w:highlight w:val="none"/>
        </w:rPr>
      </w:pPr>
      <w:r>
        <w:rPr>
          <w:rFonts w:hint="eastAsia" w:ascii="宋体" w:hAnsi="宋体" w:cs="宋体"/>
          <w:color w:val="auto"/>
          <w:kern w:val="0"/>
          <w:sz w:val="24"/>
          <w:highlight w:val="none"/>
        </w:rPr>
        <w:t>（小写）：</w:t>
      </w:r>
      <w:r>
        <w:rPr>
          <w:rFonts w:hAnsi="宋体" w:eastAsia="Times New Roman" w:cs="宋体"/>
          <w:color w:val="auto"/>
          <w:kern w:val="0"/>
          <w:sz w:val="24"/>
          <w:highlight w:val="none"/>
          <w:u w:val="single"/>
        </w:rPr>
        <w:tab/>
      </w:r>
    </w:p>
    <w:p w14:paraId="615EAF14">
      <w:pPr>
        <w:numPr>
          <w:ilvl w:val="2"/>
          <w:numId w:val="13"/>
        </w:numPr>
        <w:tabs>
          <w:tab w:val="left" w:pos="1057"/>
        </w:tabs>
        <w:autoSpaceDE w:val="0"/>
        <w:autoSpaceDN w:val="0"/>
        <w:spacing w:line="360" w:lineRule="auto"/>
        <w:ind w:left="335" w:right="213" w:firstLine="480"/>
        <w:jc w:val="left"/>
        <w:rPr>
          <w:rFonts w:ascii="宋体" w:cs="宋体"/>
          <w:color w:val="auto"/>
          <w:kern w:val="0"/>
          <w:sz w:val="24"/>
          <w:szCs w:val="22"/>
          <w:highlight w:val="none"/>
        </w:rPr>
      </w:pPr>
      <w:r>
        <w:rPr>
          <w:rFonts w:hint="eastAsia" w:ascii="宋体" w:hAnsi="宋体" w:cs="宋体"/>
          <w:color w:val="auto"/>
          <w:spacing w:val="-9"/>
          <w:kern w:val="0"/>
          <w:sz w:val="24"/>
          <w:szCs w:val="22"/>
          <w:highlight w:val="none"/>
        </w:rPr>
        <w:t>如果我们的投标书被接受，我们将履行招标文件中规定的每一项要求，按期、按质、</w:t>
      </w:r>
      <w:r>
        <w:rPr>
          <w:rFonts w:hint="eastAsia" w:ascii="宋体" w:hAnsi="宋体" w:cs="宋体"/>
          <w:color w:val="auto"/>
          <w:kern w:val="0"/>
          <w:sz w:val="24"/>
          <w:szCs w:val="22"/>
          <w:highlight w:val="none"/>
        </w:rPr>
        <w:t>按量履行合同。</w:t>
      </w:r>
    </w:p>
    <w:p w14:paraId="2529AD47">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我方承诺按照招标文件规定向你方递交履约担保，并按照招标文件</w:t>
      </w:r>
      <w:r>
        <w:rPr>
          <w:rFonts w:hint="eastAsia" w:ascii="宋体" w:cs="宋体"/>
          <w:color w:val="auto"/>
          <w:spacing w:val="-1"/>
          <w:kern w:val="0"/>
          <w:sz w:val="24"/>
          <w:szCs w:val="22"/>
          <w:highlight w:val="none"/>
        </w:rPr>
        <w:t>“</w:t>
      </w:r>
      <w:r>
        <w:rPr>
          <w:rFonts w:hint="eastAsia" w:ascii="宋体" w:hAnsi="宋体" w:cs="宋体"/>
          <w:color w:val="auto"/>
          <w:spacing w:val="-1"/>
          <w:kern w:val="0"/>
          <w:sz w:val="24"/>
          <w:szCs w:val="22"/>
          <w:highlight w:val="none"/>
        </w:rPr>
        <w:t>合同</w:t>
      </w:r>
      <w:r>
        <w:rPr>
          <w:rFonts w:hint="eastAsia" w:ascii="宋体" w:cs="宋体"/>
          <w:color w:val="auto"/>
          <w:kern w:val="0"/>
          <w:sz w:val="24"/>
          <w:szCs w:val="22"/>
          <w:highlight w:val="none"/>
        </w:rPr>
        <w:t>”</w:t>
      </w:r>
      <w:r>
        <w:rPr>
          <w:rFonts w:hint="eastAsia" w:ascii="宋体" w:hAnsi="宋体" w:cs="宋体"/>
          <w:color w:val="auto"/>
          <w:kern w:val="0"/>
          <w:sz w:val="24"/>
          <w:szCs w:val="22"/>
          <w:highlight w:val="none"/>
        </w:rPr>
        <w:t>规定及《中华人民共和国民法典》的权利义务履行合同。</w:t>
      </w:r>
    </w:p>
    <w:p w14:paraId="65CB1C40">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我方已详细审查全部招标文件，包括修改文件以及全部参考资料和有关附件。我们</w:t>
      </w:r>
      <w:r>
        <w:rPr>
          <w:rFonts w:hint="eastAsia" w:ascii="宋体" w:hAnsi="宋体" w:cs="宋体"/>
          <w:color w:val="auto"/>
          <w:kern w:val="0"/>
          <w:sz w:val="24"/>
          <w:szCs w:val="22"/>
          <w:highlight w:val="none"/>
        </w:rPr>
        <w:t>完全理解并同意放弃对这方面有不明及误解的权力。</w:t>
      </w:r>
    </w:p>
    <w:p w14:paraId="356398AC">
      <w:pPr>
        <w:numPr>
          <w:ilvl w:val="2"/>
          <w:numId w:val="13"/>
        </w:numPr>
        <w:tabs>
          <w:tab w:val="left" w:pos="1057"/>
        </w:tabs>
        <w:autoSpaceDE w:val="0"/>
        <w:autoSpaceDN w:val="0"/>
        <w:spacing w:line="360" w:lineRule="auto"/>
        <w:ind w:left="335" w:right="57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我方承诺投标文件中技术参数若有未体现的参数则该项是完全满足本项目招标要</w:t>
      </w:r>
      <w:r>
        <w:rPr>
          <w:rFonts w:hint="eastAsia" w:ascii="宋体" w:hAnsi="宋体" w:cs="宋体"/>
          <w:color w:val="auto"/>
          <w:kern w:val="0"/>
          <w:sz w:val="24"/>
          <w:szCs w:val="22"/>
          <w:highlight w:val="none"/>
        </w:rPr>
        <w:t>求。</w:t>
      </w:r>
    </w:p>
    <w:p w14:paraId="05238DDE">
      <w:pPr>
        <w:numPr>
          <w:ilvl w:val="2"/>
          <w:numId w:val="13"/>
        </w:numPr>
        <w:tabs>
          <w:tab w:val="left" w:pos="1057"/>
        </w:tabs>
        <w:autoSpaceDE w:val="0"/>
        <w:autoSpaceDN w:val="0"/>
        <w:spacing w:line="360" w:lineRule="auto"/>
        <w:ind w:left="1057"/>
        <w:jc w:val="left"/>
        <w:rPr>
          <w:rFonts w:ascii="宋体" w:cs="宋体"/>
          <w:color w:val="auto"/>
          <w:spacing w:val="-1"/>
          <w:kern w:val="0"/>
          <w:sz w:val="24"/>
          <w:szCs w:val="22"/>
          <w:highlight w:val="none"/>
        </w:rPr>
      </w:pPr>
      <w:r>
        <w:rPr>
          <w:rFonts w:hint="eastAsia" w:ascii="宋体" w:hAnsi="宋体" w:cs="宋体"/>
          <w:color w:val="auto"/>
          <w:spacing w:val="-1"/>
          <w:kern w:val="0"/>
          <w:sz w:val="24"/>
          <w:szCs w:val="22"/>
          <w:highlight w:val="none"/>
        </w:rPr>
        <w:t>本项目投标有效期为</w:t>
      </w:r>
      <w:r>
        <w:rPr>
          <w:rFonts w:ascii="宋体" w:hAnsi="宋体" w:cs="宋体"/>
          <w:color w:val="auto"/>
          <w:spacing w:val="-1"/>
          <w:kern w:val="0"/>
          <w:sz w:val="24"/>
          <w:szCs w:val="22"/>
          <w:highlight w:val="none"/>
        </w:rPr>
        <w:t>120</w:t>
      </w:r>
      <w:r>
        <w:rPr>
          <w:rFonts w:hint="eastAsia" w:ascii="宋体" w:hAnsi="宋体" w:cs="宋体"/>
          <w:color w:val="auto"/>
          <w:spacing w:val="-1"/>
          <w:kern w:val="0"/>
          <w:sz w:val="24"/>
          <w:szCs w:val="22"/>
          <w:highlight w:val="none"/>
        </w:rPr>
        <w:t>日历天。</w:t>
      </w:r>
    </w:p>
    <w:p w14:paraId="0539CAFD">
      <w:pPr>
        <w:numPr>
          <w:ilvl w:val="2"/>
          <w:numId w:val="13"/>
        </w:numPr>
        <w:tabs>
          <w:tab w:val="left" w:pos="1057"/>
        </w:tabs>
        <w:autoSpaceDE w:val="0"/>
        <w:autoSpaceDN w:val="0"/>
        <w:spacing w:line="360" w:lineRule="auto"/>
        <w:ind w:left="1057"/>
        <w:jc w:val="left"/>
        <w:rPr>
          <w:rFonts w:ascii="宋体" w:cs="宋体"/>
          <w:color w:val="auto"/>
          <w:kern w:val="0"/>
          <w:sz w:val="24"/>
          <w:szCs w:val="22"/>
          <w:highlight w:val="none"/>
        </w:rPr>
      </w:pPr>
      <w:r>
        <w:rPr>
          <w:rFonts w:hint="eastAsia" w:ascii="宋体" w:hAnsi="宋体" w:cs="宋体"/>
          <w:color w:val="auto"/>
          <w:kern w:val="0"/>
          <w:sz w:val="24"/>
          <w:szCs w:val="22"/>
          <w:highlight w:val="none"/>
        </w:rPr>
        <w:t>我方在此声明，所递交的投标文件及有关资料内容完整、真实和准确。</w:t>
      </w:r>
    </w:p>
    <w:p w14:paraId="451A1FEF">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我方同意提供按照贵方可能要求的与其投标有关的一切数据或资料，理解贵方不一</w:t>
      </w:r>
      <w:r>
        <w:rPr>
          <w:rFonts w:hint="eastAsia" w:ascii="宋体" w:hAnsi="宋体" w:cs="宋体"/>
          <w:color w:val="auto"/>
          <w:kern w:val="0"/>
          <w:sz w:val="24"/>
          <w:szCs w:val="22"/>
          <w:highlight w:val="none"/>
        </w:rPr>
        <w:t>定要接受最低价的投标。</w:t>
      </w:r>
    </w:p>
    <w:p w14:paraId="38A3A5B5">
      <w:pPr>
        <w:spacing w:line="360" w:lineRule="auto"/>
        <w:ind w:firstLine="2400" w:firstLineChars="1000"/>
        <w:jc w:val="left"/>
        <w:rPr>
          <w:rFonts w:hint="eastAsia" w:ascii="宋体" w:hAnsi="宋体" w:cs="宋体"/>
          <w:color w:val="auto"/>
          <w:sz w:val="24"/>
          <w:highlight w:val="none"/>
          <w:lang w:eastAsia="zh-CN"/>
        </w:rPr>
      </w:pPr>
    </w:p>
    <w:p w14:paraId="686E640E">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173E07E6">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36A22368">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38C98517">
      <w:pPr>
        <w:spacing w:line="360" w:lineRule="auto"/>
        <w:jc w:val="right"/>
        <w:rPr>
          <w:rStyle w:val="30"/>
          <w:color w:val="auto"/>
          <w:szCs w:val="18"/>
          <w:highlight w:val="none"/>
        </w:rPr>
      </w:pPr>
    </w:p>
    <w:p w14:paraId="0A3FAABE">
      <w:pPr>
        <w:spacing w:line="360" w:lineRule="auto"/>
        <w:jc w:val="right"/>
        <w:rPr>
          <w:rStyle w:val="30"/>
          <w:color w:val="auto"/>
          <w:szCs w:val="18"/>
          <w:highlight w:val="none"/>
        </w:rPr>
      </w:pPr>
    </w:p>
    <w:p w14:paraId="402F3F86">
      <w:pPr>
        <w:numPr>
          <w:ilvl w:val="0"/>
          <w:numId w:val="14"/>
        </w:numPr>
        <w:spacing w:before="217" w:line="360" w:lineRule="auto"/>
        <w:ind w:left="3"/>
        <w:jc w:val="center"/>
        <w:rPr>
          <w:b/>
          <w:color w:val="auto"/>
          <w:sz w:val="32"/>
          <w:highlight w:val="none"/>
        </w:rPr>
      </w:pPr>
      <w:bookmarkStart w:id="487" w:name="（二）投标函附录1"/>
      <w:bookmarkEnd w:id="487"/>
      <w:r>
        <w:rPr>
          <w:rFonts w:hint="eastAsia"/>
          <w:b/>
          <w:color w:val="auto"/>
          <w:sz w:val="32"/>
          <w:highlight w:val="none"/>
        </w:rPr>
        <w:t>投标函附录</w:t>
      </w:r>
      <w:r>
        <w:rPr>
          <w:b/>
          <w:color w:val="auto"/>
          <w:sz w:val="32"/>
          <w:highlight w:val="none"/>
        </w:rPr>
        <w:t xml:space="preserve"> </w:t>
      </w:r>
    </w:p>
    <w:p w14:paraId="7B44EA94">
      <w:pPr>
        <w:pStyle w:val="12"/>
        <w:spacing w:line="360" w:lineRule="auto"/>
        <w:ind w:left="0" w:leftChars="0" w:right="31680"/>
        <w:jc w:val="center"/>
        <w:rPr>
          <w:b/>
          <w:color w:val="auto"/>
          <w:sz w:val="20"/>
          <w:highlight w:val="none"/>
        </w:rPr>
      </w:pPr>
      <w:r>
        <w:rPr>
          <w:b/>
          <w:color w:val="auto"/>
          <w:sz w:val="28"/>
          <w:highlight w:val="none"/>
        </w:rPr>
        <w:t xml:space="preserve">         1.</w:t>
      </w:r>
      <w:r>
        <w:rPr>
          <w:rFonts w:hint="eastAsia"/>
          <w:b/>
          <w:color w:val="auto"/>
          <w:sz w:val="28"/>
          <w:highlight w:val="none"/>
        </w:rPr>
        <w:t>开标一览表</w:t>
      </w:r>
    </w:p>
    <w:tbl>
      <w:tblPr>
        <w:tblStyle w:val="23"/>
        <w:tblW w:w="9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3"/>
        <w:gridCol w:w="6976"/>
      </w:tblGrid>
      <w:tr w14:paraId="1363D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tcPr>
          <w:p w14:paraId="7AE2EB4F">
            <w:pPr>
              <w:pStyle w:val="28"/>
              <w:spacing w:before="35" w:line="360" w:lineRule="auto"/>
              <w:ind w:left="106"/>
              <w:jc w:val="center"/>
              <w:rPr>
                <w:color w:val="auto"/>
                <w:highlight w:val="none"/>
              </w:rPr>
            </w:pPr>
            <w:r>
              <w:rPr>
                <w:rFonts w:hint="eastAsia"/>
                <w:color w:val="auto"/>
                <w:highlight w:val="none"/>
              </w:rPr>
              <w:t>投标人名称</w:t>
            </w:r>
          </w:p>
        </w:tc>
        <w:tc>
          <w:tcPr>
            <w:tcW w:w="6976" w:type="dxa"/>
          </w:tcPr>
          <w:p w14:paraId="2E7CDBB4">
            <w:pPr>
              <w:pStyle w:val="28"/>
              <w:spacing w:line="360" w:lineRule="auto"/>
              <w:rPr>
                <w:color w:val="auto"/>
                <w:sz w:val="22"/>
                <w:highlight w:val="none"/>
              </w:rPr>
            </w:pPr>
          </w:p>
        </w:tc>
      </w:tr>
      <w:tr w14:paraId="77682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vAlign w:val="center"/>
          </w:tcPr>
          <w:p w14:paraId="753D5FC9">
            <w:pPr>
              <w:pStyle w:val="28"/>
              <w:spacing w:before="43" w:line="360" w:lineRule="auto"/>
              <w:ind w:left="106" w:lef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highlight w:val="none"/>
              </w:rPr>
              <w:t>包号</w:t>
            </w:r>
          </w:p>
        </w:tc>
        <w:tc>
          <w:tcPr>
            <w:tcW w:w="6976" w:type="dxa"/>
            <w:vAlign w:val="center"/>
          </w:tcPr>
          <w:p w14:paraId="0D018CAC">
            <w:pPr>
              <w:pStyle w:val="28"/>
              <w:spacing w:before="43" w:line="360" w:lineRule="auto"/>
              <w:jc w:val="center"/>
              <w:rPr>
                <w:rFonts w:hint="default"/>
                <w:color w:val="auto"/>
                <w:highlight w:val="none"/>
                <w:u w:val="single"/>
                <w:lang w:val="en-US" w:eastAsia="zh-CN"/>
              </w:rPr>
            </w:pPr>
          </w:p>
        </w:tc>
      </w:tr>
      <w:tr w14:paraId="2A6AF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2043" w:type="dxa"/>
            <w:vAlign w:val="center"/>
          </w:tcPr>
          <w:p w14:paraId="43CFA250">
            <w:pPr>
              <w:pStyle w:val="28"/>
              <w:spacing w:before="43" w:line="360" w:lineRule="auto"/>
              <w:ind w:left="106"/>
              <w:jc w:val="center"/>
              <w:rPr>
                <w:rFonts w:hint="eastAsia" w:eastAsia="宋体"/>
                <w:color w:val="auto"/>
                <w:highlight w:val="none"/>
                <w:lang w:eastAsia="zh-CN"/>
              </w:rPr>
            </w:pPr>
            <w:r>
              <w:rPr>
                <w:rFonts w:hint="eastAsia"/>
                <w:color w:val="auto"/>
                <w:highlight w:val="none"/>
                <w:lang w:eastAsia="zh-CN"/>
              </w:rPr>
              <w:t>包名称</w:t>
            </w:r>
          </w:p>
        </w:tc>
        <w:tc>
          <w:tcPr>
            <w:tcW w:w="6976" w:type="dxa"/>
            <w:vAlign w:val="center"/>
          </w:tcPr>
          <w:p w14:paraId="373CCCF6">
            <w:pPr>
              <w:pStyle w:val="28"/>
              <w:spacing w:before="43" w:line="360" w:lineRule="auto"/>
              <w:jc w:val="both"/>
              <w:rPr>
                <w:rFonts w:hint="eastAsia" w:eastAsia="宋体"/>
                <w:color w:val="auto"/>
                <w:highlight w:val="none"/>
                <w:lang w:val="en-US" w:eastAsia="zh-CN"/>
              </w:rPr>
            </w:pPr>
          </w:p>
        </w:tc>
      </w:tr>
      <w:tr w14:paraId="5BED6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2043" w:type="dxa"/>
            <w:vAlign w:val="center"/>
          </w:tcPr>
          <w:p w14:paraId="553FFC0B">
            <w:pPr>
              <w:pStyle w:val="28"/>
              <w:spacing w:before="43" w:line="360" w:lineRule="auto"/>
              <w:ind w:left="106"/>
              <w:jc w:val="center"/>
              <w:rPr>
                <w:color w:val="auto"/>
                <w:highlight w:val="none"/>
              </w:rPr>
            </w:pPr>
            <w:r>
              <w:rPr>
                <w:rFonts w:hint="eastAsia"/>
                <w:color w:val="auto"/>
                <w:highlight w:val="none"/>
              </w:rPr>
              <w:t>投标总报价（大写）</w:t>
            </w:r>
          </w:p>
        </w:tc>
        <w:tc>
          <w:tcPr>
            <w:tcW w:w="6976" w:type="dxa"/>
            <w:vAlign w:val="center"/>
          </w:tcPr>
          <w:p w14:paraId="0BDF28FB">
            <w:pPr>
              <w:pStyle w:val="28"/>
              <w:spacing w:before="43" w:line="360" w:lineRule="auto"/>
              <w:jc w:val="both"/>
              <w:rPr>
                <w:rFonts w:hint="eastAsia" w:eastAsia="宋体"/>
                <w:color w:val="auto"/>
                <w:highlight w:val="none"/>
                <w:lang w:val="en-US" w:eastAsia="zh-CN"/>
              </w:rPr>
            </w:pPr>
          </w:p>
        </w:tc>
      </w:tr>
      <w:tr w14:paraId="16D0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14:paraId="0833074E">
            <w:pPr>
              <w:pStyle w:val="28"/>
              <w:spacing w:before="43" w:line="360" w:lineRule="auto"/>
              <w:ind w:left="106"/>
              <w:jc w:val="center"/>
              <w:rPr>
                <w:color w:val="auto"/>
                <w:highlight w:val="none"/>
              </w:rPr>
            </w:pPr>
            <w:r>
              <w:rPr>
                <w:rFonts w:hint="eastAsia"/>
                <w:color w:val="auto"/>
                <w:highlight w:val="none"/>
              </w:rPr>
              <w:t>投标总报价（小写）</w:t>
            </w:r>
          </w:p>
        </w:tc>
        <w:tc>
          <w:tcPr>
            <w:tcW w:w="6976" w:type="dxa"/>
            <w:vAlign w:val="center"/>
          </w:tcPr>
          <w:p w14:paraId="5D562818">
            <w:pPr>
              <w:pStyle w:val="28"/>
              <w:spacing w:before="43" w:line="360" w:lineRule="auto"/>
              <w:jc w:val="center"/>
              <w:rPr>
                <w:color w:val="auto"/>
                <w:highlight w:val="none"/>
              </w:rPr>
            </w:pPr>
            <w:r>
              <w:rPr>
                <w:rFonts w:hint="eastAsia"/>
                <w:color w:val="auto"/>
                <w:highlight w:val="none"/>
              </w:rPr>
              <w:t>元</w:t>
            </w:r>
          </w:p>
        </w:tc>
      </w:tr>
      <w:tr w14:paraId="2AEEC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14:paraId="32CF2024">
            <w:pPr>
              <w:pStyle w:val="28"/>
              <w:spacing w:before="43" w:line="360" w:lineRule="auto"/>
              <w:ind w:left="106"/>
              <w:jc w:val="center"/>
              <w:rPr>
                <w:color w:val="auto"/>
                <w:highlight w:val="none"/>
              </w:rPr>
            </w:pPr>
            <w:r>
              <w:rPr>
                <w:rFonts w:hint="eastAsia"/>
                <w:color w:val="auto"/>
                <w:highlight w:val="none"/>
              </w:rPr>
              <w:t>交货期</w:t>
            </w:r>
          </w:p>
        </w:tc>
        <w:tc>
          <w:tcPr>
            <w:tcW w:w="6976" w:type="dxa"/>
            <w:vAlign w:val="center"/>
          </w:tcPr>
          <w:p w14:paraId="39827427">
            <w:pPr>
              <w:pStyle w:val="28"/>
              <w:spacing w:before="43" w:line="360" w:lineRule="auto"/>
              <w:jc w:val="center"/>
              <w:rPr>
                <w:color w:val="auto"/>
                <w:highlight w:val="none"/>
              </w:rPr>
            </w:pPr>
          </w:p>
        </w:tc>
      </w:tr>
      <w:tr w14:paraId="6AF9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2043" w:type="dxa"/>
          </w:tcPr>
          <w:p w14:paraId="65E19CA6">
            <w:pPr>
              <w:pStyle w:val="28"/>
              <w:spacing w:before="1" w:line="360" w:lineRule="auto"/>
              <w:ind w:left="106"/>
              <w:jc w:val="center"/>
              <w:rPr>
                <w:color w:val="auto"/>
                <w:highlight w:val="none"/>
              </w:rPr>
            </w:pPr>
            <w:r>
              <w:rPr>
                <w:rFonts w:hint="eastAsia"/>
                <w:color w:val="auto"/>
                <w:highlight w:val="none"/>
              </w:rPr>
              <w:t>质量保证期</w:t>
            </w:r>
          </w:p>
        </w:tc>
        <w:tc>
          <w:tcPr>
            <w:tcW w:w="6976" w:type="dxa"/>
          </w:tcPr>
          <w:p w14:paraId="0F867B58">
            <w:pPr>
              <w:pStyle w:val="28"/>
              <w:spacing w:before="43" w:line="360" w:lineRule="auto"/>
              <w:jc w:val="center"/>
              <w:rPr>
                <w:rFonts w:hint="default" w:eastAsia="宋体"/>
                <w:color w:val="auto"/>
                <w:highlight w:val="none"/>
                <w:lang w:val="en-US" w:eastAsia="zh-CN"/>
              </w:rPr>
            </w:pPr>
          </w:p>
        </w:tc>
      </w:tr>
      <w:tr w14:paraId="09453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14:paraId="27F790D5">
            <w:pPr>
              <w:pStyle w:val="28"/>
              <w:spacing w:before="17" w:line="360" w:lineRule="auto"/>
              <w:ind w:left="106"/>
              <w:jc w:val="center"/>
              <w:rPr>
                <w:color w:val="auto"/>
                <w:highlight w:val="none"/>
              </w:rPr>
            </w:pPr>
            <w:r>
              <w:rPr>
                <w:rFonts w:hint="eastAsia"/>
                <w:color w:val="auto"/>
                <w:highlight w:val="none"/>
              </w:rPr>
              <w:t>投标有效期</w:t>
            </w:r>
          </w:p>
        </w:tc>
        <w:tc>
          <w:tcPr>
            <w:tcW w:w="6976" w:type="dxa"/>
          </w:tcPr>
          <w:p w14:paraId="6D6973C5">
            <w:pPr>
              <w:pStyle w:val="28"/>
              <w:spacing w:before="43" w:line="360" w:lineRule="auto"/>
              <w:jc w:val="center"/>
              <w:rPr>
                <w:color w:val="auto"/>
                <w:highlight w:val="none"/>
              </w:rPr>
            </w:pPr>
          </w:p>
        </w:tc>
      </w:tr>
      <w:tr w14:paraId="3404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vAlign w:val="top"/>
          </w:tcPr>
          <w:p w14:paraId="4612D2CE">
            <w:pPr>
              <w:pStyle w:val="28"/>
              <w:spacing w:before="18" w:line="360" w:lineRule="auto"/>
              <w:ind w:left="106" w:leftChars="0"/>
              <w:jc w:val="center"/>
              <w:rPr>
                <w:color w:val="auto"/>
                <w:highlight w:val="none"/>
              </w:rPr>
            </w:pPr>
            <w:r>
              <w:rPr>
                <w:rFonts w:hint="eastAsia"/>
                <w:color w:val="auto"/>
                <w:highlight w:val="none"/>
              </w:rPr>
              <w:t>质量要求</w:t>
            </w:r>
          </w:p>
        </w:tc>
        <w:tc>
          <w:tcPr>
            <w:tcW w:w="6976" w:type="dxa"/>
            <w:vAlign w:val="top"/>
          </w:tcPr>
          <w:p w14:paraId="35814E29">
            <w:pPr>
              <w:pStyle w:val="28"/>
              <w:spacing w:before="43" w:line="360" w:lineRule="auto"/>
              <w:jc w:val="center"/>
              <w:rPr>
                <w:color w:val="auto"/>
                <w:sz w:val="22"/>
                <w:highlight w:val="none"/>
              </w:rPr>
            </w:pPr>
          </w:p>
        </w:tc>
      </w:tr>
      <w:tr w14:paraId="04751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vAlign w:val="top"/>
          </w:tcPr>
          <w:p w14:paraId="006EBE76">
            <w:pPr>
              <w:pStyle w:val="28"/>
              <w:spacing w:before="43" w:line="360" w:lineRule="auto"/>
              <w:jc w:val="center"/>
              <w:rPr>
                <w:color w:val="auto"/>
                <w:highlight w:val="none"/>
              </w:rPr>
            </w:pPr>
            <w:r>
              <w:rPr>
                <w:rFonts w:hint="eastAsia" w:ascii="宋体" w:hAnsi="宋体" w:cs="宋体"/>
                <w:b w:val="0"/>
                <w:bCs w:val="0"/>
                <w:color w:val="auto"/>
                <w:sz w:val="24"/>
                <w:highlight w:val="none"/>
              </w:rPr>
              <w:t>交货地点</w:t>
            </w:r>
          </w:p>
        </w:tc>
        <w:tc>
          <w:tcPr>
            <w:tcW w:w="6976" w:type="dxa"/>
            <w:vAlign w:val="top"/>
          </w:tcPr>
          <w:p w14:paraId="3ADB72DB">
            <w:pPr>
              <w:pStyle w:val="28"/>
              <w:spacing w:before="43" w:line="360" w:lineRule="auto"/>
              <w:jc w:val="center"/>
              <w:rPr>
                <w:color w:val="auto"/>
                <w:sz w:val="22"/>
                <w:highlight w:val="none"/>
              </w:rPr>
            </w:pPr>
          </w:p>
        </w:tc>
      </w:tr>
      <w:tr w14:paraId="6D4B9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vAlign w:val="top"/>
          </w:tcPr>
          <w:p w14:paraId="50407D38">
            <w:pPr>
              <w:pStyle w:val="28"/>
              <w:spacing w:before="12" w:line="360" w:lineRule="auto"/>
              <w:ind w:left="106" w:leftChars="0"/>
              <w:jc w:val="center"/>
              <w:rPr>
                <w:rFonts w:hint="eastAsia" w:ascii="宋体" w:hAnsi="宋体" w:cs="宋体"/>
                <w:b w:val="0"/>
                <w:bCs w:val="0"/>
                <w:color w:val="auto"/>
                <w:sz w:val="24"/>
                <w:highlight w:val="none"/>
              </w:rPr>
            </w:pPr>
            <w:r>
              <w:rPr>
                <w:rFonts w:hint="eastAsia"/>
                <w:color w:val="auto"/>
                <w:highlight w:val="none"/>
              </w:rPr>
              <w:t>投标内容</w:t>
            </w:r>
          </w:p>
        </w:tc>
        <w:tc>
          <w:tcPr>
            <w:tcW w:w="6976" w:type="dxa"/>
            <w:vAlign w:val="top"/>
          </w:tcPr>
          <w:p w14:paraId="2054AEE8">
            <w:pPr>
              <w:pStyle w:val="28"/>
              <w:spacing w:before="12" w:line="360" w:lineRule="auto"/>
              <w:ind w:left="107" w:leftChars="0"/>
              <w:jc w:val="center"/>
              <w:rPr>
                <w:rFonts w:hint="eastAsia" w:ascii="宋体" w:hAnsi="宋体" w:cs="宋体"/>
                <w:b w:val="0"/>
                <w:bCs w:val="0"/>
                <w:color w:val="auto"/>
                <w:sz w:val="24"/>
                <w:highlight w:val="none"/>
              </w:rPr>
            </w:pPr>
          </w:p>
        </w:tc>
      </w:tr>
      <w:tr w14:paraId="174B9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tcPr>
          <w:p w14:paraId="1B1E1731">
            <w:pPr>
              <w:spacing w:before="12" w:line="360" w:lineRule="auto"/>
              <w:ind w:left="106"/>
              <w:jc w:val="center"/>
              <w:rPr>
                <w:color w:val="auto"/>
                <w:highlight w:val="none"/>
              </w:rPr>
            </w:pPr>
            <w:r>
              <w:rPr>
                <w:rFonts w:hint="eastAsia" w:ascii="Times New Roman" w:hAnsi="Times New Roman" w:eastAsia="宋体" w:cs="Times New Roman"/>
                <w:color w:val="auto"/>
                <w:kern w:val="2"/>
                <w:sz w:val="24"/>
                <w:szCs w:val="24"/>
                <w:highlight w:val="none"/>
                <w:lang w:val="en-US" w:eastAsia="zh-CN" w:bidi="ar-SA"/>
              </w:rPr>
              <w:t>如属所列情形，请在括号内打“√”</w:t>
            </w:r>
          </w:p>
        </w:tc>
        <w:tc>
          <w:tcPr>
            <w:tcW w:w="6976" w:type="dxa"/>
          </w:tcPr>
          <w:p w14:paraId="55F9F70C">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（）投标产品是否为小微企业生产 </w:t>
            </w:r>
          </w:p>
          <w:p w14:paraId="37F464E4">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（）是否为监狱企业</w:t>
            </w:r>
          </w:p>
          <w:p w14:paraId="740B1EF1">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（）是否为残疾人福利性单位 </w:t>
            </w:r>
          </w:p>
          <w:p w14:paraId="34810B8F">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（）是否为节能产品</w:t>
            </w:r>
          </w:p>
          <w:p w14:paraId="5DFA0485">
            <w:pPr>
              <w:spacing w:before="12" w:line="360" w:lineRule="auto"/>
              <w:ind w:left="107"/>
              <w:jc w:val="left"/>
              <w:rPr>
                <w:color w:val="auto"/>
                <w:highlight w:val="none"/>
              </w:rPr>
            </w:pPr>
            <w:r>
              <w:rPr>
                <w:rFonts w:hint="eastAsia" w:ascii="Times New Roman" w:hAnsi="Times New Roman" w:eastAsia="宋体" w:cs="Times New Roman"/>
                <w:color w:val="auto"/>
                <w:kern w:val="2"/>
                <w:sz w:val="24"/>
                <w:szCs w:val="24"/>
                <w:highlight w:val="none"/>
                <w:lang w:val="en-US" w:eastAsia="zh-CN" w:bidi="ar-SA"/>
              </w:rPr>
              <w:t>（）是否为环境标志产品</w:t>
            </w:r>
          </w:p>
        </w:tc>
      </w:tr>
      <w:tr w14:paraId="14D26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tcPr>
          <w:p w14:paraId="1DB42DE0">
            <w:pPr>
              <w:pStyle w:val="28"/>
              <w:spacing w:before="12" w:line="360" w:lineRule="auto"/>
              <w:ind w:left="106"/>
              <w:jc w:val="center"/>
              <w:rPr>
                <w:rFonts w:hint="eastAsia"/>
                <w:color w:val="auto"/>
                <w:highlight w:val="none"/>
              </w:rPr>
            </w:pPr>
            <w:r>
              <w:rPr>
                <w:rFonts w:hint="eastAsia"/>
                <w:color w:val="auto"/>
                <w:highlight w:val="none"/>
              </w:rPr>
              <w:t>其他声明</w:t>
            </w:r>
          </w:p>
        </w:tc>
        <w:tc>
          <w:tcPr>
            <w:tcW w:w="6976" w:type="dxa"/>
          </w:tcPr>
          <w:p w14:paraId="47668977">
            <w:pPr>
              <w:pStyle w:val="28"/>
              <w:spacing w:before="12" w:line="360" w:lineRule="auto"/>
              <w:ind w:left="107"/>
              <w:jc w:val="center"/>
              <w:rPr>
                <w:rFonts w:hint="eastAsia"/>
                <w:color w:val="auto"/>
                <w:highlight w:val="none"/>
              </w:rPr>
            </w:pPr>
          </w:p>
        </w:tc>
      </w:tr>
    </w:tbl>
    <w:p w14:paraId="01A5FACA">
      <w:pPr>
        <w:pStyle w:val="7"/>
        <w:spacing w:line="360" w:lineRule="auto"/>
        <w:rPr>
          <w:b/>
          <w:color w:val="auto"/>
          <w:sz w:val="20"/>
          <w:highlight w:val="none"/>
        </w:rPr>
      </w:pPr>
    </w:p>
    <w:p w14:paraId="07B19373">
      <w:pPr>
        <w:pStyle w:val="8"/>
        <w:rPr>
          <w:color w:val="auto"/>
          <w:highlight w:val="none"/>
        </w:rPr>
      </w:pPr>
    </w:p>
    <w:p w14:paraId="307AC3C7">
      <w:pPr>
        <w:rPr>
          <w:color w:val="auto"/>
          <w:highlight w:val="none"/>
        </w:rPr>
      </w:pPr>
    </w:p>
    <w:p w14:paraId="537D3C06">
      <w:pPr>
        <w:rPr>
          <w:color w:val="auto"/>
          <w:highlight w:val="none"/>
        </w:rPr>
      </w:pPr>
    </w:p>
    <w:p w14:paraId="6FED71F9">
      <w:pPr>
        <w:rPr>
          <w:color w:val="auto"/>
          <w:highlight w:val="none"/>
        </w:rPr>
      </w:pPr>
    </w:p>
    <w:p w14:paraId="6E387182">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1ADECF40">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4E46AB9B">
      <w:pPr>
        <w:wordWrap w:val="0"/>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62FFC749">
      <w:pPr>
        <w:wordWrap w:val="0"/>
        <w:spacing w:line="360" w:lineRule="auto"/>
        <w:ind w:firstLine="3120" w:firstLineChars="1300"/>
        <w:rPr>
          <w:rFonts w:hint="eastAsia" w:ascii="宋体" w:hAnsi="宋体" w:cs="宋体"/>
          <w:color w:val="auto"/>
          <w:sz w:val="24"/>
          <w:highlight w:val="none"/>
        </w:rPr>
      </w:pPr>
    </w:p>
    <w:p w14:paraId="309C04EB">
      <w:pPr>
        <w:keepNext w:val="0"/>
        <w:keepLines w:val="0"/>
        <w:pageBreakBefore w:val="0"/>
        <w:widowControl w:val="0"/>
        <w:kinsoku/>
        <w:wordWrap/>
        <w:overflowPunct/>
        <w:topLinePunct w:val="0"/>
        <w:autoSpaceDE/>
        <w:autoSpaceDN/>
        <w:bidi w:val="0"/>
        <w:adjustRightInd/>
        <w:snapToGrid/>
        <w:spacing w:before="216" w:line="240" w:lineRule="auto"/>
        <w:jc w:val="center"/>
        <w:textAlignment w:val="auto"/>
        <w:rPr>
          <w:b/>
          <w:color w:val="auto"/>
          <w:sz w:val="28"/>
          <w:highlight w:val="none"/>
        </w:rPr>
      </w:pPr>
      <w:bookmarkStart w:id="488" w:name="报价明细表"/>
      <w:bookmarkEnd w:id="488"/>
      <w:r>
        <w:rPr>
          <w:b/>
          <w:color w:val="auto"/>
          <w:sz w:val="28"/>
          <w:highlight w:val="none"/>
        </w:rPr>
        <w:t>2.</w:t>
      </w:r>
      <w:r>
        <w:rPr>
          <w:rFonts w:hint="eastAsia"/>
          <w:b/>
          <w:color w:val="auto"/>
          <w:sz w:val="28"/>
          <w:highlight w:val="none"/>
        </w:rPr>
        <w:t>报价明细表</w:t>
      </w:r>
    </w:p>
    <w:p w14:paraId="57FC1004">
      <w:pPr>
        <w:pStyle w:val="7"/>
        <w:keepNext w:val="0"/>
        <w:keepLines w:val="0"/>
        <w:pageBreakBefore w:val="0"/>
        <w:widowControl w:val="0"/>
        <w:kinsoku/>
        <w:wordWrap/>
        <w:overflowPunct/>
        <w:topLinePunct w:val="0"/>
        <w:autoSpaceDE/>
        <w:autoSpaceDN/>
        <w:bidi w:val="0"/>
        <w:adjustRightInd/>
        <w:snapToGrid/>
        <w:spacing w:before="4" w:line="240" w:lineRule="auto"/>
        <w:textAlignment w:val="auto"/>
        <w:rPr>
          <w:b/>
          <w:color w:val="auto"/>
          <w:sz w:val="9"/>
          <w:highlight w:val="none"/>
        </w:rPr>
      </w:pPr>
    </w:p>
    <w:p w14:paraId="1EB449D1">
      <w:pPr>
        <w:pStyle w:val="7"/>
        <w:keepNext w:val="0"/>
        <w:keepLines w:val="0"/>
        <w:pageBreakBefore w:val="0"/>
        <w:widowControl w:val="0"/>
        <w:kinsoku/>
        <w:wordWrap/>
        <w:overflowPunct/>
        <w:topLinePunct w:val="0"/>
        <w:autoSpaceDE/>
        <w:autoSpaceDN/>
        <w:bidi w:val="0"/>
        <w:adjustRightInd/>
        <w:snapToGrid/>
        <w:spacing w:before="66" w:line="240" w:lineRule="auto"/>
        <w:ind w:right="333"/>
        <w:jc w:val="center"/>
        <w:textAlignment w:val="auto"/>
        <w:rPr>
          <w:rFonts w:hint="default" w:ascii="Calibri" w:hAnsi="Calibri" w:eastAsia="Calibri" w:cs="Times New Roman"/>
          <w:b/>
          <w:color w:val="000000"/>
          <w:kern w:val="2"/>
          <w:sz w:val="28"/>
          <w:szCs w:val="24"/>
          <w:highlight w:val="none"/>
          <w:lang w:val="en-US" w:eastAsia="zh-CN" w:bidi="ar-SA"/>
        </w:rPr>
      </w:pPr>
      <w:r>
        <w:rPr>
          <w:rFonts w:hint="eastAsia" w:ascii="Calibri" w:hAnsi="Calibri" w:eastAsia="Calibri" w:cs="Times New Roman"/>
          <w:b/>
          <w:color w:val="000000"/>
          <w:kern w:val="2"/>
          <w:sz w:val="28"/>
          <w:szCs w:val="24"/>
          <w:highlight w:val="none"/>
          <w:lang w:val="en-US" w:eastAsia="zh-CN" w:bidi="ar-SA"/>
        </w:rPr>
        <w:t>2.1车辆报价表</w:t>
      </w:r>
    </w:p>
    <w:tbl>
      <w:tblPr>
        <w:tblStyle w:val="23"/>
        <w:tblW w:w="100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661"/>
        <w:gridCol w:w="1"/>
        <w:gridCol w:w="1116"/>
        <w:gridCol w:w="632"/>
        <w:gridCol w:w="662"/>
        <w:gridCol w:w="662"/>
        <w:gridCol w:w="950"/>
        <w:gridCol w:w="775"/>
        <w:gridCol w:w="712"/>
        <w:gridCol w:w="750"/>
        <w:gridCol w:w="711"/>
        <w:gridCol w:w="1149"/>
        <w:gridCol w:w="634"/>
      </w:tblGrid>
      <w:tr w14:paraId="69561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jc w:val="center"/>
        </w:trPr>
        <w:tc>
          <w:tcPr>
            <w:tcW w:w="599" w:type="dxa"/>
            <w:vAlign w:val="center"/>
          </w:tcPr>
          <w:p w14:paraId="1CCEEB9C">
            <w:pPr>
              <w:pStyle w:val="28"/>
              <w:spacing w:line="240" w:lineRule="auto"/>
              <w:ind w:left="179" w:right="167"/>
              <w:jc w:val="center"/>
              <w:rPr>
                <w:b w:val="0"/>
                <w:bCs w:val="0"/>
                <w:color w:val="auto"/>
                <w:highlight w:val="none"/>
              </w:rPr>
            </w:pPr>
            <w:r>
              <w:rPr>
                <w:rFonts w:hint="eastAsia"/>
                <w:b w:val="0"/>
                <w:bCs w:val="0"/>
                <w:color w:val="auto"/>
                <w:highlight w:val="none"/>
              </w:rPr>
              <w:t>序号</w:t>
            </w:r>
          </w:p>
        </w:tc>
        <w:tc>
          <w:tcPr>
            <w:tcW w:w="661" w:type="dxa"/>
            <w:vAlign w:val="center"/>
          </w:tcPr>
          <w:p w14:paraId="04C37166">
            <w:pPr>
              <w:pStyle w:val="28"/>
              <w:spacing w:line="240" w:lineRule="auto"/>
              <w:ind w:left="199" w:right="187"/>
              <w:jc w:val="center"/>
              <w:rPr>
                <w:b w:val="0"/>
                <w:bCs w:val="0"/>
                <w:color w:val="auto"/>
                <w:highlight w:val="none"/>
              </w:rPr>
            </w:pPr>
            <w:r>
              <w:rPr>
                <w:rFonts w:hint="eastAsia"/>
                <w:b w:val="0"/>
                <w:bCs w:val="0"/>
                <w:color w:val="auto"/>
                <w:highlight w:val="none"/>
              </w:rPr>
              <w:t>货物名称</w:t>
            </w:r>
          </w:p>
        </w:tc>
        <w:tc>
          <w:tcPr>
            <w:tcW w:w="1117" w:type="dxa"/>
            <w:gridSpan w:val="2"/>
            <w:vAlign w:val="center"/>
          </w:tcPr>
          <w:p w14:paraId="0367B7CE">
            <w:pPr>
              <w:pStyle w:val="28"/>
              <w:spacing w:before="160" w:line="240" w:lineRule="auto"/>
              <w:ind w:left="150" w:right="137"/>
              <w:jc w:val="center"/>
              <w:rPr>
                <w:rFonts w:hint="eastAsia" w:eastAsia="宋体"/>
                <w:b w:val="0"/>
                <w:bCs w:val="0"/>
                <w:color w:val="auto"/>
                <w:highlight w:val="none"/>
                <w:lang w:eastAsia="zh-CN"/>
              </w:rPr>
            </w:pPr>
            <w:r>
              <w:rPr>
                <w:rFonts w:hint="eastAsia"/>
                <w:b w:val="0"/>
                <w:bCs w:val="0"/>
                <w:color w:val="auto"/>
                <w:highlight w:val="none"/>
              </w:rPr>
              <w:t>质保期</w:t>
            </w:r>
            <w:r>
              <w:rPr>
                <w:rFonts w:hint="eastAsia"/>
                <w:b w:val="0"/>
                <w:bCs w:val="0"/>
                <w:color w:val="auto"/>
                <w:highlight w:val="none"/>
                <w:lang w:eastAsia="zh-CN"/>
              </w:rPr>
              <w:t>（</w:t>
            </w:r>
            <w:r>
              <w:rPr>
                <w:rFonts w:hint="eastAsia"/>
                <w:b w:val="0"/>
                <w:bCs w:val="0"/>
                <w:color w:val="auto"/>
                <w:highlight w:val="none"/>
                <w:lang w:val="en-US" w:eastAsia="zh-CN"/>
              </w:rPr>
              <w:t>年</w:t>
            </w:r>
            <w:r>
              <w:rPr>
                <w:rFonts w:hint="eastAsia"/>
                <w:b w:val="0"/>
                <w:bCs w:val="0"/>
                <w:color w:val="auto"/>
                <w:highlight w:val="none"/>
                <w:lang w:eastAsia="zh-CN"/>
              </w:rPr>
              <w:t>，自验收合格之日算起）</w:t>
            </w:r>
          </w:p>
        </w:tc>
        <w:tc>
          <w:tcPr>
            <w:tcW w:w="632" w:type="dxa"/>
            <w:vAlign w:val="center"/>
          </w:tcPr>
          <w:p w14:paraId="574561BC">
            <w:pPr>
              <w:pStyle w:val="28"/>
              <w:spacing w:line="240" w:lineRule="auto"/>
              <w:ind w:left="133" w:right="124"/>
              <w:jc w:val="center"/>
              <w:rPr>
                <w:b w:val="0"/>
                <w:bCs w:val="0"/>
                <w:color w:val="auto"/>
                <w:highlight w:val="none"/>
              </w:rPr>
            </w:pPr>
            <w:r>
              <w:rPr>
                <w:rFonts w:hint="eastAsia"/>
                <w:b w:val="0"/>
                <w:bCs w:val="0"/>
                <w:color w:val="auto"/>
                <w:spacing w:val="-3"/>
                <w:highlight w:val="none"/>
              </w:rPr>
              <w:t>品牌</w:t>
            </w:r>
          </w:p>
        </w:tc>
        <w:tc>
          <w:tcPr>
            <w:tcW w:w="662" w:type="dxa"/>
            <w:vAlign w:val="center"/>
          </w:tcPr>
          <w:p w14:paraId="45C4B779">
            <w:pPr>
              <w:pStyle w:val="28"/>
              <w:spacing w:line="240" w:lineRule="auto"/>
              <w:ind w:left="180" w:right="167"/>
              <w:jc w:val="center"/>
              <w:rPr>
                <w:rFonts w:hint="eastAsia" w:eastAsia="宋体"/>
                <w:b w:val="0"/>
                <w:bCs w:val="0"/>
                <w:color w:val="auto"/>
                <w:highlight w:val="none"/>
                <w:lang w:val="en-US" w:eastAsia="zh-CN"/>
              </w:rPr>
            </w:pPr>
            <w:r>
              <w:rPr>
                <w:rFonts w:hint="eastAsia"/>
                <w:b w:val="0"/>
                <w:bCs w:val="0"/>
                <w:color w:val="auto"/>
                <w:highlight w:val="none"/>
                <w:lang w:val="en-US" w:eastAsia="zh-CN"/>
              </w:rPr>
              <w:t>规格型号</w:t>
            </w:r>
          </w:p>
        </w:tc>
        <w:tc>
          <w:tcPr>
            <w:tcW w:w="662" w:type="dxa"/>
            <w:vAlign w:val="center"/>
          </w:tcPr>
          <w:p w14:paraId="3E17A613">
            <w:pPr>
              <w:pStyle w:val="28"/>
              <w:spacing w:line="240" w:lineRule="auto"/>
              <w:ind w:left="180" w:right="167"/>
              <w:jc w:val="center"/>
              <w:rPr>
                <w:b w:val="0"/>
                <w:bCs w:val="0"/>
                <w:color w:val="auto"/>
                <w:highlight w:val="none"/>
              </w:rPr>
            </w:pPr>
            <w:r>
              <w:rPr>
                <w:rFonts w:hint="eastAsia"/>
                <w:b w:val="0"/>
                <w:bCs w:val="0"/>
                <w:color w:val="auto"/>
                <w:highlight w:val="none"/>
              </w:rPr>
              <w:t>产地</w:t>
            </w:r>
          </w:p>
        </w:tc>
        <w:tc>
          <w:tcPr>
            <w:tcW w:w="950" w:type="dxa"/>
            <w:vAlign w:val="center"/>
          </w:tcPr>
          <w:p w14:paraId="7CD4D7A1">
            <w:pPr>
              <w:pStyle w:val="28"/>
              <w:spacing w:line="240" w:lineRule="auto"/>
              <w:ind w:left="231" w:right="99" w:hanging="120"/>
              <w:jc w:val="center"/>
              <w:rPr>
                <w:rFonts w:hint="default" w:eastAsia="宋体"/>
                <w:b w:val="0"/>
                <w:bCs w:val="0"/>
                <w:color w:val="auto"/>
                <w:highlight w:val="none"/>
                <w:lang w:val="en-US" w:eastAsia="zh-CN"/>
              </w:rPr>
            </w:pPr>
            <w:r>
              <w:rPr>
                <w:rFonts w:hint="eastAsia"/>
                <w:b w:val="0"/>
                <w:bCs w:val="0"/>
                <w:color w:val="auto"/>
                <w:spacing w:val="-2"/>
                <w:highlight w:val="none"/>
                <w:lang w:val="en-US" w:eastAsia="zh-CN"/>
              </w:rPr>
              <w:t>生产厂家</w:t>
            </w:r>
          </w:p>
        </w:tc>
        <w:tc>
          <w:tcPr>
            <w:tcW w:w="775" w:type="dxa"/>
            <w:vAlign w:val="center"/>
          </w:tcPr>
          <w:p w14:paraId="78ED062B">
            <w:pPr>
              <w:pStyle w:val="28"/>
              <w:spacing w:line="240" w:lineRule="auto"/>
              <w:ind w:left="186"/>
              <w:jc w:val="center"/>
              <w:rPr>
                <w:b w:val="0"/>
                <w:bCs w:val="0"/>
                <w:color w:val="auto"/>
                <w:highlight w:val="none"/>
              </w:rPr>
            </w:pPr>
            <w:r>
              <w:rPr>
                <w:rFonts w:hint="eastAsia"/>
                <w:b w:val="0"/>
                <w:bCs w:val="0"/>
                <w:color w:val="auto"/>
                <w:highlight w:val="none"/>
              </w:rPr>
              <w:t>单位</w:t>
            </w:r>
          </w:p>
        </w:tc>
        <w:tc>
          <w:tcPr>
            <w:tcW w:w="712" w:type="dxa"/>
            <w:vAlign w:val="center"/>
          </w:tcPr>
          <w:p w14:paraId="6E0AC859">
            <w:pPr>
              <w:pStyle w:val="28"/>
              <w:spacing w:line="240" w:lineRule="auto"/>
              <w:ind w:left="149"/>
              <w:jc w:val="center"/>
              <w:rPr>
                <w:b w:val="0"/>
                <w:bCs w:val="0"/>
                <w:color w:val="auto"/>
                <w:highlight w:val="none"/>
              </w:rPr>
            </w:pPr>
            <w:r>
              <w:rPr>
                <w:rFonts w:hint="eastAsia"/>
                <w:b w:val="0"/>
                <w:bCs w:val="0"/>
                <w:color w:val="auto"/>
                <w:highlight w:val="none"/>
              </w:rPr>
              <w:t>数量</w:t>
            </w:r>
          </w:p>
        </w:tc>
        <w:tc>
          <w:tcPr>
            <w:tcW w:w="750" w:type="dxa"/>
            <w:vAlign w:val="center"/>
          </w:tcPr>
          <w:p w14:paraId="7909F6A1">
            <w:pPr>
              <w:pStyle w:val="28"/>
              <w:spacing w:line="240" w:lineRule="auto"/>
              <w:ind w:left="171"/>
              <w:jc w:val="center"/>
              <w:rPr>
                <w:rFonts w:hint="eastAsia" w:eastAsia="宋体"/>
                <w:b w:val="0"/>
                <w:bCs w:val="0"/>
                <w:color w:val="auto"/>
                <w:highlight w:val="none"/>
                <w:lang w:eastAsia="zh-CN"/>
              </w:rPr>
            </w:pPr>
            <w:r>
              <w:rPr>
                <w:rFonts w:hint="eastAsia"/>
                <w:b w:val="0"/>
                <w:bCs w:val="0"/>
                <w:color w:val="auto"/>
                <w:highlight w:val="none"/>
              </w:rPr>
              <w:t>单价</w:t>
            </w:r>
            <w:r>
              <w:rPr>
                <w:rFonts w:hint="eastAsia"/>
                <w:b w:val="0"/>
                <w:bCs w:val="0"/>
                <w:color w:val="auto"/>
                <w:highlight w:val="none"/>
                <w:lang w:eastAsia="zh-CN"/>
              </w:rPr>
              <w:t>（元）</w:t>
            </w:r>
          </w:p>
        </w:tc>
        <w:tc>
          <w:tcPr>
            <w:tcW w:w="711" w:type="dxa"/>
            <w:vAlign w:val="center"/>
          </w:tcPr>
          <w:p w14:paraId="49883352">
            <w:pPr>
              <w:pStyle w:val="28"/>
              <w:spacing w:line="240" w:lineRule="auto"/>
              <w:ind w:left="171"/>
              <w:jc w:val="center"/>
              <w:rPr>
                <w:rFonts w:hint="eastAsia" w:eastAsia="宋体"/>
                <w:b w:val="0"/>
                <w:bCs w:val="0"/>
                <w:color w:val="auto"/>
                <w:highlight w:val="none"/>
                <w:lang w:eastAsia="zh-CN"/>
              </w:rPr>
            </w:pPr>
            <w:r>
              <w:rPr>
                <w:rFonts w:hint="eastAsia"/>
                <w:b w:val="0"/>
                <w:bCs w:val="0"/>
                <w:color w:val="auto"/>
                <w:highlight w:val="none"/>
              </w:rPr>
              <w:t>总价</w:t>
            </w:r>
            <w:r>
              <w:rPr>
                <w:rFonts w:hint="eastAsia"/>
                <w:b w:val="0"/>
                <w:bCs w:val="0"/>
                <w:color w:val="auto"/>
                <w:highlight w:val="none"/>
                <w:lang w:eastAsia="zh-CN"/>
              </w:rPr>
              <w:t>（元）</w:t>
            </w:r>
          </w:p>
        </w:tc>
        <w:tc>
          <w:tcPr>
            <w:tcW w:w="1149" w:type="dxa"/>
            <w:vAlign w:val="center"/>
          </w:tcPr>
          <w:p w14:paraId="0CEEF2AA">
            <w:pPr>
              <w:pStyle w:val="28"/>
              <w:spacing w:line="240" w:lineRule="auto"/>
              <w:ind w:left="150" w:right="134"/>
              <w:jc w:val="center"/>
              <w:rPr>
                <w:b w:val="0"/>
                <w:bCs w:val="0"/>
                <w:color w:val="auto"/>
                <w:highlight w:val="none"/>
              </w:rPr>
            </w:pPr>
            <w:r>
              <w:rPr>
                <w:rFonts w:hint="eastAsia"/>
                <w:b w:val="0"/>
                <w:bCs w:val="0"/>
                <w:color w:val="auto"/>
                <w:spacing w:val="-2"/>
                <w:highlight w:val="none"/>
              </w:rPr>
              <w:t>是否属</w:t>
            </w:r>
            <w:r>
              <w:rPr>
                <w:rFonts w:hint="eastAsia"/>
                <w:b w:val="0"/>
                <w:bCs w:val="0"/>
                <w:color w:val="auto"/>
                <w:highlight w:val="none"/>
              </w:rPr>
              <w:t>于中型、小</w:t>
            </w:r>
            <w:r>
              <w:rPr>
                <w:rFonts w:hint="eastAsia"/>
                <w:b w:val="0"/>
                <w:bCs w:val="0"/>
                <w:color w:val="auto"/>
                <w:spacing w:val="-2"/>
                <w:highlight w:val="none"/>
              </w:rPr>
              <w:t>型、微</w:t>
            </w:r>
            <w:r>
              <w:rPr>
                <w:rFonts w:hint="eastAsia"/>
                <w:b w:val="0"/>
                <w:bCs w:val="0"/>
                <w:color w:val="auto"/>
                <w:highlight w:val="none"/>
              </w:rPr>
              <w:t>型（填</w:t>
            </w:r>
          </w:p>
          <w:p w14:paraId="50EFA3AA">
            <w:pPr>
              <w:pStyle w:val="28"/>
              <w:spacing w:line="240" w:lineRule="auto"/>
              <w:ind w:left="107" w:right="60"/>
              <w:jc w:val="center"/>
              <w:rPr>
                <w:b w:val="0"/>
                <w:bCs w:val="0"/>
                <w:color w:val="auto"/>
                <w:highlight w:val="none"/>
              </w:rPr>
            </w:pPr>
            <w:r>
              <w:rPr>
                <w:rFonts w:hint="eastAsia"/>
                <w:b w:val="0"/>
                <w:bCs w:val="0"/>
                <w:color w:val="auto"/>
                <w:highlight w:val="none"/>
              </w:rPr>
              <w:t>中型或小型或微型）</w:t>
            </w:r>
          </w:p>
        </w:tc>
        <w:tc>
          <w:tcPr>
            <w:tcW w:w="634" w:type="dxa"/>
            <w:vAlign w:val="center"/>
          </w:tcPr>
          <w:p w14:paraId="2794F4AF">
            <w:pPr>
              <w:pStyle w:val="28"/>
              <w:spacing w:line="240" w:lineRule="auto"/>
              <w:ind w:left="246"/>
              <w:jc w:val="center"/>
              <w:rPr>
                <w:b w:val="0"/>
                <w:bCs w:val="0"/>
                <w:color w:val="auto"/>
                <w:highlight w:val="none"/>
              </w:rPr>
            </w:pPr>
            <w:r>
              <w:rPr>
                <w:rFonts w:hint="eastAsia"/>
                <w:b w:val="0"/>
                <w:bCs w:val="0"/>
                <w:color w:val="auto"/>
                <w:highlight w:val="none"/>
              </w:rPr>
              <w:t>备注</w:t>
            </w:r>
          </w:p>
        </w:tc>
      </w:tr>
      <w:tr w14:paraId="015A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99" w:type="dxa"/>
          </w:tcPr>
          <w:p w14:paraId="07D8B3CD">
            <w:pPr>
              <w:pStyle w:val="28"/>
              <w:spacing w:before="6" w:line="360" w:lineRule="auto"/>
              <w:rPr>
                <w:b w:val="0"/>
                <w:bCs w:val="0"/>
                <w:color w:val="auto"/>
                <w:sz w:val="26"/>
                <w:highlight w:val="none"/>
              </w:rPr>
            </w:pPr>
          </w:p>
          <w:p w14:paraId="2E2931B9">
            <w:pPr>
              <w:pStyle w:val="28"/>
              <w:spacing w:line="360" w:lineRule="auto"/>
              <w:ind w:left="9"/>
              <w:jc w:val="center"/>
              <w:rPr>
                <w:b w:val="0"/>
                <w:bCs w:val="0"/>
                <w:color w:val="auto"/>
                <w:highlight w:val="none"/>
              </w:rPr>
            </w:pPr>
            <w:r>
              <w:rPr>
                <w:b w:val="0"/>
                <w:bCs w:val="0"/>
                <w:color w:val="auto"/>
                <w:highlight w:val="none"/>
              </w:rPr>
              <w:t>1</w:t>
            </w:r>
          </w:p>
        </w:tc>
        <w:tc>
          <w:tcPr>
            <w:tcW w:w="661" w:type="dxa"/>
          </w:tcPr>
          <w:p w14:paraId="0A885839">
            <w:pPr>
              <w:pStyle w:val="28"/>
              <w:spacing w:line="360" w:lineRule="auto"/>
              <w:rPr>
                <w:b w:val="0"/>
                <w:bCs w:val="0"/>
                <w:color w:val="auto"/>
                <w:sz w:val="22"/>
                <w:highlight w:val="none"/>
              </w:rPr>
            </w:pPr>
          </w:p>
        </w:tc>
        <w:tc>
          <w:tcPr>
            <w:tcW w:w="1117" w:type="dxa"/>
            <w:gridSpan w:val="2"/>
          </w:tcPr>
          <w:p w14:paraId="7B013432">
            <w:pPr>
              <w:pStyle w:val="28"/>
              <w:spacing w:line="360" w:lineRule="auto"/>
              <w:rPr>
                <w:b w:val="0"/>
                <w:bCs w:val="0"/>
                <w:color w:val="auto"/>
                <w:sz w:val="22"/>
                <w:highlight w:val="none"/>
              </w:rPr>
            </w:pPr>
          </w:p>
        </w:tc>
        <w:tc>
          <w:tcPr>
            <w:tcW w:w="632" w:type="dxa"/>
          </w:tcPr>
          <w:p w14:paraId="6689BE24">
            <w:pPr>
              <w:pStyle w:val="28"/>
              <w:spacing w:line="360" w:lineRule="auto"/>
              <w:rPr>
                <w:b w:val="0"/>
                <w:bCs w:val="0"/>
                <w:color w:val="auto"/>
                <w:sz w:val="22"/>
                <w:highlight w:val="none"/>
              </w:rPr>
            </w:pPr>
          </w:p>
        </w:tc>
        <w:tc>
          <w:tcPr>
            <w:tcW w:w="662" w:type="dxa"/>
          </w:tcPr>
          <w:p w14:paraId="2831CFFD">
            <w:pPr>
              <w:pStyle w:val="28"/>
              <w:spacing w:line="360" w:lineRule="auto"/>
              <w:rPr>
                <w:b w:val="0"/>
                <w:bCs w:val="0"/>
                <w:color w:val="auto"/>
                <w:sz w:val="22"/>
                <w:highlight w:val="none"/>
              </w:rPr>
            </w:pPr>
          </w:p>
        </w:tc>
        <w:tc>
          <w:tcPr>
            <w:tcW w:w="662" w:type="dxa"/>
          </w:tcPr>
          <w:p w14:paraId="01368B0E">
            <w:pPr>
              <w:pStyle w:val="28"/>
              <w:spacing w:line="360" w:lineRule="auto"/>
              <w:rPr>
                <w:b w:val="0"/>
                <w:bCs w:val="0"/>
                <w:color w:val="auto"/>
                <w:sz w:val="22"/>
                <w:highlight w:val="none"/>
              </w:rPr>
            </w:pPr>
          </w:p>
        </w:tc>
        <w:tc>
          <w:tcPr>
            <w:tcW w:w="950" w:type="dxa"/>
          </w:tcPr>
          <w:p w14:paraId="6CB61785">
            <w:pPr>
              <w:pStyle w:val="28"/>
              <w:spacing w:line="360" w:lineRule="auto"/>
              <w:rPr>
                <w:b w:val="0"/>
                <w:bCs w:val="0"/>
                <w:color w:val="auto"/>
                <w:sz w:val="22"/>
                <w:highlight w:val="none"/>
              </w:rPr>
            </w:pPr>
          </w:p>
        </w:tc>
        <w:tc>
          <w:tcPr>
            <w:tcW w:w="775" w:type="dxa"/>
          </w:tcPr>
          <w:p w14:paraId="4503B1D4">
            <w:pPr>
              <w:pStyle w:val="28"/>
              <w:spacing w:line="360" w:lineRule="auto"/>
              <w:rPr>
                <w:b w:val="0"/>
                <w:bCs w:val="0"/>
                <w:color w:val="auto"/>
                <w:sz w:val="22"/>
                <w:highlight w:val="none"/>
              </w:rPr>
            </w:pPr>
          </w:p>
        </w:tc>
        <w:tc>
          <w:tcPr>
            <w:tcW w:w="712" w:type="dxa"/>
          </w:tcPr>
          <w:p w14:paraId="27BC5E6F">
            <w:pPr>
              <w:pStyle w:val="28"/>
              <w:spacing w:line="360" w:lineRule="auto"/>
              <w:rPr>
                <w:b w:val="0"/>
                <w:bCs w:val="0"/>
                <w:color w:val="auto"/>
                <w:sz w:val="22"/>
                <w:highlight w:val="none"/>
              </w:rPr>
            </w:pPr>
          </w:p>
        </w:tc>
        <w:tc>
          <w:tcPr>
            <w:tcW w:w="750" w:type="dxa"/>
          </w:tcPr>
          <w:p w14:paraId="04230D48">
            <w:pPr>
              <w:pStyle w:val="28"/>
              <w:spacing w:line="360" w:lineRule="auto"/>
              <w:rPr>
                <w:b w:val="0"/>
                <w:bCs w:val="0"/>
                <w:color w:val="auto"/>
                <w:sz w:val="22"/>
                <w:highlight w:val="none"/>
              </w:rPr>
            </w:pPr>
          </w:p>
        </w:tc>
        <w:tc>
          <w:tcPr>
            <w:tcW w:w="711" w:type="dxa"/>
          </w:tcPr>
          <w:p w14:paraId="6EDBE37C">
            <w:pPr>
              <w:pStyle w:val="28"/>
              <w:spacing w:line="360" w:lineRule="auto"/>
              <w:rPr>
                <w:b w:val="0"/>
                <w:bCs w:val="0"/>
                <w:color w:val="auto"/>
                <w:sz w:val="22"/>
                <w:highlight w:val="none"/>
              </w:rPr>
            </w:pPr>
          </w:p>
        </w:tc>
        <w:tc>
          <w:tcPr>
            <w:tcW w:w="1149" w:type="dxa"/>
          </w:tcPr>
          <w:p w14:paraId="4260727B">
            <w:pPr>
              <w:pStyle w:val="28"/>
              <w:spacing w:line="360" w:lineRule="auto"/>
              <w:rPr>
                <w:b w:val="0"/>
                <w:bCs w:val="0"/>
                <w:color w:val="auto"/>
                <w:sz w:val="22"/>
                <w:highlight w:val="none"/>
              </w:rPr>
            </w:pPr>
          </w:p>
        </w:tc>
        <w:tc>
          <w:tcPr>
            <w:tcW w:w="634" w:type="dxa"/>
          </w:tcPr>
          <w:p w14:paraId="6F06E0F9">
            <w:pPr>
              <w:pStyle w:val="28"/>
              <w:spacing w:line="360" w:lineRule="auto"/>
              <w:rPr>
                <w:b w:val="0"/>
                <w:bCs w:val="0"/>
                <w:color w:val="auto"/>
                <w:sz w:val="22"/>
                <w:highlight w:val="none"/>
              </w:rPr>
            </w:pPr>
          </w:p>
        </w:tc>
      </w:tr>
      <w:tr w14:paraId="2C896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599" w:type="dxa"/>
          </w:tcPr>
          <w:p w14:paraId="691B97F7">
            <w:pPr>
              <w:pStyle w:val="28"/>
              <w:spacing w:before="3" w:line="360" w:lineRule="auto"/>
              <w:rPr>
                <w:b w:val="0"/>
                <w:bCs w:val="0"/>
                <w:color w:val="auto"/>
                <w:sz w:val="21"/>
                <w:highlight w:val="none"/>
              </w:rPr>
            </w:pPr>
          </w:p>
          <w:p w14:paraId="295C7475">
            <w:pPr>
              <w:pStyle w:val="28"/>
              <w:spacing w:before="1" w:line="360" w:lineRule="auto"/>
              <w:ind w:left="99" w:right="90"/>
              <w:jc w:val="center"/>
              <w:rPr>
                <w:b w:val="0"/>
                <w:bCs w:val="0"/>
                <w:color w:val="auto"/>
                <w:highlight w:val="none"/>
              </w:rPr>
            </w:pPr>
            <w:r>
              <w:rPr>
                <w:b w:val="0"/>
                <w:bCs w:val="0"/>
                <w:color w:val="auto"/>
                <w:highlight w:val="none"/>
              </w:rPr>
              <w:t>...</w:t>
            </w:r>
          </w:p>
        </w:tc>
        <w:tc>
          <w:tcPr>
            <w:tcW w:w="661" w:type="dxa"/>
          </w:tcPr>
          <w:p w14:paraId="27BBA687">
            <w:pPr>
              <w:pStyle w:val="28"/>
              <w:spacing w:line="360" w:lineRule="auto"/>
              <w:rPr>
                <w:b w:val="0"/>
                <w:bCs w:val="0"/>
                <w:color w:val="auto"/>
                <w:sz w:val="22"/>
                <w:highlight w:val="none"/>
              </w:rPr>
            </w:pPr>
          </w:p>
        </w:tc>
        <w:tc>
          <w:tcPr>
            <w:tcW w:w="1117" w:type="dxa"/>
            <w:gridSpan w:val="2"/>
          </w:tcPr>
          <w:p w14:paraId="2DE63F95">
            <w:pPr>
              <w:pStyle w:val="28"/>
              <w:spacing w:line="360" w:lineRule="auto"/>
              <w:rPr>
                <w:b w:val="0"/>
                <w:bCs w:val="0"/>
                <w:color w:val="auto"/>
                <w:sz w:val="22"/>
                <w:highlight w:val="none"/>
              </w:rPr>
            </w:pPr>
          </w:p>
        </w:tc>
        <w:tc>
          <w:tcPr>
            <w:tcW w:w="632" w:type="dxa"/>
          </w:tcPr>
          <w:p w14:paraId="3917D82A">
            <w:pPr>
              <w:pStyle w:val="28"/>
              <w:spacing w:line="360" w:lineRule="auto"/>
              <w:rPr>
                <w:b w:val="0"/>
                <w:bCs w:val="0"/>
                <w:color w:val="auto"/>
                <w:sz w:val="22"/>
                <w:highlight w:val="none"/>
              </w:rPr>
            </w:pPr>
          </w:p>
        </w:tc>
        <w:tc>
          <w:tcPr>
            <w:tcW w:w="662" w:type="dxa"/>
          </w:tcPr>
          <w:p w14:paraId="2F961CEC">
            <w:pPr>
              <w:pStyle w:val="28"/>
              <w:spacing w:line="360" w:lineRule="auto"/>
              <w:rPr>
                <w:b w:val="0"/>
                <w:bCs w:val="0"/>
                <w:color w:val="auto"/>
                <w:sz w:val="22"/>
                <w:highlight w:val="none"/>
              </w:rPr>
            </w:pPr>
          </w:p>
        </w:tc>
        <w:tc>
          <w:tcPr>
            <w:tcW w:w="662" w:type="dxa"/>
          </w:tcPr>
          <w:p w14:paraId="2D9BA022">
            <w:pPr>
              <w:pStyle w:val="28"/>
              <w:spacing w:line="360" w:lineRule="auto"/>
              <w:rPr>
                <w:b w:val="0"/>
                <w:bCs w:val="0"/>
                <w:color w:val="auto"/>
                <w:sz w:val="22"/>
                <w:highlight w:val="none"/>
              </w:rPr>
            </w:pPr>
          </w:p>
        </w:tc>
        <w:tc>
          <w:tcPr>
            <w:tcW w:w="950" w:type="dxa"/>
          </w:tcPr>
          <w:p w14:paraId="7CD85B62">
            <w:pPr>
              <w:pStyle w:val="28"/>
              <w:spacing w:line="360" w:lineRule="auto"/>
              <w:rPr>
                <w:b w:val="0"/>
                <w:bCs w:val="0"/>
                <w:color w:val="auto"/>
                <w:sz w:val="22"/>
                <w:highlight w:val="none"/>
              </w:rPr>
            </w:pPr>
          </w:p>
        </w:tc>
        <w:tc>
          <w:tcPr>
            <w:tcW w:w="775" w:type="dxa"/>
          </w:tcPr>
          <w:p w14:paraId="2D494AE3">
            <w:pPr>
              <w:pStyle w:val="28"/>
              <w:spacing w:line="360" w:lineRule="auto"/>
              <w:rPr>
                <w:b w:val="0"/>
                <w:bCs w:val="0"/>
                <w:color w:val="auto"/>
                <w:sz w:val="22"/>
                <w:highlight w:val="none"/>
              </w:rPr>
            </w:pPr>
          </w:p>
        </w:tc>
        <w:tc>
          <w:tcPr>
            <w:tcW w:w="712" w:type="dxa"/>
          </w:tcPr>
          <w:p w14:paraId="6724CCDB">
            <w:pPr>
              <w:pStyle w:val="28"/>
              <w:spacing w:line="360" w:lineRule="auto"/>
              <w:rPr>
                <w:b w:val="0"/>
                <w:bCs w:val="0"/>
                <w:color w:val="auto"/>
                <w:sz w:val="22"/>
                <w:highlight w:val="none"/>
              </w:rPr>
            </w:pPr>
          </w:p>
        </w:tc>
        <w:tc>
          <w:tcPr>
            <w:tcW w:w="750" w:type="dxa"/>
          </w:tcPr>
          <w:p w14:paraId="0ED26793">
            <w:pPr>
              <w:pStyle w:val="28"/>
              <w:spacing w:line="360" w:lineRule="auto"/>
              <w:rPr>
                <w:b w:val="0"/>
                <w:bCs w:val="0"/>
                <w:color w:val="auto"/>
                <w:sz w:val="22"/>
                <w:highlight w:val="none"/>
              </w:rPr>
            </w:pPr>
          </w:p>
        </w:tc>
        <w:tc>
          <w:tcPr>
            <w:tcW w:w="711" w:type="dxa"/>
          </w:tcPr>
          <w:p w14:paraId="6589068D">
            <w:pPr>
              <w:pStyle w:val="28"/>
              <w:spacing w:line="360" w:lineRule="auto"/>
              <w:rPr>
                <w:b w:val="0"/>
                <w:bCs w:val="0"/>
                <w:color w:val="auto"/>
                <w:sz w:val="22"/>
                <w:highlight w:val="none"/>
              </w:rPr>
            </w:pPr>
          </w:p>
        </w:tc>
        <w:tc>
          <w:tcPr>
            <w:tcW w:w="1149" w:type="dxa"/>
          </w:tcPr>
          <w:p w14:paraId="59F5224B">
            <w:pPr>
              <w:pStyle w:val="28"/>
              <w:spacing w:line="360" w:lineRule="auto"/>
              <w:rPr>
                <w:b w:val="0"/>
                <w:bCs w:val="0"/>
                <w:color w:val="auto"/>
                <w:sz w:val="22"/>
                <w:highlight w:val="none"/>
              </w:rPr>
            </w:pPr>
          </w:p>
        </w:tc>
        <w:tc>
          <w:tcPr>
            <w:tcW w:w="634" w:type="dxa"/>
          </w:tcPr>
          <w:p w14:paraId="3C4F29A9">
            <w:pPr>
              <w:pStyle w:val="28"/>
              <w:spacing w:line="360" w:lineRule="auto"/>
              <w:rPr>
                <w:b w:val="0"/>
                <w:bCs w:val="0"/>
                <w:color w:val="auto"/>
                <w:sz w:val="22"/>
                <w:highlight w:val="none"/>
              </w:rPr>
            </w:pPr>
          </w:p>
        </w:tc>
      </w:tr>
      <w:tr w14:paraId="345DC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599" w:type="dxa"/>
          </w:tcPr>
          <w:p w14:paraId="3FE39883">
            <w:pPr>
              <w:pStyle w:val="28"/>
              <w:spacing w:before="1" w:line="360" w:lineRule="auto"/>
              <w:ind w:left="179"/>
              <w:rPr>
                <w:b w:val="0"/>
                <w:bCs w:val="0"/>
                <w:color w:val="auto"/>
                <w:highlight w:val="none"/>
              </w:rPr>
            </w:pPr>
            <w:r>
              <w:rPr>
                <w:rFonts w:hint="eastAsia"/>
                <w:b w:val="0"/>
                <w:bCs w:val="0"/>
                <w:color w:val="auto"/>
                <w:highlight w:val="none"/>
              </w:rPr>
              <w:t>合</w:t>
            </w:r>
          </w:p>
          <w:p w14:paraId="23AAF7AF">
            <w:pPr>
              <w:pStyle w:val="28"/>
              <w:spacing w:before="158" w:line="360" w:lineRule="auto"/>
              <w:ind w:left="179"/>
              <w:rPr>
                <w:b w:val="0"/>
                <w:bCs w:val="0"/>
                <w:color w:val="auto"/>
                <w:highlight w:val="none"/>
              </w:rPr>
            </w:pPr>
            <w:r>
              <w:rPr>
                <w:rFonts w:hint="eastAsia"/>
                <w:b w:val="0"/>
                <w:bCs w:val="0"/>
                <w:color w:val="auto"/>
                <w:highlight w:val="none"/>
              </w:rPr>
              <w:t>计</w:t>
            </w:r>
          </w:p>
        </w:tc>
        <w:tc>
          <w:tcPr>
            <w:tcW w:w="662" w:type="dxa"/>
            <w:gridSpan w:val="2"/>
          </w:tcPr>
          <w:p w14:paraId="224952C2">
            <w:pPr>
              <w:pStyle w:val="28"/>
              <w:spacing w:line="360" w:lineRule="auto"/>
              <w:rPr>
                <w:b w:val="0"/>
                <w:bCs w:val="0"/>
                <w:color w:val="auto"/>
                <w:sz w:val="22"/>
                <w:highlight w:val="none"/>
              </w:rPr>
            </w:pPr>
          </w:p>
        </w:tc>
        <w:tc>
          <w:tcPr>
            <w:tcW w:w="8753" w:type="dxa"/>
            <w:gridSpan w:val="11"/>
          </w:tcPr>
          <w:p w14:paraId="24028DCA">
            <w:pPr>
              <w:pStyle w:val="28"/>
              <w:spacing w:line="360" w:lineRule="auto"/>
              <w:rPr>
                <w:b w:val="0"/>
                <w:bCs w:val="0"/>
                <w:color w:val="auto"/>
                <w:sz w:val="22"/>
                <w:highlight w:val="none"/>
              </w:rPr>
            </w:pPr>
          </w:p>
        </w:tc>
      </w:tr>
    </w:tbl>
    <w:p w14:paraId="7AC6861A">
      <w:pPr>
        <w:pStyle w:val="7"/>
        <w:spacing w:line="360" w:lineRule="auto"/>
        <w:rPr>
          <w:color w:val="auto"/>
          <w:highlight w:val="none"/>
        </w:rPr>
      </w:pPr>
    </w:p>
    <w:p w14:paraId="4D0F88B8">
      <w:pPr>
        <w:pStyle w:val="8"/>
        <w:rPr>
          <w:color w:val="auto"/>
          <w:highlight w:val="none"/>
        </w:rPr>
      </w:pPr>
    </w:p>
    <w:p w14:paraId="594E59CA">
      <w:pPr>
        <w:rPr>
          <w:color w:val="auto"/>
          <w:highlight w:val="none"/>
        </w:rPr>
      </w:pPr>
    </w:p>
    <w:p w14:paraId="51B0A7A5">
      <w:pPr>
        <w:rPr>
          <w:color w:val="auto"/>
          <w:highlight w:val="none"/>
        </w:rPr>
      </w:pPr>
    </w:p>
    <w:p w14:paraId="186E33E1">
      <w:pPr>
        <w:rPr>
          <w:color w:val="auto"/>
          <w:highlight w:val="none"/>
        </w:rPr>
      </w:pPr>
    </w:p>
    <w:p w14:paraId="617D32DB">
      <w:pPr>
        <w:rPr>
          <w:color w:val="auto"/>
          <w:highlight w:val="none"/>
        </w:rPr>
      </w:pPr>
    </w:p>
    <w:p w14:paraId="0454C45B">
      <w:pPr>
        <w:rPr>
          <w:color w:val="auto"/>
          <w:highlight w:val="none"/>
        </w:rPr>
      </w:pPr>
    </w:p>
    <w:p w14:paraId="149D3E6F">
      <w:pPr>
        <w:rPr>
          <w:color w:val="auto"/>
          <w:highlight w:val="none"/>
        </w:rPr>
      </w:pPr>
    </w:p>
    <w:p w14:paraId="02DC78F6">
      <w:pPr>
        <w:rPr>
          <w:color w:val="auto"/>
          <w:highlight w:val="none"/>
        </w:rPr>
      </w:pPr>
    </w:p>
    <w:p w14:paraId="002CBCEF">
      <w:pPr>
        <w:rPr>
          <w:color w:val="auto"/>
          <w:highlight w:val="none"/>
        </w:rPr>
      </w:pPr>
    </w:p>
    <w:p w14:paraId="49B2F3F8">
      <w:pPr>
        <w:rPr>
          <w:color w:val="auto"/>
          <w:highlight w:val="none"/>
        </w:rPr>
      </w:pPr>
    </w:p>
    <w:p w14:paraId="537E68CA">
      <w:pPr>
        <w:rPr>
          <w:color w:val="auto"/>
          <w:highlight w:val="none"/>
        </w:rPr>
      </w:pPr>
    </w:p>
    <w:p w14:paraId="228295FA">
      <w:pPr>
        <w:rPr>
          <w:color w:val="auto"/>
          <w:highlight w:val="none"/>
        </w:rPr>
      </w:pPr>
    </w:p>
    <w:p w14:paraId="2CA7F6E8">
      <w:pPr>
        <w:rPr>
          <w:color w:val="auto"/>
          <w:highlight w:val="none"/>
        </w:rPr>
      </w:pPr>
    </w:p>
    <w:p w14:paraId="6839F2A5">
      <w:pPr>
        <w:rPr>
          <w:color w:val="auto"/>
          <w:highlight w:val="none"/>
        </w:rPr>
      </w:pPr>
    </w:p>
    <w:p w14:paraId="46F7B6C9">
      <w:pPr>
        <w:rPr>
          <w:color w:val="auto"/>
          <w:highlight w:val="none"/>
        </w:rPr>
      </w:pPr>
    </w:p>
    <w:p w14:paraId="7FBCE0AC">
      <w:pPr>
        <w:rPr>
          <w:color w:val="auto"/>
          <w:highlight w:val="none"/>
        </w:rPr>
      </w:pPr>
    </w:p>
    <w:p w14:paraId="74D71010">
      <w:pPr>
        <w:rPr>
          <w:color w:val="auto"/>
          <w:highlight w:val="none"/>
        </w:rPr>
      </w:pPr>
    </w:p>
    <w:p w14:paraId="51A316FB">
      <w:pPr>
        <w:rPr>
          <w:color w:val="auto"/>
          <w:highlight w:val="none"/>
        </w:rPr>
      </w:pPr>
    </w:p>
    <w:p w14:paraId="704D1590">
      <w:pPr>
        <w:rPr>
          <w:color w:val="auto"/>
          <w:highlight w:val="none"/>
        </w:rPr>
      </w:pPr>
    </w:p>
    <w:p w14:paraId="688E2ABD">
      <w:pPr>
        <w:rPr>
          <w:color w:val="auto"/>
          <w:highlight w:val="none"/>
        </w:rPr>
      </w:pPr>
    </w:p>
    <w:p w14:paraId="588FCE37">
      <w:pPr>
        <w:rPr>
          <w:color w:val="auto"/>
          <w:highlight w:val="none"/>
        </w:rPr>
      </w:pPr>
    </w:p>
    <w:p w14:paraId="34413131">
      <w:pPr>
        <w:rPr>
          <w:color w:val="auto"/>
          <w:highlight w:val="none"/>
        </w:rPr>
      </w:pPr>
    </w:p>
    <w:p w14:paraId="17704EA9">
      <w:pPr>
        <w:rPr>
          <w:color w:val="auto"/>
          <w:highlight w:val="none"/>
        </w:rPr>
      </w:pPr>
    </w:p>
    <w:p w14:paraId="03CACD33">
      <w:pPr>
        <w:rPr>
          <w:color w:val="auto"/>
          <w:highlight w:val="none"/>
        </w:rPr>
      </w:pPr>
    </w:p>
    <w:p w14:paraId="0302E687">
      <w:pPr>
        <w:rPr>
          <w:color w:val="auto"/>
          <w:highlight w:val="none"/>
        </w:rPr>
      </w:pPr>
    </w:p>
    <w:p w14:paraId="6DCDB4BD">
      <w:pPr>
        <w:rPr>
          <w:color w:val="auto"/>
          <w:highlight w:val="none"/>
        </w:rPr>
      </w:pPr>
    </w:p>
    <w:p w14:paraId="3CBFF64F">
      <w:pPr>
        <w:rPr>
          <w:color w:val="auto"/>
          <w:highlight w:val="none"/>
        </w:rPr>
      </w:pPr>
    </w:p>
    <w:p w14:paraId="44313770">
      <w:pPr>
        <w:rPr>
          <w:color w:val="auto"/>
          <w:highlight w:val="none"/>
        </w:rPr>
      </w:pPr>
    </w:p>
    <w:p w14:paraId="32F111D7">
      <w:pPr>
        <w:spacing w:line="288" w:lineRule="auto"/>
        <w:ind w:firstLine="2660"/>
        <w:jc w:val="both"/>
        <w:rPr>
          <w:rFonts w:hint="eastAsia" w:eastAsia="宋体"/>
          <w:sz w:val="28"/>
          <w:highlight w:val="none"/>
          <w:lang w:eastAsia="zh-CN"/>
        </w:rPr>
      </w:pPr>
      <w:r>
        <w:rPr>
          <w:rFonts w:hint="eastAsia" w:ascii="Calibri" w:hAnsi="Calibri" w:eastAsia="Calibri"/>
          <w:b/>
          <w:color w:val="000000"/>
          <w:sz w:val="28"/>
          <w:highlight w:val="none"/>
        </w:rPr>
        <w:t>2</w:t>
      </w:r>
      <w:r>
        <w:rPr>
          <w:rFonts w:hint="eastAsia" w:ascii="宋体" w:hAnsi="宋体" w:eastAsia="宋体"/>
          <w:b/>
          <w:color w:val="000000"/>
          <w:sz w:val="28"/>
          <w:highlight w:val="none"/>
        </w:rPr>
        <w:t>.</w:t>
      </w:r>
      <w:r>
        <w:rPr>
          <w:rFonts w:hint="eastAsia" w:ascii="Calibri" w:hAnsi="Calibri" w:eastAsia="Calibri"/>
          <w:b/>
          <w:color w:val="000000"/>
          <w:sz w:val="28"/>
          <w:highlight w:val="none"/>
        </w:rPr>
        <w:t>2</w:t>
      </w:r>
      <w:r>
        <w:rPr>
          <w:rFonts w:hint="eastAsia" w:ascii="宋体" w:hAnsi="宋体" w:eastAsia="宋体"/>
          <w:b/>
          <w:color w:val="000000"/>
          <w:sz w:val="28"/>
          <w:highlight w:val="none"/>
        </w:rPr>
        <w:t xml:space="preserve"> 报价分析</w:t>
      </w:r>
      <w:r>
        <w:rPr>
          <w:rFonts w:hint="eastAsia" w:ascii="宋体" w:hAnsi="宋体" w:eastAsia="宋体"/>
          <w:b/>
          <w:color w:val="000000"/>
          <w:sz w:val="28"/>
          <w:highlight w:val="none"/>
          <w:lang w:eastAsia="zh-CN"/>
        </w:rPr>
        <w:t>表</w:t>
      </w:r>
    </w:p>
    <w:p w14:paraId="65CCA7C6">
      <w:pPr>
        <w:spacing w:line="360" w:lineRule="auto"/>
        <w:ind w:firstLine="0"/>
        <w:jc w:val="both"/>
        <w:rPr>
          <w:sz w:val="27"/>
          <w:highlight w:val="none"/>
        </w:rPr>
      </w:pPr>
      <w:r>
        <w:rPr>
          <w:rFonts w:hint="eastAsia" w:ascii="宋体" w:hAnsi="宋体" w:eastAsia="宋体"/>
          <w:color w:val="000000"/>
          <w:sz w:val="27"/>
          <w:highlight w:val="none"/>
        </w:rPr>
        <w:t>投标车辆名称：</w:t>
      </w:r>
    </w:p>
    <w:tbl>
      <w:tblPr>
        <w:tblStyle w:val="23"/>
        <w:tblW w:w="1046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130"/>
        <w:gridCol w:w="3090"/>
        <w:gridCol w:w="2161"/>
        <w:gridCol w:w="1575"/>
        <w:gridCol w:w="1454"/>
        <w:gridCol w:w="1050"/>
      </w:tblGrid>
      <w:tr w14:paraId="0E99D51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14:paraId="5A2F75B0">
            <w:pPr>
              <w:spacing w:line="288" w:lineRule="auto"/>
              <w:jc w:val="center"/>
              <w:rPr>
                <w:sz w:val="27"/>
                <w:highlight w:val="none"/>
              </w:rPr>
            </w:pPr>
            <w:r>
              <w:rPr>
                <w:rFonts w:hint="eastAsia" w:ascii="宋体" w:hAnsi="宋体" w:eastAsia="宋体"/>
                <w:color w:val="000000"/>
                <w:sz w:val="27"/>
                <w:highlight w:val="none"/>
              </w:rPr>
              <w:t>序号</w:t>
            </w:r>
          </w:p>
        </w:tc>
        <w:tc>
          <w:tcPr>
            <w:tcW w:w="3060" w:type="dxa"/>
            <w:tcBorders>
              <w:top w:val="single" w:color="000000" w:sz="4" w:space="0"/>
              <w:left w:val="single" w:color="000000" w:sz="4" w:space="0"/>
              <w:bottom w:val="single" w:color="000000" w:sz="4" w:space="0"/>
              <w:right w:val="single" w:color="000000" w:sz="4" w:space="0"/>
            </w:tcBorders>
            <w:vAlign w:val="center"/>
          </w:tcPr>
          <w:p w14:paraId="60E50192">
            <w:pPr>
              <w:spacing w:line="288" w:lineRule="auto"/>
              <w:ind w:firstLine="0"/>
              <w:jc w:val="both"/>
              <w:rPr>
                <w:sz w:val="27"/>
                <w:highlight w:val="none"/>
              </w:rPr>
            </w:pPr>
            <w:r>
              <w:rPr>
                <w:rFonts w:hint="eastAsia" w:ascii="宋体" w:hAnsi="宋体" w:eastAsia="宋体"/>
                <w:color w:val="000000"/>
                <w:sz w:val="27"/>
                <w:highlight w:val="none"/>
              </w:rPr>
              <w:t>分项内容</w:t>
            </w:r>
          </w:p>
        </w:tc>
        <w:tc>
          <w:tcPr>
            <w:tcW w:w="2140" w:type="dxa"/>
            <w:tcBorders>
              <w:top w:val="single" w:color="000000" w:sz="4" w:space="0"/>
              <w:left w:val="single" w:color="000000" w:sz="4" w:space="0"/>
              <w:bottom w:val="single" w:color="000000" w:sz="4" w:space="0"/>
              <w:right w:val="single" w:color="000000" w:sz="4" w:space="0"/>
            </w:tcBorders>
            <w:vAlign w:val="center"/>
          </w:tcPr>
          <w:p w14:paraId="6E3D5AE6">
            <w:pPr>
              <w:spacing w:line="288" w:lineRule="auto"/>
              <w:jc w:val="center"/>
              <w:rPr>
                <w:sz w:val="27"/>
                <w:highlight w:val="none"/>
              </w:rPr>
            </w:pPr>
            <w:r>
              <w:rPr>
                <w:rFonts w:hint="eastAsia" w:ascii="宋体" w:hAnsi="宋体" w:eastAsia="宋体"/>
                <w:color w:val="000000"/>
                <w:sz w:val="27"/>
                <w:highlight w:val="none"/>
              </w:rPr>
              <w:t>报价（元）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476C508C">
            <w:pPr>
              <w:spacing w:line="288" w:lineRule="auto"/>
              <w:jc w:val="center"/>
              <w:rPr>
                <w:sz w:val="27"/>
                <w:highlight w:val="none"/>
              </w:rPr>
            </w:pPr>
            <w:r>
              <w:rPr>
                <w:rFonts w:hint="eastAsia" w:ascii="宋体" w:hAnsi="宋体" w:eastAsia="宋体"/>
                <w:color w:val="000000"/>
                <w:sz w:val="27"/>
                <w:highlight w:val="none"/>
              </w:rPr>
              <w:t>产地及品牌</w:t>
            </w:r>
          </w:p>
        </w:tc>
        <w:tc>
          <w:tcPr>
            <w:tcW w:w="1440" w:type="dxa"/>
            <w:tcBorders>
              <w:top w:val="single" w:color="000000" w:sz="4" w:space="0"/>
              <w:left w:val="single" w:color="000000" w:sz="4" w:space="0"/>
              <w:bottom w:val="single" w:color="000000" w:sz="4" w:space="0"/>
              <w:right w:val="single" w:color="000000" w:sz="4" w:space="0"/>
            </w:tcBorders>
            <w:vAlign w:val="center"/>
          </w:tcPr>
          <w:p w14:paraId="7B95D204">
            <w:pPr>
              <w:spacing w:line="288" w:lineRule="auto"/>
              <w:jc w:val="center"/>
              <w:rPr>
                <w:sz w:val="27"/>
                <w:highlight w:val="none"/>
              </w:rPr>
            </w:pPr>
            <w:r>
              <w:rPr>
                <w:rFonts w:hint="eastAsia" w:ascii="宋体" w:hAnsi="宋体" w:eastAsia="宋体"/>
                <w:color w:val="000000"/>
                <w:sz w:val="27"/>
                <w:highlight w:val="none"/>
              </w:rPr>
              <w:t>型号规格</w:t>
            </w:r>
          </w:p>
        </w:tc>
        <w:tc>
          <w:tcPr>
            <w:tcW w:w="1040" w:type="dxa"/>
            <w:tcBorders>
              <w:top w:val="single" w:color="000000" w:sz="4" w:space="0"/>
              <w:left w:val="single" w:color="000000" w:sz="4" w:space="0"/>
              <w:bottom w:val="single" w:color="000000" w:sz="4" w:space="0"/>
              <w:right w:val="single" w:color="000000" w:sz="4" w:space="0"/>
            </w:tcBorders>
            <w:vAlign w:val="center"/>
          </w:tcPr>
          <w:p w14:paraId="3EBF9B81">
            <w:pPr>
              <w:spacing w:line="288" w:lineRule="auto"/>
              <w:jc w:val="center"/>
              <w:rPr>
                <w:sz w:val="27"/>
                <w:highlight w:val="none"/>
              </w:rPr>
            </w:pPr>
            <w:r>
              <w:rPr>
                <w:rFonts w:hint="eastAsia" w:ascii="宋体" w:hAnsi="宋体" w:eastAsia="宋体"/>
                <w:color w:val="000000"/>
                <w:sz w:val="27"/>
                <w:highlight w:val="none"/>
              </w:rPr>
              <w:t>备注</w:t>
            </w:r>
          </w:p>
        </w:tc>
      </w:tr>
      <w:tr w14:paraId="585EE20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14:paraId="3B6E04C4">
            <w:pPr>
              <w:spacing w:line="288" w:lineRule="auto"/>
              <w:jc w:val="center"/>
              <w:rPr>
                <w:sz w:val="27"/>
                <w:highlight w:val="none"/>
              </w:rPr>
            </w:pPr>
            <w:r>
              <w:rPr>
                <w:rFonts w:hint="eastAsia" w:ascii="Calibri" w:hAnsi="Calibri" w:eastAsia="Calibri"/>
                <w:color w:val="000000"/>
                <w:sz w:val="27"/>
                <w:highlight w:val="none"/>
              </w:rPr>
              <w:t>1</w:t>
            </w:r>
          </w:p>
        </w:tc>
        <w:tc>
          <w:tcPr>
            <w:tcW w:w="3060" w:type="dxa"/>
            <w:tcBorders>
              <w:top w:val="single" w:color="000000" w:sz="4" w:space="0"/>
              <w:left w:val="single" w:color="000000" w:sz="4" w:space="0"/>
              <w:bottom w:val="single" w:color="000000" w:sz="4" w:space="0"/>
              <w:right w:val="single" w:color="000000" w:sz="4" w:space="0"/>
            </w:tcBorders>
            <w:vAlign w:val="center"/>
          </w:tcPr>
          <w:p w14:paraId="69E2B6BD">
            <w:pPr>
              <w:spacing w:line="288" w:lineRule="auto"/>
              <w:ind w:firstLine="0"/>
              <w:jc w:val="both"/>
              <w:rPr>
                <w:sz w:val="27"/>
                <w:highlight w:val="none"/>
              </w:rPr>
            </w:pPr>
            <w:r>
              <w:rPr>
                <w:rFonts w:hint="eastAsia" w:ascii="宋体" w:hAnsi="宋体" w:eastAsia="宋体"/>
                <w:color w:val="000000"/>
                <w:sz w:val="27"/>
                <w:highlight w:val="none"/>
              </w:rPr>
              <w:t>车辆配件</w:t>
            </w:r>
          </w:p>
        </w:tc>
        <w:tc>
          <w:tcPr>
            <w:tcW w:w="2140" w:type="dxa"/>
            <w:tcBorders>
              <w:top w:val="single" w:color="000000" w:sz="4" w:space="0"/>
              <w:left w:val="single" w:color="000000" w:sz="4" w:space="0"/>
              <w:bottom w:val="single" w:color="000000" w:sz="4" w:space="0"/>
              <w:right w:val="single" w:color="000000" w:sz="4" w:space="0"/>
            </w:tcBorders>
            <w:vAlign w:val="center"/>
          </w:tcPr>
          <w:p w14:paraId="1DBB729A">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5AA0B40">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6BEAA893">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126322EA">
            <w:pPr>
              <w:rPr>
                <w:highlight w:val="none"/>
              </w:rPr>
            </w:pPr>
          </w:p>
        </w:tc>
      </w:tr>
      <w:tr w14:paraId="0C949B4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14:paraId="44577416">
            <w:pPr>
              <w:spacing w:line="288" w:lineRule="auto"/>
              <w:jc w:val="center"/>
              <w:rPr>
                <w:sz w:val="27"/>
                <w:highlight w:val="none"/>
              </w:rPr>
            </w:pPr>
            <w:r>
              <w:rPr>
                <w:rFonts w:hint="eastAsia" w:ascii="Calibri" w:hAnsi="Calibri" w:eastAsia="Calibri"/>
                <w:color w:val="000000"/>
                <w:sz w:val="27"/>
                <w:highlight w:val="none"/>
              </w:rPr>
              <w:t>1.1</w:t>
            </w:r>
          </w:p>
        </w:tc>
        <w:tc>
          <w:tcPr>
            <w:tcW w:w="3060" w:type="dxa"/>
            <w:tcBorders>
              <w:top w:val="single" w:color="000000" w:sz="4" w:space="0"/>
              <w:left w:val="single" w:color="000000" w:sz="4" w:space="0"/>
              <w:bottom w:val="single" w:color="000000" w:sz="4" w:space="0"/>
              <w:right w:val="single" w:color="000000" w:sz="4" w:space="0"/>
            </w:tcBorders>
            <w:vAlign w:val="center"/>
          </w:tcPr>
          <w:p w14:paraId="7CAB6F2A">
            <w:pPr>
              <w:rPr>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14:paraId="0A601411">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2F1C9FF">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1E9FD94D">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319DD0E5">
            <w:pPr>
              <w:rPr>
                <w:highlight w:val="none"/>
              </w:rPr>
            </w:pPr>
          </w:p>
        </w:tc>
      </w:tr>
      <w:tr w14:paraId="74B4FD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14:paraId="6A771158">
            <w:pPr>
              <w:spacing w:line="288" w:lineRule="auto"/>
              <w:jc w:val="center"/>
              <w:rPr>
                <w:sz w:val="27"/>
                <w:highlight w:val="none"/>
              </w:rPr>
            </w:pPr>
            <w:r>
              <w:rPr>
                <w:rFonts w:hint="eastAsia" w:ascii="Calibri" w:hAnsi="Calibri" w:eastAsia="Calibri"/>
                <w:color w:val="000000"/>
                <w:sz w:val="27"/>
                <w:highlight w:val="none"/>
              </w:rPr>
              <w:t>1.2</w:t>
            </w:r>
          </w:p>
        </w:tc>
        <w:tc>
          <w:tcPr>
            <w:tcW w:w="3060" w:type="dxa"/>
            <w:tcBorders>
              <w:top w:val="single" w:color="000000" w:sz="4" w:space="0"/>
              <w:left w:val="single" w:color="000000" w:sz="4" w:space="0"/>
              <w:bottom w:val="single" w:color="000000" w:sz="4" w:space="0"/>
              <w:right w:val="single" w:color="000000" w:sz="4" w:space="0"/>
            </w:tcBorders>
            <w:vAlign w:val="center"/>
          </w:tcPr>
          <w:p w14:paraId="69D0D868">
            <w:pPr>
              <w:rPr>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14:paraId="3C176A13">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1636AF6">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5CF62DFA">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5AF6114B">
            <w:pPr>
              <w:rPr>
                <w:highlight w:val="none"/>
              </w:rPr>
            </w:pPr>
          </w:p>
        </w:tc>
      </w:tr>
      <w:tr w14:paraId="0EAAD28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14:paraId="74464F1F">
            <w:pPr>
              <w:jc w:val="center"/>
              <w:rPr>
                <w:highlight w:val="none"/>
              </w:rPr>
            </w:pPr>
            <w:r>
              <w:rPr>
                <w:b w:val="0"/>
                <w:bCs w:val="0"/>
                <w:color w:val="auto"/>
                <w:highlight w:val="none"/>
              </w:rPr>
              <w:t>...</w:t>
            </w:r>
          </w:p>
        </w:tc>
        <w:tc>
          <w:tcPr>
            <w:tcW w:w="3060" w:type="dxa"/>
            <w:tcBorders>
              <w:top w:val="single" w:color="000000" w:sz="4" w:space="0"/>
              <w:left w:val="single" w:color="000000" w:sz="4" w:space="0"/>
              <w:bottom w:val="single" w:color="000000" w:sz="4" w:space="0"/>
              <w:right w:val="single" w:color="000000" w:sz="4" w:space="0"/>
            </w:tcBorders>
            <w:vAlign w:val="center"/>
          </w:tcPr>
          <w:p w14:paraId="2A12654B">
            <w:pPr>
              <w:rPr>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14:paraId="7B4247AE">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B33BCF9">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11128BDC">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7F5E0AF8">
            <w:pPr>
              <w:rPr>
                <w:highlight w:val="none"/>
              </w:rPr>
            </w:pPr>
          </w:p>
        </w:tc>
      </w:tr>
      <w:tr w14:paraId="388E521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14:paraId="384CC6C9">
            <w:pPr>
              <w:spacing w:line="288" w:lineRule="auto"/>
              <w:jc w:val="center"/>
              <w:rPr>
                <w:sz w:val="27"/>
                <w:highlight w:val="none"/>
              </w:rPr>
            </w:pPr>
            <w:r>
              <w:rPr>
                <w:rFonts w:hint="eastAsia" w:ascii="Calibri" w:hAnsi="Calibri" w:eastAsia="Calibri"/>
                <w:color w:val="000000"/>
                <w:sz w:val="27"/>
                <w:highlight w:val="none"/>
              </w:rPr>
              <w:t>2</w:t>
            </w:r>
          </w:p>
        </w:tc>
        <w:tc>
          <w:tcPr>
            <w:tcW w:w="3060" w:type="dxa"/>
            <w:tcBorders>
              <w:top w:val="single" w:color="000000" w:sz="4" w:space="0"/>
              <w:left w:val="single" w:color="000000" w:sz="4" w:space="0"/>
              <w:bottom w:val="single" w:color="000000" w:sz="4" w:space="0"/>
              <w:right w:val="single" w:color="000000" w:sz="4" w:space="0"/>
            </w:tcBorders>
            <w:vAlign w:val="center"/>
          </w:tcPr>
          <w:p w14:paraId="0081EA28">
            <w:pPr>
              <w:spacing w:line="288" w:lineRule="auto"/>
              <w:ind w:firstLine="0"/>
              <w:jc w:val="both"/>
              <w:rPr>
                <w:sz w:val="27"/>
                <w:highlight w:val="none"/>
              </w:rPr>
            </w:pPr>
            <w:r>
              <w:rPr>
                <w:rFonts w:hint="eastAsia" w:ascii="宋体" w:hAnsi="宋体" w:eastAsia="宋体"/>
                <w:color w:val="000000"/>
                <w:sz w:val="27"/>
                <w:highlight w:val="none"/>
              </w:rPr>
              <w:t>安装调试费</w:t>
            </w:r>
          </w:p>
        </w:tc>
        <w:tc>
          <w:tcPr>
            <w:tcW w:w="2140" w:type="dxa"/>
            <w:tcBorders>
              <w:top w:val="single" w:color="000000" w:sz="4" w:space="0"/>
              <w:left w:val="single" w:color="000000" w:sz="4" w:space="0"/>
              <w:bottom w:val="single" w:color="000000" w:sz="4" w:space="0"/>
              <w:right w:val="single" w:color="000000" w:sz="4" w:space="0"/>
            </w:tcBorders>
            <w:vAlign w:val="center"/>
          </w:tcPr>
          <w:p w14:paraId="5C340F10">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8B84D13">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6C66C48C">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4227849C">
            <w:pPr>
              <w:rPr>
                <w:highlight w:val="none"/>
              </w:rPr>
            </w:pPr>
          </w:p>
        </w:tc>
      </w:tr>
      <w:tr w14:paraId="19FA6B6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14:paraId="02637074">
            <w:pPr>
              <w:spacing w:line="288" w:lineRule="auto"/>
              <w:jc w:val="center"/>
              <w:rPr>
                <w:sz w:val="27"/>
                <w:highlight w:val="none"/>
              </w:rPr>
            </w:pPr>
            <w:r>
              <w:rPr>
                <w:rFonts w:hint="eastAsia" w:ascii="Calibri" w:hAnsi="Calibri" w:eastAsia="Calibri"/>
                <w:color w:val="000000"/>
                <w:sz w:val="27"/>
                <w:highlight w:val="none"/>
              </w:rPr>
              <w:t>3</w:t>
            </w:r>
          </w:p>
        </w:tc>
        <w:tc>
          <w:tcPr>
            <w:tcW w:w="3060" w:type="dxa"/>
            <w:tcBorders>
              <w:top w:val="single" w:color="000000" w:sz="4" w:space="0"/>
              <w:left w:val="single" w:color="000000" w:sz="4" w:space="0"/>
              <w:bottom w:val="single" w:color="000000" w:sz="4" w:space="0"/>
              <w:right w:val="single" w:color="000000" w:sz="4" w:space="0"/>
            </w:tcBorders>
            <w:vAlign w:val="center"/>
          </w:tcPr>
          <w:p w14:paraId="0E1A04A3">
            <w:pPr>
              <w:spacing w:line="288" w:lineRule="auto"/>
              <w:ind w:firstLine="0"/>
              <w:jc w:val="both"/>
              <w:rPr>
                <w:sz w:val="27"/>
                <w:highlight w:val="none"/>
              </w:rPr>
            </w:pPr>
            <w:r>
              <w:rPr>
                <w:rFonts w:hint="eastAsia" w:ascii="宋体" w:hAnsi="宋体" w:eastAsia="宋体"/>
                <w:color w:val="000000"/>
                <w:sz w:val="27"/>
                <w:highlight w:val="none"/>
              </w:rPr>
              <w:t>首次保养</w:t>
            </w:r>
          </w:p>
        </w:tc>
        <w:tc>
          <w:tcPr>
            <w:tcW w:w="2140" w:type="dxa"/>
            <w:tcBorders>
              <w:top w:val="single" w:color="000000" w:sz="4" w:space="0"/>
              <w:left w:val="single" w:color="000000" w:sz="4" w:space="0"/>
              <w:bottom w:val="single" w:color="000000" w:sz="4" w:space="0"/>
              <w:right w:val="single" w:color="000000" w:sz="4" w:space="0"/>
            </w:tcBorders>
            <w:vAlign w:val="center"/>
          </w:tcPr>
          <w:p w14:paraId="06A78CBB">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6B3F44E">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50E7C996">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0A799562">
            <w:pPr>
              <w:rPr>
                <w:highlight w:val="none"/>
              </w:rPr>
            </w:pPr>
          </w:p>
        </w:tc>
      </w:tr>
      <w:tr w14:paraId="373F686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14:paraId="5254214A">
            <w:pPr>
              <w:spacing w:line="288" w:lineRule="auto"/>
              <w:jc w:val="center"/>
              <w:rPr>
                <w:sz w:val="27"/>
                <w:highlight w:val="none"/>
              </w:rPr>
            </w:pPr>
            <w:r>
              <w:rPr>
                <w:rFonts w:hint="eastAsia" w:ascii="Calibri" w:hAnsi="Calibri" w:eastAsia="Calibri"/>
                <w:color w:val="000000"/>
                <w:sz w:val="27"/>
                <w:highlight w:val="none"/>
              </w:rPr>
              <w:t>1</w:t>
            </w:r>
          </w:p>
        </w:tc>
        <w:tc>
          <w:tcPr>
            <w:tcW w:w="3060" w:type="dxa"/>
            <w:tcBorders>
              <w:top w:val="single" w:color="000000" w:sz="4" w:space="0"/>
              <w:left w:val="single" w:color="000000" w:sz="4" w:space="0"/>
              <w:bottom w:val="single" w:color="000000" w:sz="4" w:space="0"/>
              <w:right w:val="single" w:color="000000" w:sz="4" w:space="0"/>
            </w:tcBorders>
            <w:vAlign w:val="center"/>
          </w:tcPr>
          <w:p w14:paraId="3F34397C">
            <w:pPr>
              <w:spacing w:line="288" w:lineRule="auto"/>
              <w:ind w:firstLine="0"/>
              <w:jc w:val="both"/>
              <w:rPr>
                <w:sz w:val="27"/>
                <w:highlight w:val="none"/>
              </w:rPr>
            </w:pPr>
            <w:r>
              <w:rPr>
                <w:rFonts w:hint="eastAsia" w:ascii="宋体" w:hAnsi="宋体" w:eastAsia="宋体"/>
                <w:color w:val="000000"/>
                <w:sz w:val="27"/>
                <w:highlight w:val="none"/>
              </w:rPr>
              <w:t>其它费用</w:t>
            </w:r>
          </w:p>
        </w:tc>
        <w:tc>
          <w:tcPr>
            <w:tcW w:w="2140" w:type="dxa"/>
            <w:tcBorders>
              <w:top w:val="single" w:color="000000" w:sz="4" w:space="0"/>
              <w:left w:val="single" w:color="000000" w:sz="4" w:space="0"/>
              <w:bottom w:val="single" w:color="000000" w:sz="4" w:space="0"/>
              <w:right w:val="single" w:color="000000" w:sz="4" w:space="0"/>
            </w:tcBorders>
            <w:vAlign w:val="center"/>
          </w:tcPr>
          <w:p w14:paraId="506A748D">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6C8C1FE">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7AC75030">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5C0D0D7F">
            <w:pPr>
              <w:rPr>
                <w:highlight w:val="none"/>
              </w:rPr>
            </w:pPr>
          </w:p>
        </w:tc>
      </w:tr>
      <w:tr w14:paraId="770967C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14:paraId="0B0A3CAC">
            <w:pPr>
              <w:spacing w:line="288" w:lineRule="auto"/>
              <w:jc w:val="center"/>
              <w:rPr>
                <w:sz w:val="27"/>
                <w:highlight w:val="none"/>
              </w:rPr>
            </w:pPr>
            <w:r>
              <w:rPr>
                <w:rFonts w:hint="eastAsia" w:ascii="Calibri" w:hAnsi="Calibri" w:eastAsia="Calibri"/>
                <w:color w:val="000000"/>
                <w:sz w:val="27"/>
                <w:highlight w:val="none"/>
              </w:rPr>
              <w:t>5</w:t>
            </w:r>
          </w:p>
        </w:tc>
        <w:tc>
          <w:tcPr>
            <w:tcW w:w="3060" w:type="dxa"/>
            <w:tcBorders>
              <w:top w:val="single" w:color="000000" w:sz="4" w:space="0"/>
              <w:left w:val="single" w:color="000000" w:sz="4" w:space="0"/>
              <w:bottom w:val="single" w:color="000000" w:sz="4" w:space="0"/>
              <w:right w:val="single" w:color="000000" w:sz="4" w:space="0"/>
            </w:tcBorders>
            <w:vAlign w:val="center"/>
          </w:tcPr>
          <w:p w14:paraId="14903740">
            <w:pPr>
              <w:spacing w:line="288" w:lineRule="auto"/>
              <w:ind w:firstLine="0"/>
              <w:jc w:val="both"/>
              <w:rPr>
                <w:rFonts w:hint="eastAsia" w:eastAsia="宋体"/>
                <w:sz w:val="27"/>
                <w:highlight w:val="none"/>
                <w:lang w:val="en-US" w:eastAsia="zh-CN"/>
              </w:rPr>
            </w:pPr>
            <w:r>
              <w:rPr>
                <w:b w:val="0"/>
                <w:bCs w:val="0"/>
                <w:color w:val="auto"/>
                <w:highlight w:val="none"/>
              </w:rPr>
              <w:t>...</w:t>
            </w:r>
          </w:p>
        </w:tc>
        <w:tc>
          <w:tcPr>
            <w:tcW w:w="2140" w:type="dxa"/>
            <w:tcBorders>
              <w:top w:val="single" w:color="000000" w:sz="4" w:space="0"/>
              <w:left w:val="single" w:color="000000" w:sz="4" w:space="0"/>
              <w:bottom w:val="single" w:color="000000" w:sz="4" w:space="0"/>
              <w:right w:val="single" w:color="000000" w:sz="4" w:space="0"/>
            </w:tcBorders>
            <w:vAlign w:val="center"/>
          </w:tcPr>
          <w:p w14:paraId="624A80D1">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AF29958">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31B99284">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73D81DFA">
            <w:pPr>
              <w:rPr>
                <w:highlight w:val="none"/>
              </w:rPr>
            </w:pPr>
          </w:p>
        </w:tc>
      </w:tr>
      <w:tr w14:paraId="7D7932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jc w:val="center"/>
        </w:trPr>
        <w:tc>
          <w:tcPr>
            <w:tcW w:w="4180" w:type="dxa"/>
            <w:gridSpan w:val="2"/>
            <w:tcBorders>
              <w:top w:val="single" w:color="000000" w:sz="4" w:space="0"/>
              <w:left w:val="single" w:color="000000" w:sz="4" w:space="0"/>
              <w:bottom w:val="single" w:color="000000" w:sz="4" w:space="0"/>
              <w:right w:val="single" w:color="000000" w:sz="4" w:space="0"/>
            </w:tcBorders>
            <w:vAlign w:val="center"/>
          </w:tcPr>
          <w:p w14:paraId="40F886BB">
            <w:pPr>
              <w:spacing w:line="288" w:lineRule="auto"/>
              <w:jc w:val="center"/>
              <w:rPr>
                <w:sz w:val="27"/>
                <w:highlight w:val="none"/>
              </w:rPr>
            </w:pPr>
            <w:r>
              <w:rPr>
                <w:rFonts w:hint="eastAsia" w:ascii="宋体" w:hAnsi="宋体" w:eastAsia="宋体"/>
                <w:color w:val="000000"/>
                <w:sz w:val="27"/>
                <w:highlight w:val="none"/>
              </w:rPr>
              <w:t>合计金额</w:t>
            </w:r>
          </w:p>
        </w:tc>
        <w:tc>
          <w:tcPr>
            <w:tcW w:w="6180" w:type="dxa"/>
            <w:gridSpan w:val="4"/>
            <w:tcBorders>
              <w:top w:val="single" w:color="000000" w:sz="4" w:space="0"/>
              <w:left w:val="single" w:color="000000" w:sz="4" w:space="0"/>
              <w:bottom w:val="single" w:color="000000" w:sz="4" w:space="0"/>
              <w:right w:val="single" w:color="000000" w:sz="4" w:space="0"/>
            </w:tcBorders>
            <w:vAlign w:val="center"/>
          </w:tcPr>
          <w:p w14:paraId="0FCD9515">
            <w:pPr>
              <w:spacing w:line="288" w:lineRule="auto"/>
              <w:ind w:firstLine="0"/>
              <w:jc w:val="both"/>
              <w:rPr>
                <w:sz w:val="27"/>
                <w:highlight w:val="none"/>
              </w:rPr>
            </w:pPr>
            <w:r>
              <w:rPr>
                <w:rFonts w:hint="eastAsia" w:ascii="宋体" w:hAnsi="宋体" w:eastAsia="宋体"/>
                <w:color w:val="000000"/>
                <w:sz w:val="27"/>
                <w:highlight w:val="none"/>
              </w:rPr>
              <w:t>小写：    大写：</w:t>
            </w:r>
          </w:p>
        </w:tc>
      </w:tr>
    </w:tbl>
    <w:p w14:paraId="1B73CEC5">
      <w:pPr>
        <w:spacing w:line="360" w:lineRule="auto"/>
        <w:ind w:firstLine="620"/>
        <w:jc w:val="both"/>
        <w:rPr>
          <w:sz w:val="21"/>
          <w:szCs w:val="21"/>
          <w:highlight w:val="none"/>
        </w:rPr>
      </w:pPr>
      <w:r>
        <w:rPr>
          <w:rFonts w:hint="eastAsia" w:ascii="宋体" w:hAnsi="宋体" w:eastAsia="宋体"/>
          <w:color w:val="000000"/>
          <w:sz w:val="21"/>
          <w:szCs w:val="21"/>
          <w:highlight w:val="none"/>
        </w:rPr>
        <w:t>注：</w:t>
      </w:r>
      <w:r>
        <w:rPr>
          <w:rFonts w:hint="eastAsia" w:ascii="Calibri" w:hAnsi="Calibri" w:eastAsia="Calibri"/>
          <w:color w:val="000000"/>
          <w:sz w:val="21"/>
          <w:szCs w:val="21"/>
          <w:highlight w:val="none"/>
        </w:rPr>
        <w:t>1</w:t>
      </w:r>
      <w:r>
        <w:rPr>
          <w:rFonts w:hint="eastAsia" w:ascii="宋体" w:hAnsi="宋体" w:eastAsia="宋体"/>
          <w:color w:val="000000"/>
          <w:sz w:val="21"/>
          <w:szCs w:val="21"/>
          <w:highlight w:val="none"/>
        </w:rPr>
        <w:t>、请在左上角注明投标车辆型号；</w:t>
      </w:r>
    </w:p>
    <w:p w14:paraId="6F5930F1">
      <w:pPr>
        <w:spacing w:line="360" w:lineRule="auto"/>
        <w:ind w:firstLine="620"/>
        <w:jc w:val="both"/>
        <w:rPr>
          <w:sz w:val="21"/>
          <w:szCs w:val="21"/>
          <w:highlight w:val="none"/>
        </w:rPr>
      </w:pPr>
      <w:r>
        <w:rPr>
          <w:rFonts w:hint="eastAsia" w:ascii="Calibri" w:hAnsi="Calibri" w:eastAsia="Calibri"/>
          <w:color w:val="000000"/>
          <w:sz w:val="21"/>
          <w:szCs w:val="21"/>
          <w:highlight w:val="none"/>
        </w:rPr>
        <w:t>2</w:t>
      </w:r>
      <w:r>
        <w:rPr>
          <w:rFonts w:hint="eastAsia" w:ascii="宋体" w:hAnsi="宋体" w:eastAsia="宋体"/>
          <w:color w:val="000000"/>
          <w:sz w:val="21"/>
          <w:szCs w:val="21"/>
          <w:highlight w:val="none"/>
        </w:rPr>
        <w:t>．表中根据所投货物类型分项列明底盘、其他主要设备和安装调试费、首次保养及其他费用等的分项报价，合计金额应当与</w:t>
      </w:r>
      <w:r>
        <w:rPr>
          <w:rFonts w:hint="eastAsia" w:ascii="Calibri" w:hAnsi="Calibri" w:eastAsia="Calibri"/>
          <w:color w:val="000000"/>
          <w:sz w:val="21"/>
          <w:szCs w:val="21"/>
          <w:highlight w:val="none"/>
        </w:rPr>
        <w:t>2</w:t>
      </w:r>
      <w:r>
        <w:rPr>
          <w:rFonts w:hint="eastAsia" w:ascii="宋体" w:hAnsi="宋体" w:eastAsia="宋体"/>
          <w:color w:val="000000"/>
          <w:sz w:val="21"/>
          <w:szCs w:val="21"/>
          <w:highlight w:val="none"/>
        </w:rPr>
        <w:t>.</w:t>
      </w:r>
      <w:r>
        <w:rPr>
          <w:rFonts w:hint="eastAsia" w:ascii="Calibri" w:hAnsi="Calibri" w:eastAsia="Calibri"/>
          <w:color w:val="000000"/>
          <w:sz w:val="21"/>
          <w:szCs w:val="21"/>
          <w:highlight w:val="none"/>
        </w:rPr>
        <w:t>1</w:t>
      </w:r>
      <w:r>
        <w:rPr>
          <w:rFonts w:hint="eastAsia" w:ascii="宋体" w:hAnsi="宋体" w:eastAsia="宋体"/>
          <w:color w:val="000000"/>
          <w:sz w:val="21"/>
          <w:szCs w:val="21"/>
          <w:highlight w:val="none"/>
        </w:rPr>
        <w:t>车辆报价表中同类型货物单价相同；</w:t>
      </w:r>
    </w:p>
    <w:p w14:paraId="4C88FAC3">
      <w:pPr>
        <w:spacing w:line="360" w:lineRule="auto"/>
        <w:ind w:firstLine="620"/>
        <w:jc w:val="both"/>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3．所有货物的价格应包含货物及配置产品的设计、采购、制造、检测、试验、包装、运输、保险、税费和原厂服务内容的检验、验收、技术服务（包括技术资料、图纸的提供）、全部的辅助材料费用、安装费、招标代理服务费、首保费、质保期保障等的全部费用。所有价格均应以人民币报价，金额单位为元；</w:t>
      </w:r>
    </w:p>
    <w:p w14:paraId="4D721FFC">
      <w:pPr>
        <w:spacing w:line="360" w:lineRule="auto"/>
        <w:ind w:firstLine="620"/>
        <w:jc w:val="both"/>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4．投标人在编写投标文件时，如果遇到技术参数内的产品名称／设备名称与投标产品的商品名称不一致的，须在“备注”内写明商品名称。</w:t>
      </w:r>
    </w:p>
    <w:p w14:paraId="1E7960E6">
      <w:pPr>
        <w:pStyle w:val="7"/>
        <w:spacing w:before="2" w:line="360" w:lineRule="auto"/>
        <w:rPr>
          <w:color w:val="auto"/>
          <w:sz w:val="19"/>
          <w:highlight w:val="none"/>
        </w:rPr>
      </w:pPr>
    </w:p>
    <w:p w14:paraId="09EFBBC9">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7005B8E5">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69CBEA9C">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4618C61F">
      <w:pPr>
        <w:rPr>
          <w:rFonts w:hint="eastAsia"/>
          <w:highlight w:val="none"/>
        </w:rPr>
      </w:pPr>
      <w:bookmarkStart w:id="489" w:name="_Toc75"/>
    </w:p>
    <w:p w14:paraId="551093D2">
      <w:pPr>
        <w:rPr>
          <w:rFonts w:hint="eastAsia"/>
          <w:highlight w:val="none"/>
        </w:rPr>
      </w:pPr>
    </w:p>
    <w:p w14:paraId="794BD4D1">
      <w:pPr>
        <w:rPr>
          <w:rFonts w:hint="eastAsia"/>
          <w:highlight w:val="none"/>
        </w:rPr>
      </w:pPr>
    </w:p>
    <w:p w14:paraId="2D3F09EA">
      <w:pPr>
        <w:rPr>
          <w:rFonts w:hint="eastAsia"/>
          <w:highlight w:val="none"/>
        </w:rPr>
      </w:pPr>
    </w:p>
    <w:p w14:paraId="262AEAA6">
      <w:pPr>
        <w:rPr>
          <w:rFonts w:hint="eastAsia"/>
          <w:highlight w:val="none"/>
        </w:rPr>
      </w:pPr>
    </w:p>
    <w:p w14:paraId="4F040201">
      <w:pPr>
        <w:rPr>
          <w:rFonts w:hint="eastAsia"/>
          <w:highlight w:val="none"/>
        </w:rPr>
      </w:pPr>
    </w:p>
    <w:p w14:paraId="7AF4CC0E">
      <w:pPr>
        <w:rPr>
          <w:rFonts w:hint="eastAsia"/>
          <w:highlight w:val="none"/>
        </w:rPr>
      </w:pPr>
    </w:p>
    <w:p w14:paraId="65D2D8F1">
      <w:pPr>
        <w:rPr>
          <w:rFonts w:hint="eastAsia"/>
          <w:highlight w:val="none"/>
        </w:rPr>
      </w:pPr>
    </w:p>
    <w:p w14:paraId="09938BA1">
      <w:pPr>
        <w:rPr>
          <w:rFonts w:hint="eastAsia"/>
          <w:highlight w:val="none"/>
        </w:rPr>
      </w:pPr>
    </w:p>
    <w:p w14:paraId="404FEA33">
      <w:pPr>
        <w:rPr>
          <w:rFonts w:hint="eastAsia"/>
          <w:highlight w:val="none"/>
        </w:rPr>
      </w:pPr>
    </w:p>
    <w:p w14:paraId="46B1A0B0">
      <w:pPr>
        <w:rPr>
          <w:rFonts w:hint="eastAsia"/>
          <w:highlight w:val="none"/>
        </w:rPr>
      </w:pPr>
    </w:p>
    <w:p w14:paraId="78E783F5">
      <w:pPr>
        <w:rPr>
          <w:rFonts w:hint="eastAsia"/>
          <w:highlight w:val="none"/>
        </w:rPr>
      </w:pPr>
    </w:p>
    <w:p w14:paraId="5DD194FD">
      <w:pPr>
        <w:spacing w:before="54" w:line="360" w:lineRule="auto"/>
        <w:ind w:left="6"/>
        <w:jc w:val="center"/>
        <w:outlineLvl w:val="1"/>
        <w:rPr>
          <w:b/>
          <w:color w:val="auto"/>
          <w:w w:val="95"/>
          <w:sz w:val="32"/>
          <w:highlight w:val="none"/>
        </w:rPr>
      </w:pPr>
      <w:bookmarkStart w:id="490" w:name="_Toc30616"/>
      <w:bookmarkStart w:id="491" w:name="_Toc9250"/>
      <w:r>
        <w:rPr>
          <w:rFonts w:hint="eastAsia"/>
          <w:b/>
          <w:color w:val="auto"/>
          <w:w w:val="95"/>
          <w:sz w:val="32"/>
          <w:highlight w:val="none"/>
        </w:rPr>
        <w:t>二、法定代表人身份证明</w:t>
      </w:r>
      <w:bookmarkEnd w:id="489"/>
      <w:bookmarkEnd w:id="490"/>
      <w:bookmarkEnd w:id="491"/>
    </w:p>
    <w:p w14:paraId="7328EACE">
      <w:pPr>
        <w:pStyle w:val="7"/>
        <w:spacing w:line="360" w:lineRule="auto"/>
        <w:rPr>
          <w:b/>
          <w:color w:val="auto"/>
          <w:sz w:val="32"/>
          <w:highlight w:val="none"/>
        </w:rPr>
      </w:pPr>
    </w:p>
    <w:p w14:paraId="42C7D844">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w:t>
      </w:r>
      <w:r>
        <w:rPr>
          <w:rFonts w:ascii="宋体" w:hAnsi="宋体" w:cs="宋体"/>
          <w:color w:val="auto"/>
          <w:sz w:val="24"/>
          <w:szCs w:val="32"/>
          <w:highlight w:val="none"/>
          <w:u w:val="single"/>
        </w:rPr>
        <w:t xml:space="preserve">                         </w:t>
      </w:r>
    </w:p>
    <w:p w14:paraId="7B0A81C9">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单位性质：</w:t>
      </w:r>
      <w:r>
        <w:rPr>
          <w:rFonts w:ascii="宋体" w:hAnsi="宋体" w:cs="宋体"/>
          <w:color w:val="auto"/>
          <w:sz w:val="24"/>
          <w:szCs w:val="32"/>
          <w:highlight w:val="none"/>
          <w:u w:val="single"/>
        </w:rPr>
        <w:t xml:space="preserve">                           </w:t>
      </w:r>
    </w:p>
    <w:p w14:paraId="64D5EA76">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地址：</w:t>
      </w:r>
      <w:r>
        <w:rPr>
          <w:rFonts w:ascii="宋体" w:hAnsi="宋体" w:cs="宋体"/>
          <w:color w:val="auto"/>
          <w:sz w:val="24"/>
          <w:szCs w:val="32"/>
          <w:highlight w:val="none"/>
          <w:u w:val="single"/>
        </w:rPr>
        <w:t xml:space="preserve">                               </w:t>
      </w:r>
    </w:p>
    <w:p w14:paraId="11F8CDFA">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成立时间：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月</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日</w:t>
      </w:r>
    </w:p>
    <w:p w14:paraId="3CFACEEF">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经营期限：</w:t>
      </w:r>
      <w:r>
        <w:rPr>
          <w:rFonts w:ascii="宋体" w:hAnsi="宋体" w:cs="宋体"/>
          <w:color w:val="auto"/>
          <w:sz w:val="24"/>
          <w:szCs w:val="32"/>
          <w:highlight w:val="none"/>
          <w:u w:val="single"/>
        </w:rPr>
        <w:t xml:space="preserve">                           </w:t>
      </w:r>
    </w:p>
    <w:p w14:paraId="7A977325">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姓名：</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性别：</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年龄：</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职务：</w:t>
      </w:r>
      <w:r>
        <w:rPr>
          <w:rFonts w:ascii="宋体" w:hAnsi="宋体" w:cs="宋体"/>
          <w:color w:val="auto"/>
          <w:sz w:val="24"/>
          <w:szCs w:val="32"/>
          <w:highlight w:val="none"/>
          <w:u w:val="single"/>
        </w:rPr>
        <w:t xml:space="preserve">          </w:t>
      </w:r>
    </w:p>
    <w:p w14:paraId="14A7F104">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系</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w:t>
      </w: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名称）的法定代表人。</w:t>
      </w:r>
    </w:p>
    <w:p w14:paraId="7C2842FF">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特此证明。</w:t>
      </w:r>
    </w:p>
    <w:p w14:paraId="6F8CF31E">
      <w:pPr>
        <w:adjustRightInd w:val="0"/>
        <w:snapToGrid w:val="0"/>
        <w:spacing w:line="360" w:lineRule="auto"/>
        <w:ind w:right="-82" w:rightChars="-39"/>
        <w:jc w:val="left"/>
        <w:rPr>
          <w:rFonts w:ascii="宋体" w:cs="宋体"/>
          <w:color w:val="auto"/>
          <w:sz w:val="24"/>
          <w:highlight w:val="none"/>
        </w:rPr>
      </w:pPr>
    </w:p>
    <w:p w14:paraId="3AE4BDAF">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附：法定代表人身份证复印件（或扫描件），正反面。</w:t>
      </w:r>
    </w:p>
    <w:p w14:paraId="7299CE73">
      <w:pPr>
        <w:pStyle w:val="7"/>
        <w:spacing w:line="360" w:lineRule="auto"/>
        <w:rPr>
          <w:color w:val="auto"/>
          <w:highlight w:val="none"/>
        </w:rPr>
      </w:pPr>
    </w:p>
    <w:p w14:paraId="5EC9A233">
      <w:pPr>
        <w:pStyle w:val="7"/>
        <w:spacing w:line="360" w:lineRule="auto"/>
        <w:rPr>
          <w:color w:val="auto"/>
          <w:highlight w:val="none"/>
        </w:rPr>
      </w:pPr>
    </w:p>
    <w:p w14:paraId="667A428A">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5A525F58">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7F1B7407">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2C14F798">
      <w:pPr>
        <w:pStyle w:val="12"/>
        <w:spacing w:line="360" w:lineRule="auto"/>
        <w:ind w:left="0" w:leftChars="0" w:right="31680" w:firstLine="0" w:firstLineChars="0"/>
        <w:rPr>
          <w:color w:val="auto"/>
          <w:highlight w:val="none"/>
        </w:rPr>
      </w:pPr>
    </w:p>
    <w:p w14:paraId="2E2A4352">
      <w:pPr>
        <w:pStyle w:val="12"/>
        <w:spacing w:line="360" w:lineRule="auto"/>
        <w:ind w:left="0" w:leftChars="0" w:right="31680" w:firstLine="0" w:firstLineChars="0"/>
        <w:rPr>
          <w:color w:val="auto"/>
          <w:highlight w:val="none"/>
        </w:rPr>
      </w:pPr>
    </w:p>
    <w:p w14:paraId="5107D3F0">
      <w:pPr>
        <w:pStyle w:val="12"/>
        <w:spacing w:line="360" w:lineRule="auto"/>
        <w:ind w:left="0" w:leftChars="0" w:right="31680" w:firstLine="0" w:firstLineChars="0"/>
        <w:rPr>
          <w:color w:val="auto"/>
          <w:highlight w:val="none"/>
        </w:rPr>
      </w:pPr>
    </w:p>
    <w:p w14:paraId="03B0E959">
      <w:pPr>
        <w:pStyle w:val="12"/>
        <w:spacing w:line="360" w:lineRule="auto"/>
        <w:ind w:left="0" w:leftChars="0" w:right="31680" w:firstLine="0" w:firstLineChars="0"/>
        <w:rPr>
          <w:color w:val="auto"/>
          <w:highlight w:val="none"/>
        </w:rPr>
      </w:pPr>
    </w:p>
    <w:p w14:paraId="4E43FC67">
      <w:pPr>
        <w:pStyle w:val="12"/>
        <w:spacing w:line="360" w:lineRule="auto"/>
        <w:ind w:left="0" w:leftChars="0" w:right="31680" w:firstLine="0" w:firstLineChars="0"/>
        <w:rPr>
          <w:color w:val="auto"/>
          <w:highlight w:val="none"/>
        </w:rPr>
      </w:pPr>
    </w:p>
    <w:p w14:paraId="3FF5E4D9">
      <w:pPr>
        <w:pStyle w:val="12"/>
        <w:spacing w:line="360" w:lineRule="auto"/>
        <w:ind w:left="0" w:leftChars="0" w:right="31680" w:firstLine="0" w:firstLineChars="0"/>
        <w:rPr>
          <w:color w:val="auto"/>
          <w:highlight w:val="none"/>
        </w:rPr>
      </w:pPr>
    </w:p>
    <w:p w14:paraId="674EE390">
      <w:pPr>
        <w:pStyle w:val="12"/>
        <w:spacing w:line="360" w:lineRule="auto"/>
        <w:ind w:left="0" w:leftChars="0" w:right="31680" w:firstLine="0" w:firstLineChars="0"/>
        <w:rPr>
          <w:color w:val="auto"/>
          <w:highlight w:val="none"/>
        </w:rPr>
      </w:pPr>
    </w:p>
    <w:p w14:paraId="322088A8">
      <w:pPr>
        <w:pStyle w:val="12"/>
        <w:spacing w:line="360" w:lineRule="auto"/>
        <w:ind w:left="0" w:leftChars="0" w:right="31680" w:firstLine="0" w:firstLineChars="0"/>
        <w:rPr>
          <w:color w:val="auto"/>
          <w:highlight w:val="none"/>
        </w:rPr>
      </w:pPr>
    </w:p>
    <w:p w14:paraId="6AF5BEFE">
      <w:pPr>
        <w:pStyle w:val="12"/>
        <w:spacing w:line="360" w:lineRule="auto"/>
        <w:ind w:left="0" w:leftChars="0" w:right="31680" w:firstLine="0" w:firstLineChars="0"/>
        <w:rPr>
          <w:color w:val="auto"/>
          <w:highlight w:val="none"/>
        </w:rPr>
      </w:pPr>
    </w:p>
    <w:p w14:paraId="299020D3">
      <w:pPr>
        <w:pStyle w:val="12"/>
        <w:spacing w:line="360" w:lineRule="auto"/>
        <w:ind w:left="0" w:leftChars="0" w:right="31680" w:firstLine="0" w:firstLineChars="0"/>
        <w:rPr>
          <w:color w:val="auto"/>
          <w:highlight w:val="none"/>
        </w:rPr>
      </w:pPr>
    </w:p>
    <w:p w14:paraId="2A8F81ED">
      <w:pPr>
        <w:pStyle w:val="12"/>
        <w:spacing w:line="360" w:lineRule="auto"/>
        <w:ind w:left="0" w:leftChars="0" w:right="31680" w:firstLine="0" w:firstLineChars="0"/>
        <w:rPr>
          <w:color w:val="auto"/>
          <w:highlight w:val="none"/>
        </w:rPr>
      </w:pPr>
    </w:p>
    <w:p w14:paraId="33187373">
      <w:pPr>
        <w:spacing w:before="54" w:line="360" w:lineRule="auto"/>
        <w:ind w:left="6"/>
        <w:jc w:val="center"/>
        <w:outlineLvl w:val="1"/>
        <w:rPr>
          <w:b/>
          <w:color w:val="auto"/>
          <w:w w:val="95"/>
          <w:sz w:val="32"/>
          <w:highlight w:val="none"/>
        </w:rPr>
      </w:pPr>
      <w:bookmarkStart w:id="492" w:name="_Toc13725"/>
      <w:bookmarkStart w:id="493" w:name="_Toc30731"/>
      <w:bookmarkStart w:id="494" w:name="_Toc27272"/>
      <w:r>
        <w:rPr>
          <w:rFonts w:hint="eastAsia"/>
          <w:b/>
          <w:color w:val="auto"/>
          <w:w w:val="95"/>
          <w:sz w:val="32"/>
          <w:highlight w:val="none"/>
        </w:rPr>
        <w:t>三、授权委托书</w:t>
      </w:r>
      <w:bookmarkEnd w:id="492"/>
      <w:bookmarkEnd w:id="493"/>
      <w:bookmarkEnd w:id="494"/>
    </w:p>
    <w:p w14:paraId="69AFF4E5">
      <w:pPr>
        <w:snapToGrid w:val="0"/>
        <w:spacing w:line="360" w:lineRule="auto"/>
        <w:ind w:right="-1" w:firstLine="480" w:firstLineChars="200"/>
        <w:jc w:val="left"/>
        <w:rPr>
          <w:rFonts w:ascii="宋体" w:cs="宋体"/>
          <w:color w:val="auto"/>
          <w:sz w:val="24"/>
          <w:highlight w:val="none"/>
        </w:rPr>
      </w:pPr>
      <w:r>
        <w:rPr>
          <w:rFonts w:hint="eastAsia" w:ascii="宋体" w:hAnsi="宋体" w:cs="宋体"/>
          <w:color w:val="auto"/>
          <w:sz w:val="24"/>
          <w:highlight w:val="none"/>
        </w:rPr>
        <w:t>本人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系</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投标人</w:t>
      </w:r>
      <w:r>
        <w:rPr>
          <w:rFonts w:hint="eastAsia" w:ascii="宋体" w:hAnsi="宋体" w:cs="宋体"/>
          <w:color w:val="auto"/>
          <w:sz w:val="24"/>
          <w:highlight w:val="none"/>
          <w:u w:val="single"/>
        </w:rPr>
        <w:t>名称）</w:t>
      </w:r>
      <w:r>
        <w:rPr>
          <w:rFonts w:ascii="宋体" w:hAnsi="宋体" w:cs="宋体"/>
          <w:color w:val="auto"/>
          <w:sz w:val="24"/>
          <w:highlight w:val="none"/>
          <w:u w:val="single"/>
        </w:rPr>
        <w:t xml:space="preserve"> </w:t>
      </w:r>
      <w:r>
        <w:rPr>
          <w:rFonts w:hint="eastAsia" w:ascii="宋体" w:hAnsi="宋体" w:cs="宋体"/>
          <w:color w:val="auto"/>
          <w:sz w:val="24"/>
          <w:highlight w:val="none"/>
        </w:rPr>
        <w:t>的法定代表人，现委托</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为我方代理人。代理人根据授权，以我方名义签署、澄清、说明、补正、递交、撤回、修改</w:t>
      </w:r>
      <w:r>
        <w:rPr>
          <w:rFonts w:ascii="宋体" w:hAnsi="宋体" w:cs="宋体"/>
          <w:color w:val="auto"/>
          <w:sz w:val="24"/>
          <w:highlight w:val="none"/>
          <w:u w:val="single"/>
        </w:rPr>
        <w:t xml:space="preserve"> </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（项目编号）（包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sz w:val="24"/>
          <w:highlight w:val="none"/>
        </w:rPr>
        <w:t>投标文件、签订合同和处理有关事宜，其法律后果由我方承担。</w:t>
      </w:r>
    </w:p>
    <w:p w14:paraId="2DD2BB97">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委托期限：</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自签署之日起至投标有效期结束。</w:t>
      </w:r>
      <w:r>
        <w:rPr>
          <w:rFonts w:ascii="宋体" w:hAnsi="宋体" w:cs="宋体"/>
          <w:color w:val="auto"/>
          <w:sz w:val="24"/>
          <w:highlight w:val="none"/>
          <w:u w:val="single"/>
        </w:rPr>
        <w:t xml:space="preserve"> </w:t>
      </w:r>
    </w:p>
    <w:p w14:paraId="487BD101">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代理人无转委托权。</w:t>
      </w:r>
    </w:p>
    <w:p w14:paraId="7FF68AD4">
      <w:pPr>
        <w:snapToGrid w:val="0"/>
        <w:spacing w:line="360" w:lineRule="auto"/>
        <w:ind w:firstLine="480" w:firstLineChars="200"/>
        <w:jc w:val="left"/>
        <w:rPr>
          <w:rFonts w:ascii="宋体" w:cs="宋体"/>
          <w:color w:val="auto"/>
          <w:sz w:val="24"/>
          <w:highlight w:val="none"/>
        </w:rPr>
      </w:pPr>
    </w:p>
    <w:p w14:paraId="78987365">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szCs w:val="32"/>
          <w:highlight w:val="none"/>
        </w:rPr>
        <w:t>法定代表人及委托代理人身份证复印件（或扫描件），正反面。</w:t>
      </w:r>
    </w:p>
    <w:p w14:paraId="574E7A44">
      <w:pPr>
        <w:snapToGrid w:val="0"/>
        <w:spacing w:line="360" w:lineRule="auto"/>
        <w:jc w:val="left"/>
        <w:rPr>
          <w:rFonts w:ascii="宋体" w:cs="宋体"/>
          <w:color w:val="auto"/>
          <w:sz w:val="24"/>
          <w:highlight w:val="none"/>
        </w:rPr>
      </w:pPr>
    </w:p>
    <w:p w14:paraId="672FC2EC">
      <w:pPr>
        <w:snapToGrid w:val="0"/>
        <w:spacing w:line="360" w:lineRule="auto"/>
        <w:jc w:val="left"/>
        <w:rPr>
          <w:rFonts w:ascii="宋体" w:cs="宋体"/>
          <w:color w:val="auto"/>
          <w:sz w:val="24"/>
          <w:highlight w:val="none"/>
        </w:rPr>
      </w:pPr>
    </w:p>
    <w:p w14:paraId="2DFCA786">
      <w:pPr>
        <w:snapToGrid w:val="0"/>
        <w:spacing w:line="360" w:lineRule="auto"/>
        <w:jc w:val="left"/>
        <w:rPr>
          <w:rFonts w:ascii="宋体" w:cs="宋体"/>
          <w:color w:val="auto"/>
          <w:sz w:val="24"/>
          <w:highlight w:val="none"/>
        </w:rPr>
      </w:pPr>
    </w:p>
    <w:p w14:paraId="6B1FD412">
      <w:pPr>
        <w:snapToGrid w:val="0"/>
        <w:spacing w:line="360" w:lineRule="auto"/>
        <w:jc w:val="left"/>
        <w:rPr>
          <w:rFonts w:ascii="宋体" w:cs="宋体"/>
          <w:color w:val="auto"/>
          <w:sz w:val="24"/>
          <w:highlight w:val="none"/>
        </w:rPr>
      </w:pPr>
    </w:p>
    <w:p w14:paraId="5876F59F">
      <w:pPr>
        <w:snapToGrid w:val="0"/>
        <w:spacing w:line="360" w:lineRule="auto"/>
        <w:jc w:val="left"/>
        <w:rPr>
          <w:rFonts w:ascii="宋体" w:cs="宋体"/>
          <w:color w:val="auto"/>
          <w:sz w:val="24"/>
          <w:highlight w:val="none"/>
        </w:rPr>
      </w:pPr>
    </w:p>
    <w:p w14:paraId="271A39CB">
      <w:pPr>
        <w:snapToGrid w:val="0"/>
        <w:spacing w:line="360" w:lineRule="auto"/>
        <w:jc w:val="left"/>
        <w:rPr>
          <w:rFonts w:ascii="宋体" w:cs="宋体"/>
          <w:color w:val="auto"/>
          <w:sz w:val="24"/>
          <w:highlight w:val="none"/>
        </w:rPr>
      </w:pPr>
    </w:p>
    <w:p w14:paraId="1D378BAA">
      <w:pPr>
        <w:snapToGrid w:val="0"/>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w:t>
      </w:r>
      <w:r>
        <w:rPr>
          <w:rFonts w:hint="eastAsia" w:ascii="宋体" w:hAnsi="宋体" w:cs="宋体"/>
          <w:color w:val="auto"/>
          <w:sz w:val="24"/>
          <w:highlight w:val="none"/>
        </w:rPr>
        <w:t>）</w:t>
      </w:r>
    </w:p>
    <w:p w14:paraId="5A9CD4E2">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14:paraId="5FA9CFF6">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14:paraId="42FDD4F9">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14:paraId="4346F502">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14:paraId="758CF727">
      <w:pPr>
        <w:pStyle w:val="21"/>
        <w:spacing w:line="360" w:lineRule="auto"/>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r>
        <w:rPr>
          <w:rFonts w:ascii="宋体" w:hAnsi="宋体" w:cs="宋体"/>
          <w:color w:val="auto"/>
          <w:sz w:val="24"/>
          <w:highlight w:val="none"/>
          <w:u w:val="single"/>
        </w:rPr>
        <w:t xml:space="preserve">                    </w:t>
      </w:r>
    </w:p>
    <w:p w14:paraId="04545B57">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7FCEE36E">
      <w:pPr>
        <w:spacing w:before="54" w:line="360" w:lineRule="auto"/>
        <w:ind w:left="1"/>
        <w:jc w:val="center"/>
        <w:rPr>
          <w:b/>
          <w:color w:val="auto"/>
          <w:w w:val="95"/>
          <w:sz w:val="32"/>
          <w:highlight w:val="none"/>
        </w:rPr>
      </w:pPr>
    </w:p>
    <w:p w14:paraId="4B5A2465">
      <w:pPr>
        <w:pStyle w:val="12"/>
        <w:spacing w:line="360" w:lineRule="auto"/>
        <w:ind w:left="31680" w:right="31680"/>
        <w:rPr>
          <w:b/>
          <w:color w:val="auto"/>
          <w:w w:val="95"/>
          <w:sz w:val="32"/>
          <w:highlight w:val="none"/>
        </w:rPr>
      </w:pPr>
    </w:p>
    <w:p w14:paraId="1D26B9DE">
      <w:pPr>
        <w:pStyle w:val="12"/>
        <w:spacing w:line="360" w:lineRule="auto"/>
        <w:ind w:left="31680" w:right="31680"/>
        <w:rPr>
          <w:b/>
          <w:color w:val="auto"/>
          <w:w w:val="95"/>
          <w:sz w:val="32"/>
          <w:highlight w:val="none"/>
        </w:rPr>
      </w:pPr>
    </w:p>
    <w:p w14:paraId="6F268F01">
      <w:pPr>
        <w:pStyle w:val="12"/>
        <w:spacing w:line="360" w:lineRule="auto"/>
        <w:ind w:left="31680" w:right="31680"/>
        <w:rPr>
          <w:b/>
          <w:color w:val="auto"/>
          <w:w w:val="95"/>
          <w:sz w:val="32"/>
          <w:highlight w:val="none"/>
        </w:rPr>
      </w:pPr>
    </w:p>
    <w:p w14:paraId="3C3BE5FE">
      <w:pPr>
        <w:rPr>
          <w:highlight w:val="none"/>
        </w:rPr>
      </w:pPr>
    </w:p>
    <w:p w14:paraId="0973EEF7">
      <w:pPr>
        <w:rPr>
          <w:highlight w:val="none"/>
        </w:rPr>
      </w:pPr>
    </w:p>
    <w:p w14:paraId="4A062B02">
      <w:pPr>
        <w:spacing w:before="54" w:line="360" w:lineRule="auto"/>
        <w:ind w:left="6"/>
        <w:jc w:val="center"/>
        <w:outlineLvl w:val="1"/>
        <w:rPr>
          <w:b/>
          <w:color w:val="auto"/>
          <w:w w:val="95"/>
          <w:sz w:val="32"/>
          <w:highlight w:val="none"/>
        </w:rPr>
      </w:pPr>
      <w:bookmarkStart w:id="495" w:name="_Toc15621"/>
      <w:bookmarkStart w:id="496" w:name="_Toc15380"/>
      <w:bookmarkStart w:id="497" w:name="_Toc27917"/>
      <w:r>
        <w:rPr>
          <w:rFonts w:hint="eastAsia"/>
          <w:b/>
          <w:color w:val="auto"/>
          <w:w w:val="95"/>
          <w:sz w:val="32"/>
          <w:highlight w:val="none"/>
        </w:rPr>
        <w:t>四、投标承诺书</w:t>
      </w:r>
      <w:bookmarkEnd w:id="495"/>
      <w:bookmarkEnd w:id="496"/>
      <w:bookmarkEnd w:id="497"/>
    </w:p>
    <w:p w14:paraId="69562EEE">
      <w:pPr>
        <w:pStyle w:val="7"/>
        <w:spacing w:after="0" w:line="360" w:lineRule="auto"/>
        <w:ind w:firstLine="480" w:firstLineChars="200"/>
        <w:rPr>
          <w:color w:val="auto"/>
          <w:highlight w:val="none"/>
        </w:rPr>
      </w:pPr>
      <w:r>
        <w:rPr>
          <w:rFonts w:hint="eastAsia"/>
          <w:color w:val="auto"/>
          <w:highlight w:val="none"/>
        </w:rPr>
        <w:t>致</w:t>
      </w:r>
      <w:r>
        <w:rPr>
          <w:color w:val="auto"/>
          <w:highlight w:val="none"/>
          <w:u w:val="single"/>
        </w:rPr>
        <w:t xml:space="preserve"> </w:t>
      </w:r>
      <w:r>
        <w:rPr>
          <w:rFonts w:hint="eastAsia"/>
          <w:color w:val="auto"/>
          <w:highlight w:val="none"/>
          <w:u w:val="single"/>
        </w:rPr>
        <w:t>（采购代理机构）</w:t>
      </w:r>
      <w:r>
        <w:rPr>
          <w:color w:val="auto"/>
          <w:highlight w:val="none"/>
          <w:u w:val="single"/>
        </w:rPr>
        <w:t xml:space="preserve"> </w:t>
      </w:r>
      <w:r>
        <w:rPr>
          <w:rFonts w:hint="eastAsia"/>
          <w:color w:val="auto"/>
          <w:highlight w:val="none"/>
        </w:rPr>
        <w:t>：</w:t>
      </w:r>
    </w:p>
    <w:p w14:paraId="7E5F8E54">
      <w:pPr>
        <w:pStyle w:val="7"/>
        <w:spacing w:after="0" w:line="360" w:lineRule="auto"/>
        <w:ind w:right="333" w:firstLine="476" w:firstLineChars="200"/>
        <w:rPr>
          <w:color w:val="auto"/>
          <w:spacing w:val="-1"/>
          <w:highlight w:val="none"/>
        </w:rPr>
      </w:pPr>
      <w:r>
        <w:rPr>
          <w:rFonts w:hint="eastAsia"/>
          <w:color w:val="auto"/>
          <w:spacing w:val="-1"/>
          <w:highlight w:val="none"/>
        </w:rPr>
        <w:t>我公司作为本次采购项目的</w:t>
      </w:r>
      <w:r>
        <w:rPr>
          <w:rFonts w:hint="eastAsia"/>
          <w:color w:val="auto"/>
          <w:spacing w:val="-1"/>
          <w:highlight w:val="none"/>
          <w:lang w:eastAsia="zh-CN"/>
        </w:rPr>
        <w:t>投标人</w:t>
      </w:r>
      <w:r>
        <w:rPr>
          <w:rFonts w:hint="eastAsia"/>
          <w:color w:val="auto"/>
          <w:spacing w:val="-1"/>
          <w:highlight w:val="none"/>
        </w:rPr>
        <w:t>，根据招标文件要求，现郑重承诺如下：</w:t>
      </w:r>
    </w:p>
    <w:p w14:paraId="4F9C837C">
      <w:pPr>
        <w:pStyle w:val="7"/>
        <w:spacing w:after="0" w:line="360" w:lineRule="auto"/>
        <w:ind w:right="333" w:firstLine="476" w:firstLineChars="200"/>
        <w:rPr>
          <w:color w:val="auto"/>
          <w:spacing w:val="-1"/>
          <w:highlight w:val="none"/>
        </w:rPr>
      </w:pPr>
      <w:r>
        <w:rPr>
          <w:rFonts w:hint="eastAsia"/>
          <w:color w:val="auto"/>
          <w:spacing w:val="-1"/>
          <w:highlight w:val="none"/>
        </w:rPr>
        <w:t>一、具备《中华人民共和国政府采购法》第二十二条第一款和本项目规定的条件：</w:t>
      </w:r>
    </w:p>
    <w:p w14:paraId="6EA09B78">
      <w:pPr>
        <w:pStyle w:val="7"/>
        <w:spacing w:after="0" w:line="360" w:lineRule="auto"/>
        <w:ind w:right="333" w:firstLine="476" w:firstLineChars="200"/>
        <w:rPr>
          <w:color w:val="auto"/>
          <w:spacing w:val="-1"/>
          <w:highlight w:val="none"/>
        </w:rPr>
      </w:pPr>
      <w:r>
        <w:rPr>
          <w:rFonts w:hint="eastAsia"/>
          <w:color w:val="auto"/>
          <w:spacing w:val="-1"/>
          <w:highlight w:val="none"/>
        </w:rPr>
        <w:t>（一）具有独立承担民事责任的能力；</w:t>
      </w:r>
    </w:p>
    <w:p w14:paraId="1D797166">
      <w:pPr>
        <w:pStyle w:val="7"/>
        <w:spacing w:after="0" w:line="360" w:lineRule="auto"/>
        <w:ind w:right="333" w:firstLine="476" w:firstLineChars="200"/>
        <w:rPr>
          <w:color w:val="auto"/>
          <w:spacing w:val="-1"/>
          <w:highlight w:val="none"/>
        </w:rPr>
      </w:pPr>
      <w:r>
        <w:rPr>
          <w:rFonts w:hint="eastAsia"/>
          <w:color w:val="auto"/>
          <w:spacing w:val="-1"/>
          <w:highlight w:val="none"/>
        </w:rPr>
        <w:t>（二）具有良好的商业信誉和健全的财务会计制度；</w:t>
      </w:r>
    </w:p>
    <w:p w14:paraId="2C3AB5C7">
      <w:pPr>
        <w:pStyle w:val="7"/>
        <w:spacing w:after="0" w:line="360" w:lineRule="auto"/>
        <w:ind w:right="333" w:firstLine="476" w:firstLineChars="200"/>
        <w:rPr>
          <w:color w:val="auto"/>
          <w:spacing w:val="-1"/>
          <w:highlight w:val="none"/>
        </w:rPr>
      </w:pPr>
      <w:r>
        <w:rPr>
          <w:rFonts w:hint="eastAsia"/>
          <w:color w:val="auto"/>
          <w:spacing w:val="-1"/>
          <w:highlight w:val="none"/>
        </w:rPr>
        <w:t>（三）具有履行合同所必需的设备和专业技术能力；</w:t>
      </w:r>
    </w:p>
    <w:p w14:paraId="43ED5478">
      <w:pPr>
        <w:pStyle w:val="7"/>
        <w:spacing w:after="0" w:line="360" w:lineRule="auto"/>
        <w:ind w:right="333" w:firstLine="476" w:firstLineChars="200"/>
        <w:rPr>
          <w:color w:val="auto"/>
          <w:spacing w:val="-1"/>
          <w:highlight w:val="none"/>
        </w:rPr>
      </w:pPr>
      <w:r>
        <w:rPr>
          <w:rFonts w:hint="eastAsia"/>
          <w:color w:val="auto"/>
          <w:spacing w:val="-1"/>
          <w:highlight w:val="none"/>
        </w:rPr>
        <w:t>（四）有依法缴纳税收和社会保障资金的良好记录；</w:t>
      </w:r>
    </w:p>
    <w:p w14:paraId="4384AAD3">
      <w:pPr>
        <w:pStyle w:val="7"/>
        <w:spacing w:after="0" w:line="360" w:lineRule="auto"/>
        <w:ind w:right="333" w:firstLine="476" w:firstLineChars="200"/>
        <w:rPr>
          <w:color w:val="auto"/>
          <w:spacing w:val="-1"/>
          <w:highlight w:val="none"/>
        </w:rPr>
      </w:pPr>
      <w:r>
        <w:rPr>
          <w:rFonts w:hint="eastAsia"/>
          <w:color w:val="auto"/>
          <w:spacing w:val="-1"/>
          <w:highlight w:val="none"/>
        </w:rPr>
        <w:t>（五）参加政府采购活动前三年内，在经营活动中没有重大违法记录；</w:t>
      </w:r>
    </w:p>
    <w:p w14:paraId="0CA20E09">
      <w:pPr>
        <w:pStyle w:val="7"/>
        <w:spacing w:after="0" w:line="360" w:lineRule="auto"/>
        <w:ind w:right="333" w:firstLine="476" w:firstLineChars="200"/>
        <w:rPr>
          <w:color w:val="auto"/>
          <w:spacing w:val="-1"/>
          <w:highlight w:val="none"/>
        </w:rPr>
      </w:pPr>
      <w:r>
        <w:rPr>
          <w:rFonts w:hint="eastAsia"/>
          <w:color w:val="auto"/>
          <w:spacing w:val="-1"/>
          <w:highlight w:val="none"/>
        </w:rPr>
        <w:t>（六）法律、行政法规规定的其他条件；</w:t>
      </w:r>
    </w:p>
    <w:p w14:paraId="5A1C3FD6">
      <w:pPr>
        <w:pStyle w:val="7"/>
        <w:spacing w:after="0" w:line="360" w:lineRule="auto"/>
        <w:ind w:right="333" w:firstLine="476" w:firstLineChars="200"/>
        <w:rPr>
          <w:color w:val="auto"/>
          <w:spacing w:val="-1"/>
          <w:highlight w:val="none"/>
        </w:rPr>
      </w:pPr>
      <w:r>
        <w:rPr>
          <w:rFonts w:hint="eastAsia"/>
          <w:color w:val="auto"/>
          <w:spacing w:val="-1"/>
          <w:highlight w:val="none"/>
        </w:rPr>
        <w:t>（七）根据采购项目提出的特殊条件。</w:t>
      </w:r>
    </w:p>
    <w:p w14:paraId="5B7AE800">
      <w:pPr>
        <w:pStyle w:val="7"/>
        <w:spacing w:after="0" w:line="360" w:lineRule="auto"/>
        <w:ind w:right="333" w:firstLine="476" w:firstLineChars="200"/>
        <w:rPr>
          <w:color w:val="auto"/>
          <w:spacing w:val="-1"/>
          <w:highlight w:val="none"/>
        </w:rPr>
      </w:pPr>
      <w:r>
        <w:rPr>
          <w:rFonts w:hint="eastAsia"/>
          <w:color w:val="auto"/>
          <w:spacing w:val="-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C9A3680">
      <w:pPr>
        <w:pStyle w:val="7"/>
        <w:spacing w:after="0" w:line="360" w:lineRule="auto"/>
        <w:ind w:right="333" w:firstLine="476" w:firstLineChars="200"/>
        <w:rPr>
          <w:color w:val="auto"/>
          <w:spacing w:val="-1"/>
          <w:highlight w:val="none"/>
        </w:rPr>
      </w:pPr>
      <w:r>
        <w:rPr>
          <w:rFonts w:hint="eastAsia"/>
          <w:color w:val="auto"/>
          <w:spacing w:val="-1"/>
          <w:highlight w:val="none"/>
        </w:rPr>
        <w:t>三、参加本次招标采购活动，不存在与单位负责人为同一人或者存在直接控股、管理关系的其他供应商参与同一合同项下的政府采购活动的行为。</w:t>
      </w:r>
    </w:p>
    <w:p w14:paraId="2E28E265">
      <w:pPr>
        <w:pStyle w:val="7"/>
        <w:spacing w:after="0" w:line="360" w:lineRule="auto"/>
        <w:ind w:right="333" w:firstLine="476" w:firstLineChars="200"/>
        <w:rPr>
          <w:color w:val="auto"/>
          <w:spacing w:val="-1"/>
          <w:highlight w:val="none"/>
        </w:rPr>
      </w:pPr>
      <w:r>
        <w:rPr>
          <w:rFonts w:hint="eastAsia"/>
          <w:color w:val="auto"/>
          <w:spacing w:val="-1"/>
          <w:highlight w:val="none"/>
        </w:rPr>
        <w:t>四、我们保证在中标公告发布后</w:t>
      </w:r>
      <w:r>
        <w:rPr>
          <w:color w:val="auto"/>
          <w:spacing w:val="-1"/>
          <w:highlight w:val="none"/>
        </w:rPr>
        <w:t xml:space="preserve"> 5 </w:t>
      </w:r>
      <w:r>
        <w:rPr>
          <w:rFonts w:hint="eastAsia"/>
          <w:color w:val="auto"/>
          <w:spacing w:val="-1"/>
          <w:highlight w:val="none"/>
        </w:rPr>
        <w:t>个工作日内，按招标文件的规定，以银行转账方式向贵公司一次性支付采购代理服务费用，并且按照规定和采购人签订合同。</w:t>
      </w:r>
    </w:p>
    <w:p w14:paraId="36606B97">
      <w:pPr>
        <w:pStyle w:val="7"/>
        <w:spacing w:after="0" w:line="360" w:lineRule="auto"/>
        <w:ind w:right="333" w:firstLine="476" w:firstLineChars="200"/>
        <w:rPr>
          <w:color w:val="auto"/>
          <w:spacing w:val="-1"/>
          <w:highlight w:val="none"/>
        </w:rPr>
      </w:pPr>
      <w:r>
        <w:rPr>
          <w:rFonts w:hint="eastAsia"/>
          <w:color w:val="auto"/>
          <w:spacing w:val="-1"/>
          <w:highlight w:val="none"/>
        </w:rPr>
        <w:t>五、参加本次招标采购活动，不存在和其他</w:t>
      </w:r>
      <w:r>
        <w:rPr>
          <w:rFonts w:hint="eastAsia"/>
          <w:color w:val="auto"/>
          <w:spacing w:val="-1"/>
          <w:highlight w:val="none"/>
          <w:lang w:eastAsia="zh-CN"/>
        </w:rPr>
        <w:t>投标人</w:t>
      </w:r>
      <w:r>
        <w:rPr>
          <w:rFonts w:hint="eastAsia"/>
          <w:color w:val="auto"/>
          <w:spacing w:val="-1"/>
          <w:highlight w:val="none"/>
        </w:rPr>
        <w:t>在同一合同项下的采购项目中，同时委托同一个自然人、同一家庭的人员、同一单位的人员作为代理人的行为。</w:t>
      </w:r>
    </w:p>
    <w:p w14:paraId="58B4EACC">
      <w:pPr>
        <w:pStyle w:val="7"/>
        <w:spacing w:after="0" w:line="360" w:lineRule="auto"/>
        <w:ind w:right="333" w:firstLine="476" w:firstLineChars="200"/>
        <w:rPr>
          <w:color w:val="auto"/>
          <w:spacing w:val="-1"/>
          <w:highlight w:val="none"/>
        </w:rPr>
      </w:pPr>
      <w:r>
        <w:rPr>
          <w:rFonts w:hint="eastAsia"/>
          <w:color w:val="auto"/>
          <w:spacing w:val="-1"/>
          <w:highlight w:val="none"/>
        </w:rPr>
        <w:t>六、</w:t>
      </w:r>
      <w:r>
        <w:rPr>
          <w:rFonts w:hint="eastAsia"/>
          <w:color w:val="auto"/>
          <w:spacing w:val="-1"/>
          <w:highlight w:val="none"/>
          <w:lang w:eastAsia="zh-CN"/>
        </w:rPr>
        <w:t>投标人</w:t>
      </w:r>
      <w:r>
        <w:rPr>
          <w:rFonts w:hint="eastAsia"/>
          <w:color w:val="auto"/>
          <w:spacing w:val="-1"/>
          <w:highlight w:val="none"/>
        </w:rPr>
        <w:t>参加本次政府采购活动要求在近三年内</w:t>
      </w:r>
      <w:r>
        <w:rPr>
          <w:rFonts w:hint="eastAsia"/>
          <w:color w:val="auto"/>
          <w:spacing w:val="-1"/>
          <w:highlight w:val="none"/>
          <w:lang w:eastAsia="zh-CN"/>
        </w:rPr>
        <w:t>投标人</w:t>
      </w:r>
      <w:r>
        <w:rPr>
          <w:rFonts w:hint="eastAsia"/>
          <w:color w:val="auto"/>
          <w:spacing w:val="-1"/>
          <w:highlight w:val="none"/>
        </w:rPr>
        <w:t>和其法定代表人没有行贿犯罪行为。</w:t>
      </w:r>
    </w:p>
    <w:p w14:paraId="16288FB0">
      <w:pPr>
        <w:pStyle w:val="7"/>
        <w:spacing w:after="0" w:line="360" w:lineRule="auto"/>
        <w:ind w:right="333" w:firstLine="476" w:firstLineChars="200"/>
        <w:rPr>
          <w:color w:val="auto"/>
          <w:spacing w:val="-1"/>
          <w:highlight w:val="none"/>
        </w:rPr>
      </w:pPr>
      <w:r>
        <w:rPr>
          <w:rFonts w:hint="eastAsia"/>
          <w:color w:val="auto"/>
          <w:spacing w:val="-1"/>
          <w:highlight w:val="none"/>
        </w:rPr>
        <w:t>七、参加本次招标采购活动，不存在联合体投标。</w:t>
      </w:r>
    </w:p>
    <w:p w14:paraId="1EE63FAB">
      <w:pPr>
        <w:pStyle w:val="7"/>
        <w:spacing w:after="0" w:line="360" w:lineRule="auto"/>
        <w:ind w:right="333" w:firstLine="476" w:firstLineChars="200"/>
        <w:rPr>
          <w:color w:val="auto"/>
          <w:spacing w:val="-1"/>
          <w:highlight w:val="none"/>
        </w:rPr>
      </w:pPr>
      <w:r>
        <w:rPr>
          <w:rFonts w:hint="eastAsia"/>
          <w:color w:val="auto"/>
          <w:spacing w:val="-1"/>
          <w:highlight w:val="none"/>
        </w:rPr>
        <w:t>八、投标文件中提供的能够给予我公司带来优惠、好处的任何材料资料和技术、服务、商务等响应承诺情况都是真实的、有效的、合法的。</w:t>
      </w:r>
    </w:p>
    <w:p w14:paraId="72CF6FC4">
      <w:pPr>
        <w:pStyle w:val="7"/>
        <w:spacing w:after="0" w:line="360" w:lineRule="auto"/>
        <w:ind w:right="333" w:firstLine="476" w:firstLineChars="200"/>
        <w:rPr>
          <w:color w:val="auto"/>
          <w:spacing w:val="-1"/>
          <w:highlight w:val="none"/>
        </w:rPr>
      </w:pPr>
      <w:r>
        <w:rPr>
          <w:rFonts w:hint="eastAsia"/>
          <w:color w:val="auto"/>
          <w:spacing w:val="-1"/>
          <w:highlight w:val="none"/>
        </w:rPr>
        <w:t>九、存在以下行为之一的愿意接受相关部门的处理：</w:t>
      </w:r>
    </w:p>
    <w:p w14:paraId="252ABDE9">
      <w:pPr>
        <w:pStyle w:val="7"/>
        <w:spacing w:after="0" w:line="360" w:lineRule="auto"/>
        <w:ind w:right="333" w:firstLine="476" w:firstLineChars="200"/>
        <w:rPr>
          <w:color w:val="auto"/>
          <w:spacing w:val="-1"/>
          <w:highlight w:val="none"/>
        </w:rPr>
      </w:pPr>
      <w:r>
        <w:rPr>
          <w:rFonts w:hint="eastAsia"/>
          <w:color w:val="auto"/>
          <w:spacing w:val="-1"/>
          <w:highlight w:val="none"/>
        </w:rPr>
        <w:t>（一）投标有效期内撤销投标文件的；</w:t>
      </w:r>
    </w:p>
    <w:p w14:paraId="6418781B">
      <w:pPr>
        <w:pStyle w:val="7"/>
        <w:spacing w:after="0" w:line="360" w:lineRule="auto"/>
        <w:ind w:right="333" w:firstLine="476" w:firstLineChars="200"/>
        <w:rPr>
          <w:color w:val="auto"/>
          <w:spacing w:val="-1"/>
          <w:highlight w:val="none"/>
        </w:rPr>
      </w:pPr>
      <w:r>
        <w:rPr>
          <w:rFonts w:hint="eastAsia"/>
          <w:color w:val="auto"/>
          <w:spacing w:val="-1"/>
          <w:highlight w:val="none"/>
        </w:rPr>
        <w:t>（二）在采购人确定中标人以前放弃中标候选资格的；</w:t>
      </w:r>
    </w:p>
    <w:p w14:paraId="7F949DDD">
      <w:pPr>
        <w:pStyle w:val="7"/>
        <w:spacing w:after="0" w:line="360" w:lineRule="auto"/>
        <w:ind w:right="333" w:firstLine="476" w:firstLineChars="200"/>
        <w:rPr>
          <w:color w:val="auto"/>
          <w:spacing w:val="-1"/>
          <w:highlight w:val="none"/>
        </w:rPr>
      </w:pPr>
      <w:r>
        <w:rPr>
          <w:rFonts w:hint="eastAsia"/>
          <w:color w:val="auto"/>
          <w:spacing w:val="-1"/>
          <w:highlight w:val="none"/>
        </w:rPr>
        <w:t>（三）由于中标人的原因未能按照招标文件的规定与采购人签订合同；</w:t>
      </w:r>
    </w:p>
    <w:p w14:paraId="22789554">
      <w:pPr>
        <w:pStyle w:val="7"/>
        <w:spacing w:after="0" w:line="360" w:lineRule="auto"/>
        <w:ind w:right="333" w:firstLine="476" w:firstLineChars="200"/>
        <w:rPr>
          <w:color w:val="auto"/>
          <w:spacing w:val="-1"/>
          <w:highlight w:val="none"/>
        </w:rPr>
      </w:pPr>
      <w:r>
        <w:rPr>
          <w:rFonts w:hint="eastAsia"/>
          <w:color w:val="auto"/>
          <w:spacing w:val="-1"/>
          <w:highlight w:val="none"/>
        </w:rPr>
        <w:t>（四）由于中标人的原因未能按照招标文件的规定交纳履约保证金；</w:t>
      </w:r>
    </w:p>
    <w:p w14:paraId="7AB5E88D">
      <w:pPr>
        <w:pStyle w:val="7"/>
        <w:spacing w:after="0" w:line="360" w:lineRule="auto"/>
        <w:ind w:right="333" w:firstLine="476" w:firstLineChars="200"/>
        <w:rPr>
          <w:color w:val="auto"/>
          <w:spacing w:val="-1"/>
          <w:highlight w:val="none"/>
        </w:rPr>
      </w:pPr>
      <w:r>
        <w:rPr>
          <w:rFonts w:hint="eastAsia"/>
          <w:color w:val="auto"/>
          <w:spacing w:val="-1"/>
          <w:highlight w:val="none"/>
        </w:rPr>
        <w:t>（五）在投标文件中提供虚假材料谋取中标；</w:t>
      </w:r>
    </w:p>
    <w:p w14:paraId="2CF047CB">
      <w:pPr>
        <w:pStyle w:val="7"/>
        <w:spacing w:after="0" w:line="360" w:lineRule="auto"/>
        <w:ind w:right="333" w:firstLine="476" w:firstLineChars="200"/>
        <w:rPr>
          <w:color w:val="auto"/>
          <w:spacing w:val="-1"/>
          <w:highlight w:val="none"/>
        </w:rPr>
      </w:pPr>
      <w:r>
        <w:rPr>
          <w:rFonts w:hint="eastAsia"/>
          <w:color w:val="auto"/>
          <w:spacing w:val="-1"/>
          <w:highlight w:val="none"/>
        </w:rPr>
        <w:t>（六）与采购人、其他</w:t>
      </w:r>
      <w:r>
        <w:rPr>
          <w:rFonts w:hint="eastAsia"/>
          <w:color w:val="auto"/>
          <w:spacing w:val="-1"/>
          <w:highlight w:val="none"/>
          <w:lang w:eastAsia="zh-CN"/>
        </w:rPr>
        <w:t>投标人</w:t>
      </w:r>
      <w:r>
        <w:rPr>
          <w:rFonts w:hint="eastAsia"/>
          <w:color w:val="auto"/>
          <w:spacing w:val="-1"/>
          <w:highlight w:val="none"/>
        </w:rPr>
        <w:t>或者采购代理机构恶意串通的；</w:t>
      </w:r>
    </w:p>
    <w:p w14:paraId="00D6E05F">
      <w:pPr>
        <w:pStyle w:val="7"/>
        <w:spacing w:after="0" w:line="360" w:lineRule="auto"/>
        <w:ind w:right="333" w:firstLine="476" w:firstLineChars="200"/>
        <w:rPr>
          <w:color w:val="auto"/>
          <w:spacing w:val="-1"/>
          <w:highlight w:val="none"/>
        </w:rPr>
      </w:pPr>
      <w:r>
        <w:rPr>
          <w:rFonts w:hint="eastAsia"/>
          <w:color w:val="auto"/>
          <w:spacing w:val="-1"/>
          <w:highlight w:val="none"/>
        </w:rPr>
        <w:t>（七）投标有效期内，</w:t>
      </w:r>
      <w:r>
        <w:rPr>
          <w:rFonts w:hint="eastAsia"/>
          <w:color w:val="auto"/>
          <w:spacing w:val="-1"/>
          <w:highlight w:val="none"/>
          <w:lang w:eastAsia="zh-CN"/>
        </w:rPr>
        <w:t>投标人</w:t>
      </w:r>
      <w:r>
        <w:rPr>
          <w:rFonts w:hint="eastAsia"/>
          <w:color w:val="auto"/>
          <w:spacing w:val="-1"/>
          <w:highlight w:val="none"/>
        </w:rPr>
        <w:t>在政府采购活动中有违法、违规、违纪行为。</w:t>
      </w:r>
    </w:p>
    <w:p w14:paraId="1946AC0B">
      <w:pPr>
        <w:pStyle w:val="7"/>
        <w:spacing w:after="0" w:line="360" w:lineRule="auto"/>
        <w:ind w:right="333" w:firstLine="476" w:firstLineChars="200"/>
        <w:rPr>
          <w:color w:val="auto"/>
          <w:spacing w:val="-1"/>
          <w:highlight w:val="none"/>
        </w:rPr>
      </w:pPr>
      <w:r>
        <w:rPr>
          <w:rFonts w:hint="eastAsia"/>
          <w:color w:val="auto"/>
          <w:spacing w:val="-1"/>
          <w:highlight w:val="none"/>
        </w:rPr>
        <w:t>由此产生的一切法律后果和责任由我公司承担。我公司声明放弃对此提出任何异议和追索的权利。</w:t>
      </w:r>
    </w:p>
    <w:p w14:paraId="0D9AF854">
      <w:pPr>
        <w:pStyle w:val="7"/>
        <w:spacing w:after="0" w:line="360" w:lineRule="auto"/>
        <w:ind w:right="333" w:firstLine="476" w:firstLineChars="200"/>
        <w:rPr>
          <w:color w:val="auto"/>
          <w:spacing w:val="-1"/>
          <w:highlight w:val="none"/>
        </w:rPr>
      </w:pPr>
      <w:r>
        <w:rPr>
          <w:rFonts w:hint="eastAsia"/>
          <w:color w:val="auto"/>
          <w:spacing w:val="-1"/>
          <w:highlight w:val="none"/>
        </w:rPr>
        <w:t>本公司对上述承诺的内容事项真实性负责。如经查实上述承诺的内容事项存在虚假，</w:t>
      </w:r>
      <w:r>
        <w:rPr>
          <w:color w:val="auto"/>
          <w:spacing w:val="-1"/>
          <w:highlight w:val="none"/>
        </w:rPr>
        <w:t xml:space="preserve"> </w:t>
      </w:r>
      <w:r>
        <w:rPr>
          <w:rFonts w:hint="eastAsia"/>
          <w:color w:val="auto"/>
          <w:spacing w:val="-1"/>
          <w:highlight w:val="none"/>
        </w:rPr>
        <w:t>我公司愿意接受以提供虚假材料谋取中标而承担法律责任。</w:t>
      </w:r>
    </w:p>
    <w:p w14:paraId="782D5588">
      <w:pPr>
        <w:pStyle w:val="7"/>
        <w:spacing w:line="360" w:lineRule="auto"/>
        <w:rPr>
          <w:color w:val="auto"/>
          <w:highlight w:val="none"/>
        </w:rPr>
      </w:pPr>
    </w:p>
    <w:p w14:paraId="49BAEA1D">
      <w:pPr>
        <w:pStyle w:val="7"/>
        <w:spacing w:line="360" w:lineRule="auto"/>
        <w:rPr>
          <w:color w:val="auto"/>
          <w:highlight w:val="none"/>
        </w:rPr>
      </w:pPr>
    </w:p>
    <w:p w14:paraId="201E9599">
      <w:pPr>
        <w:pStyle w:val="7"/>
        <w:spacing w:line="360" w:lineRule="auto"/>
        <w:rPr>
          <w:color w:val="auto"/>
          <w:highlight w:val="none"/>
        </w:rPr>
      </w:pPr>
    </w:p>
    <w:p w14:paraId="561D7C30">
      <w:pPr>
        <w:pStyle w:val="7"/>
        <w:spacing w:line="360" w:lineRule="auto"/>
        <w:rPr>
          <w:color w:val="auto"/>
          <w:highlight w:val="none"/>
        </w:rPr>
      </w:pPr>
    </w:p>
    <w:p w14:paraId="1A68AB7F">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66AA7E3E">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186FC222">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41A4459C">
      <w:pPr>
        <w:spacing w:before="54" w:line="360" w:lineRule="auto"/>
        <w:ind w:left="6"/>
        <w:jc w:val="center"/>
        <w:outlineLvl w:val="1"/>
        <w:rPr>
          <w:b/>
          <w:color w:val="auto"/>
          <w:w w:val="95"/>
          <w:sz w:val="32"/>
          <w:highlight w:val="none"/>
        </w:rPr>
      </w:pPr>
      <w:r>
        <w:rPr>
          <w:rFonts w:ascii="宋体" w:cs="宋体"/>
          <w:color w:val="auto"/>
          <w:kern w:val="0"/>
          <w:sz w:val="24"/>
          <w:highlight w:val="none"/>
        </w:rPr>
        <w:br w:type="page"/>
      </w:r>
      <w:bookmarkStart w:id="498" w:name="_Toc32164"/>
      <w:bookmarkStart w:id="499" w:name="_Toc3123"/>
      <w:bookmarkStart w:id="500" w:name="_Toc4122"/>
      <w:r>
        <w:rPr>
          <w:rFonts w:hint="eastAsia"/>
          <w:b/>
          <w:color w:val="auto"/>
          <w:w w:val="95"/>
          <w:sz w:val="32"/>
          <w:highlight w:val="none"/>
        </w:rPr>
        <w:t>五、技术部分</w:t>
      </w:r>
      <w:bookmarkEnd w:id="498"/>
      <w:bookmarkEnd w:id="499"/>
      <w:bookmarkEnd w:id="500"/>
    </w:p>
    <w:p w14:paraId="53E1B8CE">
      <w:pPr>
        <w:spacing w:before="212" w:line="360" w:lineRule="auto"/>
        <w:ind w:left="1"/>
        <w:jc w:val="center"/>
        <w:rPr>
          <w:b/>
          <w:color w:val="auto"/>
          <w:sz w:val="32"/>
          <w:highlight w:val="none"/>
        </w:rPr>
      </w:pPr>
      <w:bookmarkStart w:id="501" w:name="（一）技术参数偏差表"/>
      <w:bookmarkEnd w:id="501"/>
      <w:r>
        <w:rPr>
          <w:rFonts w:hint="eastAsia"/>
          <w:b/>
          <w:color w:val="auto"/>
          <w:w w:val="95"/>
          <w:sz w:val="32"/>
          <w:highlight w:val="none"/>
        </w:rPr>
        <w:t>（一）技术参数偏差表</w:t>
      </w:r>
    </w:p>
    <w:p w14:paraId="6D0E540F">
      <w:pPr>
        <w:pStyle w:val="31"/>
        <w:numPr>
          <w:ilvl w:val="0"/>
          <w:numId w:val="15"/>
        </w:numPr>
        <w:tabs>
          <w:tab w:val="left" w:pos="580"/>
        </w:tabs>
        <w:spacing w:line="360" w:lineRule="auto"/>
        <w:ind w:firstLine="31680"/>
        <w:jc w:val="left"/>
        <w:rPr>
          <w:b/>
          <w:color w:val="auto"/>
          <w:sz w:val="12"/>
          <w:highlight w:val="none"/>
        </w:rPr>
      </w:pPr>
      <w:r>
        <w:rPr>
          <w:rFonts w:hint="eastAsia"/>
          <w:b/>
          <w:color w:val="auto"/>
          <w:sz w:val="24"/>
          <w:highlight w:val="none"/>
        </w:rPr>
        <w:t>标注</w:t>
      </w:r>
      <w:r>
        <w:rPr>
          <w:b/>
          <w:color w:val="auto"/>
          <w:sz w:val="24"/>
          <w:highlight w:val="none"/>
        </w:rPr>
        <w:t>“</w:t>
      </w:r>
      <w:r>
        <w:rPr>
          <w:rFonts w:hint="eastAsia" w:ascii="宋体" w:hAnsi="宋体" w:cs="宋体"/>
          <w:sz w:val="24"/>
          <w:szCs w:val="24"/>
          <w:highlight w:val="none"/>
          <w:lang w:eastAsia="zh-CN"/>
        </w:rPr>
        <w:t>★</w:t>
      </w:r>
      <w:r>
        <w:rPr>
          <w:b/>
          <w:color w:val="auto"/>
          <w:sz w:val="24"/>
          <w:highlight w:val="none"/>
        </w:rPr>
        <w:t>”</w:t>
      </w:r>
      <w:r>
        <w:rPr>
          <w:rFonts w:hint="eastAsia"/>
          <w:b/>
          <w:color w:val="auto"/>
          <w:sz w:val="24"/>
          <w:highlight w:val="none"/>
        </w:rPr>
        <w:t>号项技术参数偏差表</w:t>
      </w:r>
    </w:p>
    <w:tbl>
      <w:tblPr>
        <w:tblStyle w:val="23"/>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52"/>
        <w:gridCol w:w="2148"/>
        <w:gridCol w:w="1635"/>
        <w:gridCol w:w="2320"/>
        <w:gridCol w:w="1500"/>
      </w:tblGrid>
      <w:tr w14:paraId="1ABE5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80" w:type="dxa"/>
            <w:vAlign w:val="center"/>
          </w:tcPr>
          <w:p w14:paraId="19EED421">
            <w:pPr>
              <w:pStyle w:val="28"/>
              <w:spacing w:before="4" w:line="360" w:lineRule="auto"/>
              <w:jc w:val="center"/>
              <w:rPr>
                <w:b/>
                <w:color w:val="auto"/>
                <w:sz w:val="18"/>
                <w:highlight w:val="none"/>
              </w:rPr>
            </w:pPr>
          </w:p>
          <w:p w14:paraId="4BA632E4">
            <w:pPr>
              <w:pStyle w:val="28"/>
              <w:spacing w:line="360" w:lineRule="auto"/>
              <w:ind w:left="246" w:right="226"/>
              <w:jc w:val="center"/>
              <w:rPr>
                <w:b/>
                <w:color w:val="auto"/>
                <w:highlight w:val="none"/>
              </w:rPr>
            </w:pPr>
            <w:r>
              <w:rPr>
                <w:rFonts w:hint="eastAsia"/>
                <w:b/>
                <w:color w:val="auto"/>
                <w:w w:val="95"/>
                <w:highlight w:val="none"/>
              </w:rPr>
              <w:t>序号</w:t>
            </w:r>
          </w:p>
        </w:tc>
        <w:tc>
          <w:tcPr>
            <w:tcW w:w="852" w:type="dxa"/>
            <w:vAlign w:val="center"/>
          </w:tcPr>
          <w:p w14:paraId="3523F39F">
            <w:pPr>
              <w:pStyle w:val="28"/>
              <w:spacing w:before="2" w:line="360" w:lineRule="auto"/>
              <w:ind w:left="22"/>
              <w:jc w:val="center"/>
              <w:rPr>
                <w:b/>
                <w:color w:val="auto"/>
                <w:highlight w:val="none"/>
              </w:rPr>
            </w:pPr>
            <w:r>
              <w:rPr>
                <w:rFonts w:hint="eastAsia"/>
                <w:b/>
                <w:color w:val="auto"/>
                <w:w w:val="99"/>
                <w:highlight w:val="none"/>
              </w:rPr>
              <w:t>名</w:t>
            </w:r>
          </w:p>
          <w:p w14:paraId="211572C2">
            <w:pPr>
              <w:pStyle w:val="28"/>
              <w:spacing w:before="158" w:line="360" w:lineRule="auto"/>
              <w:ind w:left="22"/>
              <w:jc w:val="center"/>
              <w:rPr>
                <w:b/>
                <w:color w:val="auto"/>
                <w:highlight w:val="none"/>
              </w:rPr>
            </w:pPr>
            <w:r>
              <w:rPr>
                <w:rFonts w:hint="eastAsia"/>
                <w:b/>
                <w:color w:val="auto"/>
                <w:w w:val="99"/>
                <w:highlight w:val="none"/>
              </w:rPr>
              <w:t>称</w:t>
            </w:r>
          </w:p>
        </w:tc>
        <w:tc>
          <w:tcPr>
            <w:tcW w:w="2148" w:type="dxa"/>
            <w:vAlign w:val="center"/>
          </w:tcPr>
          <w:p w14:paraId="439D18B6">
            <w:pPr>
              <w:pStyle w:val="28"/>
              <w:spacing w:before="2" w:line="360" w:lineRule="auto"/>
              <w:ind w:left="219" w:right="192"/>
              <w:jc w:val="center"/>
              <w:rPr>
                <w:b/>
                <w:color w:val="auto"/>
                <w:highlight w:val="none"/>
              </w:rPr>
            </w:pPr>
            <w:r>
              <w:rPr>
                <w:rFonts w:hint="eastAsia"/>
                <w:b/>
                <w:color w:val="auto"/>
                <w:highlight w:val="none"/>
              </w:rPr>
              <w:t>招标文件要求的</w:t>
            </w:r>
          </w:p>
          <w:p w14:paraId="2B4105E9">
            <w:pPr>
              <w:pStyle w:val="28"/>
              <w:spacing w:before="158" w:line="360" w:lineRule="auto"/>
              <w:ind w:left="216" w:right="192"/>
              <w:jc w:val="center"/>
              <w:rPr>
                <w:b/>
                <w:color w:val="auto"/>
                <w:highlight w:val="none"/>
              </w:rPr>
            </w:pPr>
            <w:r>
              <w:rPr>
                <w:rFonts w:hint="eastAsia"/>
                <w:b/>
                <w:color w:val="auto"/>
                <w:highlight w:val="none"/>
              </w:rPr>
              <w:t>技术参数</w:t>
            </w:r>
          </w:p>
        </w:tc>
        <w:tc>
          <w:tcPr>
            <w:tcW w:w="1635" w:type="dxa"/>
            <w:vAlign w:val="center"/>
          </w:tcPr>
          <w:p w14:paraId="141E7F8F">
            <w:pPr>
              <w:pStyle w:val="28"/>
              <w:spacing w:before="2" w:line="360" w:lineRule="auto"/>
              <w:ind w:left="14"/>
              <w:jc w:val="center"/>
              <w:rPr>
                <w:b/>
                <w:color w:val="auto"/>
                <w:highlight w:val="none"/>
              </w:rPr>
            </w:pPr>
            <w:r>
              <w:rPr>
                <w:rFonts w:hint="eastAsia"/>
                <w:b/>
                <w:color w:val="auto"/>
                <w:highlight w:val="none"/>
              </w:rPr>
              <w:t>投标文件所附</w:t>
            </w:r>
          </w:p>
          <w:p w14:paraId="4031F230">
            <w:pPr>
              <w:pStyle w:val="28"/>
              <w:spacing w:before="158" w:line="360" w:lineRule="auto"/>
              <w:ind w:left="134"/>
              <w:jc w:val="center"/>
              <w:rPr>
                <w:b/>
                <w:color w:val="auto"/>
                <w:highlight w:val="none"/>
              </w:rPr>
            </w:pPr>
            <w:r>
              <w:rPr>
                <w:rFonts w:hint="eastAsia"/>
                <w:b/>
                <w:color w:val="auto"/>
                <w:highlight w:val="none"/>
              </w:rPr>
              <w:t>的技术参数</w:t>
            </w:r>
          </w:p>
        </w:tc>
        <w:tc>
          <w:tcPr>
            <w:tcW w:w="2320" w:type="dxa"/>
            <w:vAlign w:val="center"/>
          </w:tcPr>
          <w:p w14:paraId="16D31010">
            <w:pPr>
              <w:pStyle w:val="28"/>
              <w:spacing w:before="158" w:line="360" w:lineRule="auto"/>
              <w:ind w:right="147"/>
              <w:jc w:val="center"/>
              <w:rPr>
                <w:b/>
                <w:color w:val="auto"/>
                <w:highlight w:val="none"/>
              </w:rPr>
            </w:pPr>
            <w:r>
              <w:rPr>
                <w:rFonts w:hint="eastAsia"/>
                <w:b/>
                <w:color w:val="auto"/>
                <w:highlight w:val="none"/>
              </w:rPr>
              <w:t>偏差情况</w:t>
            </w:r>
          </w:p>
        </w:tc>
        <w:tc>
          <w:tcPr>
            <w:tcW w:w="1500" w:type="dxa"/>
            <w:vAlign w:val="center"/>
          </w:tcPr>
          <w:p w14:paraId="637DA56A">
            <w:pPr>
              <w:pStyle w:val="28"/>
              <w:spacing w:before="4" w:line="360" w:lineRule="auto"/>
              <w:jc w:val="center"/>
              <w:rPr>
                <w:b/>
                <w:color w:val="auto"/>
                <w:sz w:val="18"/>
                <w:highlight w:val="none"/>
              </w:rPr>
            </w:pPr>
          </w:p>
          <w:p w14:paraId="69B3E98E">
            <w:pPr>
              <w:pStyle w:val="28"/>
              <w:spacing w:line="360" w:lineRule="auto"/>
              <w:ind w:left="30"/>
              <w:jc w:val="center"/>
              <w:rPr>
                <w:b/>
                <w:color w:val="auto"/>
                <w:highlight w:val="none"/>
              </w:rPr>
            </w:pPr>
            <w:r>
              <w:rPr>
                <w:rFonts w:hint="eastAsia"/>
                <w:b/>
                <w:color w:val="auto"/>
                <w:highlight w:val="none"/>
              </w:rPr>
              <w:t>偏离说明</w:t>
            </w:r>
          </w:p>
        </w:tc>
      </w:tr>
      <w:tr w14:paraId="166E9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748FD725">
            <w:pPr>
              <w:pStyle w:val="28"/>
              <w:spacing w:before="162" w:line="360" w:lineRule="auto"/>
              <w:ind w:left="15"/>
              <w:jc w:val="center"/>
              <w:rPr>
                <w:color w:val="auto"/>
                <w:highlight w:val="none"/>
              </w:rPr>
            </w:pPr>
            <w:r>
              <w:rPr>
                <w:color w:val="auto"/>
                <w:highlight w:val="none"/>
              </w:rPr>
              <w:t>1</w:t>
            </w:r>
          </w:p>
        </w:tc>
        <w:tc>
          <w:tcPr>
            <w:tcW w:w="852" w:type="dxa"/>
          </w:tcPr>
          <w:p w14:paraId="57B32004">
            <w:pPr>
              <w:pStyle w:val="28"/>
              <w:spacing w:line="360" w:lineRule="auto"/>
              <w:rPr>
                <w:color w:val="auto"/>
                <w:sz w:val="22"/>
                <w:highlight w:val="none"/>
              </w:rPr>
            </w:pPr>
          </w:p>
        </w:tc>
        <w:tc>
          <w:tcPr>
            <w:tcW w:w="2148" w:type="dxa"/>
          </w:tcPr>
          <w:p w14:paraId="36E1BB2A">
            <w:pPr>
              <w:pStyle w:val="28"/>
              <w:spacing w:line="360" w:lineRule="auto"/>
              <w:rPr>
                <w:color w:val="auto"/>
                <w:sz w:val="22"/>
                <w:highlight w:val="none"/>
              </w:rPr>
            </w:pPr>
          </w:p>
        </w:tc>
        <w:tc>
          <w:tcPr>
            <w:tcW w:w="1635" w:type="dxa"/>
          </w:tcPr>
          <w:p w14:paraId="520657DB">
            <w:pPr>
              <w:pStyle w:val="28"/>
              <w:spacing w:line="360" w:lineRule="auto"/>
              <w:rPr>
                <w:color w:val="auto"/>
                <w:sz w:val="22"/>
                <w:highlight w:val="none"/>
              </w:rPr>
            </w:pPr>
          </w:p>
        </w:tc>
        <w:tc>
          <w:tcPr>
            <w:tcW w:w="2320" w:type="dxa"/>
          </w:tcPr>
          <w:p w14:paraId="68426921">
            <w:pPr>
              <w:pStyle w:val="28"/>
              <w:spacing w:line="360" w:lineRule="auto"/>
              <w:rPr>
                <w:color w:val="auto"/>
                <w:sz w:val="22"/>
                <w:highlight w:val="none"/>
              </w:rPr>
            </w:pPr>
          </w:p>
        </w:tc>
        <w:tc>
          <w:tcPr>
            <w:tcW w:w="1500" w:type="dxa"/>
          </w:tcPr>
          <w:p w14:paraId="4B4ACAD6">
            <w:pPr>
              <w:pStyle w:val="28"/>
              <w:spacing w:line="360" w:lineRule="auto"/>
              <w:rPr>
                <w:color w:val="auto"/>
                <w:sz w:val="22"/>
                <w:highlight w:val="none"/>
              </w:rPr>
            </w:pPr>
          </w:p>
        </w:tc>
      </w:tr>
      <w:tr w14:paraId="18814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777429B7">
            <w:pPr>
              <w:pStyle w:val="28"/>
              <w:spacing w:before="160" w:line="360" w:lineRule="auto"/>
              <w:ind w:left="15"/>
              <w:jc w:val="center"/>
              <w:rPr>
                <w:color w:val="auto"/>
                <w:highlight w:val="none"/>
              </w:rPr>
            </w:pPr>
            <w:r>
              <w:rPr>
                <w:color w:val="auto"/>
                <w:highlight w:val="none"/>
              </w:rPr>
              <w:t>2</w:t>
            </w:r>
          </w:p>
        </w:tc>
        <w:tc>
          <w:tcPr>
            <w:tcW w:w="852" w:type="dxa"/>
          </w:tcPr>
          <w:p w14:paraId="7587E0A3">
            <w:pPr>
              <w:pStyle w:val="28"/>
              <w:spacing w:line="360" w:lineRule="auto"/>
              <w:rPr>
                <w:color w:val="auto"/>
                <w:sz w:val="22"/>
                <w:highlight w:val="none"/>
              </w:rPr>
            </w:pPr>
          </w:p>
        </w:tc>
        <w:tc>
          <w:tcPr>
            <w:tcW w:w="2148" w:type="dxa"/>
          </w:tcPr>
          <w:p w14:paraId="64D8A9A2">
            <w:pPr>
              <w:pStyle w:val="28"/>
              <w:spacing w:line="360" w:lineRule="auto"/>
              <w:rPr>
                <w:color w:val="auto"/>
                <w:sz w:val="22"/>
                <w:highlight w:val="none"/>
              </w:rPr>
            </w:pPr>
          </w:p>
        </w:tc>
        <w:tc>
          <w:tcPr>
            <w:tcW w:w="1635" w:type="dxa"/>
          </w:tcPr>
          <w:p w14:paraId="355488B6">
            <w:pPr>
              <w:pStyle w:val="28"/>
              <w:spacing w:line="360" w:lineRule="auto"/>
              <w:rPr>
                <w:color w:val="auto"/>
                <w:sz w:val="22"/>
                <w:highlight w:val="none"/>
              </w:rPr>
            </w:pPr>
          </w:p>
        </w:tc>
        <w:tc>
          <w:tcPr>
            <w:tcW w:w="2320" w:type="dxa"/>
          </w:tcPr>
          <w:p w14:paraId="4D8C16B9">
            <w:pPr>
              <w:pStyle w:val="28"/>
              <w:spacing w:line="360" w:lineRule="auto"/>
              <w:rPr>
                <w:color w:val="auto"/>
                <w:sz w:val="22"/>
                <w:highlight w:val="none"/>
              </w:rPr>
            </w:pPr>
          </w:p>
        </w:tc>
        <w:tc>
          <w:tcPr>
            <w:tcW w:w="1500" w:type="dxa"/>
          </w:tcPr>
          <w:p w14:paraId="3D2BD654">
            <w:pPr>
              <w:pStyle w:val="28"/>
              <w:spacing w:line="360" w:lineRule="auto"/>
              <w:rPr>
                <w:color w:val="auto"/>
                <w:sz w:val="22"/>
                <w:highlight w:val="none"/>
              </w:rPr>
            </w:pPr>
          </w:p>
        </w:tc>
      </w:tr>
      <w:tr w14:paraId="4A2CD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0A04E6E4">
            <w:pPr>
              <w:pStyle w:val="28"/>
              <w:spacing w:before="161" w:line="360" w:lineRule="auto"/>
              <w:ind w:left="15"/>
              <w:jc w:val="center"/>
              <w:rPr>
                <w:color w:val="auto"/>
                <w:highlight w:val="none"/>
              </w:rPr>
            </w:pPr>
            <w:r>
              <w:rPr>
                <w:color w:val="auto"/>
                <w:highlight w:val="none"/>
              </w:rPr>
              <w:t>3</w:t>
            </w:r>
          </w:p>
        </w:tc>
        <w:tc>
          <w:tcPr>
            <w:tcW w:w="852" w:type="dxa"/>
          </w:tcPr>
          <w:p w14:paraId="3174D3C7">
            <w:pPr>
              <w:pStyle w:val="28"/>
              <w:spacing w:line="360" w:lineRule="auto"/>
              <w:rPr>
                <w:color w:val="auto"/>
                <w:sz w:val="22"/>
                <w:highlight w:val="none"/>
              </w:rPr>
            </w:pPr>
          </w:p>
        </w:tc>
        <w:tc>
          <w:tcPr>
            <w:tcW w:w="2148" w:type="dxa"/>
          </w:tcPr>
          <w:p w14:paraId="59AC86CD">
            <w:pPr>
              <w:pStyle w:val="28"/>
              <w:spacing w:line="360" w:lineRule="auto"/>
              <w:rPr>
                <w:color w:val="auto"/>
                <w:sz w:val="22"/>
                <w:highlight w:val="none"/>
              </w:rPr>
            </w:pPr>
          </w:p>
        </w:tc>
        <w:tc>
          <w:tcPr>
            <w:tcW w:w="1635" w:type="dxa"/>
          </w:tcPr>
          <w:p w14:paraId="49378FC5">
            <w:pPr>
              <w:pStyle w:val="28"/>
              <w:spacing w:line="360" w:lineRule="auto"/>
              <w:rPr>
                <w:color w:val="auto"/>
                <w:sz w:val="22"/>
                <w:highlight w:val="none"/>
              </w:rPr>
            </w:pPr>
          </w:p>
        </w:tc>
        <w:tc>
          <w:tcPr>
            <w:tcW w:w="2320" w:type="dxa"/>
          </w:tcPr>
          <w:p w14:paraId="6139CB92">
            <w:pPr>
              <w:pStyle w:val="28"/>
              <w:spacing w:line="360" w:lineRule="auto"/>
              <w:rPr>
                <w:color w:val="auto"/>
                <w:sz w:val="22"/>
                <w:highlight w:val="none"/>
              </w:rPr>
            </w:pPr>
          </w:p>
        </w:tc>
        <w:tc>
          <w:tcPr>
            <w:tcW w:w="1500" w:type="dxa"/>
          </w:tcPr>
          <w:p w14:paraId="687B5724">
            <w:pPr>
              <w:pStyle w:val="28"/>
              <w:spacing w:line="360" w:lineRule="auto"/>
              <w:rPr>
                <w:color w:val="auto"/>
                <w:sz w:val="22"/>
                <w:highlight w:val="none"/>
              </w:rPr>
            </w:pPr>
          </w:p>
        </w:tc>
      </w:tr>
      <w:tr w14:paraId="37147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980" w:type="dxa"/>
          </w:tcPr>
          <w:p w14:paraId="07D88C93">
            <w:pPr>
              <w:pStyle w:val="28"/>
              <w:spacing w:before="161" w:line="360" w:lineRule="auto"/>
              <w:ind w:left="15"/>
              <w:jc w:val="center"/>
              <w:rPr>
                <w:color w:val="auto"/>
                <w:highlight w:val="none"/>
              </w:rPr>
            </w:pPr>
            <w:r>
              <w:rPr>
                <w:color w:val="auto"/>
                <w:highlight w:val="none"/>
              </w:rPr>
              <w:t>4</w:t>
            </w:r>
          </w:p>
        </w:tc>
        <w:tc>
          <w:tcPr>
            <w:tcW w:w="852" w:type="dxa"/>
          </w:tcPr>
          <w:p w14:paraId="3413728F">
            <w:pPr>
              <w:pStyle w:val="28"/>
              <w:spacing w:line="360" w:lineRule="auto"/>
              <w:rPr>
                <w:color w:val="auto"/>
                <w:sz w:val="22"/>
                <w:highlight w:val="none"/>
              </w:rPr>
            </w:pPr>
          </w:p>
        </w:tc>
        <w:tc>
          <w:tcPr>
            <w:tcW w:w="2148" w:type="dxa"/>
          </w:tcPr>
          <w:p w14:paraId="189B5E22">
            <w:pPr>
              <w:pStyle w:val="28"/>
              <w:spacing w:line="360" w:lineRule="auto"/>
              <w:rPr>
                <w:color w:val="auto"/>
                <w:sz w:val="22"/>
                <w:highlight w:val="none"/>
              </w:rPr>
            </w:pPr>
          </w:p>
        </w:tc>
        <w:tc>
          <w:tcPr>
            <w:tcW w:w="1635" w:type="dxa"/>
          </w:tcPr>
          <w:p w14:paraId="6D80F448">
            <w:pPr>
              <w:pStyle w:val="28"/>
              <w:spacing w:line="360" w:lineRule="auto"/>
              <w:rPr>
                <w:color w:val="auto"/>
                <w:sz w:val="22"/>
                <w:highlight w:val="none"/>
              </w:rPr>
            </w:pPr>
          </w:p>
        </w:tc>
        <w:tc>
          <w:tcPr>
            <w:tcW w:w="2320" w:type="dxa"/>
          </w:tcPr>
          <w:p w14:paraId="775E3123">
            <w:pPr>
              <w:pStyle w:val="28"/>
              <w:spacing w:line="360" w:lineRule="auto"/>
              <w:rPr>
                <w:color w:val="auto"/>
                <w:sz w:val="22"/>
                <w:highlight w:val="none"/>
              </w:rPr>
            </w:pPr>
          </w:p>
        </w:tc>
        <w:tc>
          <w:tcPr>
            <w:tcW w:w="1500" w:type="dxa"/>
          </w:tcPr>
          <w:p w14:paraId="7BCC57AC">
            <w:pPr>
              <w:pStyle w:val="28"/>
              <w:spacing w:line="360" w:lineRule="auto"/>
              <w:rPr>
                <w:color w:val="auto"/>
                <w:sz w:val="22"/>
                <w:highlight w:val="none"/>
              </w:rPr>
            </w:pPr>
          </w:p>
        </w:tc>
      </w:tr>
      <w:tr w14:paraId="4EF99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980" w:type="dxa"/>
          </w:tcPr>
          <w:p w14:paraId="27CEFFD4">
            <w:pPr>
              <w:pStyle w:val="28"/>
              <w:spacing w:before="162" w:line="360" w:lineRule="auto"/>
              <w:ind w:left="15"/>
              <w:jc w:val="center"/>
              <w:rPr>
                <w:color w:val="auto"/>
                <w:highlight w:val="none"/>
              </w:rPr>
            </w:pPr>
            <w:r>
              <w:rPr>
                <w:color w:val="auto"/>
                <w:highlight w:val="none"/>
              </w:rPr>
              <w:t>5</w:t>
            </w:r>
          </w:p>
        </w:tc>
        <w:tc>
          <w:tcPr>
            <w:tcW w:w="852" w:type="dxa"/>
          </w:tcPr>
          <w:p w14:paraId="6C744549">
            <w:pPr>
              <w:pStyle w:val="28"/>
              <w:spacing w:line="360" w:lineRule="auto"/>
              <w:rPr>
                <w:color w:val="auto"/>
                <w:sz w:val="22"/>
                <w:highlight w:val="none"/>
              </w:rPr>
            </w:pPr>
          </w:p>
        </w:tc>
        <w:tc>
          <w:tcPr>
            <w:tcW w:w="2148" w:type="dxa"/>
          </w:tcPr>
          <w:p w14:paraId="790291D4">
            <w:pPr>
              <w:pStyle w:val="28"/>
              <w:spacing w:line="360" w:lineRule="auto"/>
              <w:rPr>
                <w:color w:val="auto"/>
                <w:sz w:val="22"/>
                <w:highlight w:val="none"/>
              </w:rPr>
            </w:pPr>
          </w:p>
        </w:tc>
        <w:tc>
          <w:tcPr>
            <w:tcW w:w="1635" w:type="dxa"/>
          </w:tcPr>
          <w:p w14:paraId="17E734C7">
            <w:pPr>
              <w:pStyle w:val="28"/>
              <w:spacing w:line="360" w:lineRule="auto"/>
              <w:rPr>
                <w:color w:val="auto"/>
                <w:sz w:val="22"/>
                <w:highlight w:val="none"/>
              </w:rPr>
            </w:pPr>
          </w:p>
        </w:tc>
        <w:tc>
          <w:tcPr>
            <w:tcW w:w="2320" w:type="dxa"/>
          </w:tcPr>
          <w:p w14:paraId="2DA75EB3">
            <w:pPr>
              <w:pStyle w:val="28"/>
              <w:spacing w:line="360" w:lineRule="auto"/>
              <w:rPr>
                <w:color w:val="auto"/>
                <w:sz w:val="22"/>
                <w:highlight w:val="none"/>
              </w:rPr>
            </w:pPr>
          </w:p>
        </w:tc>
        <w:tc>
          <w:tcPr>
            <w:tcW w:w="1500" w:type="dxa"/>
          </w:tcPr>
          <w:p w14:paraId="66E3BB28">
            <w:pPr>
              <w:pStyle w:val="28"/>
              <w:spacing w:line="360" w:lineRule="auto"/>
              <w:rPr>
                <w:color w:val="auto"/>
                <w:sz w:val="22"/>
                <w:highlight w:val="none"/>
              </w:rPr>
            </w:pPr>
          </w:p>
        </w:tc>
      </w:tr>
      <w:tr w14:paraId="5D718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20B7742B">
            <w:pPr>
              <w:pStyle w:val="28"/>
              <w:spacing w:before="162" w:line="360" w:lineRule="auto"/>
              <w:ind w:left="241" w:right="226"/>
              <w:jc w:val="center"/>
              <w:rPr>
                <w:color w:val="auto"/>
                <w:highlight w:val="none"/>
              </w:rPr>
            </w:pPr>
            <w:r>
              <w:rPr>
                <w:color w:val="auto"/>
                <w:highlight w:val="none"/>
              </w:rPr>
              <w:t>...</w:t>
            </w:r>
          </w:p>
        </w:tc>
        <w:tc>
          <w:tcPr>
            <w:tcW w:w="852" w:type="dxa"/>
          </w:tcPr>
          <w:p w14:paraId="034F8491">
            <w:pPr>
              <w:pStyle w:val="28"/>
              <w:spacing w:line="360" w:lineRule="auto"/>
              <w:rPr>
                <w:color w:val="auto"/>
                <w:sz w:val="22"/>
                <w:highlight w:val="none"/>
              </w:rPr>
            </w:pPr>
          </w:p>
        </w:tc>
        <w:tc>
          <w:tcPr>
            <w:tcW w:w="2148" w:type="dxa"/>
          </w:tcPr>
          <w:p w14:paraId="6B6073A6">
            <w:pPr>
              <w:pStyle w:val="28"/>
              <w:spacing w:line="360" w:lineRule="auto"/>
              <w:rPr>
                <w:color w:val="auto"/>
                <w:sz w:val="22"/>
                <w:highlight w:val="none"/>
              </w:rPr>
            </w:pPr>
          </w:p>
        </w:tc>
        <w:tc>
          <w:tcPr>
            <w:tcW w:w="1635" w:type="dxa"/>
          </w:tcPr>
          <w:p w14:paraId="696A5461">
            <w:pPr>
              <w:pStyle w:val="28"/>
              <w:spacing w:line="360" w:lineRule="auto"/>
              <w:rPr>
                <w:color w:val="auto"/>
                <w:sz w:val="22"/>
                <w:highlight w:val="none"/>
              </w:rPr>
            </w:pPr>
          </w:p>
        </w:tc>
        <w:tc>
          <w:tcPr>
            <w:tcW w:w="2320" w:type="dxa"/>
          </w:tcPr>
          <w:p w14:paraId="32F11E35">
            <w:pPr>
              <w:pStyle w:val="28"/>
              <w:spacing w:line="360" w:lineRule="auto"/>
              <w:rPr>
                <w:color w:val="auto"/>
                <w:sz w:val="22"/>
                <w:highlight w:val="none"/>
              </w:rPr>
            </w:pPr>
          </w:p>
        </w:tc>
        <w:tc>
          <w:tcPr>
            <w:tcW w:w="1500" w:type="dxa"/>
          </w:tcPr>
          <w:p w14:paraId="77F9015F">
            <w:pPr>
              <w:pStyle w:val="28"/>
              <w:spacing w:line="360" w:lineRule="auto"/>
              <w:rPr>
                <w:color w:val="auto"/>
                <w:sz w:val="22"/>
                <w:highlight w:val="none"/>
              </w:rPr>
            </w:pPr>
          </w:p>
        </w:tc>
      </w:tr>
    </w:tbl>
    <w:p w14:paraId="3B5AB8EF">
      <w:pPr>
        <w:pStyle w:val="7"/>
        <w:spacing w:line="360" w:lineRule="auto"/>
        <w:rPr>
          <w:b/>
          <w:color w:val="auto"/>
          <w:highlight w:val="none"/>
        </w:rPr>
      </w:pPr>
    </w:p>
    <w:p w14:paraId="4E88FB99">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14:paraId="38904270">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14:paraId="3B80A6EA">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14:paraId="3A2E2083">
      <w:pPr>
        <w:pStyle w:val="7"/>
        <w:spacing w:line="360" w:lineRule="auto"/>
        <w:rPr>
          <w:color w:val="auto"/>
          <w:sz w:val="20"/>
          <w:highlight w:val="none"/>
        </w:rPr>
      </w:pPr>
    </w:p>
    <w:p w14:paraId="04305506">
      <w:pPr>
        <w:pStyle w:val="8"/>
        <w:spacing w:line="360" w:lineRule="auto"/>
        <w:rPr>
          <w:color w:val="auto"/>
          <w:sz w:val="20"/>
          <w:highlight w:val="none"/>
        </w:rPr>
      </w:pPr>
    </w:p>
    <w:p w14:paraId="70B57C88">
      <w:pPr>
        <w:spacing w:line="360" w:lineRule="auto"/>
        <w:rPr>
          <w:color w:val="auto"/>
          <w:sz w:val="20"/>
          <w:highlight w:val="none"/>
        </w:rPr>
      </w:pPr>
    </w:p>
    <w:p w14:paraId="366022F8">
      <w:pPr>
        <w:pStyle w:val="21"/>
        <w:spacing w:line="360" w:lineRule="auto"/>
        <w:ind w:firstLine="0"/>
        <w:rPr>
          <w:color w:val="auto"/>
          <w:sz w:val="20"/>
          <w:highlight w:val="none"/>
        </w:rPr>
      </w:pPr>
    </w:p>
    <w:p w14:paraId="604205D8">
      <w:pPr>
        <w:pStyle w:val="31"/>
        <w:tabs>
          <w:tab w:val="left" w:pos="580"/>
        </w:tabs>
        <w:spacing w:before="215" w:line="360" w:lineRule="auto"/>
        <w:ind w:left="335" w:firstLine="0" w:firstLineChars="0"/>
        <w:jc w:val="left"/>
        <w:rPr>
          <w:b/>
          <w:color w:val="auto"/>
          <w:sz w:val="24"/>
          <w:highlight w:val="none"/>
        </w:rPr>
      </w:pPr>
    </w:p>
    <w:p w14:paraId="2BD924B7">
      <w:pPr>
        <w:pStyle w:val="31"/>
        <w:tabs>
          <w:tab w:val="left" w:pos="580"/>
        </w:tabs>
        <w:spacing w:before="215" w:line="360" w:lineRule="auto"/>
        <w:ind w:left="335" w:firstLine="0" w:firstLineChars="0"/>
        <w:jc w:val="left"/>
        <w:rPr>
          <w:b/>
          <w:color w:val="auto"/>
          <w:sz w:val="24"/>
          <w:highlight w:val="none"/>
        </w:rPr>
      </w:pPr>
    </w:p>
    <w:p w14:paraId="30A40724">
      <w:pPr>
        <w:pStyle w:val="31"/>
        <w:numPr>
          <w:ilvl w:val="0"/>
          <w:numId w:val="15"/>
        </w:numPr>
        <w:tabs>
          <w:tab w:val="left" w:pos="580"/>
        </w:tabs>
        <w:spacing w:line="360" w:lineRule="auto"/>
        <w:ind w:firstLine="31680"/>
        <w:jc w:val="left"/>
        <w:rPr>
          <w:b/>
          <w:color w:val="auto"/>
          <w:sz w:val="12"/>
          <w:highlight w:val="none"/>
        </w:rPr>
      </w:pPr>
      <w:r>
        <w:rPr>
          <w:rFonts w:hint="eastAsia"/>
          <w:b/>
          <w:color w:val="auto"/>
          <w:sz w:val="24"/>
          <w:highlight w:val="none"/>
        </w:rPr>
        <w:t>标注</w:t>
      </w:r>
      <w:r>
        <w:rPr>
          <w:b/>
          <w:color w:val="auto"/>
          <w:sz w:val="24"/>
          <w:highlight w:val="none"/>
        </w:rPr>
        <w:t>“</w:t>
      </w:r>
      <w:r>
        <w:rPr>
          <w:rFonts w:hint="eastAsia" w:ascii="宋体" w:hAnsi="宋体" w:cs="宋体"/>
          <w:sz w:val="24"/>
          <w:szCs w:val="24"/>
          <w:highlight w:val="none"/>
          <w:lang w:eastAsia="zh-CN"/>
        </w:rPr>
        <w:t>☆</w:t>
      </w:r>
      <w:r>
        <w:rPr>
          <w:b/>
          <w:color w:val="auto"/>
          <w:sz w:val="24"/>
          <w:highlight w:val="none"/>
        </w:rPr>
        <w:t>”</w:t>
      </w:r>
      <w:r>
        <w:rPr>
          <w:rFonts w:hint="eastAsia"/>
          <w:b/>
          <w:color w:val="auto"/>
          <w:sz w:val="24"/>
          <w:highlight w:val="none"/>
        </w:rPr>
        <w:t>号项技术参数偏差表</w:t>
      </w:r>
    </w:p>
    <w:tbl>
      <w:tblPr>
        <w:tblStyle w:val="23"/>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52"/>
        <w:gridCol w:w="2148"/>
        <w:gridCol w:w="1635"/>
        <w:gridCol w:w="2320"/>
        <w:gridCol w:w="1500"/>
      </w:tblGrid>
      <w:tr w14:paraId="2DBB4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80" w:type="dxa"/>
            <w:vAlign w:val="center"/>
          </w:tcPr>
          <w:p w14:paraId="1BBD6280">
            <w:pPr>
              <w:pStyle w:val="28"/>
              <w:spacing w:before="4" w:line="360" w:lineRule="auto"/>
              <w:jc w:val="center"/>
              <w:rPr>
                <w:b/>
                <w:color w:val="auto"/>
                <w:sz w:val="18"/>
                <w:highlight w:val="none"/>
              </w:rPr>
            </w:pPr>
          </w:p>
          <w:p w14:paraId="2AECC0E4">
            <w:pPr>
              <w:pStyle w:val="28"/>
              <w:spacing w:line="360" w:lineRule="auto"/>
              <w:ind w:left="246" w:right="226"/>
              <w:jc w:val="center"/>
              <w:rPr>
                <w:b/>
                <w:color w:val="auto"/>
                <w:highlight w:val="none"/>
              </w:rPr>
            </w:pPr>
            <w:r>
              <w:rPr>
                <w:rFonts w:hint="eastAsia"/>
                <w:b/>
                <w:color w:val="auto"/>
                <w:w w:val="95"/>
                <w:highlight w:val="none"/>
              </w:rPr>
              <w:t>序号</w:t>
            </w:r>
          </w:p>
        </w:tc>
        <w:tc>
          <w:tcPr>
            <w:tcW w:w="852" w:type="dxa"/>
            <w:vAlign w:val="center"/>
          </w:tcPr>
          <w:p w14:paraId="50DE6CFB">
            <w:pPr>
              <w:pStyle w:val="28"/>
              <w:spacing w:before="2" w:line="360" w:lineRule="auto"/>
              <w:ind w:left="22"/>
              <w:jc w:val="center"/>
              <w:rPr>
                <w:b/>
                <w:color w:val="auto"/>
                <w:highlight w:val="none"/>
              </w:rPr>
            </w:pPr>
            <w:r>
              <w:rPr>
                <w:rFonts w:hint="eastAsia"/>
                <w:b/>
                <w:color w:val="auto"/>
                <w:w w:val="99"/>
                <w:highlight w:val="none"/>
              </w:rPr>
              <w:t>名</w:t>
            </w:r>
          </w:p>
          <w:p w14:paraId="10C2019E">
            <w:pPr>
              <w:pStyle w:val="28"/>
              <w:spacing w:before="158" w:line="360" w:lineRule="auto"/>
              <w:ind w:left="22"/>
              <w:jc w:val="center"/>
              <w:rPr>
                <w:b/>
                <w:color w:val="auto"/>
                <w:highlight w:val="none"/>
              </w:rPr>
            </w:pPr>
            <w:r>
              <w:rPr>
                <w:rFonts w:hint="eastAsia"/>
                <w:b/>
                <w:color w:val="auto"/>
                <w:w w:val="99"/>
                <w:highlight w:val="none"/>
              </w:rPr>
              <w:t>称</w:t>
            </w:r>
          </w:p>
        </w:tc>
        <w:tc>
          <w:tcPr>
            <w:tcW w:w="2148" w:type="dxa"/>
            <w:vAlign w:val="center"/>
          </w:tcPr>
          <w:p w14:paraId="5D60254E">
            <w:pPr>
              <w:pStyle w:val="28"/>
              <w:spacing w:before="2" w:line="360" w:lineRule="auto"/>
              <w:ind w:left="219" w:right="192"/>
              <w:jc w:val="center"/>
              <w:rPr>
                <w:b/>
                <w:color w:val="auto"/>
                <w:highlight w:val="none"/>
              </w:rPr>
            </w:pPr>
            <w:r>
              <w:rPr>
                <w:rFonts w:hint="eastAsia"/>
                <w:b/>
                <w:color w:val="auto"/>
                <w:highlight w:val="none"/>
              </w:rPr>
              <w:t>招标文件要求的</w:t>
            </w:r>
          </w:p>
          <w:p w14:paraId="6E796651">
            <w:pPr>
              <w:pStyle w:val="28"/>
              <w:spacing w:before="158" w:line="360" w:lineRule="auto"/>
              <w:ind w:left="216" w:right="192"/>
              <w:jc w:val="center"/>
              <w:rPr>
                <w:b/>
                <w:color w:val="auto"/>
                <w:highlight w:val="none"/>
              </w:rPr>
            </w:pPr>
            <w:r>
              <w:rPr>
                <w:rFonts w:hint="eastAsia"/>
                <w:b/>
                <w:color w:val="auto"/>
                <w:highlight w:val="none"/>
              </w:rPr>
              <w:t>技术参数</w:t>
            </w:r>
          </w:p>
        </w:tc>
        <w:tc>
          <w:tcPr>
            <w:tcW w:w="1635" w:type="dxa"/>
            <w:vAlign w:val="center"/>
          </w:tcPr>
          <w:p w14:paraId="1F495545">
            <w:pPr>
              <w:pStyle w:val="28"/>
              <w:spacing w:before="2" w:line="360" w:lineRule="auto"/>
              <w:ind w:left="14"/>
              <w:jc w:val="center"/>
              <w:rPr>
                <w:b/>
                <w:color w:val="auto"/>
                <w:highlight w:val="none"/>
              </w:rPr>
            </w:pPr>
            <w:r>
              <w:rPr>
                <w:rFonts w:hint="eastAsia"/>
                <w:b/>
                <w:color w:val="auto"/>
                <w:highlight w:val="none"/>
              </w:rPr>
              <w:t>投标文件所附</w:t>
            </w:r>
          </w:p>
          <w:p w14:paraId="1C1A362C">
            <w:pPr>
              <w:pStyle w:val="28"/>
              <w:spacing w:before="158" w:line="360" w:lineRule="auto"/>
              <w:ind w:left="134"/>
              <w:jc w:val="center"/>
              <w:rPr>
                <w:b/>
                <w:color w:val="auto"/>
                <w:highlight w:val="none"/>
              </w:rPr>
            </w:pPr>
            <w:r>
              <w:rPr>
                <w:rFonts w:hint="eastAsia"/>
                <w:b/>
                <w:color w:val="auto"/>
                <w:highlight w:val="none"/>
              </w:rPr>
              <w:t>的技术参数</w:t>
            </w:r>
          </w:p>
        </w:tc>
        <w:tc>
          <w:tcPr>
            <w:tcW w:w="2320" w:type="dxa"/>
            <w:vAlign w:val="center"/>
          </w:tcPr>
          <w:p w14:paraId="2DAD7DFA">
            <w:pPr>
              <w:pStyle w:val="28"/>
              <w:spacing w:before="158" w:line="360" w:lineRule="auto"/>
              <w:ind w:right="147"/>
              <w:jc w:val="center"/>
              <w:rPr>
                <w:b/>
                <w:color w:val="auto"/>
                <w:highlight w:val="none"/>
              </w:rPr>
            </w:pPr>
            <w:r>
              <w:rPr>
                <w:rFonts w:hint="eastAsia"/>
                <w:b/>
                <w:color w:val="auto"/>
                <w:highlight w:val="none"/>
              </w:rPr>
              <w:t>偏差情况</w:t>
            </w:r>
          </w:p>
        </w:tc>
        <w:tc>
          <w:tcPr>
            <w:tcW w:w="1500" w:type="dxa"/>
            <w:vAlign w:val="center"/>
          </w:tcPr>
          <w:p w14:paraId="502F44D0">
            <w:pPr>
              <w:pStyle w:val="28"/>
              <w:spacing w:before="4" w:line="360" w:lineRule="auto"/>
              <w:jc w:val="center"/>
              <w:rPr>
                <w:b/>
                <w:color w:val="auto"/>
                <w:sz w:val="18"/>
                <w:highlight w:val="none"/>
              </w:rPr>
            </w:pPr>
          </w:p>
          <w:p w14:paraId="58FDCF09">
            <w:pPr>
              <w:pStyle w:val="28"/>
              <w:spacing w:line="360" w:lineRule="auto"/>
              <w:ind w:left="30"/>
              <w:jc w:val="center"/>
              <w:rPr>
                <w:b/>
                <w:color w:val="auto"/>
                <w:highlight w:val="none"/>
              </w:rPr>
            </w:pPr>
            <w:r>
              <w:rPr>
                <w:rFonts w:hint="eastAsia"/>
                <w:b/>
                <w:color w:val="auto"/>
                <w:highlight w:val="none"/>
              </w:rPr>
              <w:t>偏离说明</w:t>
            </w:r>
          </w:p>
        </w:tc>
      </w:tr>
      <w:tr w14:paraId="169F1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57356FE6">
            <w:pPr>
              <w:pStyle w:val="28"/>
              <w:spacing w:before="162" w:line="360" w:lineRule="auto"/>
              <w:ind w:left="15"/>
              <w:jc w:val="center"/>
              <w:rPr>
                <w:color w:val="auto"/>
                <w:highlight w:val="none"/>
              </w:rPr>
            </w:pPr>
            <w:r>
              <w:rPr>
                <w:color w:val="auto"/>
                <w:highlight w:val="none"/>
              </w:rPr>
              <w:t>1</w:t>
            </w:r>
          </w:p>
        </w:tc>
        <w:tc>
          <w:tcPr>
            <w:tcW w:w="852" w:type="dxa"/>
          </w:tcPr>
          <w:p w14:paraId="770E854F">
            <w:pPr>
              <w:pStyle w:val="28"/>
              <w:spacing w:line="360" w:lineRule="auto"/>
              <w:rPr>
                <w:color w:val="auto"/>
                <w:sz w:val="22"/>
                <w:highlight w:val="none"/>
              </w:rPr>
            </w:pPr>
          </w:p>
        </w:tc>
        <w:tc>
          <w:tcPr>
            <w:tcW w:w="2148" w:type="dxa"/>
          </w:tcPr>
          <w:p w14:paraId="2E96CFAF">
            <w:pPr>
              <w:pStyle w:val="28"/>
              <w:spacing w:line="360" w:lineRule="auto"/>
              <w:rPr>
                <w:color w:val="auto"/>
                <w:sz w:val="22"/>
                <w:highlight w:val="none"/>
              </w:rPr>
            </w:pPr>
          </w:p>
        </w:tc>
        <w:tc>
          <w:tcPr>
            <w:tcW w:w="1635" w:type="dxa"/>
          </w:tcPr>
          <w:p w14:paraId="5B90B8D2">
            <w:pPr>
              <w:pStyle w:val="28"/>
              <w:spacing w:line="360" w:lineRule="auto"/>
              <w:rPr>
                <w:color w:val="auto"/>
                <w:sz w:val="22"/>
                <w:highlight w:val="none"/>
              </w:rPr>
            </w:pPr>
          </w:p>
        </w:tc>
        <w:tc>
          <w:tcPr>
            <w:tcW w:w="2320" w:type="dxa"/>
          </w:tcPr>
          <w:p w14:paraId="5C4DD31A">
            <w:pPr>
              <w:pStyle w:val="28"/>
              <w:spacing w:line="360" w:lineRule="auto"/>
              <w:rPr>
                <w:color w:val="auto"/>
                <w:sz w:val="22"/>
                <w:highlight w:val="none"/>
              </w:rPr>
            </w:pPr>
          </w:p>
        </w:tc>
        <w:tc>
          <w:tcPr>
            <w:tcW w:w="1500" w:type="dxa"/>
          </w:tcPr>
          <w:p w14:paraId="2A313A5C">
            <w:pPr>
              <w:pStyle w:val="28"/>
              <w:spacing w:line="360" w:lineRule="auto"/>
              <w:rPr>
                <w:color w:val="auto"/>
                <w:sz w:val="22"/>
                <w:highlight w:val="none"/>
              </w:rPr>
            </w:pPr>
          </w:p>
        </w:tc>
      </w:tr>
      <w:tr w14:paraId="3970A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5E501ECE">
            <w:pPr>
              <w:pStyle w:val="28"/>
              <w:spacing w:before="160" w:line="360" w:lineRule="auto"/>
              <w:ind w:left="15"/>
              <w:jc w:val="center"/>
              <w:rPr>
                <w:color w:val="auto"/>
                <w:highlight w:val="none"/>
              </w:rPr>
            </w:pPr>
            <w:r>
              <w:rPr>
                <w:color w:val="auto"/>
                <w:highlight w:val="none"/>
              </w:rPr>
              <w:t>2</w:t>
            </w:r>
          </w:p>
        </w:tc>
        <w:tc>
          <w:tcPr>
            <w:tcW w:w="852" w:type="dxa"/>
          </w:tcPr>
          <w:p w14:paraId="65A8A7A1">
            <w:pPr>
              <w:pStyle w:val="28"/>
              <w:spacing w:line="360" w:lineRule="auto"/>
              <w:rPr>
                <w:color w:val="auto"/>
                <w:sz w:val="22"/>
                <w:highlight w:val="none"/>
              </w:rPr>
            </w:pPr>
          </w:p>
        </w:tc>
        <w:tc>
          <w:tcPr>
            <w:tcW w:w="2148" w:type="dxa"/>
          </w:tcPr>
          <w:p w14:paraId="445746B7">
            <w:pPr>
              <w:pStyle w:val="28"/>
              <w:spacing w:line="360" w:lineRule="auto"/>
              <w:rPr>
                <w:color w:val="auto"/>
                <w:sz w:val="22"/>
                <w:highlight w:val="none"/>
              </w:rPr>
            </w:pPr>
          </w:p>
        </w:tc>
        <w:tc>
          <w:tcPr>
            <w:tcW w:w="1635" w:type="dxa"/>
          </w:tcPr>
          <w:p w14:paraId="229BF06E">
            <w:pPr>
              <w:pStyle w:val="28"/>
              <w:spacing w:line="360" w:lineRule="auto"/>
              <w:rPr>
                <w:color w:val="auto"/>
                <w:sz w:val="22"/>
                <w:highlight w:val="none"/>
              </w:rPr>
            </w:pPr>
          </w:p>
        </w:tc>
        <w:tc>
          <w:tcPr>
            <w:tcW w:w="2320" w:type="dxa"/>
          </w:tcPr>
          <w:p w14:paraId="385FAFB3">
            <w:pPr>
              <w:pStyle w:val="28"/>
              <w:spacing w:line="360" w:lineRule="auto"/>
              <w:rPr>
                <w:color w:val="auto"/>
                <w:sz w:val="22"/>
                <w:highlight w:val="none"/>
              </w:rPr>
            </w:pPr>
          </w:p>
        </w:tc>
        <w:tc>
          <w:tcPr>
            <w:tcW w:w="1500" w:type="dxa"/>
          </w:tcPr>
          <w:p w14:paraId="05949DD8">
            <w:pPr>
              <w:pStyle w:val="28"/>
              <w:spacing w:line="360" w:lineRule="auto"/>
              <w:rPr>
                <w:color w:val="auto"/>
                <w:sz w:val="22"/>
                <w:highlight w:val="none"/>
              </w:rPr>
            </w:pPr>
          </w:p>
        </w:tc>
      </w:tr>
      <w:tr w14:paraId="7986E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2888CDBD">
            <w:pPr>
              <w:pStyle w:val="28"/>
              <w:spacing w:before="161" w:line="360" w:lineRule="auto"/>
              <w:ind w:left="15"/>
              <w:jc w:val="center"/>
              <w:rPr>
                <w:color w:val="auto"/>
                <w:highlight w:val="none"/>
              </w:rPr>
            </w:pPr>
            <w:r>
              <w:rPr>
                <w:color w:val="auto"/>
                <w:highlight w:val="none"/>
              </w:rPr>
              <w:t>3</w:t>
            </w:r>
          </w:p>
        </w:tc>
        <w:tc>
          <w:tcPr>
            <w:tcW w:w="852" w:type="dxa"/>
          </w:tcPr>
          <w:p w14:paraId="34801744">
            <w:pPr>
              <w:pStyle w:val="28"/>
              <w:spacing w:line="360" w:lineRule="auto"/>
              <w:rPr>
                <w:color w:val="auto"/>
                <w:sz w:val="22"/>
                <w:highlight w:val="none"/>
              </w:rPr>
            </w:pPr>
          </w:p>
        </w:tc>
        <w:tc>
          <w:tcPr>
            <w:tcW w:w="2148" w:type="dxa"/>
          </w:tcPr>
          <w:p w14:paraId="5CDEE4EE">
            <w:pPr>
              <w:pStyle w:val="28"/>
              <w:spacing w:line="360" w:lineRule="auto"/>
              <w:rPr>
                <w:color w:val="auto"/>
                <w:sz w:val="22"/>
                <w:highlight w:val="none"/>
              </w:rPr>
            </w:pPr>
          </w:p>
        </w:tc>
        <w:tc>
          <w:tcPr>
            <w:tcW w:w="1635" w:type="dxa"/>
          </w:tcPr>
          <w:p w14:paraId="4384451D">
            <w:pPr>
              <w:pStyle w:val="28"/>
              <w:spacing w:line="360" w:lineRule="auto"/>
              <w:rPr>
                <w:color w:val="auto"/>
                <w:sz w:val="22"/>
                <w:highlight w:val="none"/>
              </w:rPr>
            </w:pPr>
          </w:p>
        </w:tc>
        <w:tc>
          <w:tcPr>
            <w:tcW w:w="2320" w:type="dxa"/>
          </w:tcPr>
          <w:p w14:paraId="37D19431">
            <w:pPr>
              <w:pStyle w:val="28"/>
              <w:spacing w:line="360" w:lineRule="auto"/>
              <w:rPr>
                <w:color w:val="auto"/>
                <w:sz w:val="22"/>
                <w:highlight w:val="none"/>
              </w:rPr>
            </w:pPr>
          </w:p>
        </w:tc>
        <w:tc>
          <w:tcPr>
            <w:tcW w:w="1500" w:type="dxa"/>
          </w:tcPr>
          <w:p w14:paraId="35104924">
            <w:pPr>
              <w:pStyle w:val="28"/>
              <w:spacing w:line="360" w:lineRule="auto"/>
              <w:rPr>
                <w:color w:val="auto"/>
                <w:sz w:val="22"/>
                <w:highlight w:val="none"/>
              </w:rPr>
            </w:pPr>
          </w:p>
        </w:tc>
      </w:tr>
      <w:tr w14:paraId="42844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980" w:type="dxa"/>
          </w:tcPr>
          <w:p w14:paraId="217CCB4C">
            <w:pPr>
              <w:pStyle w:val="28"/>
              <w:spacing w:before="161" w:line="360" w:lineRule="auto"/>
              <w:ind w:left="15"/>
              <w:jc w:val="center"/>
              <w:rPr>
                <w:color w:val="auto"/>
                <w:highlight w:val="none"/>
              </w:rPr>
            </w:pPr>
            <w:r>
              <w:rPr>
                <w:color w:val="auto"/>
                <w:highlight w:val="none"/>
              </w:rPr>
              <w:t>4</w:t>
            </w:r>
          </w:p>
        </w:tc>
        <w:tc>
          <w:tcPr>
            <w:tcW w:w="852" w:type="dxa"/>
          </w:tcPr>
          <w:p w14:paraId="7BC04D5F">
            <w:pPr>
              <w:pStyle w:val="28"/>
              <w:spacing w:line="360" w:lineRule="auto"/>
              <w:rPr>
                <w:color w:val="auto"/>
                <w:sz w:val="22"/>
                <w:highlight w:val="none"/>
              </w:rPr>
            </w:pPr>
          </w:p>
        </w:tc>
        <w:tc>
          <w:tcPr>
            <w:tcW w:w="2148" w:type="dxa"/>
          </w:tcPr>
          <w:p w14:paraId="74873169">
            <w:pPr>
              <w:pStyle w:val="28"/>
              <w:spacing w:line="360" w:lineRule="auto"/>
              <w:rPr>
                <w:color w:val="auto"/>
                <w:sz w:val="22"/>
                <w:highlight w:val="none"/>
              </w:rPr>
            </w:pPr>
          </w:p>
        </w:tc>
        <w:tc>
          <w:tcPr>
            <w:tcW w:w="1635" w:type="dxa"/>
          </w:tcPr>
          <w:p w14:paraId="4A9B0485">
            <w:pPr>
              <w:pStyle w:val="28"/>
              <w:spacing w:line="360" w:lineRule="auto"/>
              <w:rPr>
                <w:color w:val="auto"/>
                <w:sz w:val="22"/>
                <w:highlight w:val="none"/>
              </w:rPr>
            </w:pPr>
          </w:p>
        </w:tc>
        <w:tc>
          <w:tcPr>
            <w:tcW w:w="2320" w:type="dxa"/>
          </w:tcPr>
          <w:p w14:paraId="267280E3">
            <w:pPr>
              <w:pStyle w:val="28"/>
              <w:spacing w:line="360" w:lineRule="auto"/>
              <w:rPr>
                <w:color w:val="auto"/>
                <w:sz w:val="22"/>
                <w:highlight w:val="none"/>
              </w:rPr>
            </w:pPr>
          </w:p>
        </w:tc>
        <w:tc>
          <w:tcPr>
            <w:tcW w:w="1500" w:type="dxa"/>
          </w:tcPr>
          <w:p w14:paraId="5FED592F">
            <w:pPr>
              <w:pStyle w:val="28"/>
              <w:spacing w:line="360" w:lineRule="auto"/>
              <w:rPr>
                <w:color w:val="auto"/>
                <w:sz w:val="22"/>
                <w:highlight w:val="none"/>
              </w:rPr>
            </w:pPr>
          </w:p>
        </w:tc>
      </w:tr>
      <w:tr w14:paraId="27AA0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980" w:type="dxa"/>
          </w:tcPr>
          <w:p w14:paraId="55ED5B2F">
            <w:pPr>
              <w:pStyle w:val="28"/>
              <w:spacing w:before="162" w:line="360" w:lineRule="auto"/>
              <w:ind w:left="15"/>
              <w:jc w:val="center"/>
              <w:rPr>
                <w:color w:val="auto"/>
                <w:highlight w:val="none"/>
              </w:rPr>
            </w:pPr>
            <w:r>
              <w:rPr>
                <w:color w:val="auto"/>
                <w:highlight w:val="none"/>
              </w:rPr>
              <w:t>5</w:t>
            </w:r>
          </w:p>
        </w:tc>
        <w:tc>
          <w:tcPr>
            <w:tcW w:w="852" w:type="dxa"/>
          </w:tcPr>
          <w:p w14:paraId="779ABE03">
            <w:pPr>
              <w:pStyle w:val="28"/>
              <w:spacing w:line="360" w:lineRule="auto"/>
              <w:rPr>
                <w:color w:val="auto"/>
                <w:sz w:val="22"/>
                <w:highlight w:val="none"/>
              </w:rPr>
            </w:pPr>
          </w:p>
        </w:tc>
        <w:tc>
          <w:tcPr>
            <w:tcW w:w="2148" w:type="dxa"/>
          </w:tcPr>
          <w:p w14:paraId="5CFAF24E">
            <w:pPr>
              <w:pStyle w:val="28"/>
              <w:spacing w:line="360" w:lineRule="auto"/>
              <w:rPr>
                <w:color w:val="auto"/>
                <w:sz w:val="22"/>
                <w:highlight w:val="none"/>
              </w:rPr>
            </w:pPr>
          </w:p>
        </w:tc>
        <w:tc>
          <w:tcPr>
            <w:tcW w:w="1635" w:type="dxa"/>
          </w:tcPr>
          <w:p w14:paraId="301D3B06">
            <w:pPr>
              <w:pStyle w:val="28"/>
              <w:spacing w:line="360" w:lineRule="auto"/>
              <w:rPr>
                <w:color w:val="auto"/>
                <w:sz w:val="22"/>
                <w:highlight w:val="none"/>
              </w:rPr>
            </w:pPr>
          </w:p>
        </w:tc>
        <w:tc>
          <w:tcPr>
            <w:tcW w:w="2320" w:type="dxa"/>
          </w:tcPr>
          <w:p w14:paraId="7E59912C">
            <w:pPr>
              <w:pStyle w:val="28"/>
              <w:spacing w:line="360" w:lineRule="auto"/>
              <w:rPr>
                <w:color w:val="auto"/>
                <w:sz w:val="22"/>
                <w:highlight w:val="none"/>
              </w:rPr>
            </w:pPr>
          </w:p>
        </w:tc>
        <w:tc>
          <w:tcPr>
            <w:tcW w:w="1500" w:type="dxa"/>
          </w:tcPr>
          <w:p w14:paraId="00798EB8">
            <w:pPr>
              <w:pStyle w:val="28"/>
              <w:spacing w:line="360" w:lineRule="auto"/>
              <w:rPr>
                <w:color w:val="auto"/>
                <w:sz w:val="22"/>
                <w:highlight w:val="none"/>
              </w:rPr>
            </w:pPr>
          </w:p>
        </w:tc>
      </w:tr>
      <w:tr w14:paraId="6F2F8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03BACE7E">
            <w:pPr>
              <w:pStyle w:val="28"/>
              <w:spacing w:before="162" w:line="360" w:lineRule="auto"/>
              <w:ind w:left="241" w:right="226"/>
              <w:jc w:val="center"/>
              <w:rPr>
                <w:color w:val="auto"/>
                <w:highlight w:val="none"/>
              </w:rPr>
            </w:pPr>
            <w:r>
              <w:rPr>
                <w:color w:val="auto"/>
                <w:highlight w:val="none"/>
              </w:rPr>
              <w:t>...</w:t>
            </w:r>
          </w:p>
        </w:tc>
        <w:tc>
          <w:tcPr>
            <w:tcW w:w="852" w:type="dxa"/>
          </w:tcPr>
          <w:p w14:paraId="3F99544C">
            <w:pPr>
              <w:pStyle w:val="28"/>
              <w:spacing w:line="360" w:lineRule="auto"/>
              <w:rPr>
                <w:color w:val="auto"/>
                <w:sz w:val="22"/>
                <w:highlight w:val="none"/>
              </w:rPr>
            </w:pPr>
          </w:p>
        </w:tc>
        <w:tc>
          <w:tcPr>
            <w:tcW w:w="2148" w:type="dxa"/>
          </w:tcPr>
          <w:p w14:paraId="56A79D9E">
            <w:pPr>
              <w:pStyle w:val="28"/>
              <w:spacing w:line="360" w:lineRule="auto"/>
              <w:rPr>
                <w:color w:val="auto"/>
                <w:sz w:val="22"/>
                <w:highlight w:val="none"/>
              </w:rPr>
            </w:pPr>
          </w:p>
        </w:tc>
        <w:tc>
          <w:tcPr>
            <w:tcW w:w="1635" w:type="dxa"/>
          </w:tcPr>
          <w:p w14:paraId="17DA4747">
            <w:pPr>
              <w:pStyle w:val="28"/>
              <w:spacing w:line="360" w:lineRule="auto"/>
              <w:rPr>
                <w:color w:val="auto"/>
                <w:sz w:val="22"/>
                <w:highlight w:val="none"/>
              </w:rPr>
            </w:pPr>
          </w:p>
        </w:tc>
        <w:tc>
          <w:tcPr>
            <w:tcW w:w="2320" w:type="dxa"/>
          </w:tcPr>
          <w:p w14:paraId="67C9129E">
            <w:pPr>
              <w:pStyle w:val="28"/>
              <w:spacing w:line="360" w:lineRule="auto"/>
              <w:rPr>
                <w:color w:val="auto"/>
                <w:sz w:val="22"/>
                <w:highlight w:val="none"/>
              </w:rPr>
            </w:pPr>
          </w:p>
        </w:tc>
        <w:tc>
          <w:tcPr>
            <w:tcW w:w="1500" w:type="dxa"/>
          </w:tcPr>
          <w:p w14:paraId="7233D93A">
            <w:pPr>
              <w:pStyle w:val="28"/>
              <w:spacing w:line="360" w:lineRule="auto"/>
              <w:rPr>
                <w:color w:val="auto"/>
                <w:sz w:val="22"/>
                <w:highlight w:val="none"/>
              </w:rPr>
            </w:pPr>
          </w:p>
        </w:tc>
      </w:tr>
    </w:tbl>
    <w:p w14:paraId="7DAC6B6F">
      <w:pPr>
        <w:pStyle w:val="7"/>
        <w:spacing w:line="360" w:lineRule="auto"/>
        <w:rPr>
          <w:b/>
          <w:color w:val="auto"/>
          <w:highlight w:val="none"/>
        </w:rPr>
      </w:pPr>
    </w:p>
    <w:p w14:paraId="6B0D4605">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14:paraId="7941D83A">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14:paraId="07C5E770">
      <w:pPr>
        <w:spacing w:line="360" w:lineRule="auto"/>
        <w:ind w:right="-1"/>
        <w:rPr>
          <w:rFonts w:hint="eastAsia" w:ascii="宋体" w:hAns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14:paraId="54FD8554">
      <w:pPr>
        <w:spacing w:line="360" w:lineRule="auto"/>
        <w:ind w:right="-1"/>
        <w:rPr>
          <w:rFonts w:hint="eastAsia" w:ascii="宋体" w:hAnsi="宋体" w:cs="宋体"/>
          <w:color w:val="auto"/>
          <w:sz w:val="24"/>
          <w:szCs w:val="21"/>
          <w:highlight w:val="none"/>
        </w:rPr>
      </w:pPr>
    </w:p>
    <w:p w14:paraId="10493896">
      <w:pPr>
        <w:spacing w:line="360" w:lineRule="auto"/>
        <w:ind w:right="-1"/>
        <w:rPr>
          <w:rFonts w:hint="eastAsia" w:ascii="宋体" w:hAnsi="宋体" w:cs="宋体"/>
          <w:color w:val="auto"/>
          <w:sz w:val="24"/>
          <w:szCs w:val="21"/>
          <w:highlight w:val="none"/>
        </w:rPr>
      </w:pPr>
    </w:p>
    <w:p w14:paraId="725CAE4E">
      <w:pPr>
        <w:spacing w:line="360" w:lineRule="auto"/>
        <w:ind w:right="-1"/>
        <w:rPr>
          <w:rFonts w:hint="eastAsia" w:ascii="宋体" w:hAnsi="宋体" w:cs="宋体"/>
          <w:color w:val="auto"/>
          <w:sz w:val="24"/>
          <w:szCs w:val="21"/>
          <w:highlight w:val="none"/>
        </w:rPr>
      </w:pPr>
    </w:p>
    <w:p w14:paraId="3AB2A31A">
      <w:pPr>
        <w:spacing w:line="360" w:lineRule="auto"/>
        <w:ind w:right="-1"/>
        <w:rPr>
          <w:rFonts w:hint="eastAsia" w:ascii="宋体" w:hAnsi="宋体" w:cs="宋体"/>
          <w:color w:val="auto"/>
          <w:sz w:val="24"/>
          <w:szCs w:val="21"/>
          <w:highlight w:val="none"/>
        </w:rPr>
      </w:pPr>
    </w:p>
    <w:p w14:paraId="342017FB">
      <w:pPr>
        <w:spacing w:line="360" w:lineRule="auto"/>
        <w:ind w:right="-1"/>
        <w:rPr>
          <w:rFonts w:hint="eastAsia" w:ascii="宋体" w:hAnsi="宋体" w:cs="宋体"/>
          <w:color w:val="auto"/>
          <w:sz w:val="24"/>
          <w:szCs w:val="21"/>
          <w:highlight w:val="none"/>
        </w:rPr>
      </w:pPr>
    </w:p>
    <w:p w14:paraId="4AF7BF45">
      <w:pPr>
        <w:spacing w:line="360" w:lineRule="auto"/>
        <w:ind w:right="-1"/>
        <w:rPr>
          <w:rFonts w:hint="eastAsia" w:ascii="宋体" w:hAnsi="宋体" w:cs="宋体"/>
          <w:color w:val="auto"/>
          <w:sz w:val="24"/>
          <w:szCs w:val="21"/>
          <w:highlight w:val="none"/>
        </w:rPr>
      </w:pPr>
    </w:p>
    <w:p w14:paraId="75020422">
      <w:pPr>
        <w:spacing w:line="360" w:lineRule="auto"/>
        <w:ind w:right="-1"/>
        <w:rPr>
          <w:rFonts w:hint="eastAsia" w:ascii="宋体" w:hAnsi="宋体" w:cs="宋体"/>
          <w:color w:val="auto"/>
          <w:sz w:val="24"/>
          <w:szCs w:val="21"/>
          <w:highlight w:val="none"/>
        </w:rPr>
      </w:pPr>
    </w:p>
    <w:p w14:paraId="4B988964">
      <w:pPr>
        <w:pStyle w:val="31"/>
        <w:numPr>
          <w:ilvl w:val="0"/>
          <w:numId w:val="15"/>
        </w:numPr>
        <w:tabs>
          <w:tab w:val="left" w:pos="580"/>
        </w:tabs>
        <w:spacing w:before="215" w:line="360" w:lineRule="auto"/>
        <w:ind w:firstLineChars="0"/>
        <w:jc w:val="left"/>
        <w:rPr>
          <w:b/>
          <w:color w:val="auto"/>
          <w:sz w:val="24"/>
          <w:highlight w:val="none"/>
        </w:rPr>
      </w:pPr>
      <w:r>
        <w:rPr>
          <w:rFonts w:hint="eastAsia"/>
          <w:b/>
          <w:color w:val="auto"/>
          <w:sz w:val="24"/>
          <w:highlight w:val="none"/>
        </w:rPr>
        <w:t>不带标注符号项技术参数偏差表</w:t>
      </w:r>
    </w:p>
    <w:p w14:paraId="3179A7AC">
      <w:pPr>
        <w:pStyle w:val="7"/>
        <w:spacing w:before="5" w:line="360" w:lineRule="auto"/>
        <w:rPr>
          <w:b/>
          <w:color w:val="auto"/>
          <w:sz w:val="12"/>
          <w:highlight w:val="none"/>
        </w:rPr>
      </w:pPr>
    </w:p>
    <w:tbl>
      <w:tblPr>
        <w:tblStyle w:val="2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2"/>
        <w:gridCol w:w="991"/>
        <w:gridCol w:w="2478"/>
        <w:gridCol w:w="2231"/>
        <w:gridCol w:w="908"/>
        <w:gridCol w:w="962"/>
      </w:tblGrid>
      <w:tr w14:paraId="5D84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46" w:type="pct"/>
            <w:vAlign w:val="center"/>
          </w:tcPr>
          <w:p w14:paraId="1227A3E7">
            <w:pPr>
              <w:pStyle w:val="28"/>
              <w:spacing w:before="4" w:line="360" w:lineRule="auto"/>
              <w:jc w:val="center"/>
              <w:rPr>
                <w:b/>
                <w:color w:val="auto"/>
                <w:sz w:val="18"/>
                <w:highlight w:val="none"/>
              </w:rPr>
            </w:pPr>
          </w:p>
          <w:p w14:paraId="382F67B6">
            <w:pPr>
              <w:pStyle w:val="28"/>
              <w:spacing w:line="360" w:lineRule="auto"/>
              <w:ind w:right="226" w:firstLine="114" w:firstLineChars="50"/>
              <w:jc w:val="center"/>
              <w:rPr>
                <w:b/>
                <w:color w:val="auto"/>
                <w:highlight w:val="none"/>
              </w:rPr>
            </w:pPr>
            <w:r>
              <w:rPr>
                <w:b/>
                <w:color w:val="auto"/>
                <w:w w:val="95"/>
                <w:highlight w:val="none"/>
              </w:rPr>
              <w:t xml:space="preserve"> </w:t>
            </w:r>
            <w:r>
              <w:rPr>
                <w:rFonts w:hint="eastAsia"/>
                <w:b/>
                <w:color w:val="auto"/>
                <w:w w:val="95"/>
                <w:highlight w:val="none"/>
              </w:rPr>
              <w:t>序号</w:t>
            </w:r>
          </w:p>
        </w:tc>
        <w:tc>
          <w:tcPr>
            <w:tcW w:w="596" w:type="pct"/>
            <w:vAlign w:val="center"/>
          </w:tcPr>
          <w:p w14:paraId="15BA6D62">
            <w:pPr>
              <w:pStyle w:val="28"/>
              <w:spacing w:before="158" w:line="360" w:lineRule="auto"/>
              <w:ind w:left="22"/>
              <w:jc w:val="center"/>
              <w:rPr>
                <w:b/>
                <w:color w:val="auto"/>
                <w:highlight w:val="none"/>
              </w:rPr>
            </w:pPr>
            <w:r>
              <w:rPr>
                <w:rFonts w:hint="eastAsia"/>
                <w:b/>
                <w:color w:val="auto"/>
                <w:w w:val="99"/>
                <w:highlight w:val="none"/>
              </w:rPr>
              <w:t>货物名称</w:t>
            </w:r>
          </w:p>
        </w:tc>
        <w:tc>
          <w:tcPr>
            <w:tcW w:w="1490" w:type="pct"/>
            <w:vAlign w:val="center"/>
          </w:tcPr>
          <w:p w14:paraId="630B3B9E">
            <w:pPr>
              <w:pStyle w:val="28"/>
              <w:spacing w:before="2" w:line="360" w:lineRule="auto"/>
              <w:ind w:left="219" w:right="192"/>
              <w:rPr>
                <w:b/>
                <w:color w:val="auto"/>
                <w:highlight w:val="none"/>
              </w:rPr>
            </w:pPr>
            <w:r>
              <w:rPr>
                <w:rFonts w:hint="eastAsia"/>
                <w:b/>
                <w:color w:val="auto"/>
                <w:highlight w:val="none"/>
              </w:rPr>
              <w:t>招标文件要求的技术参数</w:t>
            </w:r>
          </w:p>
        </w:tc>
        <w:tc>
          <w:tcPr>
            <w:tcW w:w="1341" w:type="pct"/>
            <w:vAlign w:val="center"/>
          </w:tcPr>
          <w:p w14:paraId="61F304E4">
            <w:pPr>
              <w:pStyle w:val="28"/>
              <w:spacing w:before="2" w:line="360" w:lineRule="auto"/>
              <w:ind w:left="14"/>
              <w:jc w:val="center"/>
              <w:rPr>
                <w:b/>
                <w:color w:val="auto"/>
                <w:highlight w:val="none"/>
              </w:rPr>
            </w:pPr>
            <w:r>
              <w:rPr>
                <w:rFonts w:hint="eastAsia"/>
                <w:b/>
                <w:color w:val="auto"/>
                <w:highlight w:val="none"/>
              </w:rPr>
              <w:t>投标文件所附的技术参数</w:t>
            </w:r>
          </w:p>
        </w:tc>
        <w:tc>
          <w:tcPr>
            <w:tcW w:w="546" w:type="pct"/>
            <w:vAlign w:val="center"/>
          </w:tcPr>
          <w:p w14:paraId="5FF44C20">
            <w:pPr>
              <w:pStyle w:val="28"/>
              <w:spacing w:before="158" w:line="360" w:lineRule="auto"/>
              <w:ind w:right="147"/>
              <w:jc w:val="center"/>
              <w:rPr>
                <w:b/>
                <w:color w:val="auto"/>
                <w:highlight w:val="none"/>
              </w:rPr>
            </w:pPr>
            <w:r>
              <w:rPr>
                <w:rFonts w:hint="eastAsia"/>
                <w:b/>
                <w:color w:val="auto"/>
                <w:highlight w:val="none"/>
              </w:rPr>
              <w:t>偏差情况</w:t>
            </w:r>
          </w:p>
        </w:tc>
        <w:tc>
          <w:tcPr>
            <w:tcW w:w="578" w:type="pct"/>
            <w:vAlign w:val="center"/>
          </w:tcPr>
          <w:p w14:paraId="593489E1">
            <w:pPr>
              <w:pStyle w:val="28"/>
              <w:spacing w:before="4" w:line="360" w:lineRule="auto"/>
              <w:jc w:val="center"/>
              <w:rPr>
                <w:b/>
                <w:color w:val="auto"/>
                <w:sz w:val="18"/>
                <w:highlight w:val="none"/>
              </w:rPr>
            </w:pPr>
          </w:p>
          <w:p w14:paraId="6DCC9161">
            <w:pPr>
              <w:pStyle w:val="28"/>
              <w:spacing w:line="360" w:lineRule="auto"/>
              <w:ind w:left="30"/>
              <w:jc w:val="center"/>
              <w:rPr>
                <w:b/>
                <w:color w:val="auto"/>
                <w:highlight w:val="none"/>
              </w:rPr>
            </w:pPr>
            <w:r>
              <w:rPr>
                <w:rFonts w:hint="eastAsia"/>
                <w:b/>
                <w:color w:val="auto"/>
                <w:highlight w:val="none"/>
              </w:rPr>
              <w:t>偏离说明</w:t>
            </w:r>
          </w:p>
        </w:tc>
      </w:tr>
      <w:tr w14:paraId="5FBB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446" w:type="pct"/>
          </w:tcPr>
          <w:p w14:paraId="1DC6000A">
            <w:pPr>
              <w:pStyle w:val="28"/>
              <w:spacing w:before="162" w:line="360" w:lineRule="auto"/>
              <w:ind w:left="15"/>
              <w:jc w:val="center"/>
              <w:rPr>
                <w:color w:val="auto"/>
                <w:highlight w:val="none"/>
              </w:rPr>
            </w:pPr>
            <w:r>
              <w:rPr>
                <w:color w:val="auto"/>
                <w:highlight w:val="none"/>
              </w:rPr>
              <w:t>1</w:t>
            </w:r>
          </w:p>
        </w:tc>
        <w:tc>
          <w:tcPr>
            <w:tcW w:w="596" w:type="pct"/>
          </w:tcPr>
          <w:p w14:paraId="6FE3CBC8">
            <w:pPr>
              <w:pStyle w:val="28"/>
              <w:spacing w:line="360" w:lineRule="auto"/>
              <w:rPr>
                <w:color w:val="auto"/>
                <w:sz w:val="22"/>
                <w:highlight w:val="none"/>
              </w:rPr>
            </w:pPr>
          </w:p>
        </w:tc>
        <w:tc>
          <w:tcPr>
            <w:tcW w:w="1490" w:type="pct"/>
          </w:tcPr>
          <w:p w14:paraId="4CB18F99">
            <w:pPr>
              <w:pStyle w:val="28"/>
              <w:spacing w:line="360" w:lineRule="auto"/>
              <w:rPr>
                <w:color w:val="auto"/>
                <w:sz w:val="22"/>
                <w:highlight w:val="none"/>
              </w:rPr>
            </w:pPr>
          </w:p>
        </w:tc>
        <w:tc>
          <w:tcPr>
            <w:tcW w:w="1341" w:type="pct"/>
          </w:tcPr>
          <w:p w14:paraId="7C9EF22D">
            <w:pPr>
              <w:pStyle w:val="28"/>
              <w:spacing w:line="360" w:lineRule="auto"/>
              <w:rPr>
                <w:color w:val="auto"/>
                <w:sz w:val="22"/>
                <w:highlight w:val="none"/>
              </w:rPr>
            </w:pPr>
          </w:p>
        </w:tc>
        <w:tc>
          <w:tcPr>
            <w:tcW w:w="546" w:type="pct"/>
          </w:tcPr>
          <w:p w14:paraId="4C49D233">
            <w:pPr>
              <w:pStyle w:val="28"/>
              <w:spacing w:line="360" w:lineRule="auto"/>
              <w:rPr>
                <w:color w:val="auto"/>
                <w:sz w:val="22"/>
                <w:highlight w:val="none"/>
              </w:rPr>
            </w:pPr>
          </w:p>
        </w:tc>
        <w:tc>
          <w:tcPr>
            <w:tcW w:w="578" w:type="pct"/>
          </w:tcPr>
          <w:p w14:paraId="64AF038E">
            <w:pPr>
              <w:pStyle w:val="28"/>
              <w:spacing w:line="360" w:lineRule="auto"/>
              <w:rPr>
                <w:color w:val="auto"/>
                <w:sz w:val="22"/>
                <w:highlight w:val="none"/>
              </w:rPr>
            </w:pPr>
          </w:p>
        </w:tc>
      </w:tr>
      <w:tr w14:paraId="2690F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446" w:type="pct"/>
          </w:tcPr>
          <w:p w14:paraId="6BA7A5BF">
            <w:pPr>
              <w:pStyle w:val="28"/>
              <w:spacing w:before="162" w:line="360" w:lineRule="auto"/>
              <w:ind w:left="15"/>
              <w:jc w:val="center"/>
              <w:rPr>
                <w:color w:val="auto"/>
                <w:highlight w:val="none"/>
              </w:rPr>
            </w:pPr>
            <w:r>
              <w:rPr>
                <w:color w:val="auto"/>
                <w:highlight w:val="none"/>
              </w:rPr>
              <w:t>2</w:t>
            </w:r>
          </w:p>
        </w:tc>
        <w:tc>
          <w:tcPr>
            <w:tcW w:w="596" w:type="pct"/>
          </w:tcPr>
          <w:p w14:paraId="43B8DD38">
            <w:pPr>
              <w:pStyle w:val="28"/>
              <w:spacing w:line="360" w:lineRule="auto"/>
              <w:rPr>
                <w:color w:val="auto"/>
                <w:sz w:val="22"/>
                <w:highlight w:val="none"/>
              </w:rPr>
            </w:pPr>
          </w:p>
        </w:tc>
        <w:tc>
          <w:tcPr>
            <w:tcW w:w="1490" w:type="pct"/>
          </w:tcPr>
          <w:p w14:paraId="7F71F190">
            <w:pPr>
              <w:pStyle w:val="28"/>
              <w:spacing w:line="360" w:lineRule="auto"/>
              <w:rPr>
                <w:color w:val="auto"/>
                <w:sz w:val="22"/>
                <w:highlight w:val="none"/>
              </w:rPr>
            </w:pPr>
          </w:p>
        </w:tc>
        <w:tc>
          <w:tcPr>
            <w:tcW w:w="1341" w:type="pct"/>
          </w:tcPr>
          <w:p w14:paraId="52A30355">
            <w:pPr>
              <w:pStyle w:val="28"/>
              <w:spacing w:line="360" w:lineRule="auto"/>
              <w:rPr>
                <w:color w:val="auto"/>
                <w:sz w:val="22"/>
                <w:highlight w:val="none"/>
              </w:rPr>
            </w:pPr>
          </w:p>
        </w:tc>
        <w:tc>
          <w:tcPr>
            <w:tcW w:w="546" w:type="pct"/>
          </w:tcPr>
          <w:p w14:paraId="004AC4BA">
            <w:pPr>
              <w:pStyle w:val="28"/>
              <w:spacing w:line="360" w:lineRule="auto"/>
              <w:rPr>
                <w:color w:val="auto"/>
                <w:sz w:val="22"/>
                <w:highlight w:val="none"/>
              </w:rPr>
            </w:pPr>
          </w:p>
        </w:tc>
        <w:tc>
          <w:tcPr>
            <w:tcW w:w="578" w:type="pct"/>
          </w:tcPr>
          <w:p w14:paraId="74D7298C">
            <w:pPr>
              <w:pStyle w:val="28"/>
              <w:spacing w:line="360" w:lineRule="auto"/>
              <w:rPr>
                <w:color w:val="auto"/>
                <w:sz w:val="22"/>
                <w:highlight w:val="none"/>
              </w:rPr>
            </w:pPr>
          </w:p>
        </w:tc>
      </w:tr>
      <w:tr w14:paraId="60143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14:paraId="0AF3F3BD">
            <w:pPr>
              <w:pStyle w:val="28"/>
              <w:spacing w:before="161" w:line="360" w:lineRule="auto"/>
              <w:ind w:left="15"/>
              <w:jc w:val="center"/>
              <w:rPr>
                <w:color w:val="auto"/>
                <w:highlight w:val="none"/>
              </w:rPr>
            </w:pPr>
            <w:r>
              <w:rPr>
                <w:color w:val="auto"/>
                <w:highlight w:val="none"/>
              </w:rPr>
              <w:t>3</w:t>
            </w:r>
          </w:p>
        </w:tc>
        <w:tc>
          <w:tcPr>
            <w:tcW w:w="596" w:type="pct"/>
          </w:tcPr>
          <w:p w14:paraId="0572A6E5">
            <w:pPr>
              <w:pStyle w:val="28"/>
              <w:spacing w:line="360" w:lineRule="auto"/>
              <w:rPr>
                <w:color w:val="auto"/>
                <w:sz w:val="22"/>
                <w:highlight w:val="none"/>
              </w:rPr>
            </w:pPr>
          </w:p>
        </w:tc>
        <w:tc>
          <w:tcPr>
            <w:tcW w:w="1490" w:type="pct"/>
          </w:tcPr>
          <w:p w14:paraId="4820DA8E">
            <w:pPr>
              <w:pStyle w:val="28"/>
              <w:spacing w:line="360" w:lineRule="auto"/>
              <w:rPr>
                <w:color w:val="auto"/>
                <w:sz w:val="22"/>
                <w:highlight w:val="none"/>
              </w:rPr>
            </w:pPr>
          </w:p>
        </w:tc>
        <w:tc>
          <w:tcPr>
            <w:tcW w:w="1341" w:type="pct"/>
          </w:tcPr>
          <w:p w14:paraId="50B05C75">
            <w:pPr>
              <w:pStyle w:val="28"/>
              <w:spacing w:line="360" w:lineRule="auto"/>
              <w:rPr>
                <w:color w:val="auto"/>
                <w:sz w:val="22"/>
                <w:highlight w:val="none"/>
              </w:rPr>
            </w:pPr>
          </w:p>
        </w:tc>
        <w:tc>
          <w:tcPr>
            <w:tcW w:w="546" w:type="pct"/>
          </w:tcPr>
          <w:p w14:paraId="55D3BDE5">
            <w:pPr>
              <w:pStyle w:val="28"/>
              <w:spacing w:line="360" w:lineRule="auto"/>
              <w:rPr>
                <w:color w:val="auto"/>
                <w:sz w:val="22"/>
                <w:highlight w:val="none"/>
              </w:rPr>
            </w:pPr>
          </w:p>
        </w:tc>
        <w:tc>
          <w:tcPr>
            <w:tcW w:w="578" w:type="pct"/>
          </w:tcPr>
          <w:p w14:paraId="6C7BCA29">
            <w:pPr>
              <w:pStyle w:val="28"/>
              <w:spacing w:line="360" w:lineRule="auto"/>
              <w:rPr>
                <w:color w:val="auto"/>
                <w:sz w:val="22"/>
                <w:highlight w:val="none"/>
              </w:rPr>
            </w:pPr>
          </w:p>
        </w:tc>
      </w:tr>
      <w:tr w14:paraId="2B70B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14:paraId="7F29D040">
            <w:pPr>
              <w:pStyle w:val="28"/>
              <w:spacing w:before="161" w:line="360" w:lineRule="auto"/>
              <w:ind w:left="15"/>
              <w:jc w:val="center"/>
              <w:rPr>
                <w:color w:val="auto"/>
                <w:highlight w:val="none"/>
              </w:rPr>
            </w:pPr>
            <w:r>
              <w:rPr>
                <w:color w:val="auto"/>
                <w:highlight w:val="none"/>
              </w:rPr>
              <w:t>4</w:t>
            </w:r>
          </w:p>
        </w:tc>
        <w:tc>
          <w:tcPr>
            <w:tcW w:w="596" w:type="pct"/>
          </w:tcPr>
          <w:p w14:paraId="3083DA6A">
            <w:pPr>
              <w:pStyle w:val="28"/>
              <w:spacing w:line="360" w:lineRule="auto"/>
              <w:rPr>
                <w:color w:val="auto"/>
                <w:sz w:val="22"/>
                <w:highlight w:val="none"/>
              </w:rPr>
            </w:pPr>
          </w:p>
        </w:tc>
        <w:tc>
          <w:tcPr>
            <w:tcW w:w="1490" w:type="pct"/>
          </w:tcPr>
          <w:p w14:paraId="6CC1932D">
            <w:pPr>
              <w:pStyle w:val="28"/>
              <w:spacing w:line="360" w:lineRule="auto"/>
              <w:rPr>
                <w:color w:val="auto"/>
                <w:sz w:val="22"/>
                <w:highlight w:val="none"/>
              </w:rPr>
            </w:pPr>
          </w:p>
        </w:tc>
        <w:tc>
          <w:tcPr>
            <w:tcW w:w="1341" w:type="pct"/>
          </w:tcPr>
          <w:p w14:paraId="081CAD84">
            <w:pPr>
              <w:pStyle w:val="28"/>
              <w:spacing w:line="360" w:lineRule="auto"/>
              <w:rPr>
                <w:color w:val="auto"/>
                <w:sz w:val="22"/>
                <w:highlight w:val="none"/>
              </w:rPr>
            </w:pPr>
          </w:p>
        </w:tc>
        <w:tc>
          <w:tcPr>
            <w:tcW w:w="546" w:type="pct"/>
          </w:tcPr>
          <w:p w14:paraId="08A31454">
            <w:pPr>
              <w:pStyle w:val="28"/>
              <w:spacing w:line="360" w:lineRule="auto"/>
              <w:rPr>
                <w:color w:val="auto"/>
                <w:sz w:val="22"/>
                <w:highlight w:val="none"/>
              </w:rPr>
            </w:pPr>
          </w:p>
        </w:tc>
        <w:tc>
          <w:tcPr>
            <w:tcW w:w="578" w:type="pct"/>
          </w:tcPr>
          <w:p w14:paraId="34D1C439">
            <w:pPr>
              <w:pStyle w:val="28"/>
              <w:spacing w:line="360" w:lineRule="auto"/>
              <w:rPr>
                <w:color w:val="auto"/>
                <w:sz w:val="22"/>
                <w:highlight w:val="none"/>
              </w:rPr>
            </w:pPr>
          </w:p>
        </w:tc>
      </w:tr>
      <w:tr w14:paraId="0FF5B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14:paraId="3320FAA0">
            <w:pPr>
              <w:pStyle w:val="28"/>
              <w:spacing w:before="162" w:line="360" w:lineRule="auto"/>
              <w:ind w:left="15"/>
              <w:jc w:val="center"/>
              <w:rPr>
                <w:color w:val="auto"/>
                <w:highlight w:val="none"/>
              </w:rPr>
            </w:pPr>
            <w:r>
              <w:rPr>
                <w:color w:val="auto"/>
                <w:highlight w:val="none"/>
              </w:rPr>
              <w:t>5</w:t>
            </w:r>
          </w:p>
        </w:tc>
        <w:tc>
          <w:tcPr>
            <w:tcW w:w="596" w:type="pct"/>
          </w:tcPr>
          <w:p w14:paraId="31DC33B0">
            <w:pPr>
              <w:pStyle w:val="28"/>
              <w:spacing w:line="360" w:lineRule="auto"/>
              <w:rPr>
                <w:color w:val="auto"/>
                <w:sz w:val="22"/>
                <w:highlight w:val="none"/>
              </w:rPr>
            </w:pPr>
          </w:p>
        </w:tc>
        <w:tc>
          <w:tcPr>
            <w:tcW w:w="1490" w:type="pct"/>
          </w:tcPr>
          <w:p w14:paraId="7357FE22">
            <w:pPr>
              <w:pStyle w:val="28"/>
              <w:spacing w:line="360" w:lineRule="auto"/>
              <w:rPr>
                <w:color w:val="auto"/>
                <w:sz w:val="22"/>
                <w:highlight w:val="none"/>
              </w:rPr>
            </w:pPr>
          </w:p>
        </w:tc>
        <w:tc>
          <w:tcPr>
            <w:tcW w:w="1341" w:type="pct"/>
          </w:tcPr>
          <w:p w14:paraId="0EE26119">
            <w:pPr>
              <w:pStyle w:val="28"/>
              <w:spacing w:line="360" w:lineRule="auto"/>
              <w:rPr>
                <w:color w:val="auto"/>
                <w:sz w:val="22"/>
                <w:highlight w:val="none"/>
              </w:rPr>
            </w:pPr>
          </w:p>
        </w:tc>
        <w:tc>
          <w:tcPr>
            <w:tcW w:w="546" w:type="pct"/>
          </w:tcPr>
          <w:p w14:paraId="3830C1CD">
            <w:pPr>
              <w:pStyle w:val="28"/>
              <w:spacing w:line="360" w:lineRule="auto"/>
              <w:rPr>
                <w:color w:val="auto"/>
                <w:sz w:val="22"/>
                <w:highlight w:val="none"/>
              </w:rPr>
            </w:pPr>
          </w:p>
        </w:tc>
        <w:tc>
          <w:tcPr>
            <w:tcW w:w="578" w:type="pct"/>
          </w:tcPr>
          <w:p w14:paraId="7783DFCA">
            <w:pPr>
              <w:pStyle w:val="28"/>
              <w:spacing w:line="360" w:lineRule="auto"/>
              <w:rPr>
                <w:color w:val="auto"/>
                <w:sz w:val="22"/>
                <w:highlight w:val="none"/>
              </w:rPr>
            </w:pPr>
          </w:p>
        </w:tc>
      </w:tr>
      <w:tr w14:paraId="16559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14:paraId="3018327F">
            <w:pPr>
              <w:pStyle w:val="28"/>
              <w:spacing w:before="162" w:line="360" w:lineRule="auto"/>
              <w:ind w:left="241" w:right="226"/>
              <w:jc w:val="center"/>
              <w:rPr>
                <w:color w:val="auto"/>
                <w:highlight w:val="none"/>
              </w:rPr>
            </w:pPr>
            <w:r>
              <w:rPr>
                <w:color w:val="auto"/>
                <w:highlight w:val="none"/>
              </w:rPr>
              <w:t>...</w:t>
            </w:r>
          </w:p>
        </w:tc>
        <w:tc>
          <w:tcPr>
            <w:tcW w:w="596" w:type="pct"/>
          </w:tcPr>
          <w:p w14:paraId="3A6C3729">
            <w:pPr>
              <w:pStyle w:val="28"/>
              <w:spacing w:line="360" w:lineRule="auto"/>
              <w:rPr>
                <w:color w:val="auto"/>
                <w:sz w:val="22"/>
                <w:highlight w:val="none"/>
              </w:rPr>
            </w:pPr>
          </w:p>
        </w:tc>
        <w:tc>
          <w:tcPr>
            <w:tcW w:w="1490" w:type="pct"/>
          </w:tcPr>
          <w:p w14:paraId="5F820966">
            <w:pPr>
              <w:pStyle w:val="28"/>
              <w:spacing w:line="360" w:lineRule="auto"/>
              <w:rPr>
                <w:color w:val="auto"/>
                <w:sz w:val="22"/>
                <w:highlight w:val="none"/>
              </w:rPr>
            </w:pPr>
          </w:p>
        </w:tc>
        <w:tc>
          <w:tcPr>
            <w:tcW w:w="1341" w:type="pct"/>
          </w:tcPr>
          <w:p w14:paraId="7E842B51">
            <w:pPr>
              <w:pStyle w:val="28"/>
              <w:spacing w:line="360" w:lineRule="auto"/>
              <w:rPr>
                <w:color w:val="auto"/>
                <w:sz w:val="22"/>
                <w:highlight w:val="none"/>
              </w:rPr>
            </w:pPr>
          </w:p>
        </w:tc>
        <w:tc>
          <w:tcPr>
            <w:tcW w:w="546" w:type="pct"/>
          </w:tcPr>
          <w:p w14:paraId="23BFD9F9">
            <w:pPr>
              <w:pStyle w:val="28"/>
              <w:spacing w:line="360" w:lineRule="auto"/>
              <w:rPr>
                <w:color w:val="auto"/>
                <w:sz w:val="22"/>
                <w:highlight w:val="none"/>
              </w:rPr>
            </w:pPr>
          </w:p>
        </w:tc>
        <w:tc>
          <w:tcPr>
            <w:tcW w:w="578" w:type="pct"/>
          </w:tcPr>
          <w:p w14:paraId="2540903C">
            <w:pPr>
              <w:pStyle w:val="28"/>
              <w:spacing w:line="360" w:lineRule="auto"/>
              <w:rPr>
                <w:color w:val="auto"/>
                <w:sz w:val="22"/>
                <w:highlight w:val="none"/>
              </w:rPr>
            </w:pPr>
          </w:p>
        </w:tc>
      </w:tr>
    </w:tbl>
    <w:p w14:paraId="51F5FA99">
      <w:pPr>
        <w:pStyle w:val="7"/>
        <w:spacing w:line="360" w:lineRule="auto"/>
        <w:rPr>
          <w:b/>
          <w:color w:val="auto"/>
          <w:highlight w:val="none"/>
        </w:rPr>
      </w:pPr>
    </w:p>
    <w:p w14:paraId="2C691056">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14:paraId="229F77F8">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14:paraId="04239E51">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14:paraId="4937943C">
      <w:pPr>
        <w:spacing w:line="360" w:lineRule="auto"/>
        <w:rPr>
          <w:color w:val="auto"/>
          <w:highlight w:val="none"/>
        </w:rPr>
      </w:pPr>
    </w:p>
    <w:p w14:paraId="3DED117A">
      <w:pPr>
        <w:pStyle w:val="12"/>
        <w:spacing w:line="360" w:lineRule="auto"/>
        <w:ind w:left="31680" w:right="31680"/>
        <w:rPr>
          <w:color w:val="auto"/>
          <w:highlight w:val="none"/>
        </w:rPr>
      </w:pPr>
    </w:p>
    <w:p w14:paraId="683263B0">
      <w:pPr>
        <w:pStyle w:val="12"/>
        <w:spacing w:line="360" w:lineRule="auto"/>
        <w:ind w:left="31680" w:right="31680"/>
        <w:rPr>
          <w:color w:val="auto"/>
          <w:highlight w:val="none"/>
        </w:rPr>
      </w:pPr>
    </w:p>
    <w:p w14:paraId="297B4C5C">
      <w:pPr>
        <w:pStyle w:val="12"/>
        <w:spacing w:line="360" w:lineRule="auto"/>
        <w:ind w:left="31680" w:right="31680"/>
        <w:rPr>
          <w:color w:val="auto"/>
          <w:highlight w:val="none"/>
        </w:rPr>
      </w:pPr>
    </w:p>
    <w:p w14:paraId="7107F55A">
      <w:pPr>
        <w:pStyle w:val="12"/>
        <w:spacing w:line="360" w:lineRule="auto"/>
        <w:ind w:left="31680" w:right="31680"/>
        <w:rPr>
          <w:color w:val="auto"/>
          <w:highlight w:val="none"/>
        </w:rPr>
      </w:pPr>
    </w:p>
    <w:p w14:paraId="434BF9FE">
      <w:pPr>
        <w:pStyle w:val="12"/>
        <w:spacing w:line="360" w:lineRule="auto"/>
        <w:ind w:left="31680" w:right="31680"/>
        <w:rPr>
          <w:color w:val="auto"/>
          <w:highlight w:val="none"/>
        </w:rPr>
      </w:pPr>
    </w:p>
    <w:p w14:paraId="155896B1">
      <w:pPr>
        <w:pStyle w:val="12"/>
        <w:spacing w:line="360" w:lineRule="auto"/>
        <w:ind w:left="31680" w:right="31680"/>
        <w:rPr>
          <w:color w:val="auto"/>
          <w:highlight w:val="none"/>
        </w:rPr>
      </w:pPr>
    </w:p>
    <w:p w14:paraId="186DDD61">
      <w:pPr>
        <w:spacing w:line="240" w:lineRule="auto"/>
        <w:jc w:val="center"/>
        <w:rPr>
          <w:sz w:val="24"/>
          <w:szCs w:val="24"/>
          <w:highlight w:val="none"/>
        </w:rPr>
      </w:pPr>
      <w:r>
        <w:rPr>
          <w:rFonts w:hint="eastAsia" w:ascii="宋体" w:hAnsi="宋体" w:eastAsia="宋体"/>
          <w:b/>
          <w:color w:val="000000"/>
          <w:sz w:val="24"/>
          <w:szCs w:val="24"/>
          <w:highlight w:val="none"/>
        </w:rPr>
        <w:t>（二）主要设备性能</w:t>
      </w:r>
    </w:p>
    <w:p w14:paraId="684DD71E">
      <w:pPr>
        <w:spacing w:line="288" w:lineRule="auto"/>
        <w:ind w:firstLine="0"/>
        <w:jc w:val="both"/>
        <w:rPr>
          <w:sz w:val="24"/>
          <w:szCs w:val="24"/>
          <w:highlight w:val="none"/>
        </w:rPr>
      </w:pPr>
    </w:p>
    <w:p w14:paraId="79128F59">
      <w:pPr>
        <w:spacing w:line="288" w:lineRule="auto"/>
        <w:ind w:firstLine="0"/>
        <w:jc w:val="both"/>
        <w:rPr>
          <w:sz w:val="24"/>
          <w:szCs w:val="24"/>
          <w:highlight w:val="none"/>
        </w:rPr>
      </w:pPr>
    </w:p>
    <w:p w14:paraId="5552E6EB">
      <w:pPr>
        <w:spacing w:line="360" w:lineRule="auto"/>
        <w:ind w:firstLine="0"/>
        <w:jc w:val="both"/>
        <w:rPr>
          <w:sz w:val="24"/>
          <w:szCs w:val="24"/>
          <w:highlight w:val="none"/>
        </w:rPr>
      </w:pPr>
      <w:r>
        <w:rPr>
          <w:rFonts w:hint="eastAsia" w:ascii="宋体" w:hAnsi="宋体" w:eastAsia="宋体"/>
          <w:color w:val="000000"/>
          <w:sz w:val="24"/>
          <w:szCs w:val="24"/>
          <w:highlight w:val="none"/>
        </w:rPr>
        <w:t>投标车辆名称</w:t>
      </w:r>
      <w:r>
        <w:rPr>
          <w:rFonts w:hint="eastAsia" w:ascii="宋体" w:hAnsi="宋体" w:eastAsia="宋体"/>
          <w:b/>
          <w:color w:val="000000"/>
          <w:sz w:val="24"/>
          <w:szCs w:val="24"/>
          <w:highlight w:val="none"/>
        </w:rPr>
        <w:t>：</w:t>
      </w:r>
      <w:r>
        <w:rPr>
          <w:rFonts w:hint="eastAsia" w:ascii="宋体" w:hAnsi="宋体" w:eastAsia="宋体"/>
          <w:color w:val="000000"/>
          <w:sz w:val="24"/>
          <w:szCs w:val="24"/>
          <w:highlight w:val="none"/>
          <w:u w:val="single"/>
        </w:rPr>
        <w:t xml:space="preserve">           </w:t>
      </w:r>
    </w:p>
    <w:p w14:paraId="3202B761">
      <w:pPr>
        <w:spacing w:line="360" w:lineRule="auto"/>
        <w:ind w:firstLine="0"/>
        <w:jc w:val="both"/>
        <w:rPr>
          <w:sz w:val="24"/>
          <w:szCs w:val="24"/>
          <w:highlight w:val="none"/>
        </w:rPr>
      </w:pPr>
    </w:p>
    <w:tbl>
      <w:tblPr>
        <w:tblStyle w:val="23"/>
        <w:tblW w:w="1000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91"/>
        <w:gridCol w:w="2130"/>
        <w:gridCol w:w="1095"/>
        <w:gridCol w:w="1055"/>
        <w:gridCol w:w="2596"/>
        <w:gridCol w:w="2333"/>
      </w:tblGrid>
      <w:tr w14:paraId="0183A6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4195B33F">
            <w:pPr>
              <w:spacing w:line="336" w:lineRule="auto"/>
              <w:jc w:val="center"/>
              <w:rPr>
                <w:sz w:val="24"/>
                <w:szCs w:val="24"/>
                <w:highlight w:val="none"/>
              </w:rPr>
            </w:pPr>
            <w:r>
              <w:rPr>
                <w:rFonts w:hint="eastAsia" w:ascii="宋体" w:hAnsi="宋体" w:eastAsia="宋体"/>
                <w:color w:val="000000"/>
                <w:sz w:val="24"/>
                <w:szCs w:val="24"/>
                <w:highlight w:val="none"/>
              </w:rPr>
              <w:t>序号</w:t>
            </w:r>
          </w:p>
        </w:tc>
        <w:tc>
          <w:tcPr>
            <w:tcW w:w="2100" w:type="dxa"/>
            <w:tcBorders>
              <w:top w:val="single" w:color="000000" w:sz="4" w:space="0"/>
              <w:left w:val="single" w:color="000000" w:sz="4" w:space="0"/>
              <w:bottom w:val="single" w:color="000000" w:sz="4" w:space="0"/>
              <w:right w:val="single" w:color="000000" w:sz="4" w:space="0"/>
            </w:tcBorders>
            <w:vAlign w:val="center"/>
          </w:tcPr>
          <w:p w14:paraId="325FF5A6">
            <w:pPr>
              <w:spacing w:line="336" w:lineRule="auto"/>
              <w:jc w:val="center"/>
              <w:rPr>
                <w:sz w:val="24"/>
                <w:szCs w:val="24"/>
                <w:highlight w:val="none"/>
              </w:rPr>
            </w:pPr>
            <w:r>
              <w:rPr>
                <w:rFonts w:hint="eastAsia" w:ascii="宋体" w:hAnsi="宋体" w:eastAsia="宋体"/>
                <w:color w:val="000000"/>
                <w:sz w:val="24"/>
                <w:szCs w:val="24"/>
                <w:highlight w:val="none"/>
              </w:rPr>
              <w:t>名称</w:t>
            </w:r>
          </w:p>
        </w:tc>
        <w:tc>
          <w:tcPr>
            <w:tcW w:w="1080" w:type="dxa"/>
            <w:tcBorders>
              <w:top w:val="single" w:color="000000" w:sz="4" w:space="0"/>
              <w:left w:val="single" w:color="000000" w:sz="4" w:space="0"/>
              <w:bottom w:val="single" w:color="000000" w:sz="4" w:space="0"/>
              <w:right w:val="single" w:color="000000" w:sz="4" w:space="0"/>
            </w:tcBorders>
            <w:vAlign w:val="center"/>
          </w:tcPr>
          <w:p w14:paraId="7AFAB9EE">
            <w:pPr>
              <w:spacing w:line="336" w:lineRule="auto"/>
              <w:jc w:val="center"/>
              <w:rPr>
                <w:sz w:val="24"/>
                <w:szCs w:val="24"/>
                <w:highlight w:val="none"/>
              </w:rPr>
            </w:pPr>
            <w:r>
              <w:rPr>
                <w:rFonts w:hint="eastAsia" w:ascii="宋体" w:hAnsi="宋体" w:eastAsia="宋体"/>
                <w:color w:val="000000"/>
                <w:sz w:val="24"/>
                <w:szCs w:val="24"/>
                <w:highlight w:val="none"/>
              </w:rPr>
              <w:t>型号</w:t>
            </w:r>
          </w:p>
        </w:tc>
        <w:tc>
          <w:tcPr>
            <w:tcW w:w="1040" w:type="dxa"/>
            <w:tcBorders>
              <w:top w:val="single" w:color="000000" w:sz="4" w:space="0"/>
              <w:left w:val="single" w:color="000000" w:sz="4" w:space="0"/>
              <w:bottom w:val="single" w:color="000000" w:sz="4" w:space="0"/>
              <w:right w:val="single" w:color="000000" w:sz="4" w:space="0"/>
            </w:tcBorders>
            <w:vAlign w:val="center"/>
          </w:tcPr>
          <w:p w14:paraId="4F97490A">
            <w:pPr>
              <w:spacing w:line="336" w:lineRule="auto"/>
              <w:jc w:val="center"/>
              <w:rPr>
                <w:sz w:val="24"/>
                <w:szCs w:val="24"/>
                <w:highlight w:val="none"/>
              </w:rPr>
            </w:pPr>
            <w:r>
              <w:rPr>
                <w:rFonts w:hint="eastAsia" w:ascii="宋体" w:hAnsi="宋体" w:eastAsia="宋体"/>
                <w:color w:val="000000"/>
                <w:sz w:val="24"/>
                <w:szCs w:val="24"/>
                <w:highlight w:val="none"/>
              </w:rPr>
              <w:t>品牌</w:t>
            </w:r>
          </w:p>
        </w:tc>
        <w:tc>
          <w:tcPr>
            <w:tcW w:w="2560" w:type="dxa"/>
            <w:tcBorders>
              <w:top w:val="single" w:color="000000" w:sz="4" w:space="0"/>
              <w:left w:val="single" w:color="000000" w:sz="4" w:space="0"/>
              <w:bottom w:val="single" w:color="000000" w:sz="4" w:space="0"/>
              <w:right w:val="single" w:color="000000" w:sz="4" w:space="0"/>
            </w:tcBorders>
            <w:vAlign w:val="center"/>
          </w:tcPr>
          <w:p w14:paraId="47658778">
            <w:pPr>
              <w:spacing w:line="336" w:lineRule="auto"/>
              <w:jc w:val="center"/>
              <w:rPr>
                <w:sz w:val="24"/>
                <w:szCs w:val="24"/>
                <w:highlight w:val="none"/>
              </w:rPr>
            </w:pPr>
            <w:r>
              <w:rPr>
                <w:rFonts w:hint="eastAsia" w:ascii="宋体" w:hAnsi="宋体" w:eastAsia="宋体"/>
                <w:color w:val="000000"/>
                <w:sz w:val="24"/>
                <w:szCs w:val="24"/>
                <w:highlight w:val="none"/>
              </w:rPr>
              <w:t>性能描述</w:t>
            </w:r>
          </w:p>
        </w:tc>
        <w:tc>
          <w:tcPr>
            <w:tcW w:w="2300" w:type="dxa"/>
            <w:tcBorders>
              <w:top w:val="single" w:color="000000" w:sz="4" w:space="0"/>
              <w:left w:val="single" w:color="000000" w:sz="4" w:space="0"/>
              <w:bottom w:val="single" w:color="000000" w:sz="4" w:space="0"/>
              <w:right w:val="single" w:color="000000" w:sz="4" w:space="0"/>
            </w:tcBorders>
            <w:vAlign w:val="center"/>
          </w:tcPr>
          <w:p w14:paraId="692171D1">
            <w:pPr>
              <w:spacing w:line="336" w:lineRule="auto"/>
              <w:jc w:val="center"/>
              <w:rPr>
                <w:sz w:val="24"/>
                <w:szCs w:val="24"/>
                <w:highlight w:val="none"/>
              </w:rPr>
            </w:pPr>
            <w:r>
              <w:rPr>
                <w:rFonts w:hint="eastAsia" w:ascii="宋体" w:hAnsi="宋体" w:eastAsia="宋体"/>
                <w:color w:val="000000"/>
                <w:sz w:val="24"/>
                <w:szCs w:val="24"/>
                <w:highlight w:val="none"/>
              </w:rPr>
              <w:t>备注</w:t>
            </w:r>
          </w:p>
        </w:tc>
      </w:tr>
      <w:tr w14:paraId="1D33D6A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23D34FF9">
            <w:pPr>
              <w:spacing w:line="336" w:lineRule="auto"/>
              <w:jc w:val="center"/>
              <w:rPr>
                <w:sz w:val="24"/>
                <w:szCs w:val="24"/>
                <w:highlight w:val="none"/>
              </w:rPr>
            </w:pPr>
            <w:r>
              <w:rPr>
                <w:rFonts w:hint="eastAsia" w:ascii="Calibri" w:hAnsi="Calibri" w:eastAsia="Calibri"/>
                <w:color w:val="000000"/>
                <w:sz w:val="24"/>
                <w:szCs w:val="24"/>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14:paraId="491B7FF1">
            <w:pPr>
              <w:spacing w:line="336" w:lineRule="auto"/>
              <w:jc w:val="center"/>
              <w:rPr>
                <w:sz w:val="24"/>
                <w:szCs w:val="24"/>
                <w:highlight w:val="none"/>
              </w:rPr>
            </w:pPr>
            <w:r>
              <w:rPr>
                <w:rFonts w:hint="eastAsia" w:ascii="宋体" w:hAnsi="宋体" w:eastAsia="宋体"/>
                <w:color w:val="000000"/>
                <w:sz w:val="24"/>
                <w:szCs w:val="24"/>
                <w:highlight w:val="none"/>
              </w:rPr>
              <w:t>底盘</w:t>
            </w:r>
          </w:p>
        </w:tc>
        <w:tc>
          <w:tcPr>
            <w:tcW w:w="1080" w:type="dxa"/>
            <w:tcBorders>
              <w:top w:val="single" w:color="000000" w:sz="4" w:space="0"/>
              <w:left w:val="single" w:color="000000" w:sz="4" w:space="0"/>
              <w:bottom w:val="single" w:color="000000" w:sz="4" w:space="0"/>
              <w:right w:val="single" w:color="000000" w:sz="4" w:space="0"/>
            </w:tcBorders>
            <w:vAlign w:val="center"/>
          </w:tcPr>
          <w:p w14:paraId="4154BACA">
            <w:pPr>
              <w:rPr>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693190A8">
            <w:pPr>
              <w:rPr>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0C6311BA">
            <w:pPr>
              <w:rPr>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14:paraId="3817A660">
            <w:pPr>
              <w:spacing w:line="336" w:lineRule="auto"/>
              <w:jc w:val="center"/>
              <w:rPr>
                <w:sz w:val="24"/>
                <w:szCs w:val="24"/>
                <w:highlight w:val="none"/>
              </w:rPr>
            </w:pPr>
            <w:r>
              <w:rPr>
                <w:rFonts w:hint="eastAsia" w:ascii="宋体" w:hAnsi="宋体" w:eastAsia="宋体"/>
                <w:color w:val="000000"/>
                <w:sz w:val="24"/>
                <w:szCs w:val="24"/>
                <w:highlight w:val="none"/>
              </w:rPr>
              <w:t>见投标文件（）页</w:t>
            </w:r>
          </w:p>
        </w:tc>
      </w:tr>
      <w:tr w14:paraId="5611788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2EC44471">
            <w:pPr>
              <w:spacing w:line="336" w:lineRule="auto"/>
              <w:jc w:val="center"/>
              <w:rPr>
                <w:sz w:val="24"/>
                <w:szCs w:val="24"/>
                <w:highlight w:val="none"/>
              </w:rPr>
            </w:pPr>
            <w:r>
              <w:rPr>
                <w:rFonts w:hint="eastAsia" w:ascii="Calibri" w:hAnsi="Calibri" w:eastAsia="Calibri"/>
                <w:color w:val="000000"/>
                <w:sz w:val="24"/>
                <w:szCs w:val="24"/>
                <w:highlight w:val="none"/>
              </w:rPr>
              <w:t>2</w:t>
            </w:r>
          </w:p>
        </w:tc>
        <w:tc>
          <w:tcPr>
            <w:tcW w:w="2100" w:type="dxa"/>
            <w:tcBorders>
              <w:top w:val="single" w:color="000000" w:sz="4" w:space="0"/>
              <w:left w:val="single" w:color="000000" w:sz="4" w:space="0"/>
              <w:bottom w:val="single" w:color="000000" w:sz="4" w:space="0"/>
              <w:right w:val="single" w:color="000000" w:sz="4" w:space="0"/>
            </w:tcBorders>
            <w:vAlign w:val="center"/>
          </w:tcPr>
          <w:p w14:paraId="113A9FE7">
            <w:pPr>
              <w:rPr>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2D51139">
            <w:pPr>
              <w:rPr>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1FF8C225">
            <w:pPr>
              <w:rPr>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264E189E">
            <w:pPr>
              <w:rPr>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14:paraId="37F496C3">
            <w:pPr>
              <w:spacing w:line="336" w:lineRule="auto"/>
              <w:jc w:val="center"/>
              <w:rPr>
                <w:sz w:val="24"/>
                <w:szCs w:val="24"/>
                <w:highlight w:val="none"/>
              </w:rPr>
            </w:pPr>
            <w:r>
              <w:rPr>
                <w:rFonts w:hint="eastAsia" w:ascii="宋体" w:hAnsi="宋体" w:eastAsia="宋体"/>
                <w:color w:val="000000"/>
                <w:sz w:val="24"/>
                <w:szCs w:val="24"/>
                <w:highlight w:val="none"/>
              </w:rPr>
              <w:t>见投标文件（）页</w:t>
            </w:r>
          </w:p>
        </w:tc>
      </w:tr>
      <w:tr w14:paraId="51889EC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1037B2AF">
            <w:pPr>
              <w:spacing w:line="336" w:lineRule="auto"/>
              <w:jc w:val="center"/>
              <w:rPr>
                <w:sz w:val="24"/>
                <w:szCs w:val="24"/>
                <w:highlight w:val="none"/>
              </w:rPr>
            </w:pPr>
            <w:r>
              <w:rPr>
                <w:rFonts w:hint="eastAsia" w:ascii="Calibri" w:hAnsi="Calibri" w:eastAsia="Calibri"/>
                <w:color w:val="000000"/>
                <w:sz w:val="24"/>
                <w:szCs w:val="24"/>
                <w:highlight w:val="none"/>
              </w:rPr>
              <w:t>3</w:t>
            </w:r>
          </w:p>
        </w:tc>
        <w:tc>
          <w:tcPr>
            <w:tcW w:w="2100" w:type="dxa"/>
            <w:tcBorders>
              <w:top w:val="single" w:color="000000" w:sz="4" w:space="0"/>
              <w:left w:val="single" w:color="000000" w:sz="4" w:space="0"/>
              <w:bottom w:val="single" w:color="000000" w:sz="4" w:space="0"/>
              <w:right w:val="single" w:color="000000" w:sz="4" w:space="0"/>
            </w:tcBorders>
            <w:vAlign w:val="center"/>
          </w:tcPr>
          <w:p w14:paraId="62D7FB39">
            <w:pPr>
              <w:rPr>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B109824">
            <w:pPr>
              <w:rPr>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641E4F86">
            <w:pPr>
              <w:rPr>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509D618B">
            <w:pPr>
              <w:rPr>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14:paraId="1FAF2A98">
            <w:pPr>
              <w:spacing w:line="336" w:lineRule="auto"/>
              <w:jc w:val="center"/>
              <w:rPr>
                <w:sz w:val="24"/>
                <w:szCs w:val="24"/>
                <w:highlight w:val="none"/>
              </w:rPr>
            </w:pPr>
            <w:r>
              <w:rPr>
                <w:rFonts w:hint="eastAsia" w:ascii="宋体" w:hAnsi="宋体" w:eastAsia="宋体"/>
                <w:color w:val="000000"/>
                <w:sz w:val="24"/>
                <w:szCs w:val="24"/>
                <w:highlight w:val="none"/>
              </w:rPr>
              <w:t>见投标文件（）页</w:t>
            </w:r>
          </w:p>
        </w:tc>
      </w:tr>
      <w:tr w14:paraId="3F10314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722DEF5A">
            <w:pPr>
              <w:spacing w:line="336" w:lineRule="auto"/>
              <w:jc w:val="center"/>
              <w:rPr>
                <w:sz w:val="24"/>
                <w:szCs w:val="24"/>
                <w:highlight w:val="none"/>
              </w:rPr>
            </w:pPr>
            <w:r>
              <w:rPr>
                <w:rFonts w:hint="eastAsia" w:ascii="Calibri" w:hAnsi="Calibri" w:eastAsia="Calibri"/>
                <w:color w:val="000000"/>
                <w:sz w:val="24"/>
                <w:szCs w:val="24"/>
                <w:highlight w:val="none"/>
              </w:rPr>
              <w:t>4</w:t>
            </w:r>
          </w:p>
        </w:tc>
        <w:tc>
          <w:tcPr>
            <w:tcW w:w="2100" w:type="dxa"/>
            <w:tcBorders>
              <w:top w:val="single" w:color="000000" w:sz="4" w:space="0"/>
              <w:left w:val="single" w:color="000000" w:sz="4" w:space="0"/>
              <w:bottom w:val="single" w:color="000000" w:sz="4" w:space="0"/>
              <w:right w:val="single" w:color="000000" w:sz="4" w:space="0"/>
            </w:tcBorders>
            <w:vAlign w:val="center"/>
          </w:tcPr>
          <w:p w14:paraId="29521E79">
            <w:pPr>
              <w:rPr>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4672E9D">
            <w:pPr>
              <w:rPr>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5B8FF2DC">
            <w:pPr>
              <w:rPr>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2EFD823B">
            <w:pPr>
              <w:rPr>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14:paraId="22BC4CBC">
            <w:pPr>
              <w:spacing w:line="408" w:lineRule="auto"/>
              <w:jc w:val="center"/>
              <w:rPr>
                <w:sz w:val="24"/>
                <w:szCs w:val="24"/>
                <w:highlight w:val="none"/>
              </w:rPr>
            </w:pPr>
            <w:r>
              <w:rPr>
                <w:rFonts w:hint="eastAsia" w:ascii="宋体" w:hAnsi="宋体" w:eastAsia="宋体"/>
                <w:color w:val="000000"/>
                <w:sz w:val="24"/>
                <w:szCs w:val="24"/>
                <w:highlight w:val="none"/>
              </w:rPr>
              <w:t>见投标文件（）页</w:t>
            </w:r>
          </w:p>
        </w:tc>
      </w:tr>
      <w:tr w14:paraId="51D68D4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56434A47">
            <w:pPr>
              <w:spacing w:line="336" w:lineRule="auto"/>
              <w:jc w:val="center"/>
              <w:rPr>
                <w:sz w:val="24"/>
                <w:szCs w:val="24"/>
                <w:highlight w:val="none"/>
              </w:rPr>
            </w:pPr>
            <w:r>
              <w:rPr>
                <w:rFonts w:hint="eastAsia" w:ascii="Calibri" w:hAnsi="Calibri" w:eastAsia="Calibri"/>
                <w:color w:val="000000"/>
                <w:sz w:val="24"/>
                <w:szCs w:val="24"/>
                <w:highlight w:val="none"/>
              </w:rPr>
              <w:t>5</w:t>
            </w:r>
          </w:p>
        </w:tc>
        <w:tc>
          <w:tcPr>
            <w:tcW w:w="2100" w:type="dxa"/>
            <w:tcBorders>
              <w:top w:val="single" w:color="000000" w:sz="4" w:space="0"/>
              <w:left w:val="single" w:color="000000" w:sz="4" w:space="0"/>
              <w:bottom w:val="single" w:color="000000" w:sz="4" w:space="0"/>
              <w:right w:val="single" w:color="000000" w:sz="4" w:space="0"/>
            </w:tcBorders>
            <w:vAlign w:val="center"/>
          </w:tcPr>
          <w:p w14:paraId="48CC9168">
            <w:pPr>
              <w:rPr>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89D008A">
            <w:pPr>
              <w:rPr>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6EF79277">
            <w:pPr>
              <w:rPr>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3AFA8558">
            <w:pPr>
              <w:rPr>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14:paraId="6D6C321D">
            <w:pPr>
              <w:spacing w:line="336" w:lineRule="auto"/>
              <w:jc w:val="center"/>
              <w:rPr>
                <w:sz w:val="24"/>
                <w:szCs w:val="24"/>
                <w:highlight w:val="none"/>
              </w:rPr>
            </w:pPr>
            <w:r>
              <w:rPr>
                <w:rFonts w:hint="eastAsia" w:ascii="宋体" w:hAnsi="宋体" w:eastAsia="宋体"/>
                <w:color w:val="000000"/>
                <w:sz w:val="24"/>
                <w:szCs w:val="24"/>
                <w:highlight w:val="none"/>
              </w:rPr>
              <w:t>见投标文件（）页</w:t>
            </w:r>
          </w:p>
        </w:tc>
      </w:tr>
      <w:tr w14:paraId="362C0CB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2AD321F4">
            <w:pPr>
              <w:spacing w:line="336" w:lineRule="auto"/>
              <w:jc w:val="center"/>
              <w:rPr>
                <w:sz w:val="24"/>
                <w:szCs w:val="24"/>
                <w:highlight w:val="none"/>
              </w:rPr>
            </w:pPr>
            <w:r>
              <w:rPr>
                <w:rFonts w:hint="eastAsia" w:ascii="Calibri" w:hAnsi="Calibri" w:eastAsia="Calibri"/>
                <w:color w:val="000000"/>
                <w:sz w:val="24"/>
                <w:szCs w:val="24"/>
                <w:highlight w:val="none"/>
              </w:rPr>
              <w:t>6</w:t>
            </w:r>
          </w:p>
        </w:tc>
        <w:tc>
          <w:tcPr>
            <w:tcW w:w="2100" w:type="dxa"/>
            <w:tcBorders>
              <w:top w:val="single" w:color="000000" w:sz="4" w:space="0"/>
              <w:left w:val="single" w:color="000000" w:sz="4" w:space="0"/>
              <w:bottom w:val="single" w:color="000000" w:sz="4" w:space="0"/>
              <w:right w:val="single" w:color="000000" w:sz="4" w:space="0"/>
            </w:tcBorders>
            <w:vAlign w:val="center"/>
          </w:tcPr>
          <w:p w14:paraId="2B74AF4F">
            <w:pPr>
              <w:rPr>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6CC74F7">
            <w:pPr>
              <w:rPr>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750600EE">
            <w:pPr>
              <w:rPr>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466D7FF0">
            <w:pPr>
              <w:rPr>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14:paraId="3A5E8520">
            <w:pPr>
              <w:rPr>
                <w:sz w:val="24"/>
                <w:szCs w:val="24"/>
                <w:highlight w:val="none"/>
              </w:rPr>
            </w:pPr>
          </w:p>
        </w:tc>
      </w:tr>
    </w:tbl>
    <w:p w14:paraId="1D18E0B2">
      <w:pPr>
        <w:spacing w:line="360" w:lineRule="auto"/>
        <w:ind w:firstLine="0"/>
        <w:jc w:val="both"/>
        <w:rPr>
          <w:sz w:val="24"/>
          <w:szCs w:val="24"/>
          <w:highlight w:val="none"/>
        </w:rPr>
      </w:pPr>
    </w:p>
    <w:p w14:paraId="5DE981A3">
      <w:pPr>
        <w:spacing w:line="360" w:lineRule="auto"/>
        <w:ind w:firstLine="0"/>
        <w:jc w:val="both"/>
        <w:rPr>
          <w:sz w:val="24"/>
          <w:szCs w:val="24"/>
          <w:highlight w:val="none"/>
        </w:rPr>
      </w:pPr>
      <w:r>
        <w:rPr>
          <w:rFonts w:hint="eastAsia" w:ascii="宋体" w:hAnsi="宋体" w:eastAsia="宋体"/>
          <w:color w:val="000000"/>
          <w:sz w:val="24"/>
          <w:szCs w:val="24"/>
          <w:highlight w:val="none"/>
        </w:rPr>
        <w:t>注：</w:t>
      </w:r>
    </w:p>
    <w:p w14:paraId="5077E0D4">
      <w:pPr>
        <w:spacing w:line="360" w:lineRule="auto"/>
        <w:ind w:firstLine="540"/>
        <w:jc w:val="both"/>
        <w:rPr>
          <w:sz w:val="24"/>
          <w:szCs w:val="24"/>
          <w:highlight w:val="none"/>
        </w:rPr>
      </w:pP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．本表所填内容应与招标文件第四章“评标办法”</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宋体"/>
          <w:color w:val="000000"/>
          <w:sz w:val="24"/>
          <w:szCs w:val="24"/>
          <w:highlight w:val="none"/>
          <w:lang w:val="en-US" w:eastAsia="zh-CN"/>
        </w:rPr>
        <w:t>2</w:t>
      </w:r>
      <w:r>
        <w:rPr>
          <w:rFonts w:hint="eastAsia" w:ascii="宋体" w:hAnsi="宋体" w:eastAsia="宋体"/>
          <w:color w:val="000000"/>
          <w:sz w:val="24"/>
          <w:szCs w:val="24"/>
          <w:highlight w:val="none"/>
        </w:rPr>
        <w:t>）款中的评标内容相照应，为评标委员会方便评标使用。</w:t>
      </w:r>
    </w:p>
    <w:p w14:paraId="3056D72E">
      <w:pPr>
        <w:spacing w:line="360" w:lineRule="auto"/>
        <w:ind w:firstLine="540"/>
        <w:jc w:val="both"/>
        <w:rPr>
          <w:sz w:val="24"/>
          <w:szCs w:val="24"/>
          <w:highlight w:val="none"/>
        </w:rPr>
      </w:pP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．投标人应根据所投标包对应的评分标准进行填写，表中名称内容可根据投报设备情况自行增加（删减）调整。</w:t>
      </w:r>
    </w:p>
    <w:p w14:paraId="668548F9">
      <w:pPr>
        <w:rPr>
          <w:rFonts w:hint="eastAsia"/>
          <w:highlight w:val="none"/>
        </w:rPr>
      </w:pPr>
    </w:p>
    <w:p w14:paraId="28EEA044">
      <w:pPr>
        <w:rPr>
          <w:rFonts w:hint="eastAsia"/>
          <w:color w:val="auto"/>
          <w:sz w:val="24"/>
          <w:szCs w:val="24"/>
          <w:highlight w:val="none"/>
        </w:rPr>
      </w:pPr>
    </w:p>
    <w:p w14:paraId="036D3C67">
      <w:pPr>
        <w:rPr>
          <w:rFonts w:hint="eastAsia"/>
          <w:color w:val="auto"/>
          <w:sz w:val="24"/>
          <w:szCs w:val="24"/>
          <w:highlight w:val="none"/>
        </w:rPr>
      </w:pPr>
    </w:p>
    <w:p w14:paraId="54CDC51B">
      <w:pPr>
        <w:rPr>
          <w:rFonts w:hint="eastAsia"/>
          <w:color w:val="auto"/>
          <w:sz w:val="24"/>
          <w:szCs w:val="24"/>
          <w:highlight w:val="none"/>
        </w:rPr>
      </w:pPr>
    </w:p>
    <w:p w14:paraId="17E2CB0A">
      <w:pPr>
        <w:rPr>
          <w:rFonts w:hint="eastAsia"/>
          <w:color w:val="auto"/>
          <w:sz w:val="24"/>
          <w:szCs w:val="24"/>
          <w:highlight w:val="none"/>
        </w:rPr>
      </w:pPr>
    </w:p>
    <w:p w14:paraId="03B87AA6">
      <w:pPr>
        <w:rPr>
          <w:rFonts w:hint="eastAsia"/>
          <w:color w:val="auto"/>
          <w:sz w:val="24"/>
          <w:szCs w:val="24"/>
          <w:highlight w:val="none"/>
        </w:rPr>
      </w:pPr>
    </w:p>
    <w:p w14:paraId="01D3554A">
      <w:pPr>
        <w:rPr>
          <w:rFonts w:hint="eastAsia"/>
          <w:color w:val="auto"/>
          <w:sz w:val="24"/>
          <w:szCs w:val="24"/>
          <w:highlight w:val="none"/>
        </w:rPr>
      </w:pPr>
    </w:p>
    <w:p w14:paraId="12C857F4">
      <w:pPr>
        <w:rPr>
          <w:rFonts w:hint="eastAsia"/>
          <w:color w:val="auto"/>
          <w:sz w:val="24"/>
          <w:szCs w:val="24"/>
          <w:highlight w:val="none"/>
        </w:rPr>
      </w:pPr>
    </w:p>
    <w:p w14:paraId="63572651">
      <w:pPr>
        <w:rPr>
          <w:rFonts w:hint="eastAsia"/>
          <w:color w:val="auto"/>
          <w:sz w:val="24"/>
          <w:szCs w:val="24"/>
          <w:highlight w:val="none"/>
        </w:rPr>
      </w:pPr>
    </w:p>
    <w:p w14:paraId="3C982939">
      <w:pPr>
        <w:rPr>
          <w:rFonts w:hint="eastAsia"/>
          <w:color w:val="auto"/>
          <w:sz w:val="24"/>
          <w:szCs w:val="24"/>
          <w:highlight w:val="none"/>
        </w:rPr>
      </w:pPr>
    </w:p>
    <w:p w14:paraId="31274C92">
      <w:pPr>
        <w:rPr>
          <w:rFonts w:hint="eastAsia"/>
          <w:color w:val="auto"/>
          <w:sz w:val="24"/>
          <w:szCs w:val="24"/>
          <w:highlight w:val="none"/>
        </w:rPr>
      </w:pPr>
    </w:p>
    <w:p w14:paraId="76A2B526">
      <w:pPr>
        <w:rPr>
          <w:rFonts w:hint="eastAsia"/>
          <w:color w:val="auto"/>
          <w:sz w:val="24"/>
          <w:szCs w:val="24"/>
          <w:highlight w:val="none"/>
        </w:rPr>
      </w:pPr>
    </w:p>
    <w:p w14:paraId="43AD5F8D">
      <w:pPr>
        <w:rPr>
          <w:rFonts w:hint="eastAsia"/>
          <w:color w:val="auto"/>
          <w:sz w:val="24"/>
          <w:szCs w:val="24"/>
          <w:highlight w:val="none"/>
        </w:rPr>
      </w:pPr>
    </w:p>
    <w:p w14:paraId="5D1C2454">
      <w:pPr>
        <w:rPr>
          <w:rFonts w:hint="eastAsia"/>
          <w:color w:val="auto"/>
          <w:sz w:val="24"/>
          <w:szCs w:val="24"/>
          <w:highlight w:val="none"/>
        </w:rPr>
      </w:pPr>
    </w:p>
    <w:p w14:paraId="6200EAF4">
      <w:pPr>
        <w:rPr>
          <w:rFonts w:hint="eastAsia"/>
          <w:color w:val="auto"/>
          <w:sz w:val="24"/>
          <w:szCs w:val="24"/>
          <w:highlight w:val="none"/>
        </w:rPr>
      </w:pPr>
    </w:p>
    <w:p w14:paraId="6CD8B7C1">
      <w:pPr>
        <w:rPr>
          <w:rFonts w:hint="eastAsia"/>
          <w:color w:val="auto"/>
          <w:sz w:val="24"/>
          <w:szCs w:val="24"/>
          <w:highlight w:val="none"/>
        </w:rPr>
      </w:pPr>
    </w:p>
    <w:p w14:paraId="01E4513B">
      <w:pPr>
        <w:rPr>
          <w:rFonts w:hint="eastAsia"/>
          <w:color w:val="auto"/>
          <w:sz w:val="24"/>
          <w:szCs w:val="24"/>
          <w:highlight w:val="none"/>
        </w:rPr>
      </w:pPr>
    </w:p>
    <w:p w14:paraId="7829FB11">
      <w:pPr>
        <w:rPr>
          <w:rFonts w:hint="eastAsia"/>
          <w:color w:val="auto"/>
          <w:sz w:val="24"/>
          <w:szCs w:val="24"/>
          <w:highlight w:val="none"/>
        </w:rPr>
      </w:pPr>
    </w:p>
    <w:p w14:paraId="066A19A8">
      <w:pPr>
        <w:rPr>
          <w:rFonts w:hint="eastAsia"/>
          <w:highlight w:val="none"/>
        </w:rPr>
      </w:pPr>
    </w:p>
    <w:p w14:paraId="3CA8A750">
      <w:pPr>
        <w:numPr>
          <w:ilvl w:val="0"/>
          <w:numId w:val="14"/>
        </w:numPr>
        <w:spacing w:line="240" w:lineRule="auto"/>
        <w:ind w:left="3" w:leftChars="0" w:firstLine="0" w:firstLineChars="0"/>
        <w:jc w:val="center"/>
        <w:rPr>
          <w:rFonts w:hint="eastAsia" w:ascii="宋体" w:hAnsi="宋体" w:eastAsia="宋体"/>
          <w:b/>
          <w:color w:val="000000"/>
          <w:sz w:val="24"/>
          <w:szCs w:val="24"/>
          <w:highlight w:val="none"/>
        </w:rPr>
      </w:pPr>
      <w:r>
        <w:rPr>
          <w:rFonts w:hint="eastAsia" w:ascii="宋体" w:hAnsi="宋体" w:eastAsia="宋体"/>
          <w:b/>
          <w:color w:val="000000"/>
          <w:sz w:val="24"/>
          <w:szCs w:val="24"/>
          <w:highlight w:val="none"/>
        </w:rPr>
        <w:t>技术参数证明材料</w:t>
      </w:r>
    </w:p>
    <w:p w14:paraId="0550757F">
      <w:pPr>
        <w:numPr>
          <w:ilvl w:val="0"/>
          <w:numId w:val="0"/>
        </w:numPr>
        <w:spacing w:line="240" w:lineRule="auto"/>
        <w:ind w:left="3" w:leftChars="0"/>
        <w:jc w:val="both"/>
        <w:rPr>
          <w:rFonts w:hint="eastAsia" w:ascii="宋体" w:hAnsi="宋体" w:eastAsia="宋体"/>
          <w:b/>
          <w:color w:val="000000"/>
          <w:sz w:val="24"/>
          <w:szCs w:val="24"/>
          <w:highlight w:val="none"/>
        </w:rPr>
      </w:pPr>
    </w:p>
    <w:p w14:paraId="09BB535B">
      <w:pPr>
        <w:keepNext/>
        <w:keepLines/>
        <w:spacing w:line="360" w:lineRule="auto"/>
        <w:jc w:val="center"/>
        <w:rPr>
          <w:rFonts w:ascii="宋体" w:cs="宋体"/>
          <w:b/>
          <w:bCs/>
          <w:color w:val="auto"/>
          <w:kern w:val="0"/>
          <w:sz w:val="24"/>
          <w:highlight w:val="none"/>
        </w:rPr>
      </w:pPr>
    </w:p>
    <w:p w14:paraId="27996011">
      <w:pPr>
        <w:pStyle w:val="12"/>
        <w:spacing w:line="360" w:lineRule="auto"/>
        <w:ind w:left="31680" w:right="31680"/>
        <w:rPr>
          <w:color w:val="auto"/>
          <w:highlight w:val="none"/>
        </w:rPr>
        <w:sectPr>
          <w:footerReference r:id="rId9" w:type="default"/>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0" w:charSpace="0"/>
        </w:sectPr>
      </w:pPr>
    </w:p>
    <w:p w14:paraId="57E1E85B">
      <w:pPr>
        <w:spacing w:before="54" w:line="360" w:lineRule="auto"/>
        <w:jc w:val="center"/>
        <w:outlineLvl w:val="1"/>
        <w:rPr>
          <w:b/>
          <w:color w:val="auto"/>
          <w:sz w:val="32"/>
          <w:highlight w:val="none"/>
        </w:rPr>
      </w:pPr>
      <w:bookmarkStart w:id="502" w:name="_Toc26886"/>
      <w:bookmarkStart w:id="503" w:name="_Toc20622"/>
      <w:bookmarkStart w:id="504" w:name="_Toc31940"/>
      <w:r>
        <w:rPr>
          <w:rFonts w:hint="eastAsia"/>
          <w:b/>
          <w:color w:val="auto"/>
          <w:w w:val="95"/>
          <w:sz w:val="32"/>
          <w:highlight w:val="none"/>
        </w:rPr>
        <w:t>六、</w:t>
      </w:r>
      <w:r>
        <w:rPr>
          <w:rFonts w:hint="eastAsia"/>
          <w:b/>
          <w:color w:val="auto"/>
          <w:w w:val="95"/>
          <w:sz w:val="32"/>
          <w:highlight w:val="none"/>
          <w:lang w:eastAsia="zh-CN"/>
        </w:rPr>
        <w:t>类似</w:t>
      </w:r>
      <w:r>
        <w:rPr>
          <w:rFonts w:hint="eastAsia"/>
          <w:b/>
          <w:color w:val="auto"/>
          <w:sz w:val="32"/>
          <w:highlight w:val="none"/>
        </w:rPr>
        <w:t>业绩</w:t>
      </w:r>
      <w:bookmarkEnd w:id="502"/>
      <w:bookmarkEnd w:id="503"/>
      <w:bookmarkEnd w:id="504"/>
    </w:p>
    <w:p w14:paraId="7BC72689">
      <w:pPr>
        <w:pStyle w:val="7"/>
        <w:spacing w:before="12" w:line="360" w:lineRule="auto"/>
        <w:rPr>
          <w:b/>
          <w:color w:val="auto"/>
          <w:sz w:val="19"/>
          <w:highlight w:val="none"/>
        </w:rPr>
      </w:pPr>
    </w:p>
    <w:p w14:paraId="7D057C00">
      <w:pPr>
        <w:pStyle w:val="7"/>
        <w:spacing w:before="66" w:line="360" w:lineRule="auto"/>
        <w:ind w:right="412"/>
        <w:jc w:val="right"/>
        <w:rPr>
          <w:color w:val="auto"/>
          <w:highlight w:val="none"/>
        </w:rPr>
      </w:pPr>
      <w:r>
        <w:rPr>
          <w:rFonts w:hint="eastAsia"/>
          <w:color w:val="auto"/>
          <w:highlight w:val="none"/>
        </w:rPr>
        <w:t>金额单位：元</w:t>
      </w:r>
    </w:p>
    <w:p w14:paraId="7E51D6A9">
      <w:pPr>
        <w:pStyle w:val="7"/>
        <w:spacing w:before="3" w:line="360" w:lineRule="auto"/>
        <w:rPr>
          <w:color w:val="auto"/>
          <w:sz w:val="12"/>
          <w:highlight w:val="none"/>
        </w:rPr>
      </w:pPr>
    </w:p>
    <w:tbl>
      <w:tblPr>
        <w:tblStyle w:val="23"/>
        <w:tblW w:w="516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9"/>
        <w:gridCol w:w="1214"/>
        <w:gridCol w:w="903"/>
        <w:gridCol w:w="937"/>
        <w:gridCol w:w="1158"/>
        <w:gridCol w:w="991"/>
        <w:gridCol w:w="946"/>
        <w:gridCol w:w="1785"/>
      </w:tblGrid>
      <w:tr w14:paraId="0BE0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383" w:type="pct"/>
          </w:tcPr>
          <w:p w14:paraId="4C311EC6">
            <w:pPr>
              <w:pStyle w:val="28"/>
              <w:spacing w:line="360" w:lineRule="auto"/>
              <w:jc w:val="center"/>
              <w:rPr>
                <w:color w:val="auto"/>
                <w:highlight w:val="none"/>
              </w:rPr>
            </w:pPr>
          </w:p>
          <w:p w14:paraId="773F2B81">
            <w:pPr>
              <w:pStyle w:val="28"/>
              <w:spacing w:before="161" w:line="360" w:lineRule="auto"/>
              <w:ind w:right="132"/>
              <w:jc w:val="center"/>
              <w:rPr>
                <w:color w:val="auto"/>
                <w:highlight w:val="none"/>
              </w:rPr>
            </w:pPr>
            <w:r>
              <w:rPr>
                <w:rFonts w:hint="eastAsia"/>
                <w:color w:val="auto"/>
                <w:highlight w:val="none"/>
              </w:rPr>
              <w:t>序号</w:t>
            </w:r>
          </w:p>
        </w:tc>
        <w:tc>
          <w:tcPr>
            <w:tcW w:w="706" w:type="pct"/>
          </w:tcPr>
          <w:p w14:paraId="1810761A">
            <w:pPr>
              <w:pStyle w:val="28"/>
              <w:spacing w:before="3" w:line="360" w:lineRule="auto"/>
              <w:jc w:val="center"/>
              <w:rPr>
                <w:color w:val="auto"/>
                <w:sz w:val="18"/>
                <w:highlight w:val="none"/>
              </w:rPr>
            </w:pPr>
          </w:p>
          <w:p w14:paraId="6D2CBF52">
            <w:pPr>
              <w:pStyle w:val="28"/>
              <w:spacing w:line="360" w:lineRule="auto"/>
              <w:ind w:left="138" w:right="128"/>
              <w:jc w:val="center"/>
              <w:rPr>
                <w:color w:val="auto"/>
                <w:spacing w:val="-2"/>
                <w:highlight w:val="none"/>
              </w:rPr>
            </w:pPr>
            <w:r>
              <w:rPr>
                <w:rFonts w:hint="eastAsia"/>
                <w:color w:val="auto"/>
                <w:spacing w:val="-2"/>
                <w:highlight w:val="none"/>
              </w:rPr>
              <w:t>用户单位</w:t>
            </w:r>
          </w:p>
          <w:p w14:paraId="31AAB111">
            <w:pPr>
              <w:pStyle w:val="28"/>
              <w:spacing w:line="360" w:lineRule="auto"/>
              <w:ind w:left="138" w:right="128"/>
              <w:jc w:val="center"/>
              <w:rPr>
                <w:color w:val="auto"/>
                <w:highlight w:val="none"/>
              </w:rPr>
            </w:pPr>
            <w:r>
              <w:rPr>
                <w:rFonts w:hint="eastAsia"/>
                <w:color w:val="auto"/>
                <w:spacing w:val="-2"/>
                <w:highlight w:val="none"/>
              </w:rPr>
              <w:t>名称</w:t>
            </w:r>
          </w:p>
        </w:tc>
        <w:tc>
          <w:tcPr>
            <w:tcW w:w="525" w:type="pct"/>
          </w:tcPr>
          <w:p w14:paraId="36F6DF26">
            <w:pPr>
              <w:pStyle w:val="28"/>
              <w:spacing w:before="3" w:line="360" w:lineRule="auto"/>
              <w:jc w:val="center"/>
              <w:rPr>
                <w:color w:val="auto"/>
                <w:sz w:val="18"/>
                <w:highlight w:val="none"/>
              </w:rPr>
            </w:pPr>
          </w:p>
          <w:p w14:paraId="3B5DA557">
            <w:pPr>
              <w:pStyle w:val="28"/>
              <w:spacing w:line="360" w:lineRule="auto"/>
              <w:ind w:left="152" w:right="140"/>
              <w:jc w:val="center"/>
              <w:rPr>
                <w:color w:val="auto"/>
                <w:highlight w:val="none"/>
              </w:rPr>
            </w:pPr>
            <w:r>
              <w:rPr>
                <w:rFonts w:hint="eastAsia"/>
                <w:color w:val="auto"/>
                <w:spacing w:val="-2"/>
                <w:highlight w:val="none"/>
              </w:rPr>
              <w:t>项目内容</w:t>
            </w:r>
          </w:p>
        </w:tc>
        <w:tc>
          <w:tcPr>
            <w:tcW w:w="545" w:type="pct"/>
          </w:tcPr>
          <w:p w14:paraId="69DAF21A">
            <w:pPr>
              <w:pStyle w:val="28"/>
              <w:spacing w:line="360" w:lineRule="auto"/>
              <w:jc w:val="center"/>
              <w:rPr>
                <w:color w:val="auto"/>
                <w:highlight w:val="none"/>
              </w:rPr>
            </w:pPr>
          </w:p>
          <w:p w14:paraId="0B94B409">
            <w:pPr>
              <w:pStyle w:val="28"/>
              <w:spacing w:before="161" w:line="360" w:lineRule="auto"/>
              <w:ind w:left="147"/>
              <w:jc w:val="center"/>
              <w:rPr>
                <w:color w:val="auto"/>
                <w:highlight w:val="none"/>
              </w:rPr>
            </w:pPr>
            <w:r>
              <w:rPr>
                <w:rFonts w:hint="eastAsia"/>
                <w:color w:val="auto"/>
                <w:highlight w:val="none"/>
              </w:rPr>
              <w:t>实施地点</w:t>
            </w:r>
          </w:p>
        </w:tc>
        <w:tc>
          <w:tcPr>
            <w:tcW w:w="673" w:type="pct"/>
          </w:tcPr>
          <w:p w14:paraId="7290012E">
            <w:pPr>
              <w:pStyle w:val="28"/>
              <w:spacing w:before="3" w:line="360" w:lineRule="auto"/>
              <w:jc w:val="center"/>
              <w:rPr>
                <w:color w:val="auto"/>
                <w:sz w:val="18"/>
                <w:highlight w:val="none"/>
              </w:rPr>
            </w:pPr>
          </w:p>
          <w:p w14:paraId="603FA924">
            <w:pPr>
              <w:pStyle w:val="28"/>
              <w:spacing w:line="360" w:lineRule="auto"/>
              <w:ind w:left="136" w:right="128"/>
              <w:jc w:val="center"/>
              <w:rPr>
                <w:color w:val="auto"/>
                <w:spacing w:val="-1"/>
                <w:highlight w:val="none"/>
              </w:rPr>
            </w:pPr>
            <w:r>
              <w:rPr>
                <w:rFonts w:hint="eastAsia"/>
                <w:color w:val="auto"/>
                <w:spacing w:val="-1"/>
                <w:highlight w:val="none"/>
              </w:rPr>
              <w:t>用户联系人</w:t>
            </w:r>
          </w:p>
          <w:p w14:paraId="5B98ED3C">
            <w:pPr>
              <w:pStyle w:val="28"/>
              <w:spacing w:line="360" w:lineRule="auto"/>
              <w:ind w:left="136" w:right="128"/>
              <w:jc w:val="center"/>
              <w:rPr>
                <w:color w:val="auto"/>
                <w:highlight w:val="none"/>
              </w:rPr>
            </w:pPr>
            <w:r>
              <w:rPr>
                <w:rFonts w:hint="eastAsia"/>
                <w:color w:val="auto"/>
                <w:spacing w:val="-1"/>
                <w:highlight w:val="none"/>
              </w:rPr>
              <w:t>及联系方式</w:t>
            </w:r>
          </w:p>
        </w:tc>
        <w:tc>
          <w:tcPr>
            <w:tcW w:w="576" w:type="pct"/>
          </w:tcPr>
          <w:p w14:paraId="52FD959E">
            <w:pPr>
              <w:pStyle w:val="28"/>
              <w:spacing w:before="3" w:line="360" w:lineRule="auto"/>
              <w:jc w:val="center"/>
              <w:rPr>
                <w:color w:val="auto"/>
                <w:sz w:val="18"/>
                <w:highlight w:val="none"/>
              </w:rPr>
            </w:pPr>
          </w:p>
          <w:p w14:paraId="009C02D5">
            <w:pPr>
              <w:pStyle w:val="28"/>
              <w:spacing w:line="360" w:lineRule="auto"/>
              <w:ind w:left="214" w:right="204"/>
              <w:jc w:val="center"/>
              <w:rPr>
                <w:color w:val="auto"/>
                <w:highlight w:val="none"/>
              </w:rPr>
            </w:pPr>
            <w:r>
              <w:rPr>
                <w:rFonts w:hint="eastAsia"/>
                <w:color w:val="auto"/>
                <w:spacing w:val="-2"/>
                <w:highlight w:val="none"/>
              </w:rPr>
              <w:t>项目起止时间</w:t>
            </w:r>
          </w:p>
        </w:tc>
        <w:tc>
          <w:tcPr>
            <w:tcW w:w="550" w:type="pct"/>
          </w:tcPr>
          <w:p w14:paraId="3DA7C40A">
            <w:pPr>
              <w:pStyle w:val="28"/>
              <w:spacing w:before="3" w:line="360" w:lineRule="auto"/>
              <w:jc w:val="center"/>
              <w:rPr>
                <w:color w:val="auto"/>
                <w:sz w:val="18"/>
                <w:highlight w:val="none"/>
              </w:rPr>
            </w:pPr>
          </w:p>
          <w:p w14:paraId="3636B9A0">
            <w:pPr>
              <w:pStyle w:val="28"/>
              <w:spacing w:line="360" w:lineRule="auto"/>
              <w:ind w:left="148" w:right="140"/>
              <w:jc w:val="center"/>
              <w:rPr>
                <w:color w:val="auto"/>
                <w:spacing w:val="-2"/>
                <w:highlight w:val="none"/>
              </w:rPr>
            </w:pPr>
            <w:r>
              <w:rPr>
                <w:rFonts w:hint="eastAsia"/>
                <w:color w:val="auto"/>
                <w:spacing w:val="-2"/>
                <w:highlight w:val="none"/>
              </w:rPr>
              <w:t>合同</w:t>
            </w:r>
          </w:p>
          <w:p w14:paraId="106F7688">
            <w:pPr>
              <w:pStyle w:val="28"/>
              <w:spacing w:line="360" w:lineRule="auto"/>
              <w:ind w:left="148" w:right="140"/>
              <w:jc w:val="center"/>
              <w:rPr>
                <w:color w:val="auto"/>
                <w:highlight w:val="none"/>
              </w:rPr>
            </w:pPr>
            <w:r>
              <w:rPr>
                <w:rFonts w:hint="eastAsia"/>
                <w:color w:val="auto"/>
                <w:spacing w:val="-2"/>
                <w:highlight w:val="none"/>
              </w:rPr>
              <w:t>金额</w:t>
            </w:r>
          </w:p>
        </w:tc>
        <w:tc>
          <w:tcPr>
            <w:tcW w:w="1038" w:type="pct"/>
          </w:tcPr>
          <w:p w14:paraId="1305B36D">
            <w:pPr>
              <w:pStyle w:val="28"/>
              <w:spacing w:before="8" w:line="360" w:lineRule="auto"/>
              <w:ind w:left="838" w:right="110" w:hanging="720"/>
              <w:jc w:val="center"/>
              <w:rPr>
                <w:rFonts w:ascii="宋体" w:cs="宋体"/>
                <w:color w:val="auto"/>
                <w:highlight w:val="none"/>
              </w:rPr>
            </w:pPr>
          </w:p>
          <w:p w14:paraId="35B1630A">
            <w:pPr>
              <w:pStyle w:val="28"/>
              <w:spacing w:before="8" w:line="360" w:lineRule="auto"/>
              <w:ind w:right="110" w:firstLine="240" w:firstLineChars="100"/>
              <w:jc w:val="center"/>
              <w:rPr>
                <w:color w:val="auto"/>
                <w:highlight w:val="none"/>
              </w:rPr>
            </w:pPr>
            <w:r>
              <w:rPr>
                <w:rFonts w:hint="eastAsia" w:ascii="宋体" w:hAnsi="宋体" w:cs="宋体"/>
                <w:color w:val="auto"/>
                <w:highlight w:val="none"/>
              </w:rPr>
              <w:t>相关证明材料</w:t>
            </w:r>
          </w:p>
        </w:tc>
      </w:tr>
      <w:tr w14:paraId="003E0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83" w:type="pct"/>
          </w:tcPr>
          <w:p w14:paraId="05846C44">
            <w:pPr>
              <w:pStyle w:val="28"/>
              <w:spacing w:before="1" w:line="360" w:lineRule="auto"/>
              <w:ind w:left="9"/>
              <w:jc w:val="center"/>
              <w:rPr>
                <w:color w:val="auto"/>
                <w:highlight w:val="none"/>
              </w:rPr>
            </w:pPr>
            <w:r>
              <w:rPr>
                <w:color w:val="auto"/>
                <w:highlight w:val="none"/>
              </w:rPr>
              <w:t>1</w:t>
            </w:r>
          </w:p>
        </w:tc>
        <w:tc>
          <w:tcPr>
            <w:tcW w:w="706" w:type="pct"/>
          </w:tcPr>
          <w:p w14:paraId="53CD9B46">
            <w:pPr>
              <w:pStyle w:val="28"/>
              <w:spacing w:line="360" w:lineRule="auto"/>
              <w:rPr>
                <w:color w:val="auto"/>
                <w:sz w:val="22"/>
                <w:highlight w:val="none"/>
              </w:rPr>
            </w:pPr>
          </w:p>
        </w:tc>
        <w:tc>
          <w:tcPr>
            <w:tcW w:w="525" w:type="pct"/>
          </w:tcPr>
          <w:p w14:paraId="0346A23F">
            <w:pPr>
              <w:pStyle w:val="28"/>
              <w:spacing w:line="360" w:lineRule="auto"/>
              <w:rPr>
                <w:color w:val="auto"/>
                <w:sz w:val="22"/>
                <w:highlight w:val="none"/>
              </w:rPr>
            </w:pPr>
          </w:p>
        </w:tc>
        <w:tc>
          <w:tcPr>
            <w:tcW w:w="545" w:type="pct"/>
          </w:tcPr>
          <w:p w14:paraId="6980FC39">
            <w:pPr>
              <w:pStyle w:val="28"/>
              <w:spacing w:line="360" w:lineRule="auto"/>
              <w:rPr>
                <w:color w:val="auto"/>
                <w:sz w:val="22"/>
                <w:highlight w:val="none"/>
              </w:rPr>
            </w:pPr>
          </w:p>
        </w:tc>
        <w:tc>
          <w:tcPr>
            <w:tcW w:w="673" w:type="pct"/>
          </w:tcPr>
          <w:p w14:paraId="2630271E">
            <w:pPr>
              <w:pStyle w:val="28"/>
              <w:spacing w:line="360" w:lineRule="auto"/>
              <w:rPr>
                <w:color w:val="auto"/>
                <w:sz w:val="22"/>
                <w:highlight w:val="none"/>
              </w:rPr>
            </w:pPr>
          </w:p>
        </w:tc>
        <w:tc>
          <w:tcPr>
            <w:tcW w:w="576" w:type="pct"/>
          </w:tcPr>
          <w:p w14:paraId="44BEA7FA">
            <w:pPr>
              <w:pStyle w:val="28"/>
              <w:spacing w:line="360" w:lineRule="auto"/>
              <w:rPr>
                <w:color w:val="auto"/>
                <w:sz w:val="22"/>
                <w:highlight w:val="none"/>
              </w:rPr>
            </w:pPr>
          </w:p>
        </w:tc>
        <w:tc>
          <w:tcPr>
            <w:tcW w:w="550" w:type="pct"/>
          </w:tcPr>
          <w:p w14:paraId="538A1525">
            <w:pPr>
              <w:pStyle w:val="28"/>
              <w:spacing w:line="360" w:lineRule="auto"/>
              <w:rPr>
                <w:color w:val="auto"/>
                <w:sz w:val="22"/>
                <w:highlight w:val="none"/>
              </w:rPr>
            </w:pPr>
          </w:p>
        </w:tc>
        <w:tc>
          <w:tcPr>
            <w:tcW w:w="1038" w:type="pct"/>
          </w:tcPr>
          <w:p w14:paraId="74FFEBB1">
            <w:pPr>
              <w:pStyle w:val="28"/>
              <w:spacing w:before="1" w:line="360" w:lineRule="auto"/>
              <w:ind w:left="118"/>
              <w:rPr>
                <w:color w:val="auto"/>
                <w:highlight w:val="none"/>
              </w:rPr>
            </w:pPr>
            <w:r>
              <w:rPr>
                <w:rFonts w:hint="eastAsia"/>
                <w:color w:val="auto"/>
                <w:highlight w:val="none"/>
              </w:rPr>
              <w:t>见投标文件（）页</w:t>
            </w:r>
          </w:p>
        </w:tc>
      </w:tr>
      <w:tr w14:paraId="3433F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383" w:type="pct"/>
          </w:tcPr>
          <w:p w14:paraId="47BEAF28">
            <w:pPr>
              <w:pStyle w:val="28"/>
              <w:spacing w:before="2" w:line="360" w:lineRule="auto"/>
              <w:ind w:left="9"/>
              <w:jc w:val="center"/>
              <w:rPr>
                <w:color w:val="auto"/>
                <w:highlight w:val="none"/>
              </w:rPr>
            </w:pPr>
            <w:r>
              <w:rPr>
                <w:color w:val="auto"/>
                <w:highlight w:val="none"/>
              </w:rPr>
              <w:t>2</w:t>
            </w:r>
          </w:p>
        </w:tc>
        <w:tc>
          <w:tcPr>
            <w:tcW w:w="706" w:type="pct"/>
          </w:tcPr>
          <w:p w14:paraId="5B9E7DF5">
            <w:pPr>
              <w:pStyle w:val="28"/>
              <w:spacing w:line="360" w:lineRule="auto"/>
              <w:rPr>
                <w:color w:val="auto"/>
                <w:sz w:val="22"/>
                <w:highlight w:val="none"/>
              </w:rPr>
            </w:pPr>
          </w:p>
        </w:tc>
        <w:tc>
          <w:tcPr>
            <w:tcW w:w="525" w:type="pct"/>
          </w:tcPr>
          <w:p w14:paraId="47EA441D">
            <w:pPr>
              <w:pStyle w:val="28"/>
              <w:spacing w:line="360" w:lineRule="auto"/>
              <w:rPr>
                <w:color w:val="auto"/>
                <w:sz w:val="22"/>
                <w:highlight w:val="none"/>
              </w:rPr>
            </w:pPr>
          </w:p>
        </w:tc>
        <w:tc>
          <w:tcPr>
            <w:tcW w:w="545" w:type="pct"/>
          </w:tcPr>
          <w:p w14:paraId="5D67F919">
            <w:pPr>
              <w:pStyle w:val="28"/>
              <w:spacing w:line="360" w:lineRule="auto"/>
              <w:rPr>
                <w:color w:val="auto"/>
                <w:sz w:val="22"/>
                <w:highlight w:val="none"/>
              </w:rPr>
            </w:pPr>
          </w:p>
        </w:tc>
        <w:tc>
          <w:tcPr>
            <w:tcW w:w="673" w:type="pct"/>
          </w:tcPr>
          <w:p w14:paraId="6FF5F9F8">
            <w:pPr>
              <w:pStyle w:val="28"/>
              <w:spacing w:line="360" w:lineRule="auto"/>
              <w:rPr>
                <w:color w:val="auto"/>
                <w:sz w:val="22"/>
                <w:highlight w:val="none"/>
              </w:rPr>
            </w:pPr>
          </w:p>
        </w:tc>
        <w:tc>
          <w:tcPr>
            <w:tcW w:w="576" w:type="pct"/>
          </w:tcPr>
          <w:p w14:paraId="17EDA6AD">
            <w:pPr>
              <w:pStyle w:val="28"/>
              <w:spacing w:line="360" w:lineRule="auto"/>
              <w:rPr>
                <w:color w:val="auto"/>
                <w:sz w:val="22"/>
                <w:highlight w:val="none"/>
              </w:rPr>
            </w:pPr>
          </w:p>
        </w:tc>
        <w:tc>
          <w:tcPr>
            <w:tcW w:w="550" w:type="pct"/>
          </w:tcPr>
          <w:p w14:paraId="2A9766C6">
            <w:pPr>
              <w:pStyle w:val="28"/>
              <w:spacing w:line="360" w:lineRule="auto"/>
              <w:rPr>
                <w:color w:val="auto"/>
                <w:sz w:val="22"/>
                <w:highlight w:val="none"/>
              </w:rPr>
            </w:pPr>
          </w:p>
        </w:tc>
        <w:tc>
          <w:tcPr>
            <w:tcW w:w="1038" w:type="pct"/>
          </w:tcPr>
          <w:p w14:paraId="6E96C8CE">
            <w:pPr>
              <w:pStyle w:val="28"/>
              <w:spacing w:before="2" w:line="360" w:lineRule="auto"/>
              <w:ind w:left="118"/>
              <w:rPr>
                <w:color w:val="auto"/>
                <w:highlight w:val="none"/>
              </w:rPr>
            </w:pPr>
            <w:r>
              <w:rPr>
                <w:rFonts w:hint="eastAsia"/>
                <w:color w:val="auto"/>
                <w:highlight w:val="none"/>
              </w:rPr>
              <w:t>见投标文件（）页</w:t>
            </w:r>
          </w:p>
        </w:tc>
      </w:tr>
      <w:tr w14:paraId="7AE77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83" w:type="pct"/>
          </w:tcPr>
          <w:p w14:paraId="32A2D66D">
            <w:pPr>
              <w:pStyle w:val="28"/>
              <w:spacing w:line="360" w:lineRule="auto"/>
              <w:ind w:left="9"/>
              <w:jc w:val="center"/>
              <w:rPr>
                <w:color w:val="auto"/>
                <w:highlight w:val="none"/>
              </w:rPr>
            </w:pPr>
            <w:r>
              <w:rPr>
                <w:color w:val="auto"/>
                <w:highlight w:val="none"/>
              </w:rPr>
              <w:t>3</w:t>
            </w:r>
          </w:p>
        </w:tc>
        <w:tc>
          <w:tcPr>
            <w:tcW w:w="706" w:type="pct"/>
          </w:tcPr>
          <w:p w14:paraId="28868A0D">
            <w:pPr>
              <w:pStyle w:val="28"/>
              <w:spacing w:line="360" w:lineRule="auto"/>
              <w:rPr>
                <w:color w:val="auto"/>
                <w:sz w:val="22"/>
                <w:highlight w:val="none"/>
              </w:rPr>
            </w:pPr>
          </w:p>
        </w:tc>
        <w:tc>
          <w:tcPr>
            <w:tcW w:w="525" w:type="pct"/>
          </w:tcPr>
          <w:p w14:paraId="649FC32A">
            <w:pPr>
              <w:pStyle w:val="28"/>
              <w:spacing w:line="360" w:lineRule="auto"/>
              <w:rPr>
                <w:color w:val="auto"/>
                <w:sz w:val="22"/>
                <w:highlight w:val="none"/>
              </w:rPr>
            </w:pPr>
          </w:p>
        </w:tc>
        <w:tc>
          <w:tcPr>
            <w:tcW w:w="545" w:type="pct"/>
          </w:tcPr>
          <w:p w14:paraId="49AED475">
            <w:pPr>
              <w:pStyle w:val="28"/>
              <w:spacing w:line="360" w:lineRule="auto"/>
              <w:rPr>
                <w:color w:val="auto"/>
                <w:sz w:val="22"/>
                <w:highlight w:val="none"/>
              </w:rPr>
            </w:pPr>
          </w:p>
        </w:tc>
        <w:tc>
          <w:tcPr>
            <w:tcW w:w="673" w:type="pct"/>
          </w:tcPr>
          <w:p w14:paraId="3A32A210">
            <w:pPr>
              <w:pStyle w:val="28"/>
              <w:spacing w:line="360" w:lineRule="auto"/>
              <w:rPr>
                <w:color w:val="auto"/>
                <w:sz w:val="22"/>
                <w:highlight w:val="none"/>
              </w:rPr>
            </w:pPr>
          </w:p>
        </w:tc>
        <w:tc>
          <w:tcPr>
            <w:tcW w:w="576" w:type="pct"/>
          </w:tcPr>
          <w:p w14:paraId="774F4892">
            <w:pPr>
              <w:pStyle w:val="28"/>
              <w:spacing w:line="360" w:lineRule="auto"/>
              <w:rPr>
                <w:color w:val="auto"/>
                <w:sz w:val="22"/>
                <w:highlight w:val="none"/>
              </w:rPr>
            </w:pPr>
          </w:p>
        </w:tc>
        <w:tc>
          <w:tcPr>
            <w:tcW w:w="550" w:type="pct"/>
          </w:tcPr>
          <w:p w14:paraId="58411BDD">
            <w:pPr>
              <w:pStyle w:val="28"/>
              <w:spacing w:line="360" w:lineRule="auto"/>
              <w:rPr>
                <w:color w:val="auto"/>
                <w:sz w:val="22"/>
                <w:highlight w:val="none"/>
              </w:rPr>
            </w:pPr>
          </w:p>
        </w:tc>
        <w:tc>
          <w:tcPr>
            <w:tcW w:w="1038" w:type="pct"/>
          </w:tcPr>
          <w:p w14:paraId="3F524B3F">
            <w:pPr>
              <w:pStyle w:val="28"/>
              <w:spacing w:line="360" w:lineRule="auto"/>
              <w:ind w:left="118"/>
              <w:rPr>
                <w:color w:val="auto"/>
                <w:highlight w:val="none"/>
              </w:rPr>
            </w:pPr>
            <w:r>
              <w:rPr>
                <w:rFonts w:hint="eastAsia"/>
                <w:color w:val="auto"/>
                <w:highlight w:val="none"/>
              </w:rPr>
              <w:t>见投标文件（）页</w:t>
            </w:r>
          </w:p>
        </w:tc>
      </w:tr>
      <w:tr w14:paraId="1599E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83" w:type="pct"/>
          </w:tcPr>
          <w:p w14:paraId="2847512F">
            <w:pPr>
              <w:pStyle w:val="28"/>
              <w:spacing w:line="360" w:lineRule="auto"/>
              <w:ind w:left="9"/>
              <w:jc w:val="center"/>
              <w:rPr>
                <w:color w:val="auto"/>
                <w:highlight w:val="none"/>
              </w:rPr>
            </w:pPr>
            <w:r>
              <w:rPr>
                <w:color w:val="auto"/>
                <w:highlight w:val="none"/>
              </w:rPr>
              <w:t>4</w:t>
            </w:r>
          </w:p>
        </w:tc>
        <w:tc>
          <w:tcPr>
            <w:tcW w:w="706" w:type="pct"/>
          </w:tcPr>
          <w:p w14:paraId="39E44D1F">
            <w:pPr>
              <w:pStyle w:val="28"/>
              <w:spacing w:line="360" w:lineRule="auto"/>
              <w:rPr>
                <w:color w:val="auto"/>
                <w:sz w:val="22"/>
                <w:highlight w:val="none"/>
              </w:rPr>
            </w:pPr>
          </w:p>
        </w:tc>
        <w:tc>
          <w:tcPr>
            <w:tcW w:w="525" w:type="pct"/>
          </w:tcPr>
          <w:p w14:paraId="4F1D2FD9">
            <w:pPr>
              <w:pStyle w:val="28"/>
              <w:spacing w:line="360" w:lineRule="auto"/>
              <w:rPr>
                <w:color w:val="auto"/>
                <w:sz w:val="22"/>
                <w:highlight w:val="none"/>
              </w:rPr>
            </w:pPr>
          </w:p>
        </w:tc>
        <w:tc>
          <w:tcPr>
            <w:tcW w:w="545" w:type="pct"/>
          </w:tcPr>
          <w:p w14:paraId="514E0A77">
            <w:pPr>
              <w:pStyle w:val="28"/>
              <w:spacing w:line="360" w:lineRule="auto"/>
              <w:rPr>
                <w:color w:val="auto"/>
                <w:sz w:val="22"/>
                <w:highlight w:val="none"/>
              </w:rPr>
            </w:pPr>
          </w:p>
        </w:tc>
        <w:tc>
          <w:tcPr>
            <w:tcW w:w="673" w:type="pct"/>
          </w:tcPr>
          <w:p w14:paraId="4CA48006">
            <w:pPr>
              <w:pStyle w:val="28"/>
              <w:spacing w:line="360" w:lineRule="auto"/>
              <w:rPr>
                <w:color w:val="auto"/>
                <w:sz w:val="22"/>
                <w:highlight w:val="none"/>
              </w:rPr>
            </w:pPr>
          </w:p>
        </w:tc>
        <w:tc>
          <w:tcPr>
            <w:tcW w:w="576" w:type="pct"/>
          </w:tcPr>
          <w:p w14:paraId="228F7CE4">
            <w:pPr>
              <w:pStyle w:val="28"/>
              <w:spacing w:line="360" w:lineRule="auto"/>
              <w:rPr>
                <w:color w:val="auto"/>
                <w:sz w:val="22"/>
                <w:highlight w:val="none"/>
              </w:rPr>
            </w:pPr>
          </w:p>
        </w:tc>
        <w:tc>
          <w:tcPr>
            <w:tcW w:w="550" w:type="pct"/>
          </w:tcPr>
          <w:p w14:paraId="315D8B1C">
            <w:pPr>
              <w:pStyle w:val="28"/>
              <w:spacing w:line="360" w:lineRule="auto"/>
              <w:rPr>
                <w:color w:val="auto"/>
                <w:sz w:val="22"/>
                <w:highlight w:val="none"/>
              </w:rPr>
            </w:pPr>
          </w:p>
        </w:tc>
        <w:tc>
          <w:tcPr>
            <w:tcW w:w="1038" w:type="pct"/>
          </w:tcPr>
          <w:p w14:paraId="69FF858C">
            <w:pPr>
              <w:pStyle w:val="28"/>
              <w:spacing w:line="360" w:lineRule="auto"/>
              <w:ind w:left="118"/>
              <w:rPr>
                <w:color w:val="auto"/>
                <w:highlight w:val="none"/>
              </w:rPr>
            </w:pPr>
            <w:r>
              <w:rPr>
                <w:rFonts w:hint="eastAsia"/>
                <w:color w:val="auto"/>
                <w:highlight w:val="none"/>
              </w:rPr>
              <w:t>见投标文件（）页</w:t>
            </w:r>
          </w:p>
        </w:tc>
      </w:tr>
      <w:tr w14:paraId="38D2D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83" w:type="pct"/>
          </w:tcPr>
          <w:p w14:paraId="3CDC04E8">
            <w:pPr>
              <w:pStyle w:val="28"/>
              <w:spacing w:before="1" w:line="360" w:lineRule="auto"/>
              <w:ind w:left="9"/>
              <w:jc w:val="center"/>
              <w:rPr>
                <w:color w:val="auto"/>
                <w:highlight w:val="none"/>
              </w:rPr>
            </w:pPr>
            <w:r>
              <w:rPr>
                <w:color w:val="auto"/>
                <w:highlight w:val="none"/>
              </w:rPr>
              <w:t>5</w:t>
            </w:r>
          </w:p>
        </w:tc>
        <w:tc>
          <w:tcPr>
            <w:tcW w:w="706" w:type="pct"/>
          </w:tcPr>
          <w:p w14:paraId="209572B5">
            <w:pPr>
              <w:pStyle w:val="28"/>
              <w:spacing w:line="360" w:lineRule="auto"/>
              <w:rPr>
                <w:color w:val="auto"/>
                <w:sz w:val="22"/>
                <w:highlight w:val="none"/>
              </w:rPr>
            </w:pPr>
          </w:p>
        </w:tc>
        <w:tc>
          <w:tcPr>
            <w:tcW w:w="525" w:type="pct"/>
          </w:tcPr>
          <w:p w14:paraId="1343D23F">
            <w:pPr>
              <w:pStyle w:val="28"/>
              <w:spacing w:line="360" w:lineRule="auto"/>
              <w:rPr>
                <w:color w:val="auto"/>
                <w:sz w:val="22"/>
                <w:highlight w:val="none"/>
              </w:rPr>
            </w:pPr>
          </w:p>
        </w:tc>
        <w:tc>
          <w:tcPr>
            <w:tcW w:w="545" w:type="pct"/>
          </w:tcPr>
          <w:p w14:paraId="5CD006AE">
            <w:pPr>
              <w:pStyle w:val="28"/>
              <w:spacing w:line="360" w:lineRule="auto"/>
              <w:rPr>
                <w:color w:val="auto"/>
                <w:sz w:val="22"/>
                <w:highlight w:val="none"/>
              </w:rPr>
            </w:pPr>
          </w:p>
        </w:tc>
        <w:tc>
          <w:tcPr>
            <w:tcW w:w="673" w:type="pct"/>
          </w:tcPr>
          <w:p w14:paraId="09617626">
            <w:pPr>
              <w:pStyle w:val="28"/>
              <w:spacing w:line="360" w:lineRule="auto"/>
              <w:rPr>
                <w:color w:val="auto"/>
                <w:sz w:val="22"/>
                <w:highlight w:val="none"/>
              </w:rPr>
            </w:pPr>
          </w:p>
        </w:tc>
        <w:tc>
          <w:tcPr>
            <w:tcW w:w="576" w:type="pct"/>
          </w:tcPr>
          <w:p w14:paraId="7A478BEA">
            <w:pPr>
              <w:pStyle w:val="28"/>
              <w:spacing w:line="360" w:lineRule="auto"/>
              <w:rPr>
                <w:color w:val="auto"/>
                <w:sz w:val="22"/>
                <w:highlight w:val="none"/>
              </w:rPr>
            </w:pPr>
          </w:p>
        </w:tc>
        <w:tc>
          <w:tcPr>
            <w:tcW w:w="550" w:type="pct"/>
          </w:tcPr>
          <w:p w14:paraId="4B102B75">
            <w:pPr>
              <w:pStyle w:val="28"/>
              <w:spacing w:line="360" w:lineRule="auto"/>
              <w:rPr>
                <w:color w:val="auto"/>
                <w:sz w:val="22"/>
                <w:highlight w:val="none"/>
              </w:rPr>
            </w:pPr>
          </w:p>
        </w:tc>
        <w:tc>
          <w:tcPr>
            <w:tcW w:w="1038" w:type="pct"/>
          </w:tcPr>
          <w:p w14:paraId="25021D6D">
            <w:pPr>
              <w:pStyle w:val="28"/>
              <w:spacing w:before="1" w:line="360" w:lineRule="auto"/>
              <w:ind w:left="118"/>
              <w:rPr>
                <w:color w:val="auto"/>
                <w:highlight w:val="none"/>
              </w:rPr>
            </w:pPr>
            <w:r>
              <w:rPr>
                <w:rFonts w:hint="eastAsia"/>
                <w:color w:val="auto"/>
                <w:highlight w:val="none"/>
              </w:rPr>
              <w:t>见投标文件（）页</w:t>
            </w:r>
          </w:p>
        </w:tc>
      </w:tr>
      <w:tr w14:paraId="15AF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83" w:type="pct"/>
          </w:tcPr>
          <w:p w14:paraId="7D28943B">
            <w:pPr>
              <w:pStyle w:val="28"/>
              <w:spacing w:before="3" w:line="360" w:lineRule="auto"/>
              <w:ind w:right="192"/>
              <w:jc w:val="right"/>
              <w:rPr>
                <w:color w:val="auto"/>
                <w:highlight w:val="none"/>
              </w:rPr>
            </w:pPr>
            <w:r>
              <w:rPr>
                <w:color w:val="auto"/>
                <w:highlight w:val="none"/>
              </w:rPr>
              <w:t>...</w:t>
            </w:r>
          </w:p>
        </w:tc>
        <w:tc>
          <w:tcPr>
            <w:tcW w:w="706" w:type="pct"/>
          </w:tcPr>
          <w:p w14:paraId="659496FF">
            <w:pPr>
              <w:pStyle w:val="28"/>
              <w:spacing w:line="360" w:lineRule="auto"/>
              <w:rPr>
                <w:color w:val="auto"/>
                <w:sz w:val="22"/>
                <w:highlight w:val="none"/>
              </w:rPr>
            </w:pPr>
          </w:p>
        </w:tc>
        <w:tc>
          <w:tcPr>
            <w:tcW w:w="525" w:type="pct"/>
          </w:tcPr>
          <w:p w14:paraId="5B416C36">
            <w:pPr>
              <w:pStyle w:val="28"/>
              <w:spacing w:line="360" w:lineRule="auto"/>
              <w:rPr>
                <w:color w:val="auto"/>
                <w:sz w:val="22"/>
                <w:highlight w:val="none"/>
              </w:rPr>
            </w:pPr>
          </w:p>
        </w:tc>
        <w:tc>
          <w:tcPr>
            <w:tcW w:w="545" w:type="pct"/>
          </w:tcPr>
          <w:p w14:paraId="51EE610D">
            <w:pPr>
              <w:pStyle w:val="28"/>
              <w:spacing w:line="360" w:lineRule="auto"/>
              <w:rPr>
                <w:color w:val="auto"/>
                <w:sz w:val="22"/>
                <w:highlight w:val="none"/>
              </w:rPr>
            </w:pPr>
          </w:p>
        </w:tc>
        <w:tc>
          <w:tcPr>
            <w:tcW w:w="673" w:type="pct"/>
          </w:tcPr>
          <w:p w14:paraId="69B755CC">
            <w:pPr>
              <w:pStyle w:val="28"/>
              <w:spacing w:line="360" w:lineRule="auto"/>
              <w:rPr>
                <w:color w:val="auto"/>
                <w:sz w:val="22"/>
                <w:highlight w:val="none"/>
              </w:rPr>
            </w:pPr>
          </w:p>
        </w:tc>
        <w:tc>
          <w:tcPr>
            <w:tcW w:w="576" w:type="pct"/>
          </w:tcPr>
          <w:p w14:paraId="76E7A210">
            <w:pPr>
              <w:pStyle w:val="28"/>
              <w:spacing w:line="360" w:lineRule="auto"/>
              <w:rPr>
                <w:color w:val="auto"/>
                <w:sz w:val="22"/>
                <w:highlight w:val="none"/>
              </w:rPr>
            </w:pPr>
          </w:p>
        </w:tc>
        <w:tc>
          <w:tcPr>
            <w:tcW w:w="550" w:type="pct"/>
          </w:tcPr>
          <w:p w14:paraId="585B2537">
            <w:pPr>
              <w:pStyle w:val="28"/>
              <w:spacing w:line="360" w:lineRule="auto"/>
              <w:rPr>
                <w:color w:val="auto"/>
                <w:sz w:val="22"/>
                <w:highlight w:val="none"/>
              </w:rPr>
            </w:pPr>
          </w:p>
        </w:tc>
        <w:tc>
          <w:tcPr>
            <w:tcW w:w="1038" w:type="pct"/>
          </w:tcPr>
          <w:p w14:paraId="7B0C2400">
            <w:pPr>
              <w:pStyle w:val="28"/>
              <w:spacing w:line="360" w:lineRule="auto"/>
              <w:rPr>
                <w:color w:val="auto"/>
                <w:sz w:val="22"/>
                <w:highlight w:val="none"/>
              </w:rPr>
            </w:pPr>
          </w:p>
        </w:tc>
      </w:tr>
    </w:tbl>
    <w:p w14:paraId="4C631A5B">
      <w:pPr>
        <w:pStyle w:val="7"/>
        <w:spacing w:line="360" w:lineRule="auto"/>
        <w:rPr>
          <w:color w:val="auto"/>
          <w:highlight w:val="none"/>
        </w:rPr>
      </w:pPr>
    </w:p>
    <w:p w14:paraId="5ED0A970">
      <w:pPr>
        <w:spacing w:line="360" w:lineRule="auto"/>
        <w:jc w:val="left"/>
        <w:rPr>
          <w:rFonts w:ascii="宋体" w:cs="宋体"/>
          <w:color w:val="auto"/>
          <w:sz w:val="24"/>
          <w:highlight w:val="none"/>
        </w:rPr>
      </w:pPr>
      <w:r>
        <w:rPr>
          <w:rFonts w:hint="eastAsia" w:ascii="宋体" w:hAnsi="宋体" w:cs="宋体"/>
          <w:color w:val="auto"/>
          <w:sz w:val="24"/>
          <w:highlight w:val="none"/>
        </w:rPr>
        <w:t>备注：若招标文件评分因素及评标标准中要求提供业绩的，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所列业绩应按其要求将证明材料按顺序附后。</w:t>
      </w:r>
    </w:p>
    <w:p w14:paraId="3E27A07C">
      <w:pPr>
        <w:spacing w:line="360" w:lineRule="auto"/>
        <w:rPr>
          <w:color w:val="auto"/>
          <w:highlight w:val="none"/>
        </w:rPr>
        <w:sectPr>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0" w:charSpace="0"/>
        </w:sectPr>
      </w:pPr>
    </w:p>
    <w:p w14:paraId="027B123B">
      <w:pPr>
        <w:spacing w:before="54" w:line="360" w:lineRule="auto"/>
        <w:jc w:val="center"/>
        <w:outlineLvl w:val="1"/>
        <w:rPr>
          <w:b/>
          <w:color w:val="auto"/>
          <w:sz w:val="32"/>
          <w:highlight w:val="none"/>
        </w:rPr>
      </w:pPr>
      <w:bookmarkStart w:id="505" w:name="七、售后服务及优惠条件"/>
      <w:bookmarkEnd w:id="505"/>
      <w:bookmarkStart w:id="506" w:name="_Toc1929"/>
      <w:bookmarkStart w:id="507" w:name="_Toc8374"/>
      <w:bookmarkStart w:id="508" w:name="_Toc24889"/>
      <w:bookmarkStart w:id="509" w:name="_Toc24222"/>
      <w:r>
        <w:rPr>
          <w:rFonts w:hint="eastAsia"/>
          <w:b/>
          <w:color w:val="auto"/>
          <w:sz w:val="32"/>
          <w:highlight w:val="none"/>
        </w:rPr>
        <w:t>七、实施方案</w:t>
      </w:r>
      <w:bookmarkEnd w:id="506"/>
      <w:bookmarkEnd w:id="507"/>
      <w:bookmarkEnd w:id="508"/>
      <w:bookmarkEnd w:id="509"/>
    </w:p>
    <w:p w14:paraId="675BA835">
      <w:pPr>
        <w:jc w:val="center"/>
        <w:rPr>
          <w:highlight w:val="none"/>
        </w:rPr>
      </w:pPr>
      <w:bookmarkStart w:id="510" w:name="_Toc24558"/>
      <w:bookmarkStart w:id="511" w:name="_Toc16080"/>
      <w:bookmarkStart w:id="512" w:name="_Toc24813"/>
      <w:r>
        <w:rPr>
          <w:rFonts w:hint="eastAsia"/>
          <w:highlight w:val="none"/>
        </w:rPr>
        <w:t>（格式自拟）</w:t>
      </w:r>
      <w:bookmarkEnd w:id="510"/>
      <w:bookmarkEnd w:id="511"/>
      <w:bookmarkEnd w:id="512"/>
    </w:p>
    <w:p w14:paraId="6B11997C">
      <w:pPr>
        <w:pStyle w:val="21"/>
        <w:spacing w:line="360" w:lineRule="auto"/>
        <w:ind w:left="420" w:leftChars="200" w:firstLine="0"/>
        <w:rPr>
          <w:color w:val="auto"/>
          <w:highlight w:val="none"/>
        </w:rPr>
      </w:pPr>
    </w:p>
    <w:p w14:paraId="3FE2E412">
      <w:pPr>
        <w:spacing w:line="360" w:lineRule="auto"/>
        <w:rPr>
          <w:color w:val="auto"/>
          <w:highlight w:val="none"/>
        </w:rPr>
      </w:pPr>
    </w:p>
    <w:p w14:paraId="7E118C80">
      <w:pPr>
        <w:pStyle w:val="21"/>
        <w:spacing w:line="360" w:lineRule="auto"/>
        <w:rPr>
          <w:color w:val="auto"/>
          <w:highlight w:val="none"/>
        </w:rPr>
      </w:pPr>
    </w:p>
    <w:p w14:paraId="0C379529">
      <w:pPr>
        <w:spacing w:line="360" w:lineRule="auto"/>
        <w:rPr>
          <w:color w:val="auto"/>
          <w:highlight w:val="none"/>
        </w:rPr>
      </w:pPr>
    </w:p>
    <w:p w14:paraId="496D8731">
      <w:pPr>
        <w:pStyle w:val="21"/>
        <w:spacing w:line="360" w:lineRule="auto"/>
        <w:rPr>
          <w:color w:val="auto"/>
          <w:highlight w:val="none"/>
        </w:rPr>
      </w:pPr>
    </w:p>
    <w:p w14:paraId="0222F462">
      <w:pPr>
        <w:spacing w:line="360" w:lineRule="auto"/>
        <w:rPr>
          <w:color w:val="auto"/>
          <w:highlight w:val="none"/>
        </w:rPr>
      </w:pPr>
    </w:p>
    <w:p w14:paraId="385E875B">
      <w:pPr>
        <w:pStyle w:val="21"/>
        <w:spacing w:line="360" w:lineRule="auto"/>
        <w:rPr>
          <w:color w:val="auto"/>
          <w:highlight w:val="none"/>
        </w:rPr>
      </w:pPr>
    </w:p>
    <w:p w14:paraId="55E66F50">
      <w:pPr>
        <w:spacing w:line="360" w:lineRule="auto"/>
        <w:rPr>
          <w:color w:val="auto"/>
          <w:highlight w:val="none"/>
        </w:rPr>
      </w:pPr>
    </w:p>
    <w:p w14:paraId="3345CBA9">
      <w:pPr>
        <w:pStyle w:val="21"/>
        <w:spacing w:line="360" w:lineRule="auto"/>
        <w:rPr>
          <w:color w:val="auto"/>
          <w:highlight w:val="none"/>
        </w:rPr>
      </w:pPr>
    </w:p>
    <w:p w14:paraId="34CC23FE">
      <w:pPr>
        <w:spacing w:line="360" w:lineRule="auto"/>
        <w:rPr>
          <w:color w:val="auto"/>
          <w:highlight w:val="none"/>
        </w:rPr>
      </w:pPr>
    </w:p>
    <w:p w14:paraId="390C2BC0">
      <w:pPr>
        <w:pStyle w:val="21"/>
        <w:spacing w:line="360" w:lineRule="auto"/>
        <w:rPr>
          <w:color w:val="auto"/>
          <w:highlight w:val="none"/>
        </w:rPr>
      </w:pPr>
    </w:p>
    <w:p w14:paraId="07C3F14A">
      <w:pPr>
        <w:spacing w:line="360" w:lineRule="auto"/>
        <w:rPr>
          <w:color w:val="auto"/>
          <w:highlight w:val="none"/>
        </w:rPr>
      </w:pPr>
    </w:p>
    <w:p w14:paraId="25B1DEC4">
      <w:pPr>
        <w:pStyle w:val="21"/>
        <w:spacing w:line="360" w:lineRule="auto"/>
        <w:rPr>
          <w:color w:val="auto"/>
          <w:highlight w:val="none"/>
        </w:rPr>
      </w:pPr>
    </w:p>
    <w:p w14:paraId="47B86931">
      <w:pPr>
        <w:spacing w:line="360" w:lineRule="auto"/>
        <w:rPr>
          <w:color w:val="auto"/>
          <w:highlight w:val="none"/>
        </w:rPr>
      </w:pPr>
    </w:p>
    <w:p w14:paraId="6B35BD24">
      <w:pPr>
        <w:pStyle w:val="21"/>
        <w:spacing w:line="360" w:lineRule="auto"/>
        <w:rPr>
          <w:color w:val="auto"/>
          <w:highlight w:val="none"/>
        </w:rPr>
      </w:pPr>
    </w:p>
    <w:p w14:paraId="51FADCBE">
      <w:pPr>
        <w:spacing w:line="360" w:lineRule="auto"/>
        <w:rPr>
          <w:color w:val="auto"/>
          <w:highlight w:val="none"/>
        </w:rPr>
      </w:pPr>
    </w:p>
    <w:p w14:paraId="04BBA630">
      <w:pPr>
        <w:pStyle w:val="21"/>
        <w:spacing w:line="360" w:lineRule="auto"/>
        <w:rPr>
          <w:color w:val="auto"/>
          <w:highlight w:val="none"/>
        </w:rPr>
      </w:pPr>
    </w:p>
    <w:p w14:paraId="732A1573">
      <w:pPr>
        <w:spacing w:line="360" w:lineRule="auto"/>
        <w:rPr>
          <w:color w:val="auto"/>
          <w:highlight w:val="none"/>
        </w:rPr>
      </w:pPr>
    </w:p>
    <w:p w14:paraId="7C1DD8AE">
      <w:pPr>
        <w:pStyle w:val="21"/>
        <w:spacing w:line="360" w:lineRule="auto"/>
        <w:rPr>
          <w:color w:val="auto"/>
          <w:highlight w:val="none"/>
        </w:rPr>
      </w:pPr>
    </w:p>
    <w:p w14:paraId="3E4CCDDD">
      <w:pPr>
        <w:spacing w:line="360" w:lineRule="auto"/>
        <w:rPr>
          <w:color w:val="auto"/>
          <w:highlight w:val="none"/>
        </w:rPr>
      </w:pPr>
    </w:p>
    <w:p w14:paraId="23D4A880">
      <w:pPr>
        <w:pStyle w:val="21"/>
        <w:spacing w:line="360" w:lineRule="auto"/>
        <w:rPr>
          <w:color w:val="auto"/>
          <w:highlight w:val="none"/>
        </w:rPr>
      </w:pPr>
    </w:p>
    <w:p w14:paraId="1B9D5A90">
      <w:pPr>
        <w:spacing w:line="360" w:lineRule="auto"/>
        <w:rPr>
          <w:color w:val="auto"/>
          <w:highlight w:val="none"/>
        </w:rPr>
      </w:pPr>
    </w:p>
    <w:p w14:paraId="4B29258F">
      <w:pPr>
        <w:pStyle w:val="21"/>
        <w:spacing w:line="360" w:lineRule="auto"/>
        <w:rPr>
          <w:color w:val="auto"/>
          <w:highlight w:val="none"/>
        </w:rPr>
      </w:pPr>
    </w:p>
    <w:p w14:paraId="56C424CA">
      <w:pPr>
        <w:spacing w:line="360" w:lineRule="auto"/>
        <w:rPr>
          <w:color w:val="auto"/>
          <w:highlight w:val="none"/>
        </w:rPr>
      </w:pPr>
    </w:p>
    <w:p w14:paraId="38F5E04D">
      <w:pPr>
        <w:spacing w:line="360" w:lineRule="auto"/>
        <w:rPr>
          <w:color w:val="auto"/>
          <w:highlight w:val="none"/>
        </w:rPr>
      </w:pPr>
    </w:p>
    <w:p w14:paraId="4798FEC8">
      <w:pPr>
        <w:spacing w:before="54" w:line="360" w:lineRule="auto"/>
        <w:ind w:left="6"/>
        <w:jc w:val="center"/>
        <w:outlineLvl w:val="1"/>
        <w:rPr>
          <w:b/>
          <w:color w:val="auto"/>
          <w:sz w:val="32"/>
          <w:highlight w:val="none"/>
        </w:rPr>
      </w:pPr>
      <w:bookmarkStart w:id="513" w:name="_Toc25273"/>
      <w:bookmarkStart w:id="514" w:name="_Toc23073"/>
      <w:bookmarkStart w:id="515" w:name="_Toc7491"/>
      <w:r>
        <w:rPr>
          <w:rFonts w:hint="eastAsia"/>
          <w:b/>
          <w:color w:val="auto"/>
          <w:sz w:val="32"/>
          <w:highlight w:val="none"/>
        </w:rPr>
        <w:t>八、履约能力</w:t>
      </w:r>
      <w:bookmarkEnd w:id="513"/>
      <w:bookmarkEnd w:id="514"/>
      <w:bookmarkEnd w:id="515"/>
    </w:p>
    <w:p w14:paraId="74A0CE4E">
      <w:pPr>
        <w:spacing w:before="54" w:line="360" w:lineRule="auto"/>
        <w:ind w:left="6"/>
        <w:jc w:val="center"/>
        <w:rPr>
          <w:bCs/>
          <w:color w:val="auto"/>
          <w:szCs w:val="21"/>
          <w:highlight w:val="none"/>
        </w:rPr>
      </w:pPr>
      <w:r>
        <w:rPr>
          <w:rFonts w:hint="eastAsia"/>
          <w:bCs/>
          <w:color w:val="auto"/>
          <w:szCs w:val="21"/>
          <w:highlight w:val="none"/>
        </w:rPr>
        <w:t>（格式自拟）</w:t>
      </w:r>
    </w:p>
    <w:p w14:paraId="06B4205A">
      <w:pPr>
        <w:jc w:val="left"/>
        <w:rPr>
          <w:b/>
          <w:color w:val="auto"/>
          <w:sz w:val="32"/>
          <w:highlight w:val="none"/>
        </w:rPr>
      </w:pPr>
      <w:r>
        <w:rPr>
          <w:b/>
          <w:color w:val="auto"/>
          <w:sz w:val="32"/>
          <w:highlight w:val="none"/>
        </w:rPr>
        <w:br w:type="page"/>
      </w:r>
    </w:p>
    <w:p w14:paraId="613FCE67">
      <w:pPr>
        <w:spacing w:before="54" w:line="360" w:lineRule="auto"/>
        <w:ind w:left="6"/>
        <w:jc w:val="center"/>
        <w:outlineLvl w:val="1"/>
        <w:rPr>
          <w:b/>
          <w:color w:val="auto"/>
          <w:sz w:val="32"/>
          <w:highlight w:val="none"/>
        </w:rPr>
      </w:pPr>
      <w:bookmarkStart w:id="516" w:name="_Toc16342"/>
      <w:bookmarkStart w:id="517" w:name="_Toc21298"/>
      <w:bookmarkStart w:id="518" w:name="_Toc12464"/>
      <w:r>
        <w:rPr>
          <w:rFonts w:hint="eastAsia"/>
          <w:b/>
          <w:color w:val="auto"/>
          <w:sz w:val="32"/>
          <w:highlight w:val="none"/>
        </w:rPr>
        <w:t>九、售后服务及培训方案</w:t>
      </w:r>
      <w:bookmarkEnd w:id="516"/>
      <w:bookmarkEnd w:id="517"/>
      <w:bookmarkEnd w:id="518"/>
    </w:p>
    <w:p w14:paraId="2B88761F">
      <w:pPr>
        <w:spacing w:before="54" w:line="360" w:lineRule="auto"/>
        <w:ind w:left="6"/>
        <w:jc w:val="center"/>
        <w:rPr>
          <w:b/>
          <w:color w:val="auto"/>
          <w:w w:val="95"/>
          <w:sz w:val="32"/>
          <w:highlight w:val="none"/>
        </w:rPr>
      </w:pPr>
    </w:p>
    <w:p w14:paraId="30BEC73F">
      <w:pPr>
        <w:spacing w:line="360" w:lineRule="auto"/>
        <w:jc w:val="center"/>
        <w:rPr>
          <w:rFonts w:ascii="Arial" w:hAnsi="Arial"/>
          <w:bCs/>
          <w:color w:val="auto"/>
          <w:sz w:val="24"/>
          <w:szCs w:val="22"/>
          <w:highlight w:val="none"/>
        </w:rPr>
      </w:pPr>
      <w:r>
        <w:rPr>
          <w:rFonts w:hint="eastAsia" w:ascii="Arial" w:hAnsi="Arial"/>
          <w:bCs/>
          <w:color w:val="auto"/>
          <w:sz w:val="24"/>
          <w:szCs w:val="22"/>
          <w:highlight w:val="none"/>
        </w:rPr>
        <w:t>（格式自拟）</w:t>
      </w:r>
    </w:p>
    <w:p w14:paraId="5BCA8A2E">
      <w:pPr>
        <w:pStyle w:val="12"/>
        <w:spacing w:line="360" w:lineRule="auto"/>
        <w:ind w:left="31680" w:right="31680"/>
        <w:rPr>
          <w:color w:val="auto"/>
          <w:highlight w:val="none"/>
        </w:rPr>
        <w:sectPr>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0" w:charSpace="0"/>
        </w:sectPr>
      </w:pPr>
    </w:p>
    <w:p w14:paraId="3086A6E1">
      <w:pPr>
        <w:spacing w:before="54" w:line="360" w:lineRule="auto"/>
        <w:ind w:left="6"/>
        <w:jc w:val="center"/>
        <w:outlineLvl w:val="1"/>
        <w:rPr>
          <w:b/>
          <w:color w:val="auto"/>
          <w:sz w:val="32"/>
          <w:highlight w:val="none"/>
        </w:rPr>
      </w:pPr>
      <w:bookmarkStart w:id="519" w:name="_Toc12316"/>
      <w:bookmarkStart w:id="520" w:name="_Toc29592"/>
      <w:bookmarkStart w:id="521" w:name="_Toc25390"/>
      <w:r>
        <w:rPr>
          <w:rFonts w:hint="eastAsia"/>
          <w:b/>
          <w:color w:val="auto"/>
          <w:sz w:val="32"/>
          <w:highlight w:val="none"/>
        </w:rPr>
        <w:t>十、资格证明文件</w:t>
      </w:r>
      <w:bookmarkEnd w:id="519"/>
      <w:bookmarkEnd w:id="520"/>
      <w:bookmarkEnd w:id="521"/>
    </w:p>
    <w:p w14:paraId="75C4AC82">
      <w:pPr>
        <w:spacing w:before="212" w:line="360" w:lineRule="auto"/>
        <w:ind w:left="628" w:right="408"/>
        <w:jc w:val="center"/>
        <w:rPr>
          <w:b/>
          <w:color w:val="auto"/>
          <w:w w:val="95"/>
          <w:sz w:val="32"/>
          <w:highlight w:val="none"/>
        </w:rPr>
      </w:pPr>
      <w:bookmarkStart w:id="522" w:name="（一）资格审查资料"/>
      <w:bookmarkEnd w:id="522"/>
      <w:bookmarkStart w:id="523" w:name="_Toc12520"/>
      <w:bookmarkStart w:id="524" w:name="_Toc100065839"/>
      <w:bookmarkStart w:id="525" w:name="_Toc16240"/>
      <w:bookmarkStart w:id="526" w:name="_Toc32080"/>
      <w:bookmarkStart w:id="527" w:name="_Toc25140"/>
      <w:r>
        <w:rPr>
          <w:rFonts w:hint="eastAsia"/>
          <w:b/>
          <w:color w:val="auto"/>
          <w:w w:val="95"/>
          <w:sz w:val="32"/>
          <w:highlight w:val="none"/>
        </w:rPr>
        <w:t>（一）</w:t>
      </w:r>
      <w:r>
        <w:rPr>
          <w:rFonts w:hint="eastAsia"/>
          <w:b/>
          <w:color w:val="auto"/>
          <w:w w:val="95"/>
          <w:sz w:val="32"/>
          <w:highlight w:val="none"/>
          <w:lang w:eastAsia="zh-CN"/>
        </w:rPr>
        <w:t>投标人</w:t>
      </w:r>
      <w:r>
        <w:rPr>
          <w:rFonts w:hint="eastAsia"/>
          <w:b/>
          <w:color w:val="auto"/>
          <w:w w:val="95"/>
          <w:sz w:val="32"/>
          <w:highlight w:val="none"/>
        </w:rPr>
        <w:t>基本情况表</w:t>
      </w:r>
      <w:bookmarkEnd w:id="523"/>
      <w:bookmarkEnd w:id="524"/>
      <w:bookmarkEnd w:id="525"/>
      <w:bookmarkEnd w:id="526"/>
      <w:bookmarkEnd w:id="527"/>
    </w:p>
    <w:tbl>
      <w:tblPr>
        <w:tblStyle w:val="2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66"/>
        <w:gridCol w:w="873"/>
        <w:gridCol w:w="708"/>
        <w:gridCol w:w="818"/>
        <w:gridCol w:w="234"/>
        <w:gridCol w:w="166"/>
        <w:gridCol w:w="1028"/>
        <w:gridCol w:w="210"/>
        <w:gridCol w:w="584"/>
        <w:gridCol w:w="1926"/>
      </w:tblGrid>
      <w:tr w14:paraId="4CC72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5F99EE97">
            <w:pPr>
              <w:autoSpaceDE w:val="0"/>
              <w:autoSpaceDN w:val="0"/>
              <w:spacing w:before="52"/>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zh-CN"/>
              </w:rPr>
              <w:t>投标人</w:t>
            </w:r>
            <w:r>
              <w:rPr>
                <w:rFonts w:hint="eastAsia" w:ascii="宋体" w:hAnsi="宋体" w:cs="宋体"/>
                <w:color w:val="auto"/>
                <w:szCs w:val="22"/>
                <w:highlight w:val="none"/>
                <w:lang w:eastAsia="en-US"/>
              </w:rPr>
              <w:t>名称</w:t>
            </w:r>
          </w:p>
        </w:tc>
        <w:tc>
          <w:tcPr>
            <w:tcW w:w="3937" w:type="pct"/>
            <w:gridSpan w:val="9"/>
          </w:tcPr>
          <w:p w14:paraId="126F9807">
            <w:pPr>
              <w:autoSpaceDE w:val="0"/>
              <w:autoSpaceDN w:val="0"/>
              <w:rPr>
                <w:rFonts w:ascii="宋体" w:cs="宋体"/>
                <w:color w:val="auto"/>
                <w:sz w:val="22"/>
                <w:szCs w:val="22"/>
                <w:highlight w:val="none"/>
                <w:lang w:eastAsia="en-US"/>
              </w:rPr>
            </w:pPr>
          </w:p>
        </w:tc>
      </w:tr>
      <w:tr w14:paraId="5FEBF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14:paraId="04D4D335">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注册地址</w:t>
            </w:r>
          </w:p>
        </w:tc>
        <w:tc>
          <w:tcPr>
            <w:tcW w:w="1684" w:type="pct"/>
            <w:gridSpan w:val="5"/>
          </w:tcPr>
          <w:p w14:paraId="28F17230">
            <w:pPr>
              <w:autoSpaceDE w:val="0"/>
              <w:autoSpaceDN w:val="0"/>
              <w:rPr>
                <w:rFonts w:ascii="宋体" w:cs="宋体"/>
                <w:color w:val="auto"/>
                <w:sz w:val="22"/>
                <w:szCs w:val="22"/>
                <w:highlight w:val="none"/>
                <w:lang w:eastAsia="en-US"/>
              </w:rPr>
            </w:pPr>
          </w:p>
        </w:tc>
        <w:tc>
          <w:tcPr>
            <w:tcW w:w="618" w:type="pct"/>
          </w:tcPr>
          <w:p w14:paraId="467966C5">
            <w:pPr>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邮政编码</w:t>
            </w:r>
          </w:p>
        </w:tc>
        <w:tc>
          <w:tcPr>
            <w:tcW w:w="1634" w:type="pct"/>
            <w:gridSpan w:val="3"/>
          </w:tcPr>
          <w:p w14:paraId="3D005A18">
            <w:pPr>
              <w:autoSpaceDE w:val="0"/>
              <w:autoSpaceDN w:val="0"/>
              <w:rPr>
                <w:rFonts w:ascii="宋体" w:cs="宋体"/>
                <w:color w:val="auto"/>
                <w:sz w:val="22"/>
                <w:szCs w:val="22"/>
                <w:highlight w:val="none"/>
                <w:lang w:eastAsia="en-US"/>
              </w:rPr>
            </w:pPr>
          </w:p>
        </w:tc>
      </w:tr>
      <w:tr w14:paraId="5A323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restart"/>
          </w:tcPr>
          <w:p w14:paraId="685C7BCF">
            <w:pPr>
              <w:autoSpaceDE w:val="0"/>
              <w:autoSpaceDN w:val="0"/>
              <w:spacing w:before="4"/>
              <w:rPr>
                <w:rFonts w:ascii="宋体" w:cs="宋体"/>
                <w:b/>
                <w:color w:val="auto"/>
                <w:sz w:val="26"/>
                <w:szCs w:val="22"/>
                <w:highlight w:val="none"/>
                <w:lang w:eastAsia="en-US"/>
              </w:rPr>
            </w:pPr>
          </w:p>
          <w:p w14:paraId="25019392">
            <w:pPr>
              <w:autoSpaceDE w:val="0"/>
              <w:autoSpaceDN w:val="0"/>
              <w:spacing w:before="1"/>
              <w:ind w:left="260"/>
              <w:rPr>
                <w:rFonts w:ascii="宋体" w:cs="宋体"/>
                <w:color w:val="auto"/>
                <w:sz w:val="24"/>
                <w:szCs w:val="22"/>
                <w:highlight w:val="none"/>
                <w:lang w:eastAsia="en-US"/>
              </w:rPr>
            </w:pPr>
            <w:r>
              <w:rPr>
                <w:rFonts w:hint="eastAsia" w:ascii="宋体" w:hAnsi="宋体" w:cs="宋体"/>
                <w:color w:val="auto"/>
                <w:szCs w:val="22"/>
                <w:highlight w:val="none"/>
                <w:lang w:eastAsia="en-US"/>
              </w:rPr>
              <w:t>联系方式</w:t>
            </w:r>
          </w:p>
        </w:tc>
        <w:tc>
          <w:tcPr>
            <w:tcW w:w="525" w:type="pct"/>
          </w:tcPr>
          <w:p w14:paraId="214FB490">
            <w:pPr>
              <w:autoSpaceDE w:val="0"/>
              <w:autoSpaceDN w:val="0"/>
              <w:spacing w:before="50"/>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联系人</w:t>
            </w:r>
          </w:p>
        </w:tc>
        <w:tc>
          <w:tcPr>
            <w:tcW w:w="1159" w:type="pct"/>
            <w:gridSpan w:val="4"/>
          </w:tcPr>
          <w:p w14:paraId="7F47DE04">
            <w:pPr>
              <w:autoSpaceDE w:val="0"/>
              <w:autoSpaceDN w:val="0"/>
              <w:rPr>
                <w:rFonts w:ascii="宋体" w:cs="宋体"/>
                <w:color w:val="auto"/>
                <w:sz w:val="22"/>
                <w:szCs w:val="22"/>
                <w:highlight w:val="none"/>
                <w:lang w:eastAsia="en-US"/>
              </w:rPr>
            </w:pPr>
          </w:p>
        </w:tc>
        <w:tc>
          <w:tcPr>
            <w:tcW w:w="618" w:type="pct"/>
          </w:tcPr>
          <w:p w14:paraId="033A8A1E">
            <w:pPr>
              <w:tabs>
                <w:tab w:val="left" w:pos="491"/>
              </w:tabs>
              <w:autoSpaceDE w:val="0"/>
              <w:autoSpaceDN w:val="0"/>
              <w:spacing w:before="50"/>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电</w:t>
            </w:r>
            <w:r>
              <w:rPr>
                <w:rFonts w:ascii="宋体" w:cs="宋体"/>
                <w:color w:val="auto"/>
                <w:szCs w:val="22"/>
                <w:highlight w:val="none"/>
                <w:lang w:eastAsia="en-US"/>
              </w:rPr>
              <w:tab/>
            </w:r>
            <w:r>
              <w:rPr>
                <w:rFonts w:hint="eastAsia" w:ascii="宋体" w:hAnsi="宋体" w:cs="宋体"/>
                <w:color w:val="auto"/>
                <w:szCs w:val="22"/>
                <w:highlight w:val="none"/>
                <w:lang w:eastAsia="en-US"/>
              </w:rPr>
              <w:t>话</w:t>
            </w:r>
          </w:p>
        </w:tc>
        <w:tc>
          <w:tcPr>
            <w:tcW w:w="1634" w:type="pct"/>
            <w:gridSpan w:val="3"/>
          </w:tcPr>
          <w:p w14:paraId="316B2C51">
            <w:pPr>
              <w:autoSpaceDE w:val="0"/>
              <w:autoSpaceDN w:val="0"/>
              <w:rPr>
                <w:rFonts w:ascii="宋体" w:cs="宋体"/>
                <w:color w:val="auto"/>
                <w:sz w:val="22"/>
                <w:szCs w:val="22"/>
                <w:highlight w:val="none"/>
                <w:lang w:eastAsia="en-US"/>
              </w:rPr>
            </w:pPr>
          </w:p>
        </w:tc>
      </w:tr>
      <w:tr w14:paraId="3722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continue"/>
            <w:vAlign w:val="center"/>
          </w:tcPr>
          <w:p w14:paraId="1A0D9CB4">
            <w:pPr>
              <w:widowControl/>
              <w:jc w:val="left"/>
              <w:rPr>
                <w:rFonts w:ascii="宋体" w:cs="宋体"/>
                <w:color w:val="auto"/>
                <w:sz w:val="24"/>
                <w:szCs w:val="22"/>
                <w:highlight w:val="none"/>
                <w:lang w:eastAsia="en-US"/>
              </w:rPr>
            </w:pPr>
          </w:p>
        </w:tc>
        <w:tc>
          <w:tcPr>
            <w:tcW w:w="525" w:type="pct"/>
          </w:tcPr>
          <w:p w14:paraId="484E6A9A">
            <w:pPr>
              <w:tabs>
                <w:tab w:val="left" w:pos="487"/>
              </w:tabs>
              <w:autoSpaceDE w:val="0"/>
              <w:autoSpaceDN w:val="0"/>
              <w:spacing w:before="51"/>
              <w:ind w:left="7"/>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传</w:t>
            </w:r>
            <w:r>
              <w:rPr>
                <w:rFonts w:ascii="宋体" w:cs="宋体"/>
                <w:color w:val="auto"/>
                <w:szCs w:val="22"/>
                <w:highlight w:val="none"/>
                <w:lang w:eastAsia="en-US"/>
              </w:rPr>
              <w:tab/>
            </w:r>
            <w:r>
              <w:rPr>
                <w:rFonts w:hint="eastAsia" w:ascii="宋体" w:hAnsi="宋体" w:cs="宋体"/>
                <w:color w:val="auto"/>
                <w:szCs w:val="22"/>
                <w:highlight w:val="none"/>
                <w:lang w:eastAsia="en-US"/>
              </w:rPr>
              <w:t>真</w:t>
            </w:r>
          </w:p>
        </w:tc>
        <w:tc>
          <w:tcPr>
            <w:tcW w:w="1159" w:type="pct"/>
            <w:gridSpan w:val="4"/>
          </w:tcPr>
          <w:p w14:paraId="6B1847EF">
            <w:pPr>
              <w:autoSpaceDE w:val="0"/>
              <w:autoSpaceDN w:val="0"/>
              <w:rPr>
                <w:rFonts w:ascii="宋体" w:cs="宋体"/>
                <w:color w:val="auto"/>
                <w:sz w:val="22"/>
                <w:szCs w:val="22"/>
                <w:highlight w:val="none"/>
                <w:lang w:eastAsia="en-US"/>
              </w:rPr>
            </w:pPr>
          </w:p>
        </w:tc>
        <w:tc>
          <w:tcPr>
            <w:tcW w:w="618" w:type="pct"/>
          </w:tcPr>
          <w:p w14:paraId="760702D4">
            <w:pPr>
              <w:tabs>
                <w:tab w:val="left" w:pos="491"/>
              </w:tabs>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网</w:t>
            </w:r>
            <w:r>
              <w:rPr>
                <w:rFonts w:ascii="宋体" w:cs="宋体"/>
                <w:color w:val="auto"/>
                <w:szCs w:val="22"/>
                <w:highlight w:val="none"/>
                <w:lang w:eastAsia="en-US"/>
              </w:rPr>
              <w:tab/>
            </w:r>
            <w:r>
              <w:rPr>
                <w:rFonts w:hint="eastAsia" w:ascii="宋体" w:hAnsi="宋体" w:cs="宋体"/>
                <w:color w:val="auto"/>
                <w:szCs w:val="22"/>
                <w:highlight w:val="none"/>
                <w:lang w:eastAsia="en-US"/>
              </w:rPr>
              <w:t>址</w:t>
            </w:r>
          </w:p>
        </w:tc>
        <w:tc>
          <w:tcPr>
            <w:tcW w:w="1634" w:type="pct"/>
            <w:gridSpan w:val="3"/>
          </w:tcPr>
          <w:p w14:paraId="63424C14">
            <w:pPr>
              <w:autoSpaceDE w:val="0"/>
              <w:autoSpaceDN w:val="0"/>
              <w:rPr>
                <w:rFonts w:ascii="宋体" w:cs="宋体"/>
                <w:color w:val="auto"/>
                <w:sz w:val="22"/>
                <w:szCs w:val="22"/>
                <w:highlight w:val="none"/>
                <w:lang w:eastAsia="en-US"/>
              </w:rPr>
            </w:pPr>
          </w:p>
        </w:tc>
      </w:tr>
      <w:tr w14:paraId="3E2CE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225DB2D9">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组织结构</w:t>
            </w:r>
          </w:p>
        </w:tc>
        <w:tc>
          <w:tcPr>
            <w:tcW w:w="3937" w:type="pct"/>
            <w:gridSpan w:val="9"/>
          </w:tcPr>
          <w:p w14:paraId="43F265AC">
            <w:pPr>
              <w:autoSpaceDE w:val="0"/>
              <w:autoSpaceDN w:val="0"/>
              <w:rPr>
                <w:rFonts w:ascii="宋体" w:cs="宋体"/>
                <w:color w:val="auto"/>
                <w:sz w:val="22"/>
                <w:szCs w:val="22"/>
                <w:highlight w:val="none"/>
                <w:lang w:eastAsia="en-US"/>
              </w:rPr>
            </w:pPr>
          </w:p>
        </w:tc>
      </w:tr>
      <w:tr w14:paraId="2F026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1CB2C023">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法定代表人</w:t>
            </w:r>
          </w:p>
        </w:tc>
        <w:tc>
          <w:tcPr>
            <w:tcW w:w="525" w:type="pct"/>
          </w:tcPr>
          <w:p w14:paraId="7A624BB3">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14:paraId="10F1F128">
            <w:pPr>
              <w:autoSpaceDE w:val="0"/>
              <w:autoSpaceDN w:val="0"/>
              <w:rPr>
                <w:rFonts w:ascii="宋体" w:cs="宋体"/>
                <w:color w:val="auto"/>
                <w:sz w:val="22"/>
                <w:szCs w:val="22"/>
                <w:highlight w:val="none"/>
                <w:lang w:eastAsia="en-US"/>
              </w:rPr>
            </w:pPr>
          </w:p>
        </w:tc>
        <w:tc>
          <w:tcPr>
            <w:tcW w:w="633" w:type="pct"/>
            <w:gridSpan w:val="2"/>
          </w:tcPr>
          <w:p w14:paraId="432392C5">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14:paraId="6EAC6EB9">
            <w:pPr>
              <w:autoSpaceDE w:val="0"/>
              <w:autoSpaceDN w:val="0"/>
              <w:rPr>
                <w:rFonts w:ascii="宋体" w:cs="宋体"/>
                <w:color w:val="auto"/>
                <w:sz w:val="22"/>
                <w:szCs w:val="22"/>
                <w:highlight w:val="none"/>
                <w:lang w:eastAsia="en-US"/>
              </w:rPr>
            </w:pPr>
          </w:p>
        </w:tc>
        <w:tc>
          <w:tcPr>
            <w:tcW w:w="351" w:type="pct"/>
          </w:tcPr>
          <w:p w14:paraId="02EB4FF7">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14:paraId="49FD517A">
            <w:pPr>
              <w:autoSpaceDE w:val="0"/>
              <w:autoSpaceDN w:val="0"/>
              <w:rPr>
                <w:rFonts w:ascii="宋体" w:cs="宋体"/>
                <w:color w:val="auto"/>
                <w:sz w:val="22"/>
                <w:szCs w:val="22"/>
                <w:highlight w:val="none"/>
                <w:lang w:eastAsia="en-US"/>
              </w:rPr>
            </w:pPr>
          </w:p>
        </w:tc>
      </w:tr>
      <w:tr w14:paraId="39B16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14:paraId="6671CE78">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项目负责人</w:t>
            </w:r>
          </w:p>
        </w:tc>
        <w:tc>
          <w:tcPr>
            <w:tcW w:w="525" w:type="pct"/>
          </w:tcPr>
          <w:p w14:paraId="58CA9642">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14:paraId="5D113872">
            <w:pPr>
              <w:autoSpaceDE w:val="0"/>
              <w:autoSpaceDN w:val="0"/>
              <w:rPr>
                <w:rFonts w:ascii="宋体" w:cs="宋体"/>
                <w:color w:val="auto"/>
                <w:sz w:val="22"/>
                <w:szCs w:val="22"/>
                <w:highlight w:val="none"/>
                <w:lang w:eastAsia="en-US"/>
              </w:rPr>
            </w:pPr>
          </w:p>
        </w:tc>
        <w:tc>
          <w:tcPr>
            <w:tcW w:w="633" w:type="pct"/>
            <w:gridSpan w:val="2"/>
          </w:tcPr>
          <w:p w14:paraId="547B59D5">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14:paraId="119C456A">
            <w:pPr>
              <w:autoSpaceDE w:val="0"/>
              <w:autoSpaceDN w:val="0"/>
              <w:rPr>
                <w:rFonts w:ascii="宋体" w:cs="宋体"/>
                <w:color w:val="auto"/>
                <w:sz w:val="22"/>
                <w:szCs w:val="22"/>
                <w:highlight w:val="none"/>
                <w:lang w:eastAsia="en-US"/>
              </w:rPr>
            </w:pPr>
          </w:p>
        </w:tc>
        <w:tc>
          <w:tcPr>
            <w:tcW w:w="351" w:type="pct"/>
          </w:tcPr>
          <w:p w14:paraId="42D6A11B">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14:paraId="653386C2">
            <w:pPr>
              <w:autoSpaceDE w:val="0"/>
              <w:autoSpaceDN w:val="0"/>
              <w:rPr>
                <w:rFonts w:ascii="宋体" w:cs="宋体"/>
                <w:color w:val="auto"/>
                <w:sz w:val="22"/>
                <w:szCs w:val="22"/>
                <w:highlight w:val="none"/>
                <w:lang w:eastAsia="en-US"/>
              </w:rPr>
            </w:pPr>
          </w:p>
        </w:tc>
      </w:tr>
      <w:tr w14:paraId="7698B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25A79F8B">
            <w:pPr>
              <w:autoSpaceDE w:val="0"/>
              <w:autoSpaceDN w:val="0"/>
              <w:spacing w:before="52"/>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成立时间</w:t>
            </w:r>
          </w:p>
        </w:tc>
        <w:tc>
          <w:tcPr>
            <w:tcW w:w="951" w:type="pct"/>
            <w:gridSpan w:val="2"/>
          </w:tcPr>
          <w:p w14:paraId="34647782">
            <w:pPr>
              <w:autoSpaceDE w:val="0"/>
              <w:autoSpaceDN w:val="0"/>
              <w:rPr>
                <w:rFonts w:ascii="宋体" w:cs="宋体"/>
                <w:color w:val="auto"/>
                <w:sz w:val="22"/>
                <w:szCs w:val="22"/>
                <w:highlight w:val="none"/>
                <w:lang w:eastAsia="en-US"/>
              </w:rPr>
            </w:pPr>
          </w:p>
        </w:tc>
        <w:tc>
          <w:tcPr>
            <w:tcW w:w="2985" w:type="pct"/>
            <w:gridSpan w:val="7"/>
          </w:tcPr>
          <w:p w14:paraId="524B7F3D">
            <w:pPr>
              <w:autoSpaceDE w:val="0"/>
              <w:autoSpaceDN w:val="0"/>
              <w:spacing w:before="52"/>
              <w:ind w:left="107"/>
              <w:rPr>
                <w:rFonts w:ascii="宋体" w:cs="宋体"/>
                <w:color w:val="auto"/>
                <w:sz w:val="24"/>
                <w:szCs w:val="22"/>
                <w:highlight w:val="none"/>
              </w:rPr>
            </w:pPr>
            <w:r>
              <w:rPr>
                <w:rFonts w:hint="eastAsia" w:ascii="宋体" w:hAnsi="宋体" w:cs="宋体"/>
                <w:color w:val="auto"/>
                <w:szCs w:val="22"/>
                <w:highlight w:val="none"/>
                <w:lang w:eastAsia="en-US"/>
              </w:rPr>
              <w:t>员工总人数</w:t>
            </w:r>
            <w:r>
              <w:rPr>
                <w:rFonts w:hint="eastAsia" w:ascii="宋体" w:hAnsi="宋体" w:cs="宋体"/>
                <w:color w:val="auto"/>
                <w:szCs w:val="22"/>
                <w:highlight w:val="none"/>
              </w:rPr>
              <w:t>：</w:t>
            </w:r>
          </w:p>
        </w:tc>
      </w:tr>
      <w:tr w14:paraId="38283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14:paraId="646D14AA">
            <w:pPr>
              <w:autoSpaceDE w:val="0"/>
              <w:autoSpaceDN w:val="0"/>
              <w:spacing w:before="51"/>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en-US"/>
              </w:rPr>
              <w:t>营业执照号</w:t>
            </w:r>
          </w:p>
        </w:tc>
        <w:tc>
          <w:tcPr>
            <w:tcW w:w="951" w:type="pct"/>
            <w:gridSpan w:val="2"/>
          </w:tcPr>
          <w:p w14:paraId="47238A20">
            <w:pPr>
              <w:autoSpaceDE w:val="0"/>
              <w:autoSpaceDN w:val="0"/>
              <w:rPr>
                <w:rFonts w:ascii="宋体" w:cs="宋体"/>
                <w:color w:val="auto"/>
                <w:sz w:val="22"/>
                <w:szCs w:val="22"/>
                <w:highlight w:val="none"/>
                <w:lang w:eastAsia="en-US"/>
              </w:rPr>
            </w:pPr>
          </w:p>
        </w:tc>
        <w:tc>
          <w:tcPr>
            <w:tcW w:w="492" w:type="pct"/>
            <w:vMerge w:val="restart"/>
          </w:tcPr>
          <w:p w14:paraId="5BCD0253">
            <w:pPr>
              <w:autoSpaceDE w:val="0"/>
              <w:autoSpaceDN w:val="0"/>
              <w:rPr>
                <w:rFonts w:ascii="宋体" w:cs="宋体"/>
                <w:color w:val="auto"/>
                <w:sz w:val="22"/>
                <w:szCs w:val="22"/>
                <w:highlight w:val="none"/>
                <w:lang w:eastAsia="en-US"/>
              </w:rPr>
            </w:pPr>
          </w:p>
        </w:tc>
        <w:tc>
          <w:tcPr>
            <w:tcW w:w="985" w:type="pct"/>
            <w:gridSpan w:val="4"/>
          </w:tcPr>
          <w:p w14:paraId="3ED26660">
            <w:pPr>
              <w:autoSpaceDE w:val="0"/>
              <w:autoSpaceDN w:val="0"/>
              <w:spacing w:before="51"/>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高级职称人员</w:t>
            </w:r>
          </w:p>
        </w:tc>
        <w:tc>
          <w:tcPr>
            <w:tcW w:w="1507" w:type="pct"/>
            <w:gridSpan w:val="2"/>
          </w:tcPr>
          <w:p w14:paraId="11034B29">
            <w:pPr>
              <w:autoSpaceDE w:val="0"/>
              <w:autoSpaceDN w:val="0"/>
              <w:rPr>
                <w:rFonts w:ascii="宋体" w:cs="宋体"/>
                <w:color w:val="auto"/>
                <w:sz w:val="22"/>
                <w:szCs w:val="22"/>
                <w:highlight w:val="none"/>
                <w:lang w:eastAsia="en-US"/>
              </w:rPr>
            </w:pPr>
          </w:p>
        </w:tc>
      </w:tr>
      <w:tr w14:paraId="67CA1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01484850">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注册资金</w:t>
            </w:r>
          </w:p>
        </w:tc>
        <w:tc>
          <w:tcPr>
            <w:tcW w:w="951" w:type="pct"/>
            <w:gridSpan w:val="2"/>
          </w:tcPr>
          <w:p w14:paraId="144755BA">
            <w:pPr>
              <w:autoSpaceDE w:val="0"/>
              <w:autoSpaceDN w:val="0"/>
              <w:rPr>
                <w:rFonts w:ascii="宋体" w:cs="宋体"/>
                <w:color w:val="auto"/>
                <w:sz w:val="22"/>
                <w:szCs w:val="22"/>
                <w:highlight w:val="none"/>
                <w:lang w:eastAsia="en-US"/>
              </w:rPr>
            </w:pPr>
          </w:p>
        </w:tc>
        <w:tc>
          <w:tcPr>
            <w:tcW w:w="492" w:type="pct"/>
            <w:vMerge w:val="continue"/>
            <w:vAlign w:val="center"/>
          </w:tcPr>
          <w:p w14:paraId="24290B6C">
            <w:pPr>
              <w:widowControl/>
              <w:jc w:val="left"/>
              <w:rPr>
                <w:rFonts w:ascii="宋体" w:cs="宋体"/>
                <w:color w:val="auto"/>
                <w:sz w:val="22"/>
                <w:szCs w:val="22"/>
                <w:highlight w:val="none"/>
                <w:lang w:eastAsia="en-US"/>
              </w:rPr>
            </w:pPr>
          </w:p>
        </w:tc>
        <w:tc>
          <w:tcPr>
            <w:tcW w:w="985" w:type="pct"/>
            <w:gridSpan w:val="4"/>
          </w:tcPr>
          <w:p w14:paraId="7508F33D">
            <w:pPr>
              <w:autoSpaceDE w:val="0"/>
              <w:autoSpaceDN w:val="0"/>
              <w:spacing w:before="50"/>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中级职称人员</w:t>
            </w:r>
          </w:p>
        </w:tc>
        <w:tc>
          <w:tcPr>
            <w:tcW w:w="1507" w:type="pct"/>
            <w:gridSpan w:val="2"/>
          </w:tcPr>
          <w:p w14:paraId="7510FE60">
            <w:pPr>
              <w:autoSpaceDE w:val="0"/>
              <w:autoSpaceDN w:val="0"/>
              <w:rPr>
                <w:rFonts w:ascii="宋体" w:cs="宋体"/>
                <w:color w:val="auto"/>
                <w:sz w:val="22"/>
                <w:szCs w:val="22"/>
                <w:highlight w:val="none"/>
                <w:lang w:eastAsia="en-US"/>
              </w:rPr>
            </w:pPr>
          </w:p>
        </w:tc>
      </w:tr>
      <w:tr w14:paraId="5DF2D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14:paraId="5B775064">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开户银行</w:t>
            </w:r>
          </w:p>
        </w:tc>
        <w:tc>
          <w:tcPr>
            <w:tcW w:w="951" w:type="pct"/>
            <w:gridSpan w:val="2"/>
          </w:tcPr>
          <w:p w14:paraId="18CD6F95">
            <w:pPr>
              <w:autoSpaceDE w:val="0"/>
              <w:autoSpaceDN w:val="0"/>
              <w:rPr>
                <w:rFonts w:ascii="宋体" w:cs="宋体"/>
                <w:color w:val="auto"/>
                <w:sz w:val="22"/>
                <w:szCs w:val="22"/>
                <w:highlight w:val="none"/>
                <w:lang w:eastAsia="en-US"/>
              </w:rPr>
            </w:pPr>
          </w:p>
        </w:tc>
        <w:tc>
          <w:tcPr>
            <w:tcW w:w="492" w:type="pct"/>
            <w:vMerge w:val="continue"/>
            <w:vAlign w:val="center"/>
          </w:tcPr>
          <w:p w14:paraId="4D3A89CA">
            <w:pPr>
              <w:widowControl/>
              <w:jc w:val="left"/>
              <w:rPr>
                <w:rFonts w:ascii="宋体" w:cs="宋体"/>
                <w:color w:val="auto"/>
                <w:sz w:val="22"/>
                <w:szCs w:val="22"/>
                <w:highlight w:val="none"/>
                <w:lang w:eastAsia="en-US"/>
              </w:rPr>
            </w:pPr>
          </w:p>
        </w:tc>
        <w:tc>
          <w:tcPr>
            <w:tcW w:w="985" w:type="pct"/>
            <w:gridSpan w:val="4"/>
          </w:tcPr>
          <w:p w14:paraId="46176C08">
            <w:pPr>
              <w:autoSpaceDE w:val="0"/>
              <w:autoSpaceDN w:val="0"/>
              <w:spacing w:before="51"/>
              <w:ind w:left="511"/>
              <w:rPr>
                <w:rFonts w:ascii="宋体" w:cs="宋体"/>
                <w:color w:val="auto"/>
                <w:sz w:val="24"/>
                <w:szCs w:val="22"/>
                <w:highlight w:val="none"/>
                <w:lang w:eastAsia="en-US"/>
              </w:rPr>
            </w:pPr>
            <w:r>
              <w:rPr>
                <w:rFonts w:hint="eastAsia" w:ascii="宋体" w:hAnsi="宋体" w:cs="宋体"/>
                <w:color w:val="auto"/>
                <w:szCs w:val="22"/>
                <w:highlight w:val="none"/>
                <w:lang w:eastAsia="en-US"/>
              </w:rPr>
              <w:t>其他人员</w:t>
            </w:r>
          </w:p>
        </w:tc>
        <w:tc>
          <w:tcPr>
            <w:tcW w:w="1507" w:type="pct"/>
            <w:gridSpan w:val="2"/>
          </w:tcPr>
          <w:p w14:paraId="1CBDDA65">
            <w:pPr>
              <w:autoSpaceDE w:val="0"/>
              <w:autoSpaceDN w:val="0"/>
              <w:rPr>
                <w:rFonts w:ascii="宋体" w:cs="宋体"/>
                <w:color w:val="auto"/>
                <w:sz w:val="22"/>
                <w:szCs w:val="22"/>
                <w:highlight w:val="none"/>
                <w:lang w:eastAsia="en-US"/>
              </w:rPr>
            </w:pPr>
          </w:p>
        </w:tc>
      </w:tr>
      <w:tr w14:paraId="4638A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6C122644">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账号</w:t>
            </w:r>
          </w:p>
        </w:tc>
        <w:tc>
          <w:tcPr>
            <w:tcW w:w="951" w:type="pct"/>
            <w:gridSpan w:val="2"/>
          </w:tcPr>
          <w:p w14:paraId="35BD7183">
            <w:pPr>
              <w:autoSpaceDE w:val="0"/>
              <w:autoSpaceDN w:val="0"/>
              <w:rPr>
                <w:rFonts w:ascii="宋体" w:cs="宋体"/>
                <w:color w:val="auto"/>
                <w:sz w:val="22"/>
                <w:szCs w:val="22"/>
                <w:highlight w:val="none"/>
                <w:lang w:eastAsia="en-US"/>
              </w:rPr>
            </w:pPr>
          </w:p>
        </w:tc>
        <w:tc>
          <w:tcPr>
            <w:tcW w:w="492" w:type="pct"/>
            <w:vMerge w:val="continue"/>
            <w:vAlign w:val="center"/>
          </w:tcPr>
          <w:p w14:paraId="6A3F1976">
            <w:pPr>
              <w:widowControl/>
              <w:jc w:val="left"/>
              <w:rPr>
                <w:rFonts w:ascii="宋体" w:cs="宋体"/>
                <w:color w:val="auto"/>
                <w:sz w:val="22"/>
                <w:szCs w:val="22"/>
                <w:highlight w:val="none"/>
                <w:lang w:eastAsia="en-US"/>
              </w:rPr>
            </w:pPr>
          </w:p>
        </w:tc>
        <w:tc>
          <w:tcPr>
            <w:tcW w:w="985" w:type="pct"/>
            <w:gridSpan w:val="4"/>
          </w:tcPr>
          <w:p w14:paraId="47FF23D1">
            <w:pPr>
              <w:autoSpaceDE w:val="0"/>
              <w:autoSpaceDN w:val="0"/>
              <w:rPr>
                <w:rFonts w:ascii="宋体" w:cs="宋体"/>
                <w:color w:val="auto"/>
                <w:sz w:val="22"/>
                <w:szCs w:val="22"/>
                <w:highlight w:val="none"/>
                <w:lang w:eastAsia="en-US"/>
              </w:rPr>
            </w:pPr>
          </w:p>
        </w:tc>
        <w:tc>
          <w:tcPr>
            <w:tcW w:w="1507" w:type="pct"/>
            <w:gridSpan w:val="2"/>
          </w:tcPr>
          <w:p w14:paraId="1AE0E163">
            <w:pPr>
              <w:autoSpaceDE w:val="0"/>
              <w:autoSpaceDN w:val="0"/>
              <w:rPr>
                <w:rFonts w:ascii="宋体" w:cs="宋体"/>
                <w:color w:val="auto"/>
                <w:sz w:val="22"/>
                <w:szCs w:val="22"/>
                <w:highlight w:val="none"/>
                <w:lang w:eastAsia="en-US"/>
              </w:rPr>
            </w:pPr>
          </w:p>
        </w:tc>
      </w:tr>
      <w:tr w14:paraId="78674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062" w:type="pct"/>
          </w:tcPr>
          <w:p w14:paraId="1F7FD34D">
            <w:pPr>
              <w:autoSpaceDE w:val="0"/>
              <w:autoSpaceDN w:val="0"/>
              <w:spacing w:before="8"/>
              <w:rPr>
                <w:rFonts w:ascii="宋体" w:cs="宋体"/>
                <w:b/>
                <w:color w:val="auto"/>
                <w:sz w:val="33"/>
                <w:szCs w:val="22"/>
                <w:highlight w:val="none"/>
                <w:lang w:eastAsia="en-US"/>
              </w:rPr>
            </w:pPr>
          </w:p>
          <w:p w14:paraId="451B9095">
            <w:pPr>
              <w:autoSpaceDE w:val="0"/>
              <w:autoSpaceDN w:val="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经营范围</w:t>
            </w:r>
          </w:p>
        </w:tc>
        <w:tc>
          <w:tcPr>
            <w:tcW w:w="3937" w:type="pct"/>
            <w:gridSpan w:val="9"/>
          </w:tcPr>
          <w:p w14:paraId="3455050C">
            <w:pPr>
              <w:autoSpaceDE w:val="0"/>
              <w:autoSpaceDN w:val="0"/>
              <w:rPr>
                <w:rFonts w:ascii="宋体" w:cs="宋体"/>
                <w:color w:val="auto"/>
                <w:sz w:val="22"/>
                <w:szCs w:val="22"/>
                <w:highlight w:val="none"/>
                <w:lang w:eastAsia="en-US"/>
              </w:rPr>
            </w:pPr>
          </w:p>
        </w:tc>
      </w:tr>
      <w:tr w14:paraId="1D899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062" w:type="pct"/>
          </w:tcPr>
          <w:p w14:paraId="7033F717">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备注</w:t>
            </w:r>
          </w:p>
        </w:tc>
        <w:tc>
          <w:tcPr>
            <w:tcW w:w="3937" w:type="pct"/>
            <w:gridSpan w:val="9"/>
          </w:tcPr>
          <w:p w14:paraId="4C184F45">
            <w:pPr>
              <w:autoSpaceDE w:val="0"/>
              <w:autoSpaceDN w:val="0"/>
              <w:rPr>
                <w:rFonts w:ascii="宋体" w:cs="宋体"/>
                <w:color w:val="auto"/>
                <w:sz w:val="22"/>
                <w:szCs w:val="22"/>
                <w:highlight w:val="none"/>
                <w:lang w:eastAsia="en-US"/>
              </w:rPr>
            </w:pPr>
          </w:p>
        </w:tc>
      </w:tr>
    </w:tbl>
    <w:p w14:paraId="49A12807">
      <w:pPr>
        <w:spacing w:after="120"/>
        <w:rPr>
          <w:rFonts w:ascii="宋体" w:cs="宋体"/>
          <w:b/>
          <w:color w:val="auto"/>
          <w:sz w:val="20"/>
          <w:highlight w:val="none"/>
        </w:rPr>
      </w:pPr>
    </w:p>
    <w:p w14:paraId="456E3F2C">
      <w:pPr>
        <w:spacing w:line="360" w:lineRule="auto"/>
        <w:ind w:firstLine="630" w:firstLineChars="300"/>
        <w:jc w:val="left"/>
        <w:rPr>
          <w:rFonts w:ascii="宋体" w:cs="宋体"/>
          <w:color w:val="auto"/>
          <w:highlight w:val="none"/>
        </w:rPr>
      </w:pPr>
      <w:r>
        <w:rPr>
          <w:rFonts w:hint="eastAsia" w:ascii="宋体" w:hAnsi="宋体" w:cs="宋体"/>
          <w:color w:val="auto"/>
          <w:highlight w:val="none"/>
        </w:rPr>
        <w:t>备注：后附营业执照</w:t>
      </w:r>
      <w:r>
        <w:rPr>
          <w:rFonts w:hint="eastAsia" w:ascii="宋体" w:hAnsi="宋体" w:cs="宋体"/>
          <w:color w:val="auto"/>
          <w:highlight w:val="none"/>
          <w:lang w:eastAsia="zh-CN"/>
        </w:rPr>
        <w:t>等材料</w:t>
      </w:r>
      <w:r>
        <w:rPr>
          <w:rFonts w:hint="eastAsia" w:ascii="宋体" w:hAnsi="宋体" w:cs="宋体"/>
          <w:color w:val="auto"/>
          <w:highlight w:val="none"/>
        </w:rPr>
        <w:t>。</w:t>
      </w:r>
    </w:p>
    <w:p w14:paraId="3ECBE673">
      <w:pPr>
        <w:spacing w:line="360" w:lineRule="auto"/>
        <w:jc w:val="center"/>
        <w:rPr>
          <w:b/>
          <w:color w:val="auto"/>
          <w:sz w:val="32"/>
          <w:highlight w:val="none"/>
        </w:rPr>
      </w:pPr>
      <w:r>
        <w:rPr>
          <w:rFonts w:ascii="宋体" w:cs="宋体"/>
          <w:color w:val="auto"/>
          <w:highlight w:val="none"/>
        </w:rPr>
        <w:br w:type="page"/>
      </w:r>
      <w:r>
        <w:rPr>
          <w:rFonts w:hint="eastAsia"/>
          <w:b/>
          <w:color w:val="auto"/>
          <w:w w:val="95"/>
          <w:sz w:val="32"/>
          <w:highlight w:val="none"/>
        </w:rPr>
        <w:t>（二）资格审查资料</w:t>
      </w:r>
    </w:p>
    <w:p w14:paraId="19D2A857">
      <w:pPr>
        <w:rPr>
          <w:rFonts w:hint="eastAsia" w:ascii="宋体" w:hAnsi="宋体" w:eastAsia="宋体" w:cs="宋体"/>
          <w:b/>
          <w:bCs/>
          <w:color w:val="auto"/>
          <w:sz w:val="28"/>
          <w:szCs w:val="28"/>
          <w:highlight w:val="none"/>
          <w:shd w:val="clear" w:color="FFFFFF" w:fill="auto"/>
          <w:lang w:eastAsia="zh-CN"/>
        </w:rPr>
      </w:pPr>
      <w:bookmarkStart w:id="528" w:name="（二）供应商基本情况表"/>
      <w:bookmarkEnd w:id="528"/>
      <w:r>
        <w:rPr>
          <w:rFonts w:hint="eastAsia" w:ascii="宋体" w:hAnsi="宋体" w:eastAsia="宋体" w:cs="宋体"/>
          <w:b/>
          <w:bCs/>
          <w:color w:val="auto"/>
          <w:sz w:val="28"/>
          <w:szCs w:val="28"/>
          <w:highlight w:val="none"/>
          <w:shd w:val="clear" w:color="FFFFFF" w:fill="auto"/>
          <w:lang w:eastAsia="zh-CN"/>
        </w:rPr>
        <w:br w:type="page"/>
      </w:r>
    </w:p>
    <w:p w14:paraId="35BD9446">
      <w:pPr>
        <w:spacing w:line="360" w:lineRule="auto"/>
        <w:ind w:right="598" w:rightChars="285"/>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8"/>
          <w:szCs w:val="28"/>
          <w:highlight w:val="none"/>
          <w:shd w:val="clear" w:color="FFFFFF" w:fill="auto"/>
          <w:lang w:eastAsia="zh-CN"/>
        </w:rPr>
        <w:t>附件</w:t>
      </w:r>
      <w:r>
        <w:rPr>
          <w:rFonts w:hint="eastAsia" w:ascii="宋体" w:hAnsi="宋体" w:cs="宋体"/>
          <w:b/>
          <w:bCs/>
          <w:color w:val="auto"/>
          <w:sz w:val="28"/>
          <w:szCs w:val="28"/>
          <w:highlight w:val="none"/>
          <w:shd w:val="clear" w:color="FFFFFF" w:fill="auto"/>
          <w:lang w:val="en-US" w:eastAsia="zh-CN"/>
        </w:rPr>
        <w:t>1</w:t>
      </w:r>
      <w:r>
        <w:rPr>
          <w:rFonts w:hint="eastAsia" w:ascii="宋体" w:hAnsi="宋体" w:eastAsia="宋体" w:cs="宋体"/>
          <w:b/>
          <w:bCs/>
          <w:color w:val="auto"/>
          <w:sz w:val="28"/>
          <w:szCs w:val="28"/>
          <w:highlight w:val="none"/>
          <w:shd w:val="clear" w:color="FFFFFF" w:fill="auto"/>
          <w:lang w:eastAsia="zh-CN"/>
        </w:rPr>
        <w:t>：</w:t>
      </w:r>
    </w:p>
    <w:p w14:paraId="0E41DDC3">
      <w:pPr>
        <w:spacing w:line="360" w:lineRule="auto"/>
        <w:ind w:right="598" w:rightChars="285"/>
        <w:jc w:val="center"/>
        <w:rPr>
          <w:rFonts w:hint="eastAsia"/>
          <w:b/>
          <w:bCs/>
          <w:color w:val="auto"/>
          <w:sz w:val="24"/>
          <w:szCs w:val="24"/>
          <w:highlight w:val="none"/>
          <w:lang w:eastAsia="zh-CN"/>
        </w:rPr>
      </w:pPr>
      <w:r>
        <w:rPr>
          <w:rFonts w:hint="eastAsia"/>
          <w:b/>
          <w:bCs/>
          <w:color w:val="auto"/>
          <w:sz w:val="28"/>
          <w:szCs w:val="28"/>
          <w:highlight w:val="none"/>
          <w:lang w:eastAsia="zh-CN"/>
        </w:rPr>
        <w:t>承诺函（固定格式）</w:t>
      </w:r>
    </w:p>
    <w:p w14:paraId="02C004B7">
      <w:pPr>
        <w:spacing w:line="360" w:lineRule="auto"/>
        <w:ind w:right="598" w:rightChars="285"/>
        <w:rPr>
          <w:b/>
          <w:bCs/>
          <w:color w:val="auto"/>
          <w:sz w:val="24"/>
          <w:szCs w:val="24"/>
          <w:highlight w:val="none"/>
          <w:lang w:eastAsia="zh-CN"/>
        </w:rPr>
      </w:pPr>
      <w:r>
        <w:rPr>
          <w:rFonts w:hint="eastAsia"/>
          <w:b/>
          <w:bCs/>
          <w:color w:val="auto"/>
          <w:sz w:val="24"/>
          <w:szCs w:val="24"/>
          <w:highlight w:val="none"/>
          <w:lang w:eastAsia="zh-CN"/>
        </w:rPr>
        <w:t>致：</w:t>
      </w:r>
      <w:r>
        <w:rPr>
          <w:rFonts w:hint="eastAsia"/>
          <w:b/>
          <w:bCs/>
          <w:color w:val="auto"/>
          <w:sz w:val="24"/>
          <w:szCs w:val="24"/>
          <w:highlight w:val="none"/>
          <w:u w:val="single"/>
          <w:lang w:eastAsia="zh-CN"/>
        </w:rPr>
        <w:t>平顶山市消防救援支队</w:t>
      </w:r>
    </w:p>
    <w:p w14:paraId="02CD666D">
      <w:pPr>
        <w:spacing w:line="360" w:lineRule="auto"/>
        <w:ind w:firstLine="560"/>
        <w:jc w:val="both"/>
        <w:rPr>
          <w:rFonts w:hint="eastAsia" w:ascii="宋体" w:hAnsi="宋体" w:eastAsia="宋体"/>
          <w:color w:val="000000"/>
          <w:sz w:val="24"/>
          <w:szCs w:val="24"/>
          <w:highlight w:val="none"/>
        </w:rPr>
      </w:pPr>
    </w:p>
    <w:p w14:paraId="7FB268E8">
      <w:pPr>
        <w:spacing w:line="360" w:lineRule="auto"/>
        <w:ind w:firstLine="560"/>
        <w:jc w:val="both"/>
        <w:rPr>
          <w:sz w:val="24"/>
          <w:szCs w:val="24"/>
          <w:highlight w:val="none"/>
        </w:rPr>
      </w:pPr>
      <w:r>
        <w:rPr>
          <w:rFonts w:hint="eastAsia" w:ascii="宋体" w:hAnsi="宋体" w:eastAsia="宋体"/>
          <w:color w:val="000000"/>
          <w:sz w:val="24"/>
          <w:szCs w:val="24"/>
          <w:highlight w:val="none"/>
        </w:rPr>
        <w:t>我公司</w:t>
      </w:r>
      <w:r>
        <w:rPr>
          <w:rFonts w:hint="eastAsia" w:ascii="宋体" w:hAnsi="宋体" w:eastAsia="宋体"/>
          <w:color w:val="000000"/>
          <w:sz w:val="24"/>
          <w:szCs w:val="24"/>
          <w:highlight w:val="none"/>
          <w:u w:val="single"/>
        </w:rPr>
        <w:t>（投标人名称）</w:t>
      </w:r>
      <w:r>
        <w:rPr>
          <w:rFonts w:hint="eastAsia" w:ascii="宋体" w:hAnsi="宋体" w:eastAsia="宋体"/>
          <w:color w:val="000000"/>
          <w:sz w:val="24"/>
          <w:szCs w:val="24"/>
          <w:highlight w:val="none"/>
        </w:rPr>
        <w:t>参加（</w:t>
      </w:r>
      <w:r>
        <w:rPr>
          <w:rFonts w:hint="eastAsia" w:ascii="宋体" w:hAnsi="宋体" w:eastAsia="宋体"/>
          <w:color w:val="000000"/>
          <w:sz w:val="24"/>
          <w:szCs w:val="24"/>
          <w:highlight w:val="none"/>
          <w:u w:val="single"/>
        </w:rPr>
        <w:t>项目名称、项目编号、</w:t>
      </w:r>
      <w:r>
        <w:rPr>
          <w:rFonts w:hint="eastAsia" w:ascii="宋体" w:hAnsi="宋体"/>
          <w:color w:val="000000"/>
          <w:sz w:val="24"/>
          <w:szCs w:val="24"/>
          <w:highlight w:val="none"/>
          <w:u w:val="single"/>
          <w:lang w:val="en-US" w:eastAsia="zh-CN"/>
        </w:rPr>
        <w:t xml:space="preserve"> </w:t>
      </w:r>
      <w:r>
        <w:rPr>
          <w:rFonts w:hint="eastAsia" w:ascii="宋体" w:hAnsi="宋体" w:eastAsia="宋体"/>
          <w:color w:val="000000"/>
          <w:sz w:val="24"/>
          <w:szCs w:val="24"/>
          <w:highlight w:val="none"/>
          <w:u w:val="single"/>
        </w:rPr>
        <w:t>包</w:t>
      </w:r>
      <w:r>
        <w:rPr>
          <w:rFonts w:hint="eastAsia" w:ascii="宋体" w:hAnsi="宋体"/>
          <w:color w:val="000000"/>
          <w:sz w:val="24"/>
          <w:szCs w:val="24"/>
          <w:highlight w:val="none"/>
          <w:u w:val="single"/>
          <w:lang w:val="en-US" w:eastAsia="zh-CN"/>
        </w:rPr>
        <w:t xml:space="preserve">   </w:t>
      </w:r>
      <w:r>
        <w:rPr>
          <w:rFonts w:hint="eastAsia" w:ascii="宋体" w:hAnsi="宋体" w:eastAsia="宋体"/>
          <w:color w:val="000000"/>
          <w:sz w:val="24"/>
          <w:szCs w:val="24"/>
          <w:highlight w:val="none"/>
        </w:rPr>
        <w:t>）采购活动，现郑重承诺：</w:t>
      </w:r>
    </w:p>
    <w:p w14:paraId="73199BDE">
      <w:pPr>
        <w:spacing w:line="360" w:lineRule="auto"/>
        <w:ind w:firstLine="560"/>
        <w:jc w:val="both"/>
        <w:rPr>
          <w:sz w:val="24"/>
          <w:szCs w:val="24"/>
          <w:highlight w:val="none"/>
        </w:rPr>
      </w:pP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．所投车辆交车时（整车）是已取得中华人民共和国工业和信息化部发布的对应车型《道路机动车辆生产企业及产品公告》的合格产品（须提供工信部官方查询平台查询截图和网址链接）。</w:t>
      </w:r>
    </w:p>
    <w:p w14:paraId="332736F9">
      <w:pPr>
        <w:spacing w:line="360" w:lineRule="auto"/>
        <w:ind w:firstLine="560"/>
        <w:jc w:val="both"/>
        <w:rPr>
          <w:sz w:val="24"/>
          <w:szCs w:val="24"/>
          <w:highlight w:val="none"/>
        </w:rPr>
      </w:pP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．我公司为所投车辆的生产企业。</w:t>
      </w:r>
    </w:p>
    <w:p w14:paraId="6AF26EF4">
      <w:pPr>
        <w:spacing w:line="360" w:lineRule="auto"/>
        <w:ind w:firstLine="560"/>
        <w:jc w:val="both"/>
        <w:rPr>
          <w:sz w:val="24"/>
          <w:szCs w:val="24"/>
          <w:highlight w:val="none"/>
        </w:rPr>
      </w:pPr>
      <w:r>
        <w:rPr>
          <w:rFonts w:hint="eastAsia" w:ascii="Calibri" w:hAnsi="Calibri" w:eastAsia="宋体"/>
          <w:color w:val="000000"/>
          <w:sz w:val="24"/>
          <w:szCs w:val="24"/>
          <w:highlight w:val="none"/>
          <w:lang w:val="en-US" w:eastAsia="zh-CN"/>
        </w:rPr>
        <w:t>3</w:t>
      </w:r>
      <w:r>
        <w:rPr>
          <w:rFonts w:hint="eastAsia" w:ascii="宋体" w:hAnsi="宋体" w:eastAsia="宋体"/>
          <w:color w:val="000000"/>
          <w:sz w:val="24"/>
          <w:szCs w:val="24"/>
          <w:highlight w:val="none"/>
        </w:rPr>
        <w:t>．所投车辆（整车）交车验收时需取得办理车辆产权（含上牌）所必需的一切其他手续资料、应符合现行国家专用汽车的相关要求。若不能按要求时限提供上述手续，采购人有权按照投标人</w:t>
      </w:r>
      <w:r>
        <w:rPr>
          <w:rFonts w:hint="eastAsia" w:ascii="宋体" w:hAnsi="宋体" w:eastAsia="宋体"/>
          <w:color w:val="000000"/>
          <w:sz w:val="24"/>
          <w:szCs w:val="24"/>
          <w:highlight w:val="none"/>
          <w:lang w:eastAsia="zh-CN"/>
        </w:rPr>
        <w:t>虚</w:t>
      </w:r>
      <w:r>
        <w:rPr>
          <w:rFonts w:hint="eastAsia" w:ascii="宋体" w:hAnsi="宋体" w:eastAsia="宋体"/>
          <w:color w:val="000000"/>
          <w:sz w:val="24"/>
          <w:szCs w:val="24"/>
          <w:highlight w:val="none"/>
        </w:rPr>
        <w:t>假投标处理，解除合同、扣除</w:t>
      </w:r>
      <w:r>
        <w:rPr>
          <w:rFonts w:hint="eastAsia" w:ascii="宋体" w:hAnsi="宋体" w:eastAsia="宋体"/>
          <w:color w:val="000000"/>
          <w:sz w:val="24"/>
          <w:szCs w:val="24"/>
          <w:highlight w:val="none"/>
          <w:lang w:eastAsia="zh-CN"/>
        </w:rPr>
        <w:t>履</w:t>
      </w:r>
      <w:r>
        <w:rPr>
          <w:rFonts w:hint="eastAsia" w:ascii="宋体" w:hAnsi="宋体" w:eastAsia="宋体"/>
          <w:color w:val="000000"/>
          <w:sz w:val="24"/>
          <w:szCs w:val="24"/>
          <w:highlight w:val="none"/>
        </w:rPr>
        <w:t>约保证金，拉入企业黑名单，并向上级部门上报相关情况。</w:t>
      </w:r>
    </w:p>
    <w:p w14:paraId="5C236619">
      <w:pPr>
        <w:spacing w:line="360" w:lineRule="auto"/>
        <w:ind w:firstLine="560"/>
        <w:jc w:val="both"/>
        <w:rPr>
          <w:sz w:val="24"/>
          <w:szCs w:val="24"/>
          <w:highlight w:val="none"/>
        </w:rPr>
      </w:pP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．限公司所提供的所有技术及商务证明材料真实有效，若提供虚假文件将愿意接受任何法律的制裁。</w:t>
      </w:r>
    </w:p>
    <w:p w14:paraId="02C1F210">
      <w:pPr>
        <w:spacing w:line="360" w:lineRule="auto"/>
        <w:ind w:firstLine="0"/>
        <w:jc w:val="both"/>
        <w:rPr>
          <w:sz w:val="24"/>
          <w:szCs w:val="24"/>
          <w:highlight w:val="none"/>
        </w:rPr>
      </w:pPr>
    </w:p>
    <w:p w14:paraId="7A29BB11">
      <w:pPr>
        <w:spacing w:line="360" w:lineRule="auto"/>
        <w:ind w:firstLine="560"/>
        <w:jc w:val="both"/>
        <w:rPr>
          <w:sz w:val="24"/>
          <w:szCs w:val="24"/>
          <w:highlight w:val="none"/>
        </w:rPr>
      </w:pPr>
      <w:r>
        <w:rPr>
          <w:rFonts w:hint="eastAsia" w:ascii="宋体" w:hAnsi="宋体" w:eastAsia="宋体"/>
          <w:color w:val="000000"/>
          <w:sz w:val="24"/>
          <w:szCs w:val="24"/>
          <w:highlight w:val="none"/>
          <w:lang w:eastAsia="zh-CN"/>
        </w:rPr>
        <w:t>特</w:t>
      </w:r>
      <w:r>
        <w:rPr>
          <w:rFonts w:hint="eastAsia" w:ascii="宋体" w:hAnsi="宋体" w:eastAsia="宋体"/>
          <w:color w:val="000000"/>
          <w:sz w:val="24"/>
          <w:szCs w:val="24"/>
          <w:highlight w:val="none"/>
        </w:rPr>
        <w:t>此承诺</w:t>
      </w:r>
    </w:p>
    <w:p w14:paraId="2CA18011">
      <w:pPr>
        <w:spacing w:line="360" w:lineRule="auto"/>
        <w:ind w:firstLine="0"/>
        <w:jc w:val="both"/>
        <w:rPr>
          <w:sz w:val="24"/>
          <w:szCs w:val="24"/>
          <w:highlight w:val="none"/>
        </w:rPr>
      </w:pPr>
    </w:p>
    <w:p w14:paraId="6BC1004E">
      <w:pPr>
        <w:spacing w:line="360" w:lineRule="auto"/>
        <w:ind w:firstLine="0"/>
        <w:jc w:val="both"/>
        <w:rPr>
          <w:sz w:val="24"/>
          <w:szCs w:val="24"/>
          <w:highlight w:val="none"/>
        </w:rPr>
      </w:pPr>
    </w:p>
    <w:p w14:paraId="1736F32B">
      <w:pPr>
        <w:spacing w:line="360" w:lineRule="auto"/>
        <w:ind w:firstLine="0"/>
        <w:jc w:val="both"/>
        <w:rPr>
          <w:sz w:val="24"/>
          <w:szCs w:val="24"/>
          <w:highlight w:val="none"/>
        </w:rPr>
      </w:pPr>
    </w:p>
    <w:p w14:paraId="188FB92A">
      <w:pPr>
        <w:spacing w:line="360" w:lineRule="auto"/>
        <w:ind w:firstLine="2720"/>
        <w:jc w:val="both"/>
        <w:rPr>
          <w:sz w:val="24"/>
          <w:szCs w:val="24"/>
          <w:highlight w:val="none"/>
        </w:rPr>
      </w:pPr>
      <w:r>
        <w:rPr>
          <w:rFonts w:hint="eastAsia" w:ascii="宋体" w:hAnsi="宋体" w:eastAsia="宋体"/>
          <w:color w:val="000000"/>
          <w:sz w:val="24"/>
          <w:szCs w:val="24"/>
          <w:highlight w:val="none"/>
        </w:rPr>
        <w:t xml:space="preserve"> </w:t>
      </w:r>
      <w:r>
        <w:rPr>
          <w:rFonts w:hint="eastAsia" w:ascii="宋体" w:hAnsi="宋体" w:eastAsia="宋体"/>
          <w:color w:val="000000"/>
          <w:sz w:val="24"/>
          <w:szCs w:val="24"/>
          <w:highlight w:val="none"/>
          <w:lang w:eastAsia="zh-CN"/>
        </w:rPr>
        <w:t>投</w:t>
      </w:r>
      <w:r>
        <w:rPr>
          <w:rFonts w:hint="eastAsia" w:ascii="宋体" w:hAnsi="宋体" w:eastAsia="宋体"/>
          <w:color w:val="000000"/>
          <w:sz w:val="24"/>
          <w:szCs w:val="24"/>
          <w:highlight w:val="none"/>
        </w:rPr>
        <w:t>标人：</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（电子签章）</w:t>
      </w:r>
    </w:p>
    <w:p w14:paraId="3470B2D1">
      <w:pPr>
        <w:spacing w:line="360" w:lineRule="auto"/>
        <w:ind w:firstLine="2720"/>
        <w:jc w:val="both"/>
        <w:rPr>
          <w:sz w:val="24"/>
          <w:szCs w:val="24"/>
          <w:highlight w:val="none"/>
        </w:rPr>
      </w:pPr>
      <w:r>
        <w:rPr>
          <w:rFonts w:hint="eastAsia" w:ascii="宋体" w:hAnsi="宋体" w:eastAsia="宋体"/>
          <w:color w:val="000000"/>
          <w:sz w:val="24"/>
          <w:szCs w:val="24"/>
          <w:highlight w:val="none"/>
        </w:rPr>
        <w:t>法定代表人或委托代理人：</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（电子签章或签字）</w:t>
      </w:r>
    </w:p>
    <w:p w14:paraId="0DE04364">
      <w:pPr>
        <w:spacing w:line="360" w:lineRule="auto"/>
        <w:ind w:firstLine="0"/>
        <w:jc w:val="right"/>
        <w:rPr>
          <w:sz w:val="24"/>
          <w:szCs w:val="24"/>
          <w:highlight w:val="none"/>
        </w:rPr>
      </w:pPr>
      <w:r>
        <w:rPr>
          <w:rFonts w:hint="eastAsia" w:ascii="宋体" w:hAnsi="宋体" w:eastAsia="宋体"/>
          <w:color w:val="000000"/>
          <w:sz w:val="24"/>
          <w:szCs w:val="24"/>
          <w:highlight w:val="none"/>
        </w:rPr>
        <w:t>日 期： 年 月 日</w:t>
      </w:r>
    </w:p>
    <w:p w14:paraId="0BD56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18526B69">
      <w:pPr>
        <w:pStyle w:val="21"/>
        <w:rPr>
          <w:color w:val="auto"/>
          <w:highlight w:val="none"/>
        </w:rPr>
      </w:pPr>
    </w:p>
    <w:p w14:paraId="2526D439">
      <w:pPr>
        <w:spacing w:before="54" w:line="360" w:lineRule="auto"/>
        <w:ind w:left="6"/>
        <w:jc w:val="center"/>
        <w:outlineLvl w:val="1"/>
        <w:rPr>
          <w:rFonts w:ascii="宋体" w:cs="宋体"/>
          <w:b/>
          <w:bCs/>
          <w:color w:val="auto"/>
          <w:kern w:val="0"/>
          <w:sz w:val="32"/>
          <w:szCs w:val="32"/>
          <w:highlight w:val="none"/>
        </w:rPr>
      </w:pPr>
      <w:r>
        <w:rPr>
          <w:b/>
          <w:color w:val="auto"/>
          <w:w w:val="95"/>
          <w:sz w:val="32"/>
          <w:highlight w:val="none"/>
        </w:rPr>
        <w:br w:type="page"/>
      </w:r>
      <w:bookmarkStart w:id="529" w:name="_Toc13247"/>
      <w:bookmarkStart w:id="530" w:name="_Toc29503"/>
      <w:bookmarkStart w:id="531" w:name="_Toc16445"/>
      <w:bookmarkStart w:id="532" w:name="_Toc9291"/>
      <w:bookmarkStart w:id="533" w:name="_Toc1425"/>
      <w:bookmarkStart w:id="534" w:name="_Toc17484"/>
      <w:bookmarkStart w:id="535" w:name="_Toc30714"/>
      <w:bookmarkStart w:id="536" w:name="_Toc1440"/>
      <w:r>
        <w:rPr>
          <w:rFonts w:hint="eastAsia"/>
          <w:b/>
          <w:color w:val="auto"/>
          <w:sz w:val="32"/>
          <w:highlight w:val="none"/>
        </w:rPr>
        <w:t>十一、</w:t>
      </w:r>
      <w:bookmarkEnd w:id="529"/>
      <w:bookmarkEnd w:id="530"/>
      <w:bookmarkEnd w:id="531"/>
      <w:r>
        <w:rPr>
          <w:rFonts w:hint="eastAsia"/>
          <w:b/>
          <w:color w:val="auto"/>
          <w:sz w:val="32"/>
          <w:highlight w:val="none"/>
        </w:rPr>
        <w:t>其他资料</w:t>
      </w:r>
      <w:bookmarkEnd w:id="532"/>
      <w:bookmarkEnd w:id="533"/>
      <w:bookmarkEnd w:id="534"/>
      <w:bookmarkEnd w:id="535"/>
      <w:bookmarkEnd w:id="536"/>
    </w:p>
    <w:p w14:paraId="29AE948C">
      <w:pPr>
        <w:pStyle w:val="4"/>
        <w:jc w:val="center"/>
        <w:rPr>
          <w:color w:val="auto"/>
          <w:highlight w:val="none"/>
        </w:rPr>
      </w:pPr>
      <w:bookmarkStart w:id="537" w:name="_Toc20383"/>
      <w:bookmarkStart w:id="538" w:name="_Toc4468"/>
      <w:bookmarkStart w:id="539" w:name="_Toc14926"/>
      <w:bookmarkStart w:id="540" w:name="_Toc31476"/>
      <w:r>
        <w:rPr>
          <w:rFonts w:hint="eastAsia"/>
          <w:color w:val="auto"/>
          <w:highlight w:val="none"/>
        </w:rPr>
        <w:t>（一）</w:t>
      </w:r>
      <w:r>
        <w:rPr>
          <w:rFonts w:hint="eastAsia"/>
          <w:color w:val="auto"/>
          <w:highlight w:val="none"/>
          <w:lang w:eastAsia="zh-CN"/>
        </w:rPr>
        <w:t>投标人</w:t>
      </w:r>
      <w:r>
        <w:rPr>
          <w:rFonts w:hint="eastAsia"/>
          <w:color w:val="auto"/>
          <w:highlight w:val="none"/>
        </w:rPr>
        <w:t>诚信承诺书</w:t>
      </w:r>
      <w:bookmarkEnd w:id="537"/>
      <w:bookmarkEnd w:id="538"/>
      <w:bookmarkEnd w:id="539"/>
      <w:bookmarkEnd w:id="540"/>
    </w:p>
    <w:p w14:paraId="13503397">
      <w:pPr>
        <w:spacing w:line="360" w:lineRule="auto"/>
        <w:jc w:val="center"/>
        <w:rPr>
          <w:rFonts w:ascii="宋体" w:cs="宋体"/>
          <w:color w:val="auto"/>
          <w:sz w:val="32"/>
          <w:szCs w:val="32"/>
          <w:highlight w:val="none"/>
        </w:rPr>
      </w:pPr>
    </w:p>
    <w:p w14:paraId="1E73F488">
      <w:pPr>
        <w:spacing w:line="360" w:lineRule="auto"/>
        <w:jc w:val="left"/>
        <w:rPr>
          <w:rFonts w:hint="eastAsia" w:asci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平顶山市消防救援支队</w:t>
      </w:r>
    </w:p>
    <w:p w14:paraId="6CB3C6B7">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我公司郑重声明：</w:t>
      </w:r>
    </w:p>
    <w:p w14:paraId="2945875C">
      <w:pPr>
        <w:snapToGrid w:val="0"/>
        <w:spacing w:line="360" w:lineRule="auto"/>
        <w:ind w:right="62" w:firstLine="473"/>
        <w:jc w:val="left"/>
        <w:rPr>
          <w:rFonts w:ascii="宋体" w:cs="宋体"/>
          <w:color w:val="auto"/>
          <w:sz w:val="24"/>
          <w:highlight w:val="none"/>
        </w:rPr>
      </w:pPr>
      <w:r>
        <w:rPr>
          <w:rFonts w:ascii="宋体" w:hAnsi="宋体" w:cs="宋体"/>
          <w:bCs/>
          <w:color w:val="auto"/>
          <w:sz w:val="24"/>
          <w:highlight w:val="none"/>
        </w:rPr>
        <w:t>1.</w:t>
      </w:r>
      <w:r>
        <w:rPr>
          <w:rFonts w:hint="eastAsia" w:ascii="宋体" w:hAnsi="宋体" w:cs="宋体"/>
          <w:bCs/>
          <w:color w:val="auto"/>
          <w:sz w:val="24"/>
          <w:highlight w:val="none"/>
        </w:rPr>
        <w:t>我公司保证在</w:t>
      </w:r>
      <w:r>
        <w:rPr>
          <w:rFonts w:hint="eastAsia" w:ascii="宋体" w:hAnsi="宋体" w:cs="宋体"/>
          <w:color w:val="auto"/>
          <w:sz w:val="24"/>
          <w:highlight w:val="none"/>
        </w:rPr>
        <w:t>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w:t>
      </w:r>
      <w:r>
        <w:rPr>
          <w:rFonts w:hint="eastAsia" w:ascii="宋体" w:hAnsi="宋体" w:cs="宋体"/>
          <w:bCs/>
          <w:color w:val="auto"/>
          <w:sz w:val="24"/>
          <w:highlight w:val="none"/>
        </w:rPr>
        <w:t>，完全按照本</w:t>
      </w:r>
      <w:r>
        <w:rPr>
          <w:rFonts w:hint="eastAsia" w:ascii="宋体" w:hAnsi="宋体" w:cs="宋体"/>
          <w:color w:val="auto"/>
          <w:sz w:val="24"/>
          <w:highlight w:val="none"/>
          <w:u w:val="single" w:color="FFFFFF"/>
        </w:rPr>
        <w:t>招标</w:t>
      </w:r>
      <w:r>
        <w:rPr>
          <w:rFonts w:hint="eastAsia" w:ascii="宋体" w:hAnsi="宋体" w:cs="宋体"/>
          <w:bCs/>
          <w:color w:val="auto"/>
          <w:sz w:val="24"/>
          <w:highlight w:val="none"/>
        </w:rPr>
        <w:t>文件要求，在投标中提供的货物均应为完整全新的，功能符合该本项目的要求，货物必须符合国家有关标准，保证均为正版，并承诺保证采购人在使用我方销售的货物时不承担涉及任何专利权、商标权、著作权或其他知识产权的法律责任，否则，由此引起的全部法律责任由我公司承担。</w:t>
      </w:r>
    </w:p>
    <w:p w14:paraId="6AEE8B66">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我公司在本次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投标过程中，提供的所有文件材料，均是真实的。一旦发现有虚假材料，我公司承诺，取消中标资格，</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14:paraId="56F1946C">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中如果我公司中标，我公司将严格按照招标文件和投标文件的要求签订合同并履行合同。一旦出现未按要求履行合同（如不按时签订合同、更换货物、推迟供货、售后服务不到位等非不可抗力因素而给采购人造成损失），我公司承诺，</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14:paraId="28E47443">
      <w:pPr>
        <w:spacing w:line="360" w:lineRule="auto"/>
        <w:jc w:val="left"/>
        <w:rPr>
          <w:rFonts w:ascii="宋体" w:cs="宋体"/>
          <w:color w:val="auto"/>
          <w:sz w:val="24"/>
          <w:highlight w:val="none"/>
        </w:rPr>
      </w:pPr>
    </w:p>
    <w:p w14:paraId="0823BD16">
      <w:pPr>
        <w:spacing w:line="360" w:lineRule="auto"/>
        <w:jc w:val="left"/>
        <w:rPr>
          <w:rFonts w:ascii="宋体" w:cs="宋体"/>
          <w:color w:val="auto"/>
          <w:sz w:val="24"/>
          <w:highlight w:val="none"/>
        </w:rPr>
      </w:pPr>
      <w:r>
        <w:rPr>
          <w:rFonts w:hint="eastAsia" w:ascii="宋体" w:hAnsi="宋体" w:cs="宋体"/>
          <w:color w:val="auto"/>
          <w:sz w:val="24"/>
          <w:highlight w:val="none"/>
        </w:rPr>
        <w:t>注：该项内容不得涂改，否则其投标有可能被拒绝。</w:t>
      </w:r>
    </w:p>
    <w:p w14:paraId="0761492F">
      <w:pPr>
        <w:spacing w:line="360" w:lineRule="auto"/>
        <w:rPr>
          <w:rFonts w:ascii="宋体" w:cs="宋体"/>
          <w:color w:val="auto"/>
          <w:sz w:val="24"/>
          <w:highlight w:val="none"/>
        </w:rPr>
      </w:pPr>
    </w:p>
    <w:p w14:paraId="5ACC8350">
      <w:pPr>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751FF190">
      <w:pPr>
        <w:spacing w:line="360" w:lineRule="auto"/>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3BAEF8A3">
      <w:pPr>
        <w:wordWrap w:val="0"/>
        <w:spacing w:line="360" w:lineRule="auto"/>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7791F817">
      <w:pPr>
        <w:pStyle w:val="4"/>
        <w:jc w:val="center"/>
        <w:rPr>
          <w:color w:val="auto"/>
          <w:highlight w:val="none"/>
        </w:rPr>
      </w:pPr>
      <w:bookmarkStart w:id="541" w:name="_Toc10490"/>
      <w:bookmarkStart w:id="542" w:name="_Toc13340"/>
      <w:bookmarkStart w:id="543" w:name="_Toc10731"/>
      <w:r>
        <w:rPr>
          <w:color w:val="auto"/>
          <w:highlight w:val="none"/>
        </w:rPr>
        <w:br w:type="page"/>
      </w:r>
      <w:bookmarkStart w:id="544" w:name="_Toc28969"/>
      <w:r>
        <w:rPr>
          <w:rFonts w:hint="eastAsia"/>
          <w:color w:val="auto"/>
          <w:highlight w:val="none"/>
        </w:rPr>
        <w:t>（二）反商业贿赂承诺书</w:t>
      </w:r>
      <w:bookmarkEnd w:id="541"/>
      <w:bookmarkEnd w:id="542"/>
      <w:bookmarkEnd w:id="543"/>
      <w:bookmarkEnd w:id="544"/>
    </w:p>
    <w:p w14:paraId="65E9C77B">
      <w:pPr>
        <w:spacing w:line="360" w:lineRule="auto"/>
        <w:jc w:val="center"/>
        <w:rPr>
          <w:rFonts w:ascii="宋体" w:cs="宋体"/>
          <w:color w:val="auto"/>
          <w:sz w:val="32"/>
          <w:szCs w:val="32"/>
          <w:highlight w:val="none"/>
        </w:rPr>
      </w:pPr>
    </w:p>
    <w:p w14:paraId="4639B4B0">
      <w:pPr>
        <w:spacing w:line="360" w:lineRule="auto"/>
        <w:jc w:val="left"/>
        <w:rPr>
          <w:rFonts w:ascii="宋体" w:cs="宋体"/>
          <w:color w:val="auto"/>
          <w:sz w:val="24"/>
          <w:highlight w:val="none"/>
        </w:rPr>
      </w:pPr>
      <w:r>
        <w:rPr>
          <w:rFonts w:hint="eastAsia" w:ascii="宋体" w:hAnsi="宋体" w:cs="宋体"/>
          <w:color w:val="auto"/>
          <w:sz w:val="24"/>
          <w:highlight w:val="none"/>
        </w:rPr>
        <w:t>我公司承诺：</w:t>
      </w:r>
    </w:p>
    <w:p w14:paraId="0EEB5A8B">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在</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招标活动中，我公司保证做到：</w:t>
      </w:r>
    </w:p>
    <w:p w14:paraId="0889E8E8">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一、公平竞争参加本次招标活动。</w:t>
      </w:r>
    </w:p>
    <w:p w14:paraId="65278AFB">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二、杜绝任何形式的商业贿赂行为。不向国家工作人员、政府采购代理机构工作人员、评标专家及其亲属提供礼品礼金、有价证券、购物券、回扣、佣金、咨询费、劳务费、赞助费、宣传费、宴请；不为其报销各种消费凭证，不支付其旅游、娱乐等费用。</w:t>
      </w:r>
    </w:p>
    <w:p w14:paraId="04F2111C">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三、若出现上述行为，我公司及参与投标的工作人员愿意接受按照国家法律法规等有关规定给予的处罚。</w:t>
      </w:r>
    </w:p>
    <w:p w14:paraId="37B25AE7">
      <w:pPr>
        <w:spacing w:line="360" w:lineRule="auto"/>
        <w:ind w:firstLine="480" w:firstLineChars="200"/>
        <w:jc w:val="left"/>
        <w:rPr>
          <w:rFonts w:ascii="宋体" w:cs="宋体"/>
          <w:color w:val="auto"/>
          <w:sz w:val="24"/>
          <w:highlight w:val="none"/>
        </w:rPr>
      </w:pPr>
    </w:p>
    <w:p w14:paraId="1B42114F">
      <w:pPr>
        <w:adjustRightInd w:val="0"/>
        <w:snapToGrid w:val="0"/>
        <w:spacing w:line="360" w:lineRule="auto"/>
        <w:ind w:right="-82" w:rightChars="-39"/>
        <w:jc w:val="left"/>
        <w:rPr>
          <w:rFonts w:ascii="宋体" w:cs="宋体"/>
          <w:color w:val="auto"/>
          <w:sz w:val="24"/>
          <w:highlight w:val="none"/>
        </w:rPr>
      </w:pPr>
    </w:p>
    <w:p w14:paraId="0FBA693F">
      <w:pPr>
        <w:spacing w:line="360" w:lineRule="auto"/>
        <w:rPr>
          <w:rFonts w:ascii="宋体" w:cs="宋体"/>
          <w:color w:val="auto"/>
          <w:sz w:val="24"/>
          <w:highlight w:val="none"/>
        </w:rPr>
      </w:pPr>
    </w:p>
    <w:p w14:paraId="3301E657">
      <w:pPr>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36DB0132">
      <w:pPr>
        <w:spacing w:line="360" w:lineRule="auto"/>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5E32C954">
      <w:pPr>
        <w:spacing w:line="360" w:lineRule="auto"/>
        <w:jc w:val="left"/>
        <w:rPr>
          <w:rFonts w:ascii="宋体" w:cs="宋体"/>
          <w:color w:val="auto"/>
          <w:szCs w:val="21"/>
          <w:highlight w:val="none"/>
        </w:rPr>
      </w:pPr>
      <w:r>
        <w:rPr>
          <w:rFonts w:hint="eastAsia" w:ascii="宋体" w:hAnsi="宋体" w:cs="宋体"/>
          <w:color w:val="auto"/>
          <w:sz w:val="24"/>
          <w:szCs w:val="21"/>
          <w:highlight w:val="none"/>
        </w:rPr>
        <w:t>日</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14:paraId="4E788CD6">
      <w:pPr>
        <w:jc w:val="center"/>
        <w:rPr>
          <w:rFonts w:ascii="宋体" w:cs="宋体"/>
          <w:color w:val="auto"/>
          <w:sz w:val="24"/>
          <w:highlight w:val="none"/>
        </w:rPr>
      </w:pPr>
      <w:bookmarkStart w:id="545" w:name="_Toc1453"/>
      <w:bookmarkStart w:id="546" w:name="_Toc6109"/>
      <w:bookmarkStart w:id="547" w:name="_Toc7741"/>
      <w:r>
        <w:rPr>
          <w:rFonts w:ascii="宋体" w:cs="宋体"/>
          <w:color w:val="auto"/>
          <w:sz w:val="24"/>
          <w:highlight w:val="none"/>
        </w:rPr>
        <w:br w:type="page"/>
      </w:r>
    </w:p>
    <w:p w14:paraId="10604136">
      <w:pPr>
        <w:jc w:val="center"/>
        <w:rPr>
          <w:rFonts w:ascii="宋体" w:cs="宋体"/>
          <w:color w:val="auto"/>
          <w:sz w:val="24"/>
          <w:highlight w:val="none"/>
        </w:rPr>
      </w:pPr>
    </w:p>
    <w:p w14:paraId="65D449A7">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eastAsia="宋体"/>
          <w:color w:val="auto"/>
          <w:highlight w:val="none"/>
        </w:rPr>
      </w:pPr>
      <w:r>
        <w:rPr>
          <w:rFonts w:hint="eastAsia" w:ascii="Times New Roman" w:hAnsi="Times New Roman" w:eastAsia="宋体" w:cs="Times New Roman"/>
          <w:b/>
          <w:color w:val="auto"/>
          <w:kern w:val="2"/>
          <w:sz w:val="21"/>
          <w:szCs w:val="20"/>
          <w:highlight w:val="none"/>
          <w:lang w:val="en-US" w:eastAsia="zh-CN" w:bidi="ar-SA"/>
        </w:rPr>
        <w:t>（三）投标人认为需提供的其他材料</w:t>
      </w:r>
      <w:bookmarkEnd w:id="545"/>
      <w:bookmarkEnd w:id="546"/>
      <w:bookmarkEnd w:id="547"/>
    </w:p>
    <w:p w14:paraId="4C4E1B6B">
      <w:pPr>
        <w:spacing w:line="360" w:lineRule="auto"/>
        <w:rPr>
          <w:rFonts w:hint="eastAsia" w:ascii="宋体" w:cs="宋体"/>
          <w:color w:val="auto"/>
          <w:sz w:val="24"/>
          <w:szCs w:val="24"/>
          <w:highlight w:val="none"/>
          <w:lang w:val="en-US" w:eastAsia="zh-CN"/>
        </w:rPr>
      </w:pPr>
    </w:p>
    <w:p w14:paraId="63DBEB29">
      <w:pPr>
        <w:spacing w:line="360" w:lineRule="auto"/>
        <w:rPr>
          <w:rFonts w:hint="eastAsia" w:ascii="宋体" w:cs="宋体"/>
          <w:color w:val="auto"/>
          <w:sz w:val="24"/>
          <w:szCs w:val="24"/>
          <w:highlight w:val="none"/>
          <w:lang w:val="en-US" w:eastAsia="zh-CN"/>
        </w:rPr>
      </w:pPr>
    </w:p>
    <w:p w14:paraId="55C9E084">
      <w:pPr>
        <w:spacing w:line="360" w:lineRule="auto"/>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1.优惠条款</w:t>
      </w:r>
    </w:p>
    <w:p w14:paraId="57F5B03C">
      <w:pPr>
        <w:spacing w:line="360" w:lineRule="auto"/>
        <w:rPr>
          <w:rFonts w:hint="eastAsia" w:ascii="宋体" w:cs="宋体"/>
          <w:color w:val="auto"/>
          <w:sz w:val="24"/>
          <w:szCs w:val="24"/>
          <w:highlight w:val="none"/>
          <w:lang w:val="en-US" w:eastAsia="zh-CN"/>
        </w:rPr>
      </w:pPr>
    </w:p>
    <w:p w14:paraId="20B5D6EE">
      <w:pPr>
        <w:numPr>
          <w:ilvl w:val="0"/>
          <w:numId w:val="10"/>
        </w:numPr>
        <w:spacing w:line="360" w:lineRule="auto"/>
        <w:ind w:left="0" w:leftChars="0" w:firstLine="0" w:firstLineChars="0"/>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车辆选型（整体设计）</w:t>
      </w:r>
    </w:p>
    <w:p w14:paraId="2A2B862B">
      <w:pPr>
        <w:numPr>
          <w:ilvl w:val="0"/>
          <w:numId w:val="0"/>
        </w:numPr>
        <w:spacing w:line="360" w:lineRule="auto"/>
        <w:ind w:leftChars="0"/>
        <w:rPr>
          <w:rFonts w:hint="eastAsia" w:ascii="宋体" w:cs="宋体"/>
          <w:color w:val="auto"/>
          <w:sz w:val="24"/>
          <w:szCs w:val="24"/>
          <w:highlight w:val="none"/>
          <w:lang w:val="en-US" w:eastAsia="zh-CN"/>
        </w:rPr>
      </w:pPr>
    </w:p>
    <w:p w14:paraId="733B8D4B">
      <w:pPr>
        <w:numPr>
          <w:ilvl w:val="0"/>
          <w:numId w:val="10"/>
        </w:numPr>
        <w:spacing w:line="360" w:lineRule="auto"/>
        <w:ind w:left="0" w:leftChars="0" w:firstLine="0" w:firstLineChars="0"/>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车辆制造商专业技术生产能力</w:t>
      </w:r>
    </w:p>
    <w:p w14:paraId="0EB8F89E">
      <w:pPr>
        <w:numPr>
          <w:ilvl w:val="0"/>
          <w:numId w:val="0"/>
        </w:numPr>
        <w:spacing w:line="360" w:lineRule="auto"/>
        <w:ind w:leftChars="0"/>
        <w:rPr>
          <w:rFonts w:hint="eastAsia" w:ascii="宋体" w:cs="宋体"/>
          <w:color w:val="auto"/>
          <w:sz w:val="24"/>
          <w:szCs w:val="24"/>
          <w:highlight w:val="none"/>
          <w:lang w:val="en-US" w:eastAsia="zh-CN"/>
        </w:rPr>
      </w:pPr>
    </w:p>
    <w:p w14:paraId="73DBD830">
      <w:pPr>
        <w:numPr>
          <w:ilvl w:val="0"/>
          <w:numId w:val="0"/>
        </w:numPr>
        <w:spacing w:line="360" w:lineRule="auto"/>
        <w:ind w:leftChars="0"/>
        <w:rPr>
          <w:rFonts w:ascii="宋体" w:cs="宋体"/>
          <w:b/>
          <w:color w:val="auto"/>
          <w:sz w:val="28"/>
          <w:szCs w:val="28"/>
          <w:highlight w:val="none"/>
        </w:rPr>
      </w:pPr>
      <w:r>
        <w:rPr>
          <w:rFonts w:hint="eastAsia" w:ascii="宋体" w:cs="宋体"/>
          <w:color w:val="auto"/>
          <w:sz w:val="24"/>
          <w:szCs w:val="24"/>
          <w:highlight w:val="none"/>
          <w:lang w:val="en-US" w:eastAsia="zh-CN"/>
        </w:rPr>
        <w:t>4.投标人认为应附的其他材料</w:t>
      </w:r>
      <w:r>
        <w:rPr>
          <w:rFonts w:ascii="宋体" w:cs="宋体"/>
          <w:color w:val="auto"/>
          <w:sz w:val="24"/>
          <w:szCs w:val="24"/>
          <w:highlight w:val="none"/>
        </w:rPr>
        <w:br w:type="page"/>
      </w:r>
      <w:r>
        <w:rPr>
          <w:rFonts w:hint="eastAsia" w:ascii="宋体" w:hAnsi="宋体" w:cs="宋体"/>
          <w:b/>
          <w:color w:val="auto"/>
          <w:sz w:val="28"/>
          <w:szCs w:val="28"/>
          <w:highlight w:val="none"/>
        </w:rPr>
        <w:t>附</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件</w:t>
      </w:r>
    </w:p>
    <w:p w14:paraId="692379B7">
      <w:pPr>
        <w:keepNext/>
        <w:keepLines/>
        <w:spacing w:line="360" w:lineRule="auto"/>
        <w:jc w:val="center"/>
        <w:outlineLvl w:val="2"/>
        <w:rPr>
          <w:rFonts w:ascii="宋体" w:cs="宋体"/>
          <w:b/>
          <w:bCs/>
          <w:color w:val="auto"/>
          <w:kern w:val="0"/>
          <w:sz w:val="32"/>
          <w:szCs w:val="32"/>
          <w:highlight w:val="none"/>
        </w:rPr>
      </w:pPr>
      <w:bookmarkStart w:id="548" w:name="_Toc26116"/>
      <w:bookmarkStart w:id="549" w:name="_Toc15503"/>
      <w:bookmarkStart w:id="550" w:name="_Toc131"/>
      <w:r>
        <w:rPr>
          <w:rFonts w:hint="eastAsia" w:ascii="宋体" w:hAnsi="宋体" w:cs="宋体"/>
          <w:b/>
          <w:bCs/>
          <w:color w:val="auto"/>
          <w:kern w:val="0"/>
          <w:sz w:val="32"/>
          <w:szCs w:val="32"/>
          <w:highlight w:val="none"/>
        </w:rPr>
        <w:t>中小企业声明函（货物）</w:t>
      </w:r>
      <w:bookmarkEnd w:id="548"/>
      <w:bookmarkEnd w:id="549"/>
      <w:bookmarkEnd w:id="550"/>
    </w:p>
    <w:p w14:paraId="11EDE4C6">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本公司（联合体）郑重声明，根据《政府采购促进中小企业发展管理办法》（财库﹝</w:t>
      </w:r>
      <w:r>
        <w:rPr>
          <w:rFonts w:ascii="宋体" w:hAnsi="宋体" w:cs="宋体"/>
          <w:color w:val="auto"/>
          <w:kern w:val="0"/>
          <w:sz w:val="24"/>
          <w:highlight w:val="none"/>
        </w:rPr>
        <w:t>2020</w:t>
      </w:r>
      <w:r>
        <w:rPr>
          <w:rFonts w:hint="eastAsia" w:ascii="宋体" w:hAnsi="宋体" w:cs="宋体"/>
          <w:color w:val="auto"/>
          <w:kern w:val="0"/>
          <w:sz w:val="24"/>
          <w:highlight w:val="none"/>
        </w:rPr>
        <w:t>﹞</w:t>
      </w:r>
      <w:r>
        <w:rPr>
          <w:rFonts w:ascii="宋体" w:hAnsi="宋体" w:cs="宋体"/>
          <w:color w:val="auto"/>
          <w:kern w:val="0"/>
          <w:sz w:val="24"/>
          <w:highlight w:val="none"/>
        </w:rPr>
        <w:t>46</w:t>
      </w:r>
      <w:r>
        <w:rPr>
          <w:rFonts w:hint="eastAsia" w:ascii="宋体" w:hAnsi="宋体" w:cs="宋体"/>
          <w:color w:val="auto"/>
          <w:kern w:val="0"/>
          <w:sz w:val="24"/>
          <w:highlight w:val="none"/>
        </w:rPr>
        <w:t>号）的规定，本公司（联合体）参加</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（单位名称）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（项目名称</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包号）</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采购活动，提供的货物全部由符合政策要求的中小企业制造。相关企业（含联合体中的中小企业、签订分包意向协议的中小企业）的具体情况如下：</w:t>
      </w:r>
    </w:p>
    <w:p w14:paraId="6ECA3380">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7D8AEEA">
      <w:pPr>
        <w:widowControl/>
        <w:spacing w:line="360" w:lineRule="auto"/>
        <w:ind w:firstLine="480" w:firstLineChars="200"/>
        <w:jc w:val="left"/>
        <w:rPr>
          <w:rFonts w:ascii="宋体" w:cs="宋体"/>
          <w:color w:val="auto"/>
          <w:sz w:val="24"/>
          <w:highlight w:val="none"/>
        </w:rPr>
      </w:pPr>
      <w:r>
        <w:rPr>
          <w:rFonts w:ascii="宋体" w:hAnsi="宋体" w:cs="宋体"/>
          <w:color w:val="auto"/>
          <w:kern w:val="0"/>
          <w:sz w:val="24"/>
          <w:highlight w:val="none"/>
        </w:rPr>
        <w:t>2.</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D6B9E58">
      <w:pPr>
        <w:widowControl/>
        <w:spacing w:line="360" w:lineRule="auto"/>
        <w:ind w:firstLine="480" w:firstLineChars="200"/>
        <w:jc w:val="left"/>
        <w:rPr>
          <w:rFonts w:ascii="宋体" w:cs="宋体"/>
          <w:color w:val="auto"/>
          <w:kern w:val="0"/>
          <w:sz w:val="24"/>
          <w:highlight w:val="none"/>
        </w:rPr>
      </w:pPr>
      <w:r>
        <w:rPr>
          <w:rFonts w:ascii="宋体" w:cs="宋体"/>
          <w:color w:val="auto"/>
          <w:kern w:val="0"/>
          <w:sz w:val="24"/>
          <w:highlight w:val="none"/>
        </w:rPr>
        <w:t>......</w:t>
      </w:r>
    </w:p>
    <w:p w14:paraId="3BECFB1C">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24F74D84">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1929ABF7">
      <w:pPr>
        <w:adjustRightInd w:val="0"/>
        <w:snapToGrid w:val="0"/>
        <w:spacing w:line="360" w:lineRule="auto"/>
        <w:ind w:right="-82" w:rightChars="-39"/>
        <w:jc w:val="left"/>
        <w:rPr>
          <w:rFonts w:ascii="宋体" w:cs="宋体"/>
          <w:color w:val="auto"/>
          <w:sz w:val="24"/>
          <w:highlight w:val="none"/>
        </w:rPr>
      </w:pPr>
    </w:p>
    <w:p w14:paraId="28206C45">
      <w:pPr>
        <w:widowControl/>
        <w:wordWrap w:val="0"/>
        <w:spacing w:line="360" w:lineRule="auto"/>
        <w:jc w:val="right"/>
        <w:rPr>
          <w:rFonts w:ascii="宋体" w:cs="宋体"/>
          <w:color w:val="auto"/>
          <w:szCs w:val="21"/>
          <w:highlight w:val="none"/>
        </w:rPr>
      </w:pPr>
      <w:r>
        <w:rPr>
          <w:rFonts w:hint="eastAsia" w:ascii="宋体" w:hAnsi="宋体" w:cs="宋体"/>
          <w:color w:val="auto"/>
          <w:kern w:val="0"/>
          <w:szCs w:val="21"/>
          <w:highlight w:val="none"/>
        </w:rPr>
        <w:t>企业名称（电子签章）：</w:t>
      </w:r>
      <w:r>
        <w:rPr>
          <w:rFonts w:ascii="宋体" w:hAnsi="宋体" w:cs="宋体"/>
          <w:color w:val="auto"/>
          <w:sz w:val="24"/>
          <w:highlight w:val="none"/>
          <w:u w:val="single"/>
        </w:rPr>
        <w:t xml:space="preserve">                    </w:t>
      </w:r>
    </w:p>
    <w:p w14:paraId="1CC1E653">
      <w:pPr>
        <w:wordWrap w:val="0"/>
        <w:spacing w:line="360" w:lineRule="auto"/>
        <w:jc w:val="righ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u w:val="single"/>
        </w:rPr>
        <w:t xml:space="preserve">                    </w:t>
      </w:r>
    </w:p>
    <w:p w14:paraId="74CF265C">
      <w:pPr>
        <w:spacing w:line="360" w:lineRule="auto"/>
        <w:jc w:val="left"/>
        <w:rPr>
          <w:rFonts w:ascii="宋体" w:cs="宋体"/>
          <w:color w:val="auto"/>
          <w:sz w:val="24"/>
          <w:highlight w:val="none"/>
        </w:rPr>
      </w:pPr>
    </w:p>
    <w:p w14:paraId="3EB40428">
      <w:pPr>
        <w:spacing w:line="360" w:lineRule="auto"/>
        <w:ind w:firstLine="482" w:firstLineChars="200"/>
        <w:rPr>
          <w:rFonts w:ascii="宋体" w:cs="宋体"/>
          <w:b/>
          <w:bCs/>
          <w:color w:val="auto"/>
          <w:sz w:val="24"/>
          <w:highlight w:val="none"/>
        </w:rPr>
      </w:pPr>
      <w:r>
        <w:rPr>
          <w:rFonts w:hint="eastAsia" w:ascii="宋体" w:hAnsi="宋体" w:cs="宋体"/>
          <w:b/>
          <w:bCs/>
          <w:color w:val="auto"/>
          <w:sz w:val="24"/>
          <w:highlight w:val="none"/>
        </w:rPr>
        <w:t>从业人员、营业收入、资产总额填报上一年度数据，无上一年度数据的新成立企业可不填报。</w:t>
      </w:r>
    </w:p>
    <w:p w14:paraId="2DFE86AB">
      <w:pPr>
        <w:spacing w:line="360" w:lineRule="auto"/>
        <w:rPr>
          <w:rFonts w:ascii="宋体" w:cs="宋体"/>
          <w:color w:val="auto"/>
          <w:sz w:val="24"/>
          <w:highlight w:val="none"/>
        </w:rPr>
      </w:pPr>
      <w:r>
        <w:rPr>
          <w:rFonts w:hint="eastAsia" w:ascii="宋体" w:hAnsi="宋体" w:cs="宋体"/>
          <w:color w:val="auto"/>
          <w:sz w:val="24"/>
          <w:highlight w:val="none"/>
        </w:rPr>
        <w:t>注：</w:t>
      </w:r>
    </w:p>
    <w:p w14:paraId="2FA8AE43">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该声明函是针对中小微型企业的，非中小型、微型企业不用提供该声明。</w:t>
      </w:r>
    </w:p>
    <w:p w14:paraId="781C6E1A">
      <w:pPr>
        <w:spacing w:line="360" w:lineRule="auto"/>
        <w:ind w:firstLine="480" w:firstLineChars="200"/>
        <w:rPr>
          <w:rFonts w:ascii="宋体" w:cs="宋体"/>
          <w:color w:val="auto"/>
          <w:sz w:val="24"/>
          <w:szCs w:val="24"/>
          <w:highlight w:val="none"/>
        </w:rPr>
      </w:pPr>
      <w:r>
        <w:rPr>
          <w:rFonts w:ascii="宋体" w:hAnsi="宋体" w:cs="宋体"/>
          <w:color w:val="auto"/>
          <w:sz w:val="24"/>
          <w:highlight w:val="none"/>
        </w:rPr>
        <w:t>2.</w:t>
      </w:r>
      <w:r>
        <w:rPr>
          <w:rFonts w:hint="eastAsia" w:ascii="宋体" w:hAnsi="宋体" w:cs="宋体"/>
          <w:color w:val="auto"/>
          <w:sz w:val="24"/>
          <w:highlight w:val="none"/>
        </w:rPr>
        <w:t>根据《关于印发《政府采购促进中小企业发展管理办法》的通知》（财库〔</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46</w:t>
      </w:r>
      <w:r>
        <w:rPr>
          <w:rFonts w:hint="eastAsia" w:ascii="宋体" w:hAnsi="宋体" w:cs="宋体"/>
          <w:color w:val="auto"/>
          <w:sz w:val="24"/>
          <w:highlight w:val="none"/>
        </w:rPr>
        <w:t>号）、《关于进一步加大政府采购支持中小企业力度的通知》（财库〔</w:t>
      </w:r>
      <w:r>
        <w:rPr>
          <w:rFonts w:ascii="宋体" w:hAnsi="宋体" w:cs="宋体"/>
          <w:color w:val="auto"/>
          <w:sz w:val="24"/>
          <w:highlight w:val="none"/>
        </w:rPr>
        <w:t>2022</w:t>
      </w:r>
      <w:r>
        <w:rPr>
          <w:rFonts w:hint="eastAsia" w:ascii="宋体" w:hAnsi="宋体" w:cs="宋体"/>
          <w:color w:val="auto"/>
          <w:sz w:val="24"/>
          <w:highlight w:val="none"/>
        </w:rPr>
        <w:t>〕</w:t>
      </w:r>
      <w:r>
        <w:rPr>
          <w:rFonts w:ascii="宋体" w:hAnsi="宋体" w:cs="宋体"/>
          <w:color w:val="auto"/>
          <w:sz w:val="24"/>
          <w:highlight w:val="none"/>
        </w:rPr>
        <w:t>19</w:t>
      </w:r>
      <w:r>
        <w:rPr>
          <w:rFonts w:hint="eastAsia" w:ascii="宋体" w:hAnsi="宋体" w:cs="宋体"/>
          <w:color w:val="auto"/>
          <w:sz w:val="24"/>
          <w:highlight w:val="none"/>
        </w:rPr>
        <w:t>号）的规定，对于非专门面向中小企业预留采购份额的采购项目或者采购包，对小型和微型企业产品的价格给予</w:t>
      </w:r>
      <w:r>
        <w:rPr>
          <w:rFonts w:ascii="宋体" w:hAnsi="宋体" w:cs="宋体"/>
          <w:color w:val="auto"/>
          <w:sz w:val="24"/>
          <w:highlight w:val="none"/>
        </w:rPr>
        <w:t>10%</w:t>
      </w:r>
      <w:r>
        <w:rPr>
          <w:rFonts w:hint="eastAsia" w:ascii="宋体" w:hAnsi="宋体" w:cs="宋体"/>
          <w:color w:val="auto"/>
          <w:sz w:val="24"/>
          <w:highlight w:val="none"/>
        </w:rPr>
        <w:t>的扣除，用扣除后的价格参与评审，中小企业与大企业的负责人为同一人，或者与大企业存在直接控股、管理关系的除外。在货物采购项目中，投标人提供的货物既有小型和微型企业制造</w:t>
      </w:r>
      <w:r>
        <w:rPr>
          <w:rFonts w:hint="eastAsia" w:ascii="宋体" w:hAnsi="宋体" w:cs="宋体"/>
          <w:color w:val="auto"/>
          <w:sz w:val="24"/>
          <w:szCs w:val="24"/>
          <w:highlight w:val="none"/>
        </w:rPr>
        <w:t>的货物，也有大型企业和中型企业制造的货物，不享受价格比例扣除规定。监狱企业（制造商）视同小型、微型企业，残疾人福利性单位（制造商）视同小型、微型企业，小微企业产品和监狱企业产品及残疾人福利性单位产品只给予一次价格扣除，不重复给予价格扣除。中小企业的认定标准按《中小企业划型标准规定》工信部联企业〔</w:t>
      </w:r>
      <w:r>
        <w:rPr>
          <w:rFonts w:ascii="宋体" w:hAnsi="宋体" w:cs="宋体"/>
          <w:color w:val="auto"/>
          <w:sz w:val="24"/>
          <w:szCs w:val="24"/>
          <w:highlight w:val="none"/>
        </w:rPr>
        <w:t>2011</w:t>
      </w:r>
      <w:r>
        <w:rPr>
          <w:rFonts w:hint="eastAsia" w:ascii="宋体" w:hAnsi="宋体" w:cs="宋体"/>
          <w:color w:val="auto"/>
          <w:sz w:val="24"/>
          <w:szCs w:val="24"/>
          <w:highlight w:val="none"/>
        </w:rPr>
        <w:t>〕</w:t>
      </w:r>
      <w:r>
        <w:rPr>
          <w:rFonts w:ascii="宋体" w:hAnsi="宋体" w:cs="宋体"/>
          <w:color w:val="auto"/>
          <w:sz w:val="24"/>
          <w:szCs w:val="24"/>
          <w:highlight w:val="none"/>
        </w:rPr>
        <w:t>300</w:t>
      </w:r>
      <w:r>
        <w:rPr>
          <w:rFonts w:hint="eastAsia" w:ascii="宋体" w:hAnsi="宋体" w:cs="宋体"/>
          <w:color w:val="auto"/>
          <w:sz w:val="24"/>
          <w:szCs w:val="24"/>
          <w:highlight w:val="none"/>
        </w:rPr>
        <w:t>号文件执行，投标人应提供《中小企业声明函》。</w:t>
      </w:r>
    </w:p>
    <w:p w14:paraId="01BC5579">
      <w:pPr>
        <w:spacing w:line="360" w:lineRule="auto"/>
        <w:jc w:val="center"/>
        <w:rPr>
          <w:rFonts w:ascii="宋体" w:cs="宋体"/>
          <w:color w:val="auto"/>
          <w:sz w:val="32"/>
          <w:szCs w:val="32"/>
          <w:highlight w:val="none"/>
        </w:rPr>
      </w:pPr>
      <w:r>
        <w:rPr>
          <w:rFonts w:ascii="宋体" w:cs="宋体"/>
          <w:color w:val="auto"/>
          <w:szCs w:val="21"/>
          <w:highlight w:val="none"/>
        </w:rPr>
        <w:br w:type="page"/>
      </w:r>
    </w:p>
    <w:p w14:paraId="331ECE6B">
      <w:pPr>
        <w:keepNext/>
        <w:keepLines/>
        <w:spacing w:line="360" w:lineRule="auto"/>
        <w:jc w:val="center"/>
        <w:outlineLvl w:val="2"/>
        <w:rPr>
          <w:rFonts w:ascii="宋体" w:cs="宋体"/>
          <w:b/>
          <w:bCs/>
          <w:color w:val="auto"/>
          <w:kern w:val="0"/>
          <w:sz w:val="32"/>
          <w:szCs w:val="32"/>
          <w:highlight w:val="none"/>
        </w:rPr>
      </w:pPr>
      <w:bookmarkStart w:id="551" w:name="_Toc27929"/>
      <w:bookmarkStart w:id="552" w:name="_Toc16860"/>
      <w:r>
        <w:rPr>
          <w:rFonts w:hint="eastAsia" w:ascii="宋体" w:hAnsi="宋体" w:cs="宋体"/>
          <w:b/>
          <w:bCs/>
          <w:color w:val="auto"/>
          <w:kern w:val="0"/>
          <w:sz w:val="32"/>
          <w:szCs w:val="32"/>
          <w:highlight w:val="none"/>
        </w:rPr>
        <w:t>监狱企业的证明文件</w:t>
      </w:r>
      <w:bookmarkEnd w:id="551"/>
      <w:bookmarkEnd w:id="552"/>
    </w:p>
    <w:p w14:paraId="3FEFB716">
      <w:pPr>
        <w:spacing w:line="360" w:lineRule="auto"/>
        <w:jc w:val="center"/>
        <w:rPr>
          <w:rFonts w:ascii="宋体" w:cs="宋体"/>
          <w:color w:val="auto"/>
          <w:kern w:val="0"/>
          <w:sz w:val="32"/>
          <w:szCs w:val="32"/>
          <w:highlight w:val="none"/>
        </w:rPr>
      </w:pPr>
    </w:p>
    <w:p w14:paraId="13F68987">
      <w:pPr>
        <w:widowControl/>
        <w:spacing w:line="360" w:lineRule="auto"/>
        <w:jc w:val="center"/>
        <w:textAlignment w:val="baseline"/>
        <w:rPr>
          <w:rFonts w:ascii="宋体" w:cs="宋体"/>
          <w:color w:val="auto"/>
          <w:sz w:val="24"/>
          <w:highlight w:val="none"/>
        </w:rPr>
      </w:pPr>
      <w:r>
        <w:rPr>
          <w:rFonts w:hint="eastAsia" w:ascii="宋体" w:hAnsi="宋体" w:cs="宋体"/>
          <w:color w:val="auto"/>
          <w:sz w:val="24"/>
          <w:highlight w:val="none"/>
        </w:rPr>
        <w:t>（制造商属于监狱企业的提供，不属于的不提供此项内容）</w:t>
      </w:r>
    </w:p>
    <w:p w14:paraId="1A820D32">
      <w:pPr>
        <w:widowControl/>
        <w:spacing w:line="360" w:lineRule="auto"/>
        <w:ind w:firstLine="480" w:firstLineChars="200"/>
        <w:jc w:val="left"/>
        <w:textAlignment w:val="baseline"/>
        <w:rPr>
          <w:rFonts w:ascii="宋体" w:cs="宋体"/>
          <w:color w:val="auto"/>
          <w:kern w:val="0"/>
          <w:sz w:val="32"/>
          <w:szCs w:val="32"/>
          <w:highlight w:val="none"/>
        </w:rPr>
      </w:pPr>
      <w:r>
        <w:rPr>
          <w:rFonts w:hint="eastAsia" w:ascii="宋体" w:hAnsi="宋体" w:cs="宋体"/>
          <w:color w:val="auto"/>
          <w:sz w:val="24"/>
          <w:highlight w:val="none"/>
        </w:rPr>
        <w:t>监狱企业（制造商）视同小型、微型企业，投标人应提供省级及以上监狱管理局、戒毒管理局（含新疆生产建设兵团）在招标文件发出时间至投标截止时间前出具的属于监狱企业（制造商）的证明文件。</w:t>
      </w:r>
      <w:r>
        <w:rPr>
          <w:rFonts w:ascii="宋体" w:cs="宋体"/>
          <w:color w:val="auto"/>
          <w:kern w:val="0"/>
          <w:sz w:val="24"/>
          <w:highlight w:val="none"/>
        </w:rPr>
        <w:br w:type="page"/>
      </w:r>
    </w:p>
    <w:p w14:paraId="499FBE72">
      <w:pPr>
        <w:keepNext/>
        <w:keepLines/>
        <w:spacing w:line="360" w:lineRule="auto"/>
        <w:jc w:val="center"/>
        <w:outlineLvl w:val="2"/>
        <w:rPr>
          <w:rFonts w:ascii="宋体" w:cs="宋体"/>
          <w:b/>
          <w:bCs/>
          <w:color w:val="auto"/>
          <w:kern w:val="0"/>
          <w:sz w:val="32"/>
          <w:szCs w:val="32"/>
          <w:highlight w:val="none"/>
        </w:rPr>
      </w:pPr>
      <w:bookmarkStart w:id="553" w:name="_Toc5146"/>
      <w:bookmarkStart w:id="554" w:name="_Toc5950"/>
      <w:r>
        <w:rPr>
          <w:rFonts w:hint="eastAsia" w:ascii="宋体" w:hAnsi="宋体" w:cs="宋体"/>
          <w:b/>
          <w:bCs/>
          <w:color w:val="auto"/>
          <w:kern w:val="0"/>
          <w:sz w:val="32"/>
          <w:szCs w:val="32"/>
          <w:highlight w:val="none"/>
        </w:rPr>
        <w:t>残疾人福利性单位声明函</w:t>
      </w:r>
      <w:bookmarkEnd w:id="553"/>
      <w:bookmarkEnd w:id="554"/>
    </w:p>
    <w:p w14:paraId="6C3AACDD">
      <w:pPr>
        <w:spacing w:line="360" w:lineRule="auto"/>
        <w:jc w:val="center"/>
        <w:rPr>
          <w:rFonts w:ascii="宋体" w:cs="宋体"/>
          <w:b/>
          <w:color w:val="auto"/>
          <w:spacing w:val="6"/>
          <w:sz w:val="32"/>
          <w:szCs w:val="32"/>
          <w:highlight w:val="none"/>
        </w:rPr>
      </w:pPr>
    </w:p>
    <w:p w14:paraId="14A49550">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（制造商属于残疾人福利性单位的填写，不属于的无需填写或不提供此项内容）</w:t>
      </w:r>
    </w:p>
    <w:p w14:paraId="31BA37C7">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本单位郑重声明，根据《财政部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民政部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中国残疾人联合会关于促进残疾人就业政府采购政策的通知》（财库〔</w:t>
      </w:r>
      <w:r>
        <w:rPr>
          <w:rFonts w:ascii="宋体" w:hAnsi="宋体" w:cs="宋体"/>
          <w:color w:val="auto"/>
          <w:spacing w:val="6"/>
          <w:sz w:val="24"/>
          <w:szCs w:val="21"/>
          <w:highlight w:val="none"/>
        </w:rPr>
        <w:t>2017</w:t>
      </w:r>
      <w:r>
        <w:rPr>
          <w:rFonts w:hint="eastAsia" w:ascii="宋体" w:hAnsi="宋体" w:cs="宋体"/>
          <w:color w:val="auto"/>
          <w:spacing w:val="6"/>
          <w:sz w:val="24"/>
          <w:szCs w:val="21"/>
          <w:highlight w:val="none"/>
        </w:rPr>
        <w:t>〕</w:t>
      </w:r>
      <w:r>
        <w:rPr>
          <w:rFonts w:ascii="宋体" w:hAnsi="宋体" w:cs="宋体"/>
          <w:color w:val="auto"/>
          <w:spacing w:val="6"/>
          <w:sz w:val="24"/>
          <w:szCs w:val="21"/>
          <w:highlight w:val="none"/>
        </w:rPr>
        <w:t xml:space="preserve"> 141</w:t>
      </w:r>
      <w:r>
        <w:rPr>
          <w:rFonts w:hint="eastAsia" w:ascii="宋体" w:hAnsi="宋体" w:cs="宋体"/>
          <w:color w:val="auto"/>
          <w:spacing w:val="6"/>
          <w:sz w:val="24"/>
          <w:szCs w:val="21"/>
          <w:highlight w:val="none"/>
        </w:rPr>
        <w:t>号）的规定，本单位为符合条件的残疾人福利性单位，为（单位名称）的（项目名称）采购活动提供本单位制造的货物。</w:t>
      </w:r>
    </w:p>
    <w:p w14:paraId="24F3FD1B">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本单位对上述声明的真实性负责。如有虚假，将依法承担相应责任。</w:t>
      </w:r>
    </w:p>
    <w:p w14:paraId="30E94F13">
      <w:pPr>
        <w:spacing w:line="360" w:lineRule="auto"/>
        <w:ind w:firstLine="504" w:firstLineChars="200"/>
        <w:jc w:val="left"/>
        <w:rPr>
          <w:rFonts w:ascii="宋体" w:cs="宋体"/>
          <w:color w:val="auto"/>
          <w:spacing w:val="6"/>
          <w:sz w:val="24"/>
          <w:szCs w:val="21"/>
          <w:highlight w:val="none"/>
        </w:rPr>
      </w:pPr>
    </w:p>
    <w:p w14:paraId="595B7AD1">
      <w:pPr>
        <w:spacing w:line="360" w:lineRule="auto"/>
        <w:ind w:firstLine="504" w:firstLineChars="200"/>
        <w:jc w:val="left"/>
        <w:rPr>
          <w:rFonts w:ascii="宋体" w:cs="宋体"/>
          <w:color w:val="auto"/>
          <w:spacing w:val="6"/>
          <w:sz w:val="24"/>
          <w:szCs w:val="21"/>
          <w:highlight w:val="none"/>
        </w:rPr>
      </w:pPr>
    </w:p>
    <w:p w14:paraId="3185B2DA">
      <w:pPr>
        <w:spacing w:line="360" w:lineRule="auto"/>
        <w:ind w:firstLine="4788" w:firstLineChars="19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制造商（企业电子签章或公章）：</w:t>
      </w:r>
      <w:r>
        <w:rPr>
          <w:rFonts w:ascii="宋体" w:hAnsi="宋体" w:cs="宋体"/>
          <w:color w:val="auto"/>
          <w:spacing w:val="6"/>
          <w:sz w:val="24"/>
          <w:szCs w:val="21"/>
          <w:highlight w:val="none"/>
        </w:rPr>
        <w:t xml:space="preserve">                     </w:t>
      </w:r>
    </w:p>
    <w:p w14:paraId="532C09A8">
      <w:pPr>
        <w:spacing w:line="360" w:lineRule="auto"/>
        <w:ind w:firstLine="4536" w:firstLineChars="18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日</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期：</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年</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月</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日</w:t>
      </w:r>
    </w:p>
    <w:p w14:paraId="0B145AF3">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备注：</w:t>
      </w:r>
    </w:p>
    <w:p w14:paraId="08835323">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1</w:t>
      </w:r>
      <w:r>
        <w:rPr>
          <w:rFonts w:hint="eastAsia" w:ascii="宋体" w:hAnsi="宋体" w:cs="宋体"/>
          <w:color w:val="auto"/>
          <w:spacing w:val="6"/>
          <w:sz w:val="24"/>
          <w:szCs w:val="21"/>
          <w:highlight w:val="none"/>
        </w:rPr>
        <w:t>、制造商为残疾人福利性单位的，随中标、成交结果同时公告《残疾人福利性单位声明函》，接受社会监督。</w:t>
      </w:r>
    </w:p>
    <w:p w14:paraId="43F42610">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2</w:t>
      </w:r>
      <w:r>
        <w:rPr>
          <w:rFonts w:hint="eastAsia" w:ascii="宋体" w:hAnsi="宋体" w:cs="宋体"/>
          <w:color w:val="auto"/>
          <w:spacing w:val="6"/>
          <w:sz w:val="24"/>
          <w:szCs w:val="21"/>
          <w:highlight w:val="none"/>
        </w:rPr>
        <w:t>、投标人提供的《残疾人福利性单位声明函》与事实不符的，依照《政府采购法》第七十七条第一款的规定追究法律责任。</w:t>
      </w:r>
    </w:p>
    <w:p w14:paraId="6A4342B8">
      <w:pPr>
        <w:widowControl/>
        <w:spacing w:line="360" w:lineRule="auto"/>
        <w:ind w:firstLine="562" w:firstLineChars="200"/>
        <w:jc w:val="left"/>
        <w:rPr>
          <w:rFonts w:ascii="宋体" w:cs="宋体"/>
          <w:bCs/>
          <w:color w:val="auto"/>
          <w:sz w:val="24"/>
          <w:highlight w:val="none"/>
        </w:rPr>
      </w:pPr>
      <w:r>
        <w:rPr>
          <w:rFonts w:ascii="宋体" w:cs="宋体"/>
          <w:b/>
          <w:color w:val="auto"/>
          <w:sz w:val="28"/>
          <w:szCs w:val="28"/>
          <w:highlight w:val="none"/>
        </w:rPr>
        <w:br w:type="page"/>
      </w:r>
    </w:p>
    <w:p w14:paraId="758EA6EA">
      <w:pPr>
        <w:widowControl/>
        <w:spacing w:line="360" w:lineRule="auto"/>
        <w:jc w:val="center"/>
        <w:outlineLvl w:val="2"/>
        <w:rPr>
          <w:rFonts w:ascii="微软雅黑" w:hAnsi="微软雅黑" w:eastAsia="微软雅黑" w:cs="宋体"/>
          <w:b/>
          <w:bCs/>
          <w:color w:val="auto"/>
          <w:kern w:val="36"/>
          <w:sz w:val="28"/>
          <w:szCs w:val="28"/>
          <w:highlight w:val="none"/>
        </w:rPr>
      </w:pPr>
      <w:bookmarkStart w:id="555" w:name="_Toc5378"/>
      <w:r>
        <w:rPr>
          <w:rFonts w:hint="eastAsia" w:ascii="宋体" w:hAnsi="宋体" w:cs="宋体"/>
          <w:b/>
          <w:bCs/>
          <w:color w:val="auto"/>
          <w:sz w:val="24"/>
          <w:szCs w:val="21"/>
          <w:highlight w:val="none"/>
        </w:rPr>
        <w:t>关于印发节能产品政府采购品目清单的通知</w:t>
      </w:r>
      <w:bookmarkEnd w:id="555"/>
    </w:p>
    <w:p w14:paraId="2366013B">
      <w:pPr>
        <w:snapToGrid w:val="0"/>
        <w:spacing w:line="360" w:lineRule="auto"/>
        <w:ind w:firstLine="480" w:firstLineChars="200"/>
        <w:jc w:val="center"/>
        <w:rPr>
          <w:rFonts w:ascii="宋体" w:cs="宋体"/>
          <w:color w:val="auto"/>
          <w:sz w:val="24"/>
          <w:szCs w:val="21"/>
          <w:highlight w:val="none"/>
        </w:rPr>
      </w:pPr>
      <w:r>
        <w:rPr>
          <w:rFonts w:hint="eastAsia" w:ascii="宋体" w:hAnsi="宋体" w:cs="宋体"/>
          <w:color w:val="auto"/>
          <w:sz w:val="24"/>
          <w:szCs w:val="21"/>
          <w:highlight w:val="none"/>
        </w:rPr>
        <w:t>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19</w:t>
      </w:r>
      <w:r>
        <w:rPr>
          <w:rFonts w:hint="eastAsia" w:ascii="宋体" w:hAnsi="宋体" w:cs="宋体"/>
          <w:color w:val="auto"/>
          <w:sz w:val="24"/>
          <w:szCs w:val="21"/>
          <w:highlight w:val="none"/>
        </w:rPr>
        <w:t>号</w:t>
      </w:r>
    </w:p>
    <w:p w14:paraId="3D5CF61F">
      <w:pPr>
        <w:autoSpaceDE w:val="0"/>
        <w:autoSpaceDN w:val="0"/>
        <w:adjustRightInd w:val="0"/>
        <w:spacing w:line="360" w:lineRule="auto"/>
        <w:jc w:val="left"/>
        <w:rPr>
          <w:rFonts w:ascii="宋体" w:cs="宋体"/>
          <w:color w:val="auto"/>
          <w:kern w:val="0"/>
          <w:sz w:val="24"/>
          <w:highlight w:val="none"/>
        </w:rPr>
      </w:pPr>
    </w:p>
    <w:p w14:paraId="212C5668">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有关中央预算单位，各省、自治区、直辖市、计划单列市财政厅（局）、发展改革委（经信委、工信委、工信厅、经信局），新疆生产建设兵团财政局、发展改革委：</w:t>
      </w:r>
    </w:p>
    <w:p w14:paraId="4270A473">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根据《财政部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生态环境部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市场监管总局关于调整优化节能产品</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环境标志产品政府采购执行机制的通知》（财库〔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9</w:t>
      </w:r>
      <w:r>
        <w:rPr>
          <w:rFonts w:hint="eastAsia" w:ascii="宋体" w:hAnsi="宋体" w:cs="宋体"/>
          <w:color w:val="auto"/>
          <w:sz w:val="24"/>
          <w:szCs w:val="21"/>
          <w:highlight w:val="none"/>
        </w:rPr>
        <w:t>号），我们研究制定节能产品政府采购品目清单，现印发给你们，请遵照执行。</w:t>
      </w:r>
    </w:p>
    <w:p w14:paraId="65BCABB9">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附件：节能产品政府采购品目清单</w:t>
      </w:r>
    </w:p>
    <w:p w14:paraId="26D13A23">
      <w:pPr>
        <w:snapToGrid w:val="0"/>
        <w:spacing w:line="360" w:lineRule="auto"/>
        <w:ind w:firstLine="480" w:firstLineChars="200"/>
        <w:jc w:val="right"/>
        <w:rPr>
          <w:rFonts w:ascii="宋体" w:cs="宋体"/>
          <w:color w:val="auto"/>
          <w:sz w:val="24"/>
          <w:szCs w:val="21"/>
          <w:highlight w:val="none"/>
        </w:rPr>
      </w:pPr>
      <w:r>
        <w:rPr>
          <w:rFonts w:hint="eastAsia" w:ascii="宋体" w:hAnsi="宋体" w:cs="宋体"/>
          <w:color w:val="auto"/>
          <w:sz w:val="24"/>
          <w:szCs w:val="21"/>
          <w:highlight w:val="none"/>
        </w:rPr>
        <w:t>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p>
    <w:p w14:paraId="0DB3550E">
      <w:pPr>
        <w:snapToGrid w:val="0"/>
        <w:spacing w:line="360" w:lineRule="auto"/>
        <w:ind w:firstLine="480" w:firstLineChars="200"/>
        <w:jc w:val="right"/>
        <w:rPr>
          <w:rFonts w:ascii="宋体" w:cs="宋体"/>
          <w:color w:val="auto"/>
          <w:sz w:val="24"/>
          <w:szCs w:val="21"/>
          <w:highlight w:val="none"/>
        </w:rPr>
      </w:pPr>
      <w:r>
        <w:rPr>
          <w:rFonts w:ascii="宋体" w:hAnsi="宋体" w:cs="宋体"/>
          <w:color w:val="auto"/>
          <w:sz w:val="24"/>
          <w:szCs w:val="21"/>
          <w:highlight w:val="none"/>
        </w:rPr>
        <w:t>2019</w:t>
      </w:r>
      <w:r>
        <w:rPr>
          <w:rFonts w:hint="eastAsia" w:ascii="宋体" w:hAnsi="宋体" w:cs="宋体"/>
          <w:color w:val="auto"/>
          <w:sz w:val="24"/>
          <w:szCs w:val="21"/>
          <w:highlight w:val="none"/>
        </w:rPr>
        <w:t>年</w:t>
      </w:r>
      <w:r>
        <w:rPr>
          <w:rFonts w:ascii="宋体" w:hAnsi="宋体" w:cs="宋体"/>
          <w:color w:val="auto"/>
          <w:sz w:val="24"/>
          <w:szCs w:val="21"/>
          <w:highlight w:val="none"/>
        </w:rPr>
        <w:t>4</w:t>
      </w:r>
      <w:r>
        <w:rPr>
          <w:rFonts w:hint="eastAsia" w:ascii="宋体" w:hAnsi="宋体" w:cs="宋体"/>
          <w:color w:val="auto"/>
          <w:sz w:val="24"/>
          <w:szCs w:val="21"/>
          <w:highlight w:val="none"/>
        </w:rPr>
        <w:t>月</w:t>
      </w:r>
      <w:r>
        <w:rPr>
          <w:rFonts w:ascii="宋体" w:hAnsi="宋体" w:cs="宋体"/>
          <w:color w:val="auto"/>
          <w:sz w:val="24"/>
          <w:szCs w:val="21"/>
          <w:highlight w:val="none"/>
        </w:rPr>
        <w:t>2</w:t>
      </w:r>
      <w:r>
        <w:rPr>
          <w:rFonts w:hint="eastAsia" w:ascii="宋体" w:hAnsi="宋体" w:cs="宋体"/>
          <w:color w:val="auto"/>
          <w:sz w:val="24"/>
          <w:szCs w:val="21"/>
          <w:highlight w:val="none"/>
        </w:rPr>
        <w:t>日</w:t>
      </w:r>
    </w:p>
    <w:p w14:paraId="1FC7E9CE">
      <w:pPr>
        <w:spacing w:line="360" w:lineRule="auto"/>
        <w:jc w:val="right"/>
        <w:rPr>
          <w:color w:val="auto"/>
          <w:sz w:val="24"/>
          <w:highlight w:val="none"/>
        </w:rPr>
      </w:pPr>
    </w:p>
    <w:p w14:paraId="20DFB851">
      <w:pPr>
        <w:autoSpaceDE w:val="0"/>
        <w:autoSpaceDN w:val="0"/>
        <w:adjustRightInd w:val="0"/>
        <w:spacing w:line="360" w:lineRule="auto"/>
        <w:jc w:val="left"/>
        <w:rPr>
          <w:rFonts w:ascii="宋体" w:cs="宋体"/>
          <w:color w:val="auto"/>
          <w:kern w:val="0"/>
          <w:sz w:val="24"/>
          <w:highlight w:val="none"/>
        </w:rPr>
      </w:pPr>
    </w:p>
    <w:p w14:paraId="4EAC1011">
      <w:pPr>
        <w:spacing w:line="360" w:lineRule="auto"/>
        <w:jc w:val="left"/>
        <w:rPr>
          <w:color w:val="auto"/>
          <w:sz w:val="24"/>
          <w:highlight w:val="none"/>
        </w:rPr>
      </w:pPr>
    </w:p>
    <w:p w14:paraId="17F44BD0">
      <w:pPr>
        <w:autoSpaceDE w:val="0"/>
        <w:autoSpaceDN w:val="0"/>
        <w:adjustRightInd w:val="0"/>
        <w:spacing w:line="360" w:lineRule="auto"/>
        <w:jc w:val="left"/>
        <w:rPr>
          <w:rFonts w:ascii="宋体" w:cs="宋体"/>
          <w:color w:val="auto"/>
          <w:kern w:val="0"/>
          <w:sz w:val="24"/>
          <w:highlight w:val="none"/>
        </w:rPr>
      </w:pPr>
    </w:p>
    <w:p w14:paraId="70681F85">
      <w:pPr>
        <w:spacing w:line="360" w:lineRule="auto"/>
        <w:jc w:val="left"/>
        <w:rPr>
          <w:color w:val="auto"/>
          <w:sz w:val="24"/>
          <w:highlight w:val="none"/>
        </w:rPr>
      </w:pPr>
    </w:p>
    <w:p w14:paraId="78628AEC">
      <w:pPr>
        <w:autoSpaceDE w:val="0"/>
        <w:autoSpaceDN w:val="0"/>
        <w:adjustRightInd w:val="0"/>
        <w:spacing w:line="360" w:lineRule="auto"/>
        <w:jc w:val="left"/>
        <w:rPr>
          <w:rFonts w:ascii="宋体" w:cs="宋体"/>
          <w:color w:val="auto"/>
          <w:kern w:val="0"/>
          <w:sz w:val="24"/>
          <w:highlight w:val="none"/>
        </w:rPr>
      </w:pPr>
    </w:p>
    <w:p w14:paraId="0B168F07">
      <w:pPr>
        <w:spacing w:line="360" w:lineRule="auto"/>
        <w:jc w:val="left"/>
        <w:rPr>
          <w:color w:val="auto"/>
          <w:sz w:val="24"/>
          <w:highlight w:val="none"/>
        </w:rPr>
      </w:pPr>
    </w:p>
    <w:p w14:paraId="0C4190A0">
      <w:pPr>
        <w:autoSpaceDE w:val="0"/>
        <w:autoSpaceDN w:val="0"/>
        <w:adjustRightInd w:val="0"/>
        <w:spacing w:line="360" w:lineRule="auto"/>
        <w:jc w:val="left"/>
        <w:rPr>
          <w:rFonts w:ascii="宋体" w:cs="宋体"/>
          <w:color w:val="auto"/>
          <w:kern w:val="0"/>
          <w:sz w:val="24"/>
          <w:highlight w:val="none"/>
        </w:rPr>
      </w:pPr>
    </w:p>
    <w:p w14:paraId="65E20E94">
      <w:pPr>
        <w:spacing w:line="360" w:lineRule="auto"/>
        <w:jc w:val="left"/>
        <w:rPr>
          <w:color w:val="auto"/>
          <w:sz w:val="24"/>
          <w:highlight w:val="none"/>
        </w:rPr>
      </w:pPr>
    </w:p>
    <w:p w14:paraId="483F9FB1">
      <w:pPr>
        <w:autoSpaceDE w:val="0"/>
        <w:autoSpaceDN w:val="0"/>
        <w:adjustRightInd w:val="0"/>
        <w:spacing w:line="360" w:lineRule="auto"/>
        <w:jc w:val="left"/>
        <w:rPr>
          <w:rFonts w:ascii="宋体" w:cs="宋体"/>
          <w:color w:val="auto"/>
          <w:kern w:val="0"/>
          <w:sz w:val="24"/>
          <w:highlight w:val="none"/>
        </w:rPr>
      </w:pPr>
    </w:p>
    <w:p w14:paraId="25261C53">
      <w:pPr>
        <w:spacing w:line="360" w:lineRule="auto"/>
        <w:jc w:val="left"/>
        <w:rPr>
          <w:color w:val="auto"/>
          <w:sz w:val="24"/>
          <w:highlight w:val="none"/>
        </w:rPr>
      </w:pPr>
    </w:p>
    <w:p w14:paraId="7F856FC9">
      <w:pPr>
        <w:spacing w:line="360" w:lineRule="auto"/>
        <w:jc w:val="left"/>
        <w:rPr>
          <w:color w:val="auto"/>
          <w:sz w:val="24"/>
          <w:highlight w:val="none"/>
        </w:rPr>
      </w:pPr>
    </w:p>
    <w:p w14:paraId="02B4ACDA">
      <w:pPr>
        <w:autoSpaceDE w:val="0"/>
        <w:autoSpaceDN w:val="0"/>
        <w:adjustRightInd w:val="0"/>
        <w:spacing w:line="360" w:lineRule="auto"/>
        <w:jc w:val="left"/>
        <w:rPr>
          <w:rFonts w:ascii="宋体" w:cs="宋体"/>
          <w:color w:val="auto"/>
          <w:kern w:val="0"/>
          <w:sz w:val="24"/>
          <w:highlight w:val="none"/>
        </w:rPr>
      </w:pPr>
    </w:p>
    <w:p w14:paraId="17D50762">
      <w:pPr>
        <w:pStyle w:val="21"/>
        <w:spacing w:line="360" w:lineRule="auto"/>
        <w:rPr>
          <w:color w:val="auto"/>
          <w:highlight w:val="none"/>
        </w:rPr>
      </w:pPr>
    </w:p>
    <w:p w14:paraId="1D6431E9">
      <w:pPr>
        <w:spacing w:line="360" w:lineRule="auto"/>
        <w:jc w:val="left"/>
        <w:rPr>
          <w:color w:val="auto"/>
          <w:sz w:val="24"/>
          <w:highlight w:val="none"/>
        </w:rPr>
      </w:pPr>
    </w:p>
    <w:p w14:paraId="2B3DFE00">
      <w:pPr>
        <w:autoSpaceDE w:val="0"/>
        <w:autoSpaceDN w:val="0"/>
        <w:adjustRightInd w:val="0"/>
        <w:spacing w:line="360" w:lineRule="auto"/>
        <w:jc w:val="left"/>
        <w:rPr>
          <w:rFonts w:ascii="宋体" w:cs="宋体"/>
          <w:color w:val="auto"/>
          <w:kern w:val="0"/>
          <w:sz w:val="24"/>
          <w:highlight w:val="none"/>
        </w:rPr>
      </w:pPr>
    </w:p>
    <w:p w14:paraId="602B9742">
      <w:pPr>
        <w:spacing w:line="360" w:lineRule="auto"/>
        <w:jc w:val="left"/>
        <w:rPr>
          <w:color w:val="auto"/>
          <w:sz w:val="24"/>
          <w:highlight w:val="none"/>
        </w:rPr>
      </w:pPr>
    </w:p>
    <w:p w14:paraId="53C20298">
      <w:pPr>
        <w:autoSpaceDE w:val="0"/>
        <w:autoSpaceDN w:val="0"/>
        <w:adjustRightInd w:val="0"/>
        <w:spacing w:line="360" w:lineRule="auto"/>
        <w:jc w:val="left"/>
        <w:rPr>
          <w:rFonts w:ascii="宋体" w:cs="宋体"/>
          <w:color w:val="auto"/>
          <w:kern w:val="0"/>
          <w:sz w:val="24"/>
          <w:highlight w:val="none"/>
        </w:rPr>
      </w:pPr>
    </w:p>
    <w:p w14:paraId="1D2B239D">
      <w:pPr>
        <w:widowControl/>
        <w:spacing w:line="360" w:lineRule="auto"/>
        <w:jc w:val="center"/>
        <w:outlineLvl w:val="2"/>
        <w:rPr>
          <w:rFonts w:ascii="宋体" w:cs="宋体"/>
          <w:b/>
          <w:bCs/>
          <w:color w:val="auto"/>
          <w:sz w:val="24"/>
          <w:szCs w:val="21"/>
          <w:highlight w:val="none"/>
        </w:rPr>
      </w:pPr>
      <w:bookmarkStart w:id="556" w:name="_Toc873"/>
      <w:r>
        <w:rPr>
          <w:rFonts w:hint="eastAsia" w:ascii="宋体" w:hAnsi="宋体" w:cs="宋体"/>
          <w:b/>
          <w:bCs/>
          <w:color w:val="auto"/>
          <w:sz w:val="24"/>
          <w:szCs w:val="21"/>
          <w:highlight w:val="none"/>
        </w:rPr>
        <w:t>节能产品政府采购品目清单</w:t>
      </w:r>
      <w:bookmarkEnd w:id="556"/>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86"/>
        <w:gridCol w:w="1825"/>
        <w:gridCol w:w="1599"/>
        <w:gridCol w:w="2971"/>
      </w:tblGrid>
      <w:tr w14:paraId="6CE6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ED99D23">
            <w:pPr>
              <w:spacing w:line="360" w:lineRule="auto"/>
              <w:jc w:val="center"/>
              <w:rPr>
                <w:rFonts w:ascii="宋体" w:cs="宋体"/>
                <w:color w:val="auto"/>
                <w:szCs w:val="21"/>
                <w:highlight w:val="none"/>
              </w:rPr>
            </w:pPr>
            <w:r>
              <w:rPr>
                <w:rFonts w:hint="eastAsia" w:ascii="宋体" w:hAnsi="宋体" w:cs="宋体"/>
                <w:color w:val="auto"/>
                <w:szCs w:val="21"/>
                <w:highlight w:val="none"/>
              </w:rPr>
              <w:t>品目序号</w:t>
            </w:r>
          </w:p>
        </w:tc>
        <w:tc>
          <w:tcPr>
            <w:tcW w:w="2822" w:type="pct"/>
            <w:gridSpan w:val="3"/>
          </w:tcPr>
          <w:p w14:paraId="0D32C234">
            <w:pPr>
              <w:spacing w:line="360" w:lineRule="auto"/>
              <w:jc w:val="center"/>
              <w:rPr>
                <w:rFonts w:ascii="宋体" w:cs="宋体"/>
                <w:color w:val="auto"/>
                <w:szCs w:val="21"/>
                <w:highlight w:val="none"/>
              </w:rPr>
            </w:pPr>
            <w:r>
              <w:rPr>
                <w:rFonts w:hint="eastAsia" w:ascii="宋体" w:hAnsi="宋体" w:cs="宋体"/>
                <w:color w:val="auto"/>
                <w:szCs w:val="21"/>
                <w:highlight w:val="none"/>
              </w:rPr>
              <w:t>名称</w:t>
            </w:r>
          </w:p>
        </w:tc>
        <w:tc>
          <w:tcPr>
            <w:tcW w:w="1743" w:type="pct"/>
          </w:tcPr>
          <w:p w14:paraId="72D95981">
            <w:pPr>
              <w:spacing w:line="360" w:lineRule="auto"/>
              <w:jc w:val="center"/>
              <w:rPr>
                <w:rFonts w:ascii="宋体" w:cs="宋体"/>
                <w:color w:val="auto"/>
                <w:szCs w:val="21"/>
                <w:highlight w:val="none"/>
              </w:rPr>
            </w:pPr>
            <w:r>
              <w:rPr>
                <w:rFonts w:hint="eastAsia" w:ascii="宋体" w:hAnsi="宋体" w:cs="宋体"/>
                <w:color w:val="auto"/>
                <w:szCs w:val="21"/>
                <w:highlight w:val="none"/>
              </w:rPr>
              <w:t>依据的标准</w:t>
            </w:r>
          </w:p>
        </w:tc>
      </w:tr>
      <w:tr w14:paraId="43D1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14:paraId="7D645A2E">
            <w:pPr>
              <w:spacing w:line="360" w:lineRule="auto"/>
              <w:rPr>
                <w:rFonts w:ascii="宋体" w:cs="宋体"/>
                <w:color w:val="auto"/>
                <w:szCs w:val="21"/>
                <w:highlight w:val="none"/>
              </w:rPr>
            </w:pPr>
          </w:p>
          <w:p w14:paraId="51EF7F2B">
            <w:pPr>
              <w:spacing w:line="360" w:lineRule="auto"/>
              <w:rPr>
                <w:rFonts w:ascii="宋体" w:cs="宋体"/>
                <w:color w:val="auto"/>
                <w:szCs w:val="21"/>
                <w:highlight w:val="none"/>
              </w:rPr>
            </w:pPr>
            <w:r>
              <w:rPr>
                <w:rFonts w:ascii="宋体" w:hAnsi="宋体" w:cs="宋体"/>
                <w:color w:val="auto"/>
                <w:szCs w:val="21"/>
                <w:highlight w:val="none"/>
              </w:rPr>
              <w:t>1</w:t>
            </w:r>
          </w:p>
        </w:tc>
        <w:tc>
          <w:tcPr>
            <w:tcW w:w="813" w:type="pct"/>
            <w:vMerge w:val="restart"/>
          </w:tcPr>
          <w:p w14:paraId="44ECF3F4">
            <w:pPr>
              <w:spacing w:line="360" w:lineRule="auto"/>
              <w:rPr>
                <w:rFonts w:ascii="宋体" w:cs="宋体"/>
                <w:color w:val="auto"/>
                <w:szCs w:val="21"/>
                <w:highlight w:val="none"/>
              </w:rPr>
            </w:pPr>
          </w:p>
          <w:p w14:paraId="016F8D40">
            <w:pPr>
              <w:spacing w:line="360" w:lineRule="auto"/>
              <w:rPr>
                <w:rFonts w:ascii="宋体" w:cs="宋体"/>
                <w:color w:val="auto"/>
                <w:szCs w:val="21"/>
                <w:highlight w:val="none"/>
              </w:rPr>
            </w:pPr>
          </w:p>
          <w:p w14:paraId="1C3EBEAF">
            <w:pPr>
              <w:spacing w:line="360" w:lineRule="auto"/>
              <w:rPr>
                <w:rFonts w:ascii="宋体" w:cs="宋体"/>
                <w:color w:val="auto"/>
                <w:szCs w:val="21"/>
                <w:highlight w:val="none"/>
              </w:rPr>
            </w:pPr>
            <w:r>
              <w:rPr>
                <w:rFonts w:ascii="宋体" w:hAnsi="宋体" w:cs="宋体"/>
                <w:color w:val="auto"/>
                <w:szCs w:val="21"/>
                <w:highlight w:val="none"/>
              </w:rPr>
              <w:t>A020101</w:t>
            </w:r>
            <w:r>
              <w:rPr>
                <w:rFonts w:hint="eastAsia" w:ascii="宋体" w:hAnsi="宋体" w:cs="宋体"/>
                <w:color w:val="auto"/>
                <w:szCs w:val="21"/>
                <w:highlight w:val="none"/>
              </w:rPr>
              <w:t>计算机设备</w:t>
            </w:r>
          </w:p>
          <w:p w14:paraId="0DFC69B4">
            <w:pPr>
              <w:spacing w:line="360" w:lineRule="auto"/>
              <w:rPr>
                <w:rFonts w:ascii="宋体" w:cs="宋体"/>
                <w:color w:val="auto"/>
                <w:szCs w:val="21"/>
                <w:highlight w:val="none"/>
              </w:rPr>
            </w:pPr>
          </w:p>
          <w:p w14:paraId="6B660D6E">
            <w:pPr>
              <w:spacing w:line="360" w:lineRule="auto"/>
              <w:rPr>
                <w:rFonts w:ascii="宋体" w:cs="宋体"/>
                <w:color w:val="auto"/>
                <w:szCs w:val="21"/>
                <w:highlight w:val="none"/>
              </w:rPr>
            </w:pPr>
          </w:p>
        </w:tc>
        <w:tc>
          <w:tcPr>
            <w:tcW w:w="1071" w:type="pct"/>
          </w:tcPr>
          <w:p w14:paraId="7F7D3E71">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A02010104</w:t>
            </w:r>
            <w:r>
              <w:rPr>
                <w:rFonts w:hint="eastAsia" w:ascii="宋体" w:hAnsi="宋体" w:cs="宋体"/>
                <w:color w:val="auto"/>
                <w:szCs w:val="21"/>
                <w:highlight w:val="none"/>
              </w:rPr>
              <w:t>台式计算机</w:t>
            </w:r>
          </w:p>
        </w:tc>
        <w:tc>
          <w:tcPr>
            <w:tcW w:w="937" w:type="pct"/>
          </w:tcPr>
          <w:p w14:paraId="0466E578">
            <w:pPr>
              <w:spacing w:line="360" w:lineRule="auto"/>
              <w:rPr>
                <w:rFonts w:ascii="宋体" w:cs="宋体"/>
                <w:color w:val="auto"/>
                <w:szCs w:val="21"/>
                <w:highlight w:val="none"/>
              </w:rPr>
            </w:pPr>
          </w:p>
        </w:tc>
        <w:tc>
          <w:tcPr>
            <w:tcW w:w="1743" w:type="pct"/>
          </w:tcPr>
          <w:p w14:paraId="72D763F6">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14:paraId="1C5C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59D91F42">
            <w:pPr>
              <w:spacing w:line="360" w:lineRule="auto"/>
              <w:rPr>
                <w:rFonts w:ascii="宋体" w:cs="宋体"/>
                <w:color w:val="auto"/>
                <w:szCs w:val="21"/>
                <w:highlight w:val="none"/>
              </w:rPr>
            </w:pPr>
          </w:p>
        </w:tc>
        <w:tc>
          <w:tcPr>
            <w:tcW w:w="813" w:type="pct"/>
            <w:vMerge w:val="continue"/>
          </w:tcPr>
          <w:p w14:paraId="0E21C5FE">
            <w:pPr>
              <w:spacing w:line="360" w:lineRule="auto"/>
              <w:rPr>
                <w:rFonts w:ascii="宋体" w:cs="宋体"/>
                <w:color w:val="auto"/>
                <w:szCs w:val="21"/>
                <w:highlight w:val="none"/>
              </w:rPr>
            </w:pPr>
          </w:p>
        </w:tc>
        <w:tc>
          <w:tcPr>
            <w:tcW w:w="1071" w:type="pct"/>
          </w:tcPr>
          <w:p w14:paraId="0C5C5F50">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A02010105</w:t>
            </w:r>
            <w:r>
              <w:rPr>
                <w:rFonts w:hint="eastAsia" w:ascii="宋体" w:hAnsi="宋体" w:cs="宋体"/>
                <w:color w:val="auto"/>
                <w:szCs w:val="21"/>
                <w:highlight w:val="none"/>
              </w:rPr>
              <w:t>便携式计算机</w:t>
            </w:r>
          </w:p>
        </w:tc>
        <w:tc>
          <w:tcPr>
            <w:tcW w:w="937" w:type="pct"/>
          </w:tcPr>
          <w:p w14:paraId="3A0D2142">
            <w:pPr>
              <w:spacing w:line="360" w:lineRule="auto"/>
              <w:rPr>
                <w:rFonts w:ascii="宋体" w:cs="宋体"/>
                <w:color w:val="auto"/>
                <w:szCs w:val="21"/>
                <w:highlight w:val="none"/>
              </w:rPr>
            </w:pPr>
          </w:p>
        </w:tc>
        <w:tc>
          <w:tcPr>
            <w:tcW w:w="1743" w:type="pct"/>
          </w:tcPr>
          <w:p w14:paraId="50E9308A">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14:paraId="2009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7A1D015C">
            <w:pPr>
              <w:spacing w:line="360" w:lineRule="auto"/>
              <w:rPr>
                <w:rFonts w:ascii="宋体" w:cs="宋体"/>
                <w:color w:val="auto"/>
                <w:szCs w:val="21"/>
                <w:highlight w:val="none"/>
              </w:rPr>
            </w:pPr>
          </w:p>
        </w:tc>
        <w:tc>
          <w:tcPr>
            <w:tcW w:w="813" w:type="pct"/>
            <w:vMerge w:val="continue"/>
          </w:tcPr>
          <w:p w14:paraId="2426376C">
            <w:pPr>
              <w:spacing w:line="360" w:lineRule="auto"/>
              <w:rPr>
                <w:rFonts w:ascii="宋体" w:cs="宋体"/>
                <w:color w:val="auto"/>
                <w:szCs w:val="21"/>
                <w:highlight w:val="none"/>
              </w:rPr>
            </w:pPr>
          </w:p>
        </w:tc>
        <w:tc>
          <w:tcPr>
            <w:tcW w:w="1071" w:type="pct"/>
          </w:tcPr>
          <w:p w14:paraId="19C6F97C">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A02010107</w:t>
            </w:r>
            <w:r>
              <w:rPr>
                <w:rFonts w:hint="eastAsia" w:ascii="宋体" w:hAnsi="宋体" w:cs="宋体"/>
                <w:color w:val="auto"/>
                <w:szCs w:val="21"/>
                <w:highlight w:val="none"/>
              </w:rPr>
              <w:t>平板式微型计算机</w:t>
            </w:r>
          </w:p>
        </w:tc>
        <w:tc>
          <w:tcPr>
            <w:tcW w:w="937" w:type="pct"/>
          </w:tcPr>
          <w:p w14:paraId="1C3069EE">
            <w:pPr>
              <w:spacing w:line="360" w:lineRule="auto"/>
              <w:rPr>
                <w:rFonts w:ascii="宋体" w:cs="宋体"/>
                <w:color w:val="auto"/>
                <w:szCs w:val="21"/>
                <w:highlight w:val="none"/>
              </w:rPr>
            </w:pPr>
          </w:p>
        </w:tc>
        <w:tc>
          <w:tcPr>
            <w:tcW w:w="1743" w:type="pct"/>
          </w:tcPr>
          <w:p w14:paraId="7E9D9DA5">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14:paraId="2359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Merge w:val="restart"/>
          </w:tcPr>
          <w:p w14:paraId="4F5DE32D">
            <w:pPr>
              <w:spacing w:line="360" w:lineRule="auto"/>
              <w:rPr>
                <w:rFonts w:ascii="宋体" w:cs="宋体"/>
                <w:color w:val="auto"/>
                <w:szCs w:val="21"/>
                <w:highlight w:val="none"/>
              </w:rPr>
            </w:pPr>
          </w:p>
          <w:p w14:paraId="063872E1">
            <w:pPr>
              <w:spacing w:line="360" w:lineRule="auto"/>
              <w:rPr>
                <w:rFonts w:ascii="宋体" w:cs="宋体"/>
                <w:color w:val="auto"/>
                <w:szCs w:val="21"/>
                <w:highlight w:val="none"/>
              </w:rPr>
            </w:pPr>
          </w:p>
          <w:p w14:paraId="46434EC2">
            <w:pPr>
              <w:spacing w:line="360" w:lineRule="auto"/>
              <w:rPr>
                <w:rFonts w:ascii="宋体" w:cs="宋体"/>
                <w:color w:val="auto"/>
                <w:szCs w:val="21"/>
                <w:highlight w:val="none"/>
              </w:rPr>
            </w:pPr>
            <w:r>
              <w:rPr>
                <w:rFonts w:ascii="宋体" w:hAnsi="宋体" w:cs="宋体"/>
                <w:color w:val="auto"/>
                <w:szCs w:val="21"/>
                <w:highlight w:val="none"/>
              </w:rPr>
              <w:t>2</w:t>
            </w:r>
          </w:p>
        </w:tc>
        <w:tc>
          <w:tcPr>
            <w:tcW w:w="813" w:type="pct"/>
            <w:vMerge w:val="restart"/>
          </w:tcPr>
          <w:p w14:paraId="22922814">
            <w:pPr>
              <w:spacing w:line="360" w:lineRule="auto"/>
              <w:rPr>
                <w:rFonts w:ascii="宋体" w:cs="宋体"/>
                <w:color w:val="auto"/>
                <w:szCs w:val="21"/>
                <w:highlight w:val="none"/>
              </w:rPr>
            </w:pPr>
          </w:p>
          <w:p w14:paraId="278819E0">
            <w:pPr>
              <w:spacing w:line="360" w:lineRule="auto"/>
              <w:rPr>
                <w:rFonts w:ascii="宋体" w:cs="宋体"/>
                <w:color w:val="auto"/>
                <w:szCs w:val="21"/>
                <w:highlight w:val="none"/>
              </w:rPr>
            </w:pPr>
            <w:r>
              <w:rPr>
                <w:rFonts w:ascii="宋体" w:hAnsi="宋体" w:cs="宋体"/>
                <w:color w:val="auto"/>
                <w:szCs w:val="21"/>
                <w:highlight w:val="none"/>
              </w:rPr>
              <w:t>A020106</w:t>
            </w:r>
            <w:r>
              <w:rPr>
                <w:rFonts w:hint="eastAsia" w:ascii="宋体" w:hAnsi="宋体" w:cs="宋体"/>
                <w:color w:val="auto"/>
                <w:szCs w:val="21"/>
                <w:highlight w:val="none"/>
              </w:rPr>
              <w:t>输入输出设备</w:t>
            </w:r>
          </w:p>
          <w:p w14:paraId="422EE177">
            <w:pPr>
              <w:spacing w:line="360" w:lineRule="auto"/>
              <w:rPr>
                <w:rFonts w:ascii="宋体" w:cs="宋体"/>
                <w:color w:val="auto"/>
                <w:szCs w:val="21"/>
                <w:highlight w:val="none"/>
              </w:rPr>
            </w:pPr>
          </w:p>
        </w:tc>
        <w:tc>
          <w:tcPr>
            <w:tcW w:w="1071" w:type="pct"/>
            <w:vMerge w:val="restart"/>
          </w:tcPr>
          <w:p w14:paraId="0F8B9C07">
            <w:pPr>
              <w:spacing w:line="360" w:lineRule="auto"/>
              <w:rPr>
                <w:rFonts w:ascii="宋体" w:cs="宋体"/>
                <w:color w:val="auto"/>
                <w:szCs w:val="21"/>
                <w:highlight w:val="none"/>
              </w:rPr>
            </w:pPr>
          </w:p>
          <w:p w14:paraId="5096B96F">
            <w:pPr>
              <w:spacing w:line="360" w:lineRule="auto"/>
              <w:rPr>
                <w:rFonts w:ascii="宋体" w:cs="宋体"/>
                <w:color w:val="auto"/>
                <w:szCs w:val="21"/>
                <w:highlight w:val="none"/>
              </w:rPr>
            </w:pPr>
          </w:p>
          <w:p w14:paraId="6565D29D">
            <w:pPr>
              <w:spacing w:line="360" w:lineRule="auto"/>
              <w:rPr>
                <w:rFonts w:ascii="宋体" w:cs="宋体"/>
                <w:color w:val="auto"/>
                <w:szCs w:val="21"/>
                <w:highlight w:val="none"/>
              </w:rPr>
            </w:pPr>
            <w:r>
              <w:rPr>
                <w:rFonts w:ascii="宋体" w:hAnsi="宋体" w:cs="宋体"/>
                <w:color w:val="auto"/>
                <w:szCs w:val="21"/>
                <w:highlight w:val="none"/>
              </w:rPr>
              <w:t>A02010601</w:t>
            </w:r>
            <w:r>
              <w:rPr>
                <w:rFonts w:hint="eastAsia" w:ascii="宋体" w:hAnsi="宋体" w:cs="宋体"/>
                <w:color w:val="auto"/>
                <w:szCs w:val="21"/>
                <w:highlight w:val="none"/>
              </w:rPr>
              <w:t>打印设备</w:t>
            </w:r>
          </w:p>
        </w:tc>
        <w:tc>
          <w:tcPr>
            <w:tcW w:w="937" w:type="pct"/>
          </w:tcPr>
          <w:p w14:paraId="56BA5507">
            <w:pPr>
              <w:spacing w:line="360" w:lineRule="auto"/>
              <w:rPr>
                <w:rFonts w:ascii="宋体" w:cs="宋体"/>
                <w:color w:val="auto"/>
                <w:szCs w:val="21"/>
                <w:highlight w:val="none"/>
              </w:rPr>
            </w:pPr>
            <w:r>
              <w:rPr>
                <w:rFonts w:ascii="宋体" w:hAnsi="宋体" w:cs="宋体"/>
                <w:color w:val="auto"/>
                <w:szCs w:val="21"/>
                <w:highlight w:val="none"/>
              </w:rPr>
              <w:t xml:space="preserve">A0201060101 </w:t>
            </w:r>
            <w:r>
              <w:rPr>
                <w:rFonts w:hint="eastAsia" w:ascii="宋体" w:hAnsi="宋体" w:cs="宋体"/>
                <w:color w:val="auto"/>
                <w:szCs w:val="21"/>
                <w:highlight w:val="none"/>
              </w:rPr>
              <w:t>喷墨打印机</w:t>
            </w:r>
          </w:p>
        </w:tc>
        <w:tc>
          <w:tcPr>
            <w:tcW w:w="1743" w:type="pct"/>
          </w:tcPr>
          <w:p w14:paraId="1AD9E078">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14:paraId="485D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0F82846C">
            <w:pPr>
              <w:spacing w:line="360" w:lineRule="auto"/>
              <w:rPr>
                <w:rFonts w:ascii="宋体" w:cs="宋体"/>
                <w:color w:val="auto"/>
                <w:szCs w:val="21"/>
                <w:highlight w:val="none"/>
              </w:rPr>
            </w:pPr>
          </w:p>
        </w:tc>
        <w:tc>
          <w:tcPr>
            <w:tcW w:w="813" w:type="pct"/>
            <w:vMerge w:val="continue"/>
          </w:tcPr>
          <w:p w14:paraId="3B371698">
            <w:pPr>
              <w:spacing w:line="360" w:lineRule="auto"/>
              <w:rPr>
                <w:rFonts w:ascii="宋体" w:cs="宋体"/>
                <w:color w:val="auto"/>
                <w:szCs w:val="21"/>
                <w:highlight w:val="none"/>
              </w:rPr>
            </w:pPr>
          </w:p>
        </w:tc>
        <w:tc>
          <w:tcPr>
            <w:tcW w:w="1071" w:type="pct"/>
            <w:vMerge w:val="continue"/>
          </w:tcPr>
          <w:p w14:paraId="5408D888">
            <w:pPr>
              <w:spacing w:line="360" w:lineRule="auto"/>
              <w:rPr>
                <w:rFonts w:ascii="宋体" w:cs="宋体"/>
                <w:color w:val="auto"/>
                <w:szCs w:val="21"/>
                <w:highlight w:val="none"/>
              </w:rPr>
            </w:pPr>
          </w:p>
        </w:tc>
        <w:tc>
          <w:tcPr>
            <w:tcW w:w="937" w:type="pct"/>
          </w:tcPr>
          <w:p w14:paraId="21B14532">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A0201060102 </w:t>
            </w:r>
            <w:r>
              <w:rPr>
                <w:rFonts w:hint="eastAsia" w:ascii="宋体" w:hAnsi="宋体" w:cs="宋体"/>
                <w:color w:val="auto"/>
                <w:szCs w:val="21"/>
                <w:highlight w:val="none"/>
              </w:rPr>
              <w:t>激光打印机</w:t>
            </w:r>
          </w:p>
        </w:tc>
        <w:tc>
          <w:tcPr>
            <w:tcW w:w="1743" w:type="pct"/>
          </w:tcPr>
          <w:p w14:paraId="035B7C4B">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14:paraId="771F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7BD79BEC">
            <w:pPr>
              <w:spacing w:line="360" w:lineRule="auto"/>
              <w:rPr>
                <w:rFonts w:ascii="宋体" w:cs="宋体"/>
                <w:color w:val="auto"/>
                <w:szCs w:val="21"/>
                <w:highlight w:val="none"/>
              </w:rPr>
            </w:pPr>
          </w:p>
        </w:tc>
        <w:tc>
          <w:tcPr>
            <w:tcW w:w="813" w:type="pct"/>
            <w:vMerge w:val="continue"/>
          </w:tcPr>
          <w:p w14:paraId="514D4367">
            <w:pPr>
              <w:spacing w:line="360" w:lineRule="auto"/>
              <w:rPr>
                <w:rFonts w:ascii="宋体" w:cs="宋体"/>
                <w:color w:val="auto"/>
                <w:szCs w:val="21"/>
                <w:highlight w:val="none"/>
              </w:rPr>
            </w:pPr>
          </w:p>
        </w:tc>
        <w:tc>
          <w:tcPr>
            <w:tcW w:w="1071" w:type="pct"/>
            <w:vMerge w:val="continue"/>
          </w:tcPr>
          <w:p w14:paraId="33462A7F">
            <w:pPr>
              <w:spacing w:line="360" w:lineRule="auto"/>
              <w:rPr>
                <w:rFonts w:ascii="宋体" w:cs="宋体"/>
                <w:color w:val="auto"/>
                <w:szCs w:val="21"/>
                <w:highlight w:val="none"/>
              </w:rPr>
            </w:pPr>
          </w:p>
        </w:tc>
        <w:tc>
          <w:tcPr>
            <w:tcW w:w="937" w:type="pct"/>
          </w:tcPr>
          <w:p w14:paraId="2394749F">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A0201060104 </w:t>
            </w:r>
            <w:r>
              <w:rPr>
                <w:rFonts w:hint="eastAsia" w:ascii="宋体" w:hAnsi="宋体" w:cs="宋体"/>
                <w:color w:val="auto"/>
                <w:szCs w:val="21"/>
                <w:highlight w:val="none"/>
              </w:rPr>
              <w:t>针式打印机</w:t>
            </w:r>
          </w:p>
        </w:tc>
        <w:tc>
          <w:tcPr>
            <w:tcW w:w="1743" w:type="pct"/>
          </w:tcPr>
          <w:p w14:paraId="6992AFA5">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14:paraId="6F44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6244D4CC">
            <w:pPr>
              <w:spacing w:line="360" w:lineRule="auto"/>
              <w:rPr>
                <w:rFonts w:ascii="宋体" w:cs="宋体"/>
                <w:color w:val="auto"/>
                <w:szCs w:val="21"/>
                <w:highlight w:val="none"/>
              </w:rPr>
            </w:pPr>
          </w:p>
        </w:tc>
        <w:tc>
          <w:tcPr>
            <w:tcW w:w="813" w:type="pct"/>
            <w:vMerge w:val="continue"/>
          </w:tcPr>
          <w:p w14:paraId="3A815852">
            <w:pPr>
              <w:spacing w:line="360" w:lineRule="auto"/>
              <w:rPr>
                <w:rFonts w:ascii="宋体" w:cs="宋体"/>
                <w:color w:val="auto"/>
                <w:szCs w:val="21"/>
                <w:highlight w:val="none"/>
              </w:rPr>
            </w:pPr>
          </w:p>
        </w:tc>
        <w:tc>
          <w:tcPr>
            <w:tcW w:w="1071" w:type="pct"/>
          </w:tcPr>
          <w:p w14:paraId="7D1BF1CB">
            <w:pPr>
              <w:spacing w:line="360" w:lineRule="auto"/>
              <w:rPr>
                <w:rFonts w:ascii="宋体" w:cs="宋体"/>
                <w:color w:val="auto"/>
                <w:szCs w:val="21"/>
                <w:highlight w:val="none"/>
              </w:rPr>
            </w:pPr>
            <w:r>
              <w:rPr>
                <w:rFonts w:ascii="宋体" w:hAnsi="宋体" w:cs="宋体"/>
                <w:color w:val="auto"/>
                <w:szCs w:val="21"/>
                <w:highlight w:val="none"/>
              </w:rPr>
              <w:t>A02010604</w:t>
            </w:r>
            <w:r>
              <w:rPr>
                <w:rFonts w:hint="eastAsia" w:ascii="宋体" w:hAnsi="宋体" w:cs="宋体"/>
                <w:color w:val="auto"/>
                <w:szCs w:val="21"/>
                <w:highlight w:val="none"/>
              </w:rPr>
              <w:t>显示设备</w:t>
            </w:r>
          </w:p>
        </w:tc>
        <w:tc>
          <w:tcPr>
            <w:tcW w:w="937" w:type="pct"/>
          </w:tcPr>
          <w:p w14:paraId="6848ED4D">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A0201060401 </w:t>
            </w:r>
            <w:r>
              <w:rPr>
                <w:rFonts w:hint="eastAsia" w:ascii="宋体" w:hAnsi="宋体" w:cs="宋体"/>
                <w:color w:val="auto"/>
                <w:szCs w:val="21"/>
                <w:highlight w:val="none"/>
              </w:rPr>
              <w:t>液晶显示器</w:t>
            </w:r>
          </w:p>
        </w:tc>
        <w:tc>
          <w:tcPr>
            <w:tcW w:w="1743" w:type="pct"/>
          </w:tcPr>
          <w:p w14:paraId="6C666111">
            <w:pPr>
              <w:spacing w:line="360" w:lineRule="auto"/>
              <w:rPr>
                <w:rFonts w:ascii="宋体" w:cs="宋体"/>
                <w:color w:val="auto"/>
                <w:szCs w:val="21"/>
                <w:highlight w:val="none"/>
              </w:rPr>
            </w:pPr>
            <w:r>
              <w:rPr>
                <w:rFonts w:hint="eastAsia" w:ascii="宋体" w:hAnsi="宋体" w:cs="宋体"/>
                <w:color w:val="auto"/>
                <w:szCs w:val="21"/>
                <w:highlight w:val="none"/>
              </w:rPr>
              <w:t>《计算机显示器能效限定值及能效等级》</w:t>
            </w:r>
            <w:r>
              <w:rPr>
                <w:rFonts w:ascii="宋体" w:hAnsi="宋体" w:cs="宋体"/>
                <w:color w:val="auto"/>
                <w:szCs w:val="21"/>
                <w:highlight w:val="none"/>
              </w:rPr>
              <w:t xml:space="preserve"> (GB 21520)</w:t>
            </w:r>
          </w:p>
        </w:tc>
      </w:tr>
      <w:tr w14:paraId="36DC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5A9BFA8D">
            <w:pPr>
              <w:spacing w:line="360" w:lineRule="auto"/>
              <w:rPr>
                <w:rFonts w:ascii="宋体" w:cs="宋体"/>
                <w:color w:val="auto"/>
                <w:szCs w:val="21"/>
                <w:highlight w:val="none"/>
              </w:rPr>
            </w:pPr>
          </w:p>
        </w:tc>
        <w:tc>
          <w:tcPr>
            <w:tcW w:w="813" w:type="pct"/>
            <w:vMerge w:val="continue"/>
          </w:tcPr>
          <w:p w14:paraId="3B80942F">
            <w:pPr>
              <w:spacing w:line="360" w:lineRule="auto"/>
              <w:rPr>
                <w:rFonts w:ascii="宋体" w:cs="宋体"/>
                <w:color w:val="auto"/>
                <w:szCs w:val="21"/>
                <w:highlight w:val="none"/>
              </w:rPr>
            </w:pPr>
          </w:p>
        </w:tc>
        <w:tc>
          <w:tcPr>
            <w:tcW w:w="1071" w:type="pct"/>
          </w:tcPr>
          <w:p w14:paraId="7FF371CB">
            <w:pPr>
              <w:spacing w:line="360" w:lineRule="auto"/>
              <w:rPr>
                <w:rFonts w:ascii="宋体" w:cs="宋体"/>
                <w:color w:val="auto"/>
                <w:szCs w:val="21"/>
                <w:highlight w:val="none"/>
              </w:rPr>
            </w:pPr>
          </w:p>
          <w:p w14:paraId="2002A46C">
            <w:pPr>
              <w:spacing w:line="360" w:lineRule="auto"/>
              <w:rPr>
                <w:rFonts w:ascii="宋体" w:cs="宋体"/>
                <w:color w:val="auto"/>
                <w:szCs w:val="21"/>
                <w:highlight w:val="none"/>
              </w:rPr>
            </w:pPr>
            <w:r>
              <w:rPr>
                <w:rFonts w:ascii="宋体" w:hAnsi="宋体" w:cs="宋体"/>
                <w:color w:val="auto"/>
                <w:szCs w:val="21"/>
                <w:highlight w:val="none"/>
              </w:rPr>
              <w:t>02010609</w:t>
            </w:r>
            <w:r>
              <w:rPr>
                <w:rFonts w:hint="eastAsia" w:ascii="宋体" w:hAnsi="宋体" w:cs="宋体"/>
                <w:color w:val="auto"/>
                <w:szCs w:val="21"/>
                <w:highlight w:val="none"/>
              </w:rPr>
              <w:t>图形图像输入设备</w:t>
            </w:r>
          </w:p>
        </w:tc>
        <w:tc>
          <w:tcPr>
            <w:tcW w:w="937" w:type="pct"/>
          </w:tcPr>
          <w:p w14:paraId="5E58575C">
            <w:pPr>
              <w:spacing w:line="360" w:lineRule="auto"/>
              <w:rPr>
                <w:rFonts w:ascii="宋体" w:cs="宋体"/>
                <w:color w:val="auto"/>
                <w:szCs w:val="21"/>
                <w:highlight w:val="none"/>
              </w:rPr>
            </w:pPr>
          </w:p>
          <w:p w14:paraId="0F24FE25">
            <w:pPr>
              <w:spacing w:line="360" w:lineRule="auto"/>
              <w:rPr>
                <w:rFonts w:ascii="宋体" w:cs="宋体"/>
                <w:color w:val="auto"/>
                <w:szCs w:val="21"/>
                <w:highlight w:val="none"/>
              </w:rPr>
            </w:pPr>
            <w:r>
              <w:rPr>
                <w:rFonts w:ascii="宋体" w:hAnsi="宋体" w:cs="宋体"/>
                <w:color w:val="auto"/>
                <w:szCs w:val="21"/>
                <w:highlight w:val="none"/>
              </w:rPr>
              <w:t>A0201060901</w:t>
            </w:r>
            <w:r>
              <w:rPr>
                <w:rFonts w:hint="eastAsia" w:ascii="宋体" w:hAnsi="宋体" w:cs="宋体"/>
                <w:color w:val="auto"/>
                <w:szCs w:val="21"/>
                <w:highlight w:val="none"/>
              </w:rPr>
              <w:t>扫描仪</w:t>
            </w:r>
          </w:p>
        </w:tc>
        <w:tc>
          <w:tcPr>
            <w:tcW w:w="1743" w:type="pct"/>
          </w:tcPr>
          <w:p w14:paraId="240F201F">
            <w:pPr>
              <w:spacing w:line="360" w:lineRule="auto"/>
              <w:rPr>
                <w:rFonts w:ascii="宋体" w:cs="宋体"/>
                <w:color w:val="auto"/>
                <w:szCs w:val="21"/>
                <w:highlight w:val="none"/>
              </w:rPr>
            </w:pPr>
            <w:r>
              <w:rPr>
                <w:rFonts w:hint="eastAsia" w:ascii="宋体" w:hAnsi="宋体" w:cs="宋体"/>
                <w:color w:val="auto"/>
                <w:szCs w:val="21"/>
                <w:highlight w:val="none"/>
              </w:rPr>
              <w:t>参照</w:t>
            </w:r>
            <w:r>
              <w:rPr>
                <w:rFonts w:ascii="宋体" w:hAnsi="宋体" w:cs="宋体"/>
                <w:color w:val="auto"/>
                <w:szCs w:val="21"/>
                <w:highlight w:val="none"/>
              </w:rPr>
              <w:t>(</w:t>
            </w: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(GB 21521) </w:t>
            </w:r>
            <w:r>
              <w:rPr>
                <w:rFonts w:hint="eastAsia" w:ascii="宋体" w:hAnsi="宋体" w:cs="宋体"/>
                <w:color w:val="auto"/>
                <w:szCs w:val="21"/>
                <w:highlight w:val="none"/>
              </w:rPr>
              <w:t>中打印速度为</w:t>
            </w:r>
            <w:r>
              <w:rPr>
                <w:rFonts w:ascii="宋体" w:hAnsi="宋体" w:cs="宋体"/>
                <w:color w:val="auto"/>
                <w:szCs w:val="21"/>
                <w:highlight w:val="none"/>
              </w:rPr>
              <w:t xml:space="preserve">15 </w:t>
            </w:r>
            <w:r>
              <w:rPr>
                <w:rFonts w:hint="eastAsia" w:ascii="宋体" w:hAnsi="宋体" w:cs="宋体"/>
                <w:color w:val="auto"/>
                <w:szCs w:val="21"/>
                <w:highlight w:val="none"/>
              </w:rPr>
              <w:t>页</w:t>
            </w:r>
            <w:r>
              <w:rPr>
                <w:rFonts w:ascii="宋体" w:hAnsi="宋体" w:cs="宋体"/>
                <w:color w:val="auto"/>
                <w:szCs w:val="21"/>
                <w:highlight w:val="none"/>
              </w:rPr>
              <w:t>/</w:t>
            </w:r>
            <w:r>
              <w:rPr>
                <w:rFonts w:hint="eastAsia" w:ascii="宋体" w:hAnsi="宋体" w:cs="宋体"/>
                <w:color w:val="auto"/>
                <w:szCs w:val="21"/>
                <w:highlight w:val="none"/>
              </w:rPr>
              <w:t>分的针式打印机相关要求</w:t>
            </w:r>
          </w:p>
        </w:tc>
      </w:tr>
      <w:tr w14:paraId="7B05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3" w:type="pct"/>
          </w:tcPr>
          <w:p w14:paraId="72C10F19">
            <w:pPr>
              <w:spacing w:line="360" w:lineRule="auto"/>
              <w:rPr>
                <w:rFonts w:ascii="宋体" w:cs="宋体"/>
                <w:color w:val="auto"/>
                <w:szCs w:val="21"/>
                <w:highlight w:val="none"/>
              </w:rPr>
            </w:pPr>
            <w:r>
              <w:rPr>
                <w:rFonts w:ascii="宋体" w:hAnsi="宋体" w:cs="宋体"/>
                <w:color w:val="auto"/>
                <w:szCs w:val="21"/>
                <w:highlight w:val="none"/>
              </w:rPr>
              <w:t>3</w:t>
            </w:r>
          </w:p>
        </w:tc>
        <w:tc>
          <w:tcPr>
            <w:tcW w:w="813" w:type="pct"/>
            <w:vMerge w:val="restart"/>
          </w:tcPr>
          <w:p w14:paraId="03DD2327">
            <w:pPr>
              <w:spacing w:line="360" w:lineRule="auto"/>
              <w:rPr>
                <w:rFonts w:ascii="宋体" w:cs="宋体"/>
                <w:color w:val="auto"/>
                <w:szCs w:val="21"/>
                <w:highlight w:val="none"/>
              </w:rPr>
            </w:pPr>
            <w:r>
              <w:rPr>
                <w:rFonts w:ascii="宋体" w:hAnsi="宋体" w:cs="宋体"/>
                <w:color w:val="auto"/>
                <w:szCs w:val="21"/>
                <w:highlight w:val="none"/>
              </w:rPr>
              <w:t>4020202</w:t>
            </w:r>
            <w:r>
              <w:rPr>
                <w:rFonts w:hint="eastAsia" w:ascii="宋体" w:hAnsi="宋体" w:cs="宋体"/>
                <w:color w:val="auto"/>
                <w:szCs w:val="21"/>
                <w:highlight w:val="none"/>
              </w:rPr>
              <w:t>投影仪</w:t>
            </w:r>
          </w:p>
          <w:p w14:paraId="53F657B1">
            <w:pPr>
              <w:spacing w:line="360" w:lineRule="auto"/>
              <w:rPr>
                <w:rFonts w:ascii="宋体" w:cs="宋体"/>
                <w:color w:val="auto"/>
                <w:szCs w:val="21"/>
                <w:highlight w:val="none"/>
              </w:rPr>
            </w:pPr>
            <w:r>
              <w:rPr>
                <w:rFonts w:ascii="宋体" w:hAnsi="宋体" w:cs="宋体"/>
                <w:color w:val="auto"/>
                <w:szCs w:val="21"/>
                <w:highlight w:val="none"/>
              </w:rPr>
              <w:t>4020204</w:t>
            </w:r>
            <w:r>
              <w:rPr>
                <w:rFonts w:hint="eastAsia" w:ascii="宋体" w:hAnsi="宋体" w:cs="宋体"/>
                <w:color w:val="auto"/>
                <w:szCs w:val="21"/>
                <w:highlight w:val="none"/>
              </w:rPr>
              <w:t>多功能一体机</w:t>
            </w:r>
          </w:p>
        </w:tc>
        <w:tc>
          <w:tcPr>
            <w:tcW w:w="1071" w:type="pct"/>
          </w:tcPr>
          <w:p w14:paraId="4AF442D2">
            <w:pPr>
              <w:spacing w:line="360" w:lineRule="auto"/>
              <w:rPr>
                <w:rFonts w:ascii="宋体" w:cs="宋体"/>
                <w:color w:val="auto"/>
                <w:szCs w:val="21"/>
                <w:highlight w:val="none"/>
              </w:rPr>
            </w:pPr>
          </w:p>
        </w:tc>
        <w:tc>
          <w:tcPr>
            <w:tcW w:w="937" w:type="pct"/>
          </w:tcPr>
          <w:p w14:paraId="1DAA77E3">
            <w:pPr>
              <w:spacing w:line="360" w:lineRule="auto"/>
              <w:rPr>
                <w:rFonts w:ascii="宋体" w:cs="宋体"/>
                <w:color w:val="auto"/>
                <w:szCs w:val="21"/>
                <w:highlight w:val="none"/>
              </w:rPr>
            </w:pPr>
          </w:p>
        </w:tc>
        <w:tc>
          <w:tcPr>
            <w:tcW w:w="1743" w:type="pct"/>
          </w:tcPr>
          <w:p w14:paraId="47FE5DB2">
            <w:pPr>
              <w:spacing w:line="360" w:lineRule="auto"/>
              <w:rPr>
                <w:rFonts w:ascii="宋体" w:cs="宋体"/>
                <w:color w:val="auto"/>
                <w:szCs w:val="21"/>
                <w:highlight w:val="none"/>
              </w:rPr>
            </w:pPr>
            <w:r>
              <w:rPr>
                <w:rFonts w:hint="eastAsia" w:ascii="宋体" w:hAnsi="宋体" w:cs="宋体"/>
                <w:color w:val="auto"/>
                <w:szCs w:val="21"/>
                <w:highlight w:val="none"/>
              </w:rPr>
              <w:t>《投影机能效限定值及能效等级》</w:t>
            </w:r>
            <w:r>
              <w:rPr>
                <w:rFonts w:ascii="宋体" w:hAnsi="宋体" w:cs="宋体"/>
                <w:color w:val="auto"/>
                <w:szCs w:val="21"/>
                <w:highlight w:val="none"/>
              </w:rPr>
              <w:t xml:space="preserve">      (CB 32028)</w:t>
            </w:r>
          </w:p>
        </w:tc>
      </w:tr>
      <w:tr w14:paraId="4AC9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33" w:type="pct"/>
          </w:tcPr>
          <w:p w14:paraId="7133BED3">
            <w:pPr>
              <w:spacing w:line="360" w:lineRule="auto"/>
              <w:rPr>
                <w:rFonts w:ascii="宋体" w:cs="宋体"/>
                <w:color w:val="auto"/>
                <w:szCs w:val="21"/>
                <w:highlight w:val="none"/>
              </w:rPr>
            </w:pPr>
            <w:r>
              <w:rPr>
                <w:rFonts w:ascii="宋体" w:hAnsi="宋体" w:cs="宋体"/>
                <w:color w:val="auto"/>
                <w:szCs w:val="21"/>
                <w:highlight w:val="none"/>
              </w:rPr>
              <w:t>4</w:t>
            </w:r>
          </w:p>
        </w:tc>
        <w:tc>
          <w:tcPr>
            <w:tcW w:w="813" w:type="pct"/>
            <w:vMerge w:val="continue"/>
          </w:tcPr>
          <w:p w14:paraId="7A7429BD">
            <w:pPr>
              <w:spacing w:line="360" w:lineRule="auto"/>
              <w:rPr>
                <w:rFonts w:ascii="宋体" w:cs="宋体"/>
                <w:color w:val="auto"/>
                <w:szCs w:val="21"/>
                <w:highlight w:val="none"/>
              </w:rPr>
            </w:pPr>
          </w:p>
        </w:tc>
        <w:tc>
          <w:tcPr>
            <w:tcW w:w="1071" w:type="pct"/>
          </w:tcPr>
          <w:p w14:paraId="52441ED2">
            <w:pPr>
              <w:spacing w:line="360" w:lineRule="auto"/>
              <w:rPr>
                <w:rFonts w:ascii="宋体" w:cs="宋体"/>
                <w:color w:val="auto"/>
                <w:szCs w:val="21"/>
                <w:highlight w:val="none"/>
              </w:rPr>
            </w:pPr>
          </w:p>
        </w:tc>
        <w:tc>
          <w:tcPr>
            <w:tcW w:w="937" w:type="pct"/>
          </w:tcPr>
          <w:p w14:paraId="3984BAB6">
            <w:pPr>
              <w:spacing w:line="360" w:lineRule="auto"/>
              <w:rPr>
                <w:rFonts w:ascii="宋体" w:cs="宋体"/>
                <w:color w:val="auto"/>
                <w:szCs w:val="21"/>
                <w:highlight w:val="none"/>
              </w:rPr>
            </w:pPr>
          </w:p>
        </w:tc>
        <w:tc>
          <w:tcPr>
            <w:tcW w:w="1743" w:type="pct"/>
          </w:tcPr>
          <w:p w14:paraId="637829C4">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定值及能效等级》</w:t>
            </w:r>
            <w:r>
              <w:rPr>
                <w:rFonts w:ascii="宋体" w:hAnsi="宋体" w:cs="宋体"/>
                <w:color w:val="auto"/>
                <w:szCs w:val="21"/>
                <w:highlight w:val="none"/>
              </w:rPr>
              <w:t xml:space="preserve"> (GB 21521)</w:t>
            </w:r>
          </w:p>
        </w:tc>
      </w:tr>
      <w:tr w14:paraId="2F0C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14CD342">
            <w:pPr>
              <w:spacing w:line="360" w:lineRule="auto"/>
              <w:rPr>
                <w:rFonts w:ascii="宋体" w:cs="宋体"/>
                <w:color w:val="auto"/>
                <w:szCs w:val="21"/>
                <w:highlight w:val="none"/>
              </w:rPr>
            </w:pPr>
            <w:r>
              <w:rPr>
                <w:rFonts w:ascii="宋体" w:hAnsi="宋体" w:cs="宋体"/>
                <w:color w:val="auto"/>
                <w:szCs w:val="21"/>
                <w:highlight w:val="none"/>
              </w:rPr>
              <w:t>5</w:t>
            </w:r>
          </w:p>
        </w:tc>
        <w:tc>
          <w:tcPr>
            <w:tcW w:w="813" w:type="pct"/>
          </w:tcPr>
          <w:p w14:paraId="78BAD306">
            <w:pPr>
              <w:spacing w:line="360" w:lineRule="auto"/>
              <w:rPr>
                <w:rFonts w:ascii="宋体" w:cs="宋体"/>
                <w:color w:val="auto"/>
                <w:szCs w:val="21"/>
                <w:highlight w:val="none"/>
              </w:rPr>
            </w:pPr>
            <w:r>
              <w:rPr>
                <w:rFonts w:ascii="宋体" w:hAnsi="宋体" w:cs="宋体"/>
                <w:color w:val="auto"/>
                <w:szCs w:val="21"/>
                <w:highlight w:val="none"/>
              </w:rPr>
              <w:t>24020519</w:t>
            </w:r>
            <w:r>
              <w:rPr>
                <w:rFonts w:hint="eastAsia" w:ascii="宋体" w:hAnsi="宋体" w:cs="宋体"/>
                <w:color w:val="auto"/>
                <w:szCs w:val="21"/>
                <w:highlight w:val="none"/>
              </w:rPr>
              <w:t>泵</w:t>
            </w:r>
          </w:p>
        </w:tc>
        <w:tc>
          <w:tcPr>
            <w:tcW w:w="1071" w:type="pct"/>
          </w:tcPr>
          <w:p w14:paraId="63C7737B">
            <w:pPr>
              <w:spacing w:line="360" w:lineRule="auto"/>
              <w:rPr>
                <w:rFonts w:ascii="宋体" w:cs="宋体"/>
                <w:color w:val="auto"/>
                <w:szCs w:val="21"/>
                <w:highlight w:val="none"/>
              </w:rPr>
            </w:pPr>
            <w:r>
              <w:rPr>
                <w:rFonts w:ascii="宋体" w:hAnsi="宋体" w:cs="宋体"/>
                <w:color w:val="auto"/>
                <w:szCs w:val="21"/>
                <w:highlight w:val="none"/>
              </w:rPr>
              <w:t xml:space="preserve">A02051901 </w:t>
            </w:r>
            <w:r>
              <w:rPr>
                <w:rFonts w:hint="eastAsia" w:ascii="宋体" w:hAnsi="宋体" w:cs="宋体"/>
                <w:color w:val="auto"/>
                <w:szCs w:val="21"/>
                <w:highlight w:val="none"/>
              </w:rPr>
              <w:t>离心泵</w:t>
            </w:r>
          </w:p>
        </w:tc>
        <w:tc>
          <w:tcPr>
            <w:tcW w:w="937" w:type="pct"/>
          </w:tcPr>
          <w:p w14:paraId="04B10F3D">
            <w:pPr>
              <w:spacing w:line="360" w:lineRule="auto"/>
              <w:rPr>
                <w:rFonts w:ascii="宋体" w:cs="宋体"/>
                <w:color w:val="auto"/>
                <w:szCs w:val="21"/>
                <w:highlight w:val="none"/>
              </w:rPr>
            </w:pPr>
          </w:p>
        </w:tc>
        <w:tc>
          <w:tcPr>
            <w:tcW w:w="1743" w:type="pct"/>
          </w:tcPr>
          <w:p w14:paraId="26D0BEC9">
            <w:pPr>
              <w:spacing w:line="360" w:lineRule="auto"/>
              <w:rPr>
                <w:rFonts w:ascii="宋体" w:cs="宋体"/>
                <w:color w:val="auto"/>
                <w:szCs w:val="21"/>
                <w:highlight w:val="none"/>
              </w:rPr>
            </w:pPr>
            <w:r>
              <w:rPr>
                <w:rFonts w:hint="eastAsia" w:ascii="宋体" w:hAnsi="宋体" w:cs="宋体"/>
                <w:color w:val="auto"/>
                <w:szCs w:val="21"/>
                <w:highlight w:val="none"/>
              </w:rPr>
              <w:t>《清水离心泵能效限定值及节能评价值》</w:t>
            </w:r>
            <w:r>
              <w:rPr>
                <w:rFonts w:ascii="宋体" w:hAnsi="宋体" w:cs="宋体"/>
                <w:color w:val="auto"/>
                <w:szCs w:val="21"/>
                <w:highlight w:val="none"/>
              </w:rPr>
              <w:t xml:space="preserve"> (GB 19762)</w:t>
            </w:r>
          </w:p>
        </w:tc>
      </w:tr>
      <w:tr w14:paraId="442C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14:paraId="51920816">
            <w:pPr>
              <w:spacing w:line="360" w:lineRule="auto"/>
              <w:rPr>
                <w:rFonts w:ascii="宋体" w:cs="宋体"/>
                <w:color w:val="auto"/>
                <w:szCs w:val="21"/>
                <w:highlight w:val="none"/>
              </w:rPr>
            </w:pPr>
            <w:r>
              <w:rPr>
                <w:rFonts w:ascii="宋体" w:hAnsi="宋体" w:cs="宋体"/>
                <w:color w:val="auto"/>
                <w:szCs w:val="21"/>
                <w:highlight w:val="none"/>
              </w:rPr>
              <w:t>6</w:t>
            </w:r>
          </w:p>
        </w:tc>
        <w:tc>
          <w:tcPr>
            <w:tcW w:w="813" w:type="pct"/>
            <w:vMerge w:val="restart"/>
          </w:tcPr>
          <w:p w14:paraId="35271625">
            <w:pPr>
              <w:spacing w:line="360" w:lineRule="auto"/>
              <w:rPr>
                <w:rFonts w:ascii="宋体" w:cs="宋体"/>
                <w:color w:val="auto"/>
                <w:szCs w:val="21"/>
                <w:highlight w:val="none"/>
              </w:rPr>
            </w:pPr>
            <w:r>
              <w:rPr>
                <w:rFonts w:ascii="宋体" w:hAnsi="宋体" w:cs="宋体"/>
                <w:color w:val="auto"/>
                <w:szCs w:val="21"/>
                <w:highlight w:val="none"/>
              </w:rPr>
              <w:t>A020523</w:t>
            </w:r>
            <w:r>
              <w:rPr>
                <w:rFonts w:hint="eastAsia" w:ascii="宋体" w:hAnsi="宋体" w:cs="宋体"/>
                <w:color w:val="auto"/>
                <w:szCs w:val="21"/>
                <w:highlight w:val="none"/>
              </w:rPr>
              <w:t>制冷空调设备</w:t>
            </w:r>
          </w:p>
          <w:p w14:paraId="284B5825">
            <w:pPr>
              <w:spacing w:line="360" w:lineRule="auto"/>
              <w:rPr>
                <w:rFonts w:ascii="宋体" w:cs="宋体"/>
                <w:color w:val="auto"/>
                <w:szCs w:val="21"/>
                <w:highlight w:val="none"/>
              </w:rPr>
            </w:pPr>
          </w:p>
          <w:p w14:paraId="433A470F">
            <w:pPr>
              <w:spacing w:line="360" w:lineRule="auto"/>
              <w:rPr>
                <w:rFonts w:ascii="宋体" w:cs="宋体"/>
                <w:color w:val="auto"/>
                <w:szCs w:val="21"/>
                <w:highlight w:val="none"/>
              </w:rPr>
            </w:pPr>
          </w:p>
          <w:p w14:paraId="67B60B6E">
            <w:pPr>
              <w:spacing w:line="360" w:lineRule="auto"/>
              <w:rPr>
                <w:rFonts w:ascii="宋体" w:cs="宋体"/>
                <w:color w:val="auto"/>
                <w:szCs w:val="21"/>
                <w:highlight w:val="none"/>
              </w:rPr>
            </w:pPr>
          </w:p>
          <w:p w14:paraId="7621E202">
            <w:pPr>
              <w:spacing w:line="360" w:lineRule="auto"/>
              <w:rPr>
                <w:rFonts w:ascii="宋体" w:cs="宋体"/>
                <w:color w:val="auto"/>
                <w:szCs w:val="21"/>
                <w:highlight w:val="none"/>
              </w:rPr>
            </w:pPr>
          </w:p>
          <w:p w14:paraId="1A336FE3">
            <w:pPr>
              <w:spacing w:line="360" w:lineRule="auto"/>
              <w:rPr>
                <w:rFonts w:ascii="宋体" w:cs="宋体"/>
                <w:color w:val="auto"/>
                <w:szCs w:val="21"/>
                <w:highlight w:val="none"/>
              </w:rPr>
            </w:pPr>
          </w:p>
          <w:p w14:paraId="6BDA00D5">
            <w:pPr>
              <w:spacing w:line="360" w:lineRule="auto"/>
              <w:rPr>
                <w:rFonts w:ascii="宋体" w:cs="宋体"/>
                <w:color w:val="auto"/>
                <w:szCs w:val="21"/>
                <w:highlight w:val="none"/>
              </w:rPr>
            </w:pPr>
          </w:p>
          <w:p w14:paraId="7D1E6DAF">
            <w:pPr>
              <w:spacing w:line="360" w:lineRule="auto"/>
              <w:rPr>
                <w:rFonts w:ascii="宋体" w:cs="宋体"/>
                <w:color w:val="auto"/>
                <w:szCs w:val="21"/>
                <w:highlight w:val="none"/>
              </w:rPr>
            </w:pPr>
          </w:p>
          <w:p w14:paraId="7E78C66C">
            <w:pPr>
              <w:spacing w:line="360" w:lineRule="auto"/>
              <w:rPr>
                <w:rFonts w:ascii="宋体" w:cs="宋体"/>
                <w:color w:val="auto"/>
                <w:szCs w:val="21"/>
                <w:highlight w:val="none"/>
              </w:rPr>
            </w:pPr>
          </w:p>
          <w:p w14:paraId="33A07617">
            <w:pPr>
              <w:spacing w:line="360" w:lineRule="auto"/>
              <w:rPr>
                <w:rFonts w:ascii="宋体" w:cs="宋体"/>
                <w:color w:val="auto"/>
                <w:szCs w:val="21"/>
                <w:highlight w:val="none"/>
              </w:rPr>
            </w:pPr>
          </w:p>
          <w:p w14:paraId="777E90E6">
            <w:pPr>
              <w:spacing w:line="360" w:lineRule="auto"/>
              <w:rPr>
                <w:rFonts w:ascii="宋体" w:cs="宋体"/>
                <w:color w:val="auto"/>
                <w:szCs w:val="21"/>
                <w:highlight w:val="none"/>
              </w:rPr>
            </w:pPr>
          </w:p>
          <w:p w14:paraId="77384431">
            <w:pPr>
              <w:spacing w:line="360" w:lineRule="auto"/>
              <w:rPr>
                <w:rFonts w:ascii="宋体" w:cs="宋体"/>
                <w:color w:val="auto"/>
                <w:szCs w:val="21"/>
                <w:highlight w:val="none"/>
              </w:rPr>
            </w:pPr>
          </w:p>
          <w:p w14:paraId="042AC505">
            <w:pPr>
              <w:spacing w:line="360" w:lineRule="auto"/>
              <w:rPr>
                <w:rFonts w:ascii="宋体" w:cs="宋体"/>
                <w:color w:val="auto"/>
                <w:szCs w:val="21"/>
                <w:highlight w:val="none"/>
              </w:rPr>
            </w:pPr>
          </w:p>
          <w:p w14:paraId="007A9A91">
            <w:pPr>
              <w:spacing w:line="360" w:lineRule="auto"/>
              <w:rPr>
                <w:rFonts w:ascii="宋体" w:cs="宋体"/>
                <w:color w:val="auto"/>
                <w:szCs w:val="21"/>
                <w:highlight w:val="none"/>
              </w:rPr>
            </w:pPr>
          </w:p>
          <w:p w14:paraId="7E2C3021">
            <w:pPr>
              <w:spacing w:line="360" w:lineRule="auto"/>
              <w:rPr>
                <w:rFonts w:ascii="宋体" w:cs="宋体"/>
                <w:color w:val="auto"/>
                <w:szCs w:val="21"/>
                <w:highlight w:val="none"/>
              </w:rPr>
            </w:pPr>
          </w:p>
          <w:p w14:paraId="669E6CAB">
            <w:pPr>
              <w:spacing w:line="360" w:lineRule="auto"/>
              <w:rPr>
                <w:rFonts w:ascii="宋体" w:cs="宋体"/>
                <w:color w:val="auto"/>
                <w:szCs w:val="21"/>
                <w:highlight w:val="none"/>
              </w:rPr>
            </w:pPr>
          </w:p>
          <w:p w14:paraId="5D9FC10C">
            <w:pPr>
              <w:spacing w:line="360" w:lineRule="auto"/>
              <w:rPr>
                <w:rFonts w:ascii="宋体" w:cs="宋体"/>
                <w:color w:val="auto"/>
                <w:szCs w:val="21"/>
                <w:highlight w:val="none"/>
              </w:rPr>
            </w:pPr>
          </w:p>
          <w:p w14:paraId="42084000">
            <w:pPr>
              <w:spacing w:line="360" w:lineRule="auto"/>
              <w:rPr>
                <w:rFonts w:ascii="宋体" w:cs="宋体"/>
                <w:color w:val="auto"/>
                <w:szCs w:val="21"/>
                <w:highlight w:val="none"/>
              </w:rPr>
            </w:pPr>
          </w:p>
        </w:tc>
        <w:tc>
          <w:tcPr>
            <w:tcW w:w="1071" w:type="pct"/>
            <w:vMerge w:val="restart"/>
          </w:tcPr>
          <w:p w14:paraId="29BBD437">
            <w:pPr>
              <w:spacing w:line="360" w:lineRule="auto"/>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A02052301 </w:t>
            </w:r>
            <w:r>
              <w:rPr>
                <w:rFonts w:hint="eastAsia" w:ascii="宋体" w:hAnsi="宋体" w:cs="宋体"/>
                <w:color w:val="auto"/>
                <w:szCs w:val="21"/>
                <w:highlight w:val="none"/>
              </w:rPr>
              <w:t>制冷压缩机</w:t>
            </w:r>
          </w:p>
        </w:tc>
        <w:tc>
          <w:tcPr>
            <w:tcW w:w="937" w:type="pct"/>
          </w:tcPr>
          <w:p w14:paraId="06D186E5">
            <w:pPr>
              <w:spacing w:line="360" w:lineRule="auto"/>
              <w:rPr>
                <w:rFonts w:ascii="宋体" w:cs="宋体"/>
                <w:color w:val="auto"/>
                <w:szCs w:val="21"/>
                <w:highlight w:val="none"/>
              </w:rPr>
            </w:pPr>
          </w:p>
          <w:p w14:paraId="53223158">
            <w:pPr>
              <w:spacing w:line="360" w:lineRule="auto"/>
              <w:rPr>
                <w:rFonts w:ascii="宋体" w:cs="宋体"/>
                <w:color w:val="auto"/>
                <w:szCs w:val="21"/>
                <w:highlight w:val="none"/>
              </w:rPr>
            </w:pPr>
            <w:r>
              <w:rPr>
                <w:rFonts w:hint="eastAsia" w:ascii="宋体" w:hAnsi="宋体" w:cs="宋体"/>
                <w:color w:val="auto"/>
                <w:szCs w:val="21"/>
                <w:highlight w:val="none"/>
              </w:rPr>
              <w:t>冷水机组</w:t>
            </w:r>
          </w:p>
        </w:tc>
        <w:tc>
          <w:tcPr>
            <w:tcW w:w="1743" w:type="pct"/>
          </w:tcPr>
          <w:p w14:paraId="3FA178FC">
            <w:pPr>
              <w:spacing w:line="360" w:lineRule="auto"/>
              <w:rPr>
                <w:rFonts w:ascii="宋体" w:cs="宋体"/>
                <w:color w:val="auto"/>
                <w:szCs w:val="21"/>
                <w:highlight w:val="none"/>
              </w:rPr>
            </w:pPr>
            <w:r>
              <w:rPr>
                <w:rFonts w:hint="eastAsia" w:ascii="宋体" w:hAnsi="宋体" w:cs="宋体"/>
                <w:color w:val="auto"/>
                <w:szCs w:val="21"/>
                <w:highlight w:val="none"/>
              </w:rPr>
              <w:t>《冷水机组能效限定值及能效等级》</w:t>
            </w:r>
            <w:r>
              <w:rPr>
                <w:rFonts w:ascii="宋体" w:hAnsi="宋体" w:cs="宋体"/>
                <w:color w:val="auto"/>
                <w:szCs w:val="21"/>
                <w:highlight w:val="none"/>
              </w:rPr>
              <w:t>(GB19577)</w:t>
            </w:r>
            <w:r>
              <w:rPr>
                <w:rFonts w:hint="eastAsia" w:ascii="宋体" w:hAnsi="宋体" w:cs="宋体"/>
                <w:color w:val="auto"/>
                <w:szCs w:val="21"/>
                <w:highlight w:val="none"/>
              </w:rPr>
              <w:t>，《低环境温度空气源热泵</w:t>
            </w:r>
            <w:r>
              <w:rPr>
                <w:rFonts w:ascii="宋体" w:hAnsi="宋体" w:cs="宋体"/>
                <w:color w:val="auto"/>
                <w:szCs w:val="21"/>
                <w:highlight w:val="none"/>
              </w:rPr>
              <w:t>(</w:t>
            </w:r>
            <w:r>
              <w:rPr>
                <w:rFonts w:hint="eastAsia" w:ascii="宋体" w:hAnsi="宋体" w:cs="宋体"/>
                <w:color w:val="auto"/>
                <w:szCs w:val="21"/>
                <w:highlight w:val="none"/>
              </w:rPr>
              <w:t>冷水</w:t>
            </w:r>
            <w:r>
              <w:rPr>
                <w:rFonts w:ascii="宋体" w:hAnsi="宋体" w:cs="宋体"/>
                <w:color w:val="auto"/>
                <w:szCs w:val="21"/>
                <w:highlight w:val="none"/>
              </w:rPr>
              <w:t>)</w:t>
            </w:r>
            <w:r>
              <w:rPr>
                <w:rFonts w:hint="eastAsia" w:ascii="宋体" w:hAnsi="宋体" w:cs="宋体"/>
                <w:color w:val="auto"/>
                <w:szCs w:val="21"/>
                <w:highlight w:val="none"/>
              </w:rPr>
              <w:t>机组能效限定值及能效等级》</w:t>
            </w:r>
            <w:r>
              <w:rPr>
                <w:rFonts w:ascii="宋体" w:hAnsi="宋体" w:cs="宋体"/>
                <w:color w:val="auto"/>
                <w:szCs w:val="21"/>
                <w:highlight w:val="none"/>
              </w:rPr>
              <w:t>(GB 37 480)</w:t>
            </w:r>
          </w:p>
        </w:tc>
      </w:tr>
      <w:tr w14:paraId="4DB5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3C7E620D">
            <w:pPr>
              <w:spacing w:line="360" w:lineRule="auto"/>
              <w:rPr>
                <w:rFonts w:ascii="宋体" w:cs="宋体"/>
                <w:color w:val="auto"/>
                <w:szCs w:val="21"/>
                <w:highlight w:val="none"/>
              </w:rPr>
            </w:pPr>
          </w:p>
        </w:tc>
        <w:tc>
          <w:tcPr>
            <w:tcW w:w="813" w:type="pct"/>
            <w:vMerge w:val="continue"/>
          </w:tcPr>
          <w:p w14:paraId="4247D08C">
            <w:pPr>
              <w:spacing w:line="360" w:lineRule="auto"/>
              <w:rPr>
                <w:rFonts w:ascii="宋体" w:cs="宋体"/>
                <w:color w:val="auto"/>
                <w:szCs w:val="21"/>
                <w:highlight w:val="none"/>
              </w:rPr>
            </w:pPr>
          </w:p>
        </w:tc>
        <w:tc>
          <w:tcPr>
            <w:tcW w:w="1071" w:type="pct"/>
            <w:vMerge w:val="continue"/>
          </w:tcPr>
          <w:p w14:paraId="42D19982">
            <w:pPr>
              <w:spacing w:line="360" w:lineRule="auto"/>
              <w:rPr>
                <w:rFonts w:ascii="宋体" w:cs="宋体"/>
                <w:color w:val="auto"/>
                <w:szCs w:val="21"/>
                <w:highlight w:val="none"/>
              </w:rPr>
            </w:pPr>
          </w:p>
        </w:tc>
        <w:tc>
          <w:tcPr>
            <w:tcW w:w="937" w:type="pct"/>
          </w:tcPr>
          <w:p w14:paraId="3A8A67C0">
            <w:pPr>
              <w:spacing w:line="360" w:lineRule="auto"/>
              <w:rPr>
                <w:rFonts w:ascii="宋体" w:cs="宋体"/>
                <w:color w:val="auto"/>
                <w:szCs w:val="21"/>
                <w:highlight w:val="none"/>
              </w:rPr>
            </w:pPr>
          </w:p>
          <w:p w14:paraId="72658C74">
            <w:pPr>
              <w:spacing w:line="360" w:lineRule="auto"/>
              <w:rPr>
                <w:rFonts w:ascii="宋体" w:cs="宋体"/>
                <w:color w:val="auto"/>
                <w:szCs w:val="21"/>
                <w:highlight w:val="none"/>
              </w:rPr>
            </w:pPr>
            <w:r>
              <w:rPr>
                <w:rFonts w:hint="eastAsia" w:ascii="宋体" w:hAnsi="宋体" w:cs="宋体"/>
                <w:color w:val="auto"/>
                <w:szCs w:val="21"/>
                <w:highlight w:val="none"/>
              </w:rPr>
              <w:t>水源热泵机组</w:t>
            </w:r>
          </w:p>
        </w:tc>
        <w:tc>
          <w:tcPr>
            <w:tcW w:w="1743" w:type="pct"/>
          </w:tcPr>
          <w:p w14:paraId="60757335">
            <w:pPr>
              <w:spacing w:line="360" w:lineRule="auto"/>
              <w:rPr>
                <w:rFonts w:ascii="宋体" w:cs="宋体"/>
                <w:color w:val="auto"/>
                <w:szCs w:val="21"/>
                <w:highlight w:val="none"/>
              </w:rPr>
            </w:pPr>
            <w:r>
              <w:rPr>
                <w:rFonts w:hint="eastAsia" w:ascii="宋体" w:hAnsi="宋体" w:cs="宋体"/>
                <w:color w:val="auto"/>
                <w:szCs w:val="21"/>
                <w:highlight w:val="none"/>
              </w:rPr>
              <w:t>《水</w:t>
            </w:r>
            <w:r>
              <w:rPr>
                <w:rFonts w:ascii="宋体" w:hAnsi="宋体" w:cs="宋体"/>
                <w:color w:val="auto"/>
                <w:szCs w:val="21"/>
                <w:highlight w:val="none"/>
              </w:rPr>
              <w:t>(</w:t>
            </w:r>
            <w:r>
              <w:rPr>
                <w:rFonts w:hint="eastAsia" w:ascii="宋体" w:hAnsi="宋体" w:cs="宋体"/>
                <w:color w:val="auto"/>
                <w:szCs w:val="21"/>
                <w:highlight w:val="none"/>
              </w:rPr>
              <w:t>地</w:t>
            </w:r>
            <w:r>
              <w:rPr>
                <w:rFonts w:ascii="宋体" w:hAnsi="宋体" w:cs="宋体"/>
                <w:color w:val="auto"/>
                <w:szCs w:val="21"/>
                <w:highlight w:val="none"/>
              </w:rPr>
              <w:t>)</w:t>
            </w:r>
            <w:r>
              <w:rPr>
                <w:rFonts w:hint="eastAsia" w:ascii="宋体" w:hAnsi="宋体" w:cs="宋体"/>
                <w:color w:val="auto"/>
                <w:szCs w:val="21"/>
                <w:highlight w:val="none"/>
              </w:rPr>
              <w:t>源热泵机组能效限定值及能效等级》</w:t>
            </w:r>
            <w:r>
              <w:rPr>
                <w:rFonts w:ascii="宋体" w:hAnsi="宋体" w:cs="宋体"/>
                <w:color w:val="auto"/>
                <w:szCs w:val="21"/>
                <w:highlight w:val="none"/>
              </w:rPr>
              <w:t xml:space="preserve"> (GB 30721)</w:t>
            </w:r>
          </w:p>
        </w:tc>
      </w:tr>
      <w:tr w14:paraId="0789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11276860">
            <w:pPr>
              <w:spacing w:line="360" w:lineRule="auto"/>
              <w:rPr>
                <w:rFonts w:ascii="宋体" w:cs="宋体"/>
                <w:color w:val="auto"/>
                <w:szCs w:val="21"/>
                <w:highlight w:val="none"/>
              </w:rPr>
            </w:pPr>
          </w:p>
        </w:tc>
        <w:tc>
          <w:tcPr>
            <w:tcW w:w="813" w:type="pct"/>
            <w:vMerge w:val="continue"/>
          </w:tcPr>
          <w:p w14:paraId="7ECF2A34">
            <w:pPr>
              <w:spacing w:line="360" w:lineRule="auto"/>
              <w:rPr>
                <w:rFonts w:ascii="宋体" w:cs="宋体"/>
                <w:color w:val="auto"/>
                <w:szCs w:val="21"/>
                <w:highlight w:val="none"/>
              </w:rPr>
            </w:pPr>
          </w:p>
        </w:tc>
        <w:tc>
          <w:tcPr>
            <w:tcW w:w="1071" w:type="pct"/>
            <w:vMerge w:val="restart"/>
          </w:tcPr>
          <w:p w14:paraId="7847955F">
            <w:pPr>
              <w:spacing w:line="360" w:lineRule="auto"/>
              <w:rPr>
                <w:rFonts w:ascii="宋体" w:cs="宋体"/>
                <w:color w:val="auto"/>
                <w:szCs w:val="21"/>
                <w:highlight w:val="none"/>
              </w:rPr>
            </w:pPr>
          </w:p>
          <w:p w14:paraId="096C03A0">
            <w:pPr>
              <w:spacing w:line="360" w:lineRule="auto"/>
              <w:rPr>
                <w:rFonts w:ascii="宋体" w:cs="宋体"/>
                <w:color w:val="auto"/>
                <w:szCs w:val="21"/>
                <w:highlight w:val="none"/>
              </w:rPr>
            </w:pPr>
          </w:p>
          <w:p w14:paraId="2361E68D">
            <w:pPr>
              <w:spacing w:line="360" w:lineRule="auto"/>
              <w:rPr>
                <w:rFonts w:ascii="宋体" w:cs="宋体"/>
                <w:color w:val="auto"/>
                <w:szCs w:val="21"/>
                <w:highlight w:val="none"/>
              </w:rPr>
            </w:pPr>
          </w:p>
          <w:p w14:paraId="3CBC420F">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A02052305 </w:t>
            </w:r>
            <w:r>
              <w:rPr>
                <w:rFonts w:hint="eastAsia" w:ascii="宋体" w:hAnsi="宋体" w:cs="宋体"/>
                <w:color w:val="auto"/>
                <w:szCs w:val="21"/>
                <w:highlight w:val="none"/>
              </w:rPr>
              <w:t>空调机</w:t>
            </w:r>
          </w:p>
        </w:tc>
        <w:tc>
          <w:tcPr>
            <w:tcW w:w="937" w:type="pct"/>
          </w:tcPr>
          <w:p w14:paraId="0138AF82">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w:t>
            </w:r>
          </w:p>
        </w:tc>
        <w:tc>
          <w:tcPr>
            <w:tcW w:w="1743" w:type="pct"/>
          </w:tcPr>
          <w:p w14:paraId="7FFE4859">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《溴化锂吸收式冷水机组能效限定值及能效等级》</w:t>
            </w:r>
            <w:r>
              <w:rPr>
                <w:rFonts w:ascii="宋体" w:hAnsi="宋体" w:cs="宋体"/>
                <w:color w:val="auto"/>
                <w:szCs w:val="21"/>
                <w:highlight w:val="none"/>
              </w:rPr>
              <w:t xml:space="preserve"> (GB 29540)</w:t>
            </w:r>
          </w:p>
        </w:tc>
      </w:tr>
      <w:tr w14:paraId="60B5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3E07FE10">
            <w:pPr>
              <w:spacing w:line="360" w:lineRule="auto"/>
              <w:rPr>
                <w:rFonts w:ascii="宋体" w:cs="宋体"/>
                <w:color w:val="auto"/>
                <w:szCs w:val="21"/>
                <w:highlight w:val="none"/>
              </w:rPr>
            </w:pPr>
          </w:p>
        </w:tc>
        <w:tc>
          <w:tcPr>
            <w:tcW w:w="813" w:type="pct"/>
            <w:vMerge w:val="continue"/>
          </w:tcPr>
          <w:p w14:paraId="7B5D1017">
            <w:pPr>
              <w:spacing w:line="360" w:lineRule="auto"/>
              <w:rPr>
                <w:rFonts w:ascii="宋体" w:cs="宋体"/>
                <w:color w:val="auto"/>
                <w:szCs w:val="21"/>
                <w:highlight w:val="none"/>
              </w:rPr>
            </w:pPr>
          </w:p>
        </w:tc>
        <w:tc>
          <w:tcPr>
            <w:tcW w:w="1071" w:type="pct"/>
            <w:vMerge w:val="continue"/>
          </w:tcPr>
          <w:p w14:paraId="753B8310">
            <w:pPr>
              <w:spacing w:line="360" w:lineRule="auto"/>
              <w:rPr>
                <w:rFonts w:ascii="宋体" w:cs="宋体"/>
                <w:color w:val="auto"/>
                <w:szCs w:val="21"/>
                <w:highlight w:val="none"/>
              </w:rPr>
            </w:pPr>
          </w:p>
        </w:tc>
        <w:tc>
          <w:tcPr>
            <w:tcW w:w="937" w:type="pct"/>
          </w:tcPr>
          <w:p w14:paraId="087AFB19">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w:t>
            </w:r>
            <w:r>
              <w:rPr>
                <w:rFonts w:ascii="宋体" w:hAnsi="宋体" w:cs="宋体"/>
                <w:color w:val="auto"/>
                <w:szCs w:val="21"/>
                <w:highlight w:val="none"/>
              </w:rPr>
              <w:t>(</w:t>
            </w:r>
            <w:r>
              <w:rPr>
                <w:rFonts w:hint="eastAsia" w:ascii="宋体" w:hAnsi="宋体" w:cs="宋体"/>
                <w:color w:val="auto"/>
                <w:szCs w:val="21"/>
                <w:highlight w:val="none"/>
              </w:rPr>
              <w:t>制量</w:t>
            </w:r>
            <w:r>
              <w:rPr>
                <w:rFonts w:ascii="宋体" w:hAnsi="宋体" w:cs="宋体"/>
                <w:color w:val="auto"/>
                <w:szCs w:val="21"/>
                <w:highlight w:val="none"/>
              </w:rPr>
              <w:t>&gt;14000W)</w:t>
            </w:r>
          </w:p>
        </w:tc>
        <w:tc>
          <w:tcPr>
            <w:tcW w:w="1743" w:type="pct"/>
          </w:tcPr>
          <w:p w14:paraId="69A6E345">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机组能效限定值及能源效率等级》</w:t>
            </w:r>
            <w:r>
              <w:rPr>
                <w:rFonts w:ascii="宋体" w:hAnsi="宋体" w:cs="宋体"/>
                <w:color w:val="auto"/>
                <w:szCs w:val="21"/>
                <w:highlight w:val="none"/>
              </w:rPr>
              <w:t>(GB 21454)</w:t>
            </w:r>
          </w:p>
        </w:tc>
      </w:tr>
      <w:tr w14:paraId="46BA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1AB030A">
            <w:pPr>
              <w:spacing w:line="360" w:lineRule="auto"/>
              <w:rPr>
                <w:rFonts w:ascii="宋体" w:cs="宋体"/>
                <w:color w:val="auto"/>
                <w:szCs w:val="21"/>
                <w:highlight w:val="none"/>
              </w:rPr>
            </w:pPr>
          </w:p>
        </w:tc>
        <w:tc>
          <w:tcPr>
            <w:tcW w:w="813" w:type="pct"/>
            <w:vMerge w:val="continue"/>
          </w:tcPr>
          <w:p w14:paraId="729C986A">
            <w:pPr>
              <w:spacing w:line="360" w:lineRule="auto"/>
              <w:rPr>
                <w:rFonts w:ascii="宋体" w:cs="宋体"/>
                <w:color w:val="auto"/>
                <w:szCs w:val="21"/>
                <w:highlight w:val="none"/>
              </w:rPr>
            </w:pPr>
          </w:p>
        </w:tc>
        <w:tc>
          <w:tcPr>
            <w:tcW w:w="1071" w:type="pct"/>
            <w:vMerge w:val="continue"/>
          </w:tcPr>
          <w:p w14:paraId="290F79EC">
            <w:pPr>
              <w:spacing w:line="360" w:lineRule="auto"/>
              <w:rPr>
                <w:rFonts w:ascii="宋体" w:cs="宋体"/>
                <w:color w:val="auto"/>
                <w:szCs w:val="21"/>
                <w:highlight w:val="none"/>
              </w:rPr>
            </w:pPr>
          </w:p>
        </w:tc>
        <w:tc>
          <w:tcPr>
            <w:tcW w:w="937" w:type="pct"/>
          </w:tcPr>
          <w:p w14:paraId="2B7D47D6">
            <w:pPr>
              <w:spacing w:line="360" w:lineRule="auto"/>
              <w:rPr>
                <w:rFonts w:ascii="宋体" w:cs="宋体"/>
                <w:color w:val="auto"/>
                <w:szCs w:val="21"/>
                <w:highlight w:val="none"/>
              </w:rPr>
            </w:pPr>
            <w:r>
              <w:rPr>
                <w:rFonts w:hint="eastAsia" w:ascii="宋体" w:hAnsi="宋体" w:cs="宋体"/>
                <w:color w:val="auto"/>
                <w:szCs w:val="21"/>
                <w:highlight w:val="none"/>
              </w:rPr>
              <w:t>《单元式空气调节机</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&gt;14000w)</w:t>
            </w:r>
          </w:p>
        </w:tc>
        <w:tc>
          <w:tcPr>
            <w:tcW w:w="1743" w:type="pct"/>
          </w:tcPr>
          <w:p w14:paraId="4E2CFAC1">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 xml:space="preserve"> (GB 19576) </w:t>
            </w:r>
            <w:r>
              <w:rPr>
                <w:rFonts w:hint="eastAsia" w:ascii="宋体" w:hAnsi="宋体" w:cs="宋体"/>
                <w:color w:val="auto"/>
                <w:szCs w:val="21"/>
                <w:highlight w:val="none"/>
              </w:rPr>
              <w:t>《风管送风式空调机组能效限定值及能效等级》</w:t>
            </w:r>
            <w:r>
              <w:rPr>
                <w:rFonts w:ascii="宋体" w:hAnsi="宋体" w:cs="宋体"/>
                <w:color w:val="auto"/>
                <w:szCs w:val="21"/>
                <w:highlight w:val="none"/>
              </w:rPr>
              <w:t xml:space="preserve"> (GB 37479)</w:t>
            </w:r>
          </w:p>
        </w:tc>
      </w:tr>
      <w:tr w14:paraId="13AD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33" w:type="pct"/>
            <w:vMerge w:val="continue"/>
          </w:tcPr>
          <w:p w14:paraId="57749E00">
            <w:pPr>
              <w:spacing w:line="360" w:lineRule="auto"/>
              <w:rPr>
                <w:rFonts w:ascii="宋体" w:cs="宋体"/>
                <w:color w:val="auto"/>
                <w:szCs w:val="21"/>
                <w:highlight w:val="none"/>
              </w:rPr>
            </w:pPr>
          </w:p>
        </w:tc>
        <w:tc>
          <w:tcPr>
            <w:tcW w:w="813" w:type="pct"/>
            <w:vMerge w:val="continue"/>
          </w:tcPr>
          <w:p w14:paraId="072F00A0">
            <w:pPr>
              <w:spacing w:line="360" w:lineRule="auto"/>
              <w:rPr>
                <w:rFonts w:ascii="宋体" w:cs="宋体"/>
                <w:color w:val="auto"/>
                <w:szCs w:val="21"/>
                <w:highlight w:val="none"/>
              </w:rPr>
            </w:pPr>
          </w:p>
        </w:tc>
        <w:tc>
          <w:tcPr>
            <w:tcW w:w="1071" w:type="pct"/>
            <w:vMerge w:val="restart"/>
          </w:tcPr>
          <w:p w14:paraId="18A28CE7">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A02052309</w:t>
            </w:r>
            <w:r>
              <w:rPr>
                <w:rFonts w:hint="eastAsia" w:ascii="宋体" w:hAnsi="宋体" w:cs="宋体"/>
                <w:color w:val="auto"/>
                <w:szCs w:val="21"/>
                <w:highlight w:val="none"/>
              </w:rPr>
              <w:t>专用制冷</w:t>
            </w:r>
            <w:r>
              <w:rPr>
                <w:rFonts w:ascii="宋体" w:cs="宋体"/>
                <w:color w:val="auto"/>
                <w:szCs w:val="21"/>
                <w:highlight w:val="none"/>
              </w:rPr>
              <w:t>.</w:t>
            </w:r>
            <w:r>
              <w:rPr>
                <w:rFonts w:hint="eastAsia" w:ascii="宋体" w:hAnsi="宋体" w:cs="宋体"/>
                <w:color w:val="auto"/>
                <w:szCs w:val="21"/>
                <w:highlight w:val="none"/>
              </w:rPr>
              <w:t>空调设备</w:t>
            </w:r>
          </w:p>
          <w:p w14:paraId="2B30B457">
            <w:pPr>
              <w:spacing w:line="360" w:lineRule="auto"/>
              <w:rPr>
                <w:rFonts w:ascii="宋体" w:cs="宋体"/>
                <w:color w:val="auto"/>
                <w:szCs w:val="21"/>
                <w:highlight w:val="none"/>
              </w:rPr>
            </w:pPr>
          </w:p>
          <w:p w14:paraId="1AA62DB4">
            <w:pPr>
              <w:spacing w:line="360" w:lineRule="auto"/>
              <w:rPr>
                <w:rFonts w:ascii="宋体" w:cs="宋体"/>
                <w:color w:val="auto"/>
                <w:szCs w:val="21"/>
                <w:highlight w:val="none"/>
              </w:rPr>
            </w:pPr>
            <w:r>
              <w:rPr>
                <w:rFonts w:ascii="宋体" w:hAnsi="宋体" w:cs="宋体"/>
                <w:color w:val="auto"/>
                <w:szCs w:val="21"/>
                <w:highlight w:val="none"/>
              </w:rPr>
              <w:t>A02052399</w:t>
            </w:r>
            <w:r>
              <w:rPr>
                <w:rFonts w:hint="eastAsia" w:ascii="宋体" w:hAnsi="宋体" w:cs="宋体"/>
                <w:color w:val="auto"/>
                <w:szCs w:val="21"/>
                <w:highlight w:val="none"/>
              </w:rPr>
              <w:t>其他制冷空调设备</w:t>
            </w:r>
          </w:p>
        </w:tc>
        <w:tc>
          <w:tcPr>
            <w:tcW w:w="937" w:type="pct"/>
          </w:tcPr>
          <w:p w14:paraId="14699438">
            <w:pPr>
              <w:spacing w:line="360" w:lineRule="auto"/>
              <w:rPr>
                <w:rFonts w:ascii="宋体" w:cs="宋体"/>
                <w:color w:val="auto"/>
                <w:szCs w:val="21"/>
                <w:highlight w:val="none"/>
              </w:rPr>
            </w:pPr>
          </w:p>
          <w:p w14:paraId="752995BE">
            <w:pPr>
              <w:spacing w:line="360" w:lineRule="auto"/>
              <w:rPr>
                <w:rFonts w:ascii="宋体" w:cs="宋体"/>
                <w:color w:val="auto"/>
                <w:szCs w:val="21"/>
                <w:highlight w:val="none"/>
              </w:rPr>
            </w:pPr>
            <w:r>
              <w:rPr>
                <w:rFonts w:hint="eastAsia" w:ascii="宋体" w:hAnsi="宋体" w:cs="宋体"/>
                <w:color w:val="auto"/>
                <w:szCs w:val="21"/>
                <w:highlight w:val="none"/>
              </w:rPr>
              <w:t>机房空调</w:t>
            </w:r>
          </w:p>
        </w:tc>
        <w:tc>
          <w:tcPr>
            <w:tcW w:w="1743" w:type="pct"/>
          </w:tcPr>
          <w:p w14:paraId="00164E40">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(GB 19576)</w:t>
            </w:r>
          </w:p>
        </w:tc>
      </w:tr>
      <w:tr w14:paraId="011C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433" w:type="pct"/>
            <w:vMerge w:val="continue"/>
          </w:tcPr>
          <w:p w14:paraId="01FFA70B">
            <w:pPr>
              <w:spacing w:line="360" w:lineRule="auto"/>
              <w:rPr>
                <w:rFonts w:ascii="宋体" w:cs="宋体"/>
                <w:color w:val="auto"/>
                <w:szCs w:val="21"/>
                <w:highlight w:val="none"/>
              </w:rPr>
            </w:pPr>
          </w:p>
        </w:tc>
        <w:tc>
          <w:tcPr>
            <w:tcW w:w="813" w:type="pct"/>
            <w:vMerge w:val="continue"/>
          </w:tcPr>
          <w:p w14:paraId="13B016D4">
            <w:pPr>
              <w:spacing w:line="360" w:lineRule="auto"/>
              <w:rPr>
                <w:rFonts w:ascii="宋体" w:cs="宋体"/>
                <w:color w:val="auto"/>
                <w:szCs w:val="21"/>
                <w:highlight w:val="none"/>
              </w:rPr>
            </w:pPr>
          </w:p>
        </w:tc>
        <w:tc>
          <w:tcPr>
            <w:tcW w:w="1071" w:type="pct"/>
            <w:vMerge w:val="continue"/>
          </w:tcPr>
          <w:p w14:paraId="12893F82">
            <w:pPr>
              <w:spacing w:line="360" w:lineRule="auto"/>
              <w:rPr>
                <w:rFonts w:ascii="宋体" w:cs="宋体"/>
                <w:color w:val="auto"/>
                <w:szCs w:val="21"/>
                <w:highlight w:val="none"/>
              </w:rPr>
            </w:pPr>
          </w:p>
        </w:tc>
        <w:tc>
          <w:tcPr>
            <w:tcW w:w="937" w:type="pct"/>
          </w:tcPr>
          <w:p w14:paraId="7FF5EA01">
            <w:pPr>
              <w:spacing w:line="360" w:lineRule="auto"/>
              <w:rPr>
                <w:rFonts w:ascii="宋体" w:cs="宋体"/>
                <w:color w:val="auto"/>
                <w:szCs w:val="21"/>
                <w:highlight w:val="none"/>
              </w:rPr>
            </w:pPr>
          </w:p>
          <w:p w14:paraId="02D8F453">
            <w:pPr>
              <w:spacing w:line="360" w:lineRule="auto"/>
              <w:rPr>
                <w:rFonts w:ascii="宋体" w:cs="宋体"/>
                <w:color w:val="auto"/>
                <w:szCs w:val="21"/>
                <w:highlight w:val="none"/>
              </w:rPr>
            </w:pPr>
            <w:r>
              <w:rPr>
                <w:rFonts w:hint="eastAsia" w:ascii="宋体" w:hAnsi="宋体" w:cs="宋体"/>
                <w:color w:val="auto"/>
                <w:szCs w:val="21"/>
                <w:highlight w:val="none"/>
              </w:rPr>
              <w:t>冷却塔</w:t>
            </w:r>
          </w:p>
        </w:tc>
        <w:tc>
          <w:tcPr>
            <w:tcW w:w="1743" w:type="pct"/>
          </w:tcPr>
          <w:p w14:paraId="6E9446C8">
            <w:pPr>
              <w:spacing w:line="360" w:lineRule="auto"/>
              <w:rPr>
                <w:rFonts w:ascii="宋体" w:cs="宋体"/>
                <w:color w:val="auto"/>
                <w:szCs w:val="21"/>
                <w:highlight w:val="none"/>
              </w:rPr>
            </w:pPr>
            <w:r>
              <w:rPr>
                <w:rFonts w:hint="eastAsia" w:ascii="宋体" w:hAnsi="宋体" w:cs="宋体"/>
                <w:color w:val="auto"/>
                <w:szCs w:val="21"/>
                <w:highlight w:val="none"/>
              </w:rPr>
              <w:t>《机械通风冷却塔第</w:t>
            </w:r>
            <w:r>
              <w:rPr>
                <w:rFonts w:ascii="宋体" w:hAnsi="宋体" w:cs="宋体"/>
                <w:color w:val="auto"/>
                <w:szCs w:val="21"/>
                <w:highlight w:val="none"/>
              </w:rPr>
              <w:t>1</w:t>
            </w:r>
            <w:r>
              <w:rPr>
                <w:rFonts w:hint="eastAsia" w:ascii="宋体" w:hAnsi="宋体" w:cs="宋体"/>
                <w:color w:val="auto"/>
                <w:szCs w:val="21"/>
                <w:highlight w:val="none"/>
              </w:rPr>
              <w:t>部分：中小型开式冷却塔</w:t>
            </w:r>
            <w:r>
              <w:rPr>
                <w:rFonts w:ascii="宋体" w:hAnsi="宋体" w:cs="宋体"/>
                <w:color w:val="auto"/>
                <w:szCs w:val="21"/>
                <w:highlight w:val="none"/>
              </w:rPr>
              <w:t>)(GB/T 7190.1)</w:t>
            </w:r>
            <w:r>
              <w:rPr>
                <w:rFonts w:hint="eastAsia" w:ascii="宋体" w:hAnsi="宋体" w:cs="宋体"/>
                <w:color w:val="auto"/>
                <w:szCs w:val="21"/>
                <w:highlight w:val="none"/>
              </w:rPr>
              <w:t>：《机械通风冷却塔</w:t>
            </w:r>
            <w:r>
              <w:rPr>
                <w:rFonts w:ascii="宋体" w:hAnsi="宋体" w:cs="宋体"/>
                <w:color w:val="auto"/>
                <w:szCs w:val="21"/>
                <w:highlight w:val="none"/>
              </w:rPr>
              <w:t xml:space="preserve"> </w:t>
            </w:r>
            <w:r>
              <w:rPr>
                <w:rFonts w:hint="eastAsia" w:ascii="宋体" w:hAnsi="宋体" w:cs="宋体"/>
                <w:color w:val="auto"/>
                <w:szCs w:val="21"/>
                <w:highlight w:val="none"/>
              </w:rPr>
              <w:t>第</w:t>
            </w:r>
            <w:r>
              <w:rPr>
                <w:rFonts w:ascii="宋体" w:hAnsi="宋体" w:cs="宋体"/>
                <w:color w:val="auto"/>
                <w:szCs w:val="21"/>
                <w:highlight w:val="none"/>
              </w:rPr>
              <w:t>2</w:t>
            </w:r>
            <w:r>
              <w:rPr>
                <w:rFonts w:hint="eastAsia" w:ascii="宋体" w:hAnsi="宋体" w:cs="宋体"/>
                <w:color w:val="auto"/>
                <w:szCs w:val="21"/>
                <w:highlight w:val="none"/>
              </w:rPr>
              <w:t>部分：</w:t>
            </w:r>
            <w:r>
              <w:rPr>
                <w:rFonts w:ascii="宋体" w:hAnsi="宋体" w:cs="宋体"/>
                <w:color w:val="auto"/>
                <w:szCs w:val="21"/>
                <w:highlight w:val="none"/>
              </w:rPr>
              <w:t xml:space="preserve"> </w:t>
            </w:r>
            <w:r>
              <w:rPr>
                <w:rFonts w:hint="eastAsia" w:ascii="宋体" w:hAnsi="宋体" w:cs="宋体"/>
                <w:color w:val="auto"/>
                <w:szCs w:val="21"/>
                <w:highlight w:val="none"/>
              </w:rPr>
              <w:t>大型开式冷却塔》</w:t>
            </w:r>
            <w:r>
              <w:rPr>
                <w:rFonts w:ascii="宋体" w:hAnsi="宋体" w:cs="宋体"/>
                <w:color w:val="auto"/>
                <w:szCs w:val="21"/>
                <w:highlight w:val="none"/>
              </w:rPr>
              <w:t xml:space="preserve"> (GB /T 7190.2)</w:t>
            </w:r>
          </w:p>
        </w:tc>
      </w:tr>
      <w:tr w14:paraId="0304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33" w:type="pct"/>
          </w:tcPr>
          <w:p w14:paraId="6CA2BD74">
            <w:pPr>
              <w:spacing w:line="360" w:lineRule="auto"/>
              <w:rPr>
                <w:rFonts w:ascii="宋体" w:cs="宋体"/>
                <w:color w:val="auto"/>
                <w:szCs w:val="21"/>
                <w:highlight w:val="none"/>
              </w:rPr>
            </w:pPr>
            <w:r>
              <w:rPr>
                <w:rFonts w:ascii="宋体" w:hAnsi="宋体" w:cs="宋体"/>
                <w:color w:val="auto"/>
                <w:szCs w:val="21"/>
                <w:highlight w:val="none"/>
              </w:rPr>
              <w:t>7</w:t>
            </w:r>
          </w:p>
        </w:tc>
        <w:tc>
          <w:tcPr>
            <w:tcW w:w="813" w:type="pct"/>
          </w:tcPr>
          <w:p w14:paraId="7EB7E401">
            <w:pPr>
              <w:spacing w:line="360" w:lineRule="auto"/>
              <w:rPr>
                <w:rFonts w:ascii="宋体" w:cs="宋体"/>
                <w:color w:val="auto"/>
                <w:szCs w:val="21"/>
                <w:highlight w:val="none"/>
              </w:rPr>
            </w:pPr>
            <w:r>
              <w:rPr>
                <w:rFonts w:ascii="宋体" w:hAnsi="宋体" w:cs="宋体"/>
                <w:color w:val="auto"/>
                <w:szCs w:val="21"/>
                <w:highlight w:val="none"/>
              </w:rPr>
              <w:t>A020601</w:t>
            </w:r>
            <w:r>
              <w:rPr>
                <w:rFonts w:hint="eastAsia" w:ascii="宋体" w:hAnsi="宋体" w:cs="宋体"/>
                <w:color w:val="auto"/>
                <w:szCs w:val="21"/>
                <w:highlight w:val="none"/>
              </w:rPr>
              <w:t>电机</w:t>
            </w:r>
          </w:p>
        </w:tc>
        <w:tc>
          <w:tcPr>
            <w:tcW w:w="1071" w:type="pct"/>
          </w:tcPr>
          <w:p w14:paraId="3C43DD2E">
            <w:pPr>
              <w:spacing w:line="360" w:lineRule="auto"/>
              <w:rPr>
                <w:rFonts w:ascii="宋体" w:cs="宋体"/>
                <w:color w:val="auto"/>
                <w:szCs w:val="21"/>
                <w:highlight w:val="none"/>
              </w:rPr>
            </w:pPr>
          </w:p>
        </w:tc>
        <w:tc>
          <w:tcPr>
            <w:tcW w:w="937" w:type="pct"/>
          </w:tcPr>
          <w:p w14:paraId="1756A758">
            <w:pPr>
              <w:spacing w:line="360" w:lineRule="auto"/>
              <w:rPr>
                <w:rFonts w:ascii="宋体" w:cs="宋体"/>
                <w:color w:val="auto"/>
                <w:szCs w:val="21"/>
                <w:highlight w:val="none"/>
              </w:rPr>
            </w:pPr>
          </w:p>
        </w:tc>
        <w:tc>
          <w:tcPr>
            <w:tcW w:w="1743" w:type="pct"/>
          </w:tcPr>
          <w:p w14:paraId="0DF14E0B">
            <w:pPr>
              <w:spacing w:line="360" w:lineRule="auto"/>
              <w:rPr>
                <w:rFonts w:ascii="宋体" w:cs="宋体"/>
                <w:color w:val="auto"/>
                <w:szCs w:val="21"/>
                <w:highlight w:val="none"/>
              </w:rPr>
            </w:pPr>
            <w:r>
              <w:rPr>
                <w:rFonts w:hint="eastAsia" w:ascii="宋体" w:hAnsi="宋体" w:cs="宋体"/>
                <w:color w:val="auto"/>
                <w:szCs w:val="21"/>
                <w:highlight w:val="none"/>
              </w:rPr>
              <w:t>《中小型三相异步电动机能效限定值及能效等级》</w:t>
            </w:r>
            <w:r>
              <w:rPr>
                <w:rFonts w:ascii="宋体" w:hAnsi="宋体" w:cs="宋体"/>
                <w:color w:val="auto"/>
                <w:szCs w:val="21"/>
                <w:highlight w:val="none"/>
              </w:rPr>
              <w:t xml:space="preserve"> (GB 18613)</w:t>
            </w:r>
          </w:p>
        </w:tc>
      </w:tr>
      <w:tr w14:paraId="1C46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7992DAE">
            <w:pPr>
              <w:spacing w:line="360" w:lineRule="auto"/>
              <w:rPr>
                <w:rFonts w:ascii="宋体" w:cs="宋体"/>
                <w:color w:val="auto"/>
                <w:szCs w:val="21"/>
                <w:highlight w:val="none"/>
              </w:rPr>
            </w:pPr>
            <w:r>
              <w:rPr>
                <w:rFonts w:ascii="宋体" w:hAnsi="宋体" w:cs="宋体"/>
                <w:color w:val="auto"/>
                <w:szCs w:val="21"/>
                <w:highlight w:val="none"/>
              </w:rPr>
              <w:t>8</w:t>
            </w:r>
          </w:p>
        </w:tc>
        <w:tc>
          <w:tcPr>
            <w:tcW w:w="813" w:type="pct"/>
          </w:tcPr>
          <w:p w14:paraId="421467C9">
            <w:pPr>
              <w:spacing w:line="360" w:lineRule="auto"/>
              <w:rPr>
                <w:rFonts w:ascii="宋体" w:cs="宋体"/>
                <w:color w:val="auto"/>
                <w:szCs w:val="21"/>
                <w:highlight w:val="none"/>
              </w:rPr>
            </w:pPr>
            <w:r>
              <w:rPr>
                <w:rFonts w:ascii="宋体" w:hAnsi="宋体" w:cs="宋体"/>
                <w:color w:val="auto"/>
                <w:szCs w:val="21"/>
                <w:highlight w:val="none"/>
              </w:rPr>
              <w:t>A020602</w:t>
            </w:r>
            <w:r>
              <w:rPr>
                <w:rFonts w:hint="eastAsia" w:ascii="宋体" w:hAnsi="宋体" w:cs="宋体"/>
                <w:color w:val="auto"/>
                <w:szCs w:val="21"/>
                <w:highlight w:val="none"/>
              </w:rPr>
              <w:t>变压器</w:t>
            </w:r>
          </w:p>
        </w:tc>
        <w:tc>
          <w:tcPr>
            <w:tcW w:w="1071" w:type="pct"/>
          </w:tcPr>
          <w:p w14:paraId="2590C481">
            <w:pPr>
              <w:spacing w:line="360" w:lineRule="auto"/>
              <w:rPr>
                <w:rFonts w:ascii="宋体" w:cs="宋体"/>
                <w:color w:val="auto"/>
                <w:szCs w:val="21"/>
                <w:highlight w:val="none"/>
              </w:rPr>
            </w:pPr>
            <w:r>
              <w:rPr>
                <w:rFonts w:hint="eastAsia" w:ascii="宋体" w:hAnsi="宋体" w:cs="宋体"/>
                <w:color w:val="auto"/>
                <w:szCs w:val="21"/>
                <w:highlight w:val="none"/>
              </w:rPr>
              <w:t>配电变压器</w:t>
            </w:r>
          </w:p>
        </w:tc>
        <w:tc>
          <w:tcPr>
            <w:tcW w:w="937" w:type="pct"/>
          </w:tcPr>
          <w:p w14:paraId="10C815BB">
            <w:pPr>
              <w:spacing w:line="360" w:lineRule="auto"/>
              <w:rPr>
                <w:rFonts w:ascii="宋体" w:cs="宋体"/>
                <w:color w:val="auto"/>
                <w:szCs w:val="21"/>
                <w:highlight w:val="none"/>
              </w:rPr>
            </w:pPr>
          </w:p>
        </w:tc>
        <w:tc>
          <w:tcPr>
            <w:tcW w:w="1743" w:type="pct"/>
          </w:tcPr>
          <w:p w14:paraId="38B5CE63">
            <w:pPr>
              <w:spacing w:line="360" w:lineRule="auto"/>
              <w:rPr>
                <w:rFonts w:ascii="宋体" w:cs="宋体"/>
                <w:color w:val="auto"/>
                <w:szCs w:val="21"/>
                <w:highlight w:val="none"/>
              </w:rPr>
            </w:pPr>
            <w:r>
              <w:rPr>
                <w:rFonts w:hint="eastAsia" w:ascii="宋体" w:hAnsi="宋体" w:cs="宋体"/>
                <w:color w:val="auto"/>
                <w:szCs w:val="21"/>
                <w:highlight w:val="none"/>
              </w:rPr>
              <w:t>《三相配电变压器能效限定值及能效等级》</w:t>
            </w:r>
            <w:r>
              <w:rPr>
                <w:rFonts w:ascii="宋体" w:hAnsi="宋体" w:cs="宋体"/>
                <w:color w:val="auto"/>
                <w:szCs w:val="21"/>
                <w:highlight w:val="none"/>
              </w:rPr>
              <w:t>(GB 20052)</w:t>
            </w:r>
          </w:p>
        </w:tc>
      </w:tr>
      <w:tr w14:paraId="596F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95AB965">
            <w:pPr>
              <w:spacing w:line="360" w:lineRule="auto"/>
              <w:rPr>
                <w:rFonts w:ascii="宋体" w:cs="宋体"/>
                <w:color w:val="auto"/>
                <w:szCs w:val="21"/>
                <w:highlight w:val="none"/>
              </w:rPr>
            </w:pPr>
            <w:r>
              <w:rPr>
                <w:rFonts w:ascii="宋体" w:hAnsi="宋体" w:cs="宋体"/>
                <w:color w:val="auto"/>
                <w:szCs w:val="21"/>
                <w:highlight w:val="none"/>
              </w:rPr>
              <w:t>9</w:t>
            </w:r>
          </w:p>
        </w:tc>
        <w:tc>
          <w:tcPr>
            <w:tcW w:w="813" w:type="pct"/>
          </w:tcPr>
          <w:p w14:paraId="4FB8C3A1">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A020609</w:t>
            </w:r>
            <w:r>
              <w:rPr>
                <w:rFonts w:hint="eastAsia" w:ascii="宋体" w:hAnsi="宋体" w:cs="宋体"/>
                <w:color w:val="auto"/>
                <w:szCs w:val="21"/>
                <w:highlight w:val="none"/>
              </w:rPr>
              <w:t>镇流器</w:t>
            </w:r>
          </w:p>
        </w:tc>
        <w:tc>
          <w:tcPr>
            <w:tcW w:w="1071" w:type="pct"/>
          </w:tcPr>
          <w:p w14:paraId="3340FDC3">
            <w:pPr>
              <w:spacing w:line="360" w:lineRule="auto"/>
              <w:rPr>
                <w:rFonts w:ascii="宋体" w:cs="宋体"/>
                <w:color w:val="auto"/>
                <w:szCs w:val="21"/>
                <w:highlight w:val="none"/>
              </w:rPr>
            </w:pPr>
            <w:r>
              <w:rPr>
                <w:rFonts w:hint="eastAsia" w:ascii="宋体" w:hAnsi="宋体" w:cs="宋体"/>
                <w:color w:val="auto"/>
                <w:szCs w:val="21"/>
                <w:highlight w:val="none"/>
              </w:rPr>
              <w:t>管型荧光灯镇流器</w:t>
            </w:r>
          </w:p>
        </w:tc>
        <w:tc>
          <w:tcPr>
            <w:tcW w:w="937" w:type="pct"/>
          </w:tcPr>
          <w:p w14:paraId="1B865C2D">
            <w:pPr>
              <w:spacing w:line="360" w:lineRule="auto"/>
              <w:rPr>
                <w:rFonts w:ascii="宋体" w:cs="宋体"/>
                <w:color w:val="auto"/>
                <w:szCs w:val="21"/>
                <w:highlight w:val="none"/>
              </w:rPr>
            </w:pPr>
          </w:p>
        </w:tc>
        <w:tc>
          <w:tcPr>
            <w:tcW w:w="1743" w:type="pct"/>
          </w:tcPr>
          <w:p w14:paraId="50CA90BD">
            <w:pPr>
              <w:tabs>
                <w:tab w:val="left" w:pos="628"/>
              </w:tabs>
              <w:spacing w:line="360" w:lineRule="auto"/>
              <w:jc w:val="left"/>
              <w:rPr>
                <w:rFonts w:ascii="宋体" w:cs="宋体"/>
                <w:color w:val="auto"/>
                <w:szCs w:val="21"/>
                <w:highlight w:val="none"/>
              </w:rPr>
            </w:pPr>
            <w:r>
              <w:rPr>
                <w:rFonts w:hint="eastAsia" w:ascii="宋体" w:hAnsi="宋体" w:cs="宋体"/>
                <w:color w:val="auto"/>
                <w:szCs w:val="21"/>
                <w:highlight w:val="none"/>
              </w:rPr>
              <w:t>《管形荧光灯镇流器能效限定值及能效等级》</w:t>
            </w:r>
            <w:r>
              <w:rPr>
                <w:rFonts w:ascii="宋体" w:hAnsi="宋体" w:cs="宋体"/>
                <w:color w:val="auto"/>
                <w:szCs w:val="21"/>
                <w:highlight w:val="none"/>
              </w:rPr>
              <w:t>(GB 17896)</w:t>
            </w:r>
          </w:p>
        </w:tc>
      </w:tr>
      <w:tr w14:paraId="5551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14:paraId="141E9F80">
            <w:pPr>
              <w:spacing w:line="360" w:lineRule="auto"/>
              <w:rPr>
                <w:rFonts w:ascii="宋体" w:cs="宋体"/>
                <w:color w:val="auto"/>
                <w:szCs w:val="21"/>
                <w:highlight w:val="none"/>
              </w:rPr>
            </w:pPr>
          </w:p>
          <w:p w14:paraId="31052F73">
            <w:pPr>
              <w:spacing w:line="360" w:lineRule="auto"/>
              <w:rPr>
                <w:rFonts w:ascii="宋体" w:cs="宋体"/>
                <w:color w:val="auto"/>
                <w:szCs w:val="21"/>
                <w:highlight w:val="none"/>
              </w:rPr>
            </w:pPr>
          </w:p>
          <w:p w14:paraId="308F5E00">
            <w:pPr>
              <w:spacing w:line="360" w:lineRule="auto"/>
              <w:rPr>
                <w:rFonts w:ascii="宋体" w:cs="宋体"/>
                <w:color w:val="auto"/>
                <w:szCs w:val="21"/>
                <w:highlight w:val="none"/>
              </w:rPr>
            </w:pPr>
            <w:r>
              <w:rPr>
                <w:rFonts w:ascii="宋体" w:hAnsi="宋体" w:cs="宋体"/>
                <w:color w:val="auto"/>
                <w:szCs w:val="21"/>
                <w:highlight w:val="none"/>
              </w:rPr>
              <w:t>10</w:t>
            </w:r>
          </w:p>
        </w:tc>
        <w:tc>
          <w:tcPr>
            <w:tcW w:w="813" w:type="pct"/>
            <w:vMerge w:val="restart"/>
          </w:tcPr>
          <w:p w14:paraId="6859877D">
            <w:pPr>
              <w:spacing w:line="360" w:lineRule="auto"/>
              <w:rPr>
                <w:rFonts w:ascii="宋体" w:cs="宋体"/>
                <w:color w:val="auto"/>
                <w:szCs w:val="21"/>
                <w:highlight w:val="none"/>
              </w:rPr>
            </w:pPr>
          </w:p>
          <w:p w14:paraId="3E6D69E7">
            <w:pPr>
              <w:spacing w:line="360" w:lineRule="auto"/>
              <w:rPr>
                <w:rFonts w:ascii="宋体" w:cs="宋体"/>
                <w:color w:val="auto"/>
                <w:szCs w:val="21"/>
                <w:highlight w:val="none"/>
              </w:rPr>
            </w:pPr>
          </w:p>
          <w:p w14:paraId="406D6330">
            <w:pPr>
              <w:spacing w:line="360" w:lineRule="auto"/>
              <w:rPr>
                <w:rFonts w:ascii="宋体" w:cs="宋体"/>
                <w:color w:val="auto"/>
                <w:szCs w:val="21"/>
                <w:highlight w:val="none"/>
              </w:rPr>
            </w:pPr>
          </w:p>
          <w:p w14:paraId="296AC208">
            <w:pPr>
              <w:spacing w:line="360" w:lineRule="auto"/>
              <w:rPr>
                <w:rFonts w:ascii="宋体" w:cs="宋体"/>
                <w:color w:val="auto"/>
                <w:szCs w:val="21"/>
                <w:highlight w:val="none"/>
              </w:rPr>
            </w:pPr>
            <w:r>
              <w:rPr>
                <w:rFonts w:ascii="宋体" w:hAnsi="宋体" w:cs="宋体"/>
                <w:color w:val="auto"/>
                <w:szCs w:val="21"/>
                <w:highlight w:val="none"/>
              </w:rPr>
              <w:t>A020618</w:t>
            </w:r>
            <w:r>
              <w:rPr>
                <w:rFonts w:hint="eastAsia" w:ascii="宋体" w:hAnsi="宋体" w:cs="宋体"/>
                <w:color w:val="auto"/>
                <w:szCs w:val="21"/>
                <w:highlight w:val="none"/>
              </w:rPr>
              <w:t>生活用电器</w:t>
            </w:r>
          </w:p>
        </w:tc>
        <w:tc>
          <w:tcPr>
            <w:tcW w:w="1071" w:type="pct"/>
          </w:tcPr>
          <w:p w14:paraId="703C93E3">
            <w:pPr>
              <w:spacing w:line="360" w:lineRule="auto"/>
              <w:rPr>
                <w:rFonts w:ascii="宋体" w:cs="宋体"/>
                <w:color w:val="auto"/>
                <w:szCs w:val="21"/>
                <w:highlight w:val="none"/>
              </w:rPr>
            </w:pPr>
            <w:r>
              <w:rPr>
                <w:rFonts w:ascii="宋体" w:hAnsi="宋体" w:cs="宋体"/>
                <w:color w:val="auto"/>
                <w:szCs w:val="21"/>
                <w:highlight w:val="none"/>
              </w:rPr>
              <w:t>A0206180101</w:t>
            </w:r>
            <w:r>
              <w:rPr>
                <w:rFonts w:hint="eastAsia" w:ascii="宋体" w:hAnsi="宋体" w:cs="宋体"/>
                <w:color w:val="auto"/>
                <w:szCs w:val="21"/>
                <w:highlight w:val="none"/>
              </w:rPr>
              <w:t>电冰箱</w:t>
            </w:r>
          </w:p>
        </w:tc>
        <w:tc>
          <w:tcPr>
            <w:tcW w:w="937" w:type="pct"/>
          </w:tcPr>
          <w:p w14:paraId="6625080E">
            <w:pPr>
              <w:spacing w:line="360" w:lineRule="auto"/>
              <w:rPr>
                <w:rFonts w:ascii="宋体" w:cs="宋体"/>
                <w:color w:val="auto"/>
                <w:szCs w:val="21"/>
                <w:highlight w:val="none"/>
              </w:rPr>
            </w:pPr>
          </w:p>
        </w:tc>
        <w:tc>
          <w:tcPr>
            <w:tcW w:w="1743" w:type="pct"/>
          </w:tcPr>
          <w:p w14:paraId="2E9D1C21">
            <w:pPr>
              <w:spacing w:line="360" w:lineRule="auto"/>
              <w:rPr>
                <w:rFonts w:ascii="宋体" w:cs="宋体"/>
                <w:color w:val="auto"/>
                <w:szCs w:val="21"/>
                <w:highlight w:val="none"/>
              </w:rPr>
            </w:pPr>
            <w:r>
              <w:rPr>
                <w:rFonts w:hint="eastAsia" w:ascii="宋体" w:hAnsi="宋体" w:cs="宋体"/>
                <w:color w:val="auto"/>
                <w:szCs w:val="21"/>
                <w:highlight w:val="none"/>
              </w:rPr>
              <w:t>《家用电冰箱耗电量限定值及能效等级》</w:t>
            </w:r>
            <w:r>
              <w:rPr>
                <w:rFonts w:ascii="宋体" w:hAnsi="宋体" w:cs="宋体"/>
                <w:color w:val="auto"/>
                <w:szCs w:val="21"/>
                <w:highlight w:val="none"/>
              </w:rPr>
              <w:t xml:space="preserve"> (GB 12021.2)</w:t>
            </w:r>
          </w:p>
        </w:tc>
      </w:tr>
      <w:tr w14:paraId="22C0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B7AF2D9">
            <w:pPr>
              <w:spacing w:line="360" w:lineRule="auto"/>
              <w:rPr>
                <w:rFonts w:ascii="宋体" w:cs="宋体"/>
                <w:color w:val="auto"/>
                <w:szCs w:val="21"/>
                <w:highlight w:val="none"/>
              </w:rPr>
            </w:pPr>
          </w:p>
        </w:tc>
        <w:tc>
          <w:tcPr>
            <w:tcW w:w="813" w:type="pct"/>
            <w:vMerge w:val="continue"/>
          </w:tcPr>
          <w:p w14:paraId="33341A2D">
            <w:pPr>
              <w:spacing w:line="360" w:lineRule="auto"/>
              <w:rPr>
                <w:rFonts w:ascii="宋体" w:cs="宋体"/>
                <w:color w:val="auto"/>
                <w:szCs w:val="21"/>
                <w:highlight w:val="none"/>
              </w:rPr>
            </w:pPr>
          </w:p>
        </w:tc>
        <w:tc>
          <w:tcPr>
            <w:tcW w:w="1071" w:type="pct"/>
            <w:vMerge w:val="restart"/>
          </w:tcPr>
          <w:p w14:paraId="1AA4A317">
            <w:pPr>
              <w:spacing w:line="360" w:lineRule="auto"/>
              <w:rPr>
                <w:rFonts w:ascii="宋体" w:cs="宋体"/>
                <w:color w:val="auto"/>
                <w:szCs w:val="21"/>
                <w:highlight w:val="none"/>
              </w:rPr>
            </w:pPr>
          </w:p>
          <w:p w14:paraId="45B53E6F">
            <w:pPr>
              <w:spacing w:line="360" w:lineRule="auto"/>
              <w:rPr>
                <w:rFonts w:ascii="宋体" w:cs="宋体"/>
                <w:color w:val="auto"/>
                <w:szCs w:val="21"/>
                <w:highlight w:val="none"/>
              </w:rPr>
            </w:pPr>
          </w:p>
          <w:p w14:paraId="6A5D6A99">
            <w:pPr>
              <w:autoSpaceDE w:val="0"/>
              <w:autoSpaceDN w:val="0"/>
              <w:adjustRightInd w:val="0"/>
              <w:spacing w:line="360" w:lineRule="auto"/>
              <w:rPr>
                <w:rFonts w:ascii="宋体" w:cs="宋体"/>
                <w:color w:val="auto"/>
                <w:kern w:val="0"/>
                <w:szCs w:val="21"/>
                <w:highlight w:val="none"/>
              </w:rPr>
            </w:pPr>
          </w:p>
          <w:p w14:paraId="21828527">
            <w:pPr>
              <w:spacing w:line="360" w:lineRule="auto"/>
              <w:rPr>
                <w:color w:val="auto"/>
                <w:sz w:val="24"/>
                <w:highlight w:val="none"/>
              </w:rPr>
            </w:pPr>
          </w:p>
          <w:p w14:paraId="49E28E71">
            <w:pPr>
              <w:autoSpaceDE w:val="0"/>
              <w:autoSpaceDN w:val="0"/>
              <w:adjustRightInd w:val="0"/>
              <w:spacing w:line="360" w:lineRule="auto"/>
              <w:rPr>
                <w:rFonts w:ascii="宋体" w:cs="宋体"/>
                <w:color w:val="auto"/>
                <w:kern w:val="0"/>
                <w:sz w:val="24"/>
                <w:highlight w:val="none"/>
              </w:rPr>
            </w:pPr>
          </w:p>
          <w:p w14:paraId="439DA40D">
            <w:pPr>
              <w:spacing w:line="360" w:lineRule="auto"/>
              <w:rPr>
                <w:rFonts w:ascii="宋体" w:cs="宋体"/>
                <w:color w:val="auto"/>
                <w:szCs w:val="21"/>
                <w:highlight w:val="none"/>
              </w:rPr>
            </w:pPr>
          </w:p>
          <w:p w14:paraId="0F85D06F">
            <w:pPr>
              <w:spacing w:line="360" w:lineRule="auto"/>
              <w:rPr>
                <w:rFonts w:ascii="宋体" w:cs="宋体"/>
                <w:color w:val="auto"/>
                <w:szCs w:val="21"/>
                <w:highlight w:val="none"/>
              </w:rPr>
            </w:pPr>
            <w:r>
              <w:rPr>
                <w:rFonts w:ascii="宋体" w:hAnsi="宋体" w:cs="宋体"/>
                <w:color w:val="auto"/>
                <w:szCs w:val="21"/>
                <w:highlight w:val="none"/>
              </w:rPr>
              <w:t>A0206180203</w:t>
            </w:r>
            <w:r>
              <w:rPr>
                <w:rFonts w:hint="eastAsia" w:ascii="宋体" w:hAnsi="宋体" w:cs="宋体"/>
                <w:color w:val="auto"/>
                <w:szCs w:val="21"/>
                <w:highlight w:val="none"/>
              </w:rPr>
              <w:t>空调机</w:t>
            </w:r>
          </w:p>
          <w:p w14:paraId="3B29F8E7">
            <w:pPr>
              <w:spacing w:line="360" w:lineRule="auto"/>
              <w:rPr>
                <w:rFonts w:ascii="宋体" w:cs="宋体"/>
                <w:color w:val="auto"/>
                <w:szCs w:val="21"/>
                <w:highlight w:val="none"/>
              </w:rPr>
            </w:pPr>
          </w:p>
          <w:p w14:paraId="72D9319D">
            <w:pPr>
              <w:spacing w:line="360" w:lineRule="auto"/>
              <w:rPr>
                <w:rFonts w:ascii="宋体" w:cs="宋体"/>
                <w:color w:val="auto"/>
                <w:szCs w:val="21"/>
                <w:highlight w:val="none"/>
              </w:rPr>
            </w:pPr>
          </w:p>
        </w:tc>
        <w:tc>
          <w:tcPr>
            <w:tcW w:w="937" w:type="pct"/>
          </w:tcPr>
          <w:p w14:paraId="074CA67C">
            <w:pPr>
              <w:spacing w:line="360" w:lineRule="auto"/>
              <w:rPr>
                <w:rFonts w:ascii="宋体" w:cs="宋体"/>
                <w:color w:val="auto"/>
                <w:szCs w:val="21"/>
                <w:highlight w:val="none"/>
              </w:rPr>
            </w:pPr>
          </w:p>
          <w:p w14:paraId="13E7172F">
            <w:pPr>
              <w:spacing w:line="360" w:lineRule="auto"/>
              <w:rPr>
                <w:rFonts w:ascii="宋体" w:cs="宋体"/>
                <w:color w:val="auto"/>
                <w:szCs w:val="21"/>
                <w:highlight w:val="none"/>
              </w:rPr>
            </w:pPr>
            <w:r>
              <w:rPr>
                <w:rFonts w:hint="eastAsia" w:ascii="宋体" w:hAnsi="宋体" w:cs="宋体"/>
                <w:color w:val="auto"/>
                <w:szCs w:val="21"/>
                <w:highlight w:val="none"/>
              </w:rPr>
              <w:t>房间空气调节器</w:t>
            </w:r>
          </w:p>
        </w:tc>
        <w:tc>
          <w:tcPr>
            <w:tcW w:w="1743" w:type="pct"/>
          </w:tcPr>
          <w:p w14:paraId="72BEC8AA">
            <w:pPr>
              <w:spacing w:line="360" w:lineRule="auto"/>
              <w:rPr>
                <w:rFonts w:ascii="宋体" w:cs="宋体"/>
                <w:color w:val="auto"/>
                <w:szCs w:val="21"/>
                <w:highlight w:val="none"/>
              </w:rPr>
            </w:pPr>
            <w:r>
              <w:rPr>
                <w:rFonts w:hint="eastAsia" w:ascii="宋体" w:hAnsi="宋体" w:cs="宋体"/>
                <w:color w:val="auto"/>
                <w:szCs w:val="21"/>
                <w:highlight w:val="none"/>
              </w:rPr>
              <w:t>《转速可控型房间空气调节器能效限定值及能效等级》</w:t>
            </w:r>
            <w:r>
              <w:rPr>
                <w:rFonts w:ascii="宋体" w:hAnsi="宋体" w:cs="宋体"/>
                <w:color w:val="auto"/>
                <w:szCs w:val="21"/>
                <w:highlight w:val="none"/>
              </w:rPr>
              <w:t xml:space="preserve"> (GB21455-2013)</w:t>
            </w:r>
            <w:r>
              <w:rPr>
                <w:rFonts w:hint="eastAsia" w:ascii="宋体" w:hAnsi="宋体" w:cs="宋体"/>
                <w:color w:val="auto"/>
                <w:szCs w:val="21"/>
                <w:highlight w:val="none"/>
              </w:rPr>
              <w:t>，待</w:t>
            </w:r>
            <w:r>
              <w:rPr>
                <w:rFonts w:ascii="宋体" w:hAnsi="宋体" w:cs="宋体"/>
                <w:color w:val="auto"/>
                <w:szCs w:val="21"/>
                <w:highlight w:val="none"/>
              </w:rPr>
              <w:t>2019</w:t>
            </w:r>
            <w:r>
              <w:rPr>
                <w:rFonts w:hint="eastAsia" w:ascii="宋体" w:hAnsi="宋体" w:cs="宋体"/>
                <w:color w:val="auto"/>
                <w:szCs w:val="21"/>
                <w:highlight w:val="none"/>
              </w:rPr>
              <w:t>年修订发布后，按《房间空气调节器能效限定值及能效等级》</w:t>
            </w:r>
            <w:r>
              <w:rPr>
                <w:rFonts w:ascii="宋体" w:hAnsi="宋体" w:cs="宋体"/>
                <w:color w:val="auto"/>
                <w:szCs w:val="21"/>
                <w:highlight w:val="none"/>
              </w:rPr>
              <w:t>(GB2145-2019)</w:t>
            </w:r>
            <w:r>
              <w:rPr>
                <w:rFonts w:hint="eastAsia" w:ascii="宋体" w:hAnsi="宋体" w:cs="宋体"/>
                <w:color w:val="auto"/>
                <w:szCs w:val="21"/>
                <w:highlight w:val="none"/>
              </w:rPr>
              <w:t>实施</w:t>
            </w:r>
            <w:r>
              <w:rPr>
                <w:rFonts w:ascii="宋体" w:hAnsi="宋体" w:cs="宋体"/>
                <w:color w:val="auto"/>
                <w:szCs w:val="21"/>
                <w:highlight w:val="none"/>
              </w:rPr>
              <w:t xml:space="preserve"> </w:t>
            </w:r>
            <w:r>
              <w:rPr>
                <w:rFonts w:hint="eastAsia" w:ascii="宋体" w:hAnsi="宋体" w:cs="宋体"/>
                <w:color w:val="auto"/>
                <w:szCs w:val="21"/>
                <w:highlight w:val="none"/>
              </w:rPr>
              <w:t>。</w:t>
            </w:r>
          </w:p>
        </w:tc>
      </w:tr>
      <w:tr w14:paraId="1F98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26AACEA">
            <w:pPr>
              <w:spacing w:line="360" w:lineRule="auto"/>
              <w:rPr>
                <w:rFonts w:ascii="宋体" w:cs="宋体"/>
                <w:color w:val="auto"/>
                <w:szCs w:val="21"/>
                <w:highlight w:val="none"/>
              </w:rPr>
            </w:pPr>
          </w:p>
        </w:tc>
        <w:tc>
          <w:tcPr>
            <w:tcW w:w="813" w:type="pct"/>
            <w:vMerge w:val="continue"/>
          </w:tcPr>
          <w:p w14:paraId="432E3660">
            <w:pPr>
              <w:spacing w:line="360" w:lineRule="auto"/>
              <w:rPr>
                <w:rFonts w:ascii="宋体" w:cs="宋体"/>
                <w:color w:val="auto"/>
                <w:szCs w:val="21"/>
                <w:highlight w:val="none"/>
              </w:rPr>
            </w:pPr>
          </w:p>
        </w:tc>
        <w:tc>
          <w:tcPr>
            <w:tcW w:w="1071" w:type="pct"/>
            <w:vMerge w:val="continue"/>
          </w:tcPr>
          <w:p w14:paraId="0E3C568C">
            <w:pPr>
              <w:spacing w:line="360" w:lineRule="auto"/>
              <w:rPr>
                <w:rFonts w:ascii="宋体" w:cs="宋体"/>
                <w:color w:val="auto"/>
                <w:szCs w:val="21"/>
                <w:highlight w:val="none"/>
              </w:rPr>
            </w:pPr>
          </w:p>
        </w:tc>
        <w:tc>
          <w:tcPr>
            <w:tcW w:w="937" w:type="pct"/>
          </w:tcPr>
          <w:p w14:paraId="13440255">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组</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14:paraId="00E9A222">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定值及能源效率等级》</w:t>
            </w:r>
            <w:r>
              <w:rPr>
                <w:rFonts w:ascii="宋体" w:hAnsi="宋体" w:cs="宋体"/>
                <w:color w:val="auto"/>
                <w:szCs w:val="21"/>
                <w:highlight w:val="none"/>
              </w:rPr>
              <w:t>(GB 21454)</w:t>
            </w:r>
          </w:p>
        </w:tc>
      </w:tr>
      <w:tr w14:paraId="02B1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48A81B09">
            <w:pPr>
              <w:spacing w:line="360" w:lineRule="auto"/>
              <w:rPr>
                <w:rFonts w:ascii="宋体" w:cs="宋体"/>
                <w:color w:val="auto"/>
                <w:szCs w:val="21"/>
                <w:highlight w:val="none"/>
              </w:rPr>
            </w:pPr>
          </w:p>
        </w:tc>
        <w:tc>
          <w:tcPr>
            <w:tcW w:w="813" w:type="pct"/>
            <w:vMerge w:val="continue"/>
          </w:tcPr>
          <w:p w14:paraId="5909D9BF">
            <w:pPr>
              <w:spacing w:line="360" w:lineRule="auto"/>
              <w:rPr>
                <w:rFonts w:ascii="宋体" w:cs="宋体"/>
                <w:color w:val="auto"/>
                <w:szCs w:val="21"/>
                <w:highlight w:val="none"/>
              </w:rPr>
            </w:pPr>
          </w:p>
        </w:tc>
        <w:tc>
          <w:tcPr>
            <w:tcW w:w="1071" w:type="pct"/>
            <w:vMerge w:val="continue"/>
          </w:tcPr>
          <w:p w14:paraId="5263FFAD">
            <w:pPr>
              <w:spacing w:line="360" w:lineRule="auto"/>
              <w:rPr>
                <w:rFonts w:ascii="宋体" w:cs="宋体"/>
                <w:color w:val="auto"/>
                <w:szCs w:val="21"/>
                <w:highlight w:val="none"/>
              </w:rPr>
            </w:pPr>
          </w:p>
        </w:tc>
        <w:tc>
          <w:tcPr>
            <w:tcW w:w="937" w:type="pct"/>
          </w:tcPr>
          <w:p w14:paraId="5A7B7347">
            <w:pPr>
              <w:spacing w:line="360" w:lineRule="auto"/>
              <w:rPr>
                <w:rFonts w:ascii="宋体" w:cs="宋体"/>
                <w:color w:val="auto"/>
                <w:szCs w:val="21"/>
                <w:highlight w:val="none"/>
              </w:rPr>
            </w:pPr>
            <w:r>
              <w:rPr>
                <w:rFonts w:hint="eastAsia" w:ascii="宋体" w:hAnsi="宋体" w:cs="宋体"/>
                <w:color w:val="auto"/>
                <w:szCs w:val="21"/>
                <w:highlight w:val="none"/>
              </w:rPr>
              <w:t>单元式空气调节</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14:paraId="1891DB84">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w:t>
            </w:r>
            <w:r>
              <w:rPr>
                <w:rFonts w:ascii="宋体" w:hAnsi="宋体" w:cs="宋体"/>
                <w:color w:val="auto"/>
                <w:szCs w:val="21"/>
                <w:highlight w:val="none"/>
              </w:rPr>
              <w:t xml:space="preserve"> </w:t>
            </w:r>
            <w:r>
              <w:rPr>
                <w:rFonts w:hint="eastAsia" w:ascii="宋体" w:hAnsi="宋体" w:cs="宋体"/>
                <w:color w:val="auto"/>
                <w:szCs w:val="21"/>
                <w:highlight w:val="none"/>
              </w:rPr>
              <w:t>及能源效率等级》</w:t>
            </w:r>
            <w:r>
              <w:rPr>
                <w:rFonts w:ascii="宋体" w:hAnsi="宋体" w:cs="宋体"/>
                <w:color w:val="auto"/>
                <w:szCs w:val="21"/>
                <w:highlight w:val="none"/>
              </w:rPr>
              <w:t>(GB 19576)</w:t>
            </w:r>
            <w:r>
              <w:rPr>
                <w:rFonts w:hint="eastAsia" w:ascii="宋体" w:hAnsi="宋体" w:cs="宋体"/>
                <w:color w:val="auto"/>
                <w:szCs w:val="21"/>
                <w:highlight w:val="none"/>
              </w:rPr>
              <w:t>《风管送风式空调机组能效限定值及</w:t>
            </w:r>
            <w:r>
              <w:rPr>
                <w:rFonts w:ascii="宋体" w:hAnsi="宋体" w:cs="宋体"/>
                <w:color w:val="auto"/>
                <w:szCs w:val="21"/>
                <w:highlight w:val="none"/>
              </w:rPr>
              <w:t xml:space="preserve"> </w:t>
            </w:r>
            <w:r>
              <w:rPr>
                <w:rFonts w:hint="eastAsia" w:ascii="宋体" w:hAnsi="宋体" w:cs="宋体"/>
                <w:color w:val="auto"/>
                <w:szCs w:val="21"/>
                <w:highlight w:val="none"/>
              </w:rPr>
              <w:t>能效等级》</w:t>
            </w:r>
            <w:r>
              <w:rPr>
                <w:rFonts w:ascii="宋体" w:hAnsi="宋体" w:cs="宋体"/>
                <w:color w:val="auto"/>
                <w:szCs w:val="21"/>
                <w:highlight w:val="none"/>
              </w:rPr>
              <w:t xml:space="preserve"> (GB 37479)</w:t>
            </w:r>
          </w:p>
        </w:tc>
      </w:tr>
      <w:tr w14:paraId="0097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557C886B">
            <w:pPr>
              <w:spacing w:line="360" w:lineRule="auto"/>
              <w:rPr>
                <w:rFonts w:ascii="宋体" w:cs="宋体"/>
                <w:color w:val="auto"/>
                <w:szCs w:val="21"/>
                <w:highlight w:val="none"/>
              </w:rPr>
            </w:pPr>
          </w:p>
        </w:tc>
        <w:tc>
          <w:tcPr>
            <w:tcW w:w="813" w:type="pct"/>
            <w:vMerge w:val="continue"/>
          </w:tcPr>
          <w:p w14:paraId="1377FF4E">
            <w:pPr>
              <w:spacing w:line="360" w:lineRule="auto"/>
              <w:rPr>
                <w:rFonts w:ascii="宋体" w:cs="宋体"/>
                <w:color w:val="auto"/>
                <w:szCs w:val="21"/>
                <w:highlight w:val="none"/>
              </w:rPr>
            </w:pPr>
          </w:p>
        </w:tc>
        <w:tc>
          <w:tcPr>
            <w:tcW w:w="1071" w:type="pct"/>
          </w:tcPr>
          <w:p w14:paraId="33787B42">
            <w:pPr>
              <w:spacing w:line="360" w:lineRule="auto"/>
              <w:rPr>
                <w:rFonts w:ascii="宋体" w:cs="宋体"/>
                <w:color w:val="auto"/>
                <w:szCs w:val="21"/>
                <w:highlight w:val="none"/>
              </w:rPr>
            </w:pPr>
          </w:p>
          <w:p w14:paraId="1EB69BF2">
            <w:pPr>
              <w:spacing w:line="360" w:lineRule="auto"/>
              <w:rPr>
                <w:rFonts w:ascii="宋体" w:cs="宋体"/>
                <w:color w:val="auto"/>
                <w:szCs w:val="21"/>
                <w:highlight w:val="none"/>
              </w:rPr>
            </w:pPr>
            <w:r>
              <w:rPr>
                <w:rFonts w:ascii="宋体" w:hAnsi="宋体" w:cs="宋体"/>
                <w:color w:val="auto"/>
                <w:szCs w:val="21"/>
                <w:highlight w:val="none"/>
              </w:rPr>
              <w:t>A020618301</w:t>
            </w:r>
            <w:r>
              <w:rPr>
                <w:rFonts w:hint="eastAsia" w:ascii="宋体" w:hAnsi="宋体" w:cs="宋体"/>
                <w:color w:val="auto"/>
                <w:szCs w:val="21"/>
                <w:highlight w:val="none"/>
              </w:rPr>
              <w:t>洗衣机</w:t>
            </w:r>
          </w:p>
        </w:tc>
        <w:tc>
          <w:tcPr>
            <w:tcW w:w="937" w:type="pct"/>
          </w:tcPr>
          <w:p w14:paraId="702F7EFB">
            <w:pPr>
              <w:spacing w:line="360" w:lineRule="auto"/>
              <w:rPr>
                <w:rFonts w:ascii="宋体" w:cs="宋体"/>
                <w:color w:val="auto"/>
                <w:szCs w:val="21"/>
                <w:highlight w:val="none"/>
              </w:rPr>
            </w:pPr>
          </w:p>
        </w:tc>
        <w:tc>
          <w:tcPr>
            <w:tcW w:w="1743" w:type="pct"/>
          </w:tcPr>
          <w:p w14:paraId="6DFA822E">
            <w:pPr>
              <w:spacing w:line="360" w:lineRule="auto"/>
              <w:rPr>
                <w:rFonts w:ascii="宋体" w:cs="宋体"/>
                <w:color w:val="auto"/>
                <w:szCs w:val="21"/>
                <w:highlight w:val="none"/>
              </w:rPr>
            </w:pPr>
            <w:r>
              <w:rPr>
                <w:rFonts w:hint="eastAsia" w:ascii="宋体" w:hAnsi="宋体" w:cs="宋体"/>
                <w:color w:val="auto"/>
                <w:szCs w:val="21"/>
                <w:highlight w:val="none"/>
              </w:rPr>
              <w:t>《电动洗衣机能效水效限定值及等级》</w:t>
            </w:r>
            <w:r>
              <w:rPr>
                <w:rFonts w:ascii="宋体" w:hAnsi="宋体" w:cs="宋体"/>
                <w:color w:val="auto"/>
                <w:szCs w:val="21"/>
                <w:highlight w:val="none"/>
              </w:rPr>
              <w:t xml:space="preserve">  (GB 12021.4)</w:t>
            </w:r>
          </w:p>
        </w:tc>
      </w:tr>
      <w:tr w14:paraId="52A5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16435AFC">
            <w:pPr>
              <w:spacing w:line="360" w:lineRule="auto"/>
              <w:rPr>
                <w:rFonts w:ascii="宋体" w:cs="宋体"/>
                <w:color w:val="auto"/>
                <w:szCs w:val="21"/>
                <w:highlight w:val="none"/>
              </w:rPr>
            </w:pPr>
          </w:p>
        </w:tc>
        <w:tc>
          <w:tcPr>
            <w:tcW w:w="813" w:type="pct"/>
            <w:vMerge w:val="continue"/>
          </w:tcPr>
          <w:p w14:paraId="2D39E97B">
            <w:pPr>
              <w:spacing w:line="360" w:lineRule="auto"/>
              <w:rPr>
                <w:rFonts w:ascii="宋体" w:cs="宋体"/>
                <w:color w:val="auto"/>
                <w:szCs w:val="21"/>
                <w:highlight w:val="none"/>
              </w:rPr>
            </w:pPr>
          </w:p>
        </w:tc>
        <w:tc>
          <w:tcPr>
            <w:tcW w:w="1071" w:type="pct"/>
            <w:vMerge w:val="restart"/>
          </w:tcPr>
          <w:p w14:paraId="75DEA693">
            <w:pPr>
              <w:spacing w:line="360" w:lineRule="auto"/>
              <w:rPr>
                <w:rFonts w:ascii="宋体" w:cs="宋体"/>
                <w:color w:val="auto"/>
                <w:szCs w:val="21"/>
                <w:highlight w:val="none"/>
              </w:rPr>
            </w:pPr>
          </w:p>
          <w:p w14:paraId="3E9CF590">
            <w:pPr>
              <w:spacing w:line="360" w:lineRule="auto"/>
              <w:rPr>
                <w:rFonts w:ascii="宋体" w:cs="宋体"/>
                <w:color w:val="auto"/>
                <w:szCs w:val="21"/>
                <w:highlight w:val="none"/>
              </w:rPr>
            </w:pPr>
          </w:p>
          <w:p w14:paraId="1A2C062C">
            <w:pPr>
              <w:spacing w:line="360" w:lineRule="auto"/>
              <w:rPr>
                <w:rFonts w:ascii="宋体" w:cs="宋体"/>
                <w:color w:val="auto"/>
                <w:szCs w:val="21"/>
                <w:highlight w:val="none"/>
              </w:rPr>
            </w:pPr>
          </w:p>
          <w:p w14:paraId="4C1DC304">
            <w:pPr>
              <w:spacing w:line="360" w:lineRule="auto"/>
              <w:rPr>
                <w:rFonts w:ascii="宋体" w:cs="宋体"/>
                <w:color w:val="auto"/>
                <w:szCs w:val="21"/>
                <w:highlight w:val="none"/>
              </w:rPr>
            </w:pPr>
            <w:r>
              <w:rPr>
                <w:rFonts w:ascii="宋体" w:hAnsi="宋体" w:cs="宋体"/>
                <w:color w:val="auto"/>
                <w:szCs w:val="21"/>
                <w:highlight w:val="none"/>
              </w:rPr>
              <w:t>A02061808</w:t>
            </w:r>
            <w:r>
              <w:rPr>
                <w:rFonts w:hint="eastAsia" w:ascii="宋体" w:hAnsi="宋体" w:cs="宋体"/>
                <w:color w:val="auto"/>
                <w:szCs w:val="21"/>
                <w:highlight w:val="none"/>
              </w:rPr>
              <w:t>热水器</w:t>
            </w:r>
          </w:p>
        </w:tc>
        <w:tc>
          <w:tcPr>
            <w:tcW w:w="937" w:type="pct"/>
          </w:tcPr>
          <w:p w14:paraId="273ED4FA">
            <w:pPr>
              <w:spacing w:line="360" w:lineRule="auto"/>
              <w:rPr>
                <w:rFonts w:ascii="宋体" w:cs="宋体"/>
                <w:color w:val="auto"/>
                <w:szCs w:val="21"/>
                <w:highlight w:val="none"/>
              </w:rPr>
            </w:pPr>
            <w:r>
              <w:rPr>
                <w:rFonts w:hint="eastAsia" w:ascii="宋体" w:hAnsi="宋体" w:cs="宋体"/>
                <w:color w:val="auto"/>
                <w:szCs w:val="21"/>
                <w:highlight w:val="none"/>
              </w:rPr>
              <w:t>★电热水器</w:t>
            </w:r>
          </w:p>
        </w:tc>
        <w:tc>
          <w:tcPr>
            <w:tcW w:w="1743" w:type="pct"/>
          </w:tcPr>
          <w:p w14:paraId="5C3199CE">
            <w:pPr>
              <w:spacing w:line="360" w:lineRule="auto"/>
              <w:rPr>
                <w:rFonts w:ascii="宋体" w:cs="宋体"/>
                <w:color w:val="auto"/>
                <w:szCs w:val="21"/>
                <w:highlight w:val="none"/>
              </w:rPr>
            </w:pPr>
            <w:r>
              <w:rPr>
                <w:rFonts w:hint="eastAsia" w:ascii="宋体" w:hAnsi="宋体" w:cs="宋体"/>
                <w:color w:val="auto"/>
                <w:szCs w:val="21"/>
                <w:highlight w:val="none"/>
              </w:rPr>
              <w:t>《储水式电热水器能效限定值及能效等级》</w:t>
            </w:r>
            <w:r>
              <w:rPr>
                <w:rFonts w:ascii="宋体" w:hAnsi="宋体" w:cs="宋体"/>
                <w:color w:val="auto"/>
                <w:szCs w:val="21"/>
                <w:highlight w:val="none"/>
              </w:rPr>
              <w:t>(GB 21519)</w:t>
            </w:r>
          </w:p>
        </w:tc>
      </w:tr>
      <w:tr w14:paraId="32F9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1C817C66">
            <w:pPr>
              <w:spacing w:line="360" w:lineRule="auto"/>
              <w:rPr>
                <w:rFonts w:ascii="宋体" w:cs="宋体"/>
                <w:color w:val="auto"/>
                <w:szCs w:val="21"/>
                <w:highlight w:val="none"/>
              </w:rPr>
            </w:pPr>
          </w:p>
        </w:tc>
        <w:tc>
          <w:tcPr>
            <w:tcW w:w="813" w:type="pct"/>
            <w:vMerge w:val="continue"/>
          </w:tcPr>
          <w:p w14:paraId="1612B826">
            <w:pPr>
              <w:spacing w:line="360" w:lineRule="auto"/>
              <w:rPr>
                <w:rFonts w:ascii="宋体" w:cs="宋体"/>
                <w:color w:val="auto"/>
                <w:szCs w:val="21"/>
                <w:highlight w:val="none"/>
              </w:rPr>
            </w:pPr>
          </w:p>
        </w:tc>
        <w:tc>
          <w:tcPr>
            <w:tcW w:w="1071" w:type="pct"/>
            <w:vMerge w:val="continue"/>
          </w:tcPr>
          <w:p w14:paraId="2FE61A3A">
            <w:pPr>
              <w:spacing w:line="360" w:lineRule="auto"/>
              <w:rPr>
                <w:rFonts w:ascii="宋体" w:cs="宋体"/>
                <w:color w:val="auto"/>
                <w:szCs w:val="21"/>
                <w:highlight w:val="none"/>
              </w:rPr>
            </w:pPr>
          </w:p>
        </w:tc>
        <w:tc>
          <w:tcPr>
            <w:tcW w:w="937" w:type="pct"/>
          </w:tcPr>
          <w:p w14:paraId="4C3E5276">
            <w:pPr>
              <w:spacing w:line="360" w:lineRule="auto"/>
              <w:rPr>
                <w:rFonts w:ascii="宋体" w:cs="宋体"/>
                <w:color w:val="auto"/>
                <w:szCs w:val="21"/>
                <w:highlight w:val="none"/>
              </w:rPr>
            </w:pPr>
            <w:r>
              <w:rPr>
                <w:rFonts w:hint="eastAsia" w:ascii="宋体" w:hAnsi="宋体" w:cs="宋体"/>
                <w:color w:val="auto"/>
                <w:szCs w:val="21"/>
                <w:highlight w:val="none"/>
              </w:rPr>
              <w:t>燃气热水器</w:t>
            </w:r>
          </w:p>
        </w:tc>
        <w:tc>
          <w:tcPr>
            <w:tcW w:w="1743" w:type="pct"/>
          </w:tcPr>
          <w:p w14:paraId="6DFCD738">
            <w:pPr>
              <w:spacing w:line="360" w:lineRule="auto"/>
              <w:rPr>
                <w:rFonts w:ascii="宋体" w:cs="宋体"/>
                <w:color w:val="auto"/>
                <w:szCs w:val="21"/>
                <w:highlight w:val="none"/>
              </w:rPr>
            </w:pPr>
            <w:r>
              <w:rPr>
                <w:rFonts w:hint="eastAsia" w:ascii="宋体" w:hAnsi="宋体" w:cs="宋体"/>
                <w:color w:val="auto"/>
                <w:szCs w:val="21"/>
                <w:highlight w:val="none"/>
              </w:rPr>
              <w:t>《家用燃气快速热水器和燃气采暖热水炉能效限定值及能效等级》</w:t>
            </w:r>
            <w:r>
              <w:rPr>
                <w:rFonts w:ascii="宋体" w:hAnsi="宋体" w:cs="宋体"/>
                <w:color w:val="auto"/>
                <w:szCs w:val="21"/>
                <w:highlight w:val="none"/>
              </w:rPr>
              <w:t xml:space="preserve"> (GB 20665)</w:t>
            </w:r>
          </w:p>
        </w:tc>
      </w:tr>
      <w:tr w14:paraId="153D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04992459">
            <w:pPr>
              <w:spacing w:line="360" w:lineRule="auto"/>
              <w:rPr>
                <w:rFonts w:ascii="宋体" w:cs="宋体"/>
                <w:color w:val="auto"/>
                <w:szCs w:val="21"/>
                <w:highlight w:val="none"/>
              </w:rPr>
            </w:pPr>
          </w:p>
        </w:tc>
        <w:tc>
          <w:tcPr>
            <w:tcW w:w="813" w:type="pct"/>
            <w:vMerge w:val="continue"/>
          </w:tcPr>
          <w:p w14:paraId="33DBE95F">
            <w:pPr>
              <w:spacing w:line="360" w:lineRule="auto"/>
              <w:rPr>
                <w:rFonts w:ascii="宋体" w:cs="宋体"/>
                <w:color w:val="auto"/>
                <w:szCs w:val="21"/>
                <w:highlight w:val="none"/>
              </w:rPr>
            </w:pPr>
          </w:p>
        </w:tc>
        <w:tc>
          <w:tcPr>
            <w:tcW w:w="1071" w:type="pct"/>
            <w:vMerge w:val="continue"/>
          </w:tcPr>
          <w:p w14:paraId="49F9830F">
            <w:pPr>
              <w:spacing w:line="360" w:lineRule="auto"/>
              <w:rPr>
                <w:rFonts w:ascii="宋体" w:cs="宋体"/>
                <w:color w:val="auto"/>
                <w:szCs w:val="21"/>
                <w:highlight w:val="none"/>
              </w:rPr>
            </w:pPr>
          </w:p>
        </w:tc>
        <w:tc>
          <w:tcPr>
            <w:tcW w:w="937" w:type="pct"/>
          </w:tcPr>
          <w:p w14:paraId="42C20194">
            <w:pPr>
              <w:spacing w:line="360" w:lineRule="auto"/>
              <w:rPr>
                <w:rFonts w:ascii="宋体" w:cs="宋体"/>
                <w:color w:val="auto"/>
                <w:szCs w:val="21"/>
                <w:highlight w:val="none"/>
              </w:rPr>
            </w:pPr>
            <w:r>
              <w:rPr>
                <w:rFonts w:hint="eastAsia" w:ascii="宋体" w:hAnsi="宋体" w:cs="宋体"/>
                <w:color w:val="auto"/>
                <w:szCs w:val="21"/>
                <w:highlight w:val="none"/>
              </w:rPr>
              <w:t>热泵热水器</w:t>
            </w:r>
          </w:p>
        </w:tc>
        <w:tc>
          <w:tcPr>
            <w:tcW w:w="1743" w:type="pct"/>
          </w:tcPr>
          <w:p w14:paraId="49685B2D">
            <w:pPr>
              <w:spacing w:line="360" w:lineRule="auto"/>
              <w:rPr>
                <w:rFonts w:ascii="宋体" w:cs="宋体"/>
                <w:color w:val="auto"/>
                <w:szCs w:val="21"/>
                <w:highlight w:val="none"/>
              </w:rPr>
            </w:pPr>
            <w:r>
              <w:rPr>
                <w:rFonts w:hint="eastAsia" w:ascii="宋体" w:hAnsi="宋体" w:cs="宋体"/>
                <w:color w:val="auto"/>
                <w:szCs w:val="21"/>
                <w:highlight w:val="none"/>
              </w:rPr>
              <w:t>《热泵热水机</w:t>
            </w:r>
            <w:r>
              <w:rPr>
                <w:rFonts w:ascii="宋体" w:hAnsi="宋体" w:cs="宋体"/>
                <w:color w:val="auto"/>
                <w:szCs w:val="21"/>
                <w:highlight w:val="none"/>
              </w:rPr>
              <w:t>(</w:t>
            </w:r>
            <w:r>
              <w:rPr>
                <w:rFonts w:hint="eastAsia" w:ascii="宋体" w:hAnsi="宋体" w:cs="宋体"/>
                <w:color w:val="auto"/>
                <w:szCs w:val="21"/>
                <w:highlight w:val="none"/>
              </w:rPr>
              <w:t>器</w:t>
            </w:r>
            <w:r>
              <w:rPr>
                <w:rFonts w:ascii="宋体" w:hAnsi="宋体" w:cs="宋体"/>
                <w:color w:val="auto"/>
                <w:szCs w:val="21"/>
                <w:highlight w:val="none"/>
              </w:rPr>
              <w:t>)</w:t>
            </w:r>
            <w:r>
              <w:rPr>
                <w:rFonts w:hint="eastAsia" w:ascii="宋体" w:hAnsi="宋体" w:cs="宋体"/>
                <w:color w:val="auto"/>
                <w:szCs w:val="21"/>
                <w:highlight w:val="none"/>
              </w:rPr>
              <w:t>能效限定值及能效等级》</w:t>
            </w:r>
            <w:r>
              <w:rPr>
                <w:rFonts w:ascii="宋体" w:hAnsi="宋体" w:cs="宋体"/>
                <w:color w:val="auto"/>
                <w:szCs w:val="21"/>
                <w:highlight w:val="none"/>
              </w:rPr>
              <w:t xml:space="preserve"> (CB 29541)</w:t>
            </w:r>
          </w:p>
        </w:tc>
      </w:tr>
      <w:tr w14:paraId="330C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5936A5DC">
            <w:pPr>
              <w:spacing w:line="360" w:lineRule="auto"/>
              <w:rPr>
                <w:rFonts w:ascii="宋体" w:cs="宋体"/>
                <w:color w:val="auto"/>
                <w:szCs w:val="21"/>
                <w:highlight w:val="none"/>
              </w:rPr>
            </w:pPr>
          </w:p>
        </w:tc>
        <w:tc>
          <w:tcPr>
            <w:tcW w:w="813" w:type="pct"/>
            <w:vMerge w:val="continue"/>
          </w:tcPr>
          <w:p w14:paraId="7B99FB0B">
            <w:pPr>
              <w:spacing w:line="360" w:lineRule="auto"/>
              <w:rPr>
                <w:rFonts w:ascii="宋体" w:cs="宋体"/>
                <w:color w:val="auto"/>
                <w:szCs w:val="21"/>
                <w:highlight w:val="none"/>
              </w:rPr>
            </w:pPr>
          </w:p>
        </w:tc>
        <w:tc>
          <w:tcPr>
            <w:tcW w:w="1071" w:type="pct"/>
            <w:vMerge w:val="continue"/>
          </w:tcPr>
          <w:p w14:paraId="3B4F55ED">
            <w:pPr>
              <w:spacing w:line="360" w:lineRule="auto"/>
              <w:rPr>
                <w:rFonts w:ascii="宋体" w:cs="宋体"/>
                <w:color w:val="auto"/>
                <w:szCs w:val="21"/>
                <w:highlight w:val="none"/>
              </w:rPr>
            </w:pPr>
          </w:p>
        </w:tc>
        <w:tc>
          <w:tcPr>
            <w:tcW w:w="937" w:type="pct"/>
          </w:tcPr>
          <w:p w14:paraId="51E9375A">
            <w:pPr>
              <w:spacing w:line="360" w:lineRule="auto"/>
              <w:rPr>
                <w:rFonts w:ascii="宋体" w:cs="宋体"/>
                <w:color w:val="auto"/>
                <w:szCs w:val="21"/>
                <w:highlight w:val="none"/>
              </w:rPr>
            </w:pPr>
            <w:r>
              <w:rPr>
                <w:rFonts w:hint="eastAsia" w:ascii="宋体" w:hAnsi="宋体" w:cs="宋体"/>
                <w:color w:val="auto"/>
                <w:szCs w:val="21"/>
                <w:highlight w:val="none"/>
              </w:rPr>
              <w:t>太阳能热水系统</w:t>
            </w:r>
          </w:p>
        </w:tc>
        <w:tc>
          <w:tcPr>
            <w:tcW w:w="1743" w:type="pct"/>
          </w:tcPr>
          <w:p w14:paraId="12F93012">
            <w:pPr>
              <w:spacing w:line="360" w:lineRule="auto"/>
              <w:rPr>
                <w:rFonts w:ascii="宋体" w:cs="宋体"/>
                <w:color w:val="auto"/>
                <w:szCs w:val="21"/>
                <w:highlight w:val="none"/>
              </w:rPr>
            </w:pPr>
            <w:r>
              <w:rPr>
                <w:rFonts w:hint="eastAsia" w:ascii="宋体" w:hAnsi="宋体" w:cs="宋体"/>
                <w:color w:val="auto"/>
                <w:szCs w:val="21"/>
                <w:highlight w:val="none"/>
              </w:rPr>
              <w:t>《家用太阳能热水系统能效限定值及能效等级》</w:t>
            </w:r>
            <w:r>
              <w:rPr>
                <w:rFonts w:ascii="宋体" w:hAnsi="宋体" w:cs="宋体"/>
                <w:color w:val="auto"/>
                <w:szCs w:val="21"/>
                <w:highlight w:val="none"/>
              </w:rPr>
              <w:t xml:space="preserve"> (GB 26969)</w:t>
            </w:r>
          </w:p>
        </w:tc>
      </w:tr>
      <w:tr w14:paraId="21D2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3" w:type="pct"/>
            <w:vMerge w:val="restart"/>
          </w:tcPr>
          <w:p w14:paraId="3323A76B">
            <w:pPr>
              <w:spacing w:line="360" w:lineRule="auto"/>
              <w:rPr>
                <w:rFonts w:ascii="宋体" w:cs="宋体"/>
                <w:color w:val="auto"/>
                <w:szCs w:val="21"/>
                <w:highlight w:val="none"/>
              </w:rPr>
            </w:pPr>
            <w:r>
              <w:rPr>
                <w:rFonts w:ascii="宋体" w:hAnsi="宋体" w:cs="宋体"/>
                <w:color w:val="auto"/>
                <w:szCs w:val="21"/>
                <w:highlight w:val="none"/>
              </w:rPr>
              <w:t>11</w:t>
            </w:r>
          </w:p>
        </w:tc>
        <w:tc>
          <w:tcPr>
            <w:tcW w:w="813" w:type="pct"/>
            <w:vMerge w:val="restart"/>
          </w:tcPr>
          <w:p w14:paraId="0BF767DC">
            <w:pPr>
              <w:spacing w:line="360" w:lineRule="auto"/>
              <w:rPr>
                <w:rFonts w:ascii="宋体" w:cs="宋体"/>
                <w:color w:val="auto"/>
                <w:szCs w:val="21"/>
                <w:highlight w:val="none"/>
              </w:rPr>
            </w:pPr>
          </w:p>
          <w:p w14:paraId="5A148EBE">
            <w:pPr>
              <w:spacing w:line="360" w:lineRule="auto"/>
              <w:rPr>
                <w:rFonts w:ascii="宋体" w:cs="宋体"/>
                <w:color w:val="auto"/>
                <w:szCs w:val="21"/>
                <w:highlight w:val="none"/>
              </w:rPr>
            </w:pPr>
          </w:p>
          <w:p w14:paraId="3366BFD5">
            <w:pPr>
              <w:spacing w:line="360" w:lineRule="auto"/>
              <w:rPr>
                <w:rFonts w:ascii="宋体" w:cs="宋体"/>
                <w:color w:val="auto"/>
                <w:szCs w:val="21"/>
                <w:highlight w:val="none"/>
              </w:rPr>
            </w:pPr>
          </w:p>
          <w:p w14:paraId="53F50CB5">
            <w:pPr>
              <w:spacing w:line="360" w:lineRule="auto"/>
              <w:rPr>
                <w:rFonts w:ascii="宋体" w:cs="宋体"/>
                <w:color w:val="auto"/>
                <w:szCs w:val="21"/>
                <w:highlight w:val="none"/>
              </w:rPr>
            </w:pPr>
            <w:r>
              <w:rPr>
                <w:rFonts w:ascii="宋体" w:hAnsi="宋体" w:cs="宋体"/>
                <w:color w:val="auto"/>
                <w:szCs w:val="21"/>
                <w:highlight w:val="none"/>
              </w:rPr>
              <w:t>A020619</w:t>
            </w:r>
            <w:r>
              <w:rPr>
                <w:rFonts w:hint="eastAsia" w:ascii="宋体" w:hAnsi="宋体" w:cs="宋体"/>
                <w:color w:val="auto"/>
                <w:szCs w:val="21"/>
                <w:highlight w:val="none"/>
              </w:rPr>
              <w:t>照明设备</w:t>
            </w:r>
          </w:p>
        </w:tc>
        <w:tc>
          <w:tcPr>
            <w:tcW w:w="1071" w:type="pct"/>
          </w:tcPr>
          <w:p w14:paraId="563AA3D4">
            <w:pPr>
              <w:spacing w:line="360" w:lineRule="auto"/>
              <w:rPr>
                <w:rFonts w:ascii="宋体" w:cs="宋体"/>
                <w:color w:val="auto"/>
                <w:szCs w:val="21"/>
                <w:highlight w:val="none"/>
              </w:rPr>
            </w:pPr>
            <w:r>
              <w:rPr>
                <w:rFonts w:hint="eastAsia" w:ascii="宋体" w:hAnsi="宋体" w:cs="宋体"/>
                <w:color w:val="auto"/>
                <w:szCs w:val="21"/>
                <w:highlight w:val="none"/>
              </w:rPr>
              <w:t>★普通照明用双瑞荧光灯</w:t>
            </w:r>
          </w:p>
        </w:tc>
        <w:tc>
          <w:tcPr>
            <w:tcW w:w="937" w:type="pct"/>
          </w:tcPr>
          <w:p w14:paraId="28730531">
            <w:pPr>
              <w:spacing w:line="360" w:lineRule="auto"/>
              <w:rPr>
                <w:rFonts w:ascii="宋体" w:cs="宋体"/>
                <w:color w:val="auto"/>
                <w:szCs w:val="21"/>
                <w:highlight w:val="none"/>
              </w:rPr>
            </w:pPr>
          </w:p>
        </w:tc>
        <w:tc>
          <w:tcPr>
            <w:tcW w:w="1743" w:type="pct"/>
          </w:tcPr>
          <w:p w14:paraId="637EB78E">
            <w:pPr>
              <w:spacing w:line="360" w:lineRule="auto"/>
              <w:rPr>
                <w:rFonts w:ascii="宋体" w:cs="宋体"/>
                <w:color w:val="auto"/>
                <w:szCs w:val="21"/>
                <w:highlight w:val="none"/>
              </w:rPr>
            </w:pPr>
            <w:r>
              <w:rPr>
                <w:rFonts w:hint="eastAsia" w:ascii="宋体" w:hAnsi="宋体" w:cs="宋体"/>
                <w:color w:val="auto"/>
                <w:szCs w:val="21"/>
                <w:highlight w:val="none"/>
              </w:rPr>
              <w:t>《普通照明用双端荧光灯能效限定值及能效等级》</w:t>
            </w:r>
            <w:r>
              <w:rPr>
                <w:rFonts w:ascii="宋体" w:hAnsi="宋体" w:cs="宋体"/>
                <w:color w:val="auto"/>
                <w:szCs w:val="21"/>
                <w:highlight w:val="none"/>
              </w:rPr>
              <w:t>(GB 19043 )</w:t>
            </w:r>
          </w:p>
        </w:tc>
      </w:tr>
      <w:tr w14:paraId="6DE0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751BF1C7">
            <w:pPr>
              <w:spacing w:line="360" w:lineRule="auto"/>
              <w:rPr>
                <w:rFonts w:ascii="宋体" w:cs="宋体"/>
                <w:color w:val="auto"/>
                <w:szCs w:val="21"/>
                <w:highlight w:val="none"/>
              </w:rPr>
            </w:pPr>
          </w:p>
        </w:tc>
        <w:tc>
          <w:tcPr>
            <w:tcW w:w="813" w:type="pct"/>
            <w:vMerge w:val="continue"/>
          </w:tcPr>
          <w:p w14:paraId="145D182D">
            <w:pPr>
              <w:spacing w:line="360" w:lineRule="auto"/>
              <w:rPr>
                <w:rFonts w:ascii="宋体" w:cs="宋体"/>
                <w:color w:val="auto"/>
                <w:szCs w:val="21"/>
                <w:highlight w:val="none"/>
              </w:rPr>
            </w:pPr>
          </w:p>
        </w:tc>
        <w:tc>
          <w:tcPr>
            <w:tcW w:w="1071" w:type="pct"/>
          </w:tcPr>
          <w:p w14:paraId="6E0665C0">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道路</w:t>
            </w:r>
            <w:r>
              <w:rPr>
                <w:rFonts w:ascii="宋体" w:hAnsi="宋体" w:cs="宋体"/>
                <w:color w:val="auto"/>
                <w:szCs w:val="21"/>
                <w:highlight w:val="none"/>
              </w:rPr>
              <w:t>/</w:t>
            </w:r>
            <w:r>
              <w:rPr>
                <w:rFonts w:hint="eastAsia" w:ascii="宋体" w:hAnsi="宋体" w:cs="宋体"/>
                <w:color w:val="auto"/>
                <w:szCs w:val="21"/>
                <w:highlight w:val="none"/>
              </w:rPr>
              <w:t>隧道照明产品</w:t>
            </w:r>
          </w:p>
        </w:tc>
        <w:tc>
          <w:tcPr>
            <w:tcW w:w="937" w:type="pct"/>
          </w:tcPr>
          <w:p w14:paraId="351C1AE3">
            <w:pPr>
              <w:spacing w:line="360" w:lineRule="auto"/>
              <w:rPr>
                <w:rFonts w:ascii="宋体" w:cs="宋体"/>
                <w:color w:val="auto"/>
                <w:szCs w:val="21"/>
                <w:highlight w:val="none"/>
              </w:rPr>
            </w:pPr>
          </w:p>
        </w:tc>
        <w:tc>
          <w:tcPr>
            <w:tcW w:w="1743" w:type="pct"/>
          </w:tcPr>
          <w:p w14:paraId="7A24DACE">
            <w:pPr>
              <w:spacing w:line="360" w:lineRule="auto"/>
              <w:rPr>
                <w:rFonts w:ascii="宋体" w:cs="宋体"/>
                <w:color w:val="auto"/>
                <w:szCs w:val="21"/>
                <w:highlight w:val="none"/>
              </w:rPr>
            </w:pPr>
            <w:r>
              <w:rPr>
                <w:rFonts w:hint="eastAsia" w:ascii="宋体" w:hAnsi="宋体" w:cs="宋体"/>
                <w:color w:val="auto"/>
                <w:szCs w:val="21"/>
                <w:highlight w:val="none"/>
              </w:rPr>
              <w:t>《道路和隧道照明用</w:t>
            </w:r>
            <w:r>
              <w:rPr>
                <w:rFonts w:ascii="宋体" w:hAnsi="宋体" w:cs="宋体"/>
                <w:color w:val="auto"/>
                <w:szCs w:val="21"/>
                <w:highlight w:val="none"/>
              </w:rPr>
              <w:t>LED</w:t>
            </w:r>
            <w:r>
              <w:rPr>
                <w:rFonts w:hint="eastAsia" w:ascii="宋体" w:hAnsi="宋体" w:cs="宋体"/>
                <w:color w:val="auto"/>
                <w:szCs w:val="21"/>
                <w:highlight w:val="none"/>
              </w:rPr>
              <w:t>灯具能效限定值及能效等级》</w:t>
            </w:r>
            <w:r>
              <w:rPr>
                <w:rFonts w:ascii="宋体" w:hAnsi="宋体" w:cs="宋体"/>
                <w:color w:val="auto"/>
                <w:szCs w:val="21"/>
                <w:highlight w:val="none"/>
              </w:rPr>
              <w:t>(GB37 478)</w:t>
            </w:r>
          </w:p>
        </w:tc>
      </w:tr>
      <w:tr w14:paraId="4580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71AF907D">
            <w:pPr>
              <w:spacing w:line="360" w:lineRule="auto"/>
              <w:rPr>
                <w:rFonts w:ascii="宋体" w:cs="宋体"/>
                <w:color w:val="auto"/>
                <w:szCs w:val="21"/>
                <w:highlight w:val="none"/>
              </w:rPr>
            </w:pPr>
          </w:p>
        </w:tc>
        <w:tc>
          <w:tcPr>
            <w:tcW w:w="813" w:type="pct"/>
            <w:vMerge w:val="continue"/>
          </w:tcPr>
          <w:p w14:paraId="0B110F29">
            <w:pPr>
              <w:spacing w:line="360" w:lineRule="auto"/>
              <w:rPr>
                <w:rFonts w:ascii="宋体" w:cs="宋体"/>
                <w:color w:val="auto"/>
                <w:szCs w:val="21"/>
                <w:highlight w:val="none"/>
              </w:rPr>
            </w:pPr>
          </w:p>
        </w:tc>
        <w:tc>
          <w:tcPr>
            <w:tcW w:w="1071" w:type="pct"/>
          </w:tcPr>
          <w:p w14:paraId="7F224435">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筒灯</w:t>
            </w:r>
          </w:p>
        </w:tc>
        <w:tc>
          <w:tcPr>
            <w:tcW w:w="937" w:type="pct"/>
          </w:tcPr>
          <w:p w14:paraId="3BE11E23">
            <w:pPr>
              <w:spacing w:line="360" w:lineRule="auto"/>
              <w:rPr>
                <w:rFonts w:ascii="宋体" w:cs="宋体"/>
                <w:color w:val="auto"/>
                <w:szCs w:val="21"/>
                <w:highlight w:val="none"/>
              </w:rPr>
            </w:pPr>
          </w:p>
        </w:tc>
        <w:tc>
          <w:tcPr>
            <w:tcW w:w="1743" w:type="pct"/>
          </w:tcPr>
          <w:p w14:paraId="260D434A">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 xml:space="preserve"> (GB 30255)</w:t>
            </w:r>
          </w:p>
        </w:tc>
      </w:tr>
      <w:tr w14:paraId="0484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33" w:type="pct"/>
            <w:vMerge w:val="continue"/>
          </w:tcPr>
          <w:p w14:paraId="2E13304C">
            <w:pPr>
              <w:spacing w:line="360" w:lineRule="auto"/>
              <w:rPr>
                <w:rFonts w:ascii="宋体" w:cs="宋体"/>
                <w:color w:val="auto"/>
                <w:szCs w:val="21"/>
                <w:highlight w:val="none"/>
              </w:rPr>
            </w:pPr>
          </w:p>
        </w:tc>
        <w:tc>
          <w:tcPr>
            <w:tcW w:w="813" w:type="pct"/>
            <w:vMerge w:val="continue"/>
          </w:tcPr>
          <w:p w14:paraId="0420C840">
            <w:pPr>
              <w:spacing w:line="360" w:lineRule="auto"/>
              <w:rPr>
                <w:rFonts w:ascii="宋体" w:cs="宋体"/>
                <w:color w:val="auto"/>
                <w:szCs w:val="21"/>
                <w:highlight w:val="none"/>
              </w:rPr>
            </w:pPr>
          </w:p>
        </w:tc>
        <w:tc>
          <w:tcPr>
            <w:tcW w:w="1071" w:type="pct"/>
            <w:vMerge w:val="restart"/>
          </w:tcPr>
          <w:p w14:paraId="44FF92D2">
            <w:pPr>
              <w:spacing w:line="360" w:lineRule="auto"/>
              <w:rPr>
                <w:rFonts w:ascii="宋体" w:cs="宋体"/>
                <w:color w:val="auto"/>
                <w:szCs w:val="21"/>
                <w:highlight w:val="none"/>
              </w:rPr>
            </w:pPr>
            <w:r>
              <w:rPr>
                <w:rFonts w:hint="eastAsia" w:ascii="宋体" w:hAnsi="宋体" w:cs="宋体"/>
                <w:color w:val="auto"/>
                <w:szCs w:val="21"/>
                <w:highlight w:val="none"/>
              </w:rPr>
              <w:t>普通照明用非定向自镇流</w:t>
            </w:r>
            <w:r>
              <w:rPr>
                <w:rFonts w:ascii="宋体" w:hAnsi="宋体" w:cs="宋体"/>
                <w:color w:val="auto"/>
                <w:szCs w:val="21"/>
                <w:highlight w:val="none"/>
              </w:rPr>
              <w:t>LED</w:t>
            </w:r>
            <w:r>
              <w:rPr>
                <w:rFonts w:hint="eastAsia" w:ascii="宋体" w:hAnsi="宋体" w:cs="宋体"/>
                <w:color w:val="auto"/>
                <w:szCs w:val="21"/>
                <w:highlight w:val="none"/>
              </w:rPr>
              <w:t>灯</w:t>
            </w:r>
          </w:p>
          <w:p w14:paraId="142E32F1">
            <w:pPr>
              <w:spacing w:line="360" w:lineRule="auto"/>
              <w:rPr>
                <w:rFonts w:ascii="宋体" w:cs="宋体"/>
                <w:color w:val="auto"/>
                <w:szCs w:val="21"/>
                <w:highlight w:val="none"/>
              </w:rPr>
            </w:pPr>
            <w:r>
              <w:rPr>
                <w:rFonts w:ascii="宋体" w:hAnsi="宋体" w:cs="宋体"/>
                <w:color w:val="auto"/>
                <w:szCs w:val="21"/>
                <w:highlight w:val="none"/>
              </w:rPr>
              <w:t xml:space="preserve">A02091001 </w:t>
            </w:r>
            <w:r>
              <w:rPr>
                <w:rFonts w:hint="eastAsia" w:ascii="宋体" w:hAnsi="宋体" w:cs="宋体"/>
                <w:color w:val="auto"/>
                <w:szCs w:val="21"/>
                <w:highlight w:val="none"/>
              </w:rPr>
              <w:t>普通电视设备</w:t>
            </w:r>
            <w:r>
              <w:rPr>
                <w:rFonts w:ascii="宋体" w:hAnsi="宋体" w:cs="宋体"/>
                <w:color w:val="auto"/>
                <w:szCs w:val="21"/>
                <w:highlight w:val="none"/>
              </w:rPr>
              <w:t>(</w:t>
            </w:r>
            <w:r>
              <w:rPr>
                <w:rFonts w:hint="eastAsia" w:ascii="宋体" w:hAnsi="宋体" w:cs="宋体"/>
                <w:color w:val="auto"/>
                <w:szCs w:val="21"/>
                <w:highlight w:val="none"/>
              </w:rPr>
              <w:t>电视机</w:t>
            </w:r>
            <w:r>
              <w:rPr>
                <w:rFonts w:ascii="宋体" w:hAnsi="宋体" w:cs="宋体"/>
                <w:color w:val="auto"/>
                <w:szCs w:val="21"/>
                <w:highlight w:val="none"/>
              </w:rPr>
              <w:t>)</w:t>
            </w:r>
          </w:p>
        </w:tc>
        <w:tc>
          <w:tcPr>
            <w:tcW w:w="937" w:type="pct"/>
          </w:tcPr>
          <w:p w14:paraId="3F4FAFF5">
            <w:pPr>
              <w:spacing w:line="360" w:lineRule="auto"/>
              <w:rPr>
                <w:rFonts w:ascii="宋体" w:cs="宋体"/>
                <w:color w:val="auto"/>
                <w:szCs w:val="21"/>
                <w:highlight w:val="none"/>
              </w:rPr>
            </w:pPr>
          </w:p>
        </w:tc>
        <w:tc>
          <w:tcPr>
            <w:tcW w:w="1743" w:type="pct"/>
          </w:tcPr>
          <w:p w14:paraId="4E0540B2">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(GB 30255)</w:t>
            </w:r>
          </w:p>
        </w:tc>
      </w:tr>
      <w:tr w14:paraId="0478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B18447F">
            <w:pPr>
              <w:spacing w:line="360" w:lineRule="auto"/>
              <w:rPr>
                <w:rFonts w:ascii="宋体" w:cs="宋体"/>
                <w:color w:val="auto"/>
                <w:szCs w:val="21"/>
                <w:highlight w:val="none"/>
              </w:rPr>
            </w:pPr>
            <w:r>
              <w:rPr>
                <w:rFonts w:ascii="宋体" w:hAnsi="宋体" w:cs="宋体"/>
                <w:color w:val="auto"/>
                <w:szCs w:val="21"/>
                <w:highlight w:val="none"/>
              </w:rPr>
              <w:t>12</w:t>
            </w:r>
          </w:p>
        </w:tc>
        <w:tc>
          <w:tcPr>
            <w:tcW w:w="813" w:type="pct"/>
          </w:tcPr>
          <w:p w14:paraId="5F5AD1B2">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A020910</w:t>
            </w:r>
            <w:r>
              <w:rPr>
                <w:rFonts w:hint="eastAsia" w:ascii="宋体" w:hAnsi="宋体" w:cs="宋体"/>
                <w:color w:val="auto"/>
                <w:szCs w:val="21"/>
                <w:highlight w:val="none"/>
              </w:rPr>
              <w:t>电视设备</w:t>
            </w:r>
          </w:p>
        </w:tc>
        <w:tc>
          <w:tcPr>
            <w:tcW w:w="1071" w:type="pct"/>
            <w:vMerge w:val="continue"/>
          </w:tcPr>
          <w:p w14:paraId="6FC631DA">
            <w:pPr>
              <w:spacing w:line="360" w:lineRule="auto"/>
              <w:rPr>
                <w:rFonts w:ascii="宋体" w:cs="宋体"/>
                <w:color w:val="auto"/>
                <w:szCs w:val="21"/>
                <w:highlight w:val="none"/>
              </w:rPr>
            </w:pPr>
          </w:p>
        </w:tc>
        <w:tc>
          <w:tcPr>
            <w:tcW w:w="937" w:type="pct"/>
          </w:tcPr>
          <w:p w14:paraId="51449452">
            <w:pPr>
              <w:spacing w:line="360" w:lineRule="auto"/>
              <w:rPr>
                <w:rFonts w:ascii="宋体" w:cs="宋体"/>
                <w:color w:val="auto"/>
                <w:szCs w:val="21"/>
                <w:highlight w:val="none"/>
              </w:rPr>
            </w:pPr>
          </w:p>
        </w:tc>
        <w:tc>
          <w:tcPr>
            <w:tcW w:w="1743" w:type="pct"/>
          </w:tcPr>
          <w:p w14:paraId="3059E736">
            <w:pPr>
              <w:spacing w:line="360" w:lineRule="auto"/>
              <w:rPr>
                <w:rFonts w:ascii="宋体" w:cs="宋体"/>
                <w:color w:val="auto"/>
                <w:szCs w:val="21"/>
                <w:highlight w:val="none"/>
              </w:rPr>
            </w:pPr>
            <w:r>
              <w:rPr>
                <w:rFonts w:hint="eastAsia" w:ascii="宋体" w:hAnsi="宋体" w:cs="宋体"/>
                <w:color w:val="auto"/>
                <w:szCs w:val="21"/>
                <w:highlight w:val="none"/>
              </w:rPr>
              <w:t>《平板电视能效限定值及能效等级》</w:t>
            </w:r>
            <w:r>
              <w:rPr>
                <w:rFonts w:ascii="宋体" w:hAnsi="宋体" w:cs="宋体"/>
                <w:color w:val="auto"/>
                <w:szCs w:val="21"/>
                <w:highlight w:val="none"/>
              </w:rPr>
              <w:t>(GB 24850)</w:t>
            </w:r>
          </w:p>
        </w:tc>
      </w:tr>
      <w:tr w14:paraId="1C04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497F723">
            <w:pPr>
              <w:spacing w:line="360" w:lineRule="auto"/>
              <w:rPr>
                <w:rFonts w:ascii="宋体" w:cs="宋体"/>
                <w:color w:val="auto"/>
                <w:szCs w:val="21"/>
                <w:highlight w:val="none"/>
              </w:rPr>
            </w:pPr>
            <w:r>
              <w:rPr>
                <w:rFonts w:ascii="宋体" w:hAnsi="宋体" w:cs="宋体"/>
                <w:color w:val="auto"/>
                <w:szCs w:val="21"/>
                <w:highlight w:val="none"/>
              </w:rPr>
              <w:t>13</w:t>
            </w:r>
          </w:p>
        </w:tc>
        <w:tc>
          <w:tcPr>
            <w:tcW w:w="813" w:type="pct"/>
            <w:vMerge w:val="restart"/>
          </w:tcPr>
          <w:p w14:paraId="763151BF">
            <w:pPr>
              <w:spacing w:line="360" w:lineRule="auto"/>
              <w:rPr>
                <w:rFonts w:ascii="宋体" w:cs="宋体"/>
                <w:color w:val="auto"/>
                <w:szCs w:val="21"/>
                <w:highlight w:val="none"/>
              </w:rPr>
            </w:pPr>
          </w:p>
          <w:p w14:paraId="759FCC91">
            <w:pPr>
              <w:spacing w:line="360" w:lineRule="auto"/>
              <w:rPr>
                <w:rFonts w:ascii="宋体" w:cs="宋体"/>
                <w:color w:val="auto"/>
                <w:szCs w:val="21"/>
                <w:highlight w:val="none"/>
              </w:rPr>
            </w:pPr>
          </w:p>
          <w:p w14:paraId="2C754EBC">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A020911</w:t>
            </w:r>
            <w:r>
              <w:rPr>
                <w:rFonts w:hint="eastAsia" w:ascii="宋体" w:hAnsi="宋体" w:cs="宋体"/>
                <w:color w:val="auto"/>
                <w:szCs w:val="21"/>
                <w:highlight w:val="none"/>
              </w:rPr>
              <w:t>视颇设备</w:t>
            </w:r>
          </w:p>
          <w:p w14:paraId="33E52E44">
            <w:pPr>
              <w:spacing w:line="360" w:lineRule="auto"/>
              <w:rPr>
                <w:rFonts w:ascii="宋体" w:cs="宋体"/>
                <w:color w:val="auto"/>
                <w:szCs w:val="21"/>
                <w:highlight w:val="none"/>
              </w:rPr>
            </w:pPr>
          </w:p>
          <w:p w14:paraId="5EEAA767">
            <w:pPr>
              <w:spacing w:line="360" w:lineRule="auto"/>
              <w:rPr>
                <w:rFonts w:ascii="宋体" w:cs="宋体"/>
                <w:color w:val="auto"/>
                <w:szCs w:val="21"/>
                <w:highlight w:val="none"/>
              </w:rPr>
            </w:pPr>
          </w:p>
          <w:p w14:paraId="7F06EE43">
            <w:pPr>
              <w:spacing w:line="360" w:lineRule="auto"/>
              <w:rPr>
                <w:rFonts w:ascii="宋体" w:cs="宋体"/>
                <w:color w:val="auto"/>
                <w:szCs w:val="21"/>
                <w:highlight w:val="none"/>
              </w:rPr>
            </w:pPr>
            <w:r>
              <w:rPr>
                <w:rFonts w:ascii="宋体" w:hAnsi="宋体" w:cs="宋体"/>
                <w:color w:val="auto"/>
                <w:szCs w:val="21"/>
                <w:highlight w:val="none"/>
              </w:rPr>
              <w:t>A031210</w:t>
            </w:r>
            <w:r>
              <w:rPr>
                <w:rFonts w:hint="eastAsia" w:ascii="宋体" w:hAnsi="宋体" w:cs="宋体"/>
                <w:color w:val="auto"/>
                <w:szCs w:val="21"/>
                <w:highlight w:val="none"/>
              </w:rPr>
              <w:t>饮食故事机械</w:t>
            </w:r>
          </w:p>
        </w:tc>
        <w:tc>
          <w:tcPr>
            <w:tcW w:w="1071" w:type="pct"/>
          </w:tcPr>
          <w:p w14:paraId="6516704A">
            <w:pPr>
              <w:spacing w:line="360" w:lineRule="auto"/>
              <w:rPr>
                <w:rFonts w:ascii="宋体" w:cs="宋体"/>
                <w:color w:val="auto"/>
                <w:szCs w:val="21"/>
                <w:highlight w:val="none"/>
              </w:rPr>
            </w:pPr>
          </w:p>
          <w:p w14:paraId="79CF83AA">
            <w:pPr>
              <w:spacing w:line="360" w:lineRule="auto"/>
              <w:rPr>
                <w:rFonts w:ascii="宋体" w:cs="宋体"/>
                <w:color w:val="auto"/>
                <w:szCs w:val="21"/>
                <w:highlight w:val="none"/>
              </w:rPr>
            </w:pPr>
          </w:p>
          <w:p w14:paraId="60EEE941">
            <w:pPr>
              <w:spacing w:line="360" w:lineRule="auto"/>
              <w:rPr>
                <w:rFonts w:ascii="宋体" w:cs="宋体"/>
                <w:color w:val="auto"/>
                <w:szCs w:val="21"/>
                <w:highlight w:val="none"/>
              </w:rPr>
            </w:pPr>
            <w:r>
              <w:rPr>
                <w:rFonts w:ascii="宋体" w:hAnsi="宋体" w:cs="宋体"/>
                <w:color w:val="auto"/>
                <w:szCs w:val="21"/>
                <w:highlight w:val="none"/>
              </w:rPr>
              <w:t>A02091107</w:t>
            </w:r>
            <w:r>
              <w:rPr>
                <w:rFonts w:hint="eastAsia" w:ascii="宋体" w:hAnsi="宋体" w:cs="宋体"/>
                <w:color w:val="auto"/>
                <w:szCs w:val="21"/>
                <w:highlight w:val="none"/>
              </w:rPr>
              <w:t>视颊监控设备</w:t>
            </w:r>
          </w:p>
        </w:tc>
        <w:tc>
          <w:tcPr>
            <w:tcW w:w="937" w:type="pct"/>
          </w:tcPr>
          <w:p w14:paraId="2186359D">
            <w:pPr>
              <w:spacing w:line="360" w:lineRule="auto"/>
              <w:rPr>
                <w:rFonts w:ascii="宋体" w:cs="宋体"/>
                <w:color w:val="auto"/>
                <w:szCs w:val="21"/>
                <w:highlight w:val="none"/>
              </w:rPr>
            </w:pPr>
          </w:p>
        </w:tc>
        <w:tc>
          <w:tcPr>
            <w:tcW w:w="1743" w:type="pct"/>
          </w:tcPr>
          <w:p w14:paraId="11C886AB">
            <w:pPr>
              <w:spacing w:line="360" w:lineRule="auto"/>
              <w:rPr>
                <w:rFonts w:ascii="宋体" w:cs="宋体"/>
                <w:color w:val="auto"/>
                <w:szCs w:val="21"/>
                <w:highlight w:val="none"/>
              </w:rPr>
            </w:pPr>
            <w:r>
              <w:rPr>
                <w:rFonts w:hint="eastAsia" w:ascii="宋体" w:hAnsi="宋体" w:cs="宋体"/>
                <w:color w:val="auto"/>
                <w:szCs w:val="21"/>
                <w:highlight w:val="none"/>
              </w:rPr>
              <w:t>以射频信号为主要信号输入的监视器应符合《平板电视能效限定值及能效等级》</w:t>
            </w:r>
            <w:r>
              <w:rPr>
                <w:rFonts w:ascii="宋体" w:hAnsi="宋体" w:cs="宋体"/>
                <w:color w:val="auto"/>
                <w:szCs w:val="21"/>
                <w:highlight w:val="none"/>
              </w:rPr>
              <w:t xml:space="preserve"> (GB 24850) </w:t>
            </w:r>
            <w:r>
              <w:rPr>
                <w:rFonts w:hint="eastAsia" w:ascii="宋体" w:hAnsi="宋体" w:cs="宋体"/>
                <w:color w:val="auto"/>
                <w:szCs w:val="21"/>
                <w:highlight w:val="none"/>
              </w:rPr>
              <w:t>，</w:t>
            </w:r>
          </w:p>
          <w:p w14:paraId="35841AC8">
            <w:pPr>
              <w:spacing w:line="360" w:lineRule="auto"/>
              <w:rPr>
                <w:rFonts w:ascii="宋体" w:cs="宋体"/>
                <w:color w:val="auto"/>
                <w:szCs w:val="21"/>
                <w:highlight w:val="none"/>
              </w:rPr>
            </w:pPr>
            <w:r>
              <w:rPr>
                <w:rFonts w:hint="eastAsia" w:ascii="宋体" w:hAnsi="宋体" w:cs="宋体"/>
                <w:color w:val="auto"/>
                <w:szCs w:val="21"/>
                <w:highlight w:val="none"/>
              </w:rPr>
              <w:t>以数字信号为主要信号输入的监视器应符合《计算机显示器能效限定值及能效等级》</w:t>
            </w:r>
            <w:r>
              <w:rPr>
                <w:rFonts w:ascii="宋体" w:hAnsi="宋体" w:cs="宋体"/>
                <w:color w:val="auto"/>
                <w:szCs w:val="21"/>
                <w:highlight w:val="none"/>
              </w:rPr>
              <w:t>(GB 21520 )</w:t>
            </w:r>
          </w:p>
        </w:tc>
      </w:tr>
      <w:tr w14:paraId="211E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218A1AF">
            <w:pPr>
              <w:spacing w:line="360" w:lineRule="auto"/>
              <w:rPr>
                <w:rFonts w:ascii="宋体" w:cs="宋体"/>
                <w:color w:val="auto"/>
                <w:szCs w:val="21"/>
                <w:highlight w:val="none"/>
              </w:rPr>
            </w:pPr>
            <w:r>
              <w:rPr>
                <w:rFonts w:ascii="宋体" w:hAnsi="宋体" w:cs="宋体"/>
                <w:color w:val="auto"/>
                <w:szCs w:val="21"/>
                <w:highlight w:val="none"/>
              </w:rPr>
              <w:t>14</w:t>
            </w:r>
          </w:p>
        </w:tc>
        <w:tc>
          <w:tcPr>
            <w:tcW w:w="813" w:type="pct"/>
            <w:vMerge w:val="continue"/>
          </w:tcPr>
          <w:p w14:paraId="4763EE3D">
            <w:pPr>
              <w:spacing w:line="360" w:lineRule="auto"/>
              <w:rPr>
                <w:rFonts w:ascii="宋体" w:cs="宋体"/>
                <w:color w:val="auto"/>
                <w:szCs w:val="21"/>
                <w:highlight w:val="none"/>
              </w:rPr>
            </w:pPr>
          </w:p>
        </w:tc>
        <w:tc>
          <w:tcPr>
            <w:tcW w:w="1071" w:type="pct"/>
          </w:tcPr>
          <w:p w14:paraId="3696AD84">
            <w:pPr>
              <w:spacing w:line="360" w:lineRule="auto"/>
              <w:rPr>
                <w:rFonts w:ascii="宋体" w:cs="宋体"/>
                <w:color w:val="auto"/>
                <w:szCs w:val="21"/>
                <w:highlight w:val="none"/>
              </w:rPr>
            </w:pPr>
          </w:p>
          <w:p w14:paraId="77F61ECD">
            <w:pPr>
              <w:spacing w:line="360" w:lineRule="auto"/>
              <w:rPr>
                <w:rFonts w:ascii="宋体" w:cs="宋体"/>
                <w:color w:val="auto"/>
                <w:szCs w:val="21"/>
                <w:highlight w:val="none"/>
              </w:rPr>
            </w:pPr>
            <w:r>
              <w:rPr>
                <w:rFonts w:hint="eastAsia" w:ascii="宋体" w:hAnsi="宋体" w:cs="宋体"/>
                <w:color w:val="auto"/>
                <w:szCs w:val="21"/>
                <w:highlight w:val="none"/>
              </w:rPr>
              <w:t>商用燃气灶具</w:t>
            </w:r>
          </w:p>
        </w:tc>
        <w:tc>
          <w:tcPr>
            <w:tcW w:w="937" w:type="pct"/>
          </w:tcPr>
          <w:p w14:paraId="56899195">
            <w:pPr>
              <w:spacing w:line="360" w:lineRule="auto"/>
              <w:rPr>
                <w:rFonts w:ascii="宋体" w:cs="宋体"/>
                <w:color w:val="auto"/>
                <w:szCs w:val="21"/>
                <w:highlight w:val="none"/>
              </w:rPr>
            </w:pPr>
          </w:p>
        </w:tc>
        <w:tc>
          <w:tcPr>
            <w:tcW w:w="1743" w:type="pct"/>
          </w:tcPr>
          <w:p w14:paraId="2829A9FC">
            <w:pPr>
              <w:spacing w:line="360" w:lineRule="auto"/>
              <w:rPr>
                <w:rFonts w:ascii="宋体" w:cs="宋体"/>
                <w:color w:val="auto"/>
                <w:szCs w:val="21"/>
                <w:highlight w:val="none"/>
              </w:rPr>
            </w:pPr>
            <w:r>
              <w:rPr>
                <w:rFonts w:hint="eastAsia" w:ascii="宋体" w:hAnsi="宋体" w:cs="宋体"/>
                <w:color w:val="auto"/>
                <w:szCs w:val="21"/>
                <w:highlight w:val="none"/>
              </w:rPr>
              <w:t>《商用燃气灶具能效限定值及能</w:t>
            </w:r>
            <w:r>
              <w:rPr>
                <w:rFonts w:ascii="宋体" w:hAnsi="宋体" w:cs="宋体"/>
                <w:color w:val="auto"/>
                <w:szCs w:val="21"/>
                <w:highlight w:val="none"/>
              </w:rPr>
              <w:t xml:space="preserve"> </w:t>
            </w:r>
            <w:r>
              <w:rPr>
                <w:rFonts w:hint="eastAsia" w:ascii="宋体" w:hAnsi="宋体" w:cs="宋体"/>
                <w:color w:val="auto"/>
                <w:szCs w:val="21"/>
                <w:highlight w:val="none"/>
              </w:rPr>
              <w:t>效等级》</w:t>
            </w:r>
            <w:r>
              <w:rPr>
                <w:rFonts w:ascii="宋体" w:hAnsi="宋体" w:cs="宋体"/>
                <w:color w:val="auto"/>
                <w:szCs w:val="21"/>
                <w:highlight w:val="none"/>
              </w:rPr>
              <w:t>(GB 30531 )</w:t>
            </w:r>
          </w:p>
        </w:tc>
      </w:tr>
      <w:tr w14:paraId="2E5F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33" w:type="pct"/>
            <w:vMerge w:val="restart"/>
          </w:tcPr>
          <w:p w14:paraId="32ABC20A">
            <w:pPr>
              <w:spacing w:line="360" w:lineRule="auto"/>
              <w:rPr>
                <w:rFonts w:ascii="宋体" w:cs="宋体"/>
                <w:color w:val="auto"/>
                <w:szCs w:val="21"/>
                <w:highlight w:val="none"/>
              </w:rPr>
            </w:pPr>
            <w:r>
              <w:rPr>
                <w:rFonts w:ascii="宋体" w:hAnsi="宋体" w:cs="宋体"/>
                <w:color w:val="auto"/>
                <w:szCs w:val="21"/>
                <w:highlight w:val="none"/>
              </w:rPr>
              <w:t>15</w:t>
            </w:r>
          </w:p>
        </w:tc>
        <w:tc>
          <w:tcPr>
            <w:tcW w:w="813" w:type="pct"/>
            <w:vMerge w:val="restart"/>
          </w:tcPr>
          <w:p w14:paraId="1CDFEC58">
            <w:pPr>
              <w:spacing w:line="360" w:lineRule="auto"/>
              <w:rPr>
                <w:rFonts w:ascii="宋体" w:cs="宋体"/>
                <w:color w:val="auto"/>
                <w:szCs w:val="21"/>
                <w:highlight w:val="none"/>
              </w:rPr>
            </w:pPr>
          </w:p>
          <w:p w14:paraId="1C0741D2">
            <w:pPr>
              <w:spacing w:line="360" w:lineRule="auto"/>
              <w:rPr>
                <w:rFonts w:ascii="宋体" w:cs="宋体"/>
                <w:color w:val="auto"/>
                <w:szCs w:val="21"/>
                <w:highlight w:val="none"/>
              </w:rPr>
            </w:pPr>
          </w:p>
          <w:p w14:paraId="5ACC154B">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A060805</w:t>
            </w:r>
            <w:r>
              <w:rPr>
                <w:rFonts w:hint="eastAsia" w:ascii="宋体" w:hAnsi="宋体" w:cs="宋体"/>
                <w:color w:val="auto"/>
                <w:szCs w:val="21"/>
                <w:highlight w:val="none"/>
              </w:rPr>
              <w:t>便器</w:t>
            </w:r>
          </w:p>
        </w:tc>
        <w:tc>
          <w:tcPr>
            <w:tcW w:w="1071" w:type="pct"/>
          </w:tcPr>
          <w:p w14:paraId="6E3D259C">
            <w:pPr>
              <w:spacing w:line="360" w:lineRule="auto"/>
              <w:rPr>
                <w:rFonts w:ascii="宋体" w:cs="宋体"/>
                <w:color w:val="auto"/>
                <w:szCs w:val="21"/>
                <w:highlight w:val="none"/>
              </w:rPr>
            </w:pPr>
            <w:r>
              <w:rPr>
                <w:rFonts w:hint="eastAsia" w:ascii="宋体" w:hAnsi="宋体" w:cs="宋体"/>
                <w:color w:val="auto"/>
                <w:szCs w:val="21"/>
                <w:highlight w:val="none"/>
              </w:rPr>
              <w:t>坐便器</w:t>
            </w:r>
          </w:p>
        </w:tc>
        <w:tc>
          <w:tcPr>
            <w:tcW w:w="937" w:type="pct"/>
          </w:tcPr>
          <w:p w14:paraId="02C02312">
            <w:pPr>
              <w:spacing w:line="360" w:lineRule="auto"/>
              <w:rPr>
                <w:rFonts w:ascii="宋体" w:cs="宋体"/>
                <w:color w:val="auto"/>
                <w:szCs w:val="21"/>
                <w:highlight w:val="none"/>
              </w:rPr>
            </w:pPr>
          </w:p>
        </w:tc>
        <w:tc>
          <w:tcPr>
            <w:tcW w:w="1743" w:type="pct"/>
          </w:tcPr>
          <w:p w14:paraId="0CF12DA0">
            <w:pPr>
              <w:spacing w:line="360" w:lineRule="auto"/>
              <w:rPr>
                <w:rFonts w:ascii="宋体" w:cs="宋体"/>
                <w:color w:val="auto"/>
                <w:szCs w:val="21"/>
                <w:highlight w:val="none"/>
              </w:rPr>
            </w:pPr>
            <w:r>
              <w:rPr>
                <w:rFonts w:hint="eastAsia" w:ascii="宋体" w:hAnsi="宋体" w:cs="宋体"/>
                <w:color w:val="auto"/>
                <w:szCs w:val="21"/>
                <w:highlight w:val="none"/>
              </w:rPr>
              <w:t>《坐便器水效限定值及水效等级》</w:t>
            </w:r>
            <w:r>
              <w:rPr>
                <w:rFonts w:ascii="宋体" w:hAnsi="宋体" w:cs="宋体"/>
                <w:color w:val="auto"/>
                <w:szCs w:val="21"/>
                <w:highlight w:val="none"/>
              </w:rPr>
              <w:t xml:space="preserve">      (GB 25502)</w:t>
            </w:r>
          </w:p>
        </w:tc>
      </w:tr>
      <w:tr w14:paraId="6EBB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02E6DF7">
            <w:pPr>
              <w:spacing w:line="360" w:lineRule="auto"/>
              <w:rPr>
                <w:rFonts w:ascii="宋体" w:cs="宋体"/>
                <w:color w:val="auto"/>
                <w:szCs w:val="21"/>
                <w:highlight w:val="none"/>
              </w:rPr>
            </w:pPr>
          </w:p>
        </w:tc>
        <w:tc>
          <w:tcPr>
            <w:tcW w:w="813" w:type="pct"/>
            <w:vMerge w:val="continue"/>
          </w:tcPr>
          <w:p w14:paraId="0791C1AD">
            <w:pPr>
              <w:spacing w:line="360" w:lineRule="auto"/>
              <w:rPr>
                <w:rFonts w:ascii="宋体" w:cs="宋体"/>
                <w:color w:val="auto"/>
                <w:szCs w:val="21"/>
                <w:highlight w:val="none"/>
              </w:rPr>
            </w:pPr>
          </w:p>
        </w:tc>
        <w:tc>
          <w:tcPr>
            <w:tcW w:w="1071" w:type="pct"/>
          </w:tcPr>
          <w:p w14:paraId="42F32541">
            <w:pPr>
              <w:spacing w:line="360" w:lineRule="auto"/>
              <w:rPr>
                <w:rFonts w:ascii="宋体" w:cs="宋体"/>
                <w:color w:val="auto"/>
                <w:szCs w:val="21"/>
                <w:highlight w:val="none"/>
              </w:rPr>
            </w:pPr>
            <w:r>
              <w:rPr>
                <w:rFonts w:hint="eastAsia" w:ascii="宋体" w:hAnsi="宋体" w:cs="宋体"/>
                <w:color w:val="auto"/>
                <w:szCs w:val="21"/>
                <w:highlight w:val="none"/>
              </w:rPr>
              <w:t>蹲便器</w:t>
            </w:r>
          </w:p>
        </w:tc>
        <w:tc>
          <w:tcPr>
            <w:tcW w:w="937" w:type="pct"/>
          </w:tcPr>
          <w:p w14:paraId="0BA2960F">
            <w:pPr>
              <w:spacing w:line="360" w:lineRule="auto"/>
              <w:rPr>
                <w:rFonts w:ascii="宋体" w:cs="宋体"/>
                <w:color w:val="auto"/>
                <w:szCs w:val="21"/>
                <w:highlight w:val="none"/>
              </w:rPr>
            </w:pPr>
          </w:p>
        </w:tc>
        <w:tc>
          <w:tcPr>
            <w:tcW w:w="1743" w:type="pct"/>
          </w:tcPr>
          <w:p w14:paraId="5A7213CB">
            <w:pPr>
              <w:spacing w:line="360" w:lineRule="auto"/>
              <w:rPr>
                <w:rFonts w:ascii="宋体" w:cs="宋体"/>
                <w:color w:val="auto"/>
                <w:szCs w:val="21"/>
                <w:highlight w:val="none"/>
              </w:rPr>
            </w:pPr>
            <w:r>
              <w:rPr>
                <w:rFonts w:hint="eastAsia" w:ascii="宋体" w:hAnsi="宋体" w:cs="宋体"/>
                <w:color w:val="auto"/>
                <w:szCs w:val="21"/>
                <w:highlight w:val="none"/>
              </w:rPr>
              <w:t>《蹲便器用水效率限定值及用水效率等级》</w:t>
            </w:r>
            <w:r>
              <w:rPr>
                <w:rFonts w:ascii="宋体" w:hAnsi="宋体" w:cs="宋体"/>
                <w:color w:val="auto"/>
                <w:szCs w:val="21"/>
                <w:highlight w:val="none"/>
              </w:rPr>
              <w:t xml:space="preserve"> (GB 30717)</w:t>
            </w:r>
          </w:p>
        </w:tc>
      </w:tr>
      <w:tr w14:paraId="1663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0339F562">
            <w:pPr>
              <w:spacing w:line="360" w:lineRule="auto"/>
              <w:rPr>
                <w:rFonts w:ascii="宋体" w:cs="宋体"/>
                <w:color w:val="auto"/>
                <w:szCs w:val="21"/>
                <w:highlight w:val="none"/>
              </w:rPr>
            </w:pPr>
          </w:p>
        </w:tc>
        <w:tc>
          <w:tcPr>
            <w:tcW w:w="813" w:type="pct"/>
            <w:vMerge w:val="continue"/>
          </w:tcPr>
          <w:p w14:paraId="2C543BEB">
            <w:pPr>
              <w:spacing w:line="360" w:lineRule="auto"/>
              <w:rPr>
                <w:rFonts w:ascii="宋体" w:cs="宋体"/>
                <w:color w:val="auto"/>
                <w:szCs w:val="21"/>
                <w:highlight w:val="none"/>
              </w:rPr>
            </w:pPr>
          </w:p>
        </w:tc>
        <w:tc>
          <w:tcPr>
            <w:tcW w:w="1071" w:type="pct"/>
          </w:tcPr>
          <w:p w14:paraId="3F4600F9">
            <w:pPr>
              <w:spacing w:line="360" w:lineRule="auto"/>
              <w:rPr>
                <w:rFonts w:ascii="宋体" w:cs="宋体"/>
                <w:color w:val="auto"/>
                <w:szCs w:val="21"/>
                <w:highlight w:val="none"/>
              </w:rPr>
            </w:pPr>
            <w:r>
              <w:rPr>
                <w:rFonts w:hint="eastAsia" w:ascii="宋体" w:hAnsi="宋体" w:cs="宋体"/>
                <w:color w:val="auto"/>
                <w:szCs w:val="21"/>
                <w:highlight w:val="none"/>
              </w:rPr>
              <w:t>小便器</w:t>
            </w:r>
          </w:p>
        </w:tc>
        <w:tc>
          <w:tcPr>
            <w:tcW w:w="937" w:type="pct"/>
          </w:tcPr>
          <w:p w14:paraId="2000006A">
            <w:pPr>
              <w:spacing w:line="360" w:lineRule="auto"/>
              <w:rPr>
                <w:rFonts w:ascii="宋体" w:cs="宋体"/>
                <w:color w:val="auto"/>
                <w:szCs w:val="21"/>
                <w:highlight w:val="none"/>
              </w:rPr>
            </w:pPr>
          </w:p>
        </w:tc>
        <w:tc>
          <w:tcPr>
            <w:tcW w:w="1743" w:type="pct"/>
          </w:tcPr>
          <w:p w14:paraId="39C11A04">
            <w:pPr>
              <w:spacing w:line="360" w:lineRule="auto"/>
              <w:rPr>
                <w:rFonts w:ascii="宋体" w:cs="宋体"/>
                <w:color w:val="auto"/>
                <w:szCs w:val="21"/>
                <w:highlight w:val="none"/>
              </w:rPr>
            </w:pPr>
            <w:r>
              <w:rPr>
                <w:rFonts w:hint="eastAsia" w:ascii="宋体" w:hAnsi="宋体" w:cs="宋体"/>
                <w:color w:val="auto"/>
                <w:szCs w:val="21"/>
                <w:highlight w:val="none"/>
              </w:rPr>
              <w:t>《小便器用水效率限定值及用水</w:t>
            </w:r>
            <w:r>
              <w:rPr>
                <w:rFonts w:ascii="宋体" w:hAnsi="宋体" w:cs="宋体"/>
                <w:color w:val="auto"/>
                <w:szCs w:val="21"/>
                <w:highlight w:val="none"/>
              </w:rPr>
              <w:t xml:space="preserve"> </w:t>
            </w:r>
            <w:r>
              <w:rPr>
                <w:rFonts w:hint="eastAsia" w:ascii="宋体" w:hAnsi="宋体" w:cs="宋体"/>
                <w:color w:val="auto"/>
                <w:szCs w:val="21"/>
                <w:highlight w:val="none"/>
              </w:rPr>
              <w:t>效率等级》</w:t>
            </w:r>
            <w:r>
              <w:rPr>
                <w:rFonts w:ascii="宋体" w:hAnsi="宋体" w:cs="宋体"/>
                <w:color w:val="auto"/>
                <w:szCs w:val="21"/>
                <w:highlight w:val="none"/>
              </w:rPr>
              <w:t xml:space="preserve">(GB 28377) </w:t>
            </w:r>
          </w:p>
        </w:tc>
      </w:tr>
      <w:tr w14:paraId="1819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7864458">
            <w:pPr>
              <w:spacing w:line="360" w:lineRule="auto"/>
              <w:rPr>
                <w:rFonts w:ascii="宋体" w:cs="宋体"/>
                <w:color w:val="auto"/>
                <w:szCs w:val="21"/>
                <w:highlight w:val="none"/>
              </w:rPr>
            </w:pPr>
            <w:r>
              <w:rPr>
                <w:rFonts w:ascii="宋体" w:hAnsi="宋体" w:cs="宋体"/>
                <w:color w:val="auto"/>
                <w:szCs w:val="21"/>
                <w:highlight w:val="none"/>
              </w:rPr>
              <w:t>16</w:t>
            </w:r>
          </w:p>
        </w:tc>
        <w:tc>
          <w:tcPr>
            <w:tcW w:w="813" w:type="pct"/>
          </w:tcPr>
          <w:p w14:paraId="7D32E789">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A060806</w:t>
            </w:r>
            <w:r>
              <w:rPr>
                <w:rFonts w:hint="eastAsia" w:ascii="宋体" w:hAnsi="宋体" w:cs="宋体"/>
                <w:color w:val="auto"/>
                <w:szCs w:val="21"/>
                <w:highlight w:val="none"/>
              </w:rPr>
              <w:t>水嘴</w:t>
            </w:r>
          </w:p>
        </w:tc>
        <w:tc>
          <w:tcPr>
            <w:tcW w:w="1071" w:type="pct"/>
          </w:tcPr>
          <w:p w14:paraId="19028E90">
            <w:pPr>
              <w:spacing w:line="360" w:lineRule="auto"/>
              <w:rPr>
                <w:rFonts w:ascii="宋体" w:cs="宋体"/>
                <w:color w:val="auto"/>
                <w:szCs w:val="21"/>
                <w:highlight w:val="none"/>
              </w:rPr>
            </w:pPr>
          </w:p>
        </w:tc>
        <w:tc>
          <w:tcPr>
            <w:tcW w:w="937" w:type="pct"/>
          </w:tcPr>
          <w:p w14:paraId="16DCC997">
            <w:pPr>
              <w:spacing w:line="360" w:lineRule="auto"/>
              <w:rPr>
                <w:rFonts w:ascii="宋体" w:cs="宋体"/>
                <w:color w:val="auto"/>
                <w:szCs w:val="21"/>
                <w:highlight w:val="none"/>
              </w:rPr>
            </w:pPr>
          </w:p>
        </w:tc>
        <w:tc>
          <w:tcPr>
            <w:tcW w:w="1743" w:type="pct"/>
          </w:tcPr>
          <w:p w14:paraId="5119DC46">
            <w:pPr>
              <w:spacing w:line="360" w:lineRule="auto"/>
              <w:rPr>
                <w:rFonts w:ascii="宋体" w:cs="宋体"/>
                <w:color w:val="auto"/>
                <w:szCs w:val="21"/>
                <w:highlight w:val="none"/>
              </w:rPr>
            </w:pPr>
            <w:r>
              <w:rPr>
                <w:rFonts w:hint="eastAsia" w:ascii="宋体" w:hAnsi="宋体" w:cs="宋体"/>
                <w:color w:val="auto"/>
                <w:szCs w:val="21"/>
                <w:highlight w:val="none"/>
              </w:rPr>
              <w:t>《水嘴用水效率限定值及用水效率等级（</w:t>
            </w:r>
            <w:r>
              <w:rPr>
                <w:rFonts w:ascii="宋体" w:hAnsi="宋体" w:cs="宋体"/>
                <w:color w:val="auto"/>
                <w:szCs w:val="21"/>
                <w:highlight w:val="none"/>
              </w:rPr>
              <w:t>GB 25501)</w:t>
            </w:r>
          </w:p>
        </w:tc>
      </w:tr>
      <w:tr w14:paraId="3BDF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27B8DB2">
            <w:pPr>
              <w:spacing w:line="360" w:lineRule="auto"/>
              <w:rPr>
                <w:rFonts w:ascii="宋体" w:cs="宋体"/>
                <w:color w:val="auto"/>
                <w:szCs w:val="21"/>
                <w:highlight w:val="none"/>
              </w:rPr>
            </w:pPr>
            <w:r>
              <w:rPr>
                <w:rFonts w:ascii="宋体" w:hAnsi="宋体" w:cs="宋体"/>
                <w:color w:val="auto"/>
                <w:szCs w:val="21"/>
                <w:highlight w:val="none"/>
              </w:rPr>
              <w:t>17</w:t>
            </w:r>
          </w:p>
        </w:tc>
        <w:tc>
          <w:tcPr>
            <w:tcW w:w="813" w:type="pct"/>
          </w:tcPr>
          <w:p w14:paraId="0816939D">
            <w:pPr>
              <w:spacing w:line="360" w:lineRule="auto"/>
              <w:rPr>
                <w:rFonts w:ascii="宋体" w:cs="宋体"/>
                <w:color w:val="auto"/>
                <w:szCs w:val="21"/>
                <w:highlight w:val="none"/>
              </w:rPr>
            </w:pPr>
            <w:r>
              <w:rPr>
                <w:rFonts w:ascii="宋体" w:hAnsi="宋体" w:cs="宋体"/>
                <w:color w:val="auto"/>
                <w:szCs w:val="21"/>
                <w:highlight w:val="none"/>
              </w:rPr>
              <w:t>A060807</w:t>
            </w:r>
            <w:r>
              <w:rPr>
                <w:rFonts w:hint="eastAsia" w:ascii="宋体" w:hAnsi="宋体" w:cs="宋体"/>
                <w:color w:val="auto"/>
                <w:szCs w:val="21"/>
                <w:highlight w:val="none"/>
              </w:rPr>
              <w:t>便器冲洗阀嘴</w:t>
            </w:r>
          </w:p>
        </w:tc>
        <w:tc>
          <w:tcPr>
            <w:tcW w:w="1071" w:type="pct"/>
          </w:tcPr>
          <w:p w14:paraId="42A04FD3">
            <w:pPr>
              <w:spacing w:line="360" w:lineRule="auto"/>
              <w:rPr>
                <w:rFonts w:ascii="宋体" w:cs="宋体"/>
                <w:color w:val="auto"/>
                <w:szCs w:val="21"/>
                <w:highlight w:val="none"/>
              </w:rPr>
            </w:pPr>
          </w:p>
        </w:tc>
        <w:tc>
          <w:tcPr>
            <w:tcW w:w="937" w:type="pct"/>
          </w:tcPr>
          <w:p w14:paraId="641D84B3">
            <w:pPr>
              <w:spacing w:line="360" w:lineRule="auto"/>
              <w:rPr>
                <w:rFonts w:ascii="宋体" w:cs="宋体"/>
                <w:color w:val="auto"/>
                <w:szCs w:val="21"/>
                <w:highlight w:val="none"/>
              </w:rPr>
            </w:pPr>
          </w:p>
        </w:tc>
        <w:tc>
          <w:tcPr>
            <w:tcW w:w="1743" w:type="pct"/>
          </w:tcPr>
          <w:p w14:paraId="6B8DBD75">
            <w:pPr>
              <w:spacing w:line="360" w:lineRule="auto"/>
              <w:rPr>
                <w:rFonts w:ascii="宋体" w:cs="宋体"/>
                <w:color w:val="auto"/>
                <w:szCs w:val="21"/>
                <w:highlight w:val="none"/>
              </w:rPr>
            </w:pPr>
            <w:r>
              <w:rPr>
                <w:rFonts w:hint="eastAsia" w:ascii="宋体" w:hAnsi="宋体" w:cs="宋体"/>
                <w:color w:val="auto"/>
                <w:szCs w:val="21"/>
                <w:highlight w:val="none"/>
              </w:rPr>
              <w:t>《便器冲洗阀用水效率限定值及用水效率等级（</w:t>
            </w:r>
            <w:r>
              <w:rPr>
                <w:rFonts w:ascii="宋体" w:hAnsi="宋体" w:cs="宋体"/>
                <w:color w:val="auto"/>
                <w:szCs w:val="21"/>
                <w:highlight w:val="none"/>
              </w:rPr>
              <w:t>GB 28379)</w:t>
            </w:r>
          </w:p>
        </w:tc>
      </w:tr>
      <w:tr w14:paraId="5089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F134660">
            <w:pPr>
              <w:spacing w:line="360" w:lineRule="auto"/>
              <w:rPr>
                <w:rFonts w:ascii="宋体" w:cs="宋体"/>
                <w:color w:val="auto"/>
                <w:szCs w:val="21"/>
                <w:highlight w:val="none"/>
              </w:rPr>
            </w:pPr>
            <w:r>
              <w:rPr>
                <w:rFonts w:ascii="宋体" w:hAnsi="宋体" w:cs="宋体"/>
                <w:color w:val="auto"/>
                <w:szCs w:val="21"/>
                <w:highlight w:val="none"/>
              </w:rPr>
              <w:t>18</w:t>
            </w:r>
          </w:p>
        </w:tc>
        <w:tc>
          <w:tcPr>
            <w:tcW w:w="813" w:type="pct"/>
          </w:tcPr>
          <w:p w14:paraId="5F2D0FC3">
            <w:pPr>
              <w:spacing w:line="360" w:lineRule="auto"/>
              <w:rPr>
                <w:rFonts w:ascii="宋体" w:cs="宋体"/>
                <w:color w:val="auto"/>
                <w:szCs w:val="21"/>
                <w:highlight w:val="none"/>
              </w:rPr>
            </w:pPr>
            <w:r>
              <w:rPr>
                <w:rFonts w:ascii="宋体" w:hAnsi="宋体" w:cs="宋体"/>
                <w:color w:val="auto"/>
                <w:szCs w:val="21"/>
                <w:highlight w:val="none"/>
              </w:rPr>
              <w:t>A060810</w:t>
            </w:r>
            <w:r>
              <w:rPr>
                <w:rFonts w:hint="eastAsia" w:ascii="宋体" w:hAnsi="宋体" w:cs="宋体"/>
                <w:color w:val="auto"/>
                <w:szCs w:val="21"/>
                <w:highlight w:val="none"/>
              </w:rPr>
              <w:t>淋浴器</w:t>
            </w:r>
          </w:p>
        </w:tc>
        <w:tc>
          <w:tcPr>
            <w:tcW w:w="1071" w:type="pct"/>
          </w:tcPr>
          <w:p w14:paraId="21B544A3">
            <w:pPr>
              <w:spacing w:line="360" w:lineRule="auto"/>
              <w:rPr>
                <w:rFonts w:ascii="宋体" w:cs="宋体"/>
                <w:color w:val="auto"/>
                <w:szCs w:val="21"/>
                <w:highlight w:val="none"/>
              </w:rPr>
            </w:pPr>
          </w:p>
        </w:tc>
        <w:tc>
          <w:tcPr>
            <w:tcW w:w="937" w:type="pct"/>
          </w:tcPr>
          <w:p w14:paraId="03D9666D">
            <w:pPr>
              <w:spacing w:line="360" w:lineRule="auto"/>
              <w:rPr>
                <w:rFonts w:ascii="宋体" w:cs="宋体"/>
                <w:color w:val="auto"/>
                <w:szCs w:val="21"/>
                <w:highlight w:val="none"/>
              </w:rPr>
            </w:pPr>
          </w:p>
        </w:tc>
        <w:tc>
          <w:tcPr>
            <w:tcW w:w="1743" w:type="pct"/>
          </w:tcPr>
          <w:p w14:paraId="176E9A54">
            <w:pPr>
              <w:spacing w:line="360" w:lineRule="auto"/>
              <w:rPr>
                <w:rFonts w:ascii="宋体" w:cs="宋体"/>
                <w:color w:val="auto"/>
                <w:szCs w:val="21"/>
                <w:highlight w:val="none"/>
              </w:rPr>
            </w:pPr>
            <w:r>
              <w:rPr>
                <w:rFonts w:hint="eastAsia" w:ascii="宋体" w:hAnsi="宋体" w:cs="宋体"/>
                <w:color w:val="auto"/>
                <w:szCs w:val="21"/>
                <w:highlight w:val="none"/>
              </w:rPr>
              <w:t>《淋浴器用水效率限定值及用水效率等级》（</w:t>
            </w:r>
            <w:r>
              <w:rPr>
                <w:rFonts w:ascii="宋体" w:hAnsi="宋体" w:cs="宋体"/>
                <w:color w:val="auto"/>
                <w:szCs w:val="21"/>
                <w:highlight w:val="none"/>
              </w:rPr>
              <w:t>GB 28378)</w:t>
            </w:r>
          </w:p>
        </w:tc>
      </w:tr>
    </w:tbl>
    <w:p w14:paraId="51A7A6AD">
      <w:pPr>
        <w:spacing w:line="360" w:lineRule="auto"/>
        <w:jc w:val="left"/>
        <w:rPr>
          <w:rFonts w:ascii="宋体" w:cs="宋体"/>
          <w:color w:val="auto"/>
          <w:szCs w:val="21"/>
          <w:highlight w:val="none"/>
        </w:rPr>
      </w:pPr>
    </w:p>
    <w:p w14:paraId="0D33520B">
      <w:pPr>
        <w:spacing w:line="360" w:lineRule="auto"/>
        <w:jc w:val="left"/>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节能产品认证应依据相关国家标准的最新版本，依据国家标准中二级能效（水效</w:t>
      </w:r>
      <w:r>
        <w:rPr>
          <w:rFonts w:ascii="宋体" w:hAnsi="宋体" w:cs="宋体"/>
          <w:color w:val="auto"/>
          <w:szCs w:val="21"/>
          <w:highlight w:val="none"/>
        </w:rPr>
        <w:t>)</w:t>
      </w:r>
      <w:r>
        <w:rPr>
          <w:rFonts w:hint="eastAsia" w:ascii="宋体" w:hAnsi="宋体" w:cs="宋体"/>
          <w:color w:val="auto"/>
          <w:szCs w:val="21"/>
          <w:highlight w:val="none"/>
        </w:rPr>
        <w:t>指标。</w:t>
      </w:r>
    </w:p>
    <w:p w14:paraId="44C87DDC">
      <w:pPr>
        <w:spacing w:line="360" w:lineRule="auto"/>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上述产品中认证标准发生变更的，依据原认证标准获得的、仍在有效期内的认证证书可使用至</w:t>
      </w:r>
      <w:r>
        <w:rPr>
          <w:rFonts w:ascii="宋体" w:hAnsi="宋体" w:cs="宋体"/>
          <w:color w:val="auto"/>
          <w:szCs w:val="21"/>
          <w:highlight w:val="none"/>
        </w:rPr>
        <w:t>2019</w:t>
      </w:r>
      <w:r>
        <w:rPr>
          <w:rFonts w:hint="eastAsia" w:ascii="宋体" w:hAnsi="宋体" w:cs="宋体"/>
          <w:color w:val="auto"/>
          <w:szCs w:val="21"/>
          <w:highlight w:val="none"/>
        </w:rPr>
        <w:t>年</w:t>
      </w:r>
      <w:r>
        <w:rPr>
          <w:rFonts w:ascii="宋体" w:hAnsi="宋体" w:cs="宋体"/>
          <w:color w:val="auto"/>
          <w:szCs w:val="21"/>
          <w:highlight w:val="none"/>
        </w:rPr>
        <w:t>6</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w:t>
      </w:r>
    </w:p>
    <w:p w14:paraId="55B55D1E">
      <w:pPr>
        <w:spacing w:line="360" w:lineRule="auto"/>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以“★”标注的为政府强制采购产品。</w:t>
      </w:r>
    </w:p>
    <w:p w14:paraId="6AB22E8A">
      <w:pPr>
        <w:pStyle w:val="15"/>
        <w:spacing w:line="360" w:lineRule="auto"/>
        <w:ind w:left="0" w:leftChars="0"/>
        <w:jc w:val="center"/>
        <w:outlineLvl w:val="2"/>
        <w:rPr>
          <w:color w:val="auto"/>
          <w:highlight w:val="none"/>
        </w:rPr>
      </w:pPr>
      <w:r>
        <w:rPr>
          <w:color w:val="auto"/>
          <w:highlight w:val="none"/>
        </w:rPr>
        <w:br w:type="page"/>
      </w:r>
      <w:bookmarkStart w:id="557" w:name="_Toc7371"/>
      <w:r>
        <w:rPr>
          <w:rStyle w:val="32"/>
          <w:rFonts w:hint="eastAsia"/>
          <w:color w:val="auto"/>
          <w:highlight w:val="none"/>
        </w:rPr>
        <w:t>关于印发环境标志产品政府采购品目清单的通知</w:t>
      </w:r>
      <w:bookmarkEnd w:id="557"/>
    </w:p>
    <w:p w14:paraId="250BDC90">
      <w:pPr>
        <w:spacing w:line="360" w:lineRule="auto"/>
        <w:rPr>
          <w:color w:val="auto"/>
          <w:highlight w:val="none"/>
        </w:rPr>
      </w:pPr>
      <w:r>
        <w:rPr>
          <w:color w:val="auto"/>
          <w:highlight w:val="none"/>
        </w:rPr>
        <w:t xml:space="preserve">    </w:t>
      </w:r>
      <w:r>
        <w:rPr>
          <w:rFonts w:hint="eastAsia"/>
          <w:color w:val="auto"/>
          <w:highlight w:val="none"/>
        </w:rPr>
        <w:t>有关中央预算单位，各省、自治区、直辖市、计划单列市财政厅（局）、生态环境厅（局），新疆生产建设兵团财政局、环境保护局：</w:t>
      </w:r>
    </w:p>
    <w:p w14:paraId="029C1FD7">
      <w:pPr>
        <w:spacing w:line="360" w:lineRule="auto"/>
        <w:rPr>
          <w:color w:val="auto"/>
          <w:highlight w:val="none"/>
        </w:rPr>
      </w:pPr>
    </w:p>
    <w:p w14:paraId="737BA017">
      <w:pPr>
        <w:spacing w:line="360" w:lineRule="auto"/>
        <w:rPr>
          <w:color w:val="auto"/>
          <w:highlight w:val="none"/>
        </w:rPr>
      </w:pPr>
      <w:r>
        <w:rPr>
          <w:rFonts w:hint="eastAsia"/>
          <w:color w:val="auto"/>
          <w:highlight w:val="none"/>
        </w:rPr>
        <w:t>　　根据《财政部发展改革委</w:t>
      </w:r>
      <w:r>
        <w:rPr>
          <w:color w:val="auto"/>
          <w:highlight w:val="none"/>
        </w:rPr>
        <w:t xml:space="preserve"> </w:t>
      </w:r>
      <w:r>
        <w:rPr>
          <w:rFonts w:hint="eastAsia"/>
          <w:color w:val="auto"/>
          <w:highlight w:val="none"/>
        </w:rPr>
        <w:t>生态环境部</w:t>
      </w:r>
      <w:r>
        <w:rPr>
          <w:color w:val="auto"/>
          <w:highlight w:val="none"/>
        </w:rPr>
        <w:t xml:space="preserve"> </w:t>
      </w:r>
      <w:r>
        <w:rPr>
          <w:rFonts w:hint="eastAsia"/>
          <w:color w:val="auto"/>
          <w:highlight w:val="none"/>
        </w:rPr>
        <w:t>市场监管总局关于调整优化节能产品</w:t>
      </w:r>
      <w:r>
        <w:rPr>
          <w:color w:val="auto"/>
          <w:highlight w:val="none"/>
        </w:rPr>
        <w:t xml:space="preserve"> </w:t>
      </w:r>
      <w:r>
        <w:rPr>
          <w:rFonts w:hint="eastAsia"/>
          <w:color w:val="auto"/>
          <w:highlight w:val="none"/>
        </w:rPr>
        <w:t>环境标志产品政府采购执行机制的通知》（财库〔</w:t>
      </w:r>
      <w:r>
        <w:rPr>
          <w:color w:val="auto"/>
          <w:highlight w:val="none"/>
        </w:rPr>
        <w:t>2019</w:t>
      </w:r>
      <w:r>
        <w:rPr>
          <w:rFonts w:hint="eastAsia"/>
          <w:color w:val="auto"/>
          <w:highlight w:val="none"/>
        </w:rPr>
        <w:t>〕</w:t>
      </w:r>
      <w:r>
        <w:rPr>
          <w:color w:val="auto"/>
          <w:highlight w:val="none"/>
        </w:rPr>
        <w:t>9</w:t>
      </w:r>
      <w:r>
        <w:rPr>
          <w:rFonts w:hint="eastAsia"/>
          <w:color w:val="auto"/>
          <w:highlight w:val="none"/>
        </w:rPr>
        <w:t>号），</w:t>
      </w:r>
      <w:r>
        <w:rPr>
          <w:color w:val="auto"/>
          <w:highlight w:val="none"/>
        </w:rPr>
        <w:t xml:space="preserve"> </w:t>
      </w:r>
      <w:r>
        <w:rPr>
          <w:rFonts w:hint="eastAsia"/>
          <w:color w:val="auto"/>
          <w:highlight w:val="none"/>
        </w:rPr>
        <w:t>我们研究制定了环境标志产品政府采购品目清单，现印发给你们，请遵照执行。</w:t>
      </w:r>
    </w:p>
    <w:p w14:paraId="2FCB8C7E">
      <w:pPr>
        <w:spacing w:line="360" w:lineRule="auto"/>
        <w:rPr>
          <w:color w:val="auto"/>
          <w:highlight w:val="none"/>
        </w:rPr>
      </w:pPr>
    </w:p>
    <w:p w14:paraId="054402E5">
      <w:pPr>
        <w:spacing w:line="360" w:lineRule="auto"/>
        <w:rPr>
          <w:color w:val="auto"/>
          <w:highlight w:val="none"/>
        </w:rPr>
      </w:pPr>
      <w:r>
        <w:rPr>
          <w:rFonts w:hint="eastAsia"/>
          <w:color w:val="auto"/>
          <w:highlight w:val="none"/>
        </w:rPr>
        <w:t>　　附件：环境标志产品政府采购品目清单</w:t>
      </w:r>
    </w:p>
    <w:p w14:paraId="3ECF4921">
      <w:pPr>
        <w:spacing w:line="360" w:lineRule="auto"/>
        <w:rPr>
          <w:color w:val="auto"/>
          <w:highlight w:val="none"/>
        </w:rPr>
      </w:pPr>
    </w:p>
    <w:p w14:paraId="0EDE2F76">
      <w:pPr>
        <w:spacing w:line="360" w:lineRule="auto"/>
        <w:jc w:val="right"/>
        <w:rPr>
          <w:color w:val="auto"/>
          <w:highlight w:val="none"/>
        </w:rPr>
      </w:pPr>
      <w:r>
        <w:rPr>
          <w:rFonts w:hint="eastAsia"/>
          <w:color w:val="auto"/>
          <w:highlight w:val="none"/>
        </w:rPr>
        <w:t>财政部</w:t>
      </w:r>
      <w:r>
        <w:rPr>
          <w:color w:val="auto"/>
          <w:highlight w:val="none"/>
        </w:rPr>
        <w:t xml:space="preserve"> </w:t>
      </w:r>
      <w:r>
        <w:rPr>
          <w:rFonts w:hint="eastAsia"/>
          <w:color w:val="auto"/>
          <w:highlight w:val="none"/>
        </w:rPr>
        <w:t>生态环境部</w:t>
      </w:r>
    </w:p>
    <w:p w14:paraId="424CD843">
      <w:pPr>
        <w:spacing w:line="360" w:lineRule="auto"/>
        <w:jc w:val="right"/>
        <w:rPr>
          <w:color w:val="auto"/>
          <w:highlight w:val="none"/>
        </w:rPr>
      </w:pPr>
      <w:r>
        <w:rPr>
          <w:color w:val="auto"/>
          <w:highlight w:val="none"/>
        </w:rPr>
        <w:t>2019</w:t>
      </w:r>
      <w:r>
        <w:rPr>
          <w:rFonts w:hint="eastAsia"/>
          <w:color w:val="auto"/>
          <w:highlight w:val="none"/>
        </w:rPr>
        <w:t>年</w:t>
      </w:r>
      <w:r>
        <w:rPr>
          <w:color w:val="auto"/>
          <w:highlight w:val="none"/>
        </w:rPr>
        <w:t>3</w:t>
      </w:r>
      <w:r>
        <w:rPr>
          <w:rFonts w:hint="eastAsia"/>
          <w:color w:val="auto"/>
          <w:highlight w:val="none"/>
        </w:rPr>
        <w:t>月</w:t>
      </w:r>
      <w:r>
        <w:rPr>
          <w:color w:val="auto"/>
          <w:highlight w:val="none"/>
        </w:rPr>
        <w:t>29</w:t>
      </w:r>
      <w:r>
        <w:rPr>
          <w:rFonts w:hint="eastAsia"/>
          <w:color w:val="auto"/>
          <w:highlight w:val="none"/>
        </w:rPr>
        <w:t>日</w:t>
      </w:r>
    </w:p>
    <w:p w14:paraId="4290C6CE">
      <w:pPr>
        <w:pStyle w:val="4"/>
        <w:jc w:val="center"/>
        <w:rPr>
          <w:color w:val="auto"/>
          <w:highlight w:val="none"/>
        </w:rPr>
      </w:pPr>
      <w:r>
        <w:rPr>
          <w:color w:val="auto"/>
          <w:highlight w:val="none"/>
        </w:rPr>
        <w:br w:type="page"/>
      </w:r>
      <w:bookmarkStart w:id="558" w:name="_Toc4050"/>
      <w:r>
        <w:rPr>
          <w:rFonts w:hint="eastAsia"/>
          <w:color w:val="auto"/>
          <w:highlight w:val="none"/>
        </w:rPr>
        <w:t>环境标志产品政府采购品目清单</w:t>
      </w:r>
      <w:bookmarkEnd w:id="558"/>
    </w:p>
    <w:tbl>
      <w:tblPr>
        <w:tblStyle w:val="2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9"/>
        <w:gridCol w:w="1167"/>
        <w:gridCol w:w="2348"/>
        <w:gridCol w:w="1667"/>
        <w:gridCol w:w="2427"/>
      </w:tblGrid>
      <w:tr w14:paraId="483F9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21" w:type="pct"/>
            <w:vAlign w:val="center"/>
          </w:tcPr>
          <w:p w14:paraId="43A9A4AE">
            <w:pPr>
              <w:spacing w:line="360" w:lineRule="auto"/>
              <w:jc w:val="center"/>
              <w:rPr>
                <w:color w:val="auto"/>
                <w:highlight w:val="none"/>
              </w:rPr>
            </w:pPr>
            <w:r>
              <w:rPr>
                <w:rFonts w:hint="eastAsia"/>
                <w:color w:val="auto"/>
                <w:highlight w:val="none"/>
              </w:rPr>
              <w:t>品目</w:t>
            </w:r>
            <w:r>
              <w:rPr>
                <w:color w:val="auto"/>
                <w:highlight w:val="none"/>
              </w:rPr>
              <w:t xml:space="preserve"> </w:t>
            </w:r>
            <w:r>
              <w:rPr>
                <w:rFonts w:hint="eastAsia"/>
                <w:color w:val="auto"/>
                <w:highlight w:val="none"/>
              </w:rPr>
              <w:t>序号</w:t>
            </w:r>
          </w:p>
        </w:tc>
        <w:tc>
          <w:tcPr>
            <w:tcW w:w="3118" w:type="pct"/>
            <w:gridSpan w:val="3"/>
            <w:vAlign w:val="center"/>
          </w:tcPr>
          <w:p w14:paraId="376E30AE">
            <w:pPr>
              <w:spacing w:line="360" w:lineRule="auto"/>
              <w:jc w:val="center"/>
              <w:rPr>
                <w:color w:val="auto"/>
                <w:highlight w:val="none"/>
              </w:rPr>
            </w:pPr>
            <w:r>
              <w:rPr>
                <w:rFonts w:hint="eastAsia"/>
                <w:color w:val="auto"/>
                <w:highlight w:val="none"/>
              </w:rPr>
              <w:t>名称</w:t>
            </w:r>
          </w:p>
        </w:tc>
        <w:tc>
          <w:tcPr>
            <w:tcW w:w="1460" w:type="pct"/>
            <w:vAlign w:val="center"/>
          </w:tcPr>
          <w:p w14:paraId="00CC8C07">
            <w:pPr>
              <w:spacing w:line="360" w:lineRule="auto"/>
              <w:jc w:val="center"/>
              <w:rPr>
                <w:color w:val="auto"/>
                <w:highlight w:val="none"/>
              </w:rPr>
            </w:pPr>
            <w:r>
              <w:rPr>
                <w:rFonts w:hint="eastAsia"/>
                <w:color w:val="auto"/>
                <w:highlight w:val="none"/>
              </w:rPr>
              <w:t>依据的标准</w:t>
            </w:r>
          </w:p>
        </w:tc>
      </w:tr>
      <w:tr w14:paraId="3B465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restart"/>
            <w:tcBorders>
              <w:bottom w:val="nil"/>
            </w:tcBorders>
          </w:tcPr>
          <w:p w14:paraId="763972C8">
            <w:pPr>
              <w:spacing w:line="360" w:lineRule="auto"/>
              <w:jc w:val="center"/>
              <w:rPr>
                <w:color w:val="auto"/>
                <w:highlight w:val="none"/>
              </w:rPr>
            </w:pPr>
            <w:r>
              <w:rPr>
                <w:color w:val="auto"/>
                <w:highlight w:val="none"/>
              </w:rPr>
              <w:t>1</w:t>
            </w:r>
          </w:p>
        </w:tc>
        <w:tc>
          <w:tcPr>
            <w:tcW w:w="702" w:type="pct"/>
            <w:vMerge w:val="restart"/>
            <w:tcBorders>
              <w:bottom w:val="nil"/>
            </w:tcBorders>
          </w:tcPr>
          <w:p w14:paraId="367F6601">
            <w:pPr>
              <w:spacing w:line="360" w:lineRule="auto"/>
              <w:jc w:val="center"/>
              <w:rPr>
                <w:color w:val="auto"/>
                <w:highlight w:val="none"/>
              </w:rPr>
            </w:pPr>
            <w:r>
              <w:rPr>
                <w:color w:val="auto"/>
                <w:highlight w:val="none"/>
              </w:rPr>
              <w:t xml:space="preserve">A020101 </w:t>
            </w:r>
            <w:r>
              <w:rPr>
                <w:rFonts w:hint="eastAsia"/>
                <w:color w:val="auto"/>
                <w:highlight w:val="none"/>
              </w:rPr>
              <w:t>计算机</w:t>
            </w:r>
            <w:r>
              <w:rPr>
                <w:color w:val="auto"/>
                <w:highlight w:val="none"/>
              </w:rPr>
              <w:t xml:space="preserve"> </w:t>
            </w:r>
            <w:r>
              <w:rPr>
                <w:rFonts w:hint="eastAsia"/>
                <w:color w:val="auto"/>
                <w:highlight w:val="none"/>
              </w:rPr>
              <w:t>设备</w:t>
            </w:r>
          </w:p>
        </w:tc>
        <w:tc>
          <w:tcPr>
            <w:tcW w:w="1413" w:type="pct"/>
          </w:tcPr>
          <w:p w14:paraId="667BE806">
            <w:pPr>
              <w:spacing w:line="360" w:lineRule="auto"/>
              <w:jc w:val="left"/>
              <w:rPr>
                <w:color w:val="auto"/>
                <w:highlight w:val="none"/>
              </w:rPr>
            </w:pPr>
            <w:r>
              <w:rPr>
                <w:color w:val="auto"/>
                <w:highlight w:val="none"/>
              </w:rPr>
              <w:t xml:space="preserve">A02010103 </w:t>
            </w:r>
            <w:r>
              <w:rPr>
                <w:rFonts w:hint="eastAsia"/>
                <w:color w:val="auto"/>
                <w:highlight w:val="none"/>
              </w:rPr>
              <w:t>服务器</w:t>
            </w:r>
          </w:p>
        </w:tc>
        <w:tc>
          <w:tcPr>
            <w:tcW w:w="1002" w:type="pct"/>
          </w:tcPr>
          <w:p w14:paraId="33906E47">
            <w:pPr>
              <w:spacing w:line="360" w:lineRule="auto"/>
              <w:jc w:val="left"/>
              <w:rPr>
                <w:color w:val="auto"/>
                <w:highlight w:val="none"/>
              </w:rPr>
            </w:pPr>
          </w:p>
        </w:tc>
        <w:tc>
          <w:tcPr>
            <w:tcW w:w="1460" w:type="pct"/>
          </w:tcPr>
          <w:p w14:paraId="5F13D62B">
            <w:pPr>
              <w:spacing w:line="360" w:lineRule="auto"/>
              <w:jc w:val="left"/>
              <w:rPr>
                <w:color w:val="auto"/>
                <w:highlight w:val="none"/>
              </w:rPr>
            </w:pPr>
            <w:r>
              <w:rPr>
                <w:color w:val="auto"/>
                <w:highlight w:val="none"/>
              </w:rPr>
              <w:t xml:space="preserve">HJ2507 </w:t>
            </w:r>
            <w:r>
              <w:rPr>
                <w:rFonts w:hint="eastAsia"/>
                <w:color w:val="auto"/>
                <w:highlight w:val="none"/>
              </w:rPr>
              <w:t>网络服务器</w:t>
            </w:r>
          </w:p>
        </w:tc>
      </w:tr>
      <w:tr w14:paraId="3A45C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5B539B18">
            <w:pPr>
              <w:spacing w:line="360" w:lineRule="auto"/>
              <w:jc w:val="center"/>
              <w:rPr>
                <w:color w:val="auto"/>
                <w:highlight w:val="none"/>
              </w:rPr>
            </w:pPr>
          </w:p>
        </w:tc>
        <w:tc>
          <w:tcPr>
            <w:tcW w:w="702" w:type="pct"/>
            <w:vMerge w:val="continue"/>
            <w:tcBorders>
              <w:top w:val="nil"/>
              <w:bottom w:val="nil"/>
            </w:tcBorders>
          </w:tcPr>
          <w:p w14:paraId="4D324AF8">
            <w:pPr>
              <w:spacing w:line="360" w:lineRule="auto"/>
              <w:jc w:val="center"/>
              <w:rPr>
                <w:color w:val="auto"/>
                <w:highlight w:val="none"/>
              </w:rPr>
            </w:pPr>
          </w:p>
        </w:tc>
        <w:tc>
          <w:tcPr>
            <w:tcW w:w="1413" w:type="pct"/>
          </w:tcPr>
          <w:p w14:paraId="79880775">
            <w:pPr>
              <w:spacing w:line="360" w:lineRule="auto"/>
              <w:jc w:val="left"/>
              <w:rPr>
                <w:color w:val="auto"/>
                <w:highlight w:val="none"/>
              </w:rPr>
            </w:pPr>
            <w:r>
              <w:rPr>
                <w:color w:val="auto"/>
                <w:highlight w:val="none"/>
              </w:rPr>
              <w:t xml:space="preserve">A02010104 </w:t>
            </w:r>
            <w:r>
              <w:rPr>
                <w:rFonts w:hint="eastAsia"/>
                <w:color w:val="auto"/>
                <w:highlight w:val="none"/>
              </w:rPr>
              <w:t>台式计算机</w:t>
            </w:r>
          </w:p>
        </w:tc>
        <w:tc>
          <w:tcPr>
            <w:tcW w:w="1002" w:type="pct"/>
          </w:tcPr>
          <w:p w14:paraId="4EBB789F">
            <w:pPr>
              <w:spacing w:line="360" w:lineRule="auto"/>
              <w:jc w:val="left"/>
              <w:rPr>
                <w:color w:val="auto"/>
                <w:highlight w:val="none"/>
              </w:rPr>
            </w:pPr>
          </w:p>
        </w:tc>
        <w:tc>
          <w:tcPr>
            <w:tcW w:w="1460" w:type="pct"/>
          </w:tcPr>
          <w:p w14:paraId="7D9BCFA4">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7F3A7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3523D5E1">
            <w:pPr>
              <w:spacing w:line="360" w:lineRule="auto"/>
              <w:jc w:val="center"/>
              <w:rPr>
                <w:color w:val="auto"/>
                <w:highlight w:val="none"/>
              </w:rPr>
            </w:pPr>
          </w:p>
        </w:tc>
        <w:tc>
          <w:tcPr>
            <w:tcW w:w="702" w:type="pct"/>
            <w:vMerge w:val="continue"/>
            <w:tcBorders>
              <w:top w:val="nil"/>
              <w:bottom w:val="nil"/>
            </w:tcBorders>
          </w:tcPr>
          <w:p w14:paraId="55C3CBAB">
            <w:pPr>
              <w:spacing w:line="360" w:lineRule="auto"/>
              <w:jc w:val="center"/>
              <w:rPr>
                <w:color w:val="auto"/>
                <w:highlight w:val="none"/>
              </w:rPr>
            </w:pPr>
          </w:p>
        </w:tc>
        <w:tc>
          <w:tcPr>
            <w:tcW w:w="1413" w:type="pct"/>
          </w:tcPr>
          <w:p w14:paraId="43864BD6">
            <w:pPr>
              <w:spacing w:line="360" w:lineRule="auto"/>
              <w:jc w:val="left"/>
              <w:rPr>
                <w:color w:val="auto"/>
                <w:highlight w:val="none"/>
              </w:rPr>
            </w:pPr>
            <w:r>
              <w:rPr>
                <w:color w:val="auto"/>
                <w:highlight w:val="none"/>
              </w:rPr>
              <w:t xml:space="preserve">A02010105 </w:t>
            </w:r>
            <w:r>
              <w:rPr>
                <w:rFonts w:hint="eastAsia"/>
                <w:color w:val="auto"/>
                <w:highlight w:val="none"/>
              </w:rPr>
              <w:t>便携式计算机</w:t>
            </w:r>
          </w:p>
        </w:tc>
        <w:tc>
          <w:tcPr>
            <w:tcW w:w="1002" w:type="pct"/>
          </w:tcPr>
          <w:p w14:paraId="4E55EB5D">
            <w:pPr>
              <w:spacing w:line="360" w:lineRule="auto"/>
              <w:jc w:val="left"/>
              <w:rPr>
                <w:color w:val="auto"/>
                <w:highlight w:val="none"/>
              </w:rPr>
            </w:pPr>
          </w:p>
        </w:tc>
        <w:tc>
          <w:tcPr>
            <w:tcW w:w="1460" w:type="pct"/>
          </w:tcPr>
          <w:p w14:paraId="1FB42C26">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26461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231AED60">
            <w:pPr>
              <w:spacing w:line="360" w:lineRule="auto"/>
              <w:jc w:val="center"/>
              <w:rPr>
                <w:color w:val="auto"/>
                <w:highlight w:val="none"/>
              </w:rPr>
            </w:pPr>
          </w:p>
        </w:tc>
        <w:tc>
          <w:tcPr>
            <w:tcW w:w="702" w:type="pct"/>
            <w:vMerge w:val="continue"/>
            <w:tcBorders>
              <w:top w:val="nil"/>
              <w:bottom w:val="nil"/>
            </w:tcBorders>
          </w:tcPr>
          <w:p w14:paraId="783F65B7">
            <w:pPr>
              <w:spacing w:line="360" w:lineRule="auto"/>
              <w:jc w:val="center"/>
              <w:rPr>
                <w:color w:val="auto"/>
                <w:highlight w:val="none"/>
              </w:rPr>
            </w:pPr>
          </w:p>
        </w:tc>
        <w:tc>
          <w:tcPr>
            <w:tcW w:w="1413" w:type="pct"/>
          </w:tcPr>
          <w:p w14:paraId="49BE32F4">
            <w:pPr>
              <w:spacing w:line="360" w:lineRule="auto"/>
              <w:jc w:val="left"/>
              <w:rPr>
                <w:color w:val="auto"/>
                <w:highlight w:val="none"/>
              </w:rPr>
            </w:pPr>
            <w:r>
              <w:rPr>
                <w:color w:val="auto"/>
                <w:highlight w:val="none"/>
              </w:rPr>
              <w:t xml:space="preserve">A02010107 </w:t>
            </w:r>
            <w:r>
              <w:rPr>
                <w:rFonts w:hint="eastAsia"/>
                <w:color w:val="auto"/>
                <w:highlight w:val="none"/>
              </w:rPr>
              <w:t>平板式微型计算机</w:t>
            </w:r>
          </w:p>
        </w:tc>
        <w:tc>
          <w:tcPr>
            <w:tcW w:w="1002" w:type="pct"/>
          </w:tcPr>
          <w:p w14:paraId="38AEC6DD">
            <w:pPr>
              <w:spacing w:line="360" w:lineRule="auto"/>
              <w:jc w:val="left"/>
              <w:rPr>
                <w:color w:val="auto"/>
                <w:highlight w:val="none"/>
              </w:rPr>
            </w:pPr>
          </w:p>
        </w:tc>
        <w:tc>
          <w:tcPr>
            <w:tcW w:w="1460" w:type="pct"/>
          </w:tcPr>
          <w:p w14:paraId="108EBB59">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0C8DB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08E96EB2">
            <w:pPr>
              <w:spacing w:line="360" w:lineRule="auto"/>
              <w:jc w:val="center"/>
              <w:rPr>
                <w:color w:val="auto"/>
                <w:highlight w:val="none"/>
              </w:rPr>
            </w:pPr>
          </w:p>
        </w:tc>
        <w:tc>
          <w:tcPr>
            <w:tcW w:w="702" w:type="pct"/>
            <w:vMerge w:val="continue"/>
            <w:tcBorders>
              <w:top w:val="nil"/>
              <w:bottom w:val="nil"/>
            </w:tcBorders>
          </w:tcPr>
          <w:p w14:paraId="11E46F10">
            <w:pPr>
              <w:spacing w:line="360" w:lineRule="auto"/>
              <w:jc w:val="center"/>
              <w:rPr>
                <w:color w:val="auto"/>
                <w:highlight w:val="none"/>
              </w:rPr>
            </w:pPr>
          </w:p>
        </w:tc>
        <w:tc>
          <w:tcPr>
            <w:tcW w:w="1413" w:type="pct"/>
          </w:tcPr>
          <w:p w14:paraId="7FCF941D">
            <w:pPr>
              <w:spacing w:line="360" w:lineRule="auto"/>
              <w:jc w:val="left"/>
              <w:rPr>
                <w:color w:val="auto"/>
                <w:highlight w:val="none"/>
              </w:rPr>
            </w:pPr>
            <w:r>
              <w:rPr>
                <w:color w:val="auto"/>
                <w:highlight w:val="none"/>
              </w:rPr>
              <w:t xml:space="preserve">A02010108 </w:t>
            </w:r>
            <w:r>
              <w:rPr>
                <w:rFonts w:hint="eastAsia"/>
                <w:color w:val="auto"/>
                <w:highlight w:val="none"/>
              </w:rPr>
              <w:t>网络计算机</w:t>
            </w:r>
          </w:p>
        </w:tc>
        <w:tc>
          <w:tcPr>
            <w:tcW w:w="1002" w:type="pct"/>
          </w:tcPr>
          <w:p w14:paraId="4A9D2A1A">
            <w:pPr>
              <w:spacing w:line="360" w:lineRule="auto"/>
              <w:jc w:val="left"/>
              <w:rPr>
                <w:color w:val="auto"/>
                <w:highlight w:val="none"/>
              </w:rPr>
            </w:pPr>
          </w:p>
        </w:tc>
        <w:tc>
          <w:tcPr>
            <w:tcW w:w="1460" w:type="pct"/>
          </w:tcPr>
          <w:p w14:paraId="2D84FDC9">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0EC97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02E198E7">
            <w:pPr>
              <w:spacing w:line="360" w:lineRule="auto"/>
              <w:jc w:val="center"/>
              <w:rPr>
                <w:color w:val="auto"/>
                <w:highlight w:val="none"/>
              </w:rPr>
            </w:pPr>
          </w:p>
        </w:tc>
        <w:tc>
          <w:tcPr>
            <w:tcW w:w="702" w:type="pct"/>
            <w:vMerge w:val="continue"/>
            <w:tcBorders>
              <w:top w:val="nil"/>
              <w:bottom w:val="nil"/>
            </w:tcBorders>
          </w:tcPr>
          <w:p w14:paraId="1C1B224B">
            <w:pPr>
              <w:spacing w:line="360" w:lineRule="auto"/>
              <w:jc w:val="center"/>
              <w:rPr>
                <w:color w:val="auto"/>
                <w:highlight w:val="none"/>
              </w:rPr>
            </w:pPr>
          </w:p>
        </w:tc>
        <w:tc>
          <w:tcPr>
            <w:tcW w:w="1413" w:type="pct"/>
          </w:tcPr>
          <w:p w14:paraId="1788BCD7">
            <w:pPr>
              <w:spacing w:line="360" w:lineRule="auto"/>
              <w:jc w:val="left"/>
              <w:rPr>
                <w:color w:val="auto"/>
                <w:highlight w:val="none"/>
              </w:rPr>
            </w:pPr>
            <w:r>
              <w:rPr>
                <w:color w:val="auto"/>
                <w:highlight w:val="none"/>
              </w:rPr>
              <w:t xml:space="preserve">A02010109 </w:t>
            </w:r>
            <w:r>
              <w:rPr>
                <w:rFonts w:hint="eastAsia"/>
                <w:color w:val="auto"/>
                <w:highlight w:val="none"/>
              </w:rPr>
              <w:t>计算机工作站</w:t>
            </w:r>
          </w:p>
        </w:tc>
        <w:tc>
          <w:tcPr>
            <w:tcW w:w="1002" w:type="pct"/>
          </w:tcPr>
          <w:p w14:paraId="0B1C8E27">
            <w:pPr>
              <w:spacing w:line="360" w:lineRule="auto"/>
              <w:jc w:val="left"/>
              <w:rPr>
                <w:color w:val="auto"/>
                <w:highlight w:val="none"/>
              </w:rPr>
            </w:pPr>
          </w:p>
        </w:tc>
        <w:tc>
          <w:tcPr>
            <w:tcW w:w="1460" w:type="pct"/>
          </w:tcPr>
          <w:p w14:paraId="503C0204">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2505D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348152E1">
            <w:pPr>
              <w:spacing w:line="360" w:lineRule="auto"/>
              <w:jc w:val="center"/>
              <w:rPr>
                <w:color w:val="auto"/>
                <w:highlight w:val="none"/>
              </w:rPr>
            </w:pPr>
          </w:p>
        </w:tc>
        <w:tc>
          <w:tcPr>
            <w:tcW w:w="702" w:type="pct"/>
            <w:vMerge w:val="continue"/>
            <w:tcBorders>
              <w:top w:val="nil"/>
            </w:tcBorders>
          </w:tcPr>
          <w:p w14:paraId="333EE320">
            <w:pPr>
              <w:spacing w:line="360" w:lineRule="auto"/>
              <w:jc w:val="center"/>
              <w:rPr>
                <w:color w:val="auto"/>
                <w:highlight w:val="none"/>
              </w:rPr>
            </w:pPr>
          </w:p>
        </w:tc>
        <w:tc>
          <w:tcPr>
            <w:tcW w:w="1413" w:type="pct"/>
          </w:tcPr>
          <w:p w14:paraId="53569450">
            <w:pPr>
              <w:spacing w:line="360" w:lineRule="auto"/>
              <w:jc w:val="left"/>
              <w:rPr>
                <w:color w:val="auto"/>
                <w:highlight w:val="none"/>
              </w:rPr>
            </w:pPr>
            <w:r>
              <w:rPr>
                <w:color w:val="auto"/>
                <w:highlight w:val="none"/>
              </w:rPr>
              <w:t xml:space="preserve">A02010199 </w:t>
            </w:r>
            <w:r>
              <w:rPr>
                <w:rFonts w:hint="eastAsia"/>
                <w:color w:val="auto"/>
                <w:highlight w:val="none"/>
              </w:rPr>
              <w:t>其他计算机设备</w:t>
            </w:r>
          </w:p>
        </w:tc>
        <w:tc>
          <w:tcPr>
            <w:tcW w:w="1002" w:type="pct"/>
          </w:tcPr>
          <w:p w14:paraId="6F51C0BC">
            <w:pPr>
              <w:spacing w:line="360" w:lineRule="auto"/>
              <w:jc w:val="left"/>
              <w:rPr>
                <w:color w:val="auto"/>
                <w:highlight w:val="none"/>
              </w:rPr>
            </w:pPr>
          </w:p>
        </w:tc>
        <w:tc>
          <w:tcPr>
            <w:tcW w:w="1460" w:type="pct"/>
          </w:tcPr>
          <w:p w14:paraId="3798F097">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08207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43F16BC8">
            <w:pPr>
              <w:spacing w:line="360" w:lineRule="auto"/>
              <w:jc w:val="center"/>
              <w:rPr>
                <w:color w:val="auto"/>
                <w:highlight w:val="none"/>
              </w:rPr>
            </w:pPr>
            <w:r>
              <w:rPr>
                <w:color w:val="auto"/>
                <w:highlight w:val="none"/>
              </w:rPr>
              <w:t>2</w:t>
            </w:r>
          </w:p>
        </w:tc>
        <w:tc>
          <w:tcPr>
            <w:tcW w:w="702" w:type="pct"/>
            <w:vMerge w:val="restart"/>
            <w:tcBorders>
              <w:bottom w:val="nil"/>
            </w:tcBorders>
          </w:tcPr>
          <w:p w14:paraId="7CD3BA96">
            <w:pPr>
              <w:spacing w:line="360" w:lineRule="auto"/>
              <w:jc w:val="center"/>
              <w:rPr>
                <w:color w:val="auto"/>
                <w:highlight w:val="none"/>
              </w:rPr>
            </w:pPr>
            <w:r>
              <w:rPr>
                <w:color w:val="auto"/>
                <w:highlight w:val="none"/>
              </w:rPr>
              <w:t xml:space="preserve">A020106 </w:t>
            </w:r>
            <w:r>
              <w:rPr>
                <w:rFonts w:hint="eastAsia"/>
                <w:color w:val="auto"/>
                <w:highlight w:val="none"/>
              </w:rPr>
              <w:t>输入输</w:t>
            </w:r>
            <w:r>
              <w:rPr>
                <w:color w:val="auto"/>
                <w:highlight w:val="none"/>
              </w:rPr>
              <w:t xml:space="preserve"> </w:t>
            </w:r>
            <w:r>
              <w:rPr>
                <w:rFonts w:hint="eastAsia"/>
                <w:color w:val="auto"/>
                <w:highlight w:val="none"/>
              </w:rPr>
              <w:t>出设备</w:t>
            </w:r>
          </w:p>
        </w:tc>
        <w:tc>
          <w:tcPr>
            <w:tcW w:w="1413" w:type="pct"/>
            <w:vMerge w:val="restart"/>
            <w:tcBorders>
              <w:bottom w:val="nil"/>
            </w:tcBorders>
          </w:tcPr>
          <w:p w14:paraId="19A0F78F">
            <w:pPr>
              <w:spacing w:line="360" w:lineRule="auto"/>
              <w:jc w:val="left"/>
              <w:rPr>
                <w:color w:val="auto"/>
                <w:highlight w:val="none"/>
              </w:rPr>
            </w:pPr>
            <w:r>
              <w:rPr>
                <w:color w:val="auto"/>
                <w:highlight w:val="none"/>
              </w:rPr>
              <w:t xml:space="preserve">A02010601 </w:t>
            </w:r>
            <w:r>
              <w:rPr>
                <w:rFonts w:hint="eastAsia"/>
                <w:color w:val="auto"/>
                <w:highlight w:val="none"/>
              </w:rPr>
              <w:t>打印设备</w:t>
            </w:r>
          </w:p>
        </w:tc>
        <w:tc>
          <w:tcPr>
            <w:tcW w:w="1002" w:type="pct"/>
          </w:tcPr>
          <w:p w14:paraId="566F2F14">
            <w:pPr>
              <w:spacing w:line="360" w:lineRule="auto"/>
              <w:jc w:val="left"/>
              <w:rPr>
                <w:color w:val="auto"/>
                <w:highlight w:val="none"/>
              </w:rPr>
            </w:pPr>
            <w:r>
              <w:rPr>
                <w:color w:val="auto"/>
                <w:highlight w:val="none"/>
              </w:rPr>
              <w:t xml:space="preserve">A0201060101 </w:t>
            </w:r>
            <w:r>
              <w:rPr>
                <w:rFonts w:hint="eastAsia"/>
                <w:color w:val="auto"/>
                <w:highlight w:val="none"/>
              </w:rPr>
              <w:t>喷墨打印机</w:t>
            </w:r>
          </w:p>
        </w:tc>
        <w:tc>
          <w:tcPr>
            <w:tcW w:w="1460" w:type="pct"/>
          </w:tcPr>
          <w:p w14:paraId="66FBDEAC">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6F458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4BC7CFD2">
            <w:pPr>
              <w:spacing w:line="360" w:lineRule="auto"/>
              <w:jc w:val="center"/>
              <w:rPr>
                <w:color w:val="auto"/>
                <w:highlight w:val="none"/>
              </w:rPr>
            </w:pPr>
          </w:p>
        </w:tc>
        <w:tc>
          <w:tcPr>
            <w:tcW w:w="702" w:type="pct"/>
            <w:vMerge w:val="continue"/>
            <w:tcBorders>
              <w:top w:val="nil"/>
              <w:bottom w:val="nil"/>
            </w:tcBorders>
          </w:tcPr>
          <w:p w14:paraId="1409EDDA">
            <w:pPr>
              <w:spacing w:line="360" w:lineRule="auto"/>
              <w:jc w:val="center"/>
              <w:rPr>
                <w:color w:val="auto"/>
                <w:highlight w:val="none"/>
              </w:rPr>
            </w:pPr>
          </w:p>
        </w:tc>
        <w:tc>
          <w:tcPr>
            <w:tcW w:w="1413" w:type="pct"/>
            <w:vMerge w:val="continue"/>
            <w:tcBorders>
              <w:top w:val="nil"/>
              <w:bottom w:val="nil"/>
            </w:tcBorders>
          </w:tcPr>
          <w:p w14:paraId="599FB5C3">
            <w:pPr>
              <w:spacing w:line="360" w:lineRule="auto"/>
              <w:jc w:val="left"/>
              <w:rPr>
                <w:color w:val="auto"/>
                <w:highlight w:val="none"/>
              </w:rPr>
            </w:pPr>
          </w:p>
        </w:tc>
        <w:tc>
          <w:tcPr>
            <w:tcW w:w="1002" w:type="pct"/>
          </w:tcPr>
          <w:p w14:paraId="78AB86CD">
            <w:pPr>
              <w:spacing w:line="360" w:lineRule="auto"/>
              <w:jc w:val="left"/>
              <w:rPr>
                <w:color w:val="auto"/>
                <w:highlight w:val="none"/>
              </w:rPr>
            </w:pPr>
            <w:r>
              <w:rPr>
                <w:color w:val="auto"/>
                <w:highlight w:val="none"/>
              </w:rPr>
              <w:t xml:space="preserve">A0201060102 </w:t>
            </w:r>
            <w:r>
              <w:rPr>
                <w:rFonts w:hint="eastAsia"/>
                <w:color w:val="auto"/>
                <w:highlight w:val="none"/>
              </w:rPr>
              <w:t>激光打印机</w:t>
            </w:r>
          </w:p>
        </w:tc>
        <w:tc>
          <w:tcPr>
            <w:tcW w:w="1460" w:type="pct"/>
          </w:tcPr>
          <w:p w14:paraId="41A59468">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4B7F4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6F987611">
            <w:pPr>
              <w:spacing w:line="360" w:lineRule="auto"/>
              <w:jc w:val="center"/>
              <w:rPr>
                <w:color w:val="auto"/>
                <w:highlight w:val="none"/>
              </w:rPr>
            </w:pPr>
          </w:p>
        </w:tc>
        <w:tc>
          <w:tcPr>
            <w:tcW w:w="702" w:type="pct"/>
            <w:vMerge w:val="continue"/>
            <w:tcBorders>
              <w:top w:val="nil"/>
              <w:bottom w:val="nil"/>
            </w:tcBorders>
          </w:tcPr>
          <w:p w14:paraId="473C8362">
            <w:pPr>
              <w:spacing w:line="360" w:lineRule="auto"/>
              <w:jc w:val="center"/>
              <w:rPr>
                <w:color w:val="auto"/>
                <w:highlight w:val="none"/>
              </w:rPr>
            </w:pPr>
          </w:p>
        </w:tc>
        <w:tc>
          <w:tcPr>
            <w:tcW w:w="1413" w:type="pct"/>
            <w:vMerge w:val="continue"/>
            <w:tcBorders>
              <w:top w:val="nil"/>
              <w:bottom w:val="nil"/>
            </w:tcBorders>
          </w:tcPr>
          <w:p w14:paraId="0DF50465">
            <w:pPr>
              <w:spacing w:line="360" w:lineRule="auto"/>
              <w:jc w:val="left"/>
              <w:rPr>
                <w:color w:val="auto"/>
                <w:highlight w:val="none"/>
              </w:rPr>
            </w:pPr>
          </w:p>
        </w:tc>
        <w:tc>
          <w:tcPr>
            <w:tcW w:w="1002" w:type="pct"/>
          </w:tcPr>
          <w:p w14:paraId="0FC73F34">
            <w:pPr>
              <w:spacing w:line="360" w:lineRule="auto"/>
              <w:jc w:val="left"/>
              <w:rPr>
                <w:color w:val="auto"/>
                <w:highlight w:val="none"/>
              </w:rPr>
            </w:pPr>
            <w:r>
              <w:rPr>
                <w:color w:val="auto"/>
                <w:highlight w:val="none"/>
              </w:rPr>
              <w:t xml:space="preserve">A0201060103 </w:t>
            </w:r>
            <w:r>
              <w:rPr>
                <w:rFonts w:hint="eastAsia"/>
                <w:color w:val="auto"/>
                <w:highlight w:val="none"/>
              </w:rPr>
              <w:t>热式打印机</w:t>
            </w:r>
          </w:p>
        </w:tc>
        <w:tc>
          <w:tcPr>
            <w:tcW w:w="1460" w:type="pct"/>
          </w:tcPr>
          <w:p w14:paraId="4531394B">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4EA17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0A959B4E">
            <w:pPr>
              <w:spacing w:line="360" w:lineRule="auto"/>
              <w:jc w:val="center"/>
              <w:rPr>
                <w:color w:val="auto"/>
                <w:highlight w:val="none"/>
              </w:rPr>
            </w:pPr>
          </w:p>
        </w:tc>
        <w:tc>
          <w:tcPr>
            <w:tcW w:w="702" w:type="pct"/>
            <w:vMerge w:val="continue"/>
            <w:tcBorders>
              <w:top w:val="nil"/>
              <w:bottom w:val="nil"/>
            </w:tcBorders>
          </w:tcPr>
          <w:p w14:paraId="11548082">
            <w:pPr>
              <w:spacing w:line="360" w:lineRule="auto"/>
              <w:jc w:val="center"/>
              <w:rPr>
                <w:color w:val="auto"/>
                <w:highlight w:val="none"/>
              </w:rPr>
            </w:pPr>
          </w:p>
        </w:tc>
        <w:tc>
          <w:tcPr>
            <w:tcW w:w="1413" w:type="pct"/>
            <w:vMerge w:val="continue"/>
            <w:tcBorders>
              <w:top w:val="nil"/>
            </w:tcBorders>
          </w:tcPr>
          <w:p w14:paraId="369F8417">
            <w:pPr>
              <w:spacing w:line="360" w:lineRule="auto"/>
              <w:jc w:val="left"/>
              <w:rPr>
                <w:color w:val="auto"/>
                <w:highlight w:val="none"/>
              </w:rPr>
            </w:pPr>
          </w:p>
        </w:tc>
        <w:tc>
          <w:tcPr>
            <w:tcW w:w="1002" w:type="pct"/>
          </w:tcPr>
          <w:p w14:paraId="35D5E703">
            <w:pPr>
              <w:spacing w:line="360" w:lineRule="auto"/>
              <w:jc w:val="left"/>
              <w:rPr>
                <w:color w:val="auto"/>
                <w:highlight w:val="none"/>
              </w:rPr>
            </w:pPr>
            <w:r>
              <w:rPr>
                <w:color w:val="auto"/>
                <w:highlight w:val="none"/>
              </w:rPr>
              <w:t xml:space="preserve">A0201060104 </w:t>
            </w:r>
            <w:r>
              <w:rPr>
                <w:rFonts w:hint="eastAsia"/>
                <w:color w:val="auto"/>
                <w:highlight w:val="none"/>
              </w:rPr>
              <w:t>针式打印机</w:t>
            </w:r>
          </w:p>
        </w:tc>
        <w:tc>
          <w:tcPr>
            <w:tcW w:w="1460" w:type="pct"/>
          </w:tcPr>
          <w:p w14:paraId="18630826">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4D27D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2765F4FC">
            <w:pPr>
              <w:spacing w:line="360" w:lineRule="auto"/>
              <w:jc w:val="center"/>
              <w:rPr>
                <w:color w:val="auto"/>
                <w:highlight w:val="none"/>
              </w:rPr>
            </w:pPr>
          </w:p>
        </w:tc>
        <w:tc>
          <w:tcPr>
            <w:tcW w:w="702" w:type="pct"/>
            <w:vMerge w:val="continue"/>
            <w:tcBorders>
              <w:top w:val="nil"/>
              <w:bottom w:val="nil"/>
            </w:tcBorders>
          </w:tcPr>
          <w:p w14:paraId="3108B740">
            <w:pPr>
              <w:spacing w:line="360" w:lineRule="auto"/>
              <w:jc w:val="center"/>
              <w:rPr>
                <w:color w:val="auto"/>
                <w:highlight w:val="none"/>
              </w:rPr>
            </w:pPr>
          </w:p>
        </w:tc>
        <w:tc>
          <w:tcPr>
            <w:tcW w:w="1413" w:type="pct"/>
            <w:vMerge w:val="restart"/>
            <w:tcBorders>
              <w:bottom w:val="nil"/>
            </w:tcBorders>
          </w:tcPr>
          <w:p w14:paraId="1B68827B">
            <w:pPr>
              <w:spacing w:line="360" w:lineRule="auto"/>
              <w:jc w:val="left"/>
              <w:rPr>
                <w:color w:val="auto"/>
                <w:highlight w:val="none"/>
              </w:rPr>
            </w:pPr>
            <w:r>
              <w:rPr>
                <w:color w:val="auto"/>
                <w:highlight w:val="none"/>
              </w:rPr>
              <w:t xml:space="preserve">A02010604 </w:t>
            </w:r>
            <w:r>
              <w:rPr>
                <w:rFonts w:hint="eastAsia"/>
                <w:color w:val="auto"/>
                <w:highlight w:val="none"/>
              </w:rPr>
              <w:t>显示设备</w:t>
            </w:r>
          </w:p>
        </w:tc>
        <w:tc>
          <w:tcPr>
            <w:tcW w:w="1002" w:type="pct"/>
          </w:tcPr>
          <w:p w14:paraId="2120A0D9">
            <w:pPr>
              <w:spacing w:line="360" w:lineRule="auto"/>
              <w:jc w:val="left"/>
              <w:rPr>
                <w:color w:val="auto"/>
                <w:highlight w:val="none"/>
              </w:rPr>
            </w:pPr>
            <w:r>
              <w:rPr>
                <w:color w:val="auto"/>
                <w:highlight w:val="none"/>
              </w:rPr>
              <w:t xml:space="preserve">A0201060401 </w:t>
            </w:r>
            <w:r>
              <w:rPr>
                <w:rFonts w:hint="eastAsia"/>
                <w:color w:val="auto"/>
                <w:highlight w:val="none"/>
              </w:rPr>
              <w:t>液晶显示器</w:t>
            </w:r>
          </w:p>
        </w:tc>
        <w:tc>
          <w:tcPr>
            <w:tcW w:w="1460" w:type="pct"/>
          </w:tcPr>
          <w:p w14:paraId="5EAF25E4">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0498E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486F0DA5">
            <w:pPr>
              <w:spacing w:line="360" w:lineRule="auto"/>
              <w:jc w:val="center"/>
              <w:rPr>
                <w:color w:val="auto"/>
                <w:highlight w:val="none"/>
              </w:rPr>
            </w:pPr>
          </w:p>
        </w:tc>
        <w:tc>
          <w:tcPr>
            <w:tcW w:w="702" w:type="pct"/>
            <w:vMerge w:val="continue"/>
            <w:tcBorders>
              <w:top w:val="nil"/>
              <w:bottom w:val="nil"/>
            </w:tcBorders>
          </w:tcPr>
          <w:p w14:paraId="22D4CF72">
            <w:pPr>
              <w:spacing w:line="360" w:lineRule="auto"/>
              <w:jc w:val="center"/>
              <w:rPr>
                <w:color w:val="auto"/>
                <w:highlight w:val="none"/>
              </w:rPr>
            </w:pPr>
          </w:p>
        </w:tc>
        <w:tc>
          <w:tcPr>
            <w:tcW w:w="1413" w:type="pct"/>
            <w:vMerge w:val="continue"/>
            <w:tcBorders>
              <w:top w:val="nil"/>
            </w:tcBorders>
          </w:tcPr>
          <w:p w14:paraId="36BA5F4F">
            <w:pPr>
              <w:spacing w:line="360" w:lineRule="auto"/>
              <w:jc w:val="left"/>
              <w:rPr>
                <w:color w:val="auto"/>
                <w:highlight w:val="none"/>
              </w:rPr>
            </w:pPr>
          </w:p>
        </w:tc>
        <w:tc>
          <w:tcPr>
            <w:tcW w:w="1002" w:type="pct"/>
          </w:tcPr>
          <w:p w14:paraId="69AE5254">
            <w:pPr>
              <w:spacing w:line="360" w:lineRule="auto"/>
              <w:jc w:val="left"/>
              <w:rPr>
                <w:color w:val="auto"/>
                <w:highlight w:val="none"/>
              </w:rPr>
            </w:pPr>
            <w:r>
              <w:rPr>
                <w:color w:val="auto"/>
                <w:highlight w:val="none"/>
              </w:rPr>
              <w:t xml:space="preserve">A0201060499 </w:t>
            </w:r>
            <w:r>
              <w:rPr>
                <w:rFonts w:hint="eastAsia"/>
                <w:color w:val="auto"/>
                <w:highlight w:val="none"/>
              </w:rPr>
              <w:t>其他显示器</w:t>
            </w:r>
          </w:p>
        </w:tc>
        <w:tc>
          <w:tcPr>
            <w:tcW w:w="1460" w:type="pct"/>
          </w:tcPr>
          <w:p w14:paraId="340C0661">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27F47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02AFF4F7">
            <w:pPr>
              <w:spacing w:line="360" w:lineRule="auto"/>
              <w:jc w:val="center"/>
              <w:rPr>
                <w:color w:val="auto"/>
                <w:highlight w:val="none"/>
              </w:rPr>
            </w:pPr>
          </w:p>
        </w:tc>
        <w:tc>
          <w:tcPr>
            <w:tcW w:w="702" w:type="pct"/>
            <w:vMerge w:val="continue"/>
            <w:tcBorders>
              <w:top w:val="nil"/>
            </w:tcBorders>
          </w:tcPr>
          <w:p w14:paraId="46787339">
            <w:pPr>
              <w:spacing w:line="360" w:lineRule="auto"/>
              <w:jc w:val="center"/>
              <w:rPr>
                <w:color w:val="auto"/>
                <w:highlight w:val="none"/>
              </w:rPr>
            </w:pPr>
          </w:p>
        </w:tc>
        <w:tc>
          <w:tcPr>
            <w:tcW w:w="1413" w:type="pct"/>
          </w:tcPr>
          <w:p w14:paraId="6209E331">
            <w:pPr>
              <w:spacing w:line="360" w:lineRule="auto"/>
              <w:jc w:val="left"/>
              <w:rPr>
                <w:color w:val="auto"/>
                <w:highlight w:val="none"/>
              </w:rPr>
            </w:pPr>
            <w:r>
              <w:rPr>
                <w:color w:val="auto"/>
                <w:highlight w:val="none"/>
              </w:rPr>
              <w:t xml:space="preserve">A02010609 </w:t>
            </w:r>
            <w:r>
              <w:rPr>
                <w:rFonts w:hint="eastAsia"/>
                <w:color w:val="auto"/>
                <w:highlight w:val="none"/>
              </w:rPr>
              <w:t>图形图像输入设备</w:t>
            </w:r>
          </w:p>
        </w:tc>
        <w:tc>
          <w:tcPr>
            <w:tcW w:w="1002" w:type="pct"/>
          </w:tcPr>
          <w:p w14:paraId="7CADF024">
            <w:pPr>
              <w:spacing w:line="360" w:lineRule="auto"/>
              <w:jc w:val="left"/>
              <w:rPr>
                <w:color w:val="auto"/>
                <w:highlight w:val="none"/>
              </w:rPr>
            </w:pPr>
            <w:r>
              <w:rPr>
                <w:color w:val="auto"/>
                <w:highlight w:val="none"/>
              </w:rPr>
              <w:t xml:space="preserve">A0201060901 </w:t>
            </w:r>
            <w:r>
              <w:rPr>
                <w:rFonts w:hint="eastAsia"/>
                <w:color w:val="auto"/>
                <w:highlight w:val="none"/>
              </w:rPr>
              <w:t>扫描仪</w:t>
            </w:r>
          </w:p>
        </w:tc>
        <w:tc>
          <w:tcPr>
            <w:tcW w:w="1460" w:type="pct"/>
          </w:tcPr>
          <w:p w14:paraId="7402FB97">
            <w:pPr>
              <w:spacing w:line="360" w:lineRule="auto"/>
              <w:jc w:val="left"/>
              <w:rPr>
                <w:color w:val="auto"/>
                <w:highlight w:val="none"/>
              </w:rPr>
            </w:pPr>
            <w:r>
              <w:rPr>
                <w:color w:val="auto"/>
                <w:highlight w:val="none"/>
              </w:rPr>
              <w:t xml:space="preserve">HJ2517 </w:t>
            </w:r>
            <w:r>
              <w:rPr>
                <w:rFonts w:hint="eastAsia"/>
                <w:color w:val="auto"/>
                <w:highlight w:val="none"/>
              </w:rPr>
              <w:t>扫描仪</w:t>
            </w:r>
          </w:p>
        </w:tc>
      </w:tr>
      <w:tr w14:paraId="3CC66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14:paraId="01463A07">
            <w:pPr>
              <w:spacing w:line="360" w:lineRule="auto"/>
              <w:jc w:val="center"/>
              <w:rPr>
                <w:color w:val="auto"/>
                <w:highlight w:val="none"/>
              </w:rPr>
            </w:pPr>
            <w:r>
              <w:rPr>
                <w:color w:val="auto"/>
                <w:highlight w:val="none"/>
              </w:rPr>
              <w:t>3</w:t>
            </w:r>
          </w:p>
        </w:tc>
        <w:tc>
          <w:tcPr>
            <w:tcW w:w="702" w:type="pct"/>
          </w:tcPr>
          <w:p w14:paraId="434D66EC">
            <w:pPr>
              <w:spacing w:line="360" w:lineRule="auto"/>
              <w:jc w:val="center"/>
              <w:rPr>
                <w:color w:val="auto"/>
                <w:highlight w:val="none"/>
              </w:rPr>
            </w:pPr>
            <w:r>
              <w:rPr>
                <w:color w:val="auto"/>
                <w:highlight w:val="none"/>
              </w:rPr>
              <w:t xml:space="preserve">A020202 </w:t>
            </w:r>
            <w:r>
              <w:rPr>
                <w:rFonts w:hint="eastAsia"/>
                <w:color w:val="auto"/>
                <w:highlight w:val="none"/>
              </w:rPr>
              <w:t>投影仪</w:t>
            </w:r>
          </w:p>
        </w:tc>
        <w:tc>
          <w:tcPr>
            <w:tcW w:w="1413" w:type="pct"/>
          </w:tcPr>
          <w:p w14:paraId="33E2822F">
            <w:pPr>
              <w:spacing w:line="360" w:lineRule="auto"/>
              <w:jc w:val="left"/>
              <w:rPr>
                <w:color w:val="auto"/>
                <w:highlight w:val="none"/>
              </w:rPr>
            </w:pPr>
          </w:p>
        </w:tc>
        <w:tc>
          <w:tcPr>
            <w:tcW w:w="1002" w:type="pct"/>
          </w:tcPr>
          <w:p w14:paraId="34B0DF18">
            <w:pPr>
              <w:spacing w:line="360" w:lineRule="auto"/>
              <w:jc w:val="left"/>
              <w:rPr>
                <w:color w:val="auto"/>
                <w:highlight w:val="none"/>
              </w:rPr>
            </w:pPr>
          </w:p>
        </w:tc>
        <w:tc>
          <w:tcPr>
            <w:tcW w:w="1460" w:type="pct"/>
          </w:tcPr>
          <w:p w14:paraId="3A42CE19">
            <w:pPr>
              <w:spacing w:line="360" w:lineRule="auto"/>
              <w:jc w:val="left"/>
              <w:rPr>
                <w:color w:val="auto"/>
                <w:highlight w:val="none"/>
              </w:rPr>
            </w:pPr>
            <w:r>
              <w:rPr>
                <w:color w:val="auto"/>
                <w:highlight w:val="none"/>
              </w:rPr>
              <w:t xml:space="preserve">HJ2516 </w:t>
            </w:r>
            <w:r>
              <w:rPr>
                <w:rFonts w:hint="eastAsia"/>
                <w:color w:val="auto"/>
                <w:highlight w:val="none"/>
              </w:rPr>
              <w:t>投影仪</w:t>
            </w:r>
          </w:p>
        </w:tc>
      </w:tr>
      <w:tr w14:paraId="40B62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tcPr>
          <w:p w14:paraId="3689EE00">
            <w:pPr>
              <w:spacing w:line="360" w:lineRule="auto"/>
              <w:jc w:val="center"/>
              <w:rPr>
                <w:color w:val="auto"/>
                <w:highlight w:val="none"/>
              </w:rPr>
            </w:pPr>
            <w:r>
              <w:rPr>
                <w:color w:val="auto"/>
                <w:highlight w:val="none"/>
              </w:rPr>
              <w:t>4</w:t>
            </w:r>
          </w:p>
        </w:tc>
        <w:tc>
          <w:tcPr>
            <w:tcW w:w="702" w:type="pct"/>
          </w:tcPr>
          <w:p w14:paraId="1EDD7F56">
            <w:pPr>
              <w:spacing w:line="360" w:lineRule="auto"/>
              <w:jc w:val="center"/>
              <w:rPr>
                <w:color w:val="auto"/>
                <w:highlight w:val="none"/>
              </w:rPr>
            </w:pPr>
            <w:r>
              <w:rPr>
                <w:color w:val="auto"/>
                <w:highlight w:val="none"/>
              </w:rPr>
              <w:t xml:space="preserve">A020201 </w:t>
            </w:r>
            <w:r>
              <w:rPr>
                <w:rFonts w:hint="eastAsia"/>
                <w:color w:val="auto"/>
                <w:highlight w:val="none"/>
              </w:rPr>
              <w:t>复印机</w:t>
            </w:r>
          </w:p>
        </w:tc>
        <w:tc>
          <w:tcPr>
            <w:tcW w:w="1413" w:type="pct"/>
          </w:tcPr>
          <w:p w14:paraId="7DFCD67E">
            <w:pPr>
              <w:spacing w:line="360" w:lineRule="auto"/>
              <w:jc w:val="left"/>
              <w:rPr>
                <w:color w:val="auto"/>
                <w:highlight w:val="none"/>
              </w:rPr>
            </w:pPr>
          </w:p>
        </w:tc>
        <w:tc>
          <w:tcPr>
            <w:tcW w:w="1002" w:type="pct"/>
          </w:tcPr>
          <w:p w14:paraId="18678748">
            <w:pPr>
              <w:spacing w:line="360" w:lineRule="auto"/>
              <w:jc w:val="left"/>
              <w:rPr>
                <w:color w:val="auto"/>
                <w:highlight w:val="none"/>
              </w:rPr>
            </w:pPr>
          </w:p>
        </w:tc>
        <w:tc>
          <w:tcPr>
            <w:tcW w:w="1460" w:type="pct"/>
          </w:tcPr>
          <w:p w14:paraId="2CBDDE76">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14:paraId="3D6D1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5D88B839">
            <w:pPr>
              <w:spacing w:line="360" w:lineRule="auto"/>
              <w:jc w:val="center"/>
              <w:rPr>
                <w:color w:val="auto"/>
                <w:highlight w:val="none"/>
              </w:rPr>
            </w:pPr>
            <w:r>
              <w:rPr>
                <w:color w:val="auto"/>
                <w:highlight w:val="none"/>
              </w:rPr>
              <w:t>5</w:t>
            </w:r>
          </w:p>
        </w:tc>
        <w:tc>
          <w:tcPr>
            <w:tcW w:w="702" w:type="pct"/>
          </w:tcPr>
          <w:p w14:paraId="5A2AD52B">
            <w:pPr>
              <w:spacing w:line="360" w:lineRule="auto"/>
              <w:jc w:val="center"/>
              <w:rPr>
                <w:color w:val="auto"/>
                <w:highlight w:val="none"/>
              </w:rPr>
            </w:pPr>
            <w:r>
              <w:rPr>
                <w:color w:val="auto"/>
                <w:highlight w:val="none"/>
              </w:rPr>
              <w:t xml:space="preserve">A020204 </w:t>
            </w:r>
            <w:r>
              <w:rPr>
                <w:rFonts w:hint="eastAsia"/>
                <w:color w:val="auto"/>
                <w:highlight w:val="none"/>
              </w:rPr>
              <w:t>多功能</w:t>
            </w:r>
            <w:r>
              <w:rPr>
                <w:color w:val="auto"/>
                <w:highlight w:val="none"/>
              </w:rPr>
              <w:t xml:space="preserve"> </w:t>
            </w:r>
            <w:r>
              <w:rPr>
                <w:rFonts w:hint="eastAsia"/>
                <w:color w:val="auto"/>
                <w:highlight w:val="none"/>
              </w:rPr>
              <w:t>一体机</w:t>
            </w:r>
          </w:p>
        </w:tc>
        <w:tc>
          <w:tcPr>
            <w:tcW w:w="1413" w:type="pct"/>
          </w:tcPr>
          <w:p w14:paraId="6BAFACA6">
            <w:pPr>
              <w:spacing w:line="360" w:lineRule="auto"/>
              <w:jc w:val="left"/>
              <w:rPr>
                <w:color w:val="auto"/>
                <w:highlight w:val="none"/>
              </w:rPr>
            </w:pPr>
          </w:p>
        </w:tc>
        <w:tc>
          <w:tcPr>
            <w:tcW w:w="1002" w:type="pct"/>
          </w:tcPr>
          <w:p w14:paraId="2C69A56F">
            <w:pPr>
              <w:spacing w:line="360" w:lineRule="auto"/>
              <w:jc w:val="left"/>
              <w:rPr>
                <w:color w:val="auto"/>
                <w:highlight w:val="none"/>
              </w:rPr>
            </w:pPr>
          </w:p>
        </w:tc>
        <w:tc>
          <w:tcPr>
            <w:tcW w:w="1460" w:type="pct"/>
          </w:tcPr>
          <w:p w14:paraId="330CC1FA">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14:paraId="3D8A6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1D41A0D6">
            <w:pPr>
              <w:spacing w:line="360" w:lineRule="auto"/>
              <w:jc w:val="center"/>
              <w:rPr>
                <w:color w:val="auto"/>
                <w:highlight w:val="none"/>
              </w:rPr>
            </w:pPr>
            <w:r>
              <w:rPr>
                <w:color w:val="auto"/>
                <w:highlight w:val="none"/>
              </w:rPr>
              <w:t>6</w:t>
            </w:r>
          </w:p>
        </w:tc>
        <w:tc>
          <w:tcPr>
            <w:tcW w:w="702" w:type="pct"/>
          </w:tcPr>
          <w:p w14:paraId="6B3484C9">
            <w:pPr>
              <w:spacing w:line="360" w:lineRule="auto"/>
              <w:jc w:val="center"/>
              <w:rPr>
                <w:color w:val="auto"/>
                <w:highlight w:val="none"/>
              </w:rPr>
            </w:pPr>
            <w:r>
              <w:rPr>
                <w:color w:val="auto"/>
                <w:highlight w:val="none"/>
              </w:rPr>
              <w:t xml:space="preserve">A020210 </w:t>
            </w:r>
            <w:r>
              <w:rPr>
                <w:rFonts w:hint="eastAsia"/>
                <w:color w:val="auto"/>
                <w:highlight w:val="none"/>
              </w:rPr>
              <w:t>文</w:t>
            </w:r>
            <w:r>
              <w:rPr>
                <w:color w:val="auto"/>
                <w:highlight w:val="none"/>
              </w:rPr>
              <w:t xml:space="preserve"> </w:t>
            </w:r>
            <w:r>
              <w:rPr>
                <w:rFonts w:hint="eastAsia"/>
                <w:color w:val="auto"/>
                <w:highlight w:val="none"/>
              </w:rPr>
              <w:t>印设</w:t>
            </w:r>
            <w:r>
              <w:rPr>
                <w:color w:val="auto"/>
                <w:highlight w:val="none"/>
              </w:rPr>
              <w:t xml:space="preserve"> </w:t>
            </w:r>
            <w:r>
              <w:rPr>
                <w:rFonts w:hint="eastAsia"/>
                <w:color w:val="auto"/>
                <w:highlight w:val="none"/>
              </w:rPr>
              <w:t>备</w:t>
            </w:r>
          </w:p>
        </w:tc>
        <w:tc>
          <w:tcPr>
            <w:tcW w:w="1413" w:type="pct"/>
          </w:tcPr>
          <w:p w14:paraId="51B2D0CF">
            <w:pPr>
              <w:spacing w:line="360" w:lineRule="auto"/>
              <w:jc w:val="left"/>
              <w:rPr>
                <w:color w:val="auto"/>
                <w:highlight w:val="none"/>
              </w:rPr>
            </w:pPr>
            <w:r>
              <w:rPr>
                <w:color w:val="auto"/>
                <w:highlight w:val="none"/>
              </w:rPr>
              <w:t xml:space="preserve">A02021001 </w:t>
            </w:r>
            <w:r>
              <w:rPr>
                <w:rFonts w:hint="eastAsia"/>
                <w:color w:val="auto"/>
                <w:highlight w:val="none"/>
              </w:rPr>
              <w:t>速印机</w:t>
            </w:r>
          </w:p>
        </w:tc>
        <w:tc>
          <w:tcPr>
            <w:tcW w:w="1002" w:type="pct"/>
          </w:tcPr>
          <w:p w14:paraId="72EBBBDC">
            <w:pPr>
              <w:spacing w:line="360" w:lineRule="auto"/>
              <w:jc w:val="left"/>
              <w:rPr>
                <w:color w:val="auto"/>
                <w:highlight w:val="none"/>
              </w:rPr>
            </w:pPr>
          </w:p>
        </w:tc>
        <w:tc>
          <w:tcPr>
            <w:tcW w:w="1460" w:type="pct"/>
          </w:tcPr>
          <w:p w14:paraId="5491E502">
            <w:pPr>
              <w:spacing w:line="360" w:lineRule="auto"/>
              <w:jc w:val="left"/>
              <w:rPr>
                <w:color w:val="auto"/>
                <w:highlight w:val="none"/>
              </w:rPr>
            </w:pPr>
            <w:r>
              <w:rPr>
                <w:color w:val="auto"/>
                <w:highlight w:val="none"/>
              </w:rPr>
              <w:t xml:space="preserve">HJ472 </w:t>
            </w:r>
            <w:r>
              <w:rPr>
                <w:rFonts w:hint="eastAsia"/>
                <w:color w:val="auto"/>
                <w:highlight w:val="none"/>
              </w:rPr>
              <w:t>数字式一体化速印机</w:t>
            </w:r>
          </w:p>
        </w:tc>
      </w:tr>
      <w:tr w14:paraId="181AF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421" w:type="pct"/>
          </w:tcPr>
          <w:p w14:paraId="1C772708">
            <w:pPr>
              <w:spacing w:line="360" w:lineRule="auto"/>
              <w:jc w:val="center"/>
              <w:rPr>
                <w:color w:val="auto"/>
                <w:highlight w:val="none"/>
              </w:rPr>
            </w:pPr>
            <w:r>
              <w:rPr>
                <w:color w:val="auto"/>
                <w:highlight w:val="none"/>
              </w:rPr>
              <w:t>7</w:t>
            </w:r>
          </w:p>
        </w:tc>
        <w:tc>
          <w:tcPr>
            <w:tcW w:w="702" w:type="pct"/>
          </w:tcPr>
          <w:p w14:paraId="161D244B">
            <w:pPr>
              <w:spacing w:line="360" w:lineRule="auto"/>
              <w:jc w:val="center"/>
              <w:rPr>
                <w:color w:val="auto"/>
                <w:highlight w:val="none"/>
              </w:rPr>
            </w:pPr>
            <w:r>
              <w:rPr>
                <w:color w:val="auto"/>
                <w:highlight w:val="none"/>
              </w:rPr>
              <w:t xml:space="preserve">A020301 </w:t>
            </w:r>
            <w:r>
              <w:rPr>
                <w:rFonts w:hint="eastAsia"/>
                <w:color w:val="auto"/>
                <w:highlight w:val="none"/>
              </w:rPr>
              <w:t>载货汽</w:t>
            </w:r>
            <w:r>
              <w:rPr>
                <w:color w:val="auto"/>
                <w:highlight w:val="none"/>
              </w:rPr>
              <w:t xml:space="preserve">  </w:t>
            </w:r>
            <w:r>
              <w:rPr>
                <w:rFonts w:hint="eastAsia"/>
                <w:color w:val="auto"/>
                <w:highlight w:val="none"/>
              </w:rPr>
              <w:t>车（含自卸汽车）</w:t>
            </w:r>
          </w:p>
        </w:tc>
        <w:tc>
          <w:tcPr>
            <w:tcW w:w="1413" w:type="pct"/>
          </w:tcPr>
          <w:p w14:paraId="5B575D98">
            <w:pPr>
              <w:spacing w:line="360" w:lineRule="auto"/>
              <w:jc w:val="left"/>
              <w:rPr>
                <w:color w:val="auto"/>
                <w:highlight w:val="none"/>
              </w:rPr>
            </w:pPr>
          </w:p>
        </w:tc>
        <w:tc>
          <w:tcPr>
            <w:tcW w:w="1002" w:type="pct"/>
          </w:tcPr>
          <w:p w14:paraId="51BED3D2">
            <w:pPr>
              <w:spacing w:line="360" w:lineRule="auto"/>
              <w:jc w:val="left"/>
              <w:rPr>
                <w:color w:val="auto"/>
                <w:highlight w:val="none"/>
              </w:rPr>
            </w:pPr>
          </w:p>
        </w:tc>
        <w:tc>
          <w:tcPr>
            <w:tcW w:w="1460" w:type="pct"/>
          </w:tcPr>
          <w:p w14:paraId="6724FDB5">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5A484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21" w:type="pct"/>
            <w:vMerge w:val="restart"/>
            <w:tcBorders>
              <w:bottom w:val="nil"/>
            </w:tcBorders>
          </w:tcPr>
          <w:p w14:paraId="13EE470A">
            <w:pPr>
              <w:spacing w:line="360" w:lineRule="auto"/>
              <w:jc w:val="center"/>
              <w:rPr>
                <w:color w:val="auto"/>
                <w:highlight w:val="none"/>
              </w:rPr>
            </w:pPr>
            <w:r>
              <w:rPr>
                <w:color w:val="auto"/>
                <w:highlight w:val="none"/>
              </w:rPr>
              <w:t>8</w:t>
            </w:r>
          </w:p>
        </w:tc>
        <w:tc>
          <w:tcPr>
            <w:tcW w:w="702" w:type="pct"/>
            <w:vMerge w:val="restart"/>
            <w:tcBorders>
              <w:bottom w:val="nil"/>
            </w:tcBorders>
          </w:tcPr>
          <w:p w14:paraId="54B7C7EC">
            <w:pPr>
              <w:spacing w:line="360" w:lineRule="auto"/>
              <w:jc w:val="center"/>
              <w:rPr>
                <w:color w:val="auto"/>
                <w:highlight w:val="none"/>
              </w:rPr>
            </w:pPr>
            <w:r>
              <w:rPr>
                <w:color w:val="auto"/>
                <w:highlight w:val="none"/>
              </w:rPr>
              <w:t xml:space="preserve">A020305 </w:t>
            </w:r>
            <w:r>
              <w:rPr>
                <w:rFonts w:hint="eastAsia"/>
                <w:color w:val="auto"/>
                <w:highlight w:val="none"/>
              </w:rPr>
              <w:t>乘用车</w:t>
            </w:r>
            <w:r>
              <w:rPr>
                <w:color w:val="auto"/>
                <w:highlight w:val="none"/>
              </w:rPr>
              <w:t xml:space="preserve"> </w:t>
            </w:r>
            <w:r>
              <w:rPr>
                <w:rFonts w:hint="eastAsia"/>
                <w:color w:val="auto"/>
                <w:highlight w:val="none"/>
              </w:rPr>
              <w:t>（轿车）</w:t>
            </w:r>
          </w:p>
        </w:tc>
        <w:tc>
          <w:tcPr>
            <w:tcW w:w="1413" w:type="pct"/>
          </w:tcPr>
          <w:p w14:paraId="61CAC3B8">
            <w:pPr>
              <w:spacing w:line="360" w:lineRule="auto"/>
              <w:jc w:val="left"/>
              <w:rPr>
                <w:color w:val="auto"/>
                <w:highlight w:val="none"/>
              </w:rPr>
            </w:pPr>
            <w:r>
              <w:rPr>
                <w:color w:val="auto"/>
                <w:highlight w:val="none"/>
              </w:rPr>
              <w:t xml:space="preserve">A02030501 </w:t>
            </w:r>
            <w:r>
              <w:rPr>
                <w:rFonts w:hint="eastAsia"/>
                <w:color w:val="auto"/>
                <w:highlight w:val="none"/>
              </w:rPr>
              <w:t>轿车</w:t>
            </w:r>
          </w:p>
        </w:tc>
        <w:tc>
          <w:tcPr>
            <w:tcW w:w="1002" w:type="pct"/>
          </w:tcPr>
          <w:p w14:paraId="72F28C7A">
            <w:pPr>
              <w:spacing w:line="360" w:lineRule="auto"/>
              <w:jc w:val="left"/>
              <w:rPr>
                <w:color w:val="auto"/>
                <w:highlight w:val="none"/>
              </w:rPr>
            </w:pPr>
          </w:p>
        </w:tc>
        <w:tc>
          <w:tcPr>
            <w:tcW w:w="1460" w:type="pct"/>
          </w:tcPr>
          <w:p w14:paraId="2A49774C">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2594E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47AB8175">
            <w:pPr>
              <w:spacing w:line="360" w:lineRule="auto"/>
              <w:jc w:val="center"/>
              <w:rPr>
                <w:color w:val="auto"/>
                <w:highlight w:val="none"/>
              </w:rPr>
            </w:pPr>
          </w:p>
        </w:tc>
        <w:tc>
          <w:tcPr>
            <w:tcW w:w="702" w:type="pct"/>
            <w:vMerge w:val="continue"/>
            <w:tcBorders>
              <w:top w:val="nil"/>
            </w:tcBorders>
          </w:tcPr>
          <w:p w14:paraId="17382075">
            <w:pPr>
              <w:spacing w:line="360" w:lineRule="auto"/>
              <w:jc w:val="center"/>
              <w:rPr>
                <w:color w:val="auto"/>
                <w:highlight w:val="none"/>
              </w:rPr>
            </w:pPr>
          </w:p>
        </w:tc>
        <w:tc>
          <w:tcPr>
            <w:tcW w:w="1413" w:type="pct"/>
          </w:tcPr>
          <w:p w14:paraId="4C3E5BE9">
            <w:pPr>
              <w:spacing w:line="360" w:lineRule="auto"/>
              <w:jc w:val="left"/>
              <w:rPr>
                <w:color w:val="auto"/>
                <w:highlight w:val="none"/>
              </w:rPr>
            </w:pPr>
            <w:r>
              <w:rPr>
                <w:color w:val="auto"/>
                <w:highlight w:val="none"/>
              </w:rPr>
              <w:t xml:space="preserve">A02030599 </w:t>
            </w:r>
            <w:r>
              <w:rPr>
                <w:rFonts w:hint="eastAsia"/>
                <w:color w:val="auto"/>
                <w:highlight w:val="none"/>
              </w:rPr>
              <w:t>其他乘用车（轿车）</w:t>
            </w:r>
          </w:p>
        </w:tc>
        <w:tc>
          <w:tcPr>
            <w:tcW w:w="1002" w:type="pct"/>
          </w:tcPr>
          <w:p w14:paraId="4D71E985">
            <w:pPr>
              <w:spacing w:line="360" w:lineRule="auto"/>
              <w:jc w:val="left"/>
              <w:rPr>
                <w:color w:val="auto"/>
                <w:highlight w:val="none"/>
              </w:rPr>
            </w:pPr>
          </w:p>
        </w:tc>
        <w:tc>
          <w:tcPr>
            <w:tcW w:w="1460" w:type="pct"/>
          </w:tcPr>
          <w:p w14:paraId="0E2C4EB1">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76902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14:paraId="18AC45E4">
            <w:pPr>
              <w:spacing w:line="360" w:lineRule="auto"/>
              <w:jc w:val="center"/>
              <w:rPr>
                <w:color w:val="auto"/>
                <w:highlight w:val="none"/>
              </w:rPr>
            </w:pPr>
            <w:r>
              <w:rPr>
                <w:color w:val="auto"/>
                <w:highlight w:val="none"/>
              </w:rPr>
              <w:t>9</w:t>
            </w:r>
          </w:p>
        </w:tc>
        <w:tc>
          <w:tcPr>
            <w:tcW w:w="702" w:type="pct"/>
          </w:tcPr>
          <w:p w14:paraId="053D8A37">
            <w:pPr>
              <w:spacing w:line="360" w:lineRule="auto"/>
              <w:jc w:val="center"/>
              <w:rPr>
                <w:color w:val="auto"/>
                <w:highlight w:val="none"/>
              </w:rPr>
            </w:pPr>
            <w:r>
              <w:rPr>
                <w:color w:val="auto"/>
                <w:highlight w:val="none"/>
              </w:rPr>
              <w:t xml:space="preserve">A020306 </w:t>
            </w:r>
            <w:r>
              <w:rPr>
                <w:rFonts w:hint="eastAsia"/>
                <w:color w:val="auto"/>
                <w:highlight w:val="none"/>
              </w:rPr>
              <w:t>客车</w:t>
            </w:r>
          </w:p>
        </w:tc>
        <w:tc>
          <w:tcPr>
            <w:tcW w:w="1413" w:type="pct"/>
          </w:tcPr>
          <w:p w14:paraId="42951558">
            <w:pPr>
              <w:spacing w:line="360" w:lineRule="auto"/>
              <w:jc w:val="left"/>
              <w:rPr>
                <w:color w:val="auto"/>
                <w:highlight w:val="none"/>
              </w:rPr>
            </w:pPr>
            <w:r>
              <w:rPr>
                <w:color w:val="auto"/>
                <w:highlight w:val="none"/>
              </w:rPr>
              <w:t xml:space="preserve">A02030601 </w:t>
            </w:r>
            <w:r>
              <w:rPr>
                <w:rFonts w:hint="eastAsia"/>
                <w:color w:val="auto"/>
                <w:highlight w:val="none"/>
              </w:rPr>
              <w:t>小型客车</w:t>
            </w:r>
          </w:p>
        </w:tc>
        <w:tc>
          <w:tcPr>
            <w:tcW w:w="1002" w:type="pct"/>
          </w:tcPr>
          <w:p w14:paraId="60FDE6D0">
            <w:pPr>
              <w:spacing w:line="360" w:lineRule="auto"/>
              <w:jc w:val="left"/>
              <w:rPr>
                <w:color w:val="auto"/>
                <w:highlight w:val="none"/>
              </w:rPr>
            </w:pPr>
          </w:p>
        </w:tc>
        <w:tc>
          <w:tcPr>
            <w:tcW w:w="1460" w:type="pct"/>
          </w:tcPr>
          <w:p w14:paraId="5C78E275">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536AF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60A88DEB">
            <w:pPr>
              <w:spacing w:line="360" w:lineRule="auto"/>
              <w:jc w:val="center"/>
              <w:rPr>
                <w:color w:val="auto"/>
                <w:highlight w:val="none"/>
              </w:rPr>
            </w:pPr>
            <w:r>
              <w:rPr>
                <w:color w:val="auto"/>
                <w:highlight w:val="none"/>
              </w:rPr>
              <w:t>10</w:t>
            </w:r>
          </w:p>
        </w:tc>
        <w:tc>
          <w:tcPr>
            <w:tcW w:w="702" w:type="pct"/>
          </w:tcPr>
          <w:p w14:paraId="43FCE7AE">
            <w:pPr>
              <w:spacing w:line="360" w:lineRule="auto"/>
              <w:jc w:val="center"/>
              <w:rPr>
                <w:color w:val="auto"/>
                <w:highlight w:val="none"/>
              </w:rPr>
            </w:pPr>
            <w:r>
              <w:rPr>
                <w:color w:val="auto"/>
                <w:highlight w:val="none"/>
              </w:rPr>
              <w:t xml:space="preserve">A020307 </w:t>
            </w:r>
            <w:r>
              <w:rPr>
                <w:rFonts w:hint="eastAsia"/>
                <w:color w:val="auto"/>
                <w:highlight w:val="none"/>
              </w:rPr>
              <w:t>专用车</w:t>
            </w:r>
            <w:r>
              <w:rPr>
                <w:color w:val="auto"/>
                <w:highlight w:val="none"/>
              </w:rPr>
              <w:t xml:space="preserve"> </w:t>
            </w:r>
            <w:r>
              <w:rPr>
                <w:rFonts w:hint="eastAsia"/>
                <w:color w:val="auto"/>
                <w:highlight w:val="none"/>
              </w:rPr>
              <w:t>辆</w:t>
            </w:r>
          </w:p>
        </w:tc>
        <w:tc>
          <w:tcPr>
            <w:tcW w:w="1413" w:type="pct"/>
          </w:tcPr>
          <w:p w14:paraId="79F5E22D">
            <w:pPr>
              <w:spacing w:line="360" w:lineRule="auto"/>
              <w:jc w:val="left"/>
              <w:rPr>
                <w:color w:val="auto"/>
                <w:highlight w:val="none"/>
              </w:rPr>
            </w:pPr>
            <w:r>
              <w:rPr>
                <w:color w:val="auto"/>
                <w:highlight w:val="none"/>
              </w:rPr>
              <w:t xml:space="preserve">A02030799 </w:t>
            </w:r>
            <w:r>
              <w:rPr>
                <w:rFonts w:hint="eastAsia"/>
                <w:color w:val="auto"/>
                <w:highlight w:val="none"/>
              </w:rPr>
              <w:t>其他专用汽车</w:t>
            </w:r>
          </w:p>
        </w:tc>
        <w:tc>
          <w:tcPr>
            <w:tcW w:w="1002" w:type="pct"/>
          </w:tcPr>
          <w:p w14:paraId="4331AEA7">
            <w:pPr>
              <w:spacing w:line="360" w:lineRule="auto"/>
              <w:jc w:val="left"/>
              <w:rPr>
                <w:color w:val="auto"/>
                <w:highlight w:val="none"/>
              </w:rPr>
            </w:pPr>
          </w:p>
        </w:tc>
        <w:tc>
          <w:tcPr>
            <w:tcW w:w="1460" w:type="pct"/>
          </w:tcPr>
          <w:p w14:paraId="478CC979">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14EA0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21" w:type="pct"/>
            <w:vMerge w:val="restart"/>
            <w:tcBorders>
              <w:bottom w:val="nil"/>
            </w:tcBorders>
          </w:tcPr>
          <w:p w14:paraId="71FA206A">
            <w:pPr>
              <w:spacing w:line="360" w:lineRule="auto"/>
              <w:jc w:val="center"/>
              <w:rPr>
                <w:color w:val="auto"/>
                <w:highlight w:val="none"/>
              </w:rPr>
            </w:pPr>
            <w:r>
              <w:rPr>
                <w:color w:val="auto"/>
                <w:highlight w:val="none"/>
              </w:rPr>
              <w:t>11</w:t>
            </w:r>
          </w:p>
        </w:tc>
        <w:tc>
          <w:tcPr>
            <w:tcW w:w="702" w:type="pct"/>
            <w:vMerge w:val="restart"/>
            <w:tcBorders>
              <w:bottom w:val="nil"/>
            </w:tcBorders>
          </w:tcPr>
          <w:p w14:paraId="6A06D04C">
            <w:pPr>
              <w:spacing w:line="360" w:lineRule="auto"/>
              <w:jc w:val="center"/>
              <w:rPr>
                <w:color w:val="auto"/>
                <w:highlight w:val="none"/>
              </w:rPr>
            </w:pPr>
            <w:r>
              <w:rPr>
                <w:color w:val="auto"/>
                <w:highlight w:val="none"/>
              </w:rPr>
              <w:t xml:space="preserve">A020523 </w:t>
            </w:r>
            <w:r>
              <w:rPr>
                <w:rFonts w:hint="eastAsia"/>
                <w:color w:val="auto"/>
                <w:highlight w:val="none"/>
              </w:rPr>
              <w:t>制冷空</w:t>
            </w:r>
            <w:r>
              <w:rPr>
                <w:color w:val="auto"/>
                <w:highlight w:val="none"/>
              </w:rPr>
              <w:t xml:space="preserve"> </w:t>
            </w:r>
            <w:r>
              <w:rPr>
                <w:rFonts w:hint="eastAsia"/>
                <w:color w:val="auto"/>
                <w:highlight w:val="none"/>
              </w:rPr>
              <w:t>调设备</w:t>
            </w:r>
          </w:p>
        </w:tc>
        <w:tc>
          <w:tcPr>
            <w:tcW w:w="1413" w:type="pct"/>
          </w:tcPr>
          <w:p w14:paraId="469BA774">
            <w:pPr>
              <w:spacing w:line="360" w:lineRule="auto"/>
              <w:jc w:val="left"/>
              <w:rPr>
                <w:color w:val="auto"/>
                <w:highlight w:val="none"/>
              </w:rPr>
            </w:pPr>
            <w:r>
              <w:rPr>
                <w:color w:val="auto"/>
                <w:highlight w:val="none"/>
              </w:rPr>
              <w:t xml:space="preserve">A02052301 </w:t>
            </w:r>
            <w:r>
              <w:rPr>
                <w:rFonts w:hint="eastAsia"/>
                <w:color w:val="auto"/>
                <w:highlight w:val="none"/>
              </w:rPr>
              <w:t>制冷压缩机</w:t>
            </w:r>
          </w:p>
        </w:tc>
        <w:tc>
          <w:tcPr>
            <w:tcW w:w="1002" w:type="pct"/>
          </w:tcPr>
          <w:p w14:paraId="12F33C91">
            <w:pPr>
              <w:spacing w:line="360" w:lineRule="auto"/>
              <w:jc w:val="left"/>
              <w:rPr>
                <w:color w:val="auto"/>
                <w:highlight w:val="none"/>
              </w:rPr>
            </w:pPr>
          </w:p>
        </w:tc>
        <w:tc>
          <w:tcPr>
            <w:tcW w:w="1460" w:type="pct"/>
          </w:tcPr>
          <w:p w14:paraId="27310A5D">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14:paraId="389C4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bottom w:val="nil"/>
            </w:tcBorders>
          </w:tcPr>
          <w:p w14:paraId="2E0D1892">
            <w:pPr>
              <w:spacing w:line="360" w:lineRule="auto"/>
              <w:jc w:val="center"/>
              <w:rPr>
                <w:color w:val="auto"/>
                <w:highlight w:val="none"/>
              </w:rPr>
            </w:pPr>
          </w:p>
        </w:tc>
        <w:tc>
          <w:tcPr>
            <w:tcW w:w="702" w:type="pct"/>
            <w:vMerge w:val="continue"/>
            <w:tcBorders>
              <w:top w:val="nil"/>
              <w:bottom w:val="nil"/>
            </w:tcBorders>
          </w:tcPr>
          <w:p w14:paraId="3529F3A5">
            <w:pPr>
              <w:spacing w:line="360" w:lineRule="auto"/>
              <w:jc w:val="center"/>
              <w:rPr>
                <w:color w:val="auto"/>
                <w:highlight w:val="none"/>
              </w:rPr>
            </w:pPr>
          </w:p>
        </w:tc>
        <w:tc>
          <w:tcPr>
            <w:tcW w:w="1413" w:type="pct"/>
          </w:tcPr>
          <w:p w14:paraId="1D950AE9">
            <w:pPr>
              <w:spacing w:line="360" w:lineRule="auto"/>
              <w:jc w:val="left"/>
              <w:rPr>
                <w:color w:val="auto"/>
                <w:highlight w:val="none"/>
              </w:rPr>
            </w:pPr>
            <w:r>
              <w:rPr>
                <w:color w:val="auto"/>
                <w:highlight w:val="none"/>
              </w:rPr>
              <w:t xml:space="preserve">A02052305 </w:t>
            </w:r>
            <w:r>
              <w:rPr>
                <w:rFonts w:hint="eastAsia"/>
                <w:color w:val="auto"/>
                <w:highlight w:val="none"/>
              </w:rPr>
              <w:t>空调机组</w:t>
            </w:r>
          </w:p>
        </w:tc>
        <w:tc>
          <w:tcPr>
            <w:tcW w:w="1002" w:type="pct"/>
          </w:tcPr>
          <w:p w14:paraId="4214F313">
            <w:pPr>
              <w:spacing w:line="360" w:lineRule="auto"/>
              <w:jc w:val="left"/>
              <w:rPr>
                <w:color w:val="auto"/>
                <w:highlight w:val="none"/>
              </w:rPr>
            </w:pPr>
          </w:p>
        </w:tc>
        <w:tc>
          <w:tcPr>
            <w:tcW w:w="1460" w:type="pct"/>
          </w:tcPr>
          <w:p w14:paraId="6E80E5CC">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14:paraId="02E77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tcBorders>
          </w:tcPr>
          <w:p w14:paraId="4102D735">
            <w:pPr>
              <w:spacing w:line="360" w:lineRule="auto"/>
              <w:jc w:val="center"/>
              <w:rPr>
                <w:color w:val="auto"/>
                <w:highlight w:val="none"/>
              </w:rPr>
            </w:pPr>
          </w:p>
        </w:tc>
        <w:tc>
          <w:tcPr>
            <w:tcW w:w="702" w:type="pct"/>
            <w:vMerge w:val="continue"/>
            <w:tcBorders>
              <w:top w:val="nil"/>
            </w:tcBorders>
          </w:tcPr>
          <w:p w14:paraId="4E39E5B8">
            <w:pPr>
              <w:spacing w:line="360" w:lineRule="auto"/>
              <w:jc w:val="center"/>
              <w:rPr>
                <w:color w:val="auto"/>
                <w:highlight w:val="none"/>
              </w:rPr>
            </w:pPr>
          </w:p>
        </w:tc>
        <w:tc>
          <w:tcPr>
            <w:tcW w:w="1413" w:type="pct"/>
          </w:tcPr>
          <w:p w14:paraId="6A47E4BA">
            <w:pPr>
              <w:spacing w:line="360" w:lineRule="auto"/>
              <w:jc w:val="left"/>
              <w:rPr>
                <w:color w:val="auto"/>
                <w:highlight w:val="none"/>
              </w:rPr>
            </w:pPr>
            <w:r>
              <w:rPr>
                <w:color w:val="auto"/>
                <w:highlight w:val="none"/>
              </w:rPr>
              <w:t xml:space="preserve">A02052309 </w:t>
            </w:r>
            <w:r>
              <w:rPr>
                <w:rFonts w:hint="eastAsia"/>
                <w:color w:val="auto"/>
                <w:highlight w:val="none"/>
              </w:rPr>
              <w:t>专用制冷、空调设备</w:t>
            </w:r>
          </w:p>
        </w:tc>
        <w:tc>
          <w:tcPr>
            <w:tcW w:w="1002" w:type="pct"/>
          </w:tcPr>
          <w:p w14:paraId="5E68F46B">
            <w:pPr>
              <w:spacing w:line="360" w:lineRule="auto"/>
              <w:jc w:val="left"/>
              <w:rPr>
                <w:color w:val="auto"/>
                <w:highlight w:val="none"/>
              </w:rPr>
            </w:pPr>
          </w:p>
        </w:tc>
        <w:tc>
          <w:tcPr>
            <w:tcW w:w="1460" w:type="pct"/>
          </w:tcPr>
          <w:p w14:paraId="44A7442F">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14:paraId="721EA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2B25054E">
            <w:pPr>
              <w:spacing w:line="360" w:lineRule="auto"/>
              <w:jc w:val="center"/>
              <w:rPr>
                <w:color w:val="auto"/>
                <w:highlight w:val="none"/>
              </w:rPr>
            </w:pPr>
            <w:r>
              <w:rPr>
                <w:color w:val="auto"/>
                <w:highlight w:val="none"/>
              </w:rPr>
              <w:t>12</w:t>
            </w:r>
          </w:p>
        </w:tc>
        <w:tc>
          <w:tcPr>
            <w:tcW w:w="702" w:type="pct"/>
            <w:vMerge w:val="restart"/>
            <w:tcBorders>
              <w:bottom w:val="nil"/>
            </w:tcBorders>
          </w:tcPr>
          <w:p w14:paraId="71BE09F8">
            <w:pPr>
              <w:spacing w:line="360" w:lineRule="auto"/>
              <w:jc w:val="center"/>
              <w:rPr>
                <w:color w:val="auto"/>
                <w:highlight w:val="none"/>
              </w:rPr>
            </w:pPr>
            <w:r>
              <w:rPr>
                <w:color w:val="auto"/>
                <w:highlight w:val="none"/>
              </w:rPr>
              <w:t xml:space="preserve">A020618 </w:t>
            </w:r>
            <w:r>
              <w:rPr>
                <w:rFonts w:hint="eastAsia"/>
                <w:color w:val="auto"/>
                <w:highlight w:val="none"/>
              </w:rPr>
              <w:t>生活用</w:t>
            </w:r>
            <w:r>
              <w:rPr>
                <w:color w:val="auto"/>
                <w:highlight w:val="none"/>
              </w:rPr>
              <w:t xml:space="preserve"> </w:t>
            </w:r>
            <w:r>
              <w:rPr>
                <w:rFonts w:hint="eastAsia"/>
                <w:color w:val="auto"/>
                <w:highlight w:val="none"/>
              </w:rPr>
              <w:t>电器</w:t>
            </w:r>
          </w:p>
        </w:tc>
        <w:tc>
          <w:tcPr>
            <w:tcW w:w="1413" w:type="pct"/>
          </w:tcPr>
          <w:p w14:paraId="67BC47FA">
            <w:pPr>
              <w:spacing w:line="360" w:lineRule="auto"/>
              <w:jc w:val="left"/>
              <w:rPr>
                <w:color w:val="auto"/>
                <w:highlight w:val="none"/>
              </w:rPr>
            </w:pPr>
            <w:r>
              <w:rPr>
                <w:color w:val="auto"/>
                <w:highlight w:val="none"/>
              </w:rPr>
              <w:t xml:space="preserve">A02061802 </w:t>
            </w:r>
            <w:r>
              <w:rPr>
                <w:rFonts w:hint="eastAsia"/>
                <w:color w:val="auto"/>
                <w:highlight w:val="none"/>
              </w:rPr>
              <w:t>空气调节电器</w:t>
            </w:r>
          </w:p>
        </w:tc>
        <w:tc>
          <w:tcPr>
            <w:tcW w:w="1002" w:type="pct"/>
          </w:tcPr>
          <w:p w14:paraId="7C63A99B">
            <w:pPr>
              <w:spacing w:line="360" w:lineRule="auto"/>
              <w:jc w:val="left"/>
              <w:rPr>
                <w:color w:val="auto"/>
                <w:highlight w:val="none"/>
              </w:rPr>
            </w:pPr>
            <w:r>
              <w:rPr>
                <w:color w:val="auto"/>
                <w:highlight w:val="none"/>
              </w:rPr>
              <w:t xml:space="preserve">A0206180203 </w:t>
            </w:r>
            <w:r>
              <w:rPr>
                <w:rFonts w:hint="eastAsia"/>
                <w:color w:val="auto"/>
                <w:highlight w:val="none"/>
              </w:rPr>
              <w:t>空调机</w:t>
            </w:r>
          </w:p>
        </w:tc>
        <w:tc>
          <w:tcPr>
            <w:tcW w:w="1460" w:type="pct"/>
          </w:tcPr>
          <w:p w14:paraId="4C07E2E7">
            <w:pPr>
              <w:spacing w:line="360" w:lineRule="auto"/>
              <w:jc w:val="left"/>
              <w:rPr>
                <w:color w:val="auto"/>
                <w:highlight w:val="none"/>
              </w:rPr>
            </w:pPr>
            <w:r>
              <w:rPr>
                <w:color w:val="auto"/>
                <w:highlight w:val="none"/>
              </w:rPr>
              <w:t xml:space="preserve">HJ2535 </w:t>
            </w:r>
            <w:r>
              <w:rPr>
                <w:rFonts w:hint="eastAsia"/>
                <w:color w:val="auto"/>
                <w:highlight w:val="none"/>
              </w:rPr>
              <w:t>房间空气调节器</w:t>
            </w:r>
          </w:p>
        </w:tc>
      </w:tr>
      <w:tr w14:paraId="79D9E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1" w:type="pct"/>
            <w:vMerge w:val="continue"/>
            <w:tcBorders>
              <w:top w:val="nil"/>
            </w:tcBorders>
          </w:tcPr>
          <w:p w14:paraId="7B70BB2A">
            <w:pPr>
              <w:spacing w:line="360" w:lineRule="auto"/>
              <w:jc w:val="center"/>
              <w:rPr>
                <w:color w:val="auto"/>
                <w:highlight w:val="none"/>
              </w:rPr>
            </w:pPr>
          </w:p>
        </w:tc>
        <w:tc>
          <w:tcPr>
            <w:tcW w:w="702" w:type="pct"/>
            <w:vMerge w:val="continue"/>
            <w:tcBorders>
              <w:top w:val="nil"/>
            </w:tcBorders>
          </w:tcPr>
          <w:p w14:paraId="64E8E43B">
            <w:pPr>
              <w:spacing w:line="360" w:lineRule="auto"/>
              <w:jc w:val="center"/>
              <w:rPr>
                <w:color w:val="auto"/>
                <w:highlight w:val="none"/>
              </w:rPr>
            </w:pPr>
          </w:p>
        </w:tc>
        <w:tc>
          <w:tcPr>
            <w:tcW w:w="1413" w:type="pct"/>
          </w:tcPr>
          <w:p w14:paraId="45F3265B">
            <w:pPr>
              <w:spacing w:line="360" w:lineRule="auto"/>
              <w:jc w:val="left"/>
              <w:rPr>
                <w:color w:val="auto"/>
                <w:highlight w:val="none"/>
              </w:rPr>
            </w:pPr>
            <w:r>
              <w:rPr>
                <w:color w:val="auto"/>
                <w:highlight w:val="none"/>
              </w:rPr>
              <w:t xml:space="preserve">A02061808 </w:t>
            </w:r>
            <w:r>
              <w:rPr>
                <w:rFonts w:hint="eastAsia"/>
                <w:color w:val="auto"/>
                <w:highlight w:val="none"/>
              </w:rPr>
              <w:t>热水器</w:t>
            </w:r>
          </w:p>
        </w:tc>
        <w:tc>
          <w:tcPr>
            <w:tcW w:w="1002" w:type="pct"/>
          </w:tcPr>
          <w:p w14:paraId="4A42027B">
            <w:pPr>
              <w:spacing w:line="360" w:lineRule="auto"/>
              <w:jc w:val="left"/>
              <w:rPr>
                <w:color w:val="auto"/>
                <w:highlight w:val="none"/>
              </w:rPr>
            </w:pPr>
          </w:p>
        </w:tc>
        <w:tc>
          <w:tcPr>
            <w:tcW w:w="1460" w:type="pct"/>
          </w:tcPr>
          <w:p w14:paraId="23E43712">
            <w:pPr>
              <w:spacing w:line="360" w:lineRule="auto"/>
              <w:jc w:val="left"/>
              <w:rPr>
                <w:color w:val="auto"/>
                <w:highlight w:val="none"/>
              </w:rPr>
            </w:pPr>
            <w:r>
              <w:rPr>
                <w:color w:val="auto"/>
                <w:highlight w:val="none"/>
              </w:rPr>
              <w:t xml:space="preserve">HJ/T362 </w:t>
            </w:r>
            <w:r>
              <w:rPr>
                <w:rFonts w:hint="eastAsia"/>
                <w:color w:val="auto"/>
                <w:highlight w:val="none"/>
              </w:rPr>
              <w:t>太阳能集热器</w:t>
            </w:r>
          </w:p>
        </w:tc>
      </w:tr>
      <w:tr w14:paraId="567DD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14:paraId="6B6D394F">
            <w:pPr>
              <w:spacing w:line="360" w:lineRule="auto"/>
              <w:jc w:val="center"/>
              <w:rPr>
                <w:color w:val="auto"/>
                <w:highlight w:val="none"/>
              </w:rPr>
            </w:pPr>
            <w:r>
              <w:rPr>
                <w:color w:val="auto"/>
                <w:highlight w:val="none"/>
              </w:rPr>
              <w:t>13</w:t>
            </w:r>
          </w:p>
        </w:tc>
        <w:tc>
          <w:tcPr>
            <w:tcW w:w="702" w:type="pct"/>
          </w:tcPr>
          <w:p w14:paraId="05017685">
            <w:pPr>
              <w:spacing w:line="360" w:lineRule="auto"/>
              <w:jc w:val="center"/>
              <w:rPr>
                <w:color w:val="auto"/>
                <w:highlight w:val="none"/>
              </w:rPr>
            </w:pPr>
            <w:r>
              <w:rPr>
                <w:color w:val="auto"/>
                <w:highlight w:val="none"/>
              </w:rPr>
              <w:t xml:space="preserve">A020619 </w:t>
            </w:r>
            <w:r>
              <w:rPr>
                <w:rFonts w:hint="eastAsia"/>
                <w:color w:val="auto"/>
                <w:highlight w:val="none"/>
              </w:rPr>
              <w:t>照</w:t>
            </w:r>
            <w:r>
              <w:rPr>
                <w:color w:val="auto"/>
                <w:highlight w:val="none"/>
              </w:rPr>
              <w:t xml:space="preserve"> </w:t>
            </w:r>
            <w:r>
              <w:rPr>
                <w:rFonts w:hint="eastAsia"/>
                <w:color w:val="auto"/>
                <w:highlight w:val="none"/>
              </w:rPr>
              <w:t>明设</w:t>
            </w:r>
            <w:r>
              <w:rPr>
                <w:color w:val="auto"/>
                <w:highlight w:val="none"/>
              </w:rPr>
              <w:t xml:space="preserve"> </w:t>
            </w:r>
            <w:r>
              <w:rPr>
                <w:rFonts w:hint="eastAsia"/>
                <w:color w:val="auto"/>
                <w:highlight w:val="none"/>
              </w:rPr>
              <w:t>备</w:t>
            </w:r>
          </w:p>
        </w:tc>
        <w:tc>
          <w:tcPr>
            <w:tcW w:w="1413" w:type="pct"/>
          </w:tcPr>
          <w:p w14:paraId="2BD1ECB0">
            <w:pPr>
              <w:spacing w:line="360" w:lineRule="auto"/>
              <w:jc w:val="left"/>
              <w:rPr>
                <w:color w:val="auto"/>
                <w:highlight w:val="none"/>
              </w:rPr>
            </w:pPr>
            <w:r>
              <w:rPr>
                <w:color w:val="auto"/>
                <w:highlight w:val="none"/>
              </w:rPr>
              <w:t xml:space="preserve">A02061908 </w:t>
            </w:r>
            <w:r>
              <w:rPr>
                <w:rFonts w:hint="eastAsia"/>
                <w:color w:val="auto"/>
                <w:highlight w:val="none"/>
              </w:rPr>
              <w:t>室内照明灯具</w:t>
            </w:r>
          </w:p>
        </w:tc>
        <w:tc>
          <w:tcPr>
            <w:tcW w:w="1002" w:type="pct"/>
          </w:tcPr>
          <w:p w14:paraId="19348237">
            <w:pPr>
              <w:spacing w:line="360" w:lineRule="auto"/>
              <w:jc w:val="left"/>
              <w:rPr>
                <w:color w:val="auto"/>
                <w:highlight w:val="none"/>
              </w:rPr>
            </w:pPr>
          </w:p>
        </w:tc>
        <w:tc>
          <w:tcPr>
            <w:tcW w:w="1460" w:type="pct"/>
          </w:tcPr>
          <w:p w14:paraId="7A1A7CF5">
            <w:pPr>
              <w:spacing w:line="360" w:lineRule="auto"/>
              <w:jc w:val="left"/>
              <w:rPr>
                <w:color w:val="auto"/>
                <w:highlight w:val="none"/>
              </w:rPr>
            </w:pPr>
            <w:r>
              <w:rPr>
                <w:color w:val="auto"/>
                <w:highlight w:val="none"/>
              </w:rPr>
              <w:t xml:space="preserve">HJ2518 </w:t>
            </w:r>
            <w:r>
              <w:rPr>
                <w:rFonts w:hint="eastAsia"/>
                <w:color w:val="auto"/>
                <w:highlight w:val="none"/>
              </w:rPr>
              <w:t>照明光源</w:t>
            </w:r>
          </w:p>
        </w:tc>
      </w:tr>
      <w:tr w14:paraId="345E6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14:paraId="20C09F36">
            <w:pPr>
              <w:spacing w:line="360" w:lineRule="auto"/>
              <w:jc w:val="center"/>
              <w:rPr>
                <w:color w:val="auto"/>
                <w:highlight w:val="none"/>
              </w:rPr>
            </w:pPr>
            <w:r>
              <w:rPr>
                <w:color w:val="auto"/>
                <w:highlight w:val="none"/>
              </w:rPr>
              <w:t>14</w:t>
            </w:r>
          </w:p>
        </w:tc>
        <w:tc>
          <w:tcPr>
            <w:tcW w:w="702" w:type="pct"/>
          </w:tcPr>
          <w:p w14:paraId="5ED97CC0">
            <w:pPr>
              <w:spacing w:line="360" w:lineRule="auto"/>
              <w:jc w:val="center"/>
              <w:rPr>
                <w:color w:val="auto"/>
                <w:highlight w:val="none"/>
              </w:rPr>
            </w:pPr>
            <w:r>
              <w:rPr>
                <w:color w:val="auto"/>
                <w:highlight w:val="none"/>
              </w:rPr>
              <w:t xml:space="preserve">A020810 </w:t>
            </w:r>
            <w:r>
              <w:rPr>
                <w:rFonts w:hint="eastAsia"/>
                <w:color w:val="auto"/>
                <w:highlight w:val="none"/>
              </w:rPr>
              <w:t>传真及</w:t>
            </w:r>
            <w:r>
              <w:rPr>
                <w:color w:val="auto"/>
                <w:highlight w:val="none"/>
              </w:rPr>
              <w:t xml:space="preserve"> </w:t>
            </w:r>
            <w:r>
              <w:rPr>
                <w:rFonts w:hint="eastAsia"/>
                <w:color w:val="auto"/>
                <w:highlight w:val="none"/>
              </w:rPr>
              <w:t>数据数字通信设</w:t>
            </w:r>
            <w:r>
              <w:rPr>
                <w:color w:val="auto"/>
                <w:highlight w:val="none"/>
              </w:rPr>
              <w:t xml:space="preserve"> </w:t>
            </w:r>
            <w:r>
              <w:rPr>
                <w:rFonts w:hint="eastAsia"/>
                <w:color w:val="auto"/>
                <w:highlight w:val="none"/>
              </w:rPr>
              <w:t>备</w:t>
            </w:r>
          </w:p>
        </w:tc>
        <w:tc>
          <w:tcPr>
            <w:tcW w:w="1413" w:type="pct"/>
          </w:tcPr>
          <w:p w14:paraId="359B1FB1">
            <w:pPr>
              <w:spacing w:line="360" w:lineRule="auto"/>
              <w:jc w:val="left"/>
              <w:rPr>
                <w:color w:val="auto"/>
                <w:highlight w:val="none"/>
              </w:rPr>
            </w:pPr>
            <w:r>
              <w:rPr>
                <w:color w:val="auto"/>
                <w:highlight w:val="none"/>
              </w:rPr>
              <w:t xml:space="preserve">A02081001 </w:t>
            </w:r>
            <w:r>
              <w:rPr>
                <w:rFonts w:hint="eastAsia"/>
                <w:color w:val="auto"/>
                <w:highlight w:val="none"/>
              </w:rPr>
              <w:t>传真通信设备</w:t>
            </w:r>
          </w:p>
        </w:tc>
        <w:tc>
          <w:tcPr>
            <w:tcW w:w="1002" w:type="pct"/>
          </w:tcPr>
          <w:p w14:paraId="1D7EE88C">
            <w:pPr>
              <w:spacing w:line="360" w:lineRule="auto"/>
              <w:jc w:val="left"/>
              <w:rPr>
                <w:color w:val="auto"/>
                <w:highlight w:val="none"/>
              </w:rPr>
            </w:pPr>
          </w:p>
        </w:tc>
        <w:tc>
          <w:tcPr>
            <w:tcW w:w="1460" w:type="pct"/>
          </w:tcPr>
          <w:p w14:paraId="774C480D">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63243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14:paraId="170E2691">
            <w:pPr>
              <w:spacing w:line="360" w:lineRule="auto"/>
              <w:jc w:val="center"/>
              <w:rPr>
                <w:color w:val="auto"/>
                <w:highlight w:val="none"/>
              </w:rPr>
            </w:pPr>
            <w:r>
              <w:rPr>
                <w:color w:val="auto"/>
                <w:highlight w:val="none"/>
              </w:rPr>
              <w:t>15</w:t>
            </w:r>
          </w:p>
        </w:tc>
        <w:tc>
          <w:tcPr>
            <w:tcW w:w="702" w:type="pct"/>
            <w:vMerge w:val="restart"/>
            <w:tcBorders>
              <w:bottom w:val="nil"/>
            </w:tcBorders>
          </w:tcPr>
          <w:p w14:paraId="1BAB69EB">
            <w:pPr>
              <w:spacing w:line="360" w:lineRule="auto"/>
              <w:jc w:val="center"/>
              <w:rPr>
                <w:color w:val="auto"/>
                <w:highlight w:val="none"/>
              </w:rPr>
            </w:pPr>
            <w:r>
              <w:rPr>
                <w:color w:val="auto"/>
                <w:highlight w:val="none"/>
              </w:rPr>
              <w:t xml:space="preserve">A020910 </w:t>
            </w:r>
            <w:r>
              <w:rPr>
                <w:rFonts w:hint="eastAsia"/>
                <w:color w:val="auto"/>
                <w:highlight w:val="none"/>
              </w:rPr>
              <w:t>电视设</w:t>
            </w:r>
            <w:r>
              <w:rPr>
                <w:color w:val="auto"/>
                <w:highlight w:val="none"/>
              </w:rPr>
              <w:t xml:space="preserve"> </w:t>
            </w:r>
            <w:r>
              <w:rPr>
                <w:rFonts w:hint="eastAsia"/>
                <w:color w:val="auto"/>
                <w:highlight w:val="none"/>
              </w:rPr>
              <w:t>备</w:t>
            </w:r>
          </w:p>
        </w:tc>
        <w:tc>
          <w:tcPr>
            <w:tcW w:w="1413" w:type="pct"/>
          </w:tcPr>
          <w:p w14:paraId="22DDE5BA">
            <w:pPr>
              <w:spacing w:line="360" w:lineRule="auto"/>
              <w:jc w:val="left"/>
              <w:rPr>
                <w:color w:val="auto"/>
                <w:highlight w:val="none"/>
              </w:rPr>
            </w:pPr>
            <w:r>
              <w:rPr>
                <w:color w:val="auto"/>
                <w:highlight w:val="none"/>
              </w:rPr>
              <w:t xml:space="preserve">A02091001 </w:t>
            </w:r>
            <w:r>
              <w:rPr>
                <w:rFonts w:hint="eastAsia"/>
                <w:color w:val="auto"/>
                <w:highlight w:val="none"/>
              </w:rPr>
              <w:t>普通电视设备（电视</w:t>
            </w:r>
            <w:r>
              <w:rPr>
                <w:color w:val="auto"/>
                <w:highlight w:val="none"/>
              </w:rPr>
              <w:t xml:space="preserve"> </w:t>
            </w:r>
            <w:r>
              <w:rPr>
                <w:rFonts w:hint="eastAsia"/>
                <w:color w:val="auto"/>
                <w:highlight w:val="none"/>
              </w:rPr>
              <w:t>机）</w:t>
            </w:r>
          </w:p>
        </w:tc>
        <w:tc>
          <w:tcPr>
            <w:tcW w:w="1002" w:type="pct"/>
          </w:tcPr>
          <w:p w14:paraId="443314D5">
            <w:pPr>
              <w:spacing w:line="360" w:lineRule="auto"/>
              <w:jc w:val="left"/>
              <w:rPr>
                <w:color w:val="auto"/>
                <w:highlight w:val="none"/>
              </w:rPr>
            </w:pPr>
          </w:p>
        </w:tc>
        <w:tc>
          <w:tcPr>
            <w:tcW w:w="1460" w:type="pct"/>
          </w:tcPr>
          <w:p w14:paraId="7D479B8F">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14:paraId="2E631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14:paraId="2345DF81">
            <w:pPr>
              <w:spacing w:line="360" w:lineRule="auto"/>
              <w:jc w:val="center"/>
              <w:rPr>
                <w:color w:val="auto"/>
                <w:highlight w:val="none"/>
              </w:rPr>
            </w:pPr>
          </w:p>
        </w:tc>
        <w:tc>
          <w:tcPr>
            <w:tcW w:w="702" w:type="pct"/>
            <w:vMerge w:val="continue"/>
            <w:tcBorders>
              <w:top w:val="nil"/>
            </w:tcBorders>
          </w:tcPr>
          <w:p w14:paraId="033DEE64">
            <w:pPr>
              <w:spacing w:line="360" w:lineRule="auto"/>
              <w:jc w:val="center"/>
              <w:rPr>
                <w:color w:val="auto"/>
                <w:highlight w:val="none"/>
              </w:rPr>
            </w:pPr>
          </w:p>
        </w:tc>
        <w:tc>
          <w:tcPr>
            <w:tcW w:w="1413" w:type="pct"/>
          </w:tcPr>
          <w:p w14:paraId="0842A87B">
            <w:pPr>
              <w:spacing w:line="360" w:lineRule="auto"/>
              <w:jc w:val="left"/>
              <w:rPr>
                <w:color w:val="auto"/>
                <w:highlight w:val="none"/>
              </w:rPr>
            </w:pPr>
            <w:r>
              <w:rPr>
                <w:color w:val="auto"/>
                <w:highlight w:val="none"/>
              </w:rPr>
              <w:t xml:space="preserve">A02091003 </w:t>
            </w:r>
            <w:r>
              <w:rPr>
                <w:rFonts w:hint="eastAsia"/>
                <w:color w:val="auto"/>
                <w:highlight w:val="none"/>
              </w:rPr>
              <w:t>特殊功能应用电视</w:t>
            </w:r>
            <w:r>
              <w:rPr>
                <w:color w:val="auto"/>
                <w:highlight w:val="none"/>
              </w:rPr>
              <w:t xml:space="preserve"> </w:t>
            </w:r>
            <w:r>
              <w:rPr>
                <w:rFonts w:hint="eastAsia"/>
                <w:color w:val="auto"/>
                <w:highlight w:val="none"/>
              </w:rPr>
              <w:t>设备</w:t>
            </w:r>
          </w:p>
        </w:tc>
        <w:tc>
          <w:tcPr>
            <w:tcW w:w="1002" w:type="pct"/>
          </w:tcPr>
          <w:p w14:paraId="0D8823B5">
            <w:pPr>
              <w:spacing w:line="360" w:lineRule="auto"/>
              <w:jc w:val="left"/>
              <w:rPr>
                <w:color w:val="auto"/>
                <w:highlight w:val="none"/>
              </w:rPr>
            </w:pPr>
          </w:p>
        </w:tc>
        <w:tc>
          <w:tcPr>
            <w:tcW w:w="1460" w:type="pct"/>
          </w:tcPr>
          <w:p w14:paraId="6EFBF93D">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14:paraId="63D8F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restart"/>
            <w:tcBorders>
              <w:bottom w:val="nil"/>
            </w:tcBorders>
          </w:tcPr>
          <w:p w14:paraId="123706DA">
            <w:pPr>
              <w:spacing w:line="360" w:lineRule="auto"/>
              <w:jc w:val="center"/>
              <w:rPr>
                <w:color w:val="auto"/>
                <w:highlight w:val="none"/>
              </w:rPr>
            </w:pPr>
            <w:r>
              <w:rPr>
                <w:color w:val="auto"/>
                <w:highlight w:val="none"/>
              </w:rPr>
              <w:t>16</w:t>
            </w:r>
          </w:p>
        </w:tc>
        <w:tc>
          <w:tcPr>
            <w:tcW w:w="702" w:type="pct"/>
            <w:vMerge w:val="restart"/>
            <w:tcBorders>
              <w:bottom w:val="nil"/>
            </w:tcBorders>
          </w:tcPr>
          <w:p w14:paraId="3FF5F3FF">
            <w:pPr>
              <w:spacing w:line="360" w:lineRule="auto"/>
              <w:jc w:val="center"/>
              <w:rPr>
                <w:color w:val="auto"/>
                <w:highlight w:val="none"/>
              </w:rPr>
            </w:pPr>
            <w:r>
              <w:rPr>
                <w:color w:val="auto"/>
                <w:highlight w:val="none"/>
              </w:rPr>
              <w:t xml:space="preserve">A0601 </w:t>
            </w:r>
            <w:r>
              <w:rPr>
                <w:rFonts w:hint="eastAsia"/>
                <w:color w:val="auto"/>
                <w:highlight w:val="none"/>
              </w:rPr>
              <w:t>床类</w:t>
            </w:r>
          </w:p>
        </w:tc>
        <w:tc>
          <w:tcPr>
            <w:tcW w:w="1413" w:type="pct"/>
          </w:tcPr>
          <w:p w14:paraId="5FC88037">
            <w:pPr>
              <w:spacing w:line="360" w:lineRule="auto"/>
              <w:jc w:val="left"/>
              <w:rPr>
                <w:color w:val="auto"/>
                <w:highlight w:val="none"/>
              </w:rPr>
            </w:pPr>
            <w:r>
              <w:rPr>
                <w:color w:val="auto"/>
                <w:highlight w:val="none"/>
              </w:rPr>
              <w:t xml:space="preserve">A060101 </w:t>
            </w:r>
            <w:r>
              <w:rPr>
                <w:rFonts w:hint="eastAsia"/>
                <w:color w:val="auto"/>
                <w:highlight w:val="none"/>
              </w:rPr>
              <w:t>钢木床类</w:t>
            </w:r>
          </w:p>
        </w:tc>
        <w:tc>
          <w:tcPr>
            <w:tcW w:w="1002" w:type="pct"/>
          </w:tcPr>
          <w:p w14:paraId="7E5B67BC">
            <w:pPr>
              <w:spacing w:line="360" w:lineRule="auto"/>
              <w:jc w:val="left"/>
              <w:rPr>
                <w:color w:val="auto"/>
                <w:highlight w:val="none"/>
              </w:rPr>
            </w:pPr>
          </w:p>
        </w:tc>
        <w:tc>
          <w:tcPr>
            <w:tcW w:w="1460" w:type="pct"/>
          </w:tcPr>
          <w:p w14:paraId="105474B7">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1F9BB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21" w:type="pct"/>
            <w:vMerge w:val="continue"/>
            <w:tcBorders>
              <w:top w:val="nil"/>
              <w:bottom w:val="nil"/>
            </w:tcBorders>
          </w:tcPr>
          <w:p w14:paraId="54B9308E">
            <w:pPr>
              <w:spacing w:line="360" w:lineRule="auto"/>
              <w:jc w:val="center"/>
              <w:rPr>
                <w:color w:val="auto"/>
                <w:highlight w:val="none"/>
              </w:rPr>
            </w:pPr>
          </w:p>
        </w:tc>
        <w:tc>
          <w:tcPr>
            <w:tcW w:w="702" w:type="pct"/>
            <w:vMerge w:val="continue"/>
            <w:tcBorders>
              <w:top w:val="nil"/>
              <w:bottom w:val="nil"/>
            </w:tcBorders>
          </w:tcPr>
          <w:p w14:paraId="64E37C94">
            <w:pPr>
              <w:spacing w:line="360" w:lineRule="auto"/>
              <w:jc w:val="center"/>
              <w:rPr>
                <w:color w:val="auto"/>
                <w:highlight w:val="none"/>
              </w:rPr>
            </w:pPr>
          </w:p>
        </w:tc>
        <w:tc>
          <w:tcPr>
            <w:tcW w:w="1413" w:type="pct"/>
          </w:tcPr>
          <w:p w14:paraId="0010F171">
            <w:pPr>
              <w:spacing w:line="360" w:lineRule="auto"/>
              <w:jc w:val="left"/>
              <w:rPr>
                <w:color w:val="auto"/>
                <w:highlight w:val="none"/>
              </w:rPr>
            </w:pPr>
            <w:r>
              <w:rPr>
                <w:color w:val="auto"/>
                <w:highlight w:val="none"/>
              </w:rPr>
              <w:t xml:space="preserve">A060104 </w:t>
            </w:r>
            <w:r>
              <w:rPr>
                <w:rFonts w:hint="eastAsia"/>
                <w:color w:val="auto"/>
                <w:highlight w:val="none"/>
              </w:rPr>
              <w:t>木制床类</w:t>
            </w:r>
          </w:p>
        </w:tc>
        <w:tc>
          <w:tcPr>
            <w:tcW w:w="1002" w:type="pct"/>
          </w:tcPr>
          <w:p w14:paraId="6A3CBF80">
            <w:pPr>
              <w:spacing w:line="360" w:lineRule="auto"/>
              <w:jc w:val="left"/>
              <w:rPr>
                <w:color w:val="auto"/>
                <w:highlight w:val="none"/>
              </w:rPr>
            </w:pPr>
          </w:p>
        </w:tc>
        <w:tc>
          <w:tcPr>
            <w:tcW w:w="1460" w:type="pct"/>
          </w:tcPr>
          <w:p w14:paraId="3730BFD5">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1622C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54006D8E">
            <w:pPr>
              <w:spacing w:line="360" w:lineRule="auto"/>
              <w:jc w:val="center"/>
              <w:rPr>
                <w:color w:val="auto"/>
                <w:highlight w:val="none"/>
              </w:rPr>
            </w:pPr>
          </w:p>
        </w:tc>
        <w:tc>
          <w:tcPr>
            <w:tcW w:w="702" w:type="pct"/>
            <w:vMerge w:val="continue"/>
            <w:tcBorders>
              <w:top w:val="nil"/>
            </w:tcBorders>
          </w:tcPr>
          <w:p w14:paraId="5DEA0125">
            <w:pPr>
              <w:spacing w:line="360" w:lineRule="auto"/>
              <w:jc w:val="center"/>
              <w:rPr>
                <w:color w:val="auto"/>
                <w:highlight w:val="none"/>
              </w:rPr>
            </w:pPr>
          </w:p>
        </w:tc>
        <w:tc>
          <w:tcPr>
            <w:tcW w:w="1413" w:type="pct"/>
          </w:tcPr>
          <w:p w14:paraId="0E9BBDC5">
            <w:pPr>
              <w:spacing w:line="360" w:lineRule="auto"/>
              <w:jc w:val="left"/>
              <w:rPr>
                <w:color w:val="auto"/>
                <w:highlight w:val="none"/>
              </w:rPr>
            </w:pPr>
            <w:r>
              <w:rPr>
                <w:color w:val="auto"/>
                <w:highlight w:val="none"/>
              </w:rPr>
              <w:t xml:space="preserve">A060199 </w:t>
            </w:r>
            <w:r>
              <w:rPr>
                <w:rFonts w:hint="eastAsia"/>
                <w:color w:val="auto"/>
                <w:highlight w:val="none"/>
              </w:rPr>
              <w:t>其他床类</w:t>
            </w:r>
          </w:p>
        </w:tc>
        <w:tc>
          <w:tcPr>
            <w:tcW w:w="1002" w:type="pct"/>
          </w:tcPr>
          <w:p w14:paraId="05C4DAF3">
            <w:pPr>
              <w:spacing w:line="360" w:lineRule="auto"/>
              <w:jc w:val="left"/>
              <w:rPr>
                <w:color w:val="auto"/>
                <w:highlight w:val="none"/>
              </w:rPr>
            </w:pPr>
          </w:p>
        </w:tc>
        <w:tc>
          <w:tcPr>
            <w:tcW w:w="1460" w:type="pct"/>
          </w:tcPr>
          <w:p w14:paraId="1CB79252">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5E831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23D27CAA">
            <w:pPr>
              <w:spacing w:line="360" w:lineRule="auto"/>
              <w:jc w:val="center"/>
              <w:rPr>
                <w:color w:val="auto"/>
                <w:highlight w:val="none"/>
              </w:rPr>
            </w:pPr>
            <w:r>
              <w:rPr>
                <w:color w:val="auto"/>
                <w:highlight w:val="none"/>
              </w:rPr>
              <w:t>17</w:t>
            </w:r>
          </w:p>
        </w:tc>
        <w:tc>
          <w:tcPr>
            <w:tcW w:w="702" w:type="pct"/>
            <w:vMerge w:val="restart"/>
            <w:tcBorders>
              <w:bottom w:val="nil"/>
            </w:tcBorders>
          </w:tcPr>
          <w:p w14:paraId="3218CFB7">
            <w:pPr>
              <w:spacing w:line="360" w:lineRule="auto"/>
              <w:jc w:val="center"/>
              <w:rPr>
                <w:color w:val="auto"/>
                <w:highlight w:val="none"/>
              </w:rPr>
            </w:pPr>
            <w:r>
              <w:rPr>
                <w:color w:val="auto"/>
                <w:highlight w:val="none"/>
              </w:rPr>
              <w:t xml:space="preserve">A0602 </w:t>
            </w:r>
            <w:r>
              <w:rPr>
                <w:rFonts w:hint="eastAsia"/>
                <w:color w:val="auto"/>
                <w:highlight w:val="none"/>
              </w:rPr>
              <w:t>台、桌类</w:t>
            </w:r>
          </w:p>
        </w:tc>
        <w:tc>
          <w:tcPr>
            <w:tcW w:w="1413" w:type="pct"/>
          </w:tcPr>
          <w:p w14:paraId="5EC5ACB4">
            <w:pPr>
              <w:spacing w:line="360" w:lineRule="auto"/>
              <w:jc w:val="left"/>
              <w:rPr>
                <w:color w:val="auto"/>
                <w:highlight w:val="none"/>
              </w:rPr>
            </w:pPr>
            <w:r>
              <w:rPr>
                <w:color w:val="auto"/>
                <w:highlight w:val="none"/>
              </w:rPr>
              <w:t xml:space="preserve">A060201 </w:t>
            </w:r>
            <w:r>
              <w:rPr>
                <w:rFonts w:hint="eastAsia"/>
                <w:color w:val="auto"/>
                <w:highlight w:val="none"/>
              </w:rPr>
              <w:t>钢木台、桌类</w:t>
            </w:r>
          </w:p>
        </w:tc>
        <w:tc>
          <w:tcPr>
            <w:tcW w:w="1002" w:type="pct"/>
          </w:tcPr>
          <w:p w14:paraId="5B633BA9">
            <w:pPr>
              <w:spacing w:line="360" w:lineRule="auto"/>
              <w:jc w:val="left"/>
              <w:rPr>
                <w:color w:val="auto"/>
                <w:highlight w:val="none"/>
              </w:rPr>
            </w:pPr>
          </w:p>
        </w:tc>
        <w:tc>
          <w:tcPr>
            <w:tcW w:w="1460" w:type="pct"/>
          </w:tcPr>
          <w:p w14:paraId="5A007949">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17FA4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14:paraId="2BE1980D">
            <w:pPr>
              <w:spacing w:line="360" w:lineRule="auto"/>
              <w:jc w:val="center"/>
              <w:rPr>
                <w:color w:val="auto"/>
                <w:highlight w:val="none"/>
              </w:rPr>
            </w:pPr>
          </w:p>
        </w:tc>
        <w:tc>
          <w:tcPr>
            <w:tcW w:w="702" w:type="pct"/>
            <w:vMerge w:val="continue"/>
            <w:tcBorders>
              <w:top w:val="nil"/>
              <w:bottom w:val="nil"/>
            </w:tcBorders>
          </w:tcPr>
          <w:p w14:paraId="7BE6A7FF">
            <w:pPr>
              <w:spacing w:line="360" w:lineRule="auto"/>
              <w:jc w:val="center"/>
              <w:rPr>
                <w:color w:val="auto"/>
                <w:highlight w:val="none"/>
              </w:rPr>
            </w:pPr>
          </w:p>
        </w:tc>
        <w:tc>
          <w:tcPr>
            <w:tcW w:w="1413" w:type="pct"/>
          </w:tcPr>
          <w:p w14:paraId="350EAD89">
            <w:pPr>
              <w:spacing w:line="360" w:lineRule="auto"/>
              <w:jc w:val="left"/>
              <w:rPr>
                <w:color w:val="auto"/>
                <w:highlight w:val="none"/>
              </w:rPr>
            </w:pPr>
            <w:r>
              <w:rPr>
                <w:color w:val="auto"/>
                <w:highlight w:val="none"/>
              </w:rPr>
              <w:t xml:space="preserve">A060205 </w:t>
            </w:r>
            <w:r>
              <w:rPr>
                <w:rFonts w:hint="eastAsia"/>
                <w:color w:val="auto"/>
                <w:highlight w:val="none"/>
              </w:rPr>
              <w:t>木制台、桌类</w:t>
            </w:r>
          </w:p>
        </w:tc>
        <w:tc>
          <w:tcPr>
            <w:tcW w:w="1002" w:type="pct"/>
          </w:tcPr>
          <w:p w14:paraId="1D885F2D">
            <w:pPr>
              <w:spacing w:line="360" w:lineRule="auto"/>
              <w:jc w:val="left"/>
              <w:rPr>
                <w:color w:val="auto"/>
                <w:highlight w:val="none"/>
              </w:rPr>
            </w:pPr>
          </w:p>
        </w:tc>
        <w:tc>
          <w:tcPr>
            <w:tcW w:w="1460" w:type="pct"/>
          </w:tcPr>
          <w:p w14:paraId="66B97D8C">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0D179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378481FF">
            <w:pPr>
              <w:spacing w:line="360" w:lineRule="auto"/>
              <w:jc w:val="center"/>
              <w:rPr>
                <w:color w:val="auto"/>
                <w:highlight w:val="none"/>
              </w:rPr>
            </w:pPr>
          </w:p>
        </w:tc>
        <w:tc>
          <w:tcPr>
            <w:tcW w:w="702" w:type="pct"/>
            <w:vMerge w:val="continue"/>
            <w:tcBorders>
              <w:top w:val="nil"/>
            </w:tcBorders>
          </w:tcPr>
          <w:p w14:paraId="299F8412">
            <w:pPr>
              <w:spacing w:line="360" w:lineRule="auto"/>
              <w:jc w:val="center"/>
              <w:rPr>
                <w:color w:val="auto"/>
                <w:highlight w:val="none"/>
              </w:rPr>
            </w:pPr>
          </w:p>
        </w:tc>
        <w:tc>
          <w:tcPr>
            <w:tcW w:w="1413" w:type="pct"/>
          </w:tcPr>
          <w:p w14:paraId="0C8CE838">
            <w:pPr>
              <w:spacing w:line="360" w:lineRule="auto"/>
              <w:jc w:val="left"/>
              <w:rPr>
                <w:color w:val="auto"/>
                <w:highlight w:val="none"/>
              </w:rPr>
            </w:pPr>
            <w:r>
              <w:rPr>
                <w:color w:val="auto"/>
                <w:highlight w:val="none"/>
              </w:rPr>
              <w:t xml:space="preserve">A060299 </w:t>
            </w:r>
            <w:r>
              <w:rPr>
                <w:rFonts w:hint="eastAsia"/>
                <w:color w:val="auto"/>
                <w:highlight w:val="none"/>
              </w:rPr>
              <w:t>其他台、桌类</w:t>
            </w:r>
          </w:p>
        </w:tc>
        <w:tc>
          <w:tcPr>
            <w:tcW w:w="1002" w:type="pct"/>
          </w:tcPr>
          <w:p w14:paraId="43F7AB29">
            <w:pPr>
              <w:spacing w:line="360" w:lineRule="auto"/>
              <w:jc w:val="left"/>
              <w:rPr>
                <w:color w:val="auto"/>
                <w:highlight w:val="none"/>
              </w:rPr>
            </w:pPr>
          </w:p>
        </w:tc>
        <w:tc>
          <w:tcPr>
            <w:tcW w:w="1460" w:type="pct"/>
          </w:tcPr>
          <w:p w14:paraId="43CC3F88">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1C2C9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09995A7F">
            <w:pPr>
              <w:spacing w:line="360" w:lineRule="auto"/>
              <w:jc w:val="center"/>
              <w:rPr>
                <w:color w:val="auto"/>
                <w:highlight w:val="none"/>
              </w:rPr>
            </w:pPr>
            <w:r>
              <w:rPr>
                <w:color w:val="auto"/>
                <w:highlight w:val="none"/>
              </w:rPr>
              <w:t>18</w:t>
            </w:r>
          </w:p>
        </w:tc>
        <w:tc>
          <w:tcPr>
            <w:tcW w:w="702" w:type="pct"/>
            <w:vMerge w:val="restart"/>
            <w:tcBorders>
              <w:bottom w:val="nil"/>
            </w:tcBorders>
          </w:tcPr>
          <w:p w14:paraId="1E048DAD">
            <w:pPr>
              <w:spacing w:line="360" w:lineRule="auto"/>
              <w:jc w:val="center"/>
              <w:rPr>
                <w:color w:val="auto"/>
                <w:highlight w:val="none"/>
              </w:rPr>
            </w:pPr>
            <w:r>
              <w:rPr>
                <w:color w:val="auto"/>
                <w:highlight w:val="none"/>
              </w:rPr>
              <w:t xml:space="preserve">A0603 </w:t>
            </w:r>
            <w:r>
              <w:rPr>
                <w:rFonts w:hint="eastAsia"/>
                <w:color w:val="auto"/>
                <w:highlight w:val="none"/>
              </w:rPr>
              <w:t>椅凳类</w:t>
            </w:r>
          </w:p>
        </w:tc>
        <w:tc>
          <w:tcPr>
            <w:tcW w:w="1413" w:type="pct"/>
          </w:tcPr>
          <w:p w14:paraId="27724D96">
            <w:pPr>
              <w:spacing w:line="360" w:lineRule="auto"/>
              <w:jc w:val="left"/>
              <w:rPr>
                <w:color w:val="auto"/>
                <w:highlight w:val="none"/>
              </w:rPr>
            </w:pPr>
            <w:r>
              <w:rPr>
                <w:color w:val="auto"/>
                <w:highlight w:val="none"/>
              </w:rPr>
              <w:t xml:space="preserve">A060301 </w:t>
            </w:r>
            <w:r>
              <w:rPr>
                <w:rFonts w:hint="eastAsia"/>
                <w:color w:val="auto"/>
                <w:highlight w:val="none"/>
              </w:rPr>
              <w:t>金属骨架为主的椅凳类</w:t>
            </w:r>
          </w:p>
        </w:tc>
        <w:tc>
          <w:tcPr>
            <w:tcW w:w="1002" w:type="pct"/>
          </w:tcPr>
          <w:p w14:paraId="6D343CFB">
            <w:pPr>
              <w:spacing w:line="360" w:lineRule="auto"/>
              <w:jc w:val="left"/>
              <w:rPr>
                <w:color w:val="auto"/>
                <w:highlight w:val="none"/>
              </w:rPr>
            </w:pPr>
          </w:p>
        </w:tc>
        <w:tc>
          <w:tcPr>
            <w:tcW w:w="1460" w:type="pct"/>
          </w:tcPr>
          <w:p w14:paraId="160B6C19">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75926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14:paraId="549A011D">
            <w:pPr>
              <w:spacing w:line="360" w:lineRule="auto"/>
              <w:jc w:val="center"/>
              <w:rPr>
                <w:color w:val="auto"/>
                <w:highlight w:val="none"/>
              </w:rPr>
            </w:pPr>
          </w:p>
        </w:tc>
        <w:tc>
          <w:tcPr>
            <w:tcW w:w="702" w:type="pct"/>
            <w:vMerge w:val="continue"/>
            <w:tcBorders>
              <w:top w:val="nil"/>
              <w:bottom w:val="nil"/>
            </w:tcBorders>
          </w:tcPr>
          <w:p w14:paraId="57F124F6">
            <w:pPr>
              <w:spacing w:line="360" w:lineRule="auto"/>
              <w:jc w:val="center"/>
              <w:rPr>
                <w:color w:val="auto"/>
                <w:highlight w:val="none"/>
              </w:rPr>
            </w:pPr>
          </w:p>
        </w:tc>
        <w:tc>
          <w:tcPr>
            <w:tcW w:w="1413" w:type="pct"/>
          </w:tcPr>
          <w:p w14:paraId="6730476D">
            <w:pPr>
              <w:spacing w:line="360" w:lineRule="auto"/>
              <w:jc w:val="left"/>
              <w:rPr>
                <w:color w:val="auto"/>
                <w:highlight w:val="none"/>
              </w:rPr>
            </w:pPr>
            <w:r>
              <w:rPr>
                <w:color w:val="auto"/>
                <w:highlight w:val="none"/>
              </w:rPr>
              <w:t xml:space="preserve">A060302 </w:t>
            </w:r>
            <w:r>
              <w:rPr>
                <w:rFonts w:hint="eastAsia"/>
                <w:color w:val="auto"/>
                <w:highlight w:val="none"/>
              </w:rPr>
              <w:t>木骨架为主的椅凳类</w:t>
            </w:r>
          </w:p>
        </w:tc>
        <w:tc>
          <w:tcPr>
            <w:tcW w:w="1002" w:type="pct"/>
          </w:tcPr>
          <w:p w14:paraId="37D53511">
            <w:pPr>
              <w:spacing w:line="360" w:lineRule="auto"/>
              <w:jc w:val="left"/>
              <w:rPr>
                <w:color w:val="auto"/>
                <w:highlight w:val="none"/>
              </w:rPr>
            </w:pPr>
          </w:p>
        </w:tc>
        <w:tc>
          <w:tcPr>
            <w:tcW w:w="1460" w:type="pct"/>
          </w:tcPr>
          <w:p w14:paraId="681933E8">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75A40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707166C6">
            <w:pPr>
              <w:spacing w:line="360" w:lineRule="auto"/>
              <w:jc w:val="center"/>
              <w:rPr>
                <w:color w:val="auto"/>
                <w:highlight w:val="none"/>
              </w:rPr>
            </w:pPr>
          </w:p>
        </w:tc>
        <w:tc>
          <w:tcPr>
            <w:tcW w:w="702" w:type="pct"/>
            <w:vMerge w:val="continue"/>
            <w:tcBorders>
              <w:top w:val="nil"/>
            </w:tcBorders>
          </w:tcPr>
          <w:p w14:paraId="1FCEFD34">
            <w:pPr>
              <w:spacing w:line="360" w:lineRule="auto"/>
              <w:jc w:val="center"/>
              <w:rPr>
                <w:color w:val="auto"/>
                <w:highlight w:val="none"/>
              </w:rPr>
            </w:pPr>
          </w:p>
        </w:tc>
        <w:tc>
          <w:tcPr>
            <w:tcW w:w="1413" w:type="pct"/>
          </w:tcPr>
          <w:p w14:paraId="04D024B8">
            <w:pPr>
              <w:spacing w:line="360" w:lineRule="auto"/>
              <w:jc w:val="left"/>
              <w:rPr>
                <w:color w:val="auto"/>
                <w:highlight w:val="none"/>
              </w:rPr>
            </w:pPr>
            <w:r>
              <w:rPr>
                <w:color w:val="auto"/>
                <w:highlight w:val="none"/>
              </w:rPr>
              <w:t xml:space="preserve">A060399 </w:t>
            </w:r>
            <w:r>
              <w:rPr>
                <w:rFonts w:hint="eastAsia"/>
                <w:color w:val="auto"/>
                <w:highlight w:val="none"/>
              </w:rPr>
              <w:t>其他椅凳类</w:t>
            </w:r>
          </w:p>
        </w:tc>
        <w:tc>
          <w:tcPr>
            <w:tcW w:w="1002" w:type="pct"/>
          </w:tcPr>
          <w:p w14:paraId="4B33D462">
            <w:pPr>
              <w:spacing w:line="360" w:lineRule="auto"/>
              <w:jc w:val="left"/>
              <w:rPr>
                <w:color w:val="auto"/>
                <w:highlight w:val="none"/>
              </w:rPr>
            </w:pPr>
          </w:p>
        </w:tc>
        <w:tc>
          <w:tcPr>
            <w:tcW w:w="1460" w:type="pct"/>
          </w:tcPr>
          <w:p w14:paraId="3D0E43EB">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661C8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14:paraId="4D83AB88">
            <w:pPr>
              <w:spacing w:line="360" w:lineRule="auto"/>
              <w:jc w:val="center"/>
              <w:rPr>
                <w:color w:val="auto"/>
                <w:highlight w:val="none"/>
              </w:rPr>
            </w:pPr>
            <w:r>
              <w:rPr>
                <w:color w:val="auto"/>
                <w:highlight w:val="none"/>
              </w:rPr>
              <w:t>19</w:t>
            </w:r>
          </w:p>
        </w:tc>
        <w:tc>
          <w:tcPr>
            <w:tcW w:w="702" w:type="pct"/>
          </w:tcPr>
          <w:p w14:paraId="4B3CB741">
            <w:pPr>
              <w:spacing w:line="360" w:lineRule="auto"/>
              <w:jc w:val="center"/>
              <w:rPr>
                <w:color w:val="auto"/>
                <w:highlight w:val="none"/>
              </w:rPr>
            </w:pPr>
            <w:r>
              <w:rPr>
                <w:color w:val="auto"/>
                <w:highlight w:val="none"/>
              </w:rPr>
              <w:t xml:space="preserve">A0604 </w:t>
            </w:r>
            <w:r>
              <w:rPr>
                <w:rFonts w:hint="eastAsia"/>
                <w:color w:val="auto"/>
                <w:highlight w:val="none"/>
              </w:rPr>
              <w:t>沙发类</w:t>
            </w:r>
          </w:p>
        </w:tc>
        <w:tc>
          <w:tcPr>
            <w:tcW w:w="1413" w:type="pct"/>
          </w:tcPr>
          <w:p w14:paraId="338EA5FA">
            <w:pPr>
              <w:spacing w:line="360" w:lineRule="auto"/>
              <w:jc w:val="left"/>
              <w:rPr>
                <w:color w:val="auto"/>
                <w:highlight w:val="none"/>
              </w:rPr>
            </w:pPr>
            <w:r>
              <w:rPr>
                <w:color w:val="auto"/>
                <w:highlight w:val="none"/>
              </w:rPr>
              <w:t xml:space="preserve">A060499 </w:t>
            </w:r>
            <w:r>
              <w:rPr>
                <w:rFonts w:hint="eastAsia"/>
                <w:color w:val="auto"/>
                <w:highlight w:val="none"/>
              </w:rPr>
              <w:t>其他沙发类</w:t>
            </w:r>
          </w:p>
        </w:tc>
        <w:tc>
          <w:tcPr>
            <w:tcW w:w="1002" w:type="pct"/>
          </w:tcPr>
          <w:p w14:paraId="029E2553">
            <w:pPr>
              <w:spacing w:line="360" w:lineRule="auto"/>
              <w:jc w:val="left"/>
              <w:rPr>
                <w:color w:val="auto"/>
                <w:highlight w:val="none"/>
              </w:rPr>
            </w:pPr>
          </w:p>
        </w:tc>
        <w:tc>
          <w:tcPr>
            <w:tcW w:w="1460" w:type="pct"/>
          </w:tcPr>
          <w:p w14:paraId="4626831D">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7501C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19844E01">
            <w:pPr>
              <w:spacing w:line="360" w:lineRule="auto"/>
              <w:jc w:val="center"/>
              <w:rPr>
                <w:color w:val="auto"/>
                <w:highlight w:val="none"/>
              </w:rPr>
            </w:pPr>
            <w:r>
              <w:rPr>
                <w:color w:val="auto"/>
                <w:highlight w:val="none"/>
              </w:rPr>
              <w:t>20</w:t>
            </w:r>
          </w:p>
        </w:tc>
        <w:tc>
          <w:tcPr>
            <w:tcW w:w="702" w:type="pct"/>
            <w:vMerge w:val="restart"/>
            <w:tcBorders>
              <w:bottom w:val="nil"/>
            </w:tcBorders>
          </w:tcPr>
          <w:p w14:paraId="1DE78B92">
            <w:pPr>
              <w:spacing w:line="360" w:lineRule="auto"/>
              <w:jc w:val="center"/>
              <w:rPr>
                <w:color w:val="auto"/>
                <w:highlight w:val="none"/>
              </w:rPr>
            </w:pPr>
            <w:r>
              <w:rPr>
                <w:color w:val="auto"/>
                <w:highlight w:val="none"/>
              </w:rPr>
              <w:t xml:space="preserve">A0605 </w:t>
            </w:r>
            <w:r>
              <w:rPr>
                <w:rFonts w:hint="eastAsia"/>
                <w:color w:val="auto"/>
                <w:highlight w:val="none"/>
              </w:rPr>
              <w:t>柜类</w:t>
            </w:r>
          </w:p>
        </w:tc>
        <w:tc>
          <w:tcPr>
            <w:tcW w:w="1413" w:type="pct"/>
          </w:tcPr>
          <w:p w14:paraId="249AEE94">
            <w:pPr>
              <w:spacing w:line="360" w:lineRule="auto"/>
              <w:jc w:val="left"/>
              <w:rPr>
                <w:color w:val="auto"/>
                <w:highlight w:val="none"/>
              </w:rPr>
            </w:pPr>
            <w:r>
              <w:rPr>
                <w:color w:val="auto"/>
                <w:highlight w:val="none"/>
              </w:rPr>
              <w:t xml:space="preserve">A060501 </w:t>
            </w:r>
            <w:r>
              <w:rPr>
                <w:rFonts w:hint="eastAsia"/>
                <w:color w:val="auto"/>
                <w:highlight w:val="none"/>
              </w:rPr>
              <w:t>木质柜类</w:t>
            </w:r>
          </w:p>
        </w:tc>
        <w:tc>
          <w:tcPr>
            <w:tcW w:w="1002" w:type="pct"/>
          </w:tcPr>
          <w:p w14:paraId="5E94182F">
            <w:pPr>
              <w:spacing w:line="360" w:lineRule="auto"/>
              <w:jc w:val="left"/>
              <w:rPr>
                <w:color w:val="auto"/>
                <w:highlight w:val="none"/>
              </w:rPr>
            </w:pPr>
          </w:p>
        </w:tc>
        <w:tc>
          <w:tcPr>
            <w:tcW w:w="1460" w:type="pct"/>
          </w:tcPr>
          <w:p w14:paraId="649628F1">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4084D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7C0BA8BF">
            <w:pPr>
              <w:spacing w:line="360" w:lineRule="auto"/>
              <w:jc w:val="center"/>
              <w:rPr>
                <w:color w:val="auto"/>
                <w:highlight w:val="none"/>
              </w:rPr>
            </w:pPr>
          </w:p>
        </w:tc>
        <w:tc>
          <w:tcPr>
            <w:tcW w:w="702" w:type="pct"/>
            <w:vMerge w:val="continue"/>
            <w:tcBorders>
              <w:top w:val="nil"/>
              <w:bottom w:val="nil"/>
            </w:tcBorders>
          </w:tcPr>
          <w:p w14:paraId="12E27887">
            <w:pPr>
              <w:spacing w:line="360" w:lineRule="auto"/>
              <w:jc w:val="center"/>
              <w:rPr>
                <w:color w:val="auto"/>
                <w:highlight w:val="none"/>
              </w:rPr>
            </w:pPr>
          </w:p>
        </w:tc>
        <w:tc>
          <w:tcPr>
            <w:tcW w:w="1413" w:type="pct"/>
          </w:tcPr>
          <w:p w14:paraId="0B63AF88">
            <w:pPr>
              <w:spacing w:line="360" w:lineRule="auto"/>
              <w:jc w:val="left"/>
              <w:rPr>
                <w:color w:val="auto"/>
                <w:highlight w:val="none"/>
              </w:rPr>
            </w:pPr>
            <w:r>
              <w:rPr>
                <w:color w:val="auto"/>
                <w:highlight w:val="none"/>
              </w:rPr>
              <w:t xml:space="preserve">A060503 </w:t>
            </w:r>
            <w:r>
              <w:rPr>
                <w:rFonts w:hint="eastAsia"/>
                <w:color w:val="auto"/>
                <w:highlight w:val="none"/>
              </w:rPr>
              <w:t>金属质柜类</w:t>
            </w:r>
          </w:p>
        </w:tc>
        <w:tc>
          <w:tcPr>
            <w:tcW w:w="1002" w:type="pct"/>
          </w:tcPr>
          <w:p w14:paraId="733E146B">
            <w:pPr>
              <w:spacing w:line="360" w:lineRule="auto"/>
              <w:jc w:val="left"/>
              <w:rPr>
                <w:color w:val="auto"/>
                <w:highlight w:val="none"/>
              </w:rPr>
            </w:pPr>
          </w:p>
        </w:tc>
        <w:tc>
          <w:tcPr>
            <w:tcW w:w="1460" w:type="pct"/>
          </w:tcPr>
          <w:p w14:paraId="3F899914">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1B2C8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7C3F593F">
            <w:pPr>
              <w:spacing w:line="360" w:lineRule="auto"/>
              <w:jc w:val="center"/>
              <w:rPr>
                <w:color w:val="auto"/>
                <w:highlight w:val="none"/>
              </w:rPr>
            </w:pPr>
          </w:p>
        </w:tc>
        <w:tc>
          <w:tcPr>
            <w:tcW w:w="702" w:type="pct"/>
            <w:vMerge w:val="continue"/>
            <w:tcBorders>
              <w:top w:val="nil"/>
            </w:tcBorders>
          </w:tcPr>
          <w:p w14:paraId="0D08C5D1">
            <w:pPr>
              <w:spacing w:line="360" w:lineRule="auto"/>
              <w:jc w:val="center"/>
              <w:rPr>
                <w:color w:val="auto"/>
                <w:highlight w:val="none"/>
              </w:rPr>
            </w:pPr>
          </w:p>
        </w:tc>
        <w:tc>
          <w:tcPr>
            <w:tcW w:w="1413" w:type="pct"/>
          </w:tcPr>
          <w:p w14:paraId="1AE75848">
            <w:pPr>
              <w:spacing w:line="360" w:lineRule="auto"/>
              <w:jc w:val="left"/>
              <w:rPr>
                <w:color w:val="auto"/>
                <w:highlight w:val="none"/>
              </w:rPr>
            </w:pPr>
            <w:r>
              <w:rPr>
                <w:color w:val="auto"/>
                <w:highlight w:val="none"/>
              </w:rPr>
              <w:t xml:space="preserve">A060599 </w:t>
            </w:r>
            <w:r>
              <w:rPr>
                <w:rFonts w:hint="eastAsia"/>
                <w:color w:val="auto"/>
                <w:highlight w:val="none"/>
              </w:rPr>
              <w:t>其他柜类</w:t>
            </w:r>
          </w:p>
        </w:tc>
        <w:tc>
          <w:tcPr>
            <w:tcW w:w="1002" w:type="pct"/>
          </w:tcPr>
          <w:p w14:paraId="7FFA0E2D">
            <w:pPr>
              <w:spacing w:line="360" w:lineRule="auto"/>
              <w:jc w:val="left"/>
              <w:rPr>
                <w:color w:val="auto"/>
                <w:highlight w:val="none"/>
              </w:rPr>
            </w:pPr>
          </w:p>
        </w:tc>
        <w:tc>
          <w:tcPr>
            <w:tcW w:w="1460" w:type="pct"/>
          </w:tcPr>
          <w:p w14:paraId="5318BD6B">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00356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48F0F9AA">
            <w:pPr>
              <w:spacing w:line="360" w:lineRule="auto"/>
              <w:jc w:val="center"/>
              <w:rPr>
                <w:color w:val="auto"/>
                <w:highlight w:val="none"/>
              </w:rPr>
            </w:pPr>
            <w:r>
              <w:rPr>
                <w:color w:val="auto"/>
                <w:highlight w:val="none"/>
              </w:rPr>
              <w:t>21</w:t>
            </w:r>
          </w:p>
        </w:tc>
        <w:tc>
          <w:tcPr>
            <w:tcW w:w="702" w:type="pct"/>
            <w:vMerge w:val="restart"/>
            <w:tcBorders>
              <w:bottom w:val="nil"/>
            </w:tcBorders>
          </w:tcPr>
          <w:p w14:paraId="57333D3C">
            <w:pPr>
              <w:spacing w:line="360" w:lineRule="auto"/>
              <w:jc w:val="center"/>
              <w:rPr>
                <w:color w:val="auto"/>
                <w:highlight w:val="none"/>
              </w:rPr>
            </w:pPr>
            <w:r>
              <w:rPr>
                <w:color w:val="auto"/>
                <w:highlight w:val="none"/>
              </w:rPr>
              <w:t xml:space="preserve">A0606 </w:t>
            </w:r>
            <w:r>
              <w:rPr>
                <w:rFonts w:hint="eastAsia"/>
                <w:color w:val="auto"/>
                <w:highlight w:val="none"/>
              </w:rPr>
              <w:t>架类</w:t>
            </w:r>
          </w:p>
        </w:tc>
        <w:tc>
          <w:tcPr>
            <w:tcW w:w="1413" w:type="pct"/>
          </w:tcPr>
          <w:p w14:paraId="12877B21">
            <w:pPr>
              <w:spacing w:line="360" w:lineRule="auto"/>
              <w:jc w:val="left"/>
              <w:rPr>
                <w:color w:val="auto"/>
                <w:highlight w:val="none"/>
              </w:rPr>
            </w:pPr>
            <w:r>
              <w:rPr>
                <w:color w:val="auto"/>
                <w:highlight w:val="none"/>
              </w:rPr>
              <w:t xml:space="preserve">A060601 </w:t>
            </w:r>
            <w:r>
              <w:rPr>
                <w:rFonts w:hint="eastAsia"/>
                <w:color w:val="auto"/>
                <w:highlight w:val="none"/>
              </w:rPr>
              <w:t>木质架类</w:t>
            </w:r>
          </w:p>
        </w:tc>
        <w:tc>
          <w:tcPr>
            <w:tcW w:w="1002" w:type="pct"/>
          </w:tcPr>
          <w:p w14:paraId="166FD13F">
            <w:pPr>
              <w:spacing w:line="360" w:lineRule="auto"/>
              <w:jc w:val="left"/>
              <w:rPr>
                <w:color w:val="auto"/>
                <w:highlight w:val="none"/>
              </w:rPr>
            </w:pPr>
          </w:p>
        </w:tc>
        <w:tc>
          <w:tcPr>
            <w:tcW w:w="1460" w:type="pct"/>
          </w:tcPr>
          <w:p w14:paraId="7A7CE496">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7EACD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1C2F64A9">
            <w:pPr>
              <w:spacing w:line="360" w:lineRule="auto"/>
              <w:jc w:val="center"/>
              <w:rPr>
                <w:color w:val="auto"/>
                <w:highlight w:val="none"/>
              </w:rPr>
            </w:pPr>
          </w:p>
        </w:tc>
        <w:tc>
          <w:tcPr>
            <w:tcW w:w="702" w:type="pct"/>
            <w:vMerge w:val="continue"/>
            <w:tcBorders>
              <w:top w:val="nil"/>
            </w:tcBorders>
          </w:tcPr>
          <w:p w14:paraId="0D83CBDE">
            <w:pPr>
              <w:spacing w:line="360" w:lineRule="auto"/>
              <w:jc w:val="center"/>
              <w:rPr>
                <w:color w:val="auto"/>
                <w:highlight w:val="none"/>
              </w:rPr>
            </w:pPr>
          </w:p>
        </w:tc>
        <w:tc>
          <w:tcPr>
            <w:tcW w:w="1413" w:type="pct"/>
          </w:tcPr>
          <w:p w14:paraId="51F70B77">
            <w:pPr>
              <w:spacing w:line="360" w:lineRule="auto"/>
              <w:jc w:val="left"/>
              <w:rPr>
                <w:color w:val="auto"/>
                <w:highlight w:val="none"/>
              </w:rPr>
            </w:pPr>
            <w:r>
              <w:rPr>
                <w:color w:val="auto"/>
                <w:highlight w:val="none"/>
              </w:rPr>
              <w:t xml:space="preserve">A060602 </w:t>
            </w:r>
            <w:r>
              <w:rPr>
                <w:rFonts w:hint="eastAsia"/>
                <w:color w:val="auto"/>
                <w:highlight w:val="none"/>
              </w:rPr>
              <w:t>金属质架类</w:t>
            </w:r>
          </w:p>
        </w:tc>
        <w:tc>
          <w:tcPr>
            <w:tcW w:w="1002" w:type="pct"/>
          </w:tcPr>
          <w:p w14:paraId="36DE1160">
            <w:pPr>
              <w:spacing w:line="360" w:lineRule="auto"/>
              <w:jc w:val="left"/>
              <w:rPr>
                <w:color w:val="auto"/>
                <w:highlight w:val="none"/>
              </w:rPr>
            </w:pPr>
          </w:p>
        </w:tc>
        <w:tc>
          <w:tcPr>
            <w:tcW w:w="1460" w:type="pct"/>
          </w:tcPr>
          <w:p w14:paraId="6BF95B21">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68292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14923132">
            <w:pPr>
              <w:spacing w:line="360" w:lineRule="auto"/>
              <w:jc w:val="center"/>
              <w:rPr>
                <w:color w:val="auto"/>
                <w:highlight w:val="none"/>
              </w:rPr>
            </w:pPr>
            <w:r>
              <w:rPr>
                <w:color w:val="auto"/>
                <w:highlight w:val="none"/>
              </w:rPr>
              <w:t>22</w:t>
            </w:r>
          </w:p>
        </w:tc>
        <w:tc>
          <w:tcPr>
            <w:tcW w:w="702" w:type="pct"/>
            <w:vMerge w:val="restart"/>
            <w:tcBorders>
              <w:bottom w:val="nil"/>
            </w:tcBorders>
          </w:tcPr>
          <w:p w14:paraId="45C54CC5">
            <w:pPr>
              <w:spacing w:line="360" w:lineRule="auto"/>
              <w:jc w:val="center"/>
              <w:rPr>
                <w:color w:val="auto"/>
                <w:highlight w:val="none"/>
              </w:rPr>
            </w:pPr>
            <w:r>
              <w:rPr>
                <w:color w:val="auto"/>
                <w:highlight w:val="none"/>
              </w:rPr>
              <w:t xml:space="preserve">A0607 </w:t>
            </w:r>
            <w:r>
              <w:rPr>
                <w:rFonts w:hint="eastAsia"/>
                <w:color w:val="auto"/>
                <w:highlight w:val="none"/>
              </w:rPr>
              <w:t>屏风类</w:t>
            </w:r>
          </w:p>
        </w:tc>
        <w:tc>
          <w:tcPr>
            <w:tcW w:w="1413" w:type="pct"/>
          </w:tcPr>
          <w:p w14:paraId="1665FE91">
            <w:pPr>
              <w:spacing w:line="360" w:lineRule="auto"/>
              <w:jc w:val="left"/>
              <w:rPr>
                <w:color w:val="auto"/>
                <w:highlight w:val="none"/>
              </w:rPr>
            </w:pPr>
            <w:r>
              <w:rPr>
                <w:color w:val="auto"/>
                <w:highlight w:val="none"/>
              </w:rPr>
              <w:t xml:space="preserve">A060701 </w:t>
            </w:r>
            <w:r>
              <w:rPr>
                <w:rFonts w:hint="eastAsia"/>
                <w:color w:val="auto"/>
                <w:highlight w:val="none"/>
              </w:rPr>
              <w:t>木质屏风类</w:t>
            </w:r>
          </w:p>
        </w:tc>
        <w:tc>
          <w:tcPr>
            <w:tcW w:w="1002" w:type="pct"/>
          </w:tcPr>
          <w:p w14:paraId="65A6E853">
            <w:pPr>
              <w:spacing w:line="360" w:lineRule="auto"/>
              <w:jc w:val="left"/>
              <w:rPr>
                <w:color w:val="auto"/>
                <w:highlight w:val="none"/>
              </w:rPr>
            </w:pPr>
          </w:p>
        </w:tc>
        <w:tc>
          <w:tcPr>
            <w:tcW w:w="1460" w:type="pct"/>
          </w:tcPr>
          <w:p w14:paraId="7ACA6D82">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63E0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39B8737D">
            <w:pPr>
              <w:spacing w:line="360" w:lineRule="auto"/>
              <w:jc w:val="center"/>
              <w:rPr>
                <w:color w:val="auto"/>
                <w:highlight w:val="none"/>
              </w:rPr>
            </w:pPr>
          </w:p>
        </w:tc>
        <w:tc>
          <w:tcPr>
            <w:tcW w:w="702" w:type="pct"/>
            <w:vMerge w:val="continue"/>
            <w:tcBorders>
              <w:top w:val="nil"/>
            </w:tcBorders>
          </w:tcPr>
          <w:p w14:paraId="7DE6F827">
            <w:pPr>
              <w:spacing w:line="360" w:lineRule="auto"/>
              <w:jc w:val="center"/>
              <w:rPr>
                <w:color w:val="auto"/>
                <w:highlight w:val="none"/>
              </w:rPr>
            </w:pPr>
          </w:p>
        </w:tc>
        <w:tc>
          <w:tcPr>
            <w:tcW w:w="1413" w:type="pct"/>
          </w:tcPr>
          <w:p w14:paraId="05F0953E">
            <w:pPr>
              <w:spacing w:line="360" w:lineRule="auto"/>
              <w:jc w:val="left"/>
              <w:rPr>
                <w:color w:val="auto"/>
                <w:highlight w:val="none"/>
              </w:rPr>
            </w:pPr>
            <w:r>
              <w:rPr>
                <w:color w:val="auto"/>
                <w:highlight w:val="none"/>
              </w:rPr>
              <w:t xml:space="preserve">A060702 </w:t>
            </w:r>
            <w:r>
              <w:rPr>
                <w:rFonts w:hint="eastAsia"/>
                <w:color w:val="auto"/>
                <w:highlight w:val="none"/>
              </w:rPr>
              <w:t>金属质屏风类</w:t>
            </w:r>
          </w:p>
        </w:tc>
        <w:tc>
          <w:tcPr>
            <w:tcW w:w="1002" w:type="pct"/>
          </w:tcPr>
          <w:p w14:paraId="21E437AB">
            <w:pPr>
              <w:spacing w:line="360" w:lineRule="auto"/>
              <w:jc w:val="left"/>
              <w:rPr>
                <w:color w:val="auto"/>
                <w:highlight w:val="none"/>
              </w:rPr>
            </w:pPr>
          </w:p>
        </w:tc>
        <w:tc>
          <w:tcPr>
            <w:tcW w:w="1460" w:type="pct"/>
          </w:tcPr>
          <w:p w14:paraId="17FFDF87">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6D47F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14:paraId="7F57956A">
            <w:pPr>
              <w:spacing w:line="360" w:lineRule="auto"/>
              <w:jc w:val="center"/>
              <w:rPr>
                <w:color w:val="auto"/>
                <w:highlight w:val="none"/>
              </w:rPr>
            </w:pPr>
            <w:r>
              <w:rPr>
                <w:color w:val="auto"/>
                <w:highlight w:val="none"/>
              </w:rPr>
              <w:t>23</w:t>
            </w:r>
          </w:p>
        </w:tc>
        <w:tc>
          <w:tcPr>
            <w:tcW w:w="702" w:type="pct"/>
          </w:tcPr>
          <w:p w14:paraId="5786420F">
            <w:pPr>
              <w:spacing w:line="360" w:lineRule="auto"/>
              <w:jc w:val="center"/>
              <w:rPr>
                <w:color w:val="auto"/>
                <w:highlight w:val="none"/>
              </w:rPr>
            </w:pPr>
            <w:r>
              <w:rPr>
                <w:color w:val="auto"/>
                <w:highlight w:val="none"/>
              </w:rPr>
              <w:t xml:space="preserve">A060804 </w:t>
            </w:r>
            <w:r>
              <w:rPr>
                <w:rFonts w:hint="eastAsia"/>
                <w:color w:val="auto"/>
                <w:highlight w:val="none"/>
              </w:rPr>
              <w:t>水池</w:t>
            </w:r>
          </w:p>
        </w:tc>
        <w:tc>
          <w:tcPr>
            <w:tcW w:w="1413" w:type="pct"/>
          </w:tcPr>
          <w:p w14:paraId="3A4D1DFA">
            <w:pPr>
              <w:spacing w:line="360" w:lineRule="auto"/>
              <w:jc w:val="left"/>
              <w:rPr>
                <w:color w:val="auto"/>
                <w:highlight w:val="none"/>
              </w:rPr>
            </w:pPr>
          </w:p>
        </w:tc>
        <w:tc>
          <w:tcPr>
            <w:tcW w:w="1002" w:type="pct"/>
          </w:tcPr>
          <w:p w14:paraId="01862DF2">
            <w:pPr>
              <w:spacing w:line="360" w:lineRule="auto"/>
              <w:jc w:val="left"/>
              <w:rPr>
                <w:color w:val="auto"/>
                <w:highlight w:val="none"/>
              </w:rPr>
            </w:pPr>
          </w:p>
        </w:tc>
        <w:tc>
          <w:tcPr>
            <w:tcW w:w="1460" w:type="pct"/>
          </w:tcPr>
          <w:p w14:paraId="5D28DD36">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14:paraId="220E7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14:paraId="78887D9B">
            <w:pPr>
              <w:spacing w:line="360" w:lineRule="auto"/>
              <w:jc w:val="center"/>
              <w:rPr>
                <w:color w:val="auto"/>
                <w:highlight w:val="none"/>
              </w:rPr>
            </w:pPr>
            <w:r>
              <w:rPr>
                <w:color w:val="auto"/>
                <w:highlight w:val="none"/>
              </w:rPr>
              <w:t>24</w:t>
            </w:r>
          </w:p>
        </w:tc>
        <w:tc>
          <w:tcPr>
            <w:tcW w:w="702" w:type="pct"/>
          </w:tcPr>
          <w:p w14:paraId="54529D53">
            <w:pPr>
              <w:spacing w:line="360" w:lineRule="auto"/>
              <w:jc w:val="center"/>
              <w:rPr>
                <w:color w:val="auto"/>
                <w:highlight w:val="none"/>
              </w:rPr>
            </w:pPr>
            <w:r>
              <w:rPr>
                <w:color w:val="auto"/>
                <w:highlight w:val="none"/>
              </w:rPr>
              <w:t xml:space="preserve">A060805 </w:t>
            </w:r>
            <w:r>
              <w:rPr>
                <w:rFonts w:hint="eastAsia"/>
                <w:color w:val="auto"/>
                <w:highlight w:val="none"/>
              </w:rPr>
              <w:t>便器</w:t>
            </w:r>
          </w:p>
        </w:tc>
        <w:tc>
          <w:tcPr>
            <w:tcW w:w="1413" w:type="pct"/>
          </w:tcPr>
          <w:p w14:paraId="6A7E40AB">
            <w:pPr>
              <w:spacing w:line="360" w:lineRule="auto"/>
              <w:jc w:val="left"/>
              <w:rPr>
                <w:color w:val="auto"/>
                <w:highlight w:val="none"/>
              </w:rPr>
            </w:pPr>
          </w:p>
        </w:tc>
        <w:tc>
          <w:tcPr>
            <w:tcW w:w="1002" w:type="pct"/>
          </w:tcPr>
          <w:p w14:paraId="30968FD6">
            <w:pPr>
              <w:spacing w:line="360" w:lineRule="auto"/>
              <w:jc w:val="left"/>
              <w:rPr>
                <w:color w:val="auto"/>
                <w:highlight w:val="none"/>
              </w:rPr>
            </w:pPr>
          </w:p>
        </w:tc>
        <w:tc>
          <w:tcPr>
            <w:tcW w:w="1460" w:type="pct"/>
          </w:tcPr>
          <w:p w14:paraId="6CC68DB9">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14:paraId="6766D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14:paraId="22BFE32E">
            <w:pPr>
              <w:spacing w:line="360" w:lineRule="auto"/>
              <w:jc w:val="center"/>
              <w:rPr>
                <w:color w:val="auto"/>
                <w:highlight w:val="none"/>
              </w:rPr>
            </w:pPr>
            <w:r>
              <w:rPr>
                <w:color w:val="auto"/>
                <w:highlight w:val="none"/>
              </w:rPr>
              <w:t>25</w:t>
            </w:r>
          </w:p>
        </w:tc>
        <w:tc>
          <w:tcPr>
            <w:tcW w:w="702" w:type="pct"/>
          </w:tcPr>
          <w:p w14:paraId="05D2F3CF">
            <w:pPr>
              <w:spacing w:line="360" w:lineRule="auto"/>
              <w:jc w:val="center"/>
              <w:rPr>
                <w:color w:val="auto"/>
                <w:highlight w:val="none"/>
              </w:rPr>
            </w:pPr>
            <w:r>
              <w:rPr>
                <w:color w:val="auto"/>
                <w:highlight w:val="none"/>
              </w:rPr>
              <w:t xml:space="preserve">A060806 </w:t>
            </w:r>
            <w:r>
              <w:rPr>
                <w:rFonts w:hint="eastAsia"/>
                <w:color w:val="auto"/>
                <w:highlight w:val="none"/>
              </w:rPr>
              <w:t>水嘴</w:t>
            </w:r>
          </w:p>
        </w:tc>
        <w:tc>
          <w:tcPr>
            <w:tcW w:w="1413" w:type="pct"/>
          </w:tcPr>
          <w:p w14:paraId="2688C9DB">
            <w:pPr>
              <w:spacing w:line="360" w:lineRule="auto"/>
              <w:jc w:val="left"/>
              <w:rPr>
                <w:color w:val="auto"/>
                <w:highlight w:val="none"/>
              </w:rPr>
            </w:pPr>
          </w:p>
        </w:tc>
        <w:tc>
          <w:tcPr>
            <w:tcW w:w="1002" w:type="pct"/>
          </w:tcPr>
          <w:p w14:paraId="35B3FFC1">
            <w:pPr>
              <w:spacing w:line="360" w:lineRule="auto"/>
              <w:jc w:val="left"/>
              <w:rPr>
                <w:color w:val="auto"/>
                <w:highlight w:val="none"/>
              </w:rPr>
            </w:pPr>
          </w:p>
        </w:tc>
        <w:tc>
          <w:tcPr>
            <w:tcW w:w="1460" w:type="pct"/>
          </w:tcPr>
          <w:p w14:paraId="5C235337">
            <w:pPr>
              <w:spacing w:line="360" w:lineRule="auto"/>
              <w:jc w:val="left"/>
              <w:rPr>
                <w:color w:val="auto"/>
                <w:highlight w:val="none"/>
              </w:rPr>
            </w:pPr>
            <w:r>
              <w:rPr>
                <w:color w:val="auto"/>
                <w:highlight w:val="none"/>
              </w:rPr>
              <w:t xml:space="preserve">HJ/T411 </w:t>
            </w:r>
            <w:r>
              <w:rPr>
                <w:rFonts w:hint="eastAsia"/>
                <w:color w:val="auto"/>
                <w:highlight w:val="none"/>
              </w:rPr>
              <w:t>水嘴</w:t>
            </w:r>
          </w:p>
        </w:tc>
      </w:tr>
      <w:tr w14:paraId="300BD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14:paraId="33BAF632">
            <w:pPr>
              <w:spacing w:line="360" w:lineRule="auto"/>
              <w:jc w:val="center"/>
              <w:rPr>
                <w:color w:val="auto"/>
                <w:highlight w:val="none"/>
              </w:rPr>
            </w:pPr>
            <w:r>
              <w:rPr>
                <w:color w:val="auto"/>
                <w:highlight w:val="none"/>
              </w:rPr>
              <w:t>26</w:t>
            </w:r>
          </w:p>
        </w:tc>
        <w:tc>
          <w:tcPr>
            <w:tcW w:w="702" w:type="pct"/>
          </w:tcPr>
          <w:p w14:paraId="6EBF64C9">
            <w:pPr>
              <w:spacing w:line="360" w:lineRule="auto"/>
              <w:jc w:val="center"/>
              <w:rPr>
                <w:color w:val="auto"/>
                <w:highlight w:val="none"/>
              </w:rPr>
            </w:pPr>
            <w:r>
              <w:rPr>
                <w:color w:val="auto"/>
                <w:highlight w:val="none"/>
              </w:rPr>
              <w:t xml:space="preserve">A0609 </w:t>
            </w:r>
            <w:r>
              <w:rPr>
                <w:rFonts w:hint="eastAsia"/>
                <w:color w:val="auto"/>
                <w:highlight w:val="none"/>
              </w:rPr>
              <w:t>组合家具</w:t>
            </w:r>
          </w:p>
        </w:tc>
        <w:tc>
          <w:tcPr>
            <w:tcW w:w="1413" w:type="pct"/>
          </w:tcPr>
          <w:p w14:paraId="43C36815">
            <w:pPr>
              <w:spacing w:line="360" w:lineRule="auto"/>
              <w:jc w:val="left"/>
              <w:rPr>
                <w:color w:val="auto"/>
                <w:highlight w:val="none"/>
              </w:rPr>
            </w:pPr>
          </w:p>
        </w:tc>
        <w:tc>
          <w:tcPr>
            <w:tcW w:w="1002" w:type="pct"/>
          </w:tcPr>
          <w:p w14:paraId="13710E51">
            <w:pPr>
              <w:spacing w:line="360" w:lineRule="auto"/>
              <w:jc w:val="left"/>
              <w:rPr>
                <w:color w:val="auto"/>
                <w:highlight w:val="none"/>
              </w:rPr>
            </w:pPr>
          </w:p>
        </w:tc>
        <w:tc>
          <w:tcPr>
            <w:tcW w:w="1460" w:type="pct"/>
          </w:tcPr>
          <w:p w14:paraId="53B7D31F">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3AC42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590E8406">
            <w:pPr>
              <w:spacing w:line="360" w:lineRule="auto"/>
              <w:jc w:val="center"/>
              <w:rPr>
                <w:color w:val="auto"/>
                <w:highlight w:val="none"/>
              </w:rPr>
            </w:pPr>
            <w:r>
              <w:rPr>
                <w:color w:val="auto"/>
                <w:highlight w:val="none"/>
              </w:rPr>
              <w:t>27</w:t>
            </w:r>
          </w:p>
        </w:tc>
        <w:tc>
          <w:tcPr>
            <w:tcW w:w="702" w:type="pct"/>
          </w:tcPr>
          <w:p w14:paraId="10EF5770">
            <w:pPr>
              <w:spacing w:line="360" w:lineRule="auto"/>
              <w:jc w:val="center"/>
              <w:rPr>
                <w:color w:val="auto"/>
                <w:highlight w:val="none"/>
              </w:rPr>
            </w:pPr>
            <w:r>
              <w:rPr>
                <w:color w:val="auto"/>
                <w:highlight w:val="none"/>
              </w:rPr>
              <w:t xml:space="preserve">A0610 </w:t>
            </w:r>
            <w:r>
              <w:rPr>
                <w:rFonts w:hint="eastAsia"/>
                <w:color w:val="auto"/>
                <w:highlight w:val="none"/>
              </w:rPr>
              <w:t>家用家具</w:t>
            </w:r>
            <w:r>
              <w:rPr>
                <w:color w:val="auto"/>
                <w:highlight w:val="none"/>
              </w:rPr>
              <w:t xml:space="preserve"> </w:t>
            </w:r>
            <w:r>
              <w:rPr>
                <w:rFonts w:hint="eastAsia"/>
                <w:color w:val="auto"/>
                <w:highlight w:val="none"/>
              </w:rPr>
              <w:t>零配件</w:t>
            </w:r>
          </w:p>
        </w:tc>
        <w:tc>
          <w:tcPr>
            <w:tcW w:w="1413" w:type="pct"/>
          </w:tcPr>
          <w:p w14:paraId="4EA44DB6">
            <w:pPr>
              <w:spacing w:line="360" w:lineRule="auto"/>
              <w:jc w:val="left"/>
              <w:rPr>
                <w:color w:val="auto"/>
                <w:highlight w:val="none"/>
              </w:rPr>
            </w:pPr>
          </w:p>
        </w:tc>
        <w:tc>
          <w:tcPr>
            <w:tcW w:w="1002" w:type="pct"/>
          </w:tcPr>
          <w:p w14:paraId="6DB871FB">
            <w:pPr>
              <w:spacing w:line="360" w:lineRule="auto"/>
              <w:jc w:val="left"/>
              <w:rPr>
                <w:color w:val="auto"/>
                <w:highlight w:val="none"/>
              </w:rPr>
            </w:pPr>
          </w:p>
        </w:tc>
        <w:tc>
          <w:tcPr>
            <w:tcW w:w="1460" w:type="pct"/>
          </w:tcPr>
          <w:p w14:paraId="15324F9B">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373B2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tcPr>
          <w:p w14:paraId="011C8400">
            <w:pPr>
              <w:spacing w:line="360" w:lineRule="auto"/>
              <w:jc w:val="center"/>
              <w:rPr>
                <w:color w:val="auto"/>
                <w:highlight w:val="none"/>
              </w:rPr>
            </w:pPr>
            <w:r>
              <w:rPr>
                <w:color w:val="auto"/>
                <w:highlight w:val="none"/>
              </w:rPr>
              <w:t>28</w:t>
            </w:r>
          </w:p>
        </w:tc>
        <w:tc>
          <w:tcPr>
            <w:tcW w:w="702" w:type="pct"/>
          </w:tcPr>
          <w:p w14:paraId="6A58431C">
            <w:pPr>
              <w:spacing w:line="360" w:lineRule="auto"/>
              <w:jc w:val="center"/>
              <w:rPr>
                <w:color w:val="auto"/>
                <w:highlight w:val="none"/>
              </w:rPr>
            </w:pPr>
            <w:r>
              <w:rPr>
                <w:color w:val="auto"/>
                <w:highlight w:val="none"/>
              </w:rPr>
              <w:t xml:space="preserve">A0699 </w:t>
            </w:r>
            <w:r>
              <w:rPr>
                <w:rFonts w:hint="eastAsia"/>
                <w:color w:val="auto"/>
                <w:highlight w:val="none"/>
              </w:rPr>
              <w:t>其他家具</w:t>
            </w:r>
            <w:r>
              <w:rPr>
                <w:color w:val="auto"/>
                <w:highlight w:val="none"/>
              </w:rPr>
              <w:t xml:space="preserve"> </w:t>
            </w:r>
            <w:r>
              <w:rPr>
                <w:rFonts w:hint="eastAsia"/>
                <w:color w:val="auto"/>
                <w:highlight w:val="none"/>
              </w:rPr>
              <w:t>用具</w:t>
            </w:r>
          </w:p>
        </w:tc>
        <w:tc>
          <w:tcPr>
            <w:tcW w:w="1413" w:type="pct"/>
          </w:tcPr>
          <w:p w14:paraId="073D392A">
            <w:pPr>
              <w:spacing w:line="360" w:lineRule="auto"/>
              <w:jc w:val="left"/>
              <w:rPr>
                <w:color w:val="auto"/>
                <w:highlight w:val="none"/>
              </w:rPr>
            </w:pPr>
          </w:p>
        </w:tc>
        <w:tc>
          <w:tcPr>
            <w:tcW w:w="1002" w:type="pct"/>
          </w:tcPr>
          <w:p w14:paraId="4F926675">
            <w:pPr>
              <w:spacing w:line="360" w:lineRule="auto"/>
              <w:jc w:val="left"/>
              <w:rPr>
                <w:color w:val="auto"/>
                <w:highlight w:val="none"/>
              </w:rPr>
            </w:pPr>
          </w:p>
        </w:tc>
        <w:tc>
          <w:tcPr>
            <w:tcW w:w="1460" w:type="pct"/>
          </w:tcPr>
          <w:p w14:paraId="52541FB7">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2A208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14:paraId="7D2965F5">
            <w:pPr>
              <w:spacing w:line="360" w:lineRule="auto"/>
              <w:jc w:val="center"/>
              <w:rPr>
                <w:color w:val="auto"/>
                <w:highlight w:val="none"/>
              </w:rPr>
            </w:pPr>
            <w:r>
              <w:rPr>
                <w:color w:val="auto"/>
                <w:highlight w:val="none"/>
              </w:rPr>
              <w:t>29</w:t>
            </w:r>
          </w:p>
        </w:tc>
        <w:tc>
          <w:tcPr>
            <w:tcW w:w="702" w:type="pct"/>
          </w:tcPr>
          <w:p w14:paraId="00F6E8CB">
            <w:pPr>
              <w:spacing w:line="360" w:lineRule="auto"/>
              <w:jc w:val="center"/>
              <w:rPr>
                <w:color w:val="auto"/>
                <w:highlight w:val="none"/>
              </w:rPr>
            </w:pPr>
            <w:r>
              <w:rPr>
                <w:color w:val="auto"/>
                <w:highlight w:val="none"/>
              </w:rPr>
              <w:t xml:space="preserve">A070101 </w:t>
            </w:r>
            <w:r>
              <w:rPr>
                <w:rFonts w:hint="eastAsia"/>
                <w:color w:val="auto"/>
                <w:highlight w:val="none"/>
              </w:rPr>
              <w:t>棉、化纤</w:t>
            </w:r>
            <w:r>
              <w:rPr>
                <w:color w:val="auto"/>
                <w:highlight w:val="none"/>
              </w:rPr>
              <w:t xml:space="preserve"> </w:t>
            </w:r>
            <w:r>
              <w:rPr>
                <w:rFonts w:hint="eastAsia"/>
                <w:color w:val="auto"/>
                <w:highlight w:val="none"/>
              </w:rPr>
              <w:t>纺织及印染原料</w:t>
            </w:r>
          </w:p>
        </w:tc>
        <w:tc>
          <w:tcPr>
            <w:tcW w:w="1413" w:type="pct"/>
          </w:tcPr>
          <w:p w14:paraId="1D928435">
            <w:pPr>
              <w:spacing w:line="360" w:lineRule="auto"/>
              <w:jc w:val="left"/>
              <w:rPr>
                <w:color w:val="auto"/>
                <w:highlight w:val="none"/>
              </w:rPr>
            </w:pPr>
          </w:p>
        </w:tc>
        <w:tc>
          <w:tcPr>
            <w:tcW w:w="1002" w:type="pct"/>
          </w:tcPr>
          <w:p w14:paraId="2224C1A3">
            <w:pPr>
              <w:spacing w:line="360" w:lineRule="auto"/>
              <w:jc w:val="left"/>
              <w:rPr>
                <w:color w:val="auto"/>
                <w:highlight w:val="none"/>
              </w:rPr>
            </w:pPr>
          </w:p>
        </w:tc>
        <w:tc>
          <w:tcPr>
            <w:tcW w:w="1460" w:type="pct"/>
          </w:tcPr>
          <w:p w14:paraId="4AFE6155">
            <w:pPr>
              <w:spacing w:line="360" w:lineRule="auto"/>
              <w:jc w:val="left"/>
              <w:rPr>
                <w:color w:val="auto"/>
                <w:highlight w:val="none"/>
              </w:rPr>
            </w:pPr>
            <w:r>
              <w:rPr>
                <w:color w:val="auto"/>
                <w:highlight w:val="none"/>
              </w:rPr>
              <w:t xml:space="preserve">HJ2546 </w:t>
            </w:r>
            <w:r>
              <w:rPr>
                <w:rFonts w:hint="eastAsia"/>
                <w:color w:val="auto"/>
                <w:highlight w:val="none"/>
              </w:rPr>
              <w:t>纺织产品</w:t>
            </w:r>
          </w:p>
        </w:tc>
      </w:tr>
      <w:tr w14:paraId="7D5B8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21" w:type="pct"/>
          </w:tcPr>
          <w:p w14:paraId="6C10BA9B">
            <w:pPr>
              <w:spacing w:line="360" w:lineRule="auto"/>
              <w:jc w:val="left"/>
              <w:rPr>
                <w:color w:val="auto"/>
                <w:highlight w:val="none"/>
              </w:rPr>
            </w:pPr>
            <w:r>
              <w:rPr>
                <w:color w:val="auto"/>
                <w:highlight w:val="none"/>
              </w:rPr>
              <w:t>30</w:t>
            </w:r>
          </w:p>
        </w:tc>
        <w:tc>
          <w:tcPr>
            <w:tcW w:w="702" w:type="pct"/>
          </w:tcPr>
          <w:p w14:paraId="4B934228">
            <w:pPr>
              <w:spacing w:line="360" w:lineRule="auto"/>
              <w:jc w:val="left"/>
              <w:rPr>
                <w:color w:val="auto"/>
                <w:highlight w:val="none"/>
              </w:rPr>
            </w:pPr>
            <w:r>
              <w:rPr>
                <w:color w:val="auto"/>
                <w:highlight w:val="none"/>
              </w:rPr>
              <w:t xml:space="preserve">A090101 </w:t>
            </w:r>
            <w:r>
              <w:rPr>
                <w:rFonts w:hint="eastAsia"/>
                <w:color w:val="auto"/>
                <w:highlight w:val="none"/>
              </w:rPr>
              <w:t>复</w:t>
            </w:r>
            <w:r>
              <w:rPr>
                <w:color w:val="auto"/>
                <w:highlight w:val="none"/>
              </w:rPr>
              <w:t xml:space="preserve"> </w:t>
            </w:r>
            <w:r>
              <w:rPr>
                <w:rFonts w:hint="eastAsia"/>
                <w:color w:val="auto"/>
                <w:highlight w:val="none"/>
              </w:rPr>
              <w:t>印纸</w:t>
            </w:r>
            <w:r>
              <w:rPr>
                <w:color w:val="auto"/>
                <w:highlight w:val="none"/>
              </w:rPr>
              <w:t xml:space="preserve"> </w:t>
            </w:r>
            <w:r>
              <w:rPr>
                <w:rFonts w:hint="eastAsia"/>
                <w:color w:val="auto"/>
                <w:highlight w:val="none"/>
              </w:rPr>
              <w:t>（包括再生复印</w:t>
            </w:r>
            <w:r>
              <w:rPr>
                <w:color w:val="auto"/>
                <w:highlight w:val="none"/>
              </w:rPr>
              <w:t xml:space="preserve"> </w:t>
            </w:r>
            <w:r>
              <w:rPr>
                <w:rFonts w:hint="eastAsia"/>
                <w:color w:val="auto"/>
                <w:highlight w:val="none"/>
              </w:rPr>
              <w:t>纸）</w:t>
            </w:r>
          </w:p>
        </w:tc>
        <w:tc>
          <w:tcPr>
            <w:tcW w:w="1413" w:type="pct"/>
          </w:tcPr>
          <w:p w14:paraId="754C4D05">
            <w:pPr>
              <w:spacing w:line="360" w:lineRule="auto"/>
              <w:jc w:val="left"/>
              <w:rPr>
                <w:color w:val="auto"/>
                <w:highlight w:val="none"/>
              </w:rPr>
            </w:pPr>
          </w:p>
        </w:tc>
        <w:tc>
          <w:tcPr>
            <w:tcW w:w="1002" w:type="pct"/>
          </w:tcPr>
          <w:p w14:paraId="6DFE7BDE">
            <w:pPr>
              <w:spacing w:line="360" w:lineRule="auto"/>
              <w:jc w:val="left"/>
              <w:rPr>
                <w:color w:val="auto"/>
                <w:highlight w:val="none"/>
              </w:rPr>
            </w:pPr>
          </w:p>
        </w:tc>
        <w:tc>
          <w:tcPr>
            <w:tcW w:w="1460" w:type="pct"/>
          </w:tcPr>
          <w:p w14:paraId="5BE58813">
            <w:pPr>
              <w:spacing w:line="360" w:lineRule="auto"/>
              <w:jc w:val="left"/>
              <w:rPr>
                <w:color w:val="auto"/>
                <w:highlight w:val="none"/>
              </w:rPr>
            </w:pPr>
            <w:r>
              <w:rPr>
                <w:color w:val="auto"/>
                <w:highlight w:val="none"/>
              </w:rPr>
              <w:t xml:space="preserve">HJ410 </w:t>
            </w:r>
            <w:r>
              <w:rPr>
                <w:rFonts w:hint="eastAsia"/>
                <w:color w:val="auto"/>
                <w:highlight w:val="none"/>
              </w:rPr>
              <w:t>文化用纸</w:t>
            </w:r>
          </w:p>
        </w:tc>
      </w:tr>
      <w:tr w14:paraId="39619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14:paraId="61D46AE9">
            <w:pPr>
              <w:spacing w:line="360" w:lineRule="auto"/>
              <w:jc w:val="left"/>
              <w:rPr>
                <w:color w:val="auto"/>
                <w:highlight w:val="none"/>
              </w:rPr>
            </w:pPr>
            <w:r>
              <w:rPr>
                <w:color w:val="auto"/>
                <w:highlight w:val="none"/>
              </w:rPr>
              <w:t>31</w:t>
            </w:r>
          </w:p>
        </w:tc>
        <w:tc>
          <w:tcPr>
            <w:tcW w:w="702" w:type="pct"/>
          </w:tcPr>
          <w:p w14:paraId="2AAB780B">
            <w:pPr>
              <w:spacing w:line="360" w:lineRule="auto"/>
              <w:jc w:val="left"/>
              <w:rPr>
                <w:color w:val="auto"/>
                <w:highlight w:val="none"/>
              </w:rPr>
            </w:pPr>
            <w:r>
              <w:rPr>
                <w:color w:val="auto"/>
                <w:highlight w:val="none"/>
              </w:rPr>
              <w:t xml:space="preserve">A090201 </w:t>
            </w:r>
            <w:r>
              <w:rPr>
                <w:rFonts w:hint="eastAsia"/>
                <w:color w:val="auto"/>
                <w:highlight w:val="none"/>
              </w:rPr>
              <w:t>鼓粉盒</w:t>
            </w:r>
            <w:r>
              <w:rPr>
                <w:color w:val="auto"/>
                <w:highlight w:val="none"/>
              </w:rPr>
              <w:t xml:space="preserve"> </w:t>
            </w:r>
            <w:r>
              <w:rPr>
                <w:rFonts w:hint="eastAsia"/>
                <w:color w:val="auto"/>
                <w:highlight w:val="none"/>
              </w:rPr>
              <w:t>（包括再生鼓粉</w:t>
            </w:r>
            <w:r>
              <w:rPr>
                <w:color w:val="auto"/>
                <w:highlight w:val="none"/>
              </w:rPr>
              <w:t xml:space="preserve"> </w:t>
            </w:r>
            <w:r>
              <w:rPr>
                <w:rFonts w:hint="eastAsia"/>
                <w:color w:val="auto"/>
                <w:highlight w:val="none"/>
              </w:rPr>
              <w:t>盒）</w:t>
            </w:r>
          </w:p>
        </w:tc>
        <w:tc>
          <w:tcPr>
            <w:tcW w:w="1413" w:type="pct"/>
          </w:tcPr>
          <w:p w14:paraId="11195888">
            <w:pPr>
              <w:spacing w:line="360" w:lineRule="auto"/>
              <w:jc w:val="left"/>
              <w:rPr>
                <w:color w:val="auto"/>
                <w:highlight w:val="none"/>
              </w:rPr>
            </w:pPr>
          </w:p>
        </w:tc>
        <w:tc>
          <w:tcPr>
            <w:tcW w:w="1002" w:type="pct"/>
          </w:tcPr>
          <w:p w14:paraId="63A57FB1">
            <w:pPr>
              <w:spacing w:line="360" w:lineRule="auto"/>
              <w:jc w:val="left"/>
              <w:rPr>
                <w:color w:val="auto"/>
                <w:highlight w:val="none"/>
              </w:rPr>
            </w:pPr>
          </w:p>
        </w:tc>
        <w:tc>
          <w:tcPr>
            <w:tcW w:w="1460" w:type="pct"/>
          </w:tcPr>
          <w:p w14:paraId="60CFDD39">
            <w:pPr>
              <w:spacing w:line="360" w:lineRule="auto"/>
              <w:jc w:val="left"/>
              <w:rPr>
                <w:color w:val="auto"/>
                <w:highlight w:val="none"/>
              </w:rPr>
            </w:pPr>
            <w:r>
              <w:rPr>
                <w:color w:val="auto"/>
                <w:highlight w:val="none"/>
              </w:rPr>
              <w:t xml:space="preserve">HJ/T413 </w:t>
            </w:r>
            <w:r>
              <w:rPr>
                <w:rFonts w:hint="eastAsia"/>
                <w:color w:val="auto"/>
                <w:highlight w:val="none"/>
              </w:rPr>
              <w:t>再生鼓粉盒</w:t>
            </w:r>
          </w:p>
        </w:tc>
      </w:tr>
      <w:tr w14:paraId="03B14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21" w:type="pct"/>
            <w:vMerge w:val="restart"/>
            <w:tcBorders>
              <w:bottom w:val="nil"/>
            </w:tcBorders>
          </w:tcPr>
          <w:p w14:paraId="2F8EA234">
            <w:pPr>
              <w:spacing w:line="360" w:lineRule="auto"/>
              <w:jc w:val="left"/>
              <w:rPr>
                <w:color w:val="auto"/>
                <w:highlight w:val="none"/>
              </w:rPr>
            </w:pPr>
            <w:r>
              <w:rPr>
                <w:color w:val="auto"/>
                <w:highlight w:val="none"/>
              </w:rPr>
              <w:t>32</w:t>
            </w:r>
          </w:p>
        </w:tc>
        <w:tc>
          <w:tcPr>
            <w:tcW w:w="702" w:type="pct"/>
            <w:vMerge w:val="restart"/>
            <w:tcBorders>
              <w:bottom w:val="nil"/>
            </w:tcBorders>
          </w:tcPr>
          <w:p w14:paraId="7C4E7FE1">
            <w:pPr>
              <w:spacing w:line="360" w:lineRule="auto"/>
              <w:jc w:val="left"/>
              <w:rPr>
                <w:color w:val="auto"/>
                <w:highlight w:val="none"/>
              </w:rPr>
            </w:pPr>
            <w:r>
              <w:rPr>
                <w:color w:val="auto"/>
                <w:highlight w:val="none"/>
              </w:rPr>
              <w:t xml:space="preserve">A100203 </w:t>
            </w:r>
            <w:r>
              <w:rPr>
                <w:rFonts w:hint="eastAsia"/>
                <w:color w:val="auto"/>
                <w:highlight w:val="none"/>
              </w:rPr>
              <w:t>人造板</w:t>
            </w:r>
          </w:p>
        </w:tc>
        <w:tc>
          <w:tcPr>
            <w:tcW w:w="1413" w:type="pct"/>
          </w:tcPr>
          <w:p w14:paraId="4F872A7D">
            <w:pPr>
              <w:spacing w:line="360" w:lineRule="auto"/>
              <w:jc w:val="left"/>
              <w:rPr>
                <w:color w:val="auto"/>
                <w:highlight w:val="none"/>
              </w:rPr>
            </w:pPr>
            <w:r>
              <w:rPr>
                <w:color w:val="auto"/>
                <w:highlight w:val="none"/>
              </w:rPr>
              <w:t xml:space="preserve">A10020301 </w:t>
            </w:r>
            <w:r>
              <w:rPr>
                <w:rFonts w:hint="eastAsia"/>
                <w:color w:val="auto"/>
                <w:highlight w:val="none"/>
              </w:rPr>
              <w:t>胶合板</w:t>
            </w:r>
          </w:p>
        </w:tc>
        <w:tc>
          <w:tcPr>
            <w:tcW w:w="1002" w:type="pct"/>
          </w:tcPr>
          <w:p w14:paraId="1279D680">
            <w:pPr>
              <w:spacing w:line="360" w:lineRule="auto"/>
              <w:jc w:val="left"/>
              <w:rPr>
                <w:color w:val="auto"/>
                <w:highlight w:val="none"/>
              </w:rPr>
            </w:pPr>
          </w:p>
        </w:tc>
        <w:tc>
          <w:tcPr>
            <w:tcW w:w="1460" w:type="pct"/>
          </w:tcPr>
          <w:p w14:paraId="727F1B01">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24905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590548EE">
            <w:pPr>
              <w:spacing w:line="360" w:lineRule="auto"/>
              <w:jc w:val="left"/>
              <w:rPr>
                <w:color w:val="auto"/>
                <w:highlight w:val="none"/>
              </w:rPr>
            </w:pPr>
          </w:p>
        </w:tc>
        <w:tc>
          <w:tcPr>
            <w:tcW w:w="702" w:type="pct"/>
            <w:vMerge w:val="continue"/>
            <w:tcBorders>
              <w:top w:val="nil"/>
              <w:bottom w:val="nil"/>
            </w:tcBorders>
          </w:tcPr>
          <w:p w14:paraId="6246E5D0">
            <w:pPr>
              <w:spacing w:line="360" w:lineRule="auto"/>
              <w:jc w:val="left"/>
              <w:rPr>
                <w:color w:val="auto"/>
                <w:highlight w:val="none"/>
              </w:rPr>
            </w:pPr>
          </w:p>
        </w:tc>
        <w:tc>
          <w:tcPr>
            <w:tcW w:w="1413" w:type="pct"/>
          </w:tcPr>
          <w:p w14:paraId="3A2886F7">
            <w:pPr>
              <w:spacing w:line="360" w:lineRule="auto"/>
              <w:jc w:val="left"/>
              <w:rPr>
                <w:color w:val="auto"/>
                <w:highlight w:val="none"/>
              </w:rPr>
            </w:pPr>
            <w:r>
              <w:rPr>
                <w:color w:val="auto"/>
                <w:highlight w:val="none"/>
              </w:rPr>
              <w:t xml:space="preserve">A10020302 </w:t>
            </w:r>
            <w:r>
              <w:rPr>
                <w:rFonts w:hint="eastAsia"/>
                <w:color w:val="auto"/>
                <w:highlight w:val="none"/>
              </w:rPr>
              <w:t>纤维板</w:t>
            </w:r>
          </w:p>
        </w:tc>
        <w:tc>
          <w:tcPr>
            <w:tcW w:w="1002" w:type="pct"/>
          </w:tcPr>
          <w:p w14:paraId="4A8C1D2D">
            <w:pPr>
              <w:spacing w:line="360" w:lineRule="auto"/>
              <w:jc w:val="left"/>
              <w:rPr>
                <w:color w:val="auto"/>
                <w:highlight w:val="none"/>
              </w:rPr>
            </w:pPr>
          </w:p>
        </w:tc>
        <w:tc>
          <w:tcPr>
            <w:tcW w:w="1460" w:type="pct"/>
          </w:tcPr>
          <w:p w14:paraId="1D59928B">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0442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4D6C822D">
            <w:pPr>
              <w:spacing w:line="360" w:lineRule="auto"/>
              <w:jc w:val="left"/>
              <w:rPr>
                <w:color w:val="auto"/>
                <w:highlight w:val="none"/>
              </w:rPr>
            </w:pPr>
          </w:p>
        </w:tc>
        <w:tc>
          <w:tcPr>
            <w:tcW w:w="702" w:type="pct"/>
            <w:vMerge w:val="continue"/>
            <w:tcBorders>
              <w:top w:val="nil"/>
              <w:bottom w:val="nil"/>
            </w:tcBorders>
          </w:tcPr>
          <w:p w14:paraId="27AE8236">
            <w:pPr>
              <w:spacing w:line="360" w:lineRule="auto"/>
              <w:jc w:val="left"/>
              <w:rPr>
                <w:color w:val="auto"/>
                <w:highlight w:val="none"/>
              </w:rPr>
            </w:pPr>
          </w:p>
        </w:tc>
        <w:tc>
          <w:tcPr>
            <w:tcW w:w="1413" w:type="pct"/>
          </w:tcPr>
          <w:p w14:paraId="2DB9F26A">
            <w:pPr>
              <w:spacing w:line="360" w:lineRule="auto"/>
              <w:jc w:val="left"/>
              <w:rPr>
                <w:color w:val="auto"/>
                <w:highlight w:val="none"/>
              </w:rPr>
            </w:pPr>
            <w:r>
              <w:rPr>
                <w:color w:val="auto"/>
                <w:highlight w:val="none"/>
              </w:rPr>
              <w:t xml:space="preserve">A10020303 </w:t>
            </w:r>
            <w:r>
              <w:rPr>
                <w:rFonts w:hint="eastAsia"/>
                <w:color w:val="auto"/>
                <w:highlight w:val="none"/>
              </w:rPr>
              <w:t>刨花板</w:t>
            </w:r>
          </w:p>
        </w:tc>
        <w:tc>
          <w:tcPr>
            <w:tcW w:w="1002" w:type="pct"/>
          </w:tcPr>
          <w:p w14:paraId="64408E15">
            <w:pPr>
              <w:spacing w:line="360" w:lineRule="auto"/>
              <w:jc w:val="left"/>
              <w:rPr>
                <w:color w:val="auto"/>
                <w:highlight w:val="none"/>
              </w:rPr>
            </w:pPr>
          </w:p>
        </w:tc>
        <w:tc>
          <w:tcPr>
            <w:tcW w:w="1460" w:type="pct"/>
          </w:tcPr>
          <w:p w14:paraId="46A4AF05">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38464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45C4B268">
            <w:pPr>
              <w:spacing w:line="360" w:lineRule="auto"/>
              <w:jc w:val="left"/>
              <w:rPr>
                <w:color w:val="auto"/>
                <w:highlight w:val="none"/>
              </w:rPr>
            </w:pPr>
          </w:p>
        </w:tc>
        <w:tc>
          <w:tcPr>
            <w:tcW w:w="702" w:type="pct"/>
            <w:vMerge w:val="continue"/>
            <w:tcBorders>
              <w:top w:val="nil"/>
              <w:bottom w:val="nil"/>
            </w:tcBorders>
          </w:tcPr>
          <w:p w14:paraId="13B81B86">
            <w:pPr>
              <w:spacing w:line="360" w:lineRule="auto"/>
              <w:jc w:val="left"/>
              <w:rPr>
                <w:color w:val="auto"/>
                <w:highlight w:val="none"/>
              </w:rPr>
            </w:pPr>
          </w:p>
        </w:tc>
        <w:tc>
          <w:tcPr>
            <w:tcW w:w="1413" w:type="pct"/>
          </w:tcPr>
          <w:p w14:paraId="5C8B9B38">
            <w:pPr>
              <w:spacing w:line="360" w:lineRule="auto"/>
              <w:jc w:val="left"/>
              <w:rPr>
                <w:color w:val="auto"/>
                <w:highlight w:val="none"/>
              </w:rPr>
            </w:pPr>
            <w:r>
              <w:rPr>
                <w:color w:val="auto"/>
                <w:highlight w:val="none"/>
              </w:rPr>
              <w:t xml:space="preserve">A10020304 </w:t>
            </w:r>
            <w:r>
              <w:rPr>
                <w:rFonts w:hint="eastAsia"/>
                <w:color w:val="auto"/>
                <w:highlight w:val="none"/>
              </w:rPr>
              <w:t>细木工板</w:t>
            </w:r>
          </w:p>
        </w:tc>
        <w:tc>
          <w:tcPr>
            <w:tcW w:w="1002" w:type="pct"/>
          </w:tcPr>
          <w:p w14:paraId="6D00512E">
            <w:pPr>
              <w:spacing w:line="360" w:lineRule="auto"/>
              <w:jc w:val="left"/>
              <w:rPr>
                <w:color w:val="auto"/>
                <w:highlight w:val="none"/>
              </w:rPr>
            </w:pPr>
          </w:p>
        </w:tc>
        <w:tc>
          <w:tcPr>
            <w:tcW w:w="1460" w:type="pct"/>
          </w:tcPr>
          <w:p w14:paraId="68B18DAD">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41731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21" w:type="pct"/>
            <w:vMerge w:val="continue"/>
            <w:tcBorders>
              <w:top w:val="nil"/>
            </w:tcBorders>
          </w:tcPr>
          <w:p w14:paraId="39A585AC">
            <w:pPr>
              <w:spacing w:line="360" w:lineRule="auto"/>
              <w:jc w:val="left"/>
              <w:rPr>
                <w:color w:val="auto"/>
                <w:highlight w:val="none"/>
              </w:rPr>
            </w:pPr>
          </w:p>
        </w:tc>
        <w:tc>
          <w:tcPr>
            <w:tcW w:w="702" w:type="pct"/>
            <w:vMerge w:val="continue"/>
            <w:tcBorders>
              <w:top w:val="nil"/>
            </w:tcBorders>
          </w:tcPr>
          <w:p w14:paraId="7DBA56E7">
            <w:pPr>
              <w:spacing w:line="360" w:lineRule="auto"/>
              <w:jc w:val="left"/>
              <w:rPr>
                <w:color w:val="auto"/>
                <w:highlight w:val="none"/>
              </w:rPr>
            </w:pPr>
          </w:p>
        </w:tc>
        <w:tc>
          <w:tcPr>
            <w:tcW w:w="1413" w:type="pct"/>
          </w:tcPr>
          <w:p w14:paraId="15FE8E67">
            <w:pPr>
              <w:spacing w:line="360" w:lineRule="auto"/>
              <w:jc w:val="left"/>
              <w:rPr>
                <w:color w:val="auto"/>
                <w:highlight w:val="none"/>
              </w:rPr>
            </w:pPr>
            <w:r>
              <w:rPr>
                <w:color w:val="auto"/>
                <w:highlight w:val="none"/>
              </w:rPr>
              <w:t xml:space="preserve">A10020399 </w:t>
            </w:r>
            <w:r>
              <w:rPr>
                <w:rFonts w:hint="eastAsia"/>
                <w:color w:val="auto"/>
                <w:highlight w:val="none"/>
              </w:rPr>
              <w:t>其他人造板</w:t>
            </w:r>
          </w:p>
        </w:tc>
        <w:tc>
          <w:tcPr>
            <w:tcW w:w="1002" w:type="pct"/>
          </w:tcPr>
          <w:p w14:paraId="14B61245">
            <w:pPr>
              <w:spacing w:line="360" w:lineRule="auto"/>
              <w:jc w:val="left"/>
              <w:rPr>
                <w:color w:val="auto"/>
                <w:highlight w:val="none"/>
              </w:rPr>
            </w:pPr>
          </w:p>
        </w:tc>
        <w:tc>
          <w:tcPr>
            <w:tcW w:w="1460" w:type="pct"/>
          </w:tcPr>
          <w:p w14:paraId="19A04ED3">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378E9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21" w:type="pct"/>
            <w:vMerge w:val="restart"/>
            <w:tcBorders>
              <w:bottom w:val="nil"/>
            </w:tcBorders>
          </w:tcPr>
          <w:p w14:paraId="04FB4263">
            <w:pPr>
              <w:spacing w:line="360" w:lineRule="auto"/>
              <w:jc w:val="left"/>
              <w:rPr>
                <w:color w:val="auto"/>
                <w:highlight w:val="none"/>
              </w:rPr>
            </w:pPr>
            <w:r>
              <w:rPr>
                <w:color w:val="auto"/>
                <w:highlight w:val="none"/>
              </w:rPr>
              <w:t>33</w:t>
            </w:r>
          </w:p>
        </w:tc>
        <w:tc>
          <w:tcPr>
            <w:tcW w:w="702" w:type="pct"/>
            <w:vMerge w:val="restart"/>
            <w:tcBorders>
              <w:bottom w:val="nil"/>
            </w:tcBorders>
          </w:tcPr>
          <w:p w14:paraId="2B18E6F2">
            <w:pPr>
              <w:spacing w:line="360" w:lineRule="auto"/>
              <w:jc w:val="left"/>
              <w:rPr>
                <w:color w:val="auto"/>
                <w:highlight w:val="none"/>
              </w:rPr>
            </w:pPr>
            <w:r>
              <w:rPr>
                <w:color w:val="auto"/>
                <w:highlight w:val="none"/>
              </w:rPr>
              <w:t xml:space="preserve">A100204 </w:t>
            </w:r>
            <w:r>
              <w:rPr>
                <w:rFonts w:hint="eastAsia"/>
                <w:color w:val="auto"/>
                <w:highlight w:val="none"/>
              </w:rPr>
              <w:t>二次加</w:t>
            </w:r>
            <w:r>
              <w:rPr>
                <w:color w:val="auto"/>
                <w:highlight w:val="none"/>
              </w:rPr>
              <w:t xml:space="preserve"> </w:t>
            </w:r>
            <w:r>
              <w:rPr>
                <w:rFonts w:hint="eastAsia"/>
                <w:color w:val="auto"/>
                <w:highlight w:val="none"/>
              </w:rPr>
              <w:t>工材，相关板材</w:t>
            </w:r>
          </w:p>
        </w:tc>
        <w:tc>
          <w:tcPr>
            <w:tcW w:w="1413" w:type="pct"/>
          </w:tcPr>
          <w:p w14:paraId="0A80752F">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p>
        </w:tc>
        <w:tc>
          <w:tcPr>
            <w:tcW w:w="1002" w:type="pct"/>
          </w:tcPr>
          <w:p w14:paraId="3927B781">
            <w:pPr>
              <w:spacing w:line="360" w:lineRule="auto"/>
              <w:jc w:val="left"/>
              <w:rPr>
                <w:color w:val="auto"/>
                <w:highlight w:val="none"/>
              </w:rPr>
            </w:pPr>
          </w:p>
        </w:tc>
        <w:tc>
          <w:tcPr>
            <w:tcW w:w="1460" w:type="pct"/>
          </w:tcPr>
          <w:p w14:paraId="24FA9A0D">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14:paraId="48611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14:paraId="303AA299">
            <w:pPr>
              <w:spacing w:line="360" w:lineRule="auto"/>
              <w:jc w:val="left"/>
              <w:rPr>
                <w:color w:val="auto"/>
                <w:highlight w:val="none"/>
              </w:rPr>
            </w:pPr>
          </w:p>
        </w:tc>
        <w:tc>
          <w:tcPr>
            <w:tcW w:w="702" w:type="pct"/>
            <w:vMerge w:val="continue"/>
            <w:tcBorders>
              <w:top w:val="nil"/>
            </w:tcBorders>
          </w:tcPr>
          <w:p w14:paraId="6C761A0F">
            <w:pPr>
              <w:spacing w:line="360" w:lineRule="auto"/>
              <w:jc w:val="left"/>
              <w:rPr>
                <w:color w:val="auto"/>
                <w:highlight w:val="none"/>
              </w:rPr>
            </w:pPr>
          </w:p>
        </w:tc>
        <w:tc>
          <w:tcPr>
            <w:tcW w:w="1413" w:type="pct"/>
          </w:tcPr>
          <w:p w14:paraId="301B2F66">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r>
              <w:rPr>
                <w:color w:val="auto"/>
                <w:highlight w:val="none"/>
              </w:rPr>
              <w:t xml:space="preserve"> </w:t>
            </w:r>
            <w:r>
              <w:rPr>
                <w:rFonts w:hint="eastAsia"/>
                <w:color w:val="auto"/>
                <w:highlight w:val="none"/>
              </w:rPr>
              <w:t>（地板）</w:t>
            </w:r>
          </w:p>
        </w:tc>
        <w:tc>
          <w:tcPr>
            <w:tcW w:w="1002" w:type="pct"/>
          </w:tcPr>
          <w:p w14:paraId="3A6B03D3">
            <w:pPr>
              <w:spacing w:line="360" w:lineRule="auto"/>
              <w:jc w:val="left"/>
              <w:rPr>
                <w:color w:val="auto"/>
                <w:highlight w:val="none"/>
              </w:rPr>
            </w:pPr>
          </w:p>
        </w:tc>
        <w:tc>
          <w:tcPr>
            <w:tcW w:w="1460" w:type="pct"/>
          </w:tcPr>
          <w:p w14:paraId="54CC5EE4">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14:paraId="0955E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071C1675">
            <w:pPr>
              <w:spacing w:line="360" w:lineRule="auto"/>
              <w:jc w:val="left"/>
              <w:rPr>
                <w:color w:val="auto"/>
                <w:highlight w:val="none"/>
              </w:rPr>
            </w:pPr>
            <w:r>
              <w:rPr>
                <w:color w:val="auto"/>
                <w:highlight w:val="none"/>
              </w:rPr>
              <w:t>34</w:t>
            </w:r>
          </w:p>
        </w:tc>
        <w:tc>
          <w:tcPr>
            <w:tcW w:w="702" w:type="pct"/>
          </w:tcPr>
          <w:p w14:paraId="3FD746DB">
            <w:pPr>
              <w:spacing w:line="360" w:lineRule="auto"/>
              <w:jc w:val="left"/>
              <w:rPr>
                <w:color w:val="auto"/>
                <w:highlight w:val="none"/>
              </w:rPr>
            </w:pPr>
            <w:r>
              <w:rPr>
                <w:color w:val="auto"/>
                <w:highlight w:val="none"/>
              </w:rPr>
              <w:t xml:space="preserve">A100301 </w:t>
            </w:r>
            <w:r>
              <w:rPr>
                <w:rFonts w:hint="eastAsia"/>
                <w:color w:val="auto"/>
                <w:highlight w:val="none"/>
              </w:rPr>
              <w:t>水泥熟</w:t>
            </w:r>
            <w:r>
              <w:rPr>
                <w:color w:val="auto"/>
                <w:highlight w:val="none"/>
              </w:rPr>
              <w:t xml:space="preserve"> </w:t>
            </w:r>
            <w:r>
              <w:rPr>
                <w:rFonts w:hint="eastAsia"/>
                <w:color w:val="auto"/>
                <w:highlight w:val="none"/>
              </w:rPr>
              <w:t>料及水泥</w:t>
            </w:r>
          </w:p>
        </w:tc>
        <w:tc>
          <w:tcPr>
            <w:tcW w:w="1413" w:type="pct"/>
          </w:tcPr>
          <w:p w14:paraId="17D8B504">
            <w:pPr>
              <w:spacing w:line="360" w:lineRule="auto"/>
              <w:jc w:val="left"/>
              <w:rPr>
                <w:color w:val="auto"/>
                <w:highlight w:val="none"/>
              </w:rPr>
            </w:pPr>
            <w:r>
              <w:rPr>
                <w:color w:val="auto"/>
                <w:highlight w:val="none"/>
              </w:rPr>
              <w:t xml:space="preserve">A10030102 </w:t>
            </w:r>
            <w:r>
              <w:rPr>
                <w:rFonts w:hint="eastAsia"/>
                <w:color w:val="auto"/>
                <w:highlight w:val="none"/>
              </w:rPr>
              <w:t>水泥</w:t>
            </w:r>
          </w:p>
        </w:tc>
        <w:tc>
          <w:tcPr>
            <w:tcW w:w="1002" w:type="pct"/>
          </w:tcPr>
          <w:p w14:paraId="3BBAC3AD">
            <w:pPr>
              <w:spacing w:line="360" w:lineRule="auto"/>
              <w:jc w:val="left"/>
              <w:rPr>
                <w:color w:val="auto"/>
                <w:highlight w:val="none"/>
              </w:rPr>
            </w:pPr>
          </w:p>
        </w:tc>
        <w:tc>
          <w:tcPr>
            <w:tcW w:w="1460" w:type="pct"/>
          </w:tcPr>
          <w:p w14:paraId="0F0D9D40">
            <w:pPr>
              <w:spacing w:line="360" w:lineRule="auto"/>
              <w:jc w:val="left"/>
              <w:rPr>
                <w:color w:val="auto"/>
                <w:highlight w:val="none"/>
              </w:rPr>
            </w:pPr>
            <w:r>
              <w:rPr>
                <w:color w:val="auto"/>
                <w:highlight w:val="none"/>
              </w:rPr>
              <w:t xml:space="preserve">HJ2519 </w:t>
            </w:r>
            <w:r>
              <w:rPr>
                <w:rFonts w:hint="eastAsia"/>
                <w:color w:val="auto"/>
                <w:highlight w:val="none"/>
              </w:rPr>
              <w:t>水泥</w:t>
            </w:r>
          </w:p>
        </w:tc>
      </w:tr>
      <w:tr w14:paraId="1FB3B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6554E289">
            <w:pPr>
              <w:spacing w:line="360" w:lineRule="auto"/>
              <w:jc w:val="left"/>
              <w:rPr>
                <w:color w:val="auto"/>
                <w:highlight w:val="none"/>
              </w:rPr>
            </w:pPr>
            <w:r>
              <w:rPr>
                <w:color w:val="auto"/>
                <w:highlight w:val="none"/>
              </w:rPr>
              <w:t>35</w:t>
            </w:r>
          </w:p>
        </w:tc>
        <w:tc>
          <w:tcPr>
            <w:tcW w:w="702" w:type="pct"/>
          </w:tcPr>
          <w:p w14:paraId="4027A62F">
            <w:pPr>
              <w:spacing w:line="360" w:lineRule="auto"/>
              <w:jc w:val="left"/>
              <w:rPr>
                <w:color w:val="auto"/>
                <w:highlight w:val="none"/>
              </w:rPr>
            </w:pPr>
            <w:r>
              <w:rPr>
                <w:color w:val="auto"/>
                <w:highlight w:val="none"/>
              </w:rPr>
              <w:t xml:space="preserve">A100303 </w:t>
            </w:r>
            <w:r>
              <w:rPr>
                <w:rFonts w:hint="eastAsia"/>
                <w:color w:val="auto"/>
                <w:highlight w:val="none"/>
              </w:rPr>
              <w:t>水泥混</w:t>
            </w:r>
            <w:r>
              <w:rPr>
                <w:color w:val="auto"/>
                <w:highlight w:val="none"/>
              </w:rPr>
              <w:t xml:space="preserve"> </w:t>
            </w:r>
            <w:r>
              <w:rPr>
                <w:rFonts w:hint="eastAsia"/>
                <w:color w:val="auto"/>
                <w:highlight w:val="none"/>
              </w:rPr>
              <w:t>凝土制品</w:t>
            </w:r>
          </w:p>
        </w:tc>
        <w:tc>
          <w:tcPr>
            <w:tcW w:w="1413" w:type="pct"/>
          </w:tcPr>
          <w:p w14:paraId="5115685B">
            <w:pPr>
              <w:spacing w:line="360" w:lineRule="auto"/>
              <w:jc w:val="left"/>
              <w:rPr>
                <w:color w:val="auto"/>
                <w:highlight w:val="none"/>
              </w:rPr>
            </w:pPr>
            <w:r>
              <w:rPr>
                <w:color w:val="auto"/>
                <w:highlight w:val="none"/>
              </w:rPr>
              <w:t xml:space="preserve">A10030301 </w:t>
            </w:r>
            <w:r>
              <w:rPr>
                <w:rFonts w:hint="eastAsia"/>
                <w:color w:val="auto"/>
                <w:highlight w:val="none"/>
              </w:rPr>
              <w:t>商品混凝土</w:t>
            </w:r>
          </w:p>
        </w:tc>
        <w:tc>
          <w:tcPr>
            <w:tcW w:w="1002" w:type="pct"/>
          </w:tcPr>
          <w:p w14:paraId="72B9D84A">
            <w:pPr>
              <w:spacing w:line="360" w:lineRule="auto"/>
              <w:jc w:val="left"/>
              <w:rPr>
                <w:color w:val="auto"/>
                <w:highlight w:val="none"/>
              </w:rPr>
            </w:pPr>
          </w:p>
        </w:tc>
        <w:tc>
          <w:tcPr>
            <w:tcW w:w="1460" w:type="pct"/>
          </w:tcPr>
          <w:p w14:paraId="6EBAA961">
            <w:pPr>
              <w:spacing w:line="360" w:lineRule="auto"/>
              <w:jc w:val="left"/>
              <w:rPr>
                <w:color w:val="auto"/>
                <w:highlight w:val="none"/>
              </w:rPr>
            </w:pPr>
            <w:r>
              <w:rPr>
                <w:color w:val="auto"/>
                <w:highlight w:val="none"/>
              </w:rPr>
              <w:t xml:space="preserve">HJ/T412 </w:t>
            </w:r>
            <w:r>
              <w:rPr>
                <w:rFonts w:hint="eastAsia"/>
                <w:color w:val="auto"/>
                <w:highlight w:val="none"/>
              </w:rPr>
              <w:t>预拌混凝土</w:t>
            </w:r>
          </w:p>
        </w:tc>
      </w:tr>
      <w:tr w14:paraId="1423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6E9A29EC">
            <w:pPr>
              <w:spacing w:line="360" w:lineRule="auto"/>
              <w:jc w:val="left"/>
              <w:rPr>
                <w:color w:val="auto"/>
                <w:highlight w:val="none"/>
              </w:rPr>
            </w:pPr>
            <w:r>
              <w:rPr>
                <w:color w:val="auto"/>
                <w:highlight w:val="none"/>
              </w:rPr>
              <w:t>36</w:t>
            </w:r>
          </w:p>
        </w:tc>
        <w:tc>
          <w:tcPr>
            <w:tcW w:w="702" w:type="pct"/>
            <w:vMerge w:val="restart"/>
            <w:tcBorders>
              <w:bottom w:val="nil"/>
            </w:tcBorders>
          </w:tcPr>
          <w:p w14:paraId="5576E44A">
            <w:pPr>
              <w:spacing w:line="360" w:lineRule="auto"/>
              <w:jc w:val="left"/>
              <w:rPr>
                <w:color w:val="auto"/>
                <w:highlight w:val="none"/>
              </w:rPr>
            </w:pPr>
            <w:r>
              <w:rPr>
                <w:color w:val="auto"/>
                <w:highlight w:val="none"/>
              </w:rPr>
              <w:t xml:space="preserve">A100304 </w:t>
            </w:r>
            <w:r>
              <w:rPr>
                <w:rFonts w:hint="eastAsia"/>
                <w:color w:val="auto"/>
                <w:highlight w:val="none"/>
              </w:rPr>
              <w:t>纤维增</w:t>
            </w:r>
            <w:r>
              <w:rPr>
                <w:color w:val="auto"/>
                <w:highlight w:val="none"/>
              </w:rPr>
              <w:t xml:space="preserve"> </w:t>
            </w:r>
            <w:r>
              <w:rPr>
                <w:rFonts w:hint="eastAsia"/>
                <w:color w:val="auto"/>
                <w:highlight w:val="none"/>
              </w:rPr>
              <w:t>强水泥制品</w:t>
            </w:r>
          </w:p>
        </w:tc>
        <w:tc>
          <w:tcPr>
            <w:tcW w:w="1413" w:type="pct"/>
          </w:tcPr>
          <w:p w14:paraId="30139872">
            <w:pPr>
              <w:spacing w:line="360" w:lineRule="auto"/>
              <w:jc w:val="left"/>
              <w:rPr>
                <w:color w:val="auto"/>
                <w:highlight w:val="none"/>
              </w:rPr>
            </w:pPr>
            <w:r>
              <w:rPr>
                <w:color w:val="auto"/>
                <w:highlight w:val="none"/>
              </w:rPr>
              <w:t xml:space="preserve">A10030402 </w:t>
            </w:r>
            <w:r>
              <w:rPr>
                <w:rFonts w:hint="eastAsia"/>
                <w:color w:val="auto"/>
                <w:highlight w:val="none"/>
              </w:rPr>
              <w:t>纤维增强硅酸钙板</w:t>
            </w:r>
          </w:p>
        </w:tc>
        <w:tc>
          <w:tcPr>
            <w:tcW w:w="1002" w:type="pct"/>
          </w:tcPr>
          <w:p w14:paraId="14BE2F6E">
            <w:pPr>
              <w:spacing w:line="360" w:lineRule="auto"/>
              <w:jc w:val="left"/>
              <w:rPr>
                <w:color w:val="auto"/>
                <w:highlight w:val="none"/>
              </w:rPr>
            </w:pPr>
          </w:p>
        </w:tc>
        <w:tc>
          <w:tcPr>
            <w:tcW w:w="1460" w:type="pct"/>
          </w:tcPr>
          <w:p w14:paraId="5AEBF297">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08532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53660AC1">
            <w:pPr>
              <w:spacing w:line="360" w:lineRule="auto"/>
              <w:jc w:val="left"/>
              <w:rPr>
                <w:color w:val="auto"/>
                <w:highlight w:val="none"/>
              </w:rPr>
            </w:pPr>
          </w:p>
        </w:tc>
        <w:tc>
          <w:tcPr>
            <w:tcW w:w="702" w:type="pct"/>
            <w:vMerge w:val="continue"/>
            <w:tcBorders>
              <w:top w:val="nil"/>
            </w:tcBorders>
          </w:tcPr>
          <w:p w14:paraId="53FC3A23">
            <w:pPr>
              <w:spacing w:line="360" w:lineRule="auto"/>
              <w:jc w:val="left"/>
              <w:rPr>
                <w:color w:val="auto"/>
                <w:highlight w:val="none"/>
              </w:rPr>
            </w:pPr>
          </w:p>
        </w:tc>
        <w:tc>
          <w:tcPr>
            <w:tcW w:w="1413" w:type="pct"/>
          </w:tcPr>
          <w:p w14:paraId="4218534D">
            <w:pPr>
              <w:spacing w:line="360" w:lineRule="auto"/>
              <w:jc w:val="left"/>
              <w:rPr>
                <w:color w:val="auto"/>
                <w:highlight w:val="none"/>
              </w:rPr>
            </w:pPr>
            <w:r>
              <w:rPr>
                <w:color w:val="auto"/>
                <w:highlight w:val="none"/>
              </w:rPr>
              <w:t xml:space="preserve">A10030403 </w:t>
            </w:r>
            <w:r>
              <w:rPr>
                <w:rFonts w:hint="eastAsia"/>
                <w:color w:val="auto"/>
                <w:highlight w:val="none"/>
              </w:rPr>
              <w:t>无石棉纤维水泥制品</w:t>
            </w:r>
          </w:p>
        </w:tc>
        <w:tc>
          <w:tcPr>
            <w:tcW w:w="1002" w:type="pct"/>
          </w:tcPr>
          <w:p w14:paraId="08AE7F2F">
            <w:pPr>
              <w:spacing w:line="360" w:lineRule="auto"/>
              <w:jc w:val="left"/>
              <w:rPr>
                <w:color w:val="auto"/>
                <w:highlight w:val="none"/>
              </w:rPr>
            </w:pPr>
          </w:p>
        </w:tc>
        <w:tc>
          <w:tcPr>
            <w:tcW w:w="1460" w:type="pct"/>
          </w:tcPr>
          <w:p w14:paraId="7C0CEC19">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22CD6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5295C82E">
            <w:pPr>
              <w:spacing w:line="360" w:lineRule="auto"/>
              <w:jc w:val="left"/>
              <w:rPr>
                <w:color w:val="auto"/>
                <w:highlight w:val="none"/>
              </w:rPr>
            </w:pPr>
            <w:r>
              <w:rPr>
                <w:color w:val="auto"/>
                <w:highlight w:val="none"/>
              </w:rPr>
              <w:t>37</w:t>
            </w:r>
          </w:p>
        </w:tc>
        <w:tc>
          <w:tcPr>
            <w:tcW w:w="702" w:type="pct"/>
            <w:vMerge w:val="restart"/>
            <w:tcBorders>
              <w:bottom w:val="nil"/>
            </w:tcBorders>
          </w:tcPr>
          <w:p w14:paraId="257F6AC0">
            <w:pPr>
              <w:spacing w:line="360" w:lineRule="auto"/>
              <w:jc w:val="left"/>
              <w:rPr>
                <w:color w:val="auto"/>
                <w:highlight w:val="none"/>
              </w:rPr>
            </w:pPr>
            <w:r>
              <w:rPr>
                <w:color w:val="auto"/>
                <w:highlight w:val="none"/>
              </w:rPr>
              <w:t xml:space="preserve">A100305 </w:t>
            </w:r>
            <w:r>
              <w:rPr>
                <w:rFonts w:hint="eastAsia"/>
                <w:color w:val="auto"/>
                <w:highlight w:val="none"/>
              </w:rPr>
              <w:t>轻质建</w:t>
            </w:r>
            <w:r>
              <w:rPr>
                <w:color w:val="auto"/>
                <w:highlight w:val="none"/>
              </w:rPr>
              <w:t xml:space="preserve"> </w:t>
            </w:r>
            <w:r>
              <w:rPr>
                <w:rFonts w:hint="eastAsia"/>
                <w:color w:val="auto"/>
                <w:highlight w:val="none"/>
              </w:rPr>
              <w:t>筑材料及制品</w:t>
            </w:r>
          </w:p>
        </w:tc>
        <w:tc>
          <w:tcPr>
            <w:tcW w:w="1413" w:type="pct"/>
          </w:tcPr>
          <w:p w14:paraId="22835546">
            <w:pPr>
              <w:spacing w:line="360" w:lineRule="auto"/>
              <w:jc w:val="left"/>
              <w:rPr>
                <w:color w:val="auto"/>
                <w:highlight w:val="none"/>
              </w:rPr>
            </w:pPr>
            <w:r>
              <w:rPr>
                <w:color w:val="auto"/>
                <w:highlight w:val="none"/>
              </w:rPr>
              <w:t xml:space="preserve">A10030501 </w:t>
            </w:r>
            <w:r>
              <w:rPr>
                <w:rFonts w:hint="eastAsia"/>
                <w:color w:val="auto"/>
                <w:highlight w:val="none"/>
              </w:rPr>
              <w:t>石膏板</w:t>
            </w:r>
          </w:p>
        </w:tc>
        <w:tc>
          <w:tcPr>
            <w:tcW w:w="1002" w:type="pct"/>
          </w:tcPr>
          <w:p w14:paraId="47B60D5B">
            <w:pPr>
              <w:spacing w:line="360" w:lineRule="auto"/>
              <w:jc w:val="left"/>
              <w:rPr>
                <w:color w:val="auto"/>
                <w:highlight w:val="none"/>
              </w:rPr>
            </w:pPr>
          </w:p>
        </w:tc>
        <w:tc>
          <w:tcPr>
            <w:tcW w:w="1460" w:type="pct"/>
          </w:tcPr>
          <w:p w14:paraId="2028B91E">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0B803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421" w:type="pct"/>
            <w:vMerge w:val="continue"/>
            <w:tcBorders>
              <w:top w:val="nil"/>
            </w:tcBorders>
          </w:tcPr>
          <w:p w14:paraId="29B6E75C">
            <w:pPr>
              <w:spacing w:line="360" w:lineRule="auto"/>
              <w:jc w:val="left"/>
              <w:rPr>
                <w:color w:val="auto"/>
                <w:highlight w:val="none"/>
              </w:rPr>
            </w:pPr>
          </w:p>
        </w:tc>
        <w:tc>
          <w:tcPr>
            <w:tcW w:w="702" w:type="pct"/>
            <w:vMerge w:val="continue"/>
            <w:tcBorders>
              <w:top w:val="nil"/>
            </w:tcBorders>
          </w:tcPr>
          <w:p w14:paraId="6DD55A01">
            <w:pPr>
              <w:spacing w:line="360" w:lineRule="auto"/>
              <w:jc w:val="left"/>
              <w:rPr>
                <w:color w:val="auto"/>
                <w:highlight w:val="none"/>
              </w:rPr>
            </w:pPr>
          </w:p>
        </w:tc>
        <w:tc>
          <w:tcPr>
            <w:tcW w:w="1413" w:type="pct"/>
          </w:tcPr>
          <w:p w14:paraId="335AF51A">
            <w:pPr>
              <w:spacing w:line="360" w:lineRule="auto"/>
              <w:jc w:val="left"/>
              <w:rPr>
                <w:color w:val="auto"/>
                <w:highlight w:val="none"/>
              </w:rPr>
            </w:pPr>
            <w:r>
              <w:rPr>
                <w:color w:val="auto"/>
                <w:highlight w:val="none"/>
              </w:rPr>
              <w:t xml:space="preserve">A10030503 </w:t>
            </w:r>
            <w:r>
              <w:rPr>
                <w:rFonts w:hint="eastAsia"/>
                <w:color w:val="auto"/>
                <w:highlight w:val="none"/>
              </w:rPr>
              <w:t>轻质隔墙条板</w:t>
            </w:r>
          </w:p>
        </w:tc>
        <w:tc>
          <w:tcPr>
            <w:tcW w:w="1002" w:type="pct"/>
          </w:tcPr>
          <w:p w14:paraId="46522F78">
            <w:pPr>
              <w:spacing w:line="360" w:lineRule="auto"/>
              <w:jc w:val="left"/>
              <w:rPr>
                <w:color w:val="auto"/>
                <w:highlight w:val="none"/>
              </w:rPr>
            </w:pPr>
          </w:p>
        </w:tc>
        <w:tc>
          <w:tcPr>
            <w:tcW w:w="1460" w:type="pct"/>
          </w:tcPr>
          <w:p w14:paraId="556F8885">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01623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09DBB214">
            <w:pPr>
              <w:spacing w:line="360" w:lineRule="auto"/>
              <w:jc w:val="left"/>
              <w:rPr>
                <w:color w:val="auto"/>
                <w:highlight w:val="none"/>
              </w:rPr>
            </w:pPr>
            <w:r>
              <w:rPr>
                <w:color w:val="auto"/>
                <w:highlight w:val="none"/>
              </w:rPr>
              <w:t>38</w:t>
            </w:r>
          </w:p>
        </w:tc>
        <w:tc>
          <w:tcPr>
            <w:tcW w:w="702" w:type="pct"/>
            <w:vMerge w:val="restart"/>
            <w:tcBorders>
              <w:bottom w:val="nil"/>
            </w:tcBorders>
          </w:tcPr>
          <w:p w14:paraId="676D63B9">
            <w:pPr>
              <w:spacing w:line="360" w:lineRule="auto"/>
              <w:jc w:val="left"/>
              <w:rPr>
                <w:color w:val="auto"/>
                <w:highlight w:val="none"/>
              </w:rPr>
            </w:pPr>
            <w:r>
              <w:rPr>
                <w:color w:val="auto"/>
                <w:highlight w:val="none"/>
              </w:rPr>
              <w:t xml:space="preserve">A100307 </w:t>
            </w:r>
            <w:r>
              <w:rPr>
                <w:rFonts w:hint="eastAsia"/>
                <w:color w:val="auto"/>
                <w:highlight w:val="none"/>
              </w:rPr>
              <w:t>建筑</w:t>
            </w:r>
            <w:r>
              <w:rPr>
                <w:color w:val="auto"/>
                <w:highlight w:val="none"/>
              </w:rPr>
              <w:t xml:space="preserve"> </w:t>
            </w:r>
            <w:r>
              <w:rPr>
                <w:rFonts w:hint="eastAsia"/>
                <w:color w:val="auto"/>
                <w:highlight w:val="none"/>
              </w:rPr>
              <w:t>陶</w:t>
            </w:r>
            <w:r>
              <w:rPr>
                <w:color w:val="auto"/>
                <w:highlight w:val="none"/>
              </w:rPr>
              <w:t xml:space="preserve"> </w:t>
            </w:r>
            <w:r>
              <w:rPr>
                <w:rFonts w:hint="eastAsia"/>
                <w:color w:val="auto"/>
                <w:highlight w:val="none"/>
              </w:rPr>
              <w:t>瓷制品</w:t>
            </w:r>
          </w:p>
        </w:tc>
        <w:tc>
          <w:tcPr>
            <w:tcW w:w="1413" w:type="pct"/>
          </w:tcPr>
          <w:p w14:paraId="78C11E78">
            <w:pPr>
              <w:spacing w:line="360" w:lineRule="auto"/>
              <w:jc w:val="left"/>
              <w:rPr>
                <w:color w:val="auto"/>
                <w:highlight w:val="none"/>
              </w:rPr>
            </w:pPr>
            <w:r>
              <w:rPr>
                <w:color w:val="auto"/>
                <w:highlight w:val="none"/>
              </w:rPr>
              <w:t xml:space="preserve">A10030701 </w:t>
            </w:r>
            <w:r>
              <w:rPr>
                <w:rFonts w:hint="eastAsia"/>
                <w:color w:val="auto"/>
                <w:highlight w:val="none"/>
              </w:rPr>
              <w:t>瓷质砖</w:t>
            </w:r>
          </w:p>
        </w:tc>
        <w:tc>
          <w:tcPr>
            <w:tcW w:w="1002" w:type="pct"/>
          </w:tcPr>
          <w:p w14:paraId="0F9AF7BE">
            <w:pPr>
              <w:spacing w:line="360" w:lineRule="auto"/>
              <w:jc w:val="left"/>
              <w:rPr>
                <w:color w:val="auto"/>
                <w:highlight w:val="none"/>
              </w:rPr>
            </w:pPr>
          </w:p>
        </w:tc>
        <w:tc>
          <w:tcPr>
            <w:tcW w:w="1460" w:type="pct"/>
          </w:tcPr>
          <w:p w14:paraId="52F9E22D">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14:paraId="1AB2C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11530339">
            <w:pPr>
              <w:spacing w:line="360" w:lineRule="auto"/>
              <w:jc w:val="left"/>
              <w:rPr>
                <w:color w:val="auto"/>
                <w:highlight w:val="none"/>
              </w:rPr>
            </w:pPr>
          </w:p>
        </w:tc>
        <w:tc>
          <w:tcPr>
            <w:tcW w:w="702" w:type="pct"/>
            <w:vMerge w:val="continue"/>
            <w:tcBorders>
              <w:top w:val="nil"/>
              <w:bottom w:val="nil"/>
            </w:tcBorders>
          </w:tcPr>
          <w:p w14:paraId="500725F8">
            <w:pPr>
              <w:spacing w:line="360" w:lineRule="auto"/>
              <w:jc w:val="left"/>
              <w:rPr>
                <w:color w:val="auto"/>
                <w:highlight w:val="none"/>
              </w:rPr>
            </w:pPr>
          </w:p>
        </w:tc>
        <w:tc>
          <w:tcPr>
            <w:tcW w:w="1413" w:type="pct"/>
          </w:tcPr>
          <w:p w14:paraId="35F8AFF9">
            <w:pPr>
              <w:spacing w:line="360" w:lineRule="auto"/>
              <w:jc w:val="left"/>
              <w:rPr>
                <w:color w:val="auto"/>
                <w:highlight w:val="none"/>
              </w:rPr>
            </w:pPr>
            <w:r>
              <w:rPr>
                <w:color w:val="auto"/>
                <w:highlight w:val="none"/>
              </w:rPr>
              <w:t xml:space="preserve">A10030704 </w:t>
            </w:r>
            <w:r>
              <w:rPr>
                <w:rFonts w:hint="eastAsia"/>
                <w:color w:val="auto"/>
                <w:highlight w:val="none"/>
              </w:rPr>
              <w:t>炻质砖</w:t>
            </w:r>
          </w:p>
        </w:tc>
        <w:tc>
          <w:tcPr>
            <w:tcW w:w="1002" w:type="pct"/>
          </w:tcPr>
          <w:p w14:paraId="1660D588">
            <w:pPr>
              <w:spacing w:line="360" w:lineRule="auto"/>
              <w:jc w:val="left"/>
              <w:rPr>
                <w:color w:val="auto"/>
                <w:highlight w:val="none"/>
              </w:rPr>
            </w:pPr>
          </w:p>
        </w:tc>
        <w:tc>
          <w:tcPr>
            <w:tcW w:w="1460" w:type="pct"/>
          </w:tcPr>
          <w:p w14:paraId="6DC9DC09">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14:paraId="19F74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0C7CA754">
            <w:pPr>
              <w:spacing w:line="360" w:lineRule="auto"/>
              <w:jc w:val="left"/>
              <w:rPr>
                <w:color w:val="auto"/>
                <w:highlight w:val="none"/>
              </w:rPr>
            </w:pPr>
          </w:p>
        </w:tc>
        <w:tc>
          <w:tcPr>
            <w:tcW w:w="702" w:type="pct"/>
            <w:vMerge w:val="continue"/>
            <w:tcBorders>
              <w:top w:val="nil"/>
              <w:bottom w:val="nil"/>
            </w:tcBorders>
          </w:tcPr>
          <w:p w14:paraId="70B117BA">
            <w:pPr>
              <w:spacing w:line="360" w:lineRule="auto"/>
              <w:jc w:val="left"/>
              <w:rPr>
                <w:color w:val="auto"/>
                <w:highlight w:val="none"/>
              </w:rPr>
            </w:pPr>
          </w:p>
        </w:tc>
        <w:tc>
          <w:tcPr>
            <w:tcW w:w="1413" w:type="pct"/>
          </w:tcPr>
          <w:p w14:paraId="565CDE87">
            <w:pPr>
              <w:spacing w:line="360" w:lineRule="auto"/>
              <w:jc w:val="left"/>
              <w:rPr>
                <w:color w:val="auto"/>
                <w:highlight w:val="none"/>
              </w:rPr>
            </w:pPr>
            <w:r>
              <w:rPr>
                <w:color w:val="auto"/>
                <w:highlight w:val="none"/>
              </w:rPr>
              <w:t xml:space="preserve">A10030705 </w:t>
            </w:r>
            <w:r>
              <w:rPr>
                <w:rFonts w:hint="eastAsia"/>
                <w:color w:val="auto"/>
                <w:highlight w:val="none"/>
              </w:rPr>
              <w:t>陶质砖</w:t>
            </w:r>
          </w:p>
        </w:tc>
        <w:tc>
          <w:tcPr>
            <w:tcW w:w="1002" w:type="pct"/>
          </w:tcPr>
          <w:p w14:paraId="050FEFBB">
            <w:pPr>
              <w:spacing w:line="360" w:lineRule="auto"/>
              <w:jc w:val="left"/>
              <w:rPr>
                <w:color w:val="auto"/>
                <w:highlight w:val="none"/>
              </w:rPr>
            </w:pPr>
          </w:p>
        </w:tc>
        <w:tc>
          <w:tcPr>
            <w:tcW w:w="1460" w:type="pct"/>
          </w:tcPr>
          <w:p w14:paraId="6274D3DB">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14:paraId="34CE6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4E82A6FF">
            <w:pPr>
              <w:spacing w:line="360" w:lineRule="auto"/>
              <w:jc w:val="left"/>
              <w:rPr>
                <w:color w:val="auto"/>
                <w:highlight w:val="none"/>
              </w:rPr>
            </w:pPr>
          </w:p>
        </w:tc>
        <w:tc>
          <w:tcPr>
            <w:tcW w:w="702" w:type="pct"/>
            <w:vMerge w:val="continue"/>
            <w:tcBorders>
              <w:top w:val="nil"/>
            </w:tcBorders>
          </w:tcPr>
          <w:p w14:paraId="3406E38E">
            <w:pPr>
              <w:spacing w:line="360" w:lineRule="auto"/>
              <w:jc w:val="left"/>
              <w:rPr>
                <w:color w:val="auto"/>
                <w:highlight w:val="none"/>
              </w:rPr>
            </w:pPr>
          </w:p>
        </w:tc>
        <w:tc>
          <w:tcPr>
            <w:tcW w:w="1413" w:type="pct"/>
          </w:tcPr>
          <w:p w14:paraId="2C77DE44">
            <w:pPr>
              <w:spacing w:line="360" w:lineRule="auto"/>
              <w:jc w:val="left"/>
              <w:rPr>
                <w:color w:val="auto"/>
                <w:highlight w:val="none"/>
              </w:rPr>
            </w:pPr>
            <w:r>
              <w:rPr>
                <w:color w:val="auto"/>
                <w:highlight w:val="none"/>
              </w:rPr>
              <w:t xml:space="preserve">A10030799 </w:t>
            </w:r>
            <w:r>
              <w:rPr>
                <w:rFonts w:hint="eastAsia"/>
                <w:color w:val="auto"/>
                <w:highlight w:val="none"/>
              </w:rPr>
              <w:t>其他建筑陶瓷制品</w:t>
            </w:r>
          </w:p>
        </w:tc>
        <w:tc>
          <w:tcPr>
            <w:tcW w:w="1002" w:type="pct"/>
          </w:tcPr>
          <w:p w14:paraId="2E792640">
            <w:pPr>
              <w:spacing w:line="360" w:lineRule="auto"/>
              <w:jc w:val="left"/>
              <w:rPr>
                <w:color w:val="auto"/>
                <w:highlight w:val="none"/>
              </w:rPr>
            </w:pPr>
          </w:p>
        </w:tc>
        <w:tc>
          <w:tcPr>
            <w:tcW w:w="1460" w:type="pct"/>
          </w:tcPr>
          <w:p w14:paraId="29030F79">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14:paraId="5BD50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14:paraId="7BBDF5AA">
            <w:pPr>
              <w:spacing w:line="360" w:lineRule="auto"/>
              <w:jc w:val="left"/>
              <w:rPr>
                <w:color w:val="auto"/>
                <w:highlight w:val="none"/>
              </w:rPr>
            </w:pPr>
            <w:r>
              <w:rPr>
                <w:color w:val="auto"/>
                <w:highlight w:val="none"/>
              </w:rPr>
              <w:t>39</w:t>
            </w:r>
          </w:p>
        </w:tc>
        <w:tc>
          <w:tcPr>
            <w:tcW w:w="702" w:type="pct"/>
            <w:vMerge w:val="restart"/>
            <w:tcBorders>
              <w:bottom w:val="nil"/>
            </w:tcBorders>
          </w:tcPr>
          <w:p w14:paraId="703CA2C2">
            <w:pPr>
              <w:spacing w:line="360" w:lineRule="auto"/>
              <w:jc w:val="left"/>
              <w:rPr>
                <w:color w:val="auto"/>
                <w:highlight w:val="none"/>
              </w:rPr>
            </w:pPr>
            <w:r>
              <w:rPr>
                <w:color w:val="auto"/>
                <w:highlight w:val="none"/>
              </w:rPr>
              <w:t xml:space="preserve">A100309 </w:t>
            </w:r>
            <w:r>
              <w:rPr>
                <w:rFonts w:hint="eastAsia"/>
                <w:color w:val="auto"/>
                <w:highlight w:val="none"/>
              </w:rPr>
              <w:t>建筑</w:t>
            </w:r>
            <w:r>
              <w:rPr>
                <w:color w:val="auto"/>
                <w:highlight w:val="none"/>
              </w:rPr>
              <w:t xml:space="preserve"> </w:t>
            </w:r>
            <w:r>
              <w:rPr>
                <w:rFonts w:hint="eastAsia"/>
                <w:color w:val="auto"/>
                <w:highlight w:val="none"/>
              </w:rPr>
              <w:t>防</w:t>
            </w:r>
            <w:r>
              <w:rPr>
                <w:color w:val="auto"/>
                <w:highlight w:val="none"/>
              </w:rPr>
              <w:t xml:space="preserve"> </w:t>
            </w:r>
            <w:r>
              <w:rPr>
                <w:rFonts w:hint="eastAsia"/>
                <w:color w:val="auto"/>
                <w:highlight w:val="none"/>
              </w:rPr>
              <w:t>水卷材及制品</w:t>
            </w:r>
          </w:p>
        </w:tc>
        <w:tc>
          <w:tcPr>
            <w:tcW w:w="1413" w:type="pct"/>
          </w:tcPr>
          <w:p w14:paraId="6BF2EB76">
            <w:pPr>
              <w:spacing w:line="360" w:lineRule="auto"/>
              <w:jc w:val="left"/>
              <w:rPr>
                <w:color w:val="auto"/>
                <w:highlight w:val="none"/>
              </w:rPr>
            </w:pPr>
            <w:r>
              <w:rPr>
                <w:color w:val="auto"/>
                <w:highlight w:val="none"/>
              </w:rPr>
              <w:t>A10030901</w:t>
            </w:r>
            <w:r>
              <w:rPr>
                <w:rFonts w:hint="eastAsia"/>
                <w:color w:val="auto"/>
                <w:highlight w:val="none"/>
              </w:rPr>
              <w:t>沥青和改性沥青防水</w:t>
            </w:r>
            <w:r>
              <w:rPr>
                <w:color w:val="auto"/>
                <w:highlight w:val="none"/>
              </w:rPr>
              <w:t xml:space="preserve"> </w:t>
            </w:r>
            <w:r>
              <w:rPr>
                <w:rFonts w:hint="eastAsia"/>
                <w:color w:val="auto"/>
                <w:highlight w:val="none"/>
              </w:rPr>
              <w:t>卷材</w:t>
            </w:r>
          </w:p>
        </w:tc>
        <w:tc>
          <w:tcPr>
            <w:tcW w:w="1002" w:type="pct"/>
          </w:tcPr>
          <w:p w14:paraId="65E5E0A9">
            <w:pPr>
              <w:spacing w:line="360" w:lineRule="auto"/>
              <w:jc w:val="left"/>
              <w:rPr>
                <w:color w:val="auto"/>
                <w:highlight w:val="none"/>
              </w:rPr>
            </w:pPr>
          </w:p>
        </w:tc>
        <w:tc>
          <w:tcPr>
            <w:tcW w:w="1460" w:type="pct"/>
          </w:tcPr>
          <w:p w14:paraId="180A60A6">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14:paraId="4C066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5928410E">
            <w:pPr>
              <w:spacing w:line="360" w:lineRule="auto"/>
              <w:jc w:val="left"/>
              <w:rPr>
                <w:color w:val="auto"/>
                <w:highlight w:val="none"/>
              </w:rPr>
            </w:pPr>
          </w:p>
        </w:tc>
        <w:tc>
          <w:tcPr>
            <w:tcW w:w="702" w:type="pct"/>
            <w:vMerge w:val="continue"/>
            <w:tcBorders>
              <w:top w:val="nil"/>
              <w:bottom w:val="nil"/>
            </w:tcBorders>
          </w:tcPr>
          <w:p w14:paraId="29341967">
            <w:pPr>
              <w:spacing w:line="360" w:lineRule="auto"/>
              <w:jc w:val="left"/>
              <w:rPr>
                <w:color w:val="auto"/>
                <w:highlight w:val="none"/>
              </w:rPr>
            </w:pPr>
          </w:p>
        </w:tc>
        <w:tc>
          <w:tcPr>
            <w:tcW w:w="1413" w:type="pct"/>
          </w:tcPr>
          <w:p w14:paraId="4C603CC7">
            <w:pPr>
              <w:spacing w:line="360" w:lineRule="auto"/>
              <w:jc w:val="left"/>
              <w:rPr>
                <w:color w:val="auto"/>
                <w:highlight w:val="none"/>
              </w:rPr>
            </w:pPr>
            <w:r>
              <w:rPr>
                <w:color w:val="auto"/>
                <w:highlight w:val="none"/>
              </w:rPr>
              <w:t xml:space="preserve">A10030903 </w:t>
            </w:r>
            <w:r>
              <w:rPr>
                <w:rFonts w:hint="eastAsia"/>
                <w:color w:val="auto"/>
                <w:highlight w:val="none"/>
              </w:rPr>
              <w:t>自粘防水卷材</w:t>
            </w:r>
          </w:p>
        </w:tc>
        <w:tc>
          <w:tcPr>
            <w:tcW w:w="1002" w:type="pct"/>
          </w:tcPr>
          <w:p w14:paraId="77AD9691">
            <w:pPr>
              <w:spacing w:line="360" w:lineRule="auto"/>
              <w:jc w:val="left"/>
              <w:rPr>
                <w:color w:val="auto"/>
                <w:highlight w:val="none"/>
              </w:rPr>
            </w:pPr>
          </w:p>
        </w:tc>
        <w:tc>
          <w:tcPr>
            <w:tcW w:w="1460" w:type="pct"/>
          </w:tcPr>
          <w:p w14:paraId="28FB1518">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14:paraId="36A87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continue"/>
            <w:tcBorders>
              <w:top w:val="nil"/>
            </w:tcBorders>
          </w:tcPr>
          <w:p w14:paraId="119DF741">
            <w:pPr>
              <w:spacing w:line="360" w:lineRule="auto"/>
              <w:jc w:val="left"/>
              <w:rPr>
                <w:color w:val="auto"/>
                <w:highlight w:val="none"/>
              </w:rPr>
            </w:pPr>
          </w:p>
        </w:tc>
        <w:tc>
          <w:tcPr>
            <w:tcW w:w="702" w:type="pct"/>
            <w:vMerge w:val="continue"/>
            <w:tcBorders>
              <w:top w:val="nil"/>
            </w:tcBorders>
          </w:tcPr>
          <w:p w14:paraId="34EBE6AF">
            <w:pPr>
              <w:spacing w:line="360" w:lineRule="auto"/>
              <w:jc w:val="left"/>
              <w:rPr>
                <w:color w:val="auto"/>
                <w:highlight w:val="none"/>
              </w:rPr>
            </w:pPr>
          </w:p>
        </w:tc>
        <w:tc>
          <w:tcPr>
            <w:tcW w:w="1413" w:type="pct"/>
          </w:tcPr>
          <w:p w14:paraId="43940EFA">
            <w:pPr>
              <w:spacing w:line="360" w:lineRule="auto"/>
              <w:jc w:val="left"/>
              <w:rPr>
                <w:color w:val="auto"/>
                <w:highlight w:val="none"/>
              </w:rPr>
            </w:pPr>
            <w:r>
              <w:rPr>
                <w:color w:val="auto"/>
                <w:highlight w:val="none"/>
              </w:rPr>
              <w:t xml:space="preserve">A10030906 </w:t>
            </w:r>
            <w:r>
              <w:rPr>
                <w:rFonts w:hint="eastAsia"/>
                <w:color w:val="auto"/>
                <w:highlight w:val="none"/>
              </w:rPr>
              <w:t>高分子防水卷（片）</w:t>
            </w:r>
            <w:r>
              <w:rPr>
                <w:color w:val="auto"/>
                <w:highlight w:val="none"/>
              </w:rPr>
              <w:t xml:space="preserve"> </w:t>
            </w:r>
            <w:r>
              <w:rPr>
                <w:rFonts w:hint="eastAsia"/>
                <w:color w:val="auto"/>
                <w:highlight w:val="none"/>
              </w:rPr>
              <w:t>材</w:t>
            </w:r>
          </w:p>
        </w:tc>
        <w:tc>
          <w:tcPr>
            <w:tcW w:w="1002" w:type="pct"/>
          </w:tcPr>
          <w:p w14:paraId="2B4D461E">
            <w:pPr>
              <w:spacing w:line="360" w:lineRule="auto"/>
              <w:jc w:val="left"/>
              <w:rPr>
                <w:color w:val="auto"/>
                <w:highlight w:val="none"/>
              </w:rPr>
            </w:pPr>
          </w:p>
        </w:tc>
        <w:tc>
          <w:tcPr>
            <w:tcW w:w="1460" w:type="pct"/>
          </w:tcPr>
          <w:p w14:paraId="246ED469">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14:paraId="01DCD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14:paraId="6876211A">
            <w:pPr>
              <w:spacing w:line="360" w:lineRule="auto"/>
              <w:jc w:val="left"/>
              <w:rPr>
                <w:color w:val="auto"/>
                <w:highlight w:val="none"/>
              </w:rPr>
            </w:pPr>
            <w:r>
              <w:rPr>
                <w:color w:val="auto"/>
                <w:highlight w:val="none"/>
              </w:rPr>
              <w:t>40</w:t>
            </w:r>
          </w:p>
        </w:tc>
        <w:tc>
          <w:tcPr>
            <w:tcW w:w="702" w:type="pct"/>
            <w:vMerge w:val="restart"/>
            <w:tcBorders>
              <w:bottom w:val="nil"/>
            </w:tcBorders>
          </w:tcPr>
          <w:p w14:paraId="1DAE815D">
            <w:pPr>
              <w:spacing w:line="360" w:lineRule="auto"/>
              <w:jc w:val="left"/>
              <w:rPr>
                <w:color w:val="auto"/>
                <w:highlight w:val="none"/>
              </w:rPr>
            </w:pPr>
            <w:r>
              <w:rPr>
                <w:color w:val="auto"/>
                <w:highlight w:val="none"/>
              </w:rPr>
              <w:t xml:space="preserve">A100310 </w:t>
            </w:r>
            <w:r>
              <w:rPr>
                <w:rFonts w:hint="eastAsia"/>
                <w:color w:val="auto"/>
                <w:highlight w:val="none"/>
              </w:rPr>
              <w:t>隔热、隔</w:t>
            </w:r>
            <w:r>
              <w:rPr>
                <w:color w:val="auto"/>
                <w:highlight w:val="none"/>
              </w:rPr>
              <w:t xml:space="preserve"> </w:t>
            </w:r>
            <w:r>
              <w:rPr>
                <w:rFonts w:hint="eastAsia"/>
                <w:color w:val="auto"/>
                <w:highlight w:val="none"/>
              </w:rPr>
              <w:t>音人造矿物材料</w:t>
            </w:r>
            <w:r>
              <w:rPr>
                <w:color w:val="auto"/>
                <w:highlight w:val="none"/>
              </w:rPr>
              <w:t xml:space="preserve"> </w:t>
            </w:r>
            <w:r>
              <w:rPr>
                <w:rFonts w:hint="eastAsia"/>
                <w:color w:val="auto"/>
                <w:highlight w:val="none"/>
              </w:rPr>
              <w:t>及其制品</w:t>
            </w:r>
          </w:p>
        </w:tc>
        <w:tc>
          <w:tcPr>
            <w:tcW w:w="1413" w:type="pct"/>
          </w:tcPr>
          <w:p w14:paraId="765D7DCF">
            <w:pPr>
              <w:spacing w:line="360" w:lineRule="auto"/>
              <w:jc w:val="left"/>
              <w:rPr>
                <w:color w:val="auto"/>
                <w:highlight w:val="none"/>
              </w:rPr>
            </w:pPr>
            <w:r>
              <w:rPr>
                <w:color w:val="auto"/>
                <w:highlight w:val="none"/>
              </w:rPr>
              <w:t xml:space="preserve">A10031001 </w:t>
            </w:r>
            <w:r>
              <w:rPr>
                <w:rFonts w:hint="eastAsia"/>
                <w:color w:val="auto"/>
                <w:highlight w:val="none"/>
              </w:rPr>
              <w:t>矿物绝热和吸声材</w:t>
            </w:r>
            <w:r>
              <w:rPr>
                <w:color w:val="auto"/>
                <w:highlight w:val="none"/>
              </w:rPr>
              <w:t xml:space="preserve"> </w:t>
            </w:r>
            <w:r>
              <w:rPr>
                <w:rFonts w:hint="eastAsia"/>
                <w:color w:val="auto"/>
                <w:highlight w:val="none"/>
              </w:rPr>
              <w:t>料</w:t>
            </w:r>
          </w:p>
        </w:tc>
        <w:tc>
          <w:tcPr>
            <w:tcW w:w="1002" w:type="pct"/>
          </w:tcPr>
          <w:p w14:paraId="1E45E954">
            <w:pPr>
              <w:spacing w:line="360" w:lineRule="auto"/>
              <w:jc w:val="left"/>
              <w:rPr>
                <w:color w:val="auto"/>
                <w:highlight w:val="none"/>
              </w:rPr>
            </w:pPr>
          </w:p>
        </w:tc>
        <w:tc>
          <w:tcPr>
            <w:tcW w:w="1460" w:type="pct"/>
          </w:tcPr>
          <w:p w14:paraId="0B2F24E6">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0748A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59843173">
            <w:pPr>
              <w:spacing w:line="360" w:lineRule="auto"/>
              <w:jc w:val="left"/>
              <w:rPr>
                <w:color w:val="auto"/>
                <w:highlight w:val="none"/>
              </w:rPr>
            </w:pPr>
          </w:p>
        </w:tc>
        <w:tc>
          <w:tcPr>
            <w:tcW w:w="702" w:type="pct"/>
            <w:vMerge w:val="continue"/>
            <w:tcBorders>
              <w:top w:val="nil"/>
            </w:tcBorders>
          </w:tcPr>
          <w:p w14:paraId="52031F4E">
            <w:pPr>
              <w:spacing w:line="360" w:lineRule="auto"/>
              <w:jc w:val="left"/>
              <w:rPr>
                <w:color w:val="auto"/>
                <w:highlight w:val="none"/>
              </w:rPr>
            </w:pPr>
          </w:p>
        </w:tc>
        <w:tc>
          <w:tcPr>
            <w:tcW w:w="1413" w:type="pct"/>
          </w:tcPr>
          <w:p w14:paraId="510DA493">
            <w:pPr>
              <w:spacing w:line="360" w:lineRule="auto"/>
              <w:jc w:val="left"/>
              <w:rPr>
                <w:color w:val="auto"/>
                <w:highlight w:val="none"/>
              </w:rPr>
            </w:pPr>
            <w:r>
              <w:rPr>
                <w:color w:val="auto"/>
                <w:highlight w:val="none"/>
              </w:rPr>
              <w:t xml:space="preserve">A10031002 </w:t>
            </w:r>
            <w:r>
              <w:rPr>
                <w:rFonts w:hint="eastAsia"/>
                <w:color w:val="auto"/>
                <w:highlight w:val="none"/>
              </w:rPr>
              <w:t>矿物材料制品</w:t>
            </w:r>
          </w:p>
        </w:tc>
        <w:tc>
          <w:tcPr>
            <w:tcW w:w="1002" w:type="pct"/>
          </w:tcPr>
          <w:p w14:paraId="7C50539E">
            <w:pPr>
              <w:spacing w:line="360" w:lineRule="auto"/>
              <w:jc w:val="left"/>
              <w:rPr>
                <w:color w:val="auto"/>
                <w:highlight w:val="none"/>
              </w:rPr>
            </w:pPr>
          </w:p>
        </w:tc>
        <w:tc>
          <w:tcPr>
            <w:tcW w:w="1460" w:type="pct"/>
          </w:tcPr>
          <w:p w14:paraId="0957551B">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150AD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49A48209">
            <w:pPr>
              <w:spacing w:line="360" w:lineRule="auto"/>
              <w:jc w:val="left"/>
              <w:rPr>
                <w:color w:val="auto"/>
                <w:highlight w:val="none"/>
              </w:rPr>
            </w:pPr>
            <w:r>
              <w:rPr>
                <w:color w:val="auto"/>
                <w:highlight w:val="none"/>
              </w:rPr>
              <w:t>41</w:t>
            </w:r>
          </w:p>
        </w:tc>
        <w:tc>
          <w:tcPr>
            <w:tcW w:w="702" w:type="pct"/>
          </w:tcPr>
          <w:p w14:paraId="0E314A7A">
            <w:pPr>
              <w:spacing w:line="360" w:lineRule="auto"/>
              <w:jc w:val="left"/>
              <w:rPr>
                <w:color w:val="auto"/>
                <w:highlight w:val="none"/>
              </w:rPr>
            </w:pPr>
            <w:r>
              <w:rPr>
                <w:color w:val="auto"/>
                <w:highlight w:val="none"/>
              </w:rPr>
              <w:t xml:space="preserve">A100601 </w:t>
            </w:r>
            <w:r>
              <w:rPr>
                <w:rFonts w:hint="eastAsia"/>
                <w:color w:val="auto"/>
                <w:highlight w:val="none"/>
              </w:rPr>
              <w:t>功能性</w:t>
            </w:r>
            <w:r>
              <w:rPr>
                <w:color w:val="auto"/>
                <w:highlight w:val="none"/>
              </w:rPr>
              <w:t xml:space="preserve"> </w:t>
            </w:r>
            <w:r>
              <w:rPr>
                <w:rFonts w:hint="eastAsia"/>
                <w:color w:val="auto"/>
                <w:highlight w:val="none"/>
              </w:rPr>
              <w:t>建筑涂料</w:t>
            </w:r>
          </w:p>
        </w:tc>
        <w:tc>
          <w:tcPr>
            <w:tcW w:w="1413" w:type="pct"/>
          </w:tcPr>
          <w:p w14:paraId="209D88E0">
            <w:pPr>
              <w:spacing w:line="360" w:lineRule="auto"/>
              <w:jc w:val="left"/>
              <w:rPr>
                <w:color w:val="auto"/>
                <w:highlight w:val="none"/>
              </w:rPr>
            </w:pPr>
          </w:p>
        </w:tc>
        <w:tc>
          <w:tcPr>
            <w:tcW w:w="1002" w:type="pct"/>
          </w:tcPr>
          <w:p w14:paraId="64367EC4">
            <w:pPr>
              <w:spacing w:line="360" w:lineRule="auto"/>
              <w:jc w:val="left"/>
              <w:rPr>
                <w:color w:val="auto"/>
                <w:highlight w:val="none"/>
              </w:rPr>
            </w:pPr>
          </w:p>
        </w:tc>
        <w:tc>
          <w:tcPr>
            <w:tcW w:w="1460" w:type="pct"/>
          </w:tcPr>
          <w:p w14:paraId="5A96AB4F">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7974A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14:paraId="6920F944">
            <w:pPr>
              <w:spacing w:line="360" w:lineRule="auto"/>
              <w:jc w:val="left"/>
              <w:rPr>
                <w:color w:val="auto"/>
                <w:highlight w:val="none"/>
              </w:rPr>
            </w:pPr>
            <w:r>
              <w:rPr>
                <w:color w:val="auto"/>
                <w:highlight w:val="none"/>
              </w:rPr>
              <w:t>42</w:t>
            </w:r>
          </w:p>
        </w:tc>
        <w:tc>
          <w:tcPr>
            <w:tcW w:w="702" w:type="pct"/>
          </w:tcPr>
          <w:p w14:paraId="45179562">
            <w:pPr>
              <w:spacing w:line="360" w:lineRule="auto"/>
              <w:jc w:val="left"/>
              <w:rPr>
                <w:color w:val="auto"/>
                <w:highlight w:val="none"/>
              </w:rPr>
            </w:pPr>
            <w:r>
              <w:rPr>
                <w:color w:val="auto"/>
                <w:highlight w:val="none"/>
              </w:rPr>
              <w:t xml:space="preserve">A100399 </w:t>
            </w:r>
            <w:r>
              <w:rPr>
                <w:rFonts w:hint="eastAsia"/>
                <w:color w:val="auto"/>
                <w:highlight w:val="none"/>
              </w:rPr>
              <w:t>其他非</w:t>
            </w:r>
            <w:r>
              <w:rPr>
                <w:color w:val="auto"/>
                <w:highlight w:val="none"/>
              </w:rPr>
              <w:t xml:space="preserve"> </w:t>
            </w:r>
            <w:r>
              <w:rPr>
                <w:rFonts w:hint="eastAsia"/>
                <w:color w:val="auto"/>
                <w:highlight w:val="none"/>
              </w:rPr>
              <w:t>金属矿物制品</w:t>
            </w:r>
          </w:p>
        </w:tc>
        <w:tc>
          <w:tcPr>
            <w:tcW w:w="1413" w:type="pct"/>
          </w:tcPr>
          <w:p w14:paraId="18FD952C">
            <w:pPr>
              <w:spacing w:line="360" w:lineRule="auto"/>
              <w:jc w:val="left"/>
              <w:rPr>
                <w:color w:val="auto"/>
                <w:highlight w:val="none"/>
              </w:rPr>
            </w:pPr>
            <w:r>
              <w:rPr>
                <w:color w:val="auto"/>
                <w:highlight w:val="none"/>
              </w:rPr>
              <w:t>A10039901</w:t>
            </w:r>
            <w:r>
              <w:rPr>
                <w:rFonts w:hint="eastAsia"/>
                <w:color w:val="auto"/>
                <w:highlight w:val="none"/>
              </w:rPr>
              <w:t>其他非金属建筑材料</w:t>
            </w:r>
          </w:p>
        </w:tc>
        <w:tc>
          <w:tcPr>
            <w:tcW w:w="1002" w:type="pct"/>
          </w:tcPr>
          <w:p w14:paraId="79B4C4A1">
            <w:pPr>
              <w:spacing w:line="360" w:lineRule="auto"/>
              <w:jc w:val="left"/>
              <w:rPr>
                <w:color w:val="auto"/>
                <w:highlight w:val="none"/>
              </w:rPr>
            </w:pPr>
          </w:p>
        </w:tc>
        <w:tc>
          <w:tcPr>
            <w:tcW w:w="1460" w:type="pct"/>
          </w:tcPr>
          <w:p w14:paraId="4738D3B3">
            <w:pPr>
              <w:spacing w:line="360" w:lineRule="auto"/>
              <w:jc w:val="left"/>
              <w:rPr>
                <w:color w:val="auto"/>
                <w:highlight w:val="none"/>
              </w:rPr>
            </w:pPr>
            <w:r>
              <w:rPr>
                <w:color w:val="auto"/>
                <w:highlight w:val="none"/>
              </w:rPr>
              <w:t xml:space="preserve">HJ456 </w:t>
            </w:r>
            <w:r>
              <w:rPr>
                <w:rFonts w:hint="eastAsia"/>
                <w:color w:val="auto"/>
                <w:highlight w:val="none"/>
              </w:rPr>
              <w:t>刚性防水材料</w:t>
            </w:r>
          </w:p>
        </w:tc>
      </w:tr>
    </w:tbl>
    <w:p w14:paraId="516AB77E">
      <w:pPr>
        <w:spacing w:line="360" w:lineRule="auto"/>
        <w:jc w:val="left"/>
        <w:rPr>
          <w:color w:val="auto"/>
          <w:highlight w:val="none"/>
        </w:rPr>
      </w:pPr>
    </w:p>
    <w:tbl>
      <w:tblPr>
        <w:tblStyle w:val="2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5"/>
        <w:gridCol w:w="1468"/>
        <w:gridCol w:w="2545"/>
        <w:gridCol w:w="1803"/>
        <w:gridCol w:w="1937"/>
      </w:tblGrid>
      <w:tr w14:paraId="56C08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vMerge w:val="restart"/>
            <w:tcBorders>
              <w:bottom w:val="nil"/>
            </w:tcBorders>
          </w:tcPr>
          <w:p w14:paraId="0A4F022D">
            <w:pPr>
              <w:spacing w:line="360" w:lineRule="auto"/>
              <w:jc w:val="left"/>
              <w:rPr>
                <w:color w:val="auto"/>
                <w:highlight w:val="none"/>
              </w:rPr>
            </w:pPr>
            <w:r>
              <w:rPr>
                <w:color w:val="auto"/>
                <w:highlight w:val="none"/>
              </w:rPr>
              <w:t>43</w:t>
            </w:r>
          </w:p>
        </w:tc>
        <w:tc>
          <w:tcPr>
            <w:tcW w:w="883" w:type="pct"/>
            <w:vMerge w:val="restart"/>
            <w:tcBorders>
              <w:bottom w:val="nil"/>
            </w:tcBorders>
          </w:tcPr>
          <w:p w14:paraId="0B645749">
            <w:pPr>
              <w:spacing w:line="360" w:lineRule="auto"/>
              <w:jc w:val="left"/>
              <w:rPr>
                <w:color w:val="auto"/>
                <w:highlight w:val="none"/>
              </w:rPr>
            </w:pPr>
            <w:r>
              <w:rPr>
                <w:color w:val="auto"/>
                <w:highlight w:val="none"/>
              </w:rPr>
              <w:t xml:space="preserve">A100602 </w:t>
            </w:r>
            <w:r>
              <w:rPr>
                <w:rFonts w:hint="eastAsia"/>
                <w:color w:val="auto"/>
                <w:highlight w:val="none"/>
              </w:rPr>
              <w:t>墙面涂</w:t>
            </w:r>
            <w:r>
              <w:rPr>
                <w:color w:val="auto"/>
                <w:highlight w:val="none"/>
              </w:rPr>
              <w:t xml:space="preserve"> </w:t>
            </w:r>
            <w:r>
              <w:rPr>
                <w:rFonts w:hint="eastAsia"/>
                <w:color w:val="auto"/>
                <w:highlight w:val="none"/>
              </w:rPr>
              <w:t>料</w:t>
            </w:r>
          </w:p>
        </w:tc>
        <w:tc>
          <w:tcPr>
            <w:tcW w:w="1531" w:type="pct"/>
          </w:tcPr>
          <w:p w14:paraId="21DD5DF4">
            <w:pPr>
              <w:spacing w:line="360" w:lineRule="auto"/>
              <w:jc w:val="left"/>
              <w:rPr>
                <w:color w:val="auto"/>
                <w:highlight w:val="none"/>
              </w:rPr>
            </w:pPr>
            <w:r>
              <w:rPr>
                <w:color w:val="auto"/>
                <w:highlight w:val="none"/>
              </w:rPr>
              <w:t>A10060202</w:t>
            </w:r>
            <w:r>
              <w:rPr>
                <w:rFonts w:hint="eastAsia"/>
                <w:color w:val="auto"/>
                <w:highlight w:val="none"/>
              </w:rPr>
              <w:t>合成树脂乳液内墙涂</w:t>
            </w:r>
            <w:r>
              <w:rPr>
                <w:color w:val="auto"/>
                <w:highlight w:val="none"/>
              </w:rPr>
              <w:t xml:space="preserve"> </w:t>
            </w:r>
            <w:r>
              <w:rPr>
                <w:rFonts w:hint="eastAsia"/>
                <w:color w:val="auto"/>
                <w:highlight w:val="none"/>
              </w:rPr>
              <w:t>料</w:t>
            </w:r>
          </w:p>
        </w:tc>
        <w:tc>
          <w:tcPr>
            <w:tcW w:w="1085" w:type="pct"/>
          </w:tcPr>
          <w:p w14:paraId="04068EEB">
            <w:pPr>
              <w:spacing w:line="360" w:lineRule="auto"/>
              <w:jc w:val="left"/>
              <w:rPr>
                <w:color w:val="auto"/>
                <w:highlight w:val="none"/>
              </w:rPr>
            </w:pPr>
          </w:p>
        </w:tc>
        <w:tc>
          <w:tcPr>
            <w:tcW w:w="1165" w:type="pct"/>
          </w:tcPr>
          <w:p w14:paraId="524D7080">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3A1A7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vMerge w:val="continue"/>
            <w:tcBorders>
              <w:top w:val="nil"/>
              <w:bottom w:val="nil"/>
            </w:tcBorders>
          </w:tcPr>
          <w:p w14:paraId="47976EC2">
            <w:pPr>
              <w:spacing w:line="360" w:lineRule="auto"/>
              <w:jc w:val="left"/>
              <w:rPr>
                <w:color w:val="auto"/>
                <w:highlight w:val="none"/>
              </w:rPr>
            </w:pPr>
          </w:p>
        </w:tc>
        <w:tc>
          <w:tcPr>
            <w:tcW w:w="883" w:type="pct"/>
            <w:vMerge w:val="continue"/>
            <w:tcBorders>
              <w:top w:val="nil"/>
              <w:bottom w:val="nil"/>
            </w:tcBorders>
          </w:tcPr>
          <w:p w14:paraId="56373DA2">
            <w:pPr>
              <w:spacing w:line="360" w:lineRule="auto"/>
              <w:jc w:val="left"/>
              <w:rPr>
                <w:color w:val="auto"/>
                <w:highlight w:val="none"/>
              </w:rPr>
            </w:pPr>
          </w:p>
        </w:tc>
        <w:tc>
          <w:tcPr>
            <w:tcW w:w="1531" w:type="pct"/>
          </w:tcPr>
          <w:p w14:paraId="3555DF1E">
            <w:pPr>
              <w:spacing w:line="360" w:lineRule="auto"/>
              <w:jc w:val="left"/>
              <w:rPr>
                <w:color w:val="auto"/>
                <w:highlight w:val="none"/>
              </w:rPr>
            </w:pPr>
            <w:r>
              <w:rPr>
                <w:color w:val="auto"/>
                <w:highlight w:val="none"/>
              </w:rPr>
              <w:t>A10060203</w:t>
            </w:r>
            <w:r>
              <w:rPr>
                <w:rFonts w:hint="eastAsia"/>
                <w:color w:val="auto"/>
                <w:highlight w:val="none"/>
              </w:rPr>
              <w:t>合成树脂乳液外墙涂</w:t>
            </w:r>
            <w:r>
              <w:rPr>
                <w:color w:val="auto"/>
                <w:highlight w:val="none"/>
              </w:rPr>
              <w:t xml:space="preserve"> </w:t>
            </w:r>
            <w:r>
              <w:rPr>
                <w:rFonts w:hint="eastAsia"/>
                <w:color w:val="auto"/>
                <w:highlight w:val="none"/>
              </w:rPr>
              <w:t>料</w:t>
            </w:r>
          </w:p>
        </w:tc>
        <w:tc>
          <w:tcPr>
            <w:tcW w:w="1085" w:type="pct"/>
          </w:tcPr>
          <w:p w14:paraId="087F0C6A">
            <w:pPr>
              <w:spacing w:line="360" w:lineRule="auto"/>
              <w:jc w:val="left"/>
              <w:rPr>
                <w:color w:val="auto"/>
                <w:highlight w:val="none"/>
              </w:rPr>
            </w:pPr>
          </w:p>
        </w:tc>
        <w:tc>
          <w:tcPr>
            <w:tcW w:w="1165" w:type="pct"/>
          </w:tcPr>
          <w:p w14:paraId="67B959CD">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0359A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34" w:type="pct"/>
            <w:vMerge w:val="continue"/>
            <w:tcBorders>
              <w:top w:val="nil"/>
            </w:tcBorders>
          </w:tcPr>
          <w:p w14:paraId="715BB008">
            <w:pPr>
              <w:spacing w:line="360" w:lineRule="auto"/>
              <w:jc w:val="left"/>
              <w:rPr>
                <w:color w:val="auto"/>
                <w:highlight w:val="none"/>
              </w:rPr>
            </w:pPr>
          </w:p>
        </w:tc>
        <w:tc>
          <w:tcPr>
            <w:tcW w:w="883" w:type="pct"/>
            <w:vMerge w:val="continue"/>
            <w:tcBorders>
              <w:top w:val="nil"/>
            </w:tcBorders>
          </w:tcPr>
          <w:p w14:paraId="597E724F">
            <w:pPr>
              <w:spacing w:line="360" w:lineRule="auto"/>
              <w:jc w:val="left"/>
              <w:rPr>
                <w:color w:val="auto"/>
                <w:highlight w:val="none"/>
              </w:rPr>
            </w:pPr>
          </w:p>
        </w:tc>
        <w:tc>
          <w:tcPr>
            <w:tcW w:w="1531" w:type="pct"/>
          </w:tcPr>
          <w:p w14:paraId="362F993B">
            <w:pPr>
              <w:spacing w:line="360" w:lineRule="auto"/>
              <w:jc w:val="left"/>
              <w:rPr>
                <w:color w:val="auto"/>
                <w:highlight w:val="none"/>
              </w:rPr>
            </w:pPr>
            <w:r>
              <w:rPr>
                <w:color w:val="auto"/>
                <w:highlight w:val="none"/>
              </w:rPr>
              <w:t xml:space="preserve">A10060299 </w:t>
            </w:r>
            <w:r>
              <w:rPr>
                <w:rFonts w:hint="eastAsia"/>
                <w:color w:val="auto"/>
                <w:highlight w:val="none"/>
              </w:rPr>
              <w:t>其他墙面涂料</w:t>
            </w:r>
          </w:p>
        </w:tc>
        <w:tc>
          <w:tcPr>
            <w:tcW w:w="1085" w:type="pct"/>
          </w:tcPr>
          <w:p w14:paraId="1F4F290E">
            <w:pPr>
              <w:spacing w:line="360" w:lineRule="auto"/>
              <w:jc w:val="left"/>
              <w:rPr>
                <w:color w:val="auto"/>
                <w:highlight w:val="none"/>
              </w:rPr>
            </w:pPr>
          </w:p>
        </w:tc>
        <w:tc>
          <w:tcPr>
            <w:tcW w:w="1165" w:type="pct"/>
          </w:tcPr>
          <w:p w14:paraId="1650CEA1">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66722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14:paraId="3F0B5CDA">
            <w:pPr>
              <w:spacing w:line="360" w:lineRule="auto"/>
              <w:jc w:val="left"/>
              <w:rPr>
                <w:color w:val="auto"/>
                <w:highlight w:val="none"/>
              </w:rPr>
            </w:pPr>
            <w:r>
              <w:rPr>
                <w:color w:val="auto"/>
                <w:highlight w:val="none"/>
              </w:rPr>
              <w:t>44</w:t>
            </w:r>
          </w:p>
        </w:tc>
        <w:tc>
          <w:tcPr>
            <w:tcW w:w="883" w:type="pct"/>
          </w:tcPr>
          <w:p w14:paraId="285141D6">
            <w:pPr>
              <w:spacing w:line="360" w:lineRule="auto"/>
              <w:jc w:val="left"/>
              <w:rPr>
                <w:color w:val="auto"/>
                <w:highlight w:val="none"/>
              </w:rPr>
            </w:pPr>
            <w:r>
              <w:rPr>
                <w:color w:val="auto"/>
                <w:highlight w:val="none"/>
              </w:rPr>
              <w:t xml:space="preserve">A100604 </w:t>
            </w:r>
            <w:r>
              <w:rPr>
                <w:rFonts w:hint="eastAsia"/>
                <w:color w:val="auto"/>
                <w:highlight w:val="none"/>
              </w:rPr>
              <w:t>防水涂</w:t>
            </w:r>
            <w:r>
              <w:rPr>
                <w:color w:val="auto"/>
                <w:highlight w:val="none"/>
              </w:rPr>
              <w:t xml:space="preserve"> </w:t>
            </w:r>
            <w:r>
              <w:rPr>
                <w:rFonts w:hint="eastAsia"/>
                <w:color w:val="auto"/>
                <w:highlight w:val="none"/>
              </w:rPr>
              <w:t>料</w:t>
            </w:r>
          </w:p>
        </w:tc>
        <w:tc>
          <w:tcPr>
            <w:tcW w:w="1531" w:type="pct"/>
          </w:tcPr>
          <w:p w14:paraId="5E14169F">
            <w:pPr>
              <w:spacing w:line="360" w:lineRule="auto"/>
              <w:jc w:val="left"/>
              <w:rPr>
                <w:color w:val="auto"/>
                <w:highlight w:val="none"/>
              </w:rPr>
            </w:pPr>
            <w:r>
              <w:rPr>
                <w:color w:val="auto"/>
                <w:highlight w:val="none"/>
              </w:rPr>
              <w:t xml:space="preserve">A10060499 </w:t>
            </w:r>
            <w:r>
              <w:rPr>
                <w:rFonts w:hint="eastAsia"/>
                <w:color w:val="auto"/>
                <w:highlight w:val="none"/>
              </w:rPr>
              <w:t>其他防水涂料</w:t>
            </w:r>
          </w:p>
        </w:tc>
        <w:tc>
          <w:tcPr>
            <w:tcW w:w="1085" w:type="pct"/>
          </w:tcPr>
          <w:p w14:paraId="0945B2EB">
            <w:pPr>
              <w:spacing w:line="360" w:lineRule="auto"/>
              <w:jc w:val="left"/>
              <w:rPr>
                <w:color w:val="auto"/>
                <w:highlight w:val="none"/>
              </w:rPr>
            </w:pPr>
          </w:p>
        </w:tc>
        <w:tc>
          <w:tcPr>
            <w:tcW w:w="1165" w:type="pct"/>
          </w:tcPr>
          <w:p w14:paraId="0E7CF3E1">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69307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334" w:type="pct"/>
          </w:tcPr>
          <w:p w14:paraId="615856A2">
            <w:pPr>
              <w:spacing w:line="360" w:lineRule="auto"/>
              <w:jc w:val="left"/>
              <w:rPr>
                <w:color w:val="auto"/>
                <w:highlight w:val="none"/>
              </w:rPr>
            </w:pPr>
            <w:r>
              <w:rPr>
                <w:color w:val="auto"/>
                <w:highlight w:val="none"/>
              </w:rPr>
              <w:t>45</w:t>
            </w:r>
          </w:p>
        </w:tc>
        <w:tc>
          <w:tcPr>
            <w:tcW w:w="883" w:type="pct"/>
          </w:tcPr>
          <w:p w14:paraId="750076AD">
            <w:pPr>
              <w:spacing w:line="360" w:lineRule="auto"/>
              <w:jc w:val="left"/>
              <w:rPr>
                <w:color w:val="auto"/>
                <w:highlight w:val="none"/>
              </w:rPr>
            </w:pPr>
            <w:r>
              <w:rPr>
                <w:color w:val="auto"/>
                <w:highlight w:val="none"/>
              </w:rPr>
              <w:t xml:space="preserve">A100699 </w:t>
            </w:r>
            <w:r>
              <w:rPr>
                <w:rFonts w:hint="eastAsia"/>
                <w:color w:val="auto"/>
                <w:highlight w:val="none"/>
              </w:rPr>
              <w:t>其他建</w:t>
            </w:r>
            <w:r>
              <w:rPr>
                <w:color w:val="auto"/>
                <w:highlight w:val="none"/>
              </w:rPr>
              <w:t xml:space="preserve"> </w:t>
            </w:r>
            <w:r>
              <w:rPr>
                <w:rFonts w:hint="eastAsia"/>
                <w:color w:val="auto"/>
                <w:highlight w:val="none"/>
              </w:rPr>
              <w:t>筑涂料</w:t>
            </w:r>
          </w:p>
        </w:tc>
        <w:tc>
          <w:tcPr>
            <w:tcW w:w="1531" w:type="pct"/>
          </w:tcPr>
          <w:p w14:paraId="17893B44">
            <w:pPr>
              <w:spacing w:line="360" w:lineRule="auto"/>
              <w:jc w:val="left"/>
              <w:rPr>
                <w:color w:val="auto"/>
                <w:highlight w:val="none"/>
              </w:rPr>
            </w:pPr>
          </w:p>
        </w:tc>
        <w:tc>
          <w:tcPr>
            <w:tcW w:w="1085" w:type="pct"/>
          </w:tcPr>
          <w:p w14:paraId="7293CCF3">
            <w:pPr>
              <w:spacing w:line="360" w:lineRule="auto"/>
              <w:jc w:val="left"/>
              <w:rPr>
                <w:color w:val="auto"/>
                <w:highlight w:val="none"/>
              </w:rPr>
            </w:pPr>
          </w:p>
        </w:tc>
        <w:tc>
          <w:tcPr>
            <w:tcW w:w="1165" w:type="pct"/>
          </w:tcPr>
          <w:p w14:paraId="1C887AD3">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0698F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34" w:type="pct"/>
          </w:tcPr>
          <w:p w14:paraId="65A26D82">
            <w:pPr>
              <w:spacing w:line="360" w:lineRule="auto"/>
              <w:jc w:val="left"/>
              <w:rPr>
                <w:color w:val="auto"/>
                <w:highlight w:val="none"/>
              </w:rPr>
            </w:pPr>
            <w:r>
              <w:rPr>
                <w:color w:val="auto"/>
                <w:highlight w:val="none"/>
              </w:rPr>
              <w:t>46</w:t>
            </w:r>
          </w:p>
        </w:tc>
        <w:tc>
          <w:tcPr>
            <w:tcW w:w="883" w:type="pct"/>
          </w:tcPr>
          <w:p w14:paraId="5A2A9977">
            <w:pPr>
              <w:spacing w:line="360" w:lineRule="auto"/>
              <w:jc w:val="left"/>
              <w:rPr>
                <w:color w:val="auto"/>
                <w:highlight w:val="none"/>
              </w:rPr>
            </w:pPr>
            <w:r>
              <w:rPr>
                <w:color w:val="auto"/>
                <w:highlight w:val="none"/>
              </w:rPr>
              <w:t xml:space="preserve">A100701 </w:t>
            </w:r>
            <w:r>
              <w:rPr>
                <w:rFonts w:hint="eastAsia"/>
                <w:color w:val="auto"/>
                <w:highlight w:val="none"/>
              </w:rPr>
              <w:t>门、门槛</w:t>
            </w:r>
          </w:p>
        </w:tc>
        <w:tc>
          <w:tcPr>
            <w:tcW w:w="1531" w:type="pct"/>
          </w:tcPr>
          <w:p w14:paraId="444FE83B">
            <w:pPr>
              <w:spacing w:line="360" w:lineRule="auto"/>
              <w:jc w:val="left"/>
              <w:rPr>
                <w:color w:val="auto"/>
                <w:highlight w:val="none"/>
              </w:rPr>
            </w:pPr>
          </w:p>
        </w:tc>
        <w:tc>
          <w:tcPr>
            <w:tcW w:w="1085" w:type="pct"/>
          </w:tcPr>
          <w:p w14:paraId="6F29D4F5">
            <w:pPr>
              <w:spacing w:line="360" w:lineRule="auto"/>
              <w:jc w:val="left"/>
              <w:rPr>
                <w:color w:val="auto"/>
                <w:highlight w:val="none"/>
              </w:rPr>
            </w:pPr>
          </w:p>
        </w:tc>
        <w:tc>
          <w:tcPr>
            <w:tcW w:w="1165" w:type="pct"/>
          </w:tcPr>
          <w:p w14:paraId="04476478">
            <w:pPr>
              <w:spacing w:line="360" w:lineRule="auto"/>
              <w:jc w:val="left"/>
              <w:rPr>
                <w:color w:val="auto"/>
                <w:highlight w:val="none"/>
              </w:rPr>
            </w:pPr>
            <w:r>
              <w:rPr>
                <w:color w:val="auto"/>
                <w:highlight w:val="none"/>
              </w:rPr>
              <w:t xml:space="preserve">HJ/T 237 </w:t>
            </w:r>
            <w:r>
              <w:rPr>
                <w:rFonts w:hint="eastAsia"/>
                <w:color w:val="auto"/>
                <w:highlight w:val="none"/>
              </w:rPr>
              <w:t>塑料门窗</w:t>
            </w:r>
            <w:r>
              <w:rPr>
                <w:color w:val="auto"/>
                <w:highlight w:val="none"/>
              </w:rPr>
              <w:t xml:space="preserve">/HJ459 </w:t>
            </w:r>
            <w:r>
              <w:rPr>
                <w:rFonts w:hint="eastAsia"/>
                <w:color w:val="auto"/>
                <w:highlight w:val="none"/>
              </w:rPr>
              <w:t>木质门和钢质门</w:t>
            </w:r>
          </w:p>
        </w:tc>
      </w:tr>
      <w:tr w14:paraId="408EF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4" w:type="pct"/>
          </w:tcPr>
          <w:p w14:paraId="46ACEB70">
            <w:pPr>
              <w:spacing w:line="360" w:lineRule="auto"/>
              <w:jc w:val="left"/>
              <w:rPr>
                <w:color w:val="auto"/>
                <w:highlight w:val="none"/>
              </w:rPr>
            </w:pPr>
            <w:r>
              <w:rPr>
                <w:color w:val="auto"/>
                <w:highlight w:val="none"/>
              </w:rPr>
              <w:t>47</w:t>
            </w:r>
          </w:p>
        </w:tc>
        <w:tc>
          <w:tcPr>
            <w:tcW w:w="883" w:type="pct"/>
          </w:tcPr>
          <w:p w14:paraId="2AE05C73">
            <w:pPr>
              <w:spacing w:line="360" w:lineRule="auto"/>
              <w:jc w:val="left"/>
              <w:rPr>
                <w:color w:val="auto"/>
                <w:highlight w:val="none"/>
              </w:rPr>
            </w:pPr>
            <w:r>
              <w:rPr>
                <w:color w:val="auto"/>
                <w:highlight w:val="none"/>
              </w:rPr>
              <w:t xml:space="preserve">A100702 </w:t>
            </w:r>
            <w:r>
              <w:rPr>
                <w:rFonts w:hint="eastAsia"/>
                <w:color w:val="auto"/>
                <w:highlight w:val="none"/>
              </w:rPr>
              <w:t>窗</w:t>
            </w:r>
          </w:p>
        </w:tc>
        <w:tc>
          <w:tcPr>
            <w:tcW w:w="1531" w:type="pct"/>
          </w:tcPr>
          <w:p w14:paraId="5B0DB2AF">
            <w:pPr>
              <w:spacing w:line="360" w:lineRule="auto"/>
              <w:jc w:val="left"/>
              <w:rPr>
                <w:color w:val="auto"/>
                <w:highlight w:val="none"/>
              </w:rPr>
            </w:pPr>
          </w:p>
        </w:tc>
        <w:tc>
          <w:tcPr>
            <w:tcW w:w="1085" w:type="pct"/>
          </w:tcPr>
          <w:p w14:paraId="2ECAAB3A">
            <w:pPr>
              <w:spacing w:line="360" w:lineRule="auto"/>
              <w:jc w:val="left"/>
              <w:rPr>
                <w:color w:val="auto"/>
                <w:highlight w:val="none"/>
              </w:rPr>
            </w:pPr>
          </w:p>
        </w:tc>
        <w:tc>
          <w:tcPr>
            <w:tcW w:w="1165" w:type="pct"/>
          </w:tcPr>
          <w:p w14:paraId="26C25E0F">
            <w:pPr>
              <w:spacing w:line="360" w:lineRule="auto"/>
              <w:jc w:val="left"/>
              <w:rPr>
                <w:color w:val="auto"/>
                <w:highlight w:val="none"/>
              </w:rPr>
            </w:pPr>
            <w:r>
              <w:rPr>
                <w:color w:val="auto"/>
                <w:highlight w:val="none"/>
              </w:rPr>
              <w:t xml:space="preserve">HJ/T237 </w:t>
            </w:r>
            <w:r>
              <w:rPr>
                <w:rFonts w:hint="eastAsia"/>
                <w:color w:val="auto"/>
                <w:highlight w:val="none"/>
              </w:rPr>
              <w:t>塑料门窗</w:t>
            </w:r>
          </w:p>
        </w:tc>
      </w:tr>
      <w:tr w14:paraId="4687A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34" w:type="pct"/>
          </w:tcPr>
          <w:p w14:paraId="36B4E4DB">
            <w:pPr>
              <w:spacing w:line="360" w:lineRule="auto"/>
              <w:jc w:val="left"/>
              <w:rPr>
                <w:color w:val="auto"/>
                <w:highlight w:val="none"/>
              </w:rPr>
            </w:pPr>
            <w:r>
              <w:rPr>
                <w:color w:val="auto"/>
                <w:highlight w:val="none"/>
              </w:rPr>
              <w:t>48</w:t>
            </w:r>
          </w:p>
        </w:tc>
        <w:tc>
          <w:tcPr>
            <w:tcW w:w="883" w:type="pct"/>
          </w:tcPr>
          <w:p w14:paraId="75BE6EF6">
            <w:pPr>
              <w:spacing w:line="360" w:lineRule="auto"/>
              <w:jc w:val="left"/>
              <w:rPr>
                <w:color w:val="auto"/>
                <w:highlight w:val="none"/>
              </w:rPr>
            </w:pPr>
            <w:r>
              <w:rPr>
                <w:color w:val="auto"/>
                <w:highlight w:val="none"/>
              </w:rPr>
              <w:t xml:space="preserve">A170108 </w:t>
            </w:r>
            <w:r>
              <w:rPr>
                <w:rFonts w:hint="eastAsia"/>
                <w:color w:val="auto"/>
                <w:highlight w:val="none"/>
              </w:rPr>
              <w:t>涂料（建</w:t>
            </w:r>
            <w:r>
              <w:rPr>
                <w:color w:val="auto"/>
                <w:highlight w:val="none"/>
              </w:rPr>
              <w:t xml:space="preserve"> </w:t>
            </w:r>
            <w:r>
              <w:rPr>
                <w:rFonts w:hint="eastAsia"/>
                <w:color w:val="auto"/>
                <w:highlight w:val="none"/>
              </w:rPr>
              <w:t>筑涂料除外）</w:t>
            </w:r>
          </w:p>
        </w:tc>
        <w:tc>
          <w:tcPr>
            <w:tcW w:w="1531" w:type="pct"/>
          </w:tcPr>
          <w:p w14:paraId="7FF25A7D">
            <w:pPr>
              <w:spacing w:line="360" w:lineRule="auto"/>
              <w:jc w:val="left"/>
              <w:rPr>
                <w:color w:val="auto"/>
                <w:highlight w:val="none"/>
              </w:rPr>
            </w:pPr>
          </w:p>
        </w:tc>
        <w:tc>
          <w:tcPr>
            <w:tcW w:w="1085" w:type="pct"/>
          </w:tcPr>
          <w:p w14:paraId="5A9BB9EE">
            <w:pPr>
              <w:spacing w:line="360" w:lineRule="auto"/>
              <w:jc w:val="left"/>
              <w:rPr>
                <w:color w:val="auto"/>
                <w:highlight w:val="none"/>
              </w:rPr>
            </w:pPr>
          </w:p>
        </w:tc>
        <w:tc>
          <w:tcPr>
            <w:tcW w:w="1165" w:type="pct"/>
          </w:tcPr>
          <w:p w14:paraId="3DB1E5D2">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75CAC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14:paraId="39C91D5C">
            <w:pPr>
              <w:spacing w:line="360" w:lineRule="auto"/>
              <w:jc w:val="left"/>
              <w:rPr>
                <w:color w:val="auto"/>
                <w:highlight w:val="none"/>
              </w:rPr>
            </w:pPr>
            <w:r>
              <w:rPr>
                <w:color w:val="auto"/>
                <w:highlight w:val="none"/>
              </w:rPr>
              <w:t>49</w:t>
            </w:r>
          </w:p>
        </w:tc>
        <w:tc>
          <w:tcPr>
            <w:tcW w:w="883" w:type="pct"/>
          </w:tcPr>
          <w:p w14:paraId="3BA5F08D">
            <w:pPr>
              <w:spacing w:line="360" w:lineRule="auto"/>
              <w:jc w:val="left"/>
              <w:rPr>
                <w:color w:val="auto"/>
                <w:highlight w:val="none"/>
              </w:rPr>
            </w:pPr>
            <w:r>
              <w:rPr>
                <w:color w:val="auto"/>
                <w:highlight w:val="none"/>
              </w:rPr>
              <w:t xml:space="preserve">A170112 </w:t>
            </w:r>
            <w:r>
              <w:rPr>
                <w:rFonts w:hint="eastAsia"/>
                <w:color w:val="auto"/>
                <w:highlight w:val="none"/>
              </w:rPr>
              <w:t>密封用</w:t>
            </w:r>
            <w:r>
              <w:rPr>
                <w:color w:val="auto"/>
                <w:highlight w:val="none"/>
              </w:rPr>
              <w:t xml:space="preserve"> </w:t>
            </w:r>
            <w:r>
              <w:rPr>
                <w:rFonts w:hint="eastAsia"/>
                <w:color w:val="auto"/>
                <w:highlight w:val="none"/>
              </w:rPr>
              <w:t>填料及类似品</w:t>
            </w:r>
          </w:p>
        </w:tc>
        <w:tc>
          <w:tcPr>
            <w:tcW w:w="1531" w:type="pct"/>
          </w:tcPr>
          <w:p w14:paraId="5337B3D5">
            <w:pPr>
              <w:spacing w:line="360" w:lineRule="auto"/>
              <w:jc w:val="left"/>
              <w:rPr>
                <w:color w:val="auto"/>
                <w:highlight w:val="none"/>
              </w:rPr>
            </w:pPr>
          </w:p>
        </w:tc>
        <w:tc>
          <w:tcPr>
            <w:tcW w:w="1085" w:type="pct"/>
          </w:tcPr>
          <w:p w14:paraId="34926ECB">
            <w:pPr>
              <w:spacing w:line="360" w:lineRule="auto"/>
              <w:jc w:val="left"/>
              <w:rPr>
                <w:color w:val="auto"/>
                <w:highlight w:val="none"/>
              </w:rPr>
            </w:pPr>
          </w:p>
        </w:tc>
        <w:tc>
          <w:tcPr>
            <w:tcW w:w="1165" w:type="pct"/>
          </w:tcPr>
          <w:p w14:paraId="201367CC">
            <w:pPr>
              <w:spacing w:line="360" w:lineRule="auto"/>
              <w:jc w:val="left"/>
              <w:rPr>
                <w:color w:val="auto"/>
                <w:highlight w:val="none"/>
              </w:rPr>
            </w:pPr>
            <w:r>
              <w:rPr>
                <w:color w:val="auto"/>
                <w:highlight w:val="none"/>
              </w:rPr>
              <w:t xml:space="preserve">HJ2541 </w:t>
            </w:r>
            <w:r>
              <w:rPr>
                <w:rFonts w:hint="eastAsia"/>
                <w:color w:val="auto"/>
                <w:highlight w:val="none"/>
              </w:rPr>
              <w:t>胶粘剂</w:t>
            </w:r>
          </w:p>
        </w:tc>
      </w:tr>
      <w:tr w14:paraId="6ADDA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tcPr>
          <w:p w14:paraId="6AEB7D74">
            <w:pPr>
              <w:spacing w:line="360" w:lineRule="auto"/>
              <w:jc w:val="left"/>
              <w:rPr>
                <w:color w:val="auto"/>
                <w:highlight w:val="none"/>
              </w:rPr>
            </w:pPr>
            <w:r>
              <w:rPr>
                <w:color w:val="auto"/>
                <w:highlight w:val="none"/>
              </w:rPr>
              <w:t>50</w:t>
            </w:r>
          </w:p>
        </w:tc>
        <w:tc>
          <w:tcPr>
            <w:tcW w:w="883" w:type="pct"/>
          </w:tcPr>
          <w:p w14:paraId="44C47A50">
            <w:pPr>
              <w:spacing w:line="360" w:lineRule="auto"/>
              <w:jc w:val="left"/>
              <w:rPr>
                <w:color w:val="auto"/>
                <w:highlight w:val="none"/>
              </w:rPr>
            </w:pPr>
            <w:r>
              <w:rPr>
                <w:color w:val="auto"/>
                <w:highlight w:val="none"/>
              </w:rPr>
              <w:t xml:space="preserve">A180201 </w:t>
            </w:r>
            <w:r>
              <w:rPr>
                <w:rFonts w:hint="eastAsia"/>
                <w:color w:val="auto"/>
                <w:highlight w:val="none"/>
              </w:rPr>
              <w:t>塑料制</w:t>
            </w:r>
            <w:r>
              <w:rPr>
                <w:color w:val="auto"/>
                <w:highlight w:val="none"/>
              </w:rPr>
              <w:t xml:space="preserve"> </w:t>
            </w:r>
            <w:r>
              <w:rPr>
                <w:rFonts w:hint="eastAsia"/>
                <w:color w:val="auto"/>
                <w:highlight w:val="none"/>
              </w:rPr>
              <w:t>品</w:t>
            </w:r>
          </w:p>
        </w:tc>
        <w:tc>
          <w:tcPr>
            <w:tcW w:w="1531" w:type="pct"/>
          </w:tcPr>
          <w:p w14:paraId="1BE2CAEA">
            <w:pPr>
              <w:spacing w:line="360" w:lineRule="auto"/>
              <w:jc w:val="left"/>
              <w:rPr>
                <w:color w:val="auto"/>
                <w:highlight w:val="none"/>
              </w:rPr>
            </w:pPr>
          </w:p>
        </w:tc>
        <w:tc>
          <w:tcPr>
            <w:tcW w:w="1085" w:type="pct"/>
          </w:tcPr>
          <w:p w14:paraId="457DC651">
            <w:pPr>
              <w:spacing w:line="360" w:lineRule="auto"/>
              <w:jc w:val="left"/>
              <w:rPr>
                <w:color w:val="auto"/>
                <w:highlight w:val="none"/>
              </w:rPr>
            </w:pPr>
          </w:p>
        </w:tc>
        <w:tc>
          <w:tcPr>
            <w:tcW w:w="1165" w:type="pct"/>
          </w:tcPr>
          <w:p w14:paraId="53D8252A">
            <w:pPr>
              <w:spacing w:line="360" w:lineRule="auto"/>
              <w:jc w:val="left"/>
              <w:rPr>
                <w:color w:val="auto"/>
                <w:highlight w:val="none"/>
              </w:rPr>
            </w:pPr>
            <w:r>
              <w:rPr>
                <w:color w:val="auto"/>
                <w:highlight w:val="none"/>
              </w:rPr>
              <w:t xml:space="preserve">HJ/T226 </w:t>
            </w:r>
            <w:r>
              <w:rPr>
                <w:rFonts w:hint="eastAsia"/>
                <w:color w:val="auto"/>
                <w:highlight w:val="none"/>
              </w:rPr>
              <w:t>建筑用塑料管材</w:t>
            </w:r>
            <w:r>
              <w:rPr>
                <w:color w:val="auto"/>
                <w:highlight w:val="none"/>
              </w:rPr>
              <w:t xml:space="preserve">/HJ/T231 </w:t>
            </w:r>
            <w:r>
              <w:rPr>
                <w:rFonts w:hint="eastAsia"/>
                <w:color w:val="auto"/>
                <w:highlight w:val="none"/>
              </w:rPr>
              <w:t>再生塑</w:t>
            </w:r>
            <w:r>
              <w:rPr>
                <w:color w:val="auto"/>
                <w:highlight w:val="none"/>
              </w:rPr>
              <w:t xml:space="preserve"> </w:t>
            </w:r>
            <w:r>
              <w:rPr>
                <w:rFonts w:hint="eastAsia"/>
                <w:color w:val="auto"/>
                <w:highlight w:val="none"/>
              </w:rPr>
              <w:t>料制品</w:t>
            </w:r>
          </w:p>
        </w:tc>
      </w:tr>
    </w:tbl>
    <w:p w14:paraId="12E82F4A">
      <w:pPr>
        <w:spacing w:line="360" w:lineRule="auto"/>
        <w:jc w:val="left"/>
        <w:rPr>
          <w:color w:val="auto"/>
          <w:highlight w:val="none"/>
        </w:rPr>
      </w:pPr>
      <w:r>
        <w:rPr>
          <w:rFonts w:hint="eastAsia"/>
          <w:color w:val="auto"/>
          <w:highlight w:val="none"/>
        </w:rPr>
        <w:t>注：</w:t>
      </w:r>
      <w:r>
        <w:rPr>
          <w:color w:val="auto"/>
          <w:highlight w:val="none"/>
        </w:rPr>
        <w:t xml:space="preserve"> </w:t>
      </w:r>
      <w:r>
        <w:rPr>
          <w:rFonts w:hint="eastAsia"/>
          <w:color w:val="auto"/>
          <w:highlight w:val="none"/>
        </w:rPr>
        <w:t>环境标志产品认证应依据相关标准的最新版本</w:t>
      </w:r>
    </w:p>
    <w:p w14:paraId="2BFD5154">
      <w:pPr>
        <w:rPr>
          <w:color w:val="auto"/>
          <w:highlight w:val="none"/>
        </w:rPr>
      </w:pPr>
    </w:p>
    <w:p w14:paraId="5DF42F2C">
      <w:pPr>
        <w:rPr>
          <w:highlight w:val="none"/>
        </w:rPr>
      </w:pPr>
    </w:p>
    <w:sectPr>
      <w:headerReference r:id="rId10" w:type="default"/>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C40AD">
    <w:pPr>
      <w:pStyle w:val="16"/>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F027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1F027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AC6C4">
    <w:pPr>
      <w:pStyle w:val="16"/>
      <w:pBdr>
        <w:top w:val="none" w:color="auto" w:sz="0" w:space="1"/>
        <w:left w:val="none" w:color="auto" w:sz="0" w:space="0"/>
        <w:bottom w:val="none" w:color="auto" w:sz="0" w:space="0"/>
        <w:right w:val="none" w:color="auto" w:sz="0" w:space="0"/>
        <w:between w:val="none" w:color="auto" w:sz="0" w:space="0"/>
      </w:pBdr>
      <w:tabs>
        <w:tab w:val="left" w:pos="2783"/>
        <w:tab w:val="center" w:pos="4191"/>
      </w:tabs>
      <w:ind w:right="359" w:rightChars="171" w:firstLine="315" w:firstLineChars="150"/>
      <w:jc w:val="left"/>
      <w:rPr>
        <w:rFonts w:hint="default"/>
        <w:sz w:val="21"/>
        <w:szCs w:val="21"/>
        <w:lang w:val="en-US"/>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F9E7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8F9E7A">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lang w:eastAsia="zh-CN"/>
      </w:rPr>
      <w:tab/>
    </w:r>
    <w:r>
      <w:rPr>
        <w:rFonts w:hint="eastAsia"/>
        <w:sz w:val="21"/>
        <w:szCs w:val="21"/>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EBAF">
    <w:pPr>
      <w:pStyle w:val="16"/>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A19EE">
                          <w:pPr>
                            <w:pStyle w:val="1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AA19EE">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AD21">
    <w:pPr>
      <w:pStyle w:val="7"/>
      <w:spacing w:line="14" w:lineRule="auto"/>
      <w:rPr>
        <w:sz w:val="20"/>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75D09">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0F75D09">
                    <w:pPr>
                      <w:pStyle w:val="16"/>
                    </w:pPr>
                    <w:r>
                      <w:fldChar w:fldCharType="begin"/>
                    </w:r>
                    <w:r>
                      <w:instrText xml:space="preserve"> PAGE  \* MERGEFORMAT </w:instrText>
                    </w:r>
                    <w:r>
                      <w:fldChar w:fldCharType="separate"/>
                    </w:r>
                    <w:r>
                      <w:t>62</w:t>
                    </w:r>
                    <w:r>
                      <w:fldChar w:fldCharType="end"/>
                    </w:r>
                  </w:p>
                </w:txbxContent>
              </v:textbox>
            </v:shape>
          </w:pict>
        </mc:Fallback>
      </mc:AlternateContent>
    </w:r>
    <w:r>
      <w:t xml:space="preserve"> </w:t>
    </w:r>
    <w:r>
      <w:rPr>
        <w:rFonts w:hint="eastAsia"/>
        <w:lang w:val="en-US" w:eastAsia="zh-CN"/>
      </w:rPr>
      <w:t xml:space="preserve">         </w:t>
    </w:r>
    <w: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71A5B0">
                          <w:pPr>
                            <w:pStyle w:val="1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14:paraId="4271A5B0">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C77B2">
    <w:pPr>
      <w:pStyle w:val="1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D5107">
    <w:pPr>
      <w:pStyle w:val="17"/>
      <w:pBdr>
        <w:bottom w:val="none" w:color="auto" w:sz="0" w:space="0"/>
      </w:pBdr>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5A8F">
    <w:pPr>
      <w:pStyle w:val="13"/>
      <w:spacing w:beforeLines="100" w:afterLines="100" w:line="360" w:lineRule="auto"/>
      <w:jc w:val="both"/>
      <w:rPr>
        <w:rFonts w:ascii="宋体" w:cs="宋体"/>
        <w:b/>
        <w:bCs/>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95A3B">
    <w:pPr>
      <w:pStyle w:val="1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47C4F"/>
    <w:multiLevelType w:val="multilevel"/>
    <w:tmpl w:val="A0647C4F"/>
    <w:lvl w:ilvl="0" w:tentative="0">
      <w:start w:val="1"/>
      <w:numFmt w:val="decimal"/>
      <w:suff w:val="space"/>
      <w:lvlText w:val="%1"/>
      <w:lvlJc w:val="left"/>
      <w:rPr>
        <w:rFonts w:hint="default"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1">
    <w:nsid w:val="A2C959E2"/>
    <w:multiLevelType w:val="multilevel"/>
    <w:tmpl w:val="A2C959E2"/>
    <w:lvl w:ilvl="0" w:tentative="0">
      <w:start w:val="1"/>
      <w:numFmt w:val="decimal"/>
      <w:suff w:val="space"/>
      <w:lvlText w:val="%1."/>
      <w:lvlJc w:val="left"/>
      <w:rPr>
        <w:rFonts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2">
    <w:nsid w:val="ADB3A60C"/>
    <w:multiLevelType w:val="singleLevel"/>
    <w:tmpl w:val="ADB3A60C"/>
    <w:lvl w:ilvl="0" w:tentative="0">
      <w:start w:val="2"/>
      <w:numFmt w:val="chineseCounting"/>
      <w:suff w:val="nothing"/>
      <w:lvlText w:val="（%1）"/>
      <w:lvlJc w:val="left"/>
      <w:rPr>
        <w:rFonts w:hint="eastAsia" w:cs="Times New Roman"/>
      </w:rPr>
    </w:lvl>
  </w:abstractNum>
  <w:abstractNum w:abstractNumId="3">
    <w:nsid w:val="D8DFCB99"/>
    <w:multiLevelType w:val="singleLevel"/>
    <w:tmpl w:val="D8DFCB99"/>
    <w:lvl w:ilvl="0" w:tentative="0">
      <w:start w:val="1"/>
      <w:numFmt w:val="decimal"/>
      <w:lvlText w:val="%1."/>
      <w:lvlJc w:val="left"/>
      <w:pPr>
        <w:tabs>
          <w:tab w:val="left" w:pos="312"/>
        </w:tabs>
      </w:pPr>
    </w:lvl>
  </w:abstractNum>
  <w:abstractNum w:abstractNumId="4">
    <w:nsid w:val="DE9385D2"/>
    <w:multiLevelType w:val="multilevel"/>
    <w:tmpl w:val="DE9385D2"/>
    <w:lvl w:ilvl="0" w:tentative="0">
      <w:start w:val="1"/>
      <w:numFmt w:val="decimal"/>
      <w:lvlText w:val="%1."/>
      <w:lvlJc w:val="left"/>
      <w:pPr>
        <w:ind w:left="579" w:hanging="244"/>
      </w:pPr>
      <w:rPr>
        <w:rFonts w:hint="default" w:ascii="宋体" w:hAnsi="宋体" w:eastAsia="宋体" w:cs="宋体"/>
        <w:b/>
        <w:bCs/>
        <w:i w:val="0"/>
        <w:iCs w:val="0"/>
        <w:spacing w:val="0"/>
        <w:w w:val="99"/>
        <w:sz w:val="22"/>
        <w:szCs w:val="22"/>
      </w:rPr>
    </w:lvl>
    <w:lvl w:ilvl="1" w:tentative="0">
      <w:start w:val="1"/>
      <w:numFmt w:val="decimal"/>
      <w:lvlText w:val="%2."/>
      <w:lvlJc w:val="left"/>
      <w:pPr>
        <w:ind w:left="636" w:hanging="241"/>
      </w:pPr>
      <w:rPr>
        <w:rFonts w:hint="default" w:ascii="宋体" w:hAnsi="宋体" w:eastAsia="宋体" w:cs="宋体"/>
        <w:b w:val="0"/>
        <w:bCs w:val="0"/>
        <w:i w:val="0"/>
        <w:iCs w:val="0"/>
        <w:w w:val="100"/>
        <w:sz w:val="22"/>
        <w:szCs w:val="22"/>
      </w:rPr>
    </w:lvl>
    <w:lvl w:ilvl="2" w:tentative="0">
      <w:start w:val="0"/>
      <w:numFmt w:val="bullet"/>
      <w:lvlText w:val="•"/>
      <w:lvlJc w:val="left"/>
      <w:pPr>
        <w:ind w:left="1683" w:hanging="241"/>
      </w:pPr>
      <w:rPr>
        <w:rFonts w:hint="default"/>
      </w:rPr>
    </w:lvl>
    <w:lvl w:ilvl="3" w:tentative="0">
      <w:start w:val="0"/>
      <w:numFmt w:val="bullet"/>
      <w:lvlText w:val="•"/>
      <w:lvlJc w:val="left"/>
      <w:pPr>
        <w:ind w:left="2726" w:hanging="241"/>
      </w:pPr>
      <w:rPr>
        <w:rFonts w:hint="default"/>
      </w:rPr>
    </w:lvl>
    <w:lvl w:ilvl="4" w:tentative="0">
      <w:start w:val="0"/>
      <w:numFmt w:val="bullet"/>
      <w:lvlText w:val="•"/>
      <w:lvlJc w:val="left"/>
      <w:pPr>
        <w:ind w:left="3770" w:hanging="241"/>
      </w:pPr>
      <w:rPr>
        <w:rFonts w:hint="default"/>
      </w:rPr>
    </w:lvl>
    <w:lvl w:ilvl="5" w:tentative="0">
      <w:start w:val="0"/>
      <w:numFmt w:val="bullet"/>
      <w:lvlText w:val="•"/>
      <w:lvlJc w:val="left"/>
      <w:pPr>
        <w:ind w:left="4813" w:hanging="241"/>
      </w:pPr>
      <w:rPr>
        <w:rFonts w:hint="default"/>
      </w:rPr>
    </w:lvl>
    <w:lvl w:ilvl="6" w:tentative="0">
      <w:start w:val="0"/>
      <w:numFmt w:val="bullet"/>
      <w:lvlText w:val="•"/>
      <w:lvlJc w:val="left"/>
      <w:pPr>
        <w:ind w:left="5856" w:hanging="241"/>
      </w:pPr>
      <w:rPr>
        <w:rFonts w:hint="default"/>
      </w:rPr>
    </w:lvl>
    <w:lvl w:ilvl="7" w:tentative="0">
      <w:start w:val="0"/>
      <w:numFmt w:val="bullet"/>
      <w:lvlText w:val="•"/>
      <w:lvlJc w:val="left"/>
      <w:pPr>
        <w:ind w:left="6900" w:hanging="241"/>
      </w:pPr>
      <w:rPr>
        <w:rFonts w:hint="default"/>
      </w:rPr>
    </w:lvl>
    <w:lvl w:ilvl="8" w:tentative="0">
      <w:start w:val="0"/>
      <w:numFmt w:val="bullet"/>
      <w:lvlText w:val="•"/>
      <w:lvlJc w:val="left"/>
      <w:pPr>
        <w:ind w:left="7943" w:hanging="241"/>
      </w:pPr>
      <w:rPr>
        <w:rFonts w:hint="default"/>
      </w:rPr>
    </w:lvl>
  </w:abstractNum>
  <w:abstractNum w:abstractNumId="5">
    <w:nsid w:val="F365E3D1"/>
    <w:multiLevelType w:val="singleLevel"/>
    <w:tmpl w:val="F365E3D1"/>
    <w:lvl w:ilvl="0" w:tentative="0">
      <w:start w:val="2"/>
      <w:numFmt w:val="chineseCounting"/>
      <w:suff w:val="nothing"/>
      <w:lvlText w:val="%1、"/>
      <w:lvlJc w:val="left"/>
      <w:rPr>
        <w:rFonts w:hint="eastAsia"/>
      </w:rPr>
    </w:lvl>
  </w:abstractNum>
  <w:abstractNum w:abstractNumId="6">
    <w:nsid w:val="1068C811"/>
    <w:multiLevelType w:val="singleLevel"/>
    <w:tmpl w:val="1068C811"/>
    <w:lvl w:ilvl="0" w:tentative="0">
      <w:start w:val="1"/>
      <w:numFmt w:val="decimal"/>
      <w:suff w:val="space"/>
      <w:lvlText w:val="%1."/>
      <w:lvlJc w:val="left"/>
      <w:rPr>
        <w:rFonts w:cs="Times New Roman"/>
      </w:rPr>
    </w:lvl>
  </w:abstractNum>
  <w:abstractNum w:abstractNumId="7">
    <w:nsid w:val="24619331"/>
    <w:multiLevelType w:val="singleLevel"/>
    <w:tmpl w:val="24619331"/>
    <w:lvl w:ilvl="0" w:tentative="0">
      <w:start w:val="1"/>
      <w:numFmt w:val="decimal"/>
      <w:suff w:val="nothing"/>
      <w:lvlText w:val="（%1）"/>
      <w:lvlJc w:val="left"/>
    </w:lvl>
  </w:abstractNum>
  <w:abstractNum w:abstractNumId="8">
    <w:nsid w:val="2554A3B8"/>
    <w:multiLevelType w:val="singleLevel"/>
    <w:tmpl w:val="2554A3B8"/>
    <w:lvl w:ilvl="0" w:tentative="0">
      <w:start w:val="1"/>
      <w:numFmt w:val="decimal"/>
      <w:lvlText w:val="%1."/>
      <w:lvlJc w:val="left"/>
      <w:pPr>
        <w:tabs>
          <w:tab w:val="left" w:pos="312"/>
        </w:tabs>
      </w:pPr>
    </w:lvl>
  </w:abstractNum>
  <w:abstractNum w:abstractNumId="9">
    <w:nsid w:val="2F542411"/>
    <w:multiLevelType w:val="singleLevel"/>
    <w:tmpl w:val="2F542411"/>
    <w:lvl w:ilvl="0" w:tentative="0">
      <w:start w:val="1"/>
      <w:numFmt w:val="upperLetter"/>
      <w:suff w:val="nothing"/>
      <w:lvlText w:val="%1、"/>
      <w:lvlJc w:val="left"/>
    </w:lvl>
  </w:abstractNum>
  <w:abstractNum w:abstractNumId="10">
    <w:nsid w:val="3486C138"/>
    <w:multiLevelType w:val="singleLevel"/>
    <w:tmpl w:val="3486C138"/>
    <w:lvl w:ilvl="0" w:tentative="0">
      <w:start w:val="1"/>
      <w:numFmt w:val="decimal"/>
      <w:suff w:val="nothing"/>
      <w:lvlText w:val="（%1）"/>
      <w:lvlJc w:val="left"/>
      <w:rPr>
        <w:rFonts w:cs="Times New Roman"/>
      </w:rPr>
    </w:lvl>
  </w:abstractNum>
  <w:abstractNum w:abstractNumId="11">
    <w:nsid w:val="426AA2D1"/>
    <w:multiLevelType w:val="singleLevel"/>
    <w:tmpl w:val="426AA2D1"/>
    <w:lvl w:ilvl="0" w:tentative="0">
      <w:start w:val="1"/>
      <w:numFmt w:val="decimal"/>
      <w:lvlText w:val="%1."/>
      <w:lvlJc w:val="left"/>
      <w:pPr>
        <w:tabs>
          <w:tab w:val="left" w:pos="312"/>
        </w:tabs>
      </w:pPr>
    </w:lvl>
  </w:abstractNum>
  <w:abstractNum w:abstractNumId="12">
    <w:nsid w:val="53E1A08B"/>
    <w:multiLevelType w:val="singleLevel"/>
    <w:tmpl w:val="53E1A08B"/>
    <w:lvl w:ilvl="0" w:tentative="0">
      <w:start w:val="2"/>
      <w:numFmt w:val="chineseCounting"/>
      <w:suff w:val="space"/>
      <w:lvlText w:val="第%1章"/>
      <w:lvlJc w:val="left"/>
      <w:rPr>
        <w:rFonts w:hint="eastAsia" w:cs="Times New Roman"/>
      </w:rPr>
    </w:lvl>
  </w:abstractNum>
  <w:abstractNum w:abstractNumId="13">
    <w:nsid w:val="53F3EEF4"/>
    <w:multiLevelType w:val="singleLevel"/>
    <w:tmpl w:val="53F3EEF4"/>
    <w:lvl w:ilvl="0" w:tentative="0">
      <w:start w:val="1"/>
      <w:numFmt w:val="decimal"/>
      <w:suff w:val="nothing"/>
      <w:lvlText w:val="%1、"/>
      <w:lvlJc w:val="left"/>
    </w:lvl>
  </w:abstractNum>
  <w:abstractNum w:abstractNumId="14">
    <w:nsid w:val="5CFE3973"/>
    <w:multiLevelType w:val="multilevel"/>
    <w:tmpl w:val="5CFE3973"/>
    <w:lvl w:ilvl="0" w:tentative="0">
      <w:start w:val="11"/>
      <w:numFmt w:val="decimal"/>
      <w:lvlText w:val="%1"/>
      <w:lvlJc w:val="left"/>
      <w:pPr>
        <w:ind w:left="336" w:hanging="600"/>
      </w:pPr>
      <w:rPr>
        <w:rFonts w:hint="default" w:cs="Times New Roman"/>
      </w:rPr>
    </w:lvl>
    <w:lvl w:ilvl="1" w:tentative="0">
      <w:start w:val="1"/>
      <w:numFmt w:val="decimal"/>
      <w:lvlText w:val="%1.%2"/>
      <w:lvlJc w:val="left"/>
      <w:pPr>
        <w:ind w:left="336" w:hanging="600"/>
      </w:pPr>
      <w:rPr>
        <w:rFonts w:hint="default" w:ascii="宋体" w:hAnsi="宋体" w:eastAsia="宋体" w:cs="宋体"/>
        <w:b w:val="0"/>
        <w:bCs w:val="0"/>
        <w:i w:val="0"/>
        <w:iCs w:val="0"/>
        <w:w w:val="100"/>
        <w:sz w:val="24"/>
        <w:szCs w:val="24"/>
      </w:rPr>
    </w:lvl>
    <w:lvl w:ilvl="2" w:tentative="0">
      <w:start w:val="1"/>
      <w:numFmt w:val="decimal"/>
      <w:lvlText w:val="%3."/>
      <w:lvlJc w:val="left"/>
      <w:pPr>
        <w:ind w:left="816" w:hanging="241"/>
      </w:pPr>
      <w:rPr>
        <w:rFonts w:hint="default" w:ascii="宋体" w:hAnsi="宋体" w:eastAsia="宋体" w:cs="宋体"/>
        <w:b w:val="0"/>
        <w:bCs w:val="0"/>
        <w:i w:val="0"/>
        <w:iCs w:val="0"/>
        <w:w w:val="100"/>
        <w:sz w:val="22"/>
        <w:szCs w:val="22"/>
      </w:rPr>
    </w:lvl>
    <w:lvl w:ilvl="3" w:tentative="0">
      <w:start w:val="0"/>
      <w:numFmt w:val="bullet"/>
      <w:lvlText w:val="•"/>
      <w:lvlJc w:val="left"/>
      <w:pPr>
        <w:ind w:left="2866" w:hanging="241"/>
      </w:pPr>
      <w:rPr>
        <w:rFonts w:hint="default"/>
      </w:rPr>
    </w:lvl>
    <w:lvl w:ilvl="4" w:tentative="0">
      <w:start w:val="0"/>
      <w:numFmt w:val="bullet"/>
      <w:lvlText w:val="•"/>
      <w:lvlJc w:val="left"/>
      <w:pPr>
        <w:ind w:left="3890" w:hanging="241"/>
      </w:pPr>
      <w:rPr>
        <w:rFonts w:hint="default"/>
      </w:rPr>
    </w:lvl>
    <w:lvl w:ilvl="5" w:tentative="0">
      <w:start w:val="0"/>
      <w:numFmt w:val="bullet"/>
      <w:lvlText w:val="•"/>
      <w:lvlJc w:val="left"/>
      <w:pPr>
        <w:ind w:left="4913" w:hanging="241"/>
      </w:pPr>
      <w:rPr>
        <w:rFonts w:hint="default"/>
      </w:rPr>
    </w:lvl>
    <w:lvl w:ilvl="6" w:tentative="0">
      <w:start w:val="0"/>
      <w:numFmt w:val="bullet"/>
      <w:lvlText w:val="•"/>
      <w:lvlJc w:val="left"/>
      <w:pPr>
        <w:ind w:left="5936" w:hanging="241"/>
      </w:pPr>
      <w:rPr>
        <w:rFonts w:hint="default"/>
      </w:rPr>
    </w:lvl>
    <w:lvl w:ilvl="7" w:tentative="0">
      <w:start w:val="0"/>
      <w:numFmt w:val="bullet"/>
      <w:lvlText w:val="•"/>
      <w:lvlJc w:val="left"/>
      <w:pPr>
        <w:ind w:left="6960" w:hanging="241"/>
      </w:pPr>
      <w:rPr>
        <w:rFonts w:hint="default"/>
      </w:rPr>
    </w:lvl>
    <w:lvl w:ilvl="8" w:tentative="0">
      <w:start w:val="0"/>
      <w:numFmt w:val="bullet"/>
      <w:lvlText w:val="•"/>
      <w:lvlJc w:val="left"/>
      <w:pPr>
        <w:ind w:left="7983" w:hanging="241"/>
      </w:pPr>
      <w:rPr>
        <w:rFonts w:hint="default"/>
      </w:rPr>
    </w:lvl>
  </w:abstractNum>
  <w:num w:numId="1">
    <w:abstractNumId w:val="12"/>
  </w:num>
  <w:num w:numId="2">
    <w:abstractNumId w:val="3"/>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13"/>
  </w:num>
  <w:num w:numId="10">
    <w:abstractNumId w:val="8"/>
  </w:num>
  <w:num w:numId="11">
    <w:abstractNumId w:val="7"/>
  </w:num>
  <w:num w:numId="12">
    <w:abstractNumId w:val="5"/>
  </w:num>
  <w:num w:numId="13">
    <w:abstractNumId w:val="14"/>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MDM1Zjk3MWYzYTc0ODE5NGMwMDFjMGQwOTU1ZDAifQ=="/>
  </w:docVars>
  <w:rsids>
    <w:rsidRoot w:val="6CCC1D1B"/>
    <w:rsid w:val="000B6281"/>
    <w:rsid w:val="00665BAD"/>
    <w:rsid w:val="00A95A9A"/>
    <w:rsid w:val="01042CD0"/>
    <w:rsid w:val="01395070"/>
    <w:rsid w:val="0156352C"/>
    <w:rsid w:val="01B85F94"/>
    <w:rsid w:val="01F84816"/>
    <w:rsid w:val="01F9035B"/>
    <w:rsid w:val="02203B3A"/>
    <w:rsid w:val="026954E1"/>
    <w:rsid w:val="02702D13"/>
    <w:rsid w:val="02854DA6"/>
    <w:rsid w:val="02B56978"/>
    <w:rsid w:val="02C62933"/>
    <w:rsid w:val="02CF7A3A"/>
    <w:rsid w:val="02DB65A7"/>
    <w:rsid w:val="02E5280C"/>
    <w:rsid w:val="02EB05EB"/>
    <w:rsid w:val="034E1A4E"/>
    <w:rsid w:val="035E4919"/>
    <w:rsid w:val="03810CCF"/>
    <w:rsid w:val="03D80B70"/>
    <w:rsid w:val="03ED5FC9"/>
    <w:rsid w:val="03FB03BA"/>
    <w:rsid w:val="03FD2384"/>
    <w:rsid w:val="043D6C25"/>
    <w:rsid w:val="043F31AA"/>
    <w:rsid w:val="044E2BE0"/>
    <w:rsid w:val="0488132A"/>
    <w:rsid w:val="04BA3DF1"/>
    <w:rsid w:val="05704DD8"/>
    <w:rsid w:val="057D0931"/>
    <w:rsid w:val="05880374"/>
    <w:rsid w:val="05D62E8D"/>
    <w:rsid w:val="05FB64DB"/>
    <w:rsid w:val="060024AE"/>
    <w:rsid w:val="060A2B37"/>
    <w:rsid w:val="06103112"/>
    <w:rsid w:val="067601CC"/>
    <w:rsid w:val="06915006"/>
    <w:rsid w:val="069468A4"/>
    <w:rsid w:val="069D39AB"/>
    <w:rsid w:val="06DA075B"/>
    <w:rsid w:val="07442078"/>
    <w:rsid w:val="076A2FDB"/>
    <w:rsid w:val="07AA45D1"/>
    <w:rsid w:val="07BF5EA8"/>
    <w:rsid w:val="07DA01B9"/>
    <w:rsid w:val="07F25F78"/>
    <w:rsid w:val="086A6259"/>
    <w:rsid w:val="0895702F"/>
    <w:rsid w:val="08F301FA"/>
    <w:rsid w:val="095073FA"/>
    <w:rsid w:val="099E6AD6"/>
    <w:rsid w:val="09AC5DD3"/>
    <w:rsid w:val="0A0856C6"/>
    <w:rsid w:val="0A5F5B47"/>
    <w:rsid w:val="0A8530D4"/>
    <w:rsid w:val="0A856C30"/>
    <w:rsid w:val="0AA12D94"/>
    <w:rsid w:val="0AB17A25"/>
    <w:rsid w:val="0AD84D58"/>
    <w:rsid w:val="0AFF4C34"/>
    <w:rsid w:val="0B1137D4"/>
    <w:rsid w:val="0B2226D0"/>
    <w:rsid w:val="0B8D20D9"/>
    <w:rsid w:val="0BAA1044"/>
    <w:rsid w:val="0BD63AB0"/>
    <w:rsid w:val="0BF00A21"/>
    <w:rsid w:val="0BF978D5"/>
    <w:rsid w:val="0C0F0EA7"/>
    <w:rsid w:val="0C2B1A59"/>
    <w:rsid w:val="0C73630C"/>
    <w:rsid w:val="0C7451AE"/>
    <w:rsid w:val="0CBB3B84"/>
    <w:rsid w:val="0CC673BF"/>
    <w:rsid w:val="0CC9374C"/>
    <w:rsid w:val="0CE42333"/>
    <w:rsid w:val="0D066349"/>
    <w:rsid w:val="0D2564A8"/>
    <w:rsid w:val="0D755C3F"/>
    <w:rsid w:val="0DA273CD"/>
    <w:rsid w:val="0DC23114"/>
    <w:rsid w:val="0DDB2286"/>
    <w:rsid w:val="0DF90060"/>
    <w:rsid w:val="0E016238"/>
    <w:rsid w:val="0EBB0830"/>
    <w:rsid w:val="0EC96337"/>
    <w:rsid w:val="0EDB7766"/>
    <w:rsid w:val="0F250FAA"/>
    <w:rsid w:val="10156CA8"/>
    <w:rsid w:val="101A42BE"/>
    <w:rsid w:val="102A2753"/>
    <w:rsid w:val="10535D9C"/>
    <w:rsid w:val="10685029"/>
    <w:rsid w:val="10A926FD"/>
    <w:rsid w:val="10E741A0"/>
    <w:rsid w:val="1131366D"/>
    <w:rsid w:val="116021A5"/>
    <w:rsid w:val="118C2F9A"/>
    <w:rsid w:val="11BF511D"/>
    <w:rsid w:val="11CD7AC2"/>
    <w:rsid w:val="120B0362"/>
    <w:rsid w:val="121723F3"/>
    <w:rsid w:val="121D0DB5"/>
    <w:rsid w:val="121E0096"/>
    <w:rsid w:val="12211934"/>
    <w:rsid w:val="123A47A4"/>
    <w:rsid w:val="12490E8B"/>
    <w:rsid w:val="124B075F"/>
    <w:rsid w:val="125E66E4"/>
    <w:rsid w:val="12E14A8F"/>
    <w:rsid w:val="132C6C0E"/>
    <w:rsid w:val="13561AB1"/>
    <w:rsid w:val="138403CC"/>
    <w:rsid w:val="138A62D2"/>
    <w:rsid w:val="13A730FF"/>
    <w:rsid w:val="1444682C"/>
    <w:rsid w:val="14847F58"/>
    <w:rsid w:val="149E563B"/>
    <w:rsid w:val="14DA34ED"/>
    <w:rsid w:val="14F055ED"/>
    <w:rsid w:val="150A4901"/>
    <w:rsid w:val="150E0609"/>
    <w:rsid w:val="151C63E2"/>
    <w:rsid w:val="1534372C"/>
    <w:rsid w:val="15685C72"/>
    <w:rsid w:val="15966195"/>
    <w:rsid w:val="159E5049"/>
    <w:rsid w:val="15E74C42"/>
    <w:rsid w:val="15EC2259"/>
    <w:rsid w:val="162163A6"/>
    <w:rsid w:val="16361726"/>
    <w:rsid w:val="164C6DAB"/>
    <w:rsid w:val="165513CD"/>
    <w:rsid w:val="16585B40"/>
    <w:rsid w:val="16610551"/>
    <w:rsid w:val="1662251B"/>
    <w:rsid w:val="16730284"/>
    <w:rsid w:val="168626AD"/>
    <w:rsid w:val="16BA5EB3"/>
    <w:rsid w:val="16D43419"/>
    <w:rsid w:val="170B4961"/>
    <w:rsid w:val="1720040C"/>
    <w:rsid w:val="174D31CB"/>
    <w:rsid w:val="17740758"/>
    <w:rsid w:val="17935082"/>
    <w:rsid w:val="17A30EF0"/>
    <w:rsid w:val="17B574AD"/>
    <w:rsid w:val="17B9616B"/>
    <w:rsid w:val="17DF2075"/>
    <w:rsid w:val="18025D64"/>
    <w:rsid w:val="18041ADC"/>
    <w:rsid w:val="180E66B2"/>
    <w:rsid w:val="182B52BA"/>
    <w:rsid w:val="186802BC"/>
    <w:rsid w:val="18A1732B"/>
    <w:rsid w:val="18D47700"/>
    <w:rsid w:val="18E611E1"/>
    <w:rsid w:val="18ED3323"/>
    <w:rsid w:val="18EF453A"/>
    <w:rsid w:val="19053D5D"/>
    <w:rsid w:val="19434886"/>
    <w:rsid w:val="1977008B"/>
    <w:rsid w:val="19792055"/>
    <w:rsid w:val="1987731D"/>
    <w:rsid w:val="199B2433"/>
    <w:rsid w:val="199C7AF2"/>
    <w:rsid w:val="19A560B8"/>
    <w:rsid w:val="19BD1B7A"/>
    <w:rsid w:val="19D83220"/>
    <w:rsid w:val="19F06A96"/>
    <w:rsid w:val="1ADC4657"/>
    <w:rsid w:val="1AF220BF"/>
    <w:rsid w:val="1B050602"/>
    <w:rsid w:val="1B3D393E"/>
    <w:rsid w:val="1B4E306E"/>
    <w:rsid w:val="1B994BDB"/>
    <w:rsid w:val="1BED2887"/>
    <w:rsid w:val="1C0323C0"/>
    <w:rsid w:val="1C1918CE"/>
    <w:rsid w:val="1C1F5136"/>
    <w:rsid w:val="1C4E5A1B"/>
    <w:rsid w:val="1C9F1DD3"/>
    <w:rsid w:val="1CFB015B"/>
    <w:rsid w:val="1D6B6159"/>
    <w:rsid w:val="1D7E5E8C"/>
    <w:rsid w:val="1D9B6A3E"/>
    <w:rsid w:val="1DA33B45"/>
    <w:rsid w:val="1DB91C7D"/>
    <w:rsid w:val="1DCF0F79"/>
    <w:rsid w:val="1DFF039E"/>
    <w:rsid w:val="1E276524"/>
    <w:rsid w:val="1E3429EF"/>
    <w:rsid w:val="1EA336D1"/>
    <w:rsid w:val="1EB55657"/>
    <w:rsid w:val="1ED558F8"/>
    <w:rsid w:val="1EDC730E"/>
    <w:rsid w:val="1EDF295B"/>
    <w:rsid w:val="1EF1268E"/>
    <w:rsid w:val="1EFE2F32"/>
    <w:rsid w:val="1F0C74C8"/>
    <w:rsid w:val="1F433F10"/>
    <w:rsid w:val="1F95570F"/>
    <w:rsid w:val="1FA23AC0"/>
    <w:rsid w:val="1FDB2EE6"/>
    <w:rsid w:val="1FE10954"/>
    <w:rsid w:val="20065D2D"/>
    <w:rsid w:val="202820DF"/>
    <w:rsid w:val="20384A18"/>
    <w:rsid w:val="203B1E13"/>
    <w:rsid w:val="204213F3"/>
    <w:rsid w:val="20745325"/>
    <w:rsid w:val="208F215E"/>
    <w:rsid w:val="20A43E5C"/>
    <w:rsid w:val="20DF4E94"/>
    <w:rsid w:val="21331FC1"/>
    <w:rsid w:val="21570ECE"/>
    <w:rsid w:val="219C4B33"/>
    <w:rsid w:val="21A47E8B"/>
    <w:rsid w:val="21C422DC"/>
    <w:rsid w:val="21E36C06"/>
    <w:rsid w:val="21EA1D42"/>
    <w:rsid w:val="21FC6C72"/>
    <w:rsid w:val="22066450"/>
    <w:rsid w:val="220A0656"/>
    <w:rsid w:val="22141307"/>
    <w:rsid w:val="22230DB0"/>
    <w:rsid w:val="22364F87"/>
    <w:rsid w:val="223E5BEA"/>
    <w:rsid w:val="225E628C"/>
    <w:rsid w:val="22851A6B"/>
    <w:rsid w:val="22A243CB"/>
    <w:rsid w:val="22B569E9"/>
    <w:rsid w:val="22BD7457"/>
    <w:rsid w:val="22C02AA3"/>
    <w:rsid w:val="22D20CB4"/>
    <w:rsid w:val="22D80C0E"/>
    <w:rsid w:val="23123744"/>
    <w:rsid w:val="23403BE4"/>
    <w:rsid w:val="235D4796"/>
    <w:rsid w:val="23C40371"/>
    <w:rsid w:val="23C91E2B"/>
    <w:rsid w:val="240115C5"/>
    <w:rsid w:val="24402A93"/>
    <w:rsid w:val="246B6A3F"/>
    <w:rsid w:val="24743B45"/>
    <w:rsid w:val="247C0C4C"/>
    <w:rsid w:val="24D82326"/>
    <w:rsid w:val="250A75F6"/>
    <w:rsid w:val="25441769"/>
    <w:rsid w:val="255E0351"/>
    <w:rsid w:val="25A530AD"/>
    <w:rsid w:val="25D52D09"/>
    <w:rsid w:val="26153106"/>
    <w:rsid w:val="268C786C"/>
    <w:rsid w:val="26957503"/>
    <w:rsid w:val="26A821CC"/>
    <w:rsid w:val="26AB75C6"/>
    <w:rsid w:val="26DD1E76"/>
    <w:rsid w:val="26DF71D2"/>
    <w:rsid w:val="26E36D60"/>
    <w:rsid w:val="270513CC"/>
    <w:rsid w:val="27082C6B"/>
    <w:rsid w:val="27677991"/>
    <w:rsid w:val="276E0D20"/>
    <w:rsid w:val="278542BB"/>
    <w:rsid w:val="27A84A9C"/>
    <w:rsid w:val="27BF77CD"/>
    <w:rsid w:val="27DA4607"/>
    <w:rsid w:val="280678EA"/>
    <w:rsid w:val="28096170"/>
    <w:rsid w:val="288F4F38"/>
    <w:rsid w:val="289742A6"/>
    <w:rsid w:val="28C055AB"/>
    <w:rsid w:val="28CF57EE"/>
    <w:rsid w:val="28F434A6"/>
    <w:rsid w:val="29086F52"/>
    <w:rsid w:val="299D756B"/>
    <w:rsid w:val="29B8189D"/>
    <w:rsid w:val="29C349B7"/>
    <w:rsid w:val="29F51284"/>
    <w:rsid w:val="2A3F4BF5"/>
    <w:rsid w:val="2A50295E"/>
    <w:rsid w:val="2A846AAC"/>
    <w:rsid w:val="2AB0164F"/>
    <w:rsid w:val="2ABC6246"/>
    <w:rsid w:val="2ABE5B1A"/>
    <w:rsid w:val="2ACA0963"/>
    <w:rsid w:val="2AF76522"/>
    <w:rsid w:val="2B475E24"/>
    <w:rsid w:val="2B7D5189"/>
    <w:rsid w:val="2B9F3B9D"/>
    <w:rsid w:val="2BAA2542"/>
    <w:rsid w:val="2BCA4992"/>
    <w:rsid w:val="2BE47802"/>
    <w:rsid w:val="2BF46A00"/>
    <w:rsid w:val="2C0E0D23"/>
    <w:rsid w:val="2C2440A3"/>
    <w:rsid w:val="2C471B3F"/>
    <w:rsid w:val="2C646B95"/>
    <w:rsid w:val="2C901738"/>
    <w:rsid w:val="2CC31B0E"/>
    <w:rsid w:val="2CD05FD9"/>
    <w:rsid w:val="2CE7712B"/>
    <w:rsid w:val="2CF81446"/>
    <w:rsid w:val="2D0D0FDB"/>
    <w:rsid w:val="2D30480E"/>
    <w:rsid w:val="2DBB4593"/>
    <w:rsid w:val="2DE674FD"/>
    <w:rsid w:val="2DEB6E74"/>
    <w:rsid w:val="2E1D524D"/>
    <w:rsid w:val="2E8C7362"/>
    <w:rsid w:val="2EA119DB"/>
    <w:rsid w:val="2EEC7F11"/>
    <w:rsid w:val="2F0401BB"/>
    <w:rsid w:val="2F320885"/>
    <w:rsid w:val="2F666780"/>
    <w:rsid w:val="2FAF0127"/>
    <w:rsid w:val="2FB223BC"/>
    <w:rsid w:val="2FDD4C94"/>
    <w:rsid w:val="2FF131D4"/>
    <w:rsid w:val="30226B4B"/>
    <w:rsid w:val="30B637BB"/>
    <w:rsid w:val="30D836AE"/>
    <w:rsid w:val="30DB4CF6"/>
    <w:rsid w:val="310B61B1"/>
    <w:rsid w:val="313B316A"/>
    <w:rsid w:val="31456F95"/>
    <w:rsid w:val="315216B2"/>
    <w:rsid w:val="31745184"/>
    <w:rsid w:val="31A17F44"/>
    <w:rsid w:val="31AE3364"/>
    <w:rsid w:val="31E00A6C"/>
    <w:rsid w:val="31ED1F65"/>
    <w:rsid w:val="320F1351"/>
    <w:rsid w:val="32110C25"/>
    <w:rsid w:val="321D3A6E"/>
    <w:rsid w:val="322C1F03"/>
    <w:rsid w:val="32CC0FF0"/>
    <w:rsid w:val="330445FA"/>
    <w:rsid w:val="334F40FB"/>
    <w:rsid w:val="33913545"/>
    <w:rsid w:val="339E5B16"/>
    <w:rsid w:val="33A61841"/>
    <w:rsid w:val="33BB6DF6"/>
    <w:rsid w:val="33D04B10"/>
    <w:rsid w:val="34403A44"/>
    <w:rsid w:val="34684A32"/>
    <w:rsid w:val="346C4839"/>
    <w:rsid w:val="347656B7"/>
    <w:rsid w:val="34A246FE"/>
    <w:rsid w:val="34A264AC"/>
    <w:rsid w:val="34BE15C4"/>
    <w:rsid w:val="34E95E89"/>
    <w:rsid w:val="34F0546A"/>
    <w:rsid w:val="351D5B33"/>
    <w:rsid w:val="35A26038"/>
    <w:rsid w:val="35C3492C"/>
    <w:rsid w:val="35E87EEF"/>
    <w:rsid w:val="360D3DFA"/>
    <w:rsid w:val="362C1AE2"/>
    <w:rsid w:val="362D1DA6"/>
    <w:rsid w:val="364D069A"/>
    <w:rsid w:val="36A007CA"/>
    <w:rsid w:val="36C56482"/>
    <w:rsid w:val="36EF273A"/>
    <w:rsid w:val="37716772"/>
    <w:rsid w:val="3772660A"/>
    <w:rsid w:val="37887BDC"/>
    <w:rsid w:val="37955E55"/>
    <w:rsid w:val="37BE184F"/>
    <w:rsid w:val="382471D8"/>
    <w:rsid w:val="38327B47"/>
    <w:rsid w:val="38353194"/>
    <w:rsid w:val="389425B0"/>
    <w:rsid w:val="38A5656B"/>
    <w:rsid w:val="38D155B2"/>
    <w:rsid w:val="38F117B0"/>
    <w:rsid w:val="38FD0155"/>
    <w:rsid w:val="3914724D"/>
    <w:rsid w:val="391601B4"/>
    <w:rsid w:val="39184F8F"/>
    <w:rsid w:val="39643D30"/>
    <w:rsid w:val="399C796E"/>
    <w:rsid w:val="399F745E"/>
    <w:rsid w:val="39A46823"/>
    <w:rsid w:val="39C944DB"/>
    <w:rsid w:val="39E84962"/>
    <w:rsid w:val="3A157778"/>
    <w:rsid w:val="3A6A35C8"/>
    <w:rsid w:val="3AA52853"/>
    <w:rsid w:val="3AAF722D"/>
    <w:rsid w:val="3AB111F7"/>
    <w:rsid w:val="3ACF5B21"/>
    <w:rsid w:val="3B0C4680"/>
    <w:rsid w:val="3B20637D"/>
    <w:rsid w:val="3B293484"/>
    <w:rsid w:val="3B3360B0"/>
    <w:rsid w:val="3B581673"/>
    <w:rsid w:val="3B675D5A"/>
    <w:rsid w:val="3B702E61"/>
    <w:rsid w:val="3BB014AF"/>
    <w:rsid w:val="3BBA232E"/>
    <w:rsid w:val="3BC60CD2"/>
    <w:rsid w:val="3BD77022"/>
    <w:rsid w:val="3C29300F"/>
    <w:rsid w:val="3C783A46"/>
    <w:rsid w:val="3C96602F"/>
    <w:rsid w:val="3CDC62D4"/>
    <w:rsid w:val="3D1E069A"/>
    <w:rsid w:val="3DB66B25"/>
    <w:rsid w:val="3DBB413B"/>
    <w:rsid w:val="3DBD7EB3"/>
    <w:rsid w:val="3DBF59D9"/>
    <w:rsid w:val="3DC9041D"/>
    <w:rsid w:val="3DD57B16"/>
    <w:rsid w:val="3DE82891"/>
    <w:rsid w:val="3DFA1607"/>
    <w:rsid w:val="3E156929"/>
    <w:rsid w:val="3E377C66"/>
    <w:rsid w:val="3E4D7A48"/>
    <w:rsid w:val="3E6502E3"/>
    <w:rsid w:val="3E9230EE"/>
    <w:rsid w:val="3E9E1A93"/>
    <w:rsid w:val="3EAE5A4E"/>
    <w:rsid w:val="3EC845B8"/>
    <w:rsid w:val="3F5860E5"/>
    <w:rsid w:val="3F6A5E19"/>
    <w:rsid w:val="3F740A45"/>
    <w:rsid w:val="3F7722E4"/>
    <w:rsid w:val="3F7B2E16"/>
    <w:rsid w:val="3F890995"/>
    <w:rsid w:val="3F9F4F42"/>
    <w:rsid w:val="3FFC1167"/>
    <w:rsid w:val="40185875"/>
    <w:rsid w:val="40294FD0"/>
    <w:rsid w:val="402B1824"/>
    <w:rsid w:val="40534AFF"/>
    <w:rsid w:val="40E35E83"/>
    <w:rsid w:val="40F260C6"/>
    <w:rsid w:val="41097E97"/>
    <w:rsid w:val="41160006"/>
    <w:rsid w:val="41410DFB"/>
    <w:rsid w:val="414803DC"/>
    <w:rsid w:val="415D5C35"/>
    <w:rsid w:val="41A04032"/>
    <w:rsid w:val="41D61543"/>
    <w:rsid w:val="41E12488"/>
    <w:rsid w:val="41EC0D67"/>
    <w:rsid w:val="41EF2605"/>
    <w:rsid w:val="42114C71"/>
    <w:rsid w:val="42273E61"/>
    <w:rsid w:val="423B3A9C"/>
    <w:rsid w:val="4249440B"/>
    <w:rsid w:val="426A2D2C"/>
    <w:rsid w:val="43525522"/>
    <w:rsid w:val="438077F3"/>
    <w:rsid w:val="43A318F9"/>
    <w:rsid w:val="43BD6E5F"/>
    <w:rsid w:val="43F3462F"/>
    <w:rsid w:val="44501A81"/>
    <w:rsid w:val="44735770"/>
    <w:rsid w:val="44913E48"/>
    <w:rsid w:val="44A616A1"/>
    <w:rsid w:val="44AC2A30"/>
    <w:rsid w:val="44BD69EB"/>
    <w:rsid w:val="45120AE5"/>
    <w:rsid w:val="4517434D"/>
    <w:rsid w:val="45285849"/>
    <w:rsid w:val="4547215D"/>
    <w:rsid w:val="4563456F"/>
    <w:rsid w:val="4580244D"/>
    <w:rsid w:val="458A4B1F"/>
    <w:rsid w:val="45977244"/>
    <w:rsid w:val="459D5567"/>
    <w:rsid w:val="45B85B30"/>
    <w:rsid w:val="45D65FB6"/>
    <w:rsid w:val="46027B5A"/>
    <w:rsid w:val="4622744D"/>
    <w:rsid w:val="4647558D"/>
    <w:rsid w:val="46D02A05"/>
    <w:rsid w:val="46E14C12"/>
    <w:rsid w:val="473F5DDD"/>
    <w:rsid w:val="474B6530"/>
    <w:rsid w:val="476D46F8"/>
    <w:rsid w:val="47705F96"/>
    <w:rsid w:val="4784097C"/>
    <w:rsid w:val="47A14939"/>
    <w:rsid w:val="47B562E3"/>
    <w:rsid w:val="47C36A0E"/>
    <w:rsid w:val="48541414"/>
    <w:rsid w:val="48677399"/>
    <w:rsid w:val="48705FE0"/>
    <w:rsid w:val="48BF2D31"/>
    <w:rsid w:val="48CE7418"/>
    <w:rsid w:val="48D8404A"/>
    <w:rsid w:val="48EC789E"/>
    <w:rsid w:val="490934AA"/>
    <w:rsid w:val="491F5D08"/>
    <w:rsid w:val="49D24CE6"/>
    <w:rsid w:val="49E14F29"/>
    <w:rsid w:val="49EF440A"/>
    <w:rsid w:val="49F20EE5"/>
    <w:rsid w:val="4A301A0D"/>
    <w:rsid w:val="4A3C3144"/>
    <w:rsid w:val="4A54710F"/>
    <w:rsid w:val="4A6E4B43"/>
    <w:rsid w:val="4A9C36AB"/>
    <w:rsid w:val="4AAF523B"/>
    <w:rsid w:val="4AC960E9"/>
    <w:rsid w:val="4ADF76BB"/>
    <w:rsid w:val="4B5E0F27"/>
    <w:rsid w:val="4BBF74EC"/>
    <w:rsid w:val="4C060CE1"/>
    <w:rsid w:val="4C247489"/>
    <w:rsid w:val="4C431ECB"/>
    <w:rsid w:val="4C433C79"/>
    <w:rsid w:val="4C5479B0"/>
    <w:rsid w:val="4C854292"/>
    <w:rsid w:val="4CB16E35"/>
    <w:rsid w:val="4CC90623"/>
    <w:rsid w:val="4D115B26"/>
    <w:rsid w:val="4D3D4B6D"/>
    <w:rsid w:val="4D447DD6"/>
    <w:rsid w:val="4D453A21"/>
    <w:rsid w:val="4D4952BF"/>
    <w:rsid w:val="4D5D520F"/>
    <w:rsid w:val="4D8B1D7C"/>
    <w:rsid w:val="4D9F3131"/>
    <w:rsid w:val="4DA64B6C"/>
    <w:rsid w:val="4DBB3B00"/>
    <w:rsid w:val="4DDF79D2"/>
    <w:rsid w:val="4E094A4F"/>
    <w:rsid w:val="4E165AE9"/>
    <w:rsid w:val="4E2F2C58"/>
    <w:rsid w:val="4E3F66C2"/>
    <w:rsid w:val="4E485577"/>
    <w:rsid w:val="4E48737C"/>
    <w:rsid w:val="4E6F6FA8"/>
    <w:rsid w:val="4EA75C5A"/>
    <w:rsid w:val="4EE259CC"/>
    <w:rsid w:val="4EE631A7"/>
    <w:rsid w:val="4F302BDB"/>
    <w:rsid w:val="4F6A1303"/>
    <w:rsid w:val="4F764366"/>
    <w:rsid w:val="4FBC621D"/>
    <w:rsid w:val="4FBF7ABB"/>
    <w:rsid w:val="4FC11A85"/>
    <w:rsid w:val="4FC568A1"/>
    <w:rsid w:val="500E7CC5"/>
    <w:rsid w:val="501C315F"/>
    <w:rsid w:val="501E6ED7"/>
    <w:rsid w:val="502E3492"/>
    <w:rsid w:val="50350ED7"/>
    <w:rsid w:val="504E68E8"/>
    <w:rsid w:val="505C4C07"/>
    <w:rsid w:val="50903205"/>
    <w:rsid w:val="50AF5D81"/>
    <w:rsid w:val="50CD31E4"/>
    <w:rsid w:val="50E83041"/>
    <w:rsid w:val="510760F2"/>
    <w:rsid w:val="51106C21"/>
    <w:rsid w:val="51112598"/>
    <w:rsid w:val="51263104"/>
    <w:rsid w:val="51917235"/>
    <w:rsid w:val="51AF590D"/>
    <w:rsid w:val="51B80C66"/>
    <w:rsid w:val="51BF1FF4"/>
    <w:rsid w:val="51FF0643"/>
    <w:rsid w:val="52134EB2"/>
    <w:rsid w:val="52691F60"/>
    <w:rsid w:val="526F0D33"/>
    <w:rsid w:val="52C23008"/>
    <w:rsid w:val="52D03D8D"/>
    <w:rsid w:val="52EC6E19"/>
    <w:rsid w:val="52EF06B7"/>
    <w:rsid w:val="5310448A"/>
    <w:rsid w:val="534E6397"/>
    <w:rsid w:val="538D415C"/>
    <w:rsid w:val="541008E5"/>
    <w:rsid w:val="5414112F"/>
    <w:rsid w:val="5415414D"/>
    <w:rsid w:val="54183C3E"/>
    <w:rsid w:val="541C372E"/>
    <w:rsid w:val="542E520F"/>
    <w:rsid w:val="543550AF"/>
    <w:rsid w:val="544B2757"/>
    <w:rsid w:val="54574766"/>
    <w:rsid w:val="54B35714"/>
    <w:rsid w:val="54D1276A"/>
    <w:rsid w:val="552A1E7F"/>
    <w:rsid w:val="5540047B"/>
    <w:rsid w:val="55826B5A"/>
    <w:rsid w:val="5583158B"/>
    <w:rsid w:val="5588094F"/>
    <w:rsid w:val="55CB0FAC"/>
    <w:rsid w:val="55CE45EF"/>
    <w:rsid w:val="55DB4F23"/>
    <w:rsid w:val="56164DBC"/>
    <w:rsid w:val="56301712"/>
    <w:rsid w:val="566118CC"/>
    <w:rsid w:val="5717642E"/>
    <w:rsid w:val="572823EA"/>
    <w:rsid w:val="575256B8"/>
    <w:rsid w:val="575D6537"/>
    <w:rsid w:val="576066BE"/>
    <w:rsid w:val="57686C8A"/>
    <w:rsid w:val="577675F9"/>
    <w:rsid w:val="577B69BD"/>
    <w:rsid w:val="57A579F3"/>
    <w:rsid w:val="57C57C38"/>
    <w:rsid w:val="57CE2EBC"/>
    <w:rsid w:val="57D31D9D"/>
    <w:rsid w:val="57E26A3C"/>
    <w:rsid w:val="57E9601D"/>
    <w:rsid w:val="57EE3633"/>
    <w:rsid w:val="57F81DBC"/>
    <w:rsid w:val="580E0C05"/>
    <w:rsid w:val="581C4403"/>
    <w:rsid w:val="58904F59"/>
    <w:rsid w:val="589A2E73"/>
    <w:rsid w:val="58C12AF6"/>
    <w:rsid w:val="58F5279F"/>
    <w:rsid w:val="592762E1"/>
    <w:rsid w:val="59305585"/>
    <w:rsid w:val="59510812"/>
    <w:rsid w:val="595353A2"/>
    <w:rsid w:val="595B4CF8"/>
    <w:rsid w:val="5A042C75"/>
    <w:rsid w:val="5A137381"/>
    <w:rsid w:val="5A8262B5"/>
    <w:rsid w:val="5A900D5F"/>
    <w:rsid w:val="5AF730C2"/>
    <w:rsid w:val="5B2630E4"/>
    <w:rsid w:val="5B3E6680"/>
    <w:rsid w:val="5B5C6B06"/>
    <w:rsid w:val="5B7200D7"/>
    <w:rsid w:val="5B85605C"/>
    <w:rsid w:val="5B946295"/>
    <w:rsid w:val="5BA26C0E"/>
    <w:rsid w:val="5BC72888"/>
    <w:rsid w:val="5BE508A9"/>
    <w:rsid w:val="5C076A71"/>
    <w:rsid w:val="5C245875"/>
    <w:rsid w:val="5C294C3A"/>
    <w:rsid w:val="5C3163EC"/>
    <w:rsid w:val="5C447CC6"/>
    <w:rsid w:val="5C616DD3"/>
    <w:rsid w:val="5C78796F"/>
    <w:rsid w:val="5C790656"/>
    <w:rsid w:val="5C7A36E7"/>
    <w:rsid w:val="5C981DBF"/>
    <w:rsid w:val="5CB84210"/>
    <w:rsid w:val="5D027239"/>
    <w:rsid w:val="5D3D64C3"/>
    <w:rsid w:val="5D573A29"/>
    <w:rsid w:val="5D5C2DED"/>
    <w:rsid w:val="5D6879E4"/>
    <w:rsid w:val="5E062D59"/>
    <w:rsid w:val="5E272947"/>
    <w:rsid w:val="5E2C0A11"/>
    <w:rsid w:val="5E331DA0"/>
    <w:rsid w:val="5E481638"/>
    <w:rsid w:val="5E7919F9"/>
    <w:rsid w:val="5E864BBA"/>
    <w:rsid w:val="5EA762EA"/>
    <w:rsid w:val="5ED06A86"/>
    <w:rsid w:val="5EEC63F2"/>
    <w:rsid w:val="5F0B0F9E"/>
    <w:rsid w:val="5F1340D0"/>
    <w:rsid w:val="5F13572D"/>
    <w:rsid w:val="5F296CFF"/>
    <w:rsid w:val="5F3C2ED6"/>
    <w:rsid w:val="5F772160"/>
    <w:rsid w:val="600A6B30"/>
    <w:rsid w:val="60234096"/>
    <w:rsid w:val="60363DC9"/>
    <w:rsid w:val="6042276E"/>
    <w:rsid w:val="604858AA"/>
    <w:rsid w:val="605D3104"/>
    <w:rsid w:val="609B00D0"/>
    <w:rsid w:val="609C06B7"/>
    <w:rsid w:val="60D40EEC"/>
    <w:rsid w:val="613025C6"/>
    <w:rsid w:val="61646714"/>
    <w:rsid w:val="6175447D"/>
    <w:rsid w:val="619458FD"/>
    <w:rsid w:val="61A60ADB"/>
    <w:rsid w:val="61AB60F1"/>
    <w:rsid w:val="61BE0F03"/>
    <w:rsid w:val="61E17D65"/>
    <w:rsid w:val="62061579"/>
    <w:rsid w:val="62101B11"/>
    <w:rsid w:val="624F1172"/>
    <w:rsid w:val="62854B94"/>
    <w:rsid w:val="62D358FF"/>
    <w:rsid w:val="632653D9"/>
    <w:rsid w:val="634C47E8"/>
    <w:rsid w:val="637A3FCD"/>
    <w:rsid w:val="638D707F"/>
    <w:rsid w:val="63A332E7"/>
    <w:rsid w:val="63FE69AC"/>
    <w:rsid w:val="64195594"/>
    <w:rsid w:val="643E324C"/>
    <w:rsid w:val="64BB2AEF"/>
    <w:rsid w:val="64CA4AE0"/>
    <w:rsid w:val="64D94D23"/>
    <w:rsid w:val="64DE67DD"/>
    <w:rsid w:val="64F41B5D"/>
    <w:rsid w:val="6545060B"/>
    <w:rsid w:val="65476131"/>
    <w:rsid w:val="65735178"/>
    <w:rsid w:val="6582360D"/>
    <w:rsid w:val="65F31E15"/>
    <w:rsid w:val="65FF4C5D"/>
    <w:rsid w:val="66012783"/>
    <w:rsid w:val="665E57F4"/>
    <w:rsid w:val="67123833"/>
    <w:rsid w:val="67241AA7"/>
    <w:rsid w:val="67281F92"/>
    <w:rsid w:val="673144D8"/>
    <w:rsid w:val="674768BC"/>
    <w:rsid w:val="679F11A6"/>
    <w:rsid w:val="67AE06E9"/>
    <w:rsid w:val="67C73559"/>
    <w:rsid w:val="67E4235D"/>
    <w:rsid w:val="68260593"/>
    <w:rsid w:val="6850354E"/>
    <w:rsid w:val="685F3791"/>
    <w:rsid w:val="686134C7"/>
    <w:rsid w:val="68882CE8"/>
    <w:rsid w:val="68B63CF9"/>
    <w:rsid w:val="68E85E7D"/>
    <w:rsid w:val="6907076B"/>
    <w:rsid w:val="691A0A26"/>
    <w:rsid w:val="693D5649"/>
    <w:rsid w:val="696574CD"/>
    <w:rsid w:val="699D0A15"/>
    <w:rsid w:val="699F29DF"/>
    <w:rsid w:val="69AB38CC"/>
    <w:rsid w:val="69EC72A7"/>
    <w:rsid w:val="6A1D3904"/>
    <w:rsid w:val="6A4470E3"/>
    <w:rsid w:val="6A7B27A9"/>
    <w:rsid w:val="6A9C0CCD"/>
    <w:rsid w:val="6A9E4A45"/>
    <w:rsid w:val="6AA162E3"/>
    <w:rsid w:val="6AA47B81"/>
    <w:rsid w:val="6ABA5FF7"/>
    <w:rsid w:val="6AD93CCF"/>
    <w:rsid w:val="6AEF704E"/>
    <w:rsid w:val="6B036F9E"/>
    <w:rsid w:val="6B20545A"/>
    <w:rsid w:val="6B264A3A"/>
    <w:rsid w:val="6B3B6738"/>
    <w:rsid w:val="6B68554D"/>
    <w:rsid w:val="6B833C3B"/>
    <w:rsid w:val="6B8974A3"/>
    <w:rsid w:val="6BAE6F0A"/>
    <w:rsid w:val="6BE01F8A"/>
    <w:rsid w:val="6C25027B"/>
    <w:rsid w:val="6C44161C"/>
    <w:rsid w:val="6C60249C"/>
    <w:rsid w:val="6CBE317C"/>
    <w:rsid w:val="6CCC1D1B"/>
    <w:rsid w:val="6CDF30F3"/>
    <w:rsid w:val="6D167479"/>
    <w:rsid w:val="6D2356D5"/>
    <w:rsid w:val="6D2646F7"/>
    <w:rsid w:val="6D5E670D"/>
    <w:rsid w:val="6DA560EA"/>
    <w:rsid w:val="6DE07122"/>
    <w:rsid w:val="6DE3690D"/>
    <w:rsid w:val="6DF36E56"/>
    <w:rsid w:val="6E0252EB"/>
    <w:rsid w:val="6E0A23F1"/>
    <w:rsid w:val="6E1D46BB"/>
    <w:rsid w:val="6E443B55"/>
    <w:rsid w:val="6E8977BA"/>
    <w:rsid w:val="6EA37EDF"/>
    <w:rsid w:val="6EB760D5"/>
    <w:rsid w:val="6EB84D6F"/>
    <w:rsid w:val="6EBD1290"/>
    <w:rsid w:val="6EE45C9F"/>
    <w:rsid w:val="6EFC61DE"/>
    <w:rsid w:val="6F103A37"/>
    <w:rsid w:val="6F433AAD"/>
    <w:rsid w:val="6F4A6F49"/>
    <w:rsid w:val="6F5C6C7D"/>
    <w:rsid w:val="6FB865A9"/>
    <w:rsid w:val="6FCC795E"/>
    <w:rsid w:val="6FCF56A0"/>
    <w:rsid w:val="6FD827A7"/>
    <w:rsid w:val="700E441B"/>
    <w:rsid w:val="7036571F"/>
    <w:rsid w:val="705F07D2"/>
    <w:rsid w:val="7060279C"/>
    <w:rsid w:val="7084648B"/>
    <w:rsid w:val="70B56644"/>
    <w:rsid w:val="70F52EE5"/>
    <w:rsid w:val="710E12C0"/>
    <w:rsid w:val="71326445"/>
    <w:rsid w:val="719324B2"/>
    <w:rsid w:val="71A52B5D"/>
    <w:rsid w:val="71B11502"/>
    <w:rsid w:val="71BE3C1E"/>
    <w:rsid w:val="722F2426"/>
    <w:rsid w:val="724759C2"/>
    <w:rsid w:val="725974A3"/>
    <w:rsid w:val="726E2F4F"/>
    <w:rsid w:val="72C60FDD"/>
    <w:rsid w:val="72D354A8"/>
    <w:rsid w:val="73012015"/>
    <w:rsid w:val="730E308A"/>
    <w:rsid w:val="731004AA"/>
    <w:rsid w:val="733B7C71"/>
    <w:rsid w:val="7342122D"/>
    <w:rsid w:val="73614861"/>
    <w:rsid w:val="7374041D"/>
    <w:rsid w:val="73942E89"/>
    <w:rsid w:val="739629B5"/>
    <w:rsid w:val="739F538A"/>
    <w:rsid w:val="740B2A1F"/>
    <w:rsid w:val="742C1313"/>
    <w:rsid w:val="742D0BE7"/>
    <w:rsid w:val="7491469F"/>
    <w:rsid w:val="74956EB9"/>
    <w:rsid w:val="74A0585D"/>
    <w:rsid w:val="74BA088C"/>
    <w:rsid w:val="74C0380A"/>
    <w:rsid w:val="74CB0B2C"/>
    <w:rsid w:val="74CB28DA"/>
    <w:rsid w:val="74D53759"/>
    <w:rsid w:val="759E1D9D"/>
    <w:rsid w:val="75A241B6"/>
    <w:rsid w:val="75F220E9"/>
    <w:rsid w:val="763D7808"/>
    <w:rsid w:val="76893729"/>
    <w:rsid w:val="76CA730F"/>
    <w:rsid w:val="76DA5057"/>
    <w:rsid w:val="76FD2AF3"/>
    <w:rsid w:val="77626DFA"/>
    <w:rsid w:val="77732F67"/>
    <w:rsid w:val="778E5E41"/>
    <w:rsid w:val="77A45665"/>
    <w:rsid w:val="77B77146"/>
    <w:rsid w:val="77B80A62"/>
    <w:rsid w:val="77DE08BF"/>
    <w:rsid w:val="77E12415"/>
    <w:rsid w:val="78016613"/>
    <w:rsid w:val="781F7B88"/>
    <w:rsid w:val="78270C1F"/>
    <w:rsid w:val="784D3606"/>
    <w:rsid w:val="785227EC"/>
    <w:rsid w:val="7855070D"/>
    <w:rsid w:val="7881167C"/>
    <w:rsid w:val="78915BE9"/>
    <w:rsid w:val="78A05E2C"/>
    <w:rsid w:val="78BF6934"/>
    <w:rsid w:val="78D02DFD"/>
    <w:rsid w:val="78D21D5D"/>
    <w:rsid w:val="790939D1"/>
    <w:rsid w:val="790A7749"/>
    <w:rsid w:val="795D7E42"/>
    <w:rsid w:val="79B2253B"/>
    <w:rsid w:val="79B2594A"/>
    <w:rsid w:val="79B53B59"/>
    <w:rsid w:val="7A102B3D"/>
    <w:rsid w:val="7A6A1F9F"/>
    <w:rsid w:val="7A8D0632"/>
    <w:rsid w:val="7A8F7F06"/>
    <w:rsid w:val="7AAC344B"/>
    <w:rsid w:val="7AC06311"/>
    <w:rsid w:val="7AE446F6"/>
    <w:rsid w:val="7B195B51"/>
    <w:rsid w:val="7B2C1BF9"/>
    <w:rsid w:val="7B42141C"/>
    <w:rsid w:val="7B476A33"/>
    <w:rsid w:val="7B7470FC"/>
    <w:rsid w:val="7B7D06A6"/>
    <w:rsid w:val="7B937896"/>
    <w:rsid w:val="7BB56B01"/>
    <w:rsid w:val="7BB75966"/>
    <w:rsid w:val="7C0E12FE"/>
    <w:rsid w:val="7C1E59E5"/>
    <w:rsid w:val="7C460A98"/>
    <w:rsid w:val="7CA10D08"/>
    <w:rsid w:val="7CBC6FAC"/>
    <w:rsid w:val="7D326BB9"/>
    <w:rsid w:val="7D3E3E65"/>
    <w:rsid w:val="7D4C20DE"/>
    <w:rsid w:val="7D6E474B"/>
    <w:rsid w:val="7D8E26F7"/>
    <w:rsid w:val="7DB3215D"/>
    <w:rsid w:val="7DB57F98"/>
    <w:rsid w:val="7DC51384"/>
    <w:rsid w:val="7DD93BCA"/>
    <w:rsid w:val="7DDD71DA"/>
    <w:rsid w:val="7DE44A0D"/>
    <w:rsid w:val="7DEB7B49"/>
    <w:rsid w:val="7DF764EE"/>
    <w:rsid w:val="7E094473"/>
    <w:rsid w:val="7E8A55B4"/>
    <w:rsid w:val="7EB0669D"/>
    <w:rsid w:val="7F1E7AAB"/>
    <w:rsid w:val="7F270A21"/>
    <w:rsid w:val="7F2A72D7"/>
    <w:rsid w:val="7F2E23E3"/>
    <w:rsid w:val="7F736048"/>
    <w:rsid w:val="7F7E5CC6"/>
    <w:rsid w:val="7F825BD9"/>
    <w:rsid w:val="7FAE0E2E"/>
    <w:rsid w:val="7FEE1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spacing w:line="360" w:lineRule="auto"/>
      <w:jc w:val="center"/>
      <w:outlineLvl w:val="0"/>
    </w:pPr>
    <w:rPr>
      <w:b/>
      <w:kern w:val="44"/>
      <w:sz w:val="32"/>
      <w:szCs w:val="20"/>
    </w:rPr>
  </w:style>
  <w:style w:type="paragraph" w:styleId="3">
    <w:name w:val="heading 2"/>
    <w:basedOn w:val="1"/>
    <w:next w:val="1"/>
    <w:link w:val="29"/>
    <w:qFormat/>
    <w:uiPriority w:val="99"/>
    <w:pPr>
      <w:keepNext/>
      <w:keepLines/>
      <w:spacing w:line="360" w:lineRule="auto"/>
      <w:jc w:val="left"/>
      <w:outlineLvl w:val="1"/>
    </w:pPr>
    <w:rPr>
      <w:rFonts w:ascii="Arial" w:hAnsi="Arial"/>
      <w:b/>
      <w:sz w:val="24"/>
      <w:szCs w:val="20"/>
    </w:rPr>
  </w:style>
  <w:style w:type="paragraph" w:styleId="4">
    <w:name w:val="heading 3"/>
    <w:basedOn w:val="1"/>
    <w:next w:val="1"/>
    <w:qFormat/>
    <w:uiPriority w:val="99"/>
    <w:pPr>
      <w:keepNext/>
      <w:keepLines/>
      <w:spacing w:line="360" w:lineRule="auto"/>
      <w:jc w:val="left"/>
      <w:outlineLvl w:val="2"/>
    </w:pPr>
    <w:rPr>
      <w:b/>
      <w:szCs w:val="20"/>
    </w:rPr>
  </w:style>
  <w:style w:type="paragraph" w:styleId="5">
    <w:name w:val="heading 4"/>
    <w:basedOn w:val="1"/>
    <w:next w:val="1"/>
    <w:autoRedefine/>
    <w:qFormat/>
    <w:uiPriority w:val="0"/>
    <w:pPr>
      <w:keepNext/>
      <w:keepLines/>
      <w:ind w:firstLine="0" w:firstLineChars="0"/>
      <w:outlineLvl w:val="3"/>
    </w:pPr>
    <w:rPr>
      <w:rFonts w:ascii="Arial" w:hAnsi="Arial"/>
      <w:b/>
      <w:sz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99"/>
    <w:pPr>
      <w:ind w:firstLine="420"/>
    </w:pPr>
    <w:rPr>
      <w:szCs w:val="20"/>
    </w:rPr>
  </w:style>
  <w:style w:type="paragraph" w:styleId="7">
    <w:name w:val="Body Text"/>
    <w:basedOn w:val="1"/>
    <w:next w:val="8"/>
    <w:autoRedefine/>
    <w:qFormat/>
    <w:uiPriority w:val="99"/>
    <w:pPr>
      <w:spacing w:after="120"/>
    </w:pPr>
    <w:rPr>
      <w:sz w:val="24"/>
      <w:szCs w:val="20"/>
    </w:rPr>
  </w:style>
  <w:style w:type="paragraph" w:customStyle="1" w:styleId="8">
    <w:name w:val="Default"/>
    <w:next w:val="1"/>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9">
    <w:name w:val="Body Text Indent"/>
    <w:basedOn w:val="1"/>
    <w:next w:val="10"/>
    <w:autoRedefine/>
    <w:qFormat/>
    <w:uiPriority w:val="99"/>
    <w:pPr>
      <w:spacing w:after="120"/>
      <w:ind w:left="420" w:leftChars="200"/>
    </w:pPr>
    <w:rPr>
      <w:sz w:val="24"/>
      <w:szCs w:val="20"/>
    </w:rPr>
  </w:style>
  <w:style w:type="paragraph" w:styleId="10">
    <w:name w:val="envelope return"/>
    <w:basedOn w:val="1"/>
    <w:autoRedefine/>
    <w:qFormat/>
    <w:uiPriority w:val="99"/>
    <w:pPr>
      <w:snapToGrid w:val="0"/>
      <w:jc w:val="left"/>
    </w:pPr>
    <w:rPr>
      <w:rFonts w:ascii="Arial" w:hAnsi="Arial" w:cs="黑体"/>
      <w:kern w:val="0"/>
      <w:sz w:val="22"/>
      <w:szCs w:val="22"/>
      <w:lang w:eastAsia="en-US"/>
    </w:rPr>
  </w:style>
  <w:style w:type="paragraph" w:styleId="11">
    <w:name w:val="List 2"/>
    <w:basedOn w:val="1"/>
    <w:autoRedefine/>
    <w:qFormat/>
    <w:uiPriority w:val="99"/>
    <w:pPr>
      <w:ind w:left="100" w:leftChars="200" w:hanging="200" w:hangingChars="200"/>
    </w:pPr>
  </w:style>
  <w:style w:type="paragraph" w:styleId="12">
    <w:name w:val="Block Text"/>
    <w:basedOn w:val="1"/>
    <w:autoRedefine/>
    <w:qFormat/>
    <w:uiPriority w:val="99"/>
    <w:pPr>
      <w:spacing w:after="120"/>
      <w:ind w:left="1440" w:leftChars="700" w:right="1440" w:rightChars="700"/>
    </w:pPr>
  </w:style>
  <w:style w:type="paragraph" w:styleId="13">
    <w:name w:val="Plain Text"/>
    <w:basedOn w:val="1"/>
    <w:autoRedefine/>
    <w:qFormat/>
    <w:uiPriority w:val="99"/>
    <w:rPr>
      <w:rFonts w:ascii="宋体" w:hAnsi="Courier New"/>
      <w:szCs w:val="20"/>
    </w:rPr>
  </w:style>
  <w:style w:type="paragraph" w:styleId="14">
    <w:name w:val="Date"/>
    <w:basedOn w:val="1"/>
    <w:next w:val="1"/>
    <w:unhideWhenUsed/>
    <w:qFormat/>
    <w:uiPriority w:val="99"/>
    <w:pPr>
      <w:tabs>
        <w:tab w:val="left" w:pos="420"/>
      </w:tabs>
      <w:ind w:left="100" w:leftChars="2500"/>
    </w:pPr>
  </w:style>
  <w:style w:type="paragraph" w:styleId="15">
    <w:name w:val="Body Text Indent 2"/>
    <w:basedOn w:val="1"/>
    <w:next w:val="1"/>
    <w:autoRedefine/>
    <w:qFormat/>
    <w:uiPriority w:val="99"/>
    <w:pPr>
      <w:spacing w:after="120" w:line="480" w:lineRule="auto"/>
      <w:ind w:left="420" w:leftChars="200"/>
    </w:pPr>
    <w:rPr>
      <w:sz w:val="24"/>
      <w:szCs w:val="20"/>
    </w:rPr>
  </w:style>
  <w:style w:type="paragraph" w:styleId="16">
    <w:name w:val="footer"/>
    <w:basedOn w:val="1"/>
    <w:autoRedefine/>
    <w:qFormat/>
    <w:uiPriority w:val="99"/>
    <w:pPr>
      <w:tabs>
        <w:tab w:val="center" w:pos="4153"/>
        <w:tab w:val="right" w:pos="8306"/>
      </w:tabs>
      <w:snapToGrid w:val="0"/>
      <w:jc w:val="left"/>
    </w:pPr>
    <w:rPr>
      <w:sz w:val="18"/>
      <w:szCs w:val="20"/>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20"/>
    </w:rPr>
  </w:style>
  <w:style w:type="paragraph" w:styleId="18">
    <w:name w:val="toc 1"/>
    <w:basedOn w:val="1"/>
    <w:next w:val="1"/>
    <w:autoRedefine/>
    <w:qFormat/>
    <w:uiPriority w:val="99"/>
    <w:pPr>
      <w:spacing w:line="360" w:lineRule="auto"/>
    </w:pPr>
    <w:rPr>
      <w:b/>
      <w:sz w:val="28"/>
    </w:rPr>
  </w:style>
  <w:style w:type="paragraph" w:styleId="19">
    <w:name w:val="List 5"/>
    <w:basedOn w:val="1"/>
    <w:autoRedefine/>
    <w:qFormat/>
    <w:uiPriority w:val="99"/>
    <w:pPr>
      <w:ind w:left="2100" w:hanging="420"/>
    </w:pPr>
    <w:rPr>
      <w:rFonts w:eastAsia="楷体_GB2312"/>
      <w:sz w:val="32"/>
      <w:szCs w:val="20"/>
    </w:rPr>
  </w:style>
  <w:style w:type="paragraph" w:styleId="20">
    <w:name w:val="toc 2"/>
    <w:basedOn w:val="1"/>
    <w:next w:val="1"/>
    <w:autoRedefine/>
    <w:qFormat/>
    <w:uiPriority w:val="99"/>
    <w:pPr>
      <w:spacing w:line="360" w:lineRule="auto"/>
    </w:pPr>
    <w:rPr>
      <w:sz w:val="28"/>
    </w:rPr>
  </w:style>
  <w:style w:type="paragraph" w:styleId="21">
    <w:name w:val="Body Text First Indent"/>
    <w:basedOn w:val="7"/>
    <w:next w:val="1"/>
    <w:autoRedefine/>
    <w:qFormat/>
    <w:uiPriority w:val="99"/>
    <w:pPr>
      <w:ind w:firstLine="420"/>
    </w:pPr>
    <w:rPr>
      <w:rFonts w:eastAsia="楷体_GB2312"/>
      <w:sz w:val="32"/>
    </w:rPr>
  </w:style>
  <w:style w:type="paragraph" w:styleId="22">
    <w:name w:val="Body Text First Indent 2"/>
    <w:basedOn w:val="9"/>
    <w:next w:val="6"/>
    <w:autoRedefine/>
    <w:qFormat/>
    <w:uiPriority w:val="99"/>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Table Text"/>
    <w:basedOn w:val="1"/>
    <w:autoRedefine/>
    <w:semiHidden/>
    <w:qFormat/>
    <w:uiPriority w:val="0"/>
    <w:rPr>
      <w:rFonts w:ascii="宋体" w:hAnsi="宋体" w:eastAsia="宋体" w:cs="宋体"/>
      <w:sz w:val="24"/>
      <w:szCs w:val="24"/>
      <w:lang w:val="en-US" w:eastAsia="en-US" w:bidi="ar-SA"/>
    </w:rPr>
  </w:style>
  <w:style w:type="character" w:customStyle="1" w:styleId="27">
    <w:name w:val="Heading 1 Char"/>
    <w:basedOn w:val="25"/>
    <w:link w:val="2"/>
    <w:autoRedefine/>
    <w:qFormat/>
    <w:locked/>
    <w:uiPriority w:val="99"/>
    <w:rPr>
      <w:b/>
      <w:kern w:val="44"/>
      <w:sz w:val="32"/>
      <w:szCs w:val="20"/>
    </w:rPr>
  </w:style>
  <w:style w:type="paragraph" w:customStyle="1" w:styleId="28">
    <w:name w:val="Table Paragraph"/>
    <w:basedOn w:val="1"/>
    <w:autoRedefine/>
    <w:qFormat/>
    <w:uiPriority w:val="99"/>
    <w:rPr>
      <w:sz w:val="24"/>
    </w:rPr>
  </w:style>
  <w:style w:type="character" w:customStyle="1" w:styleId="29">
    <w:name w:val="Heading 2 Char"/>
    <w:basedOn w:val="25"/>
    <w:link w:val="3"/>
    <w:autoRedefine/>
    <w:qFormat/>
    <w:locked/>
    <w:uiPriority w:val="99"/>
    <w:rPr>
      <w:rFonts w:ascii="Arial" w:hAnsi="Arial"/>
      <w:b/>
      <w:sz w:val="24"/>
      <w:szCs w:val="20"/>
    </w:rPr>
  </w:style>
  <w:style w:type="character" w:customStyle="1" w:styleId="30">
    <w:name w:val="Char Char11"/>
    <w:autoRedefine/>
    <w:qFormat/>
    <w:uiPriority w:val="99"/>
    <w:rPr>
      <w:kern w:val="2"/>
      <w:sz w:val="18"/>
    </w:rPr>
  </w:style>
  <w:style w:type="paragraph" w:styleId="31">
    <w:name w:val="List Paragraph"/>
    <w:basedOn w:val="1"/>
    <w:autoRedefine/>
    <w:qFormat/>
    <w:uiPriority w:val="99"/>
    <w:pPr>
      <w:ind w:firstLine="420" w:firstLineChars="200"/>
    </w:pPr>
    <w:rPr>
      <w:rFonts w:ascii="Calibri" w:hAnsi="Calibri"/>
      <w:szCs w:val="22"/>
    </w:rPr>
  </w:style>
  <w:style w:type="character" w:customStyle="1" w:styleId="32">
    <w:name w:val="标题 3 Char1"/>
    <w:autoRedefine/>
    <w:qFormat/>
    <w:locked/>
    <w:uiPriority w:val="99"/>
    <w:rPr>
      <w:rFonts w:ascii="Times New Roman" w:hAnsi="Times New Roman" w:eastAsia="宋体"/>
      <w:b/>
      <w:kern w:val="2"/>
      <w:sz w:val="28"/>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font51"/>
    <w:basedOn w:val="25"/>
    <w:qFormat/>
    <w:uiPriority w:val="0"/>
    <w:rPr>
      <w:rFonts w:hint="eastAsia" w:ascii="宋体" w:hAnsi="宋体" w:eastAsia="宋体" w:cs="宋体"/>
      <w:b/>
      <w:bCs/>
      <w:color w:val="000000"/>
      <w:sz w:val="21"/>
      <w:szCs w:val="21"/>
      <w:u w:val="none"/>
    </w:rPr>
  </w:style>
  <w:style w:type="character" w:customStyle="1" w:styleId="35">
    <w:name w:val="font21"/>
    <w:basedOn w:val="2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6663</Words>
  <Characters>7498</Characters>
  <Lines>0</Lines>
  <Paragraphs>0</Paragraphs>
  <TotalTime>24</TotalTime>
  <ScaleCrop>false</ScaleCrop>
  <LinksUpToDate>false</LinksUpToDate>
  <CharactersWithSpaces>7619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2024-05-21T08:24:00Z</dcterms:created>
  <dc:creator>暖云</dc:creator>
  <cp:lastModifiedBy>Administrator</cp:lastModifiedBy>
  <cp:lastPrinted>2024-11-25T09:07:00Z</cp:lastPrinted>
  <dcterms:modified xsi:type="dcterms:W3CDTF">2024-11-25T09:51:15Z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83F11305621A47F6BAFC4ED6BF374DDC_13</vt:lpwstr>
  </property>
</Properties>
</file>