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90795">
      <w:pPr>
        <w:adjustRightInd w:val="0"/>
        <w:spacing w:after="60" w:line="360" w:lineRule="atLeast"/>
        <w:ind w:right="-340" w:rightChars="-162"/>
        <w:jc w:val="both"/>
        <w:textAlignment w:val="baseline"/>
        <w:rPr>
          <w:rFonts w:ascii="宋体" w:hAnsi="宋体" w:cs="宋体"/>
          <w:b/>
          <w:kern w:val="0"/>
          <w:sz w:val="52"/>
          <w:szCs w:val="52"/>
        </w:rPr>
      </w:pPr>
    </w:p>
    <w:p w14:paraId="1DFE69B0">
      <w:pPr>
        <w:adjustRightInd w:val="0"/>
        <w:spacing w:after="60" w:line="360" w:lineRule="atLeast"/>
        <w:ind w:right="-340" w:rightChars="-162"/>
        <w:jc w:val="center"/>
        <w:textAlignment w:val="baseline"/>
        <w:rPr>
          <w:rFonts w:hint="eastAsia" w:ascii="宋体" w:hAnsi="宋体" w:cs="宋体"/>
          <w:b/>
          <w:bCs/>
          <w:sz w:val="52"/>
          <w:szCs w:val="52"/>
        </w:rPr>
      </w:pPr>
      <w:r>
        <w:rPr>
          <w:rFonts w:hint="eastAsia" w:ascii="宋体" w:hAnsi="宋体" w:cs="宋体"/>
          <w:b/>
          <w:bCs/>
          <w:sz w:val="52"/>
          <w:szCs w:val="52"/>
          <w:lang w:eastAsia="zh-CN"/>
        </w:rPr>
        <w:t>义马市应急广播体系建设项目</w:t>
      </w:r>
    </w:p>
    <w:p w14:paraId="7AECC904">
      <w:pPr>
        <w:adjustRightInd w:val="0"/>
        <w:spacing w:after="60" w:line="360" w:lineRule="atLeast"/>
        <w:ind w:right="-340" w:rightChars="-162" w:firstLine="2249" w:firstLineChars="700"/>
        <w:jc w:val="both"/>
        <w:textAlignment w:val="baseline"/>
        <w:rPr>
          <w:rFonts w:hint="eastAsia" w:ascii="宋体" w:hAnsi="宋体" w:cs="宋体"/>
          <w:b/>
          <w:bCs/>
          <w:color w:val="auto"/>
          <w:sz w:val="32"/>
          <w:szCs w:val="32"/>
        </w:rPr>
      </w:pPr>
    </w:p>
    <w:p w14:paraId="64ED2C5A">
      <w:pPr>
        <w:adjustRightInd w:val="0"/>
        <w:spacing w:after="60" w:line="360" w:lineRule="atLeast"/>
        <w:ind w:right="-340" w:rightChars="-162" w:firstLine="2249" w:firstLineChars="700"/>
        <w:jc w:val="both"/>
        <w:textAlignment w:val="baseline"/>
        <w:rPr>
          <w:rFonts w:hint="eastAsia" w:ascii="宋体" w:hAnsi="宋体" w:cs="宋体"/>
          <w:b/>
          <w:bCs/>
          <w:color w:val="auto"/>
          <w:sz w:val="32"/>
          <w:szCs w:val="32"/>
        </w:rPr>
      </w:pPr>
    </w:p>
    <w:p w14:paraId="480BA9A2">
      <w:pPr>
        <w:adjustRightInd w:val="0"/>
        <w:spacing w:after="60" w:line="360" w:lineRule="atLeast"/>
        <w:ind w:right="-340" w:rightChars="-162" w:firstLine="2249" w:firstLineChars="700"/>
        <w:jc w:val="both"/>
        <w:textAlignment w:val="baseline"/>
        <w:rPr>
          <w:rFonts w:hint="eastAsia" w:ascii="宋体" w:hAnsi="宋体" w:cs="宋体" w:eastAsiaTheme="minorEastAsia"/>
          <w:b/>
          <w:bCs/>
          <w:color w:val="FF0000"/>
          <w:sz w:val="32"/>
          <w:szCs w:val="32"/>
          <w:lang w:val="en-US" w:eastAsia="zh-CN"/>
        </w:rPr>
      </w:pPr>
      <w:r>
        <w:rPr>
          <w:rFonts w:hint="eastAsia" w:ascii="宋体" w:hAnsi="宋体" w:cs="宋体"/>
          <w:b/>
          <w:bCs/>
          <w:color w:val="auto"/>
          <w:sz w:val="32"/>
          <w:szCs w:val="32"/>
        </w:rPr>
        <w:t>采购编号：</w:t>
      </w:r>
      <w:r>
        <w:rPr>
          <w:rFonts w:hint="eastAsia" w:ascii="宋体" w:hAnsi="宋体" w:cs="宋体"/>
          <w:b/>
          <w:bCs/>
          <w:color w:val="auto"/>
          <w:sz w:val="32"/>
          <w:szCs w:val="32"/>
          <w:lang w:eastAsia="zh-CN"/>
        </w:rPr>
        <w:t>义马公开采购-2025-85</w:t>
      </w:r>
    </w:p>
    <w:p w14:paraId="68B186BA">
      <w:pPr>
        <w:adjustRightInd w:val="0"/>
        <w:spacing w:after="60" w:line="360" w:lineRule="atLeast"/>
        <w:ind w:right="-340" w:rightChars="-162" w:firstLine="2249" w:firstLineChars="700"/>
        <w:jc w:val="both"/>
        <w:textAlignment w:val="baseline"/>
        <w:rPr>
          <w:rFonts w:ascii="宋体" w:hAnsi="宋体" w:cs="宋体"/>
          <w:b/>
          <w:color w:val="auto"/>
          <w:kern w:val="0"/>
          <w:sz w:val="52"/>
          <w:szCs w:val="52"/>
        </w:rPr>
      </w:pPr>
      <w:r>
        <w:rPr>
          <w:rFonts w:hint="eastAsia" w:ascii="宋体" w:hAnsi="宋体" w:cs="宋体"/>
          <w:b/>
          <w:bCs/>
          <w:color w:val="auto"/>
          <w:sz w:val="32"/>
          <w:szCs w:val="32"/>
        </w:rPr>
        <w:t>项目编号：YMGZ[2025]156-ZC094</w:t>
      </w:r>
    </w:p>
    <w:p w14:paraId="7AEEC2F5">
      <w:pPr>
        <w:ind w:right="-340" w:rightChars="-162"/>
        <w:jc w:val="center"/>
        <w:rPr>
          <w:rFonts w:hint="eastAsia" w:ascii="宋体" w:hAnsi="宋体" w:cs="宋体"/>
          <w:b/>
          <w:sz w:val="96"/>
          <w:szCs w:val="96"/>
        </w:rPr>
      </w:pPr>
    </w:p>
    <w:p w14:paraId="0F1CD0B9">
      <w:pPr>
        <w:ind w:right="-340" w:rightChars="-162"/>
        <w:jc w:val="center"/>
        <w:rPr>
          <w:rFonts w:ascii="宋体" w:hAnsi="宋体" w:cs="宋体"/>
          <w:b/>
          <w:sz w:val="96"/>
          <w:szCs w:val="96"/>
        </w:rPr>
      </w:pPr>
      <w:r>
        <w:rPr>
          <w:rFonts w:hint="eastAsia" w:ascii="宋体" w:hAnsi="宋体" w:cs="宋体"/>
          <w:b/>
          <w:sz w:val="96"/>
          <w:szCs w:val="96"/>
        </w:rPr>
        <w:t>招 标 文 件</w:t>
      </w:r>
    </w:p>
    <w:p w14:paraId="05B5EE0E">
      <w:pPr>
        <w:pStyle w:val="17"/>
        <w:ind w:firstLine="210"/>
      </w:pPr>
    </w:p>
    <w:p w14:paraId="31EECEC5">
      <w:pPr>
        <w:autoSpaceDE w:val="0"/>
        <w:autoSpaceDN w:val="0"/>
        <w:adjustRightInd w:val="0"/>
        <w:ind w:right="-340" w:rightChars="-162"/>
        <w:jc w:val="left"/>
        <w:rPr>
          <w:rFonts w:ascii="宋体" w:cs="宋体"/>
          <w:kern w:val="0"/>
          <w:szCs w:val="21"/>
        </w:rPr>
      </w:pPr>
      <w:r>
        <w:rPr>
          <w:rFonts w:hint="eastAsia" w:ascii="宋体" w:cs="宋体"/>
          <w:kern w:val="0"/>
          <w:szCs w:val="21"/>
        </w:rPr>
        <w:t xml:space="preserve">    </w:t>
      </w:r>
    </w:p>
    <w:p w14:paraId="624D52F6">
      <w:pPr>
        <w:tabs>
          <w:tab w:val="left" w:pos="3744"/>
        </w:tabs>
        <w:ind w:right="-340" w:rightChars="-162"/>
        <w:jc w:val="center"/>
        <w:rPr>
          <w:rFonts w:ascii="黑体" w:hAnsi="华文中宋"/>
          <w:sz w:val="28"/>
          <w:szCs w:val="32"/>
        </w:rPr>
      </w:pPr>
      <w:r>
        <w:rPr>
          <w:rFonts w:hint="eastAsia" w:ascii="宋体" w:hAnsi="宋体" w:cs="宋体"/>
          <w:b/>
          <w:kern w:val="0"/>
          <w:sz w:val="44"/>
          <w:szCs w:val="44"/>
        </w:rPr>
        <w:drawing>
          <wp:inline distT="0" distB="0" distL="114300" distR="114300">
            <wp:extent cx="3119755" cy="3044825"/>
            <wp:effectExtent l="0" t="0" r="4445" b="3175"/>
            <wp:docPr id="3" name="图片 1" descr="中易顺竖版--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中易顺竖版--红"/>
                    <pic:cNvPicPr>
                      <a:picLocks noChangeAspect="1"/>
                    </pic:cNvPicPr>
                  </pic:nvPicPr>
                  <pic:blipFill>
                    <a:blip r:embed="rId6"/>
                    <a:stretch>
                      <a:fillRect/>
                    </a:stretch>
                  </pic:blipFill>
                  <pic:spPr>
                    <a:xfrm>
                      <a:off x="0" y="0"/>
                      <a:ext cx="3119755" cy="3044825"/>
                    </a:xfrm>
                    <a:prstGeom prst="rect">
                      <a:avLst/>
                    </a:prstGeom>
                    <a:noFill/>
                    <a:ln>
                      <a:noFill/>
                    </a:ln>
                  </pic:spPr>
                </pic:pic>
              </a:graphicData>
            </a:graphic>
          </wp:inline>
        </w:drawing>
      </w:r>
    </w:p>
    <w:p w14:paraId="750BAD0D">
      <w:pPr>
        <w:ind w:right="-340" w:rightChars="-162"/>
        <w:jc w:val="both"/>
        <w:rPr>
          <w:rFonts w:ascii="宋体" w:hAnsi="宋体" w:cs="宋体"/>
          <w:sz w:val="32"/>
          <w:szCs w:val="32"/>
        </w:rPr>
      </w:pPr>
    </w:p>
    <w:p w14:paraId="73606729">
      <w:pPr>
        <w:ind w:right="-210" w:firstLine="1462" w:firstLineChars="662"/>
        <w:rPr>
          <w:rFonts w:ascii="宋体" w:hAnsi="宋体" w:cs="宋体"/>
          <w:b/>
          <w:sz w:val="22"/>
          <w:szCs w:val="22"/>
        </w:rPr>
      </w:pPr>
    </w:p>
    <w:p w14:paraId="58A02109">
      <w:pPr>
        <w:pStyle w:val="17"/>
        <w:ind w:firstLine="210"/>
      </w:pPr>
    </w:p>
    <w:p w14:paraId="1ED415E6">
      <w:pPr>
        <w:spacing w:line="360" w:lineRule="auto"/>
        <w:ind w:right="-210" w:firstLine="1928" w:firstLineChars="600"/>
        <w:jc w:val="both"/>
        <w:rPr>
          <w:rFonts w:hint="eastAsia" w:ascii="宋体" w:hAnsi="宋体" w:cs="宋体"/>
          <w:b/>
          <w:bCs/>
          <w:sz w:val="32"/>
          <w:szCs w:val="32"/>
          <w:lang w:eastAsia="zh-CN"/>
        </w:rPr>
      </w:pPr>
      <w:r>
        <w:rPr>
          <w:rFonts w:hint="eastAsia" w:ascii="宋体" w:hAnsi="宋体" w:cs="宋体"/>
          <w:b/>
          <w:sz w:val="32"/>
          <w:szCs w:val="32"/>
        </w:rPr>
        <w:t>招 标 人：</w:t>
      </w:r>
      <w:r>
        <w:rPr>
          <w:rFonts w:hint="eastAsia" w:ascii="宋体" w:hAnsi="宋体" w:cs="宋体"/>
          <w:b/>
          <w:bCs/>
          <w:sz w:val="32"/>
          <w:szCs w:val="32"/>
          <w:lang w:eastAsia="zh-CN"/>
        </w:rPr>
        <w:t>义马市文化广电和旅游局</w:t>
      </w:r>
    </w:p>
    <w:p w14:paraId="5FE78E3B">
      <w:pPr>
        <w:spacing w:line="360" w:lineRule="auto"/>
        <w:ind w:right="-210" w:firstLine="1928" w:firstLineChars="600"/>
        <w:jc w:val="both"/>
        <w:rPr>
          <w:rFonts w:ascii="宋体" w:hAnsi="宋体" w:cs="宋体"/>
          <w:b/>
          <w:sz w:val="32"/>
          <w:szCs w:val="32"/>
        </w:rPr>
      </w:pPr>
      <w:r>
        <w:rPr>
          <w:rFonts w:hint="eastAsia" w:ascii="宋体" w:hAnsi="宋体" w:cs="宋体"/>
          <w:b/>
          <w:sz w:val="32"/>
          <w:szCs w:val="32"/>
        </w:rPr>
        <w:t>代理机构：河南中易顺工程管理有限公司</w:t>
      </w:r>
    </w:p>
    <w:p w14:paraId="0D6EE28A">
      <w:pPr>
        <w:spacing w:line="600" w:lineRule="exact"/>
        <w:ind w:firstLine="1928" w:firstLineChars="600"/>
        <w:jc w:val="both"/>
        <w:rPr>
          <w:rFonts w:ascii="宋体" w:hAnsi="宋体" w:cs="宋体"/>
          <w:b/>
          <w:sz w:val="32"/>
          <w:szCs w:val="32"/>
        </w:rPr>
      </w:pPr>
      <w:r>
        <w:rPr>
          <w:rFonts w:hint="eastAsia" w:ascii="宋体" w:hAnsi="宋体" w:cs="宋体"/>
          <w:b/>
          <w:sz w:val="32"/>
          <w:szCs w:val="32"/>
        </w:rPr>
        <w:t>日    期：二零二</w:t>
      </w:r>
      <w:r>
        <w:rPr>
          <w:rFonts w:hint="eastAsia" w:ascii="宋体" w:hAnsi="宋体" w:cs="宋体"/>
          <w:b/>
          <w:sz w:val="32"/>
          <w:szCs w:val="32"/>
          <w:lang w:val="en-US" w:eastAsia="zh-CN"/>
        </w:rPr>
        <w:t>五</w:t>
      </w:r>
      <w:r>
        <w:rPr>
          <w:rFonts w:hint="eastAsia" w:ascii="宋体" w:hAnsi="宋体" w:cs="宋体"/>
          <w:b/>
          <w:sz w:val="32"/>
          <w:szCs w:val="32"/>
        </w:rPr>
        <w:t>年</w:t>
      </w:r>
      <w:r>
        <w:rPr>
          <w:rFonts w:hint="eastAsia" w:ascii="宋体" w:hAnsi="宋体" w:cs="宋体"/>
          <w:b/>
          <w:sz w:val="32"/>
          <w:szCs w:val="32"/>
          <w:lang w:val="en-US" w:eastAsia="zh-CN"/>
        </w:rPr>
        <w:t>十一</w:t>
      </w:r>
      <w:r>
        <w:rPr>
          <w:rFonts w:hint="eastAsia" w:ascii="宋体" w:hAnsi="宋体" w:cs="宋体"/>
          <w:b/>
          <w:sz w:val="32"/>
          <w:szCs w:val="32"/>
        </w:rPr>
        <w:t>月</w:t>
      </w:r>
    </w:p>
    <w:p w14:paraId="5D7D93FB">
      <w:pPr>
        <w:spacing w:line="600" w:lineRule="exact"/>
        <w:jc w:val="center"/>
        <w:rPr>
          <w:sz w:val="36"/>
          <w:szCs w:val="36"/>
        </w:rPr>
      </w:pPr>
      <w:r>
        <w:rPr>
          <w:rFonts w:hint="eastAsia" w:ascii="宋体" w:hAnsi="宋体" w:cs="宋体"/>
          <w:b/>
          <w:sz w:val="36"/>
          <w:szCs w:val="36"/>
        </w:rPr>
        <w:t>目  录</w:t>
      </w:r>
    </w:p>
    <w:p w14:paraId="711D19FF">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TOC \o "1-1" \h \z \u </w:instrText>
      </w:r>
      <w:r>
        <w:rPr>
          <w:rFonts w:hint="eastAsia" w:ascii="宋体" w:hAnsi="宋体" w:eastAsia="宋体" w:cs="宋体"/>
          <w:sz w:val="36"/>
          <w:szCs w:val="36"/>
        </w:rPr>
        <w:fldChar w:fldCharType="separate"/>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_Toc12218 </w:instrText>
      </w:r>
      <w:r>
        <w:rPr>
          <w:rFonts w:hint="eastAsia" w:ascii="宋体" w:hAnsi="宋体" w:eastAsia="宋体" w:cs="宋体"/>
          <w:sz w:val="36"/>
          <w:szCs w:val="36"/>
        </w:rPr>
        <w:fldChar w:fldCharType="separate"/>
      </w:r>
      <w:r>
        <w:rPr>
          <w:rFonts w:hint="eastAsia" w:ascii="宋体" w:hAnsi="宋体" w:eastAsia="宋体" w:cs="宋体"/>
          <w:sz w:val="36"/>
          <w:szCs w:val="36"/>
        </w:rPr>
        <w:t xml:space="preserve">第一章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_Toc12218 \h </w:instrText>
      </w:r>
      <w:r>
        <w:rPr>
          <w:rFonts w:hint="eastAsia" w:ascii="宋体" w:hAnsi="宋体" w:eastAsia="宋体" w:cs="宋体"/>
          <w:sz w:val="36"/>
          <w:szCs w:val="36"/>
        </w:rPr>
        <w:fldChar w:fldCharType="separate"/>
      </w:r>
      <w:r>
        <w:rPr>
          <w:rFonts w:hint="eastAsia" w:ascii="宋体" w:hAnsi="宋体" w:eastAsia="宋体" w:cs="宋体"/>
          <w:sz w:val="36"/>
          <w:szCs w:val="36"/>
        </w:rPr>
        <w:t>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EAADAC7">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_Toc5827 </w:instrText>
      </w:r>
      <w:r>
        <w:rPr>
          <w:rFonts w:hint="eastAsia" w:ascii="宋体" w:hAnsi="宋体" w:eastAsia="宋体" w:cs="宋体"/>
          <w:sz w:val="36"/>
          <w:szCs w:val="36"/>
        </w:rPr>
        <w:fldChar w:fldCharType="separate"/>
      </w:r>
      <w:r>
        <w:rPr>
          <w:rFonts w:hint="eastAsia" w:ascii="宋体" w:hAnsi="宋体" w:eastAsia="宋体" w:cs="宋体"/>
          <w:sz w:val="36"/>
          <w:szCs w:val="36"/>
        </w:rPr>
        <w:t>第二章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_Toc5827 \h </w:instrText>
      </w:r>
      <w:r>
        <w:rPr>
          <w:rFonts w:hint="eastAsia" w:ascii="宋体" w:hAnsi="宋体" w:eastAsia="宋体" w:cs="宋体"/>
          <w:sz w:val="36"/>
          <w:szCs w:val="36"/>
        </w:rPr>
        <w:fldChar w:fldCharType="separate"/>
      </w:r>
      <w:r>
        <w:rPr>
          <w:rFonts w:hint="eastAsia" w:ascii="宋体" w:hAnsi="宋体" w:eastAsia="宋体" w:cs="宋体"/>
          <w:sz w:val="36"/>
          <w:szCs w:val="36"/>
        </w:rPr>
        <w:t>7</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4D8CBD70">
      <w:pPr>
        <w:pStyle w:val="14"/>
        <w:tabs>
          <w:tab w:val="right" w:leader="dot" w:pos="9411"/>
        </w:tabs>
        <w:rPr>
          <w:rFonts w:hint="eastAsia" w:ascii="宋体" w:hAnsi="宋体" w:eastAsia="宋体" w:cs="宋体"/>
          <w:sz w:val="36"/>
          <w:szCs w:val="36"/>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_Toc10742 </w:instrText>
      </w:r>
      <w:r>
        <w:rPr>
          <w:rFonts w:hint="eastAsia" w:ascii="宋体" w:hAnsi="宋体" w:eastAsia="宋体" w:cs="宋体"/>
          <w:sz w:val="36"/>
          <w:szCs w:val="36"/>
        </w:rPr>
        <w:fldChar w:fldCharType="separate"/>
      </w:r>
      <w:r>
        <w:rPr>
          <w:rFonts w:hint="eastAsia" w:ascii="宋体" w:hAnsi="宋体" w:eastAsia="宋体" w:cs="宋体"/>
          <w:sz w:val="36"/>
          <w:szCs w:val="36"/>
        </w:rPr>
        <w:t>第</w:t>
      </w:r>
      <w:r>
        <w:rPr>
          <w:rFonts w:hint="eastAsia" w:ascii="宋体" w:hAnsi="宋体" w:eastAsia="宋体" w:cs="宋体"/>
          <w:sz w:val="36"/>
          <w:szCs w:val="36"/>
          <w:lang w:val="en-US" w:eastAsia="zh-CN"/>
        </w:rPr>
        <w:t>三</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 xml:space="preserve"> </w:t>
      </w:r>
      <w:r>
        <w:rPr>
          <w:rFonts w:hint="eastAsia" w:ascii="宋体" w:hAnsi="宋体" w:eastAsia="宋体" w:cs="宋体"/>
          <w:sz w:val="36"/>
          <w:szCs w:val="36"/>
        </w:rPr>
        <w:t>采购清单及参数要求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_Toc10742 \h </w:instrText>
      </w:r>
      <w:r>
        <w:rPr>
          <w:rFonts w:hint="eastAsia" w:ascii="宋体" w:hAnsi="宋体" w:eastAsia="宋体" w:cs="宋体"/>
          <w:sz w:val="36"/>
          <w:szCs w:val="36"/>
        </w:rPr>
        <w:fldChar w:fldCharType="separate"/>
      </w:r>
      <w:r>
        <w:rPr>
          <w:rFonts w:hint="eastAsia" w:ascii="宋体" w:hAnsi="宋体" w:eastAsia="宋体" w:cs="宋体"/>
          <w:sz w:val="36"/>
          <w:szCs w:val="36"/>
        </w:rPr>
        <w:t>23</w:t>
      </w:r>
      <w:r>
        <w:rPr>
          <w:rFonts w:hint="eastAsia" w:ascii="宋体" w:hAnsi="宋体" w:eastAsia="宋体" w:cs="宋体"/>
          <w:sz w:val="36"/>
          <w:szCs w:val="36"/>
        </w:rPr>
        <w:fldChar w:fldCharType="end"/>
      </w:r>
      <w:r>
        <w:rPr>
          <w:rFonts w:hint="eastAsia" w:ascii="宋体" w:hAnsi="宋体" w:eastAsia="宋体" w:cs="宋体"/>
          <w:sz w:val="36"/>
          <w:szCs w:val="36"/>
        </w:rPr>
        <w:fldChar w:fldCharType="end"/>
      </w:r>
    </w:p>
    <w:p w14:paraId="01B15259">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_Toc24162 </w:instrText>
      </w:r>
      <w:r>
        <w:rPr>
          <w:rFonts w:hint="eastAsia" w:ascii="宋体" w:hAnsi="宋体" w:eastAsia="宋体" w:cs="宋体"/>
          <w:sz w:val="36"/>
          <w:szCs w:val="36"/>
        </w:rPr>
        <w:fldChar w:fldCharType="separate"/>
      </w:r>
      <w:r>
        <w:rPr>
          <w:rFonts w:hint="eastAsia" w:ascii="宋体" w:hAnsi="宋体" w:eastAsia="宋体" w:cs="宋体"/>
          <w:sz w:val="36"/>
          <w:szCs w:val="36"/>
        </w:rPr>
        <w:t>第四章  评标办法（综合评分法）</w:t>
      </w:r>
      <w:r>
        <w:rPr>
          <w:rFonts w:hint="eastAsia" w:ascii="宋体" w:hAnsi="宋体" w:eastAsia="宋体" w:cs="宋体"/>
          <w:sz w:val="36"/>
          <w:szCs w:val="36"/>
        </w:rPr>
        <w:tab/>
      </w:r>
      <w:r>
        <w:rPr>
          <w:rFonts w:hint="eastAsia" w:ascii="宋体" w:hAnsi="宋体" w:eastAsia="宋体" w:cs="宋体"/>
          <w:sz w:val="36"/>
          <w:szCs w:val="36"/>
          <w:lang w:val="en-US" w:eastAsia="zh-CN"/>
        </w:rPr>
        <w:t>6</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1</w:t>
      </w:r>
    </w:p>
    <w:p w14:paraId="6811C050">
      <w:pPr>
        <w:pStyle w:val="14"/>
        <w:tabs>
          <w:tab w:val="right" w:leader="dot" w:pos="9411"/>
        </w:tabs>
        <w:rPr>
          <w:rFonts w:hint="eastAsia" w:ascii="宋体" w:hAnsi="宋体" w:eastAsia="宋体" w:cs="宋体"/>
          <w:sz w:val="36"/>
          <w:szCs w:val="36"/>
          <w:lang w:val="en-US" w:eastAsia="zh-CN"/>
        </w:rPr>
      </w:pP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HYPERLINK \l _Toc16415 </w:instrText>
      </w:r>
      <w:r>
        <w:rPr>
          <w:rFonts w:hint="eastAsia" w:ascii="宋体" w:hAnsi="宋体" w:eastAsia="宋体" w:cs="宋体"/>
          <w:sz w:val="36"/>
          <w:szCs w:val="36"/>
        </w:rPr>
        <w:fldChar w:fldCharType="separate"/>
      </w:r>
      <w:r>
        <w:rPr>
          <w:rFonts w:hint="eastAsia" w:ascii="宋体" w:hAnsi="宋体" w:eastAsia="宋体" w:cs="宋体"/>
          <w:sz w:val="36"/>
          <w:szCs w:val="36"/>
        </w:rPr>
        <w:t>第五章  合同条款及格式</w:t>
      </w:r>
      <w:r>
        <w:rPr>
          <w:rFonts w:hint="eastAsia" w:ascii="宋体" w:hAnsi="宋体" w:eastAsia="宋体" w:cs="宋体"/>
          <w:sz w:val="36"/>
          <w:szCs w:val="36"/>
        </w:rPr>
        <w:tab/>
      </w:r>
      <w:r>
        <w:rPr>
          <w:rFonts w:hint="eastAsia" w:ascii="宋体" w:hAnsi="宋体" w:eastAsia="宋体" w:cs="宋体"/>
          <w:sz w:val="36"/>
          <w:szCs w:val="36"/>
          <w:lang w:val="en-US" w:eastAsia="zh-CN"/>
        </w:rPr>
        <w:t>6</w:t>
      </w:r>
      <w:r>
        <w:rPr>
          <w:rFonts w:hint="eastAsia" w:ascii="宋体" w:hAnsi="宋体" w:eastAsia="宋体" w:cs="宋体"/>
          <w:sz w:val="36"/>
          <w:szCs w:val="36"/>
        </w:rPr>
        <w:fldChar w:fldCharType="end"/>
      </w:r>
      <w:r>
        <w:rPr>
          <w:rFonts w:hint="eastAsia" w:ascii="宋体" w:hAnsi="宋体" w:eastAsia="宋体" w:cs="宋体"/>
          <w:sz w:val="36"/>
          <w:szCs w:val="36"/>
          <w:lang w:val="en-US" w:eastAsia="zh-CN"/>
        </w:rPr>
        <w:t>8</w:t>
      </w:r>
    </w:p>
    <w:p w14:paraId="430EC79B">
      <w:pPr>
        <w:pStyle w:val="14"/>
        <w:tabs>
          <w:tab w:val="right" w:leader="dot" w:pos="9411"/>
        </w:tabs>
        <w:rPr>
          <w:rFonts w:hint="default" w:ascii="宋体" w:hAnsi="宋体" w:eastAsia="宋体" w:cs="宋体"/>
          <w:sz w:val="36"/>
          <w:szCs w:val="36"/>
          <w:lang w:val="en-US" w:eastAsia="zh-CN"/>
        </w:rPr>
      </w:pPr>
      <w:r>
        <w:rPr>
          <w:rFonts w:hint="eastAsia" w:ascii="宋体" w:hAnsi="宋体" w:eastAsia="宋体" w:cs="宋体"/>
          <w:sz w:val="36"/>
          <w:szCs w:val="36"/>
        </w:rPr>
        <w:t>第</w:t>
      </w:r>
      <w:r>
        <w:rPr>
          <w:rFonts w:hint="eastAsia" w:ascii="宋体" w:hAnsi="宋体" w:eastAsia="宋体" w:cs="宋体"/>
          <w:sz w:val="36"/>
          <w:szCs w:val="36"/>
          <w:lang w:val="en-US" w:eastAsia="zh-CN"/>
        </w:rPr>
        <w:t>六</w:t>
      </w:r>
      <w:r>
        <w:rPr>
          <w:rFonts w:hint="eastAsia" w:ascii="宋体" w:hAnsi="宋体" w:eastAsia="宋体" w:cs="宋体"/>
          <w:sz w:val="36"/>
          <w:szCs w:val="36"/>
        </w:rPr>
        <w:t xml:space="preserve">章  </w:t>
      </w:r>
      <w:r>
        <w:rPr>
          <w:rFonts w:hint="eastAsia" w:ascii="宋体" w:hAnsi="宋体" w:eastAsia="宋体" w:cs="宋体"/>
          <w:sz w:val="36"/>
          <w:szCs w:val="36"/>
          <w:lang w:val="en-US" w:eastAsia="zh-CN"/>
        </w:rPr>
        <w:t>投标文件格式</w:t>
      </w:r>
      <w:r>
        <w:rPr>
          <w:rFonts w:hint="eastAsia" w:ascii="宋体" w:hAnsi="宋体" w:eastAsia="宋体" w:cs="宋体"/>
          <w:sz w:val="36"/>
          <w:szCs w:val="36"/>
        </w:rPr>
        <w:tab/>
      </w:r>
      <w:r>
        <w:rPr>
          <w:rFonts w:hint="eastAsia" w:ascii="宋体" w:hAnsi="宋体" w:eastAsia="宋体" w:cs="宋体"/>
          <w:sz w:val="36"/>
          <w:szCs w:val="36"/>
          <w:lang w:val="en-US" w:eastAsia="zh-CN"/>
        </w:rPr>
        <w:t>73</w:t>
      </w:r>
    </w:p>
    <w:p w14:paraId="2D53ABA7">
      <w:pPr>
        <w:pStyle w:val="14"/>
        <w:tabs>
          <w:tab w:val="right" w:leader="dot" w:pos="8729"/>
        </w:tabs>
        <w:rPr>
          <w:rFonts w:hint="eastAsia" w:ascii="宋体" w:hAnsi="宋体" w:eastAsia="宋体" w:cs="宋体"/>
          <w:sz w:val="36"/>
          <w:szCs w:val="36"/>
        </w:rPr>
      </w:pPr>
      <w:r>
        <w:rPr>
          <w:rFonts w:hint="eastAsia" w:ascii="宋体" w:hAnsi="宋体" w:eastAsia="宋体" w:cs="宋体"/>
          <w:sz w:val="36"/>
          <w:szCs w:val="36"/>
        </w:rPr>
        <w:fldChar w:fldCharType="end"/>
      </w:r>
    </w:p>
    <w:p w14:paraId="1155C711">
      <w:pPr>
        <w:pStyle w:val="3"/>
      </w:pPr>
      <w:bookmarkStart w:id="0" w:name="_Toc19110"/>
      <w:bookmarkStart w:id="1" w:name="_Toc28871"/>
      <w:r>
        <w:rPr>
          <w:rFonts w:hint="eastAsia"/>
        </w:rPr>
        <w:br w:type="page"/>
      </w:r>
      <w:bookmarkStart w:id="2" w:name="_Toc12218"/>
      <w:r>
        <w:rPr>
          <w:rFonts w:hint="eastAsia"/>
        </w:rPr>
        <w:t>第一章</w:t>
      </w:r>
      <w:bookmarkStart w:id="3" w:name="_Toc393719573"/>
      <w:r>
        <w:rPr>
          <w:rFonts w:hint="eastAsia"/>
        </w:rPr>
        <w:t xml:space="preserve"> 招标公告</w:t>
      </w:r>
      <w:bookmarkEnd w:id="0"/>
      <w:bookmarkEnd w:id="1"/>
      <w:bookmarkEnd w:id="2"/>
      <w:bookmarkEnd w:id="3"/>
      <w:bookmarkStart w:id="4" w:name="_Toc21629"/>
      <w:bookmarkStart w:id="5" w:name="_Toc1458"/>
    </w:p>
    <w:p w14:paraId="5E3DAF84">
      <w:pPr>
        <w:widowControl/>
        <w:spacing w:line="460" w:lineRule="exact"/>
        <w:ind w:firstLine="480"/>
        <w:jc w:val="left"/>
        <w:rPr>
          <w:rFonts w:ascii="宋体" w:hAnsi="宋体"/>
          <w:sz w:val="24"/>
        </w:rPr>
      </w:pPr>
      <w:bookmarkStart w:id="6" w:name="OLE_LINK1"/>
      <w:r>
        <w:rPr>
          <w:rFonts w:hint="eastAsia" w:ascii="宋体" w:hAnsi="宋体"/>
          <w:sz w:val="24"/>
        </w:rPr>
        <w:t>项目概况</w:t>
      </w:r>
    </w:p>
    <w:p w14:paraId="5ED246AB">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sz w:val="24"/>
          <w:lang w:eastAsia="zh-CN"/>
        </w:rPr>
        <w:t>义马市应急广播体系建设项目</w:t>
      </w:r>
      <w:r>
        <w:rPr>
          <w:rFonts w:hint="eastAsia" w:ascii="宋体" w:hAnsi="宋体"/>
          <w:sz w:val="24"/>
        </w:rPr>
        <w:t>的潜在供应商凭CA登录三门峡市公共资源交易中心网（网址：</w:t>
      </w:r>
      <w:r>
        <w:fldChar w:fldCharType="begin"/>
      </w:r>
      <w:r>
        <w:instrText xml:space="preserve"> HYPERLINK "http://gzjy.smx.gov.cn/）获取采购文件，并于2024年" </w:instrText>
      </w:r>
      <w:r>
        <w:fldChar w:fldCharType="separate"/>
      </w:r>
      <w:r>
        <w:rPr>
          <w:rStyle w:val="21"/>
          <w:rFonts w:ascii="宋体" w:hAnsi="宋体"/>
          <w:sz w:val="24"/>
          <w:szCs w:val="24"/>
        </w:rPr>
        <w:t>http://gzjy.smx.gov.cn/</w:t>
      </w:r>
      <w:r>
        <w:rPr>
          <w:rStyle w:val="21"/>
          <w:rFonts w:hint="eastAsia" w:ascii="宋体" w:hAnsi="宋体"/>
          <w:sz w:val="24"/>
          <w:szCs w:val="24"/>
        </w:rPr>
        <w:t>）获取采购文件，并于202</w:t>
      </w:r>
      <w:r>
        <w:rPr>
          <w:rStyle w:val="21"/>
          <w:rFonts w:hint="eastAsia" w:ascii="宋体" w:hAnsi="宋体"/>
          <w:sz w:val="24"/>
          <w:szCs w:val="24"/>
          <w:lang w:val="en-US" w:eastAsia="zh-CN"/>
        </w:rPr>
        <w:t>5</w:t>
      </w:r>
      <w:r>
        <w:rPr>
          <w:rStyle w:val="21"/>
          <w:rFonts w:hint="eastAsia" w:ascii="宋体" w:hAnsi="宋体"/>
          <w:sz w:val="24"/>
          <w:szCs w:val="24"/>
        </w:rPr>
        <w:t>年</w:t>
      </w:r>
      <w:r>
        <w:rPr>
          <w:rStyle w:val="21"/>
          <w:rFonts w:hint="eastAsia" w:ascii="宋体" w:hAnsi="宋体"/>
          <w:sz w:val="24"/>
          <w:szCs w:val="24"/>
        </w:rPr>
        <w:fldChar w:fldCharType="end"/>
      </w:r>
      <w:r>
        <w:rPr>
          <w:rFonts w:hint="eastAsia" w:ascii="宋体" w:hAnsi="宋体"/>
          <w:color w:val="000000" w:themeColor="text1"/>
          <w:sz w:val="24"/>
          <w:lang w:eastAsia="zh-CN"/>
          <w14:textFill>
            <w14:solidFill>
              <w14:schemeClr w14:val="tx1"/>
            </w14:solidFill>
          </w14:textFill>
        </w:rPr>
        <w:t>12月</w:t>
      </w:r>
      <w:r>
        <w:rPr>
          <w:rFonts w:hint="eastAsia" w:ascii="宋体" w:hAnsi="宋体"/>
          <w:color w:val="000000" w:themeColor="text1"/>
          <w:sz w:val="24"/>
          <w:lang w:val="en-US" w:eastAsia="zh-CN"/>
          <w14:textFill>
            <w14:solidFill>
              <w14:schemeClr w14:val="tx1"/>
            </w14:solidFill>
          </w14:textFill>
        </w:rPr>
        <w:t>10</w:t>
      </w:r>
      <w:r>
        <w:rPr>
          <w:rFonts w:hint="eastAsia" w:ascii="宋体" w:hAnsi="宋体"/>
          <w:color w:val="000000" w:themeColor="text1"/>
          <w:sz w:val="24"/>
          <w:lang w:eastAsia="zh-CN"/>
          <w14:textFill>
            <w14:solidFill>
              <w14:schemeClr w14:val="tx1"/>
            </w14:solidFill>
          </w14:textFill>
        </w:rPr>
        <w:t>日</w:t>
      </w:r>
      <w:r>
        <w:rPr>
          <w:rFonts w:hint="eastAsia" w:ascii="宋体" w:hAnsi="宋体"/>
          <w:color w:val="000000" w:themeColor="text1"/>
          <w:sz w:val="24"/>
          <w14:textFill>
            <w14:solidFill>
              <w14:schemeClr w14:val="tx1"/>
            </w14:solidFill>
          </w14:textFill>
        </w:rPr>
        <w:t>8时30分（北京时间）前递交响应文件。</w:t>
      </w:r>
    </w:p>
    <w:p w14:paraId="79C35A22">
      <w:pPr>
        <w:widowControl/>
        <w:numPr>
          <w:ilvl w:val="0"/>
          <w:numId w:val="3"/>
        </w:numPr>
        <w:spacing w:line="460" w:lineRule="exact"/>
        <w:ind w:firstLine="482"/>
        <w:rPr>
          <w:rFonts w:ascii="宋体" w:hAnsi="宋体" w:eastAsia="宋体" w:cs="宋体"/>
          <w:b/>
          <w:sz w:val="24"/>
        </w:rPr>
      </w:pPr>
      <w:r>
        <w:rPr>
          <w:rFonts w:hint="eastAsia" w:ascii="宋体" w:hAnsi="宋体" w:eastAsia="宋体" w:cs="宋体"/>
          <w:b/>
          <w:sz w:val="24"/>
        </w:rPr>
        <w:t>项目概况与招标范围</w:t>
      </w:r>
      <w:bookmarkStart w:id="7" w:name="_Toc6843179"/>
    </w:p>
    <w:bookmarkEnd w:id="7"/>
    <w:p w14:paraId="20F62876">
      <w:pPr>
        <w:widowControl/>
        <w:numPr>
          <w:ilvl w:val="0"/>
          <w:numId w:val="0"/>
        </w:numPr>
        <w:spacing w:line="460" w:lineRule="exact"/>
        <w:ind w:firstLine="480" w:firstLineChars="200"/>
        <w:rPr>
          <w:rFonts w:hint="eastAsia" w:ascii="宋体" w:hAnsi="宋体" w:eastAsia="宋体" w:cs="宋体"/>
          <w:sz w:val="24"/>
          <w:lang w:eastAsia="zh-CN"/>
        </w:rPr>
      </w:pPr>
      <w:r>
        <w:rPr>
          <w:rFonts w:hint="eastAsia" w:ascii="宋体" w:hAnsi="宋体" w:eastAsia="宋体" w:cs="宋体"/>
          <w:sz w:val="24"/>
        </w:rPr>
        <w:t>项目名称：</w:t>
      </w:r>
      <w:r>
        <w:rPr>
          <w:rFonts w:hint="eastAsia" w:ascii="宋体" w:hAnsi="宋体" w:eastAsia="宋体" w:cs="宋体"/>
          <w:sz w:val="24"/>
          <w:lang w:eastAsia="zh-CN"/>
        </w:rPr>
        <w:t>义马市应急广播体系建设项目</w:t>
      </w:r>
    </w:p>
    <w:p w14:paraId="4D4FEBFB">
      <w:pPr>
        <w:widowControl/>
        <w:numPr>
          <w:ilvl w:val="0"/>
          <w:numId w:val="4"/>
        </w:numPr>
        <w:spacing w:line="460" w:lineRule="exact"/>
        <w:ind w:firstLine="480"/>
        <w:rPr>
          <w:rFonts w:hint="eastAsia" w:ascii="宋体" w:hAnsi="宋体" w:eastAsia="宋体" w:cs="宋体"/>
          <w:sz w:val="24"/>
          <w:shd w:val="clear" w:color="auto" w:fill="FFFFFF"/>
        </w:rPr>
      </w:pPr>
      <w:r>
        <w:rPr>
          <w:rFonts w:hint="eastAsia" w:ascii="宋体" w:hAnsi="宋体"/>
          <w:sz w:val="24"/>
        </w:rPr>
        <w:t>采购编号：</w:t>
      </w:r>
      <w:r>
        <w:rPr>
          <w:rFonts w:hint="eastAsia" w:ascii="宋体" w:hAnsi="宋体"/>
          <w:sz w:val="24"/>
          <w:lang w:eastAsia="zh-CN"/>
        </w:rPr>
        <w:t>义马公开采购-202</w:t>
      </w:r>
      <w:r>
        <w:rPr>
          <w:rFonts w:hint="eastAsia" w:ascii="宋体" w:hAnsi="宋体"/>
          <w:sz w:val="24"/>
          <w:lang w:val="en-US" w:eastAsia="zh-CN"/>
        </w:rPr>
        <w:t>5</w:t>
      </w:r>
      <w:r>
        <w:rPr>
          <w:rFonts w:hint="eastAsia" w:ascii="宋体" w:hAnsi="宋体"/>
          <w:sz w:val="24"/>
          <w:lang w:eastAsia="zh-CN"/>
        </w:rPr>
        <w:t>-</w:t>
      </w:r>
      <w:r>
        <w:rPr>
          <w:rFonts w:hint="eastAsia" w:ascii="宋体" w:hAnsi="宋体"/>
          <w:sz w:val="24"/>
          <w:lang w:val="en-US" w:eastAsia="zh-CN"/>
        </w:rPr>
        <w:t>85</w:t>
      </w:r>
      <w:r>
        <w:rPr>
          <w:rFonts w:hint="eastAsia" w:ascii="宋体" w:hAnsi="宋体"/>
          <w:sz w:val="24"/>
          <w:lang w:eastAsia="zh-CN"/>
        </w:rPr>
        <w:t>；</w:t>
      </w:r>
      <w:r>
        <w:rPr>
          <w:rFonts w:hint="eastAsia" w:ascii="宋体" w:hAnsi="宋体" w:eastAsia="宋体" w:cs="宋体"/>
          <w:sz w:val="24"/>
          <w:shd w:val="clear" w:color="auto" w:fill="FFFFFF"/>
        </w:rPr>
        <w:t>项目编号：YMGZ[2025]156-ZC094</w:t>
      </w:r>
    </w:p>
    <w:p w14:paraId="7B3418B6">
      <w:pPr>
        <w:widowControl/>
        <w:numPr>
          <w:ilvl w:val="0"/>
          <w:numId w:val="4"/>
        </w:numPr>
        <w:spacing w:line="460" w:lineRule="exact"/>
        <w:ind w:firstLine="480"/>
        <w:rPr>
          <w:rFonts w:ascii="宋体" w:hAnsi="宋体" w:eastAsia="宋体" w:cs="宋体"/>
          <w:sz w:val="24"/>
        </w:rPr>
      </w:pPr>
      <w:r>
        <w:rPr>
          <w:rFonts w:hint="eastAsia" w:ascii="宋体" w:hAnsi="宋体"/>
          <w:sz w:val="24"/>
        </w:rPr>
        <w:t>采购方式：公开招标</w:t>
      </w:r>
    </w:p>
    <w:p w14:paraId="39017B76">
      <w:pPr>
        <w:widowControl/>
        <w:spacing w:line="460" w:lineRule="exact"/>
        <w:ind w:firstLine="480"/>
        <w:rPr>
          <w:rFonts w:ascii="宋体" w:hAnsi="宋体"/>
          <w:sz w:val="24"/>
        </w:rPr>
      </w:pPr>
      <w:r>
        <w:rPr>
          <w:rFonts w:hint="eastAsia" w:ascii="宋体" w:hAnsi="宋体" w:eastAsia="宋体" w:cs="宋体"/>
          <w:sz w:val="24"/>
        </w:rPr>
        <w:t>4</w:t>
      </w:r>
      <w:r>
        <w:rPr>
          <w:rFonts w:hint="eastAsia" w:ascii="宋体" w:hAnsi="宋体"/>
          <w:sz w:val="24"/>
        </w:rPr>
        <w:t>、预算金额：</w:t>
      </w:r>
      <w:r>
        <w:rPr>
          <w:rFonts w:hint="eastAsia" w:ascii="宋体" w:hAnsi="宋体"/>
          <w:sz w:val="24"/>
          <w:lang w:eastAsia="zh-CN"/>
        </w:rPr>
        <w:t>117.986万元</w:t>
      </w:r>
    </w:p>
    <w:p w14:paraId="1784B24C">
      <w:pPr>
        <w:widowControl/>
        <w:spacing w:line="460" w:lineRule="exact"/>
        <w:ind w:firstLine="960" w:firstLineChars="400"/>
        <w:rPr>
          <w:rFonts w:hint="eastAsia" w:ascii="宋体" w:hAnsi="宋体" w:eastAsiaTheme="minorEastAsia"/>
          <w:sz w:val="24"/>
          <w:lang w:eastAsia="zh-CN"/>
        </w:rPr>
      </w:pPr>
      <w:r>
        <w:rPr>
          <w:rFonts w:hint="eastAsia" w:ascii="宋体" w:hAnsi="宋体"/>
          <w:sz w:val="24"/>
        </w:rPr>
        <w:t>最高限价：</w:t>
      </w:r>
      <w:r>
        <w:rPr>
          <w:rFonts w:hint="eastAsia" w:ascii="宋体" w:hAnsi="宋体"/>
          <w:sz w:val="24"/>
          <w:lang w:eastAsia="zh-CN"/>
        </w:rPr>
        <w:t>117.986万元</w:t>
      </w:r>
    </w:p>
    <w:p w14:paraId="0D26FEB4">
      <w:pPr>
        <w:widowControl/>
        <w:numPr>
          <w:ilvl w:val="0"/>
          <w:numId w:val="5"/>
        </w:numPr>
        <w:spacing w:line="460" w:lineRule="exact"/>
        <w:ind w:firstLine="480"/>
        <w:rPr>
          <w:rFonts w:hint="eastAsia" w:ascii="宋体" w:hAnsi="宋体"/>
          <w:sz w:val="24"/>
          <w:lang w:eastAsia="zh-CN"/>
        </w:rPr>
      </w:pPr>
      <w:r>
        <w:rPr>
          <w:rFonts w:hint="eastAsia" w:ascii="宋体" w:hAnsi="宋体"/>
          <w:sz w:val="24"/>
        </w:rPr>
        <w:t>资金来源：</w:t>
      </w:r>
      <w:r>
        <w:rPr>
          <w:rFonts w:hint="eastAsia" w:ascii="宋体" w:hAnsi="宋体"/>
          <w:sz w:val="24"/>
          <w:lang w:eastAsia="zh-CN"/>
        </w:rPr>
        <w:t>财政资金</w:t>
      </w:r>
    </w:p>
    <w:p w14:paraId="17DC9491">
      <w:pPr>
        <w:widowControl/>
        <w:numPr>
          <w:ilvl w:val="0"/>
          <w:numId w:val="0"/>
        </w:numPr>
        <w:spacing w:line="460" w:lineRule="exact"/>
        <w:ind w:firstLine="480" w:firstLineChars="200"/>
        <w:rPr>
          <w:rFonts w:hint="default" w:ascii="宋体" w:hAnsi="宋体" w:eastAsia="宋体" w:cs="宋体"/>
          <w:color w:val="FF0000"/>
          <w:sz w:val="24"/>
          <w:lang w:val="en-US" w:eastAsia="zh-CN"/>
        </w:rPr>
      </w:pPr>
      <w:r>
        <w:rPr>
          <w:rFonts w:hint="eastAsia" w:ascii="宋体" w:hAnsi="宋体" w:eastAsia="宋体" w:cs="宋体"/>
          <w:sz w:val="24"/>
        </w:rPr>
        <w:t>6、项目概况</w:t>
      </w:r>
      <w:r>
        <w:rPr>
          <w:rFonts w:hint="eastAsia" w:ascii="宋体" w:hAnsi="宋体" w:eastAsia="宋体" w:cs="宋体"/>
          <w:color w:val="auto"/>
          <w:sz w:val="24"/>
        </w:rPr>
        <w:t>：</w:t>
      </w:r>
      <w:r>
        <w:rPr>
          <w:rFonts w:hint="eastAsia" w:ascii="宋体" w:hAnsi="宋体" w:eastAsia="宋体" w:cs="宋体"/>
          <w:color w:val="auto"/>
          <w:sz w:val="24"/>
          <w:lang w:eastAsia="zh-CN"/>
        </w:rPr>
        <w:t>义马市应急广播体系建设项目</w:t>
      </w:r>
      <w:r>
        <w:rPr>
          <w:rFonts w:hint="eastAsia" w:ascii="宋体" w:hAnsi="宋体" w:eastAsia="宋体" w:cs="宋体"/>
          <w:color w:val="auto"/>
          <w:sz w:val="24"/>
        </w:rPr>
        <w:t>；主要采购内容为按照《全国应急广播体系建设总体规划》要求</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参</w:t>
      </w:r>
      <w:r>
        <w:rPr>
          <w:rFonts w:hint="eastAsia" w:ascii="宋体" w:hAnsi="宋体" w:eastAsia="宋体" w:cs="宋体"/>
          <w:color w:val="auto"/>
          <w:sz w:val="24"/>
        </w:rPr>
        <w:t>照信息系统安全等级保护二级，</w:t>
      </w:r>
      <w:r>
        <w:rPr>
          <w:rFonts w:hint="eastAsia" w:ascii="宋体" w:hAnsi="宋体" w:eastAsia="宋体" w:cs="宋体"/>
          <w:b w:val="0"/>
          <w:bCs w:val="0"/>
          <w:color w:val="auto"/>
          <w:sz w:val="24"/>
        </w:rPr>
        <w:t>配置必要的软件、服务器、网络、安全等软硬件设备，完善应急广播传输覆盖网络，部署应急广播终端</w:t>
      </w:r>
      <w:r>
        <w:rPr>
          <w:rFonts w:hint="eastAsia" w:ascii="宋体" w:hAnsi="宋体" w:eastAsia="宋体" w:cs="宋体"/>
          <w:b w:val="0"/>
          <w:bCs w:val="0"/>
          <w:color w:val="auto"/>
          <w:sz w:val="24"/>
          <w:lang w:val="en-US" w:eastAsia="zh-CN"/>
        </w:rPr>
        <w:t>等内容。</w:t>
      </w:r>
    </w:p>
    <w:p w14:paraId="5C05EA37">
      <w:pPr>
        <w:widowControl/>
        <w:spacing w:line="460" w:lineRule="exact"/>
        <w:ind w:firstLine="480"/>
        <w:rPr>
          <w:rFonts w:ascii="宋体" w:hAnsi="宋体" w:eastAsia="宋体" w:cs="宋体"/>
          <w:sz w:val="24"/>
        </w:rPr>
      </w:pPr>
      <w:r>
        <w:rPr>
          <w:rFonts w:hint="eastAsia" w:ascii="宋体" w:hAnsi="宋体" w:eastAsia="宋体" w:cs="宋体"/>
          <w:sz w:val="24"/>
        </w:rPr>
        <w:t>7、招标范围：招标文件及采购清单包含全部内容</w:t>
      </w:r>
    </w:p>
    <w:p w14:paraId="51246826">
      <w:pPr>
        <w:widowControl/>
        <w:spacing w:line="460" w:lineRule="exact"/>
        <w:ind w:firstLine="480"/>
        <w:rPr>
          <w:rFonts w:ascii="宋体" w:hAnsi="宋体" w:eastAsia="宋体" w:cs="宋体"/>
          <w:sz w:val="24"/>
        </w:rPr>
      </w:pPr>
      <w:r>
        <w:rPr>
          <w:rFonts w:hint="eastAsia" w:ascii="宋体" w:hAnsi="宋体" w:eastAsia="宋体" w:cs="宋体"/>
          <w:sz w:val="24"/>
        </w:rPr>
        <w:t>8、质量要求：达到国家质量验收规范合格标准并满足采购人需求</w:t>
      </w:r>
    </w:p>
    <w:p w14:paraId="6677490B">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9、交货期限：</w:t>
      </w:r>
      <w:r>
        <w:rPr>
          <w:rFonts w:hint="eastAsia" w:ascii="宋体" w:hAnsi="宋体" w:eastAsia="宋体" w:cs="宋体"/>
          <w:sz w:val="24"/>
          <w:lang w:eastAsia="zh-CN"/>
        </w:rPr>
        <w:t>自合同签订后30日历天内供货并安装、调试完毕</w:t>
      </w:r>
    </w:p>
    <w:p w14:paraId="6FD34854">
      <w:pPr>
        <w:widowControl/>
        <w:spacing w:line="460" w:lineRule="exact"/>
        <w:ind w:firstLine="480"/>
        <w:rPr>
          <w:rFonts w:ascii="宋体" w:hAnsi="宋体" w:eastAsia="宋体" w:cs="宋体"/>
          <w:sz w:val="24"/>
        </w:rPr>
      </w:pPr>
      <w:r>
        <w:rPr>
          <w:rFonts w:hint="eastAsia" w:ascii="宋体" w:hAnsi="宋体" w:eastAsia="宋体" w:cs="宋体"/>
          <w:sz w:val="24"/>
        </w:rPr>
        <w:t>10、质保期：按国家规定</w:t>
      </w:r>
    </w:p>
    <w:p w14:paraId="6E870D9C">
      <w:pPr>
        <w:widowControl/>
        <w:spacing w:line="460" w:lineRule="exact"/>
        <w:ind w:firstLine="480"/>
        <w:rPr>
          <w:rFonts w:ascii="宋体" w:hAnsi="宋体" w:eastAsia="宋体" w:cs="宋体"/>
          <w:sz w:val="24"/>
        </w:rPr>
      </w:pPr>
      <w:r>
        <w:rPr>
          <w:rFonts w:hint="eastAsia" w:ascii="宋体" w:hAnsi="宋体" w:eastAsia="宋体" w:cs="宋体"/>
          <w:sz w:val="24"/>
        </w:rPr>
        <w:t>11、交货地点：采购人指定地点</w:t>
      </w:r>
    </w:p>
    <w:p w14:paraId="7B41D393">
      <w:pPr>
        <w:widowControl/>
        <w:spacing w:line="460" w:lineRule="exact"/>
        <w:ind w:firstLine="480"/>
        <w:rPr>
          <w:rFonts w:ascii="宋体" w:hAnsi="宋体" w:eastAsia="宋体" w:cs="宋体"/>
          <w:sz w:val="24"/>
        </w:rPr>
      </w:pPr>
      <w:r>
        <w:rPr>
          <w:rFonts w:hint="eastAsia" w:ascii="宋体" w:hAnsi="宋体" w:eastAsia="宋体" w:cs="宋体"/>
          <w:sz w:val="24"/>
        </w:rPr>
        <w:t>12、本项目是否接受联合体投标：否</w:t>
      </w:r>
    </w:p>
    <w:p w14:paraId="67841D3A">
      <w:pPr>
        <w:widowControl/>
        <w:spacing w:line="460" w:lineRule="exact"/>
        <w:ind w:firstLine="480"/>
        <w:rPr>
          <w:rFonts w:ascii="宋体" w:hAnsi="宋体" w:eastAsia="宋体" w:cs="宋体"/>
          <w:sz w:val="24"/>
        </w:rPr>
      </w:pPr>
      <w:r>
        <w:rPr>
          <w:rFonts w:hint="eastAsia" w:ascii="宋体" w:hAnsi="宋体" w:eastAsia="宋体" w:cs="宋体"/>
          <w:sz w:val="24"/>
        </w:rPr>
        <w:t>13、是否接受进口产品：否</w:t>
      </w:r>
    </w:p>
    <w:p w14:paraId="13ADA551">
      <w:pPr>
        <w:widowControl/>
        <w:spacing w:line="460" w:lineRule="exact"/>
        <w:ind w:firstLine="480"/>
        <w:rPr>
          <w:rFonts w:ascii="宋体" w:hAnsi="宋体" w:eastAsia="宋体" w:cs="宋体"/>
          <w:color w:val="auto"/>
          <w:sz w:val="24"/>
        </w:rPr>
      </w:pPr>
      <w:r>
        <w:rPr>
          <w:rFonts w:hint="eastAsia" w:ascii="宋体" w:hAnsi="宋体" w:eastAsia="宋体" w:cs="宋体"/>
          <w:sz w:val="24"/>
        </w:rPr>
        <w:t>14、是否专门面向中小企业采购</w:t>
      </w:r>
      <w:r>
        <w:rPr>
          <w:rFonts w:hint="eastAsia" w:ascii="宋体" w:hAnsi="宋体" w:eastAsia="宋体" w:cs="宋体"/>
          <w:color w:val="auto"/>
          <w:sz w:val="24"/>
        </w:rPr>
        <w:t>：否</w:t>
      </w:r>
    </w:p>
    <w:p w14:paraId="1B3A6CAB">
      <w:pPr>
        <w:widowControl/>
        <w:spacing w:line="460" w:lineRule="exact"/>
        <w:ind w:firstLine="482"/>
        <w:rPr>
          <w:rFonts w:ascii="宋体" w:hAnsi="宋体" w:eastAsia="宋体" w:cs="宋体"/>
          <w:b/>
          <w:sz w:val="24"/>
        </w:rPr>
      </w:pPr>
      <w:r>
        <w:rPr>
          <w:rFonts w:hint="eastAsia" w:ascii="宋体" w:hAnsi="宋体" w:eastAsia="宋体" w:cs="宋体"/>
          <w:b/>
          <w:sz w:val="24"/>
        </w:rPr>
        <w:t>二、投标人资格要求</w:t>
      </w:r>
    </w:p>
    <w:p w14:paraId="5B901338">
      <w:pPr>
        <w:widowControl/>
        <w:spacing w:line="460" w:lineRule="exact"/>
        <w:ind w:firstLine="48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79CB8F00">
      <w:pPr>
        <w:widowControl/>
        <w:spacing w:line="460" w:lineRule="exact"/>
        <w:ind w:firstLine="480"/>
        <w:rPr>
          <w:rFonts w:hint="eastAsia" w:ascii="宋体" w:hAnsi="宋体" w:eastAsia="宋体" w:cs="宋体"/>
          <w:sz w:val="24"/>
        </w:rPr>
      </w:pPr>
      <w:r>
        <w:rPr>
          <w:rFonts w:hint="eastAsia" w:ascii="宋体" w:hAnsi="宋体" w:eastAsia="宋体" w:cs="宋体"/>
          <w:sz w:val="24"/>
        </w:rPr>
        <w:t>2、落实政府采购政策满足的资格要求：支持中小微（监狱、残疾人福利性单位）企业；</w:t>
      </w:r>
    </w:p>
    <w:p w14:paraId="3069F3B1">
      <w:pPr>
        <w:widowControl/>
        <w:spacing w:line="460" w:lineRule="exact"/>
        <w:ind w:firstLine="480"/>
        <w:rPr>
          <w:rFonts w:hint="eastAsia" w:ascii="宋体" w:hAnsi="宋体" w:eastAsia="宋体" w:cs="宋体"/>
          <w:sz w:val="24"/>
        </w:rPr>
      </w:pPr>
      <w:r>
        <w:rPr>
          <w:rFonts w:hint="eastAsia" w:ascii="宋体" w:hAnsi="宋体" w:eastAsia="宋体" w:cs="宋体"/>
          <w:sz w:val="24"/>
        </w:rPr>
        <w:t>3、本项目的特定资格要求：</w:t>
      </w:r>
    </w:p>
    <w:p w14:paraId="6CA276FF">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投标人具有有效的营业执照；</w:t>
      </w:r>
    </w:p>
    <w:p w14:paraId="15E37170">
      <w:pPr>
        <w:widowControl/>
        <w:spacing w:line="460" w:lineRule="exact"/>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lang w:val="en-US" w:eastAsia="zh-CN"/>
        </w:rPr>
        <w:t>投标人</w:t>
      </w:r>
      <w:r>
        <w:rPr>
          <w:rFonts w:hint="eastAsia" w:ascii="宋体" w:hAnsi="宋体" w:eastAsia="宋体" w:cs="宋体"/>
          <w:sz w:val="24"/>
        </w:rPr>
        <w:t>出具的本单位无商业贿赂及无不正当竞争行为承诺书；</w:t>
      </w:r>
    </w:p>
    <w:p w14:paraId="36E3E15F">
      <w:pPr>
        <w:widowControl/>
        <w:spacing w:line="460" w:lineRule="exact"/>
        <w:ind w:firstLine="48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出具企业、法定代表人</w:t>
      </w:r>
      <w:r>
        <w:rPr>
          <w:rFonts w:hint="eastAsia" w:ascii="宋体" w:hAnsi="宋体" w:eastAsia="宋体" w:cs="宋体"/>
          <w:sz w:val="24"/>
          <w:lang w:eastAsia="zh-CN"/>
        </w:rPr>
        <w:t>（</w:t>
      </w:r>
      <w:r>
        <w:rPr>
          <w:rFonts w:hint="eastAsia" w:ascii="宋体" w:hAnsi="宋体" w:eastAsia="宋体" w:cs="宋体"/>
          <w:sz w:val="24"/>
          <w:lang w:val="en-US" w:eastAsia="zh-CN"/>
        </w:rPr>
        <w:t>或负责人</w:t>
      </w:r>
      <w:r>
        <w:rPr>
          <w:rFonts w:hint="eastAsia" w:ascii="宋体" w:hAnsi="宋体" w:eastAsia="宋体" w:cs="宋体"/>
          <w:sz w:val="24"/>
          <w:lang w:eastAsia="zh-CN"/>
        </w:rPr>
        <w:t>）</w:t>
      </w:r>
      <w:r>
        <w:rPr>
          <w:rFonts w:hint="eastAsia" w:ascii="宋体" w:hAnsi="宋体" w:eastAsia="宋体" w:cs="宋体"/>
          <w:sz w:val="24"/>
        </w:rPr>
        <w:t>的无行贿犯罪记录,在中国裁判文书网查询（提供网页查询截图）或供应商自行承诺（查询时间自公告发布之日起至投标截止时间）；</w:t>
      </w:r>
    </w:p>
    <w:p w14:paraId="5264EB07">
      <w:pPr>
        <w:widowControl/>
        <w:spacing w:line="460" w:lineRule="exact"/>
        <w:ind w:firstLine="48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r>
        <w:rPr>
          <w:rFonts w:hint="eastAsia" w:ascii="宋体" w:hAnsi="宋体" w:eastAsia="宋体" w:cs="宋体"/>
          <w:sz w:val="24"/>
        </w:rPr>
        <w:t>；</w:t>
      </w:r>
    </w:p>
    <w:p w14:paraId="2896767E">
      <w:pPr>
        <w:widowControl/>
        <w:spacing w:line="460" w:lineRule="exact"/>
        <w:ind w:firstLine="48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）本项目不接受联合体投标。</w:t>
      </w:r>
    </w:p>
    <w:p w14:paraId="18446702">
      <w:pPr>
        <w:widowControl/>
        <w:spacing w:line="460" w:lineRule="exact"/>
        <w:ind w:firstLine="482"/>
        <w:rPr>
          <w:rFonts w:ascii="宋体" w:hAnsi="宋体" w:eastAsia="宋体" w:cs="宋体"/>
          <w:b/>
          <w:sz w:val="24"/>
        </w:rPr>
      </w:pPr>
      <w:r>
        <w:rPr>
          <w:rFonts w:hint="eastAsia" w:ascii="宋体" w:hAnsi="宋体" w:eastAsia="宋体" w:cs="宋体"/>
          <w:b/>
          <w:sz w:val="24"/>
        </w:rPr>
        <w:t>三、招标文件的获取</w:t>
      </w:r>
    </w:p>
    <w:p w14:paraId="4D218DEC">
      <w:pPr>
        <w:spacing w:line="460" w:lineRule="exact"/>
        <w:ind w:firstLine="480"/>
        <w:rPr>
          <w:rFonts w:ascii="宋体" w:hAnsi="宋体" w:eastAsia="宋体" w:cs="宋体"/>
          <w:bCs/>
          <w:sz w:val="24"/>
        </w:rPr>
      </w:pPr>
      <w:r>
        <w:rPr>
          <w:rFonts w:hint="eastAsia" w:ascii="宋体" w:hAnsi="宋体" w:eastAsia="宋体" w:cs="宋体"/>
          <w:bCs/>
          <w:sz w:val="24"/>
        </w:rPr>
        <w:t>1、招标文件下载时间：</w:t>
      </w:r>
      <w:r>
        <w:rPr>
          <w:rFonts w:hint="eastAsia" w:ascii="宋体" w:hAnsi="宋体" w:eastAsia="宋体" w:cs="宋体"/>
          <w:bCs/>
          <w:sz w:val="24"/>
          <w:lang w:eastAsia="zh-CN"/>
        </w:rPr>
        <w:t>2025年11月</w:t>
      </w:r>
      <w:r>
        <w:rPr>
          <w:rFonts w:hint="eastAsia" w:ascii="宋体" w:hAnsi="宋体" w:eastAsia="宋体" w:cs="宋体"/>
          <w:bCs/>
          <w:sz w:val="24"/>
          <w:lang w:val="en-US" w:eastAsia="zh-CN"/>
        </w:rPr>
        <w:t>20</w:t>
      </w:r>
      <w:r>
        <w:rPr>
          <w:rFonts w:hint="eastAsia" w:ascii="宋体" w:hAnsi="宋体" w:eastAsia="宋体" w:cs="宋体"/>
          <w:bCs/>
          <w:sz w:val="24"/>
          <w:lang w:eastAsia="zh-CN"/>
        </w:rPr>
        <w:t>日</w:t>
      </w:r>
      <w:r>
        <w:rPr>
          <w:rFonts w:hint="eastAsia" w:ascii="宋体" w:hAnsi="宋体" w:eastAsia="宋体" w:cs="宋体"/>
          <w:bCs/>
          <w:sz w:val="24"/>
        </w:rPr>
        <w:t>8时00分至</w:t>
      </w:r>
      <w:r>
        <w:rPr>
          <w:rFonts w:hint="eastAsia" w:ascii="宋体" w:hAnsi="宋体" w:eastAsia="宋体" w:cs="宋体"/>
          <w:bCs/>
          <w:sz w:val="24"/>
          <w:lang w:eastAsia="zh-CN"/>
        </w:rPr>
        <w:t>2025年12月10日8时30分</w:t>
      </w:r>
      <w:r>
        <w:rPr>
          <w:rFonts w:hint="eastAsia" w:ascii="宋体" w:hAnsi="宋体" w:eastAsia="宋体" w:cs="宋体"/>
          <w:bCs/>
          <w:sz w:val="24"/>
        </w:rPr>
        <w:t>(北京时间，下同)。</w:t>
      </w:r>
    </w:p>
    <w:p w14:paraId="6D69A1AD">
      <w:pPr>
        <w:spacing w:line="460" w:lineRule="exact"/>
        <w:ind w:firstLine="480"/>
        <w:rPr>
          <w:rFonts w:ascii="宋体" w:hAnsi="宋体" w:eastAsia="宋体" w:cs="宋体"/>
          <w:bCs/>
          <w:sz w:val="24"/>
        </w:rPr>
      </w:pPr>
      <w:r>
        <w:rPr>
          <w:rFonts w:hint="eastAsia" w:ascii="宋体" w:hAnsi="宋体" w:eastAsia="宋体" w:cs="宋体"/>
          <w:bCs/>
          <w:sz w:val="24"/>
        </w:rPr>
        <w:t>2、</w:t>
      </w:r>
      <w:r>
        <w:rPr>
          <w:rFonts w:hint="eastAsia" w:ascii="宋体" w:hAnsi="宋体"/>
          <w:sz w:val="24"/>
        </w:rPr>
        <w:t>地点：三门峡市公共资源交易中心网</w:t>
      </w:r>
    </w:p>
    <w:p w14:paraId="6A156748">
      <w:pPr>
        <w:spacing w:line="360" w:lineRule="auto"/>
        <w:ind w:firstLine="480" w:firstLineChars="200"/>
        <w:rPr>
          <w:rFonts w:ascii="宋体" w:hAnsi="宋体" w:eastAsia="宋体" w:cs="宋体"/>
          <w:bCs/>
          <w:sz w:val="24"/>
        </w:rPr>
      </w:pPr>
      <w:r>
        <w:rPr>
          <w:rFonts w:hint="eastAsia" w:ascii="宋体" w:hAnsi="宋体" w:eastAsia="宋体" w:cs="宋体"/>
          <w:bCs/>
          <w:sz w:val="24"/>
        </w:rPr>
        <w:t>3、方式：</w:t>
      </w:r>
      <w:bookmarkStart w:id="8" w:name="_Toc18287"/>
      <w:r>
        <w:rPr>
          <w:rFonts w:hint="eastAsia" w:ascii="宋体" w:hAnsi="宋体" w:eastAsia="宋体" w:cs="宋体"/>
          <w:b/>
          <w:bCs/>
          <w:sz w:val="24"/>
        </w:rPr>
        <w:t>本项目没有报名环节</w:t>
      </w:r>
      <w:r>
        <w:rPr>
          <w:rFonts w:hint="eastAsia" w:ascii="宋体" w:hAnsi="宋体" w:eastAsia="宋体" w:cs="宋体"/>
          <w:bCs/>
          <w:sz w:val="24"/>
        </w:rPr>
        <w:t>，</w:t>
      </w:r>
      <w:bookmarkEnd w:id="8"/>
      <w:r>
        <w:rPr>
          <w:rFonts w:hint="eastAsia" w:ascii="宋体" w:hAnsi="宋体" w:eastAsia="宋体" w:cs="宋体"/>
          <w:bCs/>
          <w:sz w:val="24"/>
        </w:rPr>
        <w:t>凡有意参加的投标人，须完成交易主体信息库登记并取得CA数字证书，凭CA数字证书登录三门峡公共资源交易中心，点击交易平台选择“交易主体登录”，在所参与项目右侧点击参与投标，即可直接下载本项目招标文件（招标文件中包含清单等投标所需一切内容）。具体操作请查看以下链接：</w:t>
      </w:r>
    </w:p>
    <w:p w14:paraId="0DCC4FB2">
      <w:pPr>
        <w:spacing w:line="360" w:lineRule="auto"/>
        <w:ind w:firstLine="480" w:firstLineChars="200"/>
        <w:rPr>
          <w:rFonts w:ascii="宋体" w:hAnsi="宋体"/>
          <w:sz w:val="24"/>
        </w:rPr>
      </w:pPr>
      <w:r>
        <w:rPr>
          <w:rFonts w:hint="eastAsia" w:ascii="宋体" w:hAnsi="宋体"/>
          <w:sz w:val="24"/>
        </w:rPr>
        <w:t>三门峡市公共资源交易平台操作手册：</w:t>
      </w:r>
    </w:p>
    <w:p w14:paraId="26CE789A">
      <w:pPr>
        <w:spacing w:line="360" w:lineRule="auto"/>
        <w:ind w:firstLine="420" w:firstLineChars="200"/>
        <w:rPr>
          <w:rFonts w:ascii="宋体" w:hAnsi="宋体"/>
          <w:sz w:val="24"/>
        </w:rPr>
      </w:pPr>
      <w:r>
        <w:fldChar w:fldCharType="begin"/>
      </w:r>
      <w:r>
        <w:instrText xml:space="preserve"> HYPERLINK "http://gzjy.smx.gov.cn" </w:instrText>
      </w:r>
      <w:r>
        <w:fldChar w:fldCharType="separate"/>
      </w:r>
      <w:r>
        <w:rPr>
          <w:rFonts w:hint="eastAsia" w:ascii="宋体" w:hAnsi="宋体"/>
          <w:sz w:val="24"/>
        </w:rPr>
        <w:t>http://gzjy.smx.gov.cn</w:t>
      </w:r>
      <w:r>
        <w:rPr>
          <w:rFonts w:hint="eastAsia" w:ascii="宋体" w:hAnsi="宋体"/>
          <w:sz w:val="24"/>
        </w:rPr>
        <w:fldChar w:fldCharType="end"/>
      </w:r>
    </w:p>
    <w:p w14:paraId="35B40FEA">
      <w:pPr>
        <w:spacing w:line="360" w:lineRule="auto"/>
        <w:ind w:firstLine="480" w:firstLineChars="200"/>
        <w:rPr>
          <w:rFonts w:ascii="宋体" w:hAnsi="宋体"/>
          <w:sz w:val="24"/>
        </w:rPr>
      </w:pPr>
      <w:r>
        <w:rPr>
          <w:rFonts w:hint="eastAsia" w:ascii="宋体" w:hAnsi="宋体"/>
          <w:sz w:val="24"/>
        </w:rPr>
        <w:t>办理CA证书：</w:t>
      </w:r>
    </w:p>
    <w:p w14:paraId="4C3CD015">
      <w:pPr>
        <w:spacing w:line="460" w:lineRule="exact"/>
        <w:ind w:firstLine="480"/>
        <w:rPr>
          <w:rFonts w:ascii="宋体" w:hAnsi="宋体" w:eastAsia="宋体" w:cs="宋体"/>
          <w:bCs/>
          <w:sz w:val="24"/>
        </w:rPr>
      </w:pPr>
      <w:r>
        <w:fldChar w:fldCharType="begin"/>
      </w:r>
      <w:r>
        <w:instrText xml:space="preserve"> HYPERLINK "http://gzjy.smx.gov.cn/bzzx/008001/20231102/4defc9b5-408e-47f2-9e9f-1f376a06ee1f.html" </w:instrText>
      </w:r>
      <w:r>
        <w:fldChar w:fldCharType="separate"/>
      </w:r>
      <w:r>
        <w:rPr>
          <w:rFonts w:hint="eastAsia" w:ascii="宋体" w:hAnsi="宋体" w:eastAsia="宋体" w:cs="宋体"/>
          <w:bCs/>
          <w:sz w:val="24"/>
        </w:rPr>
        <w:t>http://gzjy.smx.gov.cn/bzzx/008001/20231102/4defc9b5-408e-47f2-9e9f-1f376a06ee1f.html</w:t>
      </w:r>
      <w:r>
        <w:rPr>
          <w:rFonts w:hint="eastAsia" w:ascii="宋体" w:hAnsi="宋体" w:eastAsia="宋体" w:cs="宋体"/>
          <w:bCs/>
          <w:sz w:val="24"/>
        </w:rPr>
        <w:fldChar w:fldCharType="end"/>
      </w:r>
    </w:p>
    <w:p w14:paraId="1CEC6B4C">
      <w:pPr>
        <w:spacing w:line="460" w:lineRule="exact"/>
        <w:ind w:firstLine="480"/>
        <w:rPr>
          <w:rFonts w:ascii="宋体" w:hAnsi="宋体" w:eastAsia="宋体" w:cs="宋体"/>
          <w:bCs/>
          <w:sz w:val="24"/>
        </w:rPr>
      </w:pPr>
      <w:r>
        <w:rPr>
          <w:rFonts w:hint="eastAsia" w:ascii="宋体" w:hAnsi="宋体" w:eastAsia="宋体" w:cs="宋体"/>
          <w:bCs/>
          <w:sz w:val="24"/>
        </w:rPr>
        <w:t>根据《关于进一步加强公共资源交易管理持续优化营商环境的通知》（三公管办[2020]2号）文件的要求，招标文件费用不再收取。</w:t>
      </w:r>
    </w:p>
    <w:p w14:paraId="58D792C7">
      <w:pPr>
        <w:spacing w:line="460" w:lineRule="exact"/>
        <w:ind w:firstLine="482"/>
        <w:rPr>
          <w:rFonts w:ascii="宋体" w:hAnsi="宋体" w:eastAsia="宋体" w:cs="宋体"/>
          <w:b/>
          <w:sz w:val="24"/>
        </w:rPr>
      </w:pPr>
      <w:r>
        <w:rPr>
          <w:rFonts w:hint="eastAsia" w:ascii="宋体" w:hAnsi="宋体" w:eastAsia="宋体" w:cs="宋体"/>
          <w:b/>
          <w:sz w:val="24"/>
        </w:rPr>
        <w:t>四、投标文件提交截止时间及地点</w:t>
      </w:r>
    </w:p>
    <w:p w14:paraId="3A8B0DC2">
      <w:pPr>
        <w:spacing w:line="420" w:lineRule="exact"/>
        <w:ind w:firstLine="480" w:firstLineChars="200"/>
        <w:rPr>
          <w:rFonts w:ascii="宋体" w:hAnsi="宋体" w:eastAsia="宋体" w:cs="宋体"/>
          <w:sz w:val="24"/>
        </w:rPr>
      </w:pPr>
      <w:r>
        <w:rPr>
          <w:rFonts w:hint="eastAsia" w:ascii="宋体" w:hAnsi="宋体" w:eastAsia="宋体" w:cs="宋体"/>
          <w:bCs/>
          <w:sz w:val="24"/>
        </w:rPr>
        <w:t>1、投标文件提交截止</w:t>
      </w:r>
      <w:r>
        <w:rPr>
          <w:rFonts w:hint="eastAsia" w:ascii="宋体" w:hAnsi="宋体" w:eastAsia="宋体" w:cs="宋体"/>
          <w:sz w:val="24"/>
        </w:rPr>
        <w:t>时间：</w:t>
      </w:r>
      <w:r>
        <w:rPr>
          <w:rFonts w:hint="eastAsia" w:ascii="宋体" w:hAnsi="宋体" w:eastAsia="宋体" w:cs="宋体"/>
          <w:sz w:val="24"/>
          <w:lang w:eastAsia="zh-CN"/>
        </w:rPr>
        <w:t>2025年12月10日</w:t>
      </w:r>
      <w:r>
        <w:rPr>
          <w:rFonts w:hint="eastAsia" w:ascii="宋体" w:hAnsi="宋体" w:eastAsia="宋体" w:cs="宋体"/>
          <w:sz w:val="24"/>
        </w:rPr>
        <w:t>上午8时30分，逾期上传递交响应文件的，采购人不予受理。</w:t>
      </w:r>
    </w:p>
    <w:p w14:paraId="246DD833">
      <w:pPr>
        <w:spacing w:line="420" w:lineRule="exact"/>
        <w:ind w:firstLine="480" w:firstLineChars="200"/>
        <w:rPr>
          <w:rFonts w:hint="eastAsia" w:ascii="宋体" w:hAnsi="宋体" w:eastAsia="宋体" w:cs="宋体"/>
          <w:sz w:val="24"/>
        </w:rPr>
      </w:pPr>
      <w:r>
        <w:rPr>
          <w:rFonts w:hint="eastAsia" w:ascii="宋体" w:hAnsi="宋体" w:eastAsia="宋体" w:cs="宋体"/>
          <w:sz w:val="24"/>
        </w:rPr>
        <w:t>地点：在三门峡市公共资源交易中心网中上传加密响应文。</w:t>
      </w:r>
    </w:p>
    <w:p w14:paraId="27A3E221">
      <w:pPr>
        <w:spacing w:line="460" w:lineRule="exact"/>
        <w:ind w:firstLine="482"/>
      </w:pPr>
      <w:r>
        <w:rPr>
          <w:rFonts w:hint="eastAsia" w:ascii="宋体" w:hAnsi="宋体" w:eastAsia="宋体" w:cs="宋体"/>
          <w:b/>
          <w:sz w:val="24"/>
        </w:rPr>
        <w:t xml:space="preserve">五、开标时间及地点：   </w:t>
      </w:r>
    </w:p>
    <w:p w14:paraId="02CFB641">
      <w:pPr>
        <w:spacing w:line="360" w:lineRule="auto"/>
        <w:ind w:firstLine="480" w:firstLineChars="200"/>
        <w:rPr>
          <w:rFonts w:ascii="宋体" w:hAnsi="宋体"/>
          <w:sz w:val="24"/>
        </w:rPr>
      </w:pPr>
      <w:r>
        <w:rPr>
          <w:rFonts w:hint="eastAsia" w:ascii="宋体" w:hAnsi="宋体"/>
          <w:sz w:val="24"/>
        </w:rPr>
        <w:t>1、开标时间：</w:t>
      </w:r>
      <w:r>
        <w:rPr>
          <w:rFonts w:hint="eastAsia" w:ascii="宋体" w:hAnsi="宋体" w:eastAsia="宋体" w:cs="宋体"/>
          <w:sz w:val="24"/>
          <w:lang w:eastAsia="zh-CN"/>
        </w:rPr>
        <w:t>2025年12月10日8时30分</w:t>
      </w:r>
      <w:r>
        <w:rPr>
          <w:rFonts w:hint="eastAsia" w:ascii="宋体" w:hAnsi="宋体"/>
          <w:sz w:val="24"/>
        </w:rPr>
        <w:t>（北京时间）</w:t>
      </w:r>
    </w:p>
    <w:p w14:paraId="1F5C7185">
      <w:pPr>
        <w:spacing w:line="360" w:lineRule="auto"/>
        <w:ind w:firstLine="480" w:firstLineChars="200"/>
        <w:rPr>
          <w:rFonts w:ascii="宋体" w:hAnsi="宋体"/>
          <w:sz w:val="24"/>
        </w:rPr>
      </w:pPr>
      <w:r>
        <w:rPr>
          <w:rFonts w:hint="eastAsia" w:ascii="宋体" w:hAnsi="宋体"/>
          <w:sz w:val="24"/>
        </w:rPr>
        <w:t>2、开标地点：义马市公共资源交易中心开标二室</w:t>
      </w:r>
    </w:p>
    <w:p w14:paraId="62C417E2">
      <w:pPr>
        <w:spacing w:line="360" w:lineRule="auto"/>
        <w:ind w:firstLine="480" w:firstLineChars="200"/>
        <w:rPr>
          <w:rFonts w:ascii="宋体" w:hAnsi="宋体"/>
          <w:sz w:val="24"/>
        </w:rPr>
      </w:pPr>
      <w:r>
        <w:rPr>
          <w:rFonts w:hint="eastAsia" w:ascii="宋体" w:hAnsi="宋体"/>
          <w:sz w:val="24"/>
        </w:rPr>
        <w:t>3、开标方式：本项目为不见面开标项目</w:t>
      </w:r>
    </w:p>
    <w:p w14:paraId="27695B5A">
      <w:pPr>
        <w:spacing w:line="360" w:lineRule="auto"/>
        <w:ind w:firstLine="480" w:firstLineChars="200"/>
        <w:rPr>
          <w:rFonts w:ascii="宋体" w:hAnsi="宋体"/>
          <w:sz w:val="24"/>
        </w:rPr>
      </w:pPr>
      <w:r>
        <w:rPr>
          <w:rFonts w:hint="eastAsia" w:ascii="宋体" w:hAnsi="宋体"/>
          <w:sz w:val="24"/>
        </w:rPr>
        <w:t>注：本项目为不见面开标项目，开标当日，供应商无需到开标现场参加开标会议，投标人应当在投标截止时间前，登陆不见面开标大厅选择登陆三门峡市公共资源电子招投标系统进行登陆，网址为：</w:t>
      </w:r>
    </w:p>
    <w:p w14:paraId="1CAEC859">
      <w:pPr>
        <w:spacing w:line="360" w:lineRule="auto"/>
        <w:ind w:firstLine="480" w:firstLineChars="200"/>
        <w:rPr>
          <w:rFonts w:ascii="宋体" w:hAnsi="宋体"/>
          <w:sz w:val="24"/>
        </w:rPr>
      </w:pPr>
      <w:r>
        <w:rPr>
          <w:rFonts w:hint="eastAsia" w:ascii="宋体" w:hAnsi="宋体"/>
          <w:sz w:val="24"/>
        </w:rPr>
        <w:t>http://122.112.246.33/BidOpening/bidopeninghallaction/hall/login,在线准时参加开标活动并进行投标文件解密等。每位投标人的解密时间为开标时间起30分钟内完成。因投标人原因未能解密、解密失败或解密超时的将被拒绝。</w:t>
      </w:r>
    </w:p>
    <w:p w14:paraId="06C895D4">
      <w:pPr>
        <w:spacing w:line="460" w:lineRule="exact"/>
        <w:ind w:firstLine="482"/>
        <w:rPr>
          <w:rFonts w:ascii="宋体" w:hAnsi="宋体" w:eastAsia="宋体" w:cs="宋体"/>
          <w:b/>
          <w:sz w:val="24"/>
        </w:rPr>
      </w:pPr>
      <w:r>
        <w:rPr>
          <w:rFonts w:hint="eastAsia" w:ascii="宋体" w:hAnsi="宋体" w:eastAsia="宋体" w:cs="宋体"/>
          <w:b/>
          <w:sz w:val="24"/>
        </w:rPr>
        <w:t>六、发布公告的媒介</w:t>
      </w:r>
    </w:p>
    <w:p w14:paraId="214963AA">
      <w:pPr>
        <w:spacing w:line="460" w:lineRule="exact"/>
        <w:ind w:firstLine="480"/>
        <w:jc w:val="left"/>
        <w:rPr>
          <w:rFonts w:ascii="宋体" w:hAnsi="宋体" w:eastAsia="宋体" w:cs="宋体"/>
          <w:sz w:val="24"/>
        </w:rPr>
      </w:pPr>
      <w:r>
        <w:rPr>
          <w:rFonts w:hint="eastAsia" w:ascii="宋体" w:hAnsi="宋体" w:eastAsia="宋体" w:cs="宋体"/>
          <w:sz w:val="24"/>
        </w:rPr>
        <w:t>本次招标公告在</w:t>
      </w:r>
      <w:r>
        <w:rPr>
          <w:rFonts w:hint="eastAsia" w:ascii="宋体" w:hAnsi="宋体" w:cs="宋体"/>
          <w:sz w:val="24"/>
          <w:szCs w:val="24"/>
          <w:lang w:eastAsia="zh-CN"/>
        </w:rPr>
        <w:t>《</w:t>
      </w:r>
      <w:r>
        <w:rPr>
          <w:rFonts w:hint="eastAsia" w:ascii="宋体" w:hAnsi="宋体" w:eastAsia="宋体" w:cs="宋体"/>
          <w:sz w:val="24"/>
          <w:szCs w:val="24"/>
        </w:rPr>
        <w:t>中国招标投标公共服务平台</w:t>
      </w:r>
      <w:r>
        <w:rPr>
          <w:rFonts w:hint="eastAsia" w:ascii="宋体" w:hAnsi="宋体" w:eastAsia="宋体" w:cs="宋体"/>
          <w:sz w:val="24"/>
          <w:szCs w:val="24"/>
          <w:lang w:eastAsia="zh-CN"/>
        </w:rPr>
        <w:t>》、</w:t>
      </w:r>
      <w:r>
        <w:rPr>
          <w:rFonts w:hint="eastAsia" w:ascii="宋体" w:hAnsi="宋体" w:cs="宋体"/>
          <w:sz w:val="24"/>
          <w:szCs w:val="24"/>
        </w:rPr>
        <w:t>《河南省政府采购网》、《三门峡市公共资源交易中心网》</w:t>
      </w:r>
      <w:r>
        <w:rPr>
          <w:rFonts w:hint="eastAsia" w:ascii="宋体" w:hAnsi="宋体" w:eastAsia="宋体" w:cs="宋体"/>
          <w:sz w:val="24"/>
        </w:rPr>
        <w:t>发布</w:t>
      </w:r>
      <w:r>
        <w:rPr>
          <w:rFonts w:hint="eastAsia" w:ascii="宋体" w:hAnsi="宋体" w:eastAsia="宋体" w:cs="宋体"/>
          <w:sz w:val="24"/>
          <w:lang w:eastAsia="zh-CN"/>
        </w:rPr>
        <w:t>，</w:t>
      </w:r>
      <w:r>
        <w:rPr>
          <w:rFonts w:hint="eastAsia" w:ascii="宋体" w:hAnsi="宋体" w:eastAsia="宋体" w:cs="宋体"/>
          <w:sz w:val="24"/>
          <w:szCs w:val="24"/>
        </w:rPr>
        <w:t>公告期限为</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w:t>
      </w:r>
      <w:r>
        <w:rPr>
          <w:rFonts w:hint="eastAsia" w:ascii="宋体" w:hAnsi="宋体" w:eastAsia="宋体" w:cs="宋体"/>
          <w:sz w:val="24"/>
        </w:rPr>
        <w:t>。</w:t>
      </w:r>
    </w:p>
    <w:p w14:paraId="039424C9">
      <w:pPr>
        <w:spacing w:line="460" w:lineRule="exact"/>
        <w:ind w:firstLine="480"/>
        <w:jc w:val="left"/>
        <w:rPr>
          <w:rFonts w:ascii="宋体" w:hAnsi="宋体" w:eastAsia="宋体" w:cs="宋体"/>
          <w:b/>
          <w:sz w:val="24"/>
        </w:rPr>
      </w:pPr>
      <w:r>
        <w:rPr>
          <w:rFonts w:hint="eastAsia" w:ascii="宋体" w:hAnsi="宋体" w:eastAsia="宋体" w:cs="宋体"/>
          <w:b/>
          <w:sz w:val="24"/>
        </w:rPr>
        <w:t>七、其他</w:t>
      </w:r>
    </w:p>
    <w:p w14:paraId="5DCE2075">
      <w:pPr>
        <w:spacing w:line="460" w:lineRule="exact"/>
        <w:ind w:firstLine="480"/>
        <w:rPr>
          <w:rFonts w:ascii="宋体" w:hAnsi="宋体" w:eastAsia="宋体" w:cs="宋体"/>
          <w:sz w:val="24"/>
        </w:rPr>
      </w:pPr>
      <w:r>
        <w:rPr>
          <w:rFonts w:hint="eastAsia" w:ascii="宋体" w:hAnsi="宋体" w:eastAsia="宋体" w:cs="宋体"/>
          <w:sz w:val="24"/>
        </w:rPr>
        <w:t>1、投标人应仔细阅读操作手册，在本公告中要求的截止时间前完成网上投标文件的递交等工作。因投标人操作不当等问题造成的无法下载采购文件、无法投标等一切后果，由投标人自行承担；</w:t>
      </w:r>
    </w:p>
    <w:p w14:paraId="1B008614">
      <w:pPr>
        <w:spacing w:line="460" w:lineRule="exact"/>
        <w:ind w:firstLine="480"/>
        <w:rPr>
          <w:rFonts w:ascii="宋体" w:hAnsi="宋体" w:eastAsia="宋体" w:cs="宋体"/>
          <w:sz w:val="24"/>
        </w:rPr>
      </w:pPr>
      <w:r>
        <w:rPr>
          <w:rFonts w:hint="eastAsia" w:ascii="宋体" w:hAnsi="宋体" w:eastAsia="宋体" w:cs="宋体"/>
          <w:sz w:val="24"/>
        </w:rPr>
        <w:t>2、投标人递交的投标文件不论中标与否均不予退还；</w:t>
      </w:r>
    </w:p>
    <w:p w14:paraId="5782A42D">
      <w:pPr>
        <w:spacing w:line="460" w:lineRule="exact"/>
        <w:ind w:firstLine="480"/>
        <w:rPr>
          <w:rFonts w:ascii="宋体" w:hAnsi="宋体" w:eastAsia="宋体" w:cs="宋体"/>
          <w:sz w:val="24"/>
        </w:rPr>
      </w:pPr>
      <w:r>
        <w:rPr>
          <w:rFonts w:hint="eastAsia" w:ascii="宋体" w:hAnsi="宋体" w:eastAsia="宋体" w:cs="宋体"/>
          <w:sz w:val="24"/>
        </w:rPr>
        <w:t>3、开标所发生的一切费用由投标人自行承担，并承担相应的风险和责任；</w:t>
      </w:r>
    </w:p>
    <w:p w14:paraId="59D403A0">
      <w:pPr>
        <w:spacing w:line="460" w:lineRule="exact"/>
        <w:ind w:firstLine="480"/>
        <w:rPr>
          <w:rFonts w:ascii="宋体" w:hAnsi="宋体" w:eastAsia="宋体" w:cs="宋体"/>
          <w:sz w:val="24"/>
        </w:rPr>
      </w:pPr>
      <w:r>
        <w:rPr>
          <w:rFonts w:hint="eastAsia" w:ascii="宋体" w:hAnsi="宋体" w:eastAsia="宋体" w:cs="宋体"/>
          <w:sz w:val="24"/>
        </w:rPr>
        <w:t>4、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F10F560">
      <w:pPr>
        <w:spacing w:line="460" w:lineRule="exact"/>
        <w:ind w:firstLine="480"/>
        <w:rPr>
          <w:rFonts w:ascii="宋体" w:hAnsi="宋体" w:eastAsia="宋体" w:cs="宋体"/>
          <w:sz w:val="24"/>
        </w:rPr>
      </w:pPr>
      <w:r>
        <w:rPr>
          <w:rFonts w:hint="eastAsia" w:ascii="宋体" w:hAnsi="宋体" w:eastAsia="宋体" w:cs="宋体"/>
          <w:sz w:val="24"/>
        </w:rPr>
        <w:t>5、根据《河南省财政厅关于优化政府采购营商环境有关问题的通知》（豫财购【2019】4号）第6条的规定，磋商保证金不再收取。供应商应以承诺函的形式替代保证金，承诺函应明确承诺事项及违背承诺的责任。</w:t>
      </w:r>
    </w:p>
    <w:p w14:paraId="65757976">
      <w:pPr>
        <w:widowControl/>
        <w:spacing w:line="460" w:lineRule="exact"/>
        <w:ind w:firstLine="482"/>
        <w:rPr>
          <w:rFonts w:ascii="宋体" w:hAnsi="宋体" w:eastAsia="宋体" w:cs="宋体"/>
          <w:b/>
          <w:sz w:val="24"/>
        </w:rPr>
      </w:pPr>
      <w:r>
        <w:rPr>
          <w:rFonts w:hint="eastAsia" w:ascii="宋体" w:hAnsi="宋体" w:eastAsia="宋体" w:cs="宋体"/>
          <w:b/>
          <w:sz w:val="24"/>
        </w:rPr>
        <w:t>八、联系方式</w:t>
      </w:r>
    </w:p>
    <w:p w14:paraId="319788FB">
      <w:pPr>
        <w:widowControl/>
        <w:spacing w:line="460" w:lineRule="exact"/>
        <w:ind w:right="-260" w:firstLine="480"/>
        <w:jc w:val="left"/>
        <w:rPr>
          <w:rFonts w:hint="eastAsia" w:ascii="宋体" w:hAnsi="宋体" w:eastAsia="宋体" w:cs="宋体"/>
          <w:sz w:val="24"/>
          <w:lang w:eastAsia="zh-CN"/>
        </w:rPr>
      </w:pPr>
      <w:r>
        <w:rPr>
          <w:rFonts w:hint="eastAsia" w:ascii="宋体" w:hAnsi="宋体" w:eastAsia="宋体" w:cs="宋体"/>
          <w:bCs/>
          <w:sz w:val="24"/>
        </w:rPr>
        <w:t>1、采购人：</w:t>
      </w:r>
      <w:r>
        <w:rPr>
          <w:rFonts w:hint="eastAsia" w:ascii="宋体" w:hAnsi="宋体" w:eastAsia="宋体" w:cs="宋体"/>
          <w:sz w:val="24"/>
          <w:lang w:eastAsia="zh-CN"/>
        </w:rPr>
        <w:t>义马市文化广电和旅游局</w:t>
      </w:r>
    </w:p>
    <w:p w14:paraId="07C668AD">
      <w:pPr>
        <w:widowControl/>
        <w:spacing w:line="460" w:lineRule="exact"/>
        <w:ind w:right="-260" w:firstLine="480"/>
        <w:jc w:val="left"/>
        <w:rPr>
          <w:rFonts w:hint="eastAsia" w:ascii="宋体" w:hAnsi="宋体" w:eastAsia="宋体" w:cs="宋体"/>
          <w:bCs/>
          <w:sz w:val="24"/>
          <w:lang w:val="en-US" w:eastAsia="zh-CN"/>
        </w:rPr>
      </w:pPr>
      <w:r>
        <w:rPr>
          <w:rFonts w:hint="eastAsia" w:ascii="宋体" w:hAnsi="宋体" w:eastAsia="宋体" w:cs="宋体"/>
          <w:bCs/>
          <w:sz w:val="24"/>
        </w:rPr>
        <w:t>地址：</w:t>
      </w:r>
      <w:r>
        <w:rPr>
          <w:rFonts w:hint="eastAsia" w:ascii="宋体" w:hAnsi="宋体" w:eastAsia="宋体" w:cs="宋体"/>
          <w:bCs/>
          <w:sz w:val="24"/>
          <w:lang w:eastAsia="zh-CN"/>
        </w:rPr>
        <w:t>义马市珠江路中段文化城</w:t>
      </w:r>
    </w:p>
    <w:p w14:paraId="0E11C733">
      <w:pPr>
        <w:widowControl/>
        <w:spacing w:line="460" w:lineRule="exact"/>
        <w:ind w:right="-260" w:firstLine="480" w:firstLineChars="200"/>
        <w:jc w:val="left"/>
        <w:rPr>
          <w:rFonts w:hint="eastAsia" w:ascii="宋体" w:hAnsi="宋体" w:eastAsia="宋体" w:cs="宋体"/>
          <w:bCs/>
          <w:sz w:val="24"/>
          <w:lang w:eastAsia="zh-CN"/>
        </w:rPr>
      </w:pPr>
      <w:r>
        <w:rPr>
          <w:rFonts w:hint="eastAsia" w:ascii="宋体" w:hAnsi="宋体" w:eastAsia="宋体" w:cs="宋体"/>
          <w:bCs/>
          <w:sz w:val="24"/>
        </w:rPr>
        <w:t>联系人：</w:t>
      </w:r>
      <w:r>
        <w:rPr>
          <w:rFonts w:hint="eastAsia" w:ascii="宋体" w:hAnsi="宋体" w:eastAsia="宋体" w:cs="宋体"/>
          <w:bCs/>
          <w:sz w:val="24"/>
          <w:lang w:eastAsia="zh-CN"/>
        </w:rPr>
        <w:t>张先生</w:t>
      </w:r>
      <w:r>
        <w:rPr>
          <w:rFonts w:hint="eastAsia" w:ascii="宋体" w:hAnsi="宋体" w:eastAsia="宋体" w:cs="宋体"/>
          <w:bCs/>
          <w:sz w:val="24"/>
        </w:rPr>
        <w:t xml:space="preserve">    电话：</w:t>
      </w:r>
      <w:r>
        <w:rPr>
          <w:rFonts w:hint="eastAsia" w:ascii="宋体" w:hAnsi="宋体" w:eastAsia="宋体" w:cs="宋体"/>
          <w:bCs/>
          <w:sz w:val="24"/>
          <w:lang w:eastAsia="zh-CN"/>
        </w:rPr>
        <w:t>19293985160</w:t>
      </w:r>
    </w:p>
    <w:p w14:paraId="15D5E1D9">
      <w:pPr>
        <w:spacing w:line="460" w:lineRule="exact"/>
        <w:ind w:firstLine="480" w:firstLineChars="200"/>
        <w:rPr>
          <w:rFonts w:ascii="宋体" w:hAnsi="宋体" w:eastAsia="宋体" w:cs="宋体"/>
          <w:bCs/>
          <w:sz w:val="24"/>
        </w:rPr>
      </w:pPr>
      <w:r>
        <w:rPr>
          <w:rFonts w:hint="eastAsia" w:ascii="宋体" w:hAnsi="宋体" w:eastAsia="宋体" w:cs="宋体"/>
          <w:bCs/>
          <w:sz w:val="24"/>
        </w:rPr>
        <w:t>2、代理机构：河南中易顺工程管理有限公司</w:t>
      </w:r>
    </w:p>
    <w:p w14:paraId="61720CD1">
      <w:pPr>
        <w:spacing w:line="460" w:lineRule="exact"/>
        <w:ind w:firstLine="480" w:firstLineChars="200"/>
        <w:rPr>
          <w:rFonts w:hint="default" w:ascii="宋体" w:hAnsi="宋体" w:eastAsia="宋体" w:cs="宋体"/>
          <w:bCs/>
          <w:sz w:val="24"/>
          <w:lang w:val="en-US" w:eastAsia="zh-CN"/>
        </w:rPr>
      </w:pPr>
      <w:r>
        <w:rPr>
          <w:rFonts w:hint="eastAsia" w:ascii="宋体" w:hAnsi="宋体" w:eastAsia="宋体" w:cs="宋体"/>
          <w:bCs/>
          <w:sz w:val="24"/>
        </w:rPr>
        <w:t>地    址：义马市泰山路地税局家属院3单元</w:t>
      </w:r>
      <w:r>
        <w:rPr>
          <w:rFonts w:hint="eastAsia" w:ascii="宋体" w:hAnsi="宋体" w:eastAsia="宋体" w:cs="宋体"/>
          <w:bCs/>
          <w:sz w:val="24"/>
          <w:lang w:val="en-US" w:eastAsia="zh-CN"/>
        </w:rPr>
        <w:t>101</w:t>
      </w:r>
    </w:p>
    <w:p w14:paraId="6503B256">
      <w:pPr>
        <w:widowControl/>
        <w:spacing w:line="460" w:lineRule="exact"/>
        <w:ind w:right="-260" w:firstLine="480"/>
        <w:jc w:val="left"/>
        <w:rPr>
          <w:rFonts w:hint="eastAsia" w:ascii="宋体" w:hAnsi="宋体" w:eastAsia="宋体" w:cs="宋体"/>
          <w:bCs/>
          <w:sz w:val="24"/>
          <w:lang w:eastAsia="zh-CN"/>
        </w:rPr>
      </w:pPr>
      <w:r>
        <w:rPr>
          <w:rFonts w:hint="eastAsia" w:ascii="宋体" w:hAnsi="宋体" w:eastAsia="宋体" w:cs="宋体"/>
          <w:bCs/>
          <w:sz w:val="24"/>
        </w:rPr>
        <w:t>联 系 人：徐女士      联系电话：</w:t>
      </w:r>
      <w:r>
        <w:rPr>
          <w:rFonts w:hint="eastAsia" w:ascii="宋体" w:hAnsi="宋体" w:eastAsia="宋体" w:cs="宋体"/>
          <w:bCs/>
          <w:sz w:val="24"/>
          <w:lang w:eastAsia="zh-CN"/>
        </w:rPr>
        <w:t>15729493569</w:t>
      </w:r>
    </w:p>
    <w:p w14:paraId="1536C58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3、监督单位：义马市财政局政府采购监督管理科</w:t>
      </w:r>
    </w:p>
    <w:p w14:paraId="671C7419">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联系电话：</w:t>
      </w:r>
      <w:r>
        <w:rPr>
          <w:rFonts w:hint="eastAsia" w:ascii="宋体" w:hAnsi="宋体"/>
          <w:sz w:val="24"/>
        </w:rPr>
        <w:t>0398-5832143</w:t>
      </w:r>
      <w:r>
        <w:rPr>
          <w:rFonts w:hint="eastAsia" w:ascii="宋体" w:hAnsi="宋体" w:eastAsia="宋体" w:cs="宋体"/>
          <w:bCs/>
          <w:sz w:val="24"/>
        </w:rPr>
        <w:t xml:space="preserve"> </w:t>
      </w:r>
      <w:bookmarkEnd w:id="6"/>
    </w:p>
    <w:p w14:paraId="25631841">
      <w:pPr>
        <w:widowControl/>
        <w:spacing w:line="460" w:lineRule="exact"/>
        <w:ind w:right="-260" w:firstLine="480"/>
        <w:jc w:val="left"/>
        <w:rPr>
          <w:rFonts w:ascii="宋体" w:hAnsi="宋体" w:eastAsia="宋体" w:cs="宋体"/>
          <w:bCs/>
          <w:sz w:val="24"/>
        </w:rPr>
      </w:pPr>
      <w:r>
        <w:rPr>
          <w:rFonts w:hint="eastAsia" w:ascii="宋体" w:hAnsi="宋体" w:eastAsia="宋体" w:cs="宋体"/>
          <w:bCs/>
          <w:sz w:val="24"/>
        </w:rPr>
        <w:t>4、项目联系方式</w:t>
      </w:r>
    </w:p>
    <w:p w14:paraId="5CC6E328">
      <w:pPr>
        <w:pStyle w:val="22"/>
        <w:ind w:firstLine="480" w:firstLineChars="200"/>
        <w:rPr>
          <w:rFonts w:hint="eastAsia" w:hAnsi="宋体" w:eastAsia="宋体"/>
          <w:color w:val="auto"/>
          <w:lang w:eastAsia="zh-CN"/>
        </w:rPr>
      </w:pPr>
      <w:r>
        <w:rPr>
          <w:rFonts w:hint="eastAsia" w:ascii="宋体" w:hAnsi="宋体" w:eastAsia="宋体" w:cs="宋体"/>
          <w:bCs/>
          <w:sz w:val="24"/>
        </w:rPr>
        <w:t>联 系 人：徐女士      联系电话：</w:t>
      </w:r>
      <w:r>
        <w:rPr>
          <w:rFonts w:hint="eastAsia" w:hAnsi="宋体" w:cs="宋体"/>
          <w:bCs/>
          <w:sz w:val="24"/>
          <w:lang w:eastAsia="zh-CN"/>
        </w:rPr>
        <w:t>15729493569</w:t>
      </w:r>
    </w:p>
    <w:p w14:paraId="0DB7E1AB">
      <w:pPr>
        <w:pStyle w:val="15"/>
        <w:rPr>
          <w:rFonts w:ascii="宋体" w:hAnsi="宋体" w:eastAsia="宋体" w:cs="宋体"/>
          <w:sz w:val="24"/>
          <w:szCs w:val="24"/>
        </w:rPr>
      </w:pPr>
    </w:p>
    <w:p w14:paraId="32F32659">
      <w:pPr>
        <w:widowControl/>
        <w:spacing w:line="480" w:lineRule="exact"/>
        <w:ind w:left="-628" w:leftChars="-299" w:right="1246" w:firstLine="4080" w:firstLineChars="1700"/>
        <w:jc w:val="right"/>
        <w:rPr>
          <w:rFonts w:hint="eastAsia" w:ascii="宋体" w:hAnsi="宋体" w:eastAsia="宋体" w:cs="宋体"/>
          <w:bCs/>
          <w:color w:val="000000"/>
          <w:kern w:val="0"/>
          <w:sz w:val="24"/>
          <w:szCs w:val="24"/>
          <w:lang w:val="en-US" w:eastAsia="zh-CN" w:bidi="ar-SA"/>
        </w:rPr>
      </w:pPr>
      <w:r>
        <w:rPr>
          <w:rFonts w:hint="eastAsia" w:ascii="宋体" w:hAnsi="宋体" w:eastAsia="宋体" w:cs="宋体"/>
          <w:sz w:val="24"/>
        </w:rPr>
        <w:t xml:space="preserve">                 </w:t>
      </w:r>
      <w:r>
        <w:rPr>
          <w:rFonts w:hint="eastAsia" w:ascii="宋体" w:hAnsi="宋体" w:eastAsia="宋体" w:cs="宋体"/>
          <w:sz w:val="24"/>
          <w:lang w:eastAsia="zh-CN"/>
        </w:rPr>
        <w:t xml:space="preserve">义马市文化广电和旅游局 </w:t>
      </w:r>
      <w:r>
        <w:rPr>
          <w:rFonts w:hint="eastAsia" w:ascii="宋体" w:hAnsi="宋体" w:eastAsia="宋体" w:cs="宋体"/>
          <w:sz w:val="24"/>
        </w:rPr>
        <w:t xml:space="preserve">  </w:t>
      </w:r>
      <w:r>
        <w:rPr>
          <w:rFonts w:hint="eastAsia" w:ascii="宋体" w:hAnsi="宋体" w:eastAsia="宋体" w:cs="宋体"/>
          <w:bCs/>
          <w:color w:val="000000"/>
          <w:kern w:val="0"/>
          <w:sz w:val="24"/>
          <w:szCs w:val="24"/>
          <w:lang w:val="en-US" w:eastAsia="zh-CN" w:bidi="ar-SA"/>
        </w:rPr>
        <w:t>2025年11月19日</w:t>
      </w:r>
    </w:p>
    <w:p w14:paraId="7A8C0D65">
      <w:pPr>
        <w:pStyle w:val="3"/>
      </w:pPr>
      <w:r>
        <w:rPr>
          <w:rFonts w:hint="eastAsia" w:ascii="宋体" w:hAnsi="宋体" w:eastAsia="宋体" w:cs="宋体"/>
          <w:color w:val="FF0000"/>
          <w:sz w:val="24"/>
          <w:szCs w:val="24"/>
        </w:rPr>
        <w:br w:type="page"/>
      </w:r>
      <w:bookmarkStart w:id="9" w:name="_Toc5827"/>
      <w:r>
        <w:rPr>
          <w:rFonts w:hint="eastAsia"/>
        </w:rPr>
        <w:t>第二章  投标人须知</w:t>
      </w:r>
      <w:bookmarkEnd w:id="9"/>
    </w:p>
    <w:p w14:paraId="45D73962"/>
    <w:p w14:paraId="0955C35F">
      <w:pPr>
        <w:ind w:firstLine="560"/>
        <w:jc w:val="center"/>
        <w:rPr>
          <w:rFonts w:ascii="宋体" w:hAnsi="宋体" w:eastAsia="宋体" w:cs="宋体"/>
          <w:b/>
          <w:sz w:val="24"/>
        </w:rPr>
      </w:pPr>
      <w:r>
        <w:rPr>
          <w:rFonts w:hint="eastAsia" w:ascii="宋体" w:hAnsi="宋体" w:eastAsia="宋体" w:cs="宋体"/>
          <w:sz w:val="24"/>
        </w:rPr>
        <w:t>投标人须知前附表</w:t>
      </w:r>
    </w:p>
    <w:tbl>
      <w:tblPr>
        <w:tblStyle w:val="19"/>
        <w:tblW w:w="9744" w:type="dxa"/>
        <w:jc w:val="center"/>
        <w:tblLayout w:type="fixed"/>
        <w:tblCellMar>
          <w:top w:w="0" w:type="dxa"/>
          <w:left w:w="108" w:type="dxa"/>
          <w:bottom w:w="0" w:type="dxa"/>
          <w:right w:w="108" w:type="dxa"/>
        </w:tblCellMar>
      </w:tblPr>
      <w:tblGrid>
        <w:gridCol w:w="852"/>
        <w:gridCol w:w="1701"/>
        <w:gridCol w:w="7191"/>
      </w:tblGrid>
      <w:tr w14:paraId="16563655">
        <w:tblPrEx>
          <w:tblCellMar>
            <w:top w:w="0" w:type="dxa"/>
            <w:left w:w="108" w:type="dxa"/>
            <w:bottom w:w="0" w:type="dxa"/>
            <w:right w:w="108" w:type="dxa"/>
          </w:tblCellMar>
        </w:tblPrEx>
        <w:trPr>
          <w:trHeight w:val="463" w:hRule="atLeast"/>
          <w:tblHeader/>
          <w:jc w:val="center"/>
        </w:trPr>
        <w:tc>
          <w:tcPr>
            <w:tcW w:w="852" w:type="dxa"/>
            <w:tcBorders>
              <w:top w:val="single" w:color="000000" w:sz="12" w:space="0"/>
              <w:left w:val="single" w:color="000000" w:sz="12" w:space="0"/>
              <w:bottom w:val="single" w:color="000000" w:sz="6" w:space="0"/>
            </w:tcBorders>
            <w:vAlign w:val="center"/>
          </w:tcPr>
          <w:p w14:paraId="7ACFC854">
            <w:pPr>
              <w:jc w:val="center"/>
              <w:rPr>
                <w:rFonts w:ascii="宋体" w:hAnsi="宋体" w:eastAsia="宋体" w:cs="宋体"/>
                <w:b/>
                <w:sz w:val="24"/>
              </w:rPr>
            </w:pPr>
            <w:r>
              <w:rPr>
                <w:rFonts w:hint="eastAsia" w:ascii="宋体" w:hAnsi="宋体" w:eastAsia="宋体" w:cs="宋体"/>
                <w:b/>
                <w:sz w:val="24"/>
              </w:rPr>
              <w:t>条款号</w:t>
            </w:r>
          </w:p>
        </w:tc>
        <w:tc>
          <w:tcPr>
            <w:tcW w:w="1701" w:type="dxa"/>
            <w:tcBorders>
              <w:top w:val="single" w:color="000000" w:sz="12" w:space="0"/>
              <w:left w:val="single" w:color="000000" w:sz="6" w:space="0"/>
              <w:bottom w:val="single" w:color="000000" w:sz="6" w:space="0"/>
            </w:tcBorders>
            <w:vAlign w:val="center"/>
          </w:tcPr>
          <w:p w14:paraId="2195C8C2">
            <w:pPr>
              <w:jc w:val="center"/>
              <w:rPr>
                <w:rFonts w:ascii="宋体" w:hAnsi="宋体" w:eastAsia="宋体" w:cs="宋体"/>
                <w:b/>
                <w:sz w:val="24"/>
              </w:rPr>
            </w:pPr>
            <w:r>
              <w:rPr>
                <w:rFonts w:hint="eastAsia" w:ascii="宋体" w:hAnsi="宋体" w:eastAsia="宋体" w:cs="宋体"/>
                <w:b/>
                <w:sz w:val="24"/>
              </w:rPr>
              <w:t>条款名称</w:t>
            </w:r>
          </w:p>
        </w:tc>
        <w:tc>
          <w:tcPr>
            <w:tcW w:w="7191" w:type="dxa"/>
            <w:tcBorders>
              <w:top w:val="single" w:color="000000" w:sz="12" w:space="0"/>
              <w:left w:val="single" w:color="000000" w:sz="6" w:space="0"/>
              <w:bottom w:val="single" w:color="000000" w:sz="6" w:space="0"/>
              <w:right w:val="single" w:color="000000" w:sz="12" w:space="0"/>
            </w:tcBorders>
            <w:vAlign w:val="center"/>
          </w:tcPr>
          <w:p w14:paraId="28BB4345">
            <w:pPr>
              <w:spacing w:line="276" w:lineRule="auto"/>
              <w:jc w:val="center"/>
              <w:rPr>
                <w:rFonts w:ascii="宋体" w:hAnsi="宋体" w:eastAsia="宋体" w:cs="宋体"/>
                <w:sz w:val="24"/>
              </w:rPr>
            </w:pPr>
            <w:r>
              <w:rPr>
                <w:rFonts w:hint="eastAsia" w:ascii="宋体" w:hAnsi="宋体" w:eastAsia="宋体" w:cs="宋体"/>
                <w:b/>
                <w:sz w:val="24"/>
              </w:rPr>
              <w:t>编 列 内 容</w:t>
            </w:r>
          </w:p>
        </w:tc>
      </w:tr>
      <w:tr w14:paraId="2A76E4BE">
        <w:tblPrEx>
          <w:tblCellMar>
            <w:top w:w="0" w:type="dxa"/>
            <w:left w:w="108" w:type="dxa"/>
            <w:bottom w:w="0" w:type="dxa"/>
            <w:right w:w="108" w:type="dxa"/>
          </w:tblCellMar>
        </w:tblPrEx>
        <w:trPr>
          <w:trHeight w:val="956" w:hRule="atLeast"/>
          <w:jc w:val="center"/>
        </w:trPr>
        <w:tc>
          <w:tcPr>
            <w:tcW w:w="852" w:type="dxa"/>
            <w:tcBorders>
              <w:top w:val="single" w:color="000000" w:sz="6" w:space="0"/>
              <w:left w:val="single" w:color="000000" w:sz="12" w:space="0"/>
              <w:bottom w:val="single" w:color="000000" w:sz="6" w:space="0"/>
            </w:tcBorders>
            <w:vAlign w:val="center"/>
          </w:tcPr>
          <w:p w14:paraId="2CDF88B0">
            <w:pPr>
              <w:jc w:val="center"/>
              <w:rPr>
                <w:rFonts w:ascii="宋体" w:hAnsi="宋体" w:eastAsia="宋体" w:cs="宋体"/>
                <w:sz w:val="24"/>
              </w:rPr>
            </w:pPr>
            <w:r>
              <w:rPr>
                <w:rFonts w:hint="eastAsia" w:ascii="宋体" w:hAnsi="宋体" w:eastAsia="宋体" w:cs="宋体"/>
                <w:sz w:val="24"/>
              </w:rPr>
              <w:t>1</w:t>
            </w:r>
          </w:p>
        </w:tc>
        <w:tc>
          <w:tcPr>
            <w:tcW w:w="1701" w:type="dxa"/>
            <w:tcBorders>
              <w:top w:val="single" w:color="000000" w:sz="6" w:space="0"/>
              <w:left w:val="single" w:color="000000" w:sz="6" w:space="0"/>
              <w:bottom w:val="single" w:color="000000" w:sz="6" w:space="0"/>
            </w:tcBorders>
            <w:vAlign w:val="center"/>
          </w:tcPr>
          <w:p w14:paraId="19EF7165">
            <w:pPr>
              <w:jc w:val="center"/>
              <w:rPr>
                <w:rFonts w:ascii="宋体" w:hAnsi="宋体" w:eastAsia="宋体" w:cs="宋体"/>
                <w:sz w:val="24"/>
              </w:rPr>
            </w:pPr>
            <w:r>
              <w:rPr>
                <w:rFonts w:hint="eastAsia" w:ascii="宋体" w:hAnsi="宋体" w:eastAsia="宋体" w:cs="宋体"/>
                <w:sz w:val="24"/>
              </w:rPr>
              <w:t>采购人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2659B9A5">
            <w:pPr>
              <w:spacing w:line="276" w:lineRule="auto"/>
              <w:jc w:val="left"/>
              <w:rPr>
                <w:rFonts w:hint="eastAsia" w:ascii="宋体" w:hAnsi="宋体" w:eastAsia="宋体" w:cs="宋体"/>
                <w:sz w:val="24"/>
                <w:lang w:eastAsia="zh-CN"/>
              </w:rPr>
            </w:pPr>
            <w:r>
              <w:rPr>
                <w:rFonts w:hint="eastAsia" w:ascii="宋体" w:hAnsi="宋体" w:eastAsia="宋体" w:cs="宋体"/>
                <w:sz w:val="24"/>
              </w:rPr>
              <w:t>采购人：</w:t>
            </w:r>
            <w:r>
              <w:rPr>
                <w:rFonts w:hint="eastAsia" w:ascii="宋体" w:hAnsi="宋体" w:eastAsia="宋体" w:cs="宋体"/>
                <w:sz w:val="24"/>
                <w:lang w:eastAsia="zh-CN"/>
              </w:rPr>
              <w:t>义马市文化广电和旅游局</w:t>
            </w:r>
          </w:p>
          <w:p w14:paraId="7F3B891F">
            <w:pPr>
              <w:spacing w:line="276" w:lineRule="auto"/>
              <w:jc w:val="left"/>
              <w:rPr>
                <w:rFonts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eastAsia="zh-CN"/>
              </w:rPr>
              <w:t>张先生</w:t>
            </w:r>
            <w:r>
              <w:rPr>
                <w:rFonts w:hint="eastAsia" w:ascii="宋体" w:hAnsi="宋体" w:eastAsia="宋体" w:cs="宋体"/>
                <w:sz w:val="24"/>
              </w:rPr>
              <w:t xml:space="preserve">    电话：</w:t>
            </w:r>
            <w:r>
              <w:rPr>
                <w:rFonts w:hint="eastAsia" w:ascii="宋体" w:hAnsi="宋体" w:eastAsia="宋体" w:cs="宋体"/>
                <w:sz w:val="24"/>
                <w:lang w:eastAsia="zh-CN"/>
              </w:rPr>
              <w:t>19293985160</w:t>
            </w:r>
          </w:p>
        </w:tc>
      </w:tr>
      <w:tr w14:paraId="6FF301A3">
        <w:tblPrEx>
          <w:tblCellMar>
            <w:top w:w="0" w:type="dxa"/>
            <w:left w:w="108" w:type="dxa"/>
            <w:bottom w:w="0" w:type="dxa"/>
            <w:right w:w="108" w:type="dxa"/>
          </w:tblCellMar>
        </w:tblPrEx>
        <w:trPr>
          <w:trHeight w:val="1025" w:hRule="atLeast"/>
          <w:jc w:val="center"/>
        </w:trPr>
        <w:tc>
          <w:tcPr>
            <w:tcW w:w="852" w:type="dxa"/>
            <w:tcBorders>
              <w:top w:val="single" w:color="000000" w:sz="6" w:space="0"/>
              <w:left w:val="single" w:color="000000" w:sz="12" w:space="0"/>
              <w:bottom w:val="single" w:color="000000" w:sz="6" w:space="0"/>
            </w:tcBorders>
            <w:vAlign w:val="center"/>
          </w:tcPr>
          <w:p w14:paraId="3CAFF907">
            <w:pPr>
              <w:jc w:val="center"/>
              <w:rPr>
                <w:rFonts w:ascii="宋体" w:hAnsi="宋体" w:eastAsia="宋体" w:cs="宋体"/>
                <w:sz w:val="24"/>
              </w:rPr>
            </w:pPr>
            <w:r>
              <w:rPr>
                <w:rFonts w:hint="eastAsia" w:ascii="宋体" w:hAnsi="宋体" w:eastAsia="宋体" w:cs="宋体"/>
                <w:sz w:val="24"/>
              </w:rPr>
              <w:t>2</w:t>
            </w:r>
          </w:p>
        </w:tc>
        <w:tc>
          <w:tcPr>
            <w:tcW w:w="1701" w:type="dxa"/>
            <w:tcBorders>
              <w:top w:val="single" w:color="000000" w:sz="6" w:space="0"/>
              <w:left w:val="single" w:color="000000" w:sz="6" w:space="0"/>
              <w:bottom w:val="single" w:color="000000" w:sz="6" w:space="0"/>
            </w:tcBorders>
            <w:vAlign w:val="center"/>
          </w:tcPr>
          <w:p w14:paraId="0390A058">
            <w:pPr>
              <w:jc w:val="center"/>
              <w:rPr>
                <w:rFonts w:ascii="宋体" w:hAnsi="宋体" w:eastAsia="宋体" w:cs="宋体"/>
                <w:sz w:val="24"/>
              </w:rPr>
            </w:pPr>
            <w:r>
              <w:rPr>
                <w:rFonts w:hint="eastAsia" w:ascii="宋体" w:hAnsi="宋体" w:eastAsia="宋体" w:cs="宋体"/>
                <w:sz w:val="24"/>
              </w:rPr>
              <w:t>代理机构</w:t>
            </w:r>
          </w:p>
        </w:tc>
        <w:tc>
          <w:tcPr>
            <w:tcW w:w="7191" w:type="dxa"/>
            <w:tcBorders>
              <w:top w:val="single" w:color="000000" w:sz="6" w:space="0"/>
              <w:left w:val="single" w:color="000000" w:sz="6" w:space="0"/>
              <w:bottom w:val="single" w:color="000000" w:sz="6" w:space="0"/>
              <w:right w:val="single" w:color="000000" w:sz="12" w:space="0"/>
            </w:tcBorders>
            <w:vAlign w:val="center"/>
          </w:tcPr>
          <w:p w14:paraId="30A7949B">
            <w:pPr>
              <w:spacing w:line="460" w:lineRule="exact"/>
              <w:rPr>
                <w:rFonts w:ascii="宋体" w:hAnsi="宋体" w:eastAsia="宋体" w:cs="宋体"/>
                <w:bCs/>
                <w:sz w:val="24"/>
              </w:rPr>
            </w:pPr>
            <w:r>
              <w:rPr>
                <w:rFonts w:hint="eastAsia" w:ascii="宋体" w:hAnsi="宋体" w:eastAsia="宋体" w:cs="宋体"/>
                <w:bCs/>
                <w:sz w:val="24"/>
              </w:rPr>
              <w:t>采购代理机构：河南中易顺工程管理有限公司</w:t>
            </w:r>
          </w:p>
          <w:p w14:paraId="6DE21D49">
            <w:pPr>
              <w:spacing w:line="460" w:lineRule="exact"/>
              <w:rPr>
                <w:rFonts w:ascii="宋体" w:hAnsi="宋体" w:eastAsia="宋体" w:cs="宋体"/>
                <w:bCs/>
                <w:sz w:val="24"/>
              </w:rPr>
            </w:pPr>
            <w:r>
              <w:rPr>
                <w:rFonts w:hint="eastAsia" w:ascii="宋体" w:hAnsi="宋体" w:eastAsia="宋体" w:cs="宋体"/>
                <w:bCs/>
                <w:sz w:val="24"/>
              </w:rPr>
              <w:t xml:space="preserve">联系人：徐女士      联系电话：15729493569 </w:t>
            </w:r>
          </w:p>
        </w:tc>
      </w:tr>
      <w:tr w14:paraId="31DECA8A">
        <w:tblPrEx>
          <w:tblCellMar>
            <w:top w:w="0" w:type="dxa"/>
            <w:left w:w="108" w:type="dxa"/>
            <w:bottom w:w="0" w:type="dxa"/>
            <w:right w:w="108" w:type="dxa"/>
          </w:tblCellMar>
        </w:tblPrEx>
        <w:trPr>
          <w:trHeight w:val="908" w:hRule="atLeast"/>
          <w:jc w:val="center"/>
        </w:trPr>
        <w:tc>
          <w:tcPr>
            <w:tcW w:w="852" w:type="dxa"/>
            <w:tcBorders>
              <w:top w:val="single" w:color="000000" w:sz="6" w:space="0"/>
              <w:left w:val="single" w:color="000000" w:sz="12" w:space="0"/>
              <w:bottom w:val="single" w:color="000000" w:sz="6" w:space="0"/>
            </w:tcBorders>
            <w:vAlign w:val="center"/>
          </w:tcPr>
          <w:p w14:paraId="7D9AFF87">
            <w:pPr>
              <w:jc w:val="center"/>
              <w:rPr>
                <w:rFonts w:ascii="宋体" w:hAnsi="宋体" w:eastAsia="宋体" w:cs="宋体"/>
                <w:sz w:val="24"/>
              </w:rPr>
            </w:pPr>
            <w:r>
              <w:rPr>
                <w:rFonts w:hint="eastAsia" w:ascii="宋体" w:hAnsi="宋体" w:eastAsia="宋体" w:cs="宋体"/>
                <w:sz w:val="24"/>
              </w:rPr>
              <w:t>3</w:t>
            </w:r>
          </w:p>
        </w:tc>
        <w:tc>
          <w:tcPr>
            <w:tcW w:w="1701" w:type="dxa"/>
            <w:tcBorders>
              <w:top w:val="single" w:color="000000" w:sz="6" w:space="0"/>
              <w:left w:val="single" w:color="000000" w:sz="6" w:space="0"/>
              <w:bottom w:val="single" w:color="000000" w:sz="6" w:space="0"/>
            </w:tcBorders>
            <w:vAlign w:val="center"/>
          </w:tcPr>
          <w:p w14:paraId="4D5F46C0">
            <w:pPr>
              <w:jc w:val="center"/>
              <w:rPr>
                <w:rFonts w:ascii="宋体" w:hAnsi="宋体" w:eastAsia="宋体" w:cs="宋体"/>
                <w:sz w:val="24"/>
              </w:rPr>
            </w:pPr>
            <w:r>
              <w:rPr>
                <w:rFonts w:hint="eastAsia" w:ascii="宋体" w:hAnsi="宋体" w:eastAsia="宋体" w:cs="宋体"/>
                <w:sz w:val="24"/>
              </w:rPr>
              <w:t>项目名称</w:t>
            </w:r>
          </w:p>
        </w:tc>
        <w:tc>
          <w:tcPr>
            <w:tcW w:w="7191" w:type="dxa"/>
            <w:tcBorders>
              <w:top w:val="single" w:color="000000" w:sz="6" w:space="0"/>
              <w:left w:val="single" w:color="000000" w:sz="6" w:space="0"/>
              <w:bottom w:val="single" w:color="000000" w:sz="6" w:space="0"/>
              <w:right w:val="single" w:color="000000" w:sz="12" w:space="0"/>
            </w:tcBorders>
            <w:vAlign w:val="center"/>
          </w:tcPr>
          <w:p w14:paraId="588616E3">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义马市应急广播体系建设项目</w:t>
            </w:r>
          </w:p>
        </w:tc>
      </w:tr>
      <w:tr w14:paraId="2C053C91">
        <w:tblPrEx>
          <w:tblCellMar>
            <w:top w:w="0" w:type="dxa"/>
            <w:left w:w="108" w:type="dxa"/>
            <w:bottom w:w="0" w:type="dxa"/>
            <w:right w:w="108" w:type="dxa"/>
          </w:tblCellMar>
        </w:tblPrEx>
        <w:trPr>
          <w:trHeight w:val="661" w:hRule="atLeast"/>
          <w:jc w:val="center"/>
        </w:trPr>
        <w:tc>
          <w:tcPr>
            <w:tcW w:w="852" w:type="dxa"/>
            <w:tcBorders>
              <w:top w:val="single" w:color="000000" w:sz="6" w:space="0"/>
              <w:left w:val="single" w:color="000000" w:sz="12" w:space="0"/>
              <w:bottom w:val="single" w:color="000000" w:sz="6" w:space="0"/>
            </w:tcBorders>
            <w:vAlign w:val="center"/>
          </w:tcPr>
          <w:p w14:paraId="7A5B7EA3">
            <w:pPr>
              <w:jc w:val="center"/>
              <w:rPr>
                <w:rFonts w:ascii="宋体" w:hAnsi="宋体" w:eastAsia="宋体" w:cs="宋体"/>
                <w:sz w:val="24"/>
              </w:rPr>
            </w:pPr>
            <w:r>
              <w:rPr>
                <w:rFonts w:hint="eastAsia" w:ascii="宋体" w:hAnsi="宋体" w:eastAsia="宋体" w:cs="宋体"/>
                <w:sz w:val="24"/>
              </w:rPr>
              <w:t>4</w:t>
            </w:r>
          </w:p>
        </w:tc>
        <w:tc>
          <w:tcPr>
            <w:tcW w:w="1701" w:type="dxa"/>
            <w:tcBorders>
              <w:top w:val="single" w:color="000000" w:sz="6" w:space="0"/>
              <w:left w:val="single" w:color="000000" w:sz="6" w:space="0"/>
              <w:bottom w:val="single" w:color="000000" w:sz="6" w:space="0"/>
            </w:tcBorders>
            <w:vAlign w:val="center"/>
          </w:tcPr>
          <w:p w14:paraId="3534E1FC">
            <w:pPr>
              <w:jc w:val="center"/>
              <w:rPr>
                <w:rFonts w:ascii="宋体" w:hAnsi="宋体" w:eastAsia="宋体" w:cs="宋体"/>
                <w:sz w:val="24"/>
              </w:rPr>
            </w:pPr>
            <w:r>
              <w:rPr>
                <w:rFonts w:hint="eastAsia" w:ascii="宋体" w:hAnsi="宋体" w:eastAsia="宋体" w:cs="宋体"/>
                <w:sz w:val="24"/>
              </w:rPr>
              <w:t>预算金额</w:t>
            </w:r>
          </w:p>
        </w:tc>
        <w:tc>
          <w:tcPr>
            <w:tcW w:w="7191" w:type="dxa"/>
            <w:tcBorders>
              <w:top w:val="single" w:color="000000" w:sz="6" w:space="0"/>
              <w:left w:val="single" w:color="000000" w:sz="6" w:space="0"/>
              <w:bottom w:val="single" w:color="000000" w:sz="6" w:space="0"/>
              <w:right w:val="single" w:color="000000" w:sz="12" w:space="0"/>
            </w:tcBorders>
            <w:vAlign w:val="center"/>
          </w:tcPr>
          <w:p w14:paraId="65A91C8D">
            <w:pPr>
              <w:widowControl/>
              <w:spacing w:line="460" w:lineRule="exact"/>
              <w:rPr>
                <w:rFonts w:hint="default" w:ascii="宋体" w:hAnsi="宋体" w:eastAsia="宋体" w:cs="宋体"/>
                <w:sz w:val="24"/>
                <w:lang w:val="en-US" w:eastAsia="zh-CN"/>
              </w:rPr>
            </w:pPr>
            <w:r>
              <w:rPr>
                <w:rFonts w:hint="eastAsia" w:ascii="宋体" w:hAnsi="宋体" w:eastAsia="宋体" w:cs="宋体"/>
                <w:sz w:val="24"/>
                <w:lang w:val="en-US" w:eastAsia="zh-CN"/>
              </w:rPr>
              <w:t>117.986万元</w:t>
            </w:r>
          </w:p>
        </w:tc>
      </w:tr>
      <w:tr w14:paraId="39E43672">
        <w:tblPrEx>
          <w:tblCellMar>
            <w:top w:w="0" w:type="dxa"/>
            <w:left w:w="108" w:type="dxa"/>
            <w:bottom w:w="0" w:type="dxa"/>
            <w:right w:w="108" w:type="dxa"/>
          </w:tblCellMar>
        </w:tblPrEx>
        <w:trPr>
          <w:trHeight w:val="699" w:hRule="atLeast"/>
          <w:jc w:val="center"/>
        </w:trPr>
        <w:tc>
          <w:tcPr>
            <w:tcW w:w="852" w:type="dxa"/>
            <w:tcBorders>
              <w:top w:val="single" w:color="000000" w:sz="6" w:space="0"/>
              <w:left w:val="single" w:color="000000" w:sz="12" w:space="0"/>
              <w:bottom w:val="single" w:color="000000" w:sz="6" w:space="0"/>
            </w:tcBorders>
            <w:vAlign w:val="center"/>
          </w:tcPr>
          <w:p w14:paraId="27D26225">
            <w:pPr>
              <w:jc w:val="center"/>
              <w:rPr>
                <w:rFonts w:ascii="宋体" w:hAnsi="宋体" w:eastAsia="宋体" w:cs="宋体"/>
                <w:sz w:val="24"/>
              </w:rPr>
            </w:pPr>
            <w:r>
              <w:rPr>
                <w:rFonts w:hint="eastAsia" w:ascii="宋体" w:hAnsi="宋体" w:eastAsia="宋体" w:cs="宋体"/>
                <w:sz w:val="24"/>
              </w:rPr>
              <w:t>5</w:t>
            </w:r>
          </w:p>
        </w:tc>
        <w:tc>
          <w:tcPr>
            <w:tcW w:w="1701" w:type="dxa"/>
            <w:tcBorders>
              <w:top w:val="single" w:color="000000" w:sz="6" w:space="0"/>
              <w:left w:val="single" w:color="000000" w:sz="6" w:space="0"/>
              <w:bottom w:val="single" w:color="000000" w:sz="6" w:space="0"/>
            </w:tcBorders>
            <w:vAlign w:val="center"/>
          </w:tcPr>
          <w:p w14:paraId="08E0FA0A">
            <w:pPr>
              <w:jc w:val="center"/>
              <w:rPr>
                <w:rFonts w:ascii="宋体" w:hAnsi="宋体" w:eastAsia="宋体" w:cs="宋体"/>
                <w:sz w:val="24"/>
              </w:rPr>
            </w:pPr>
            <w:r>
              <w:rPr>
                <w:rFonts w:hint="eastAsia" w:ascii="宋体" w:hAnsi="宋体" w:eastAsia="宋体" w:cs="宋体"/>
                <w:sz w:val="24"/>
              </w:rPr>
              <w:t>资金来源</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B45744">
            <w:pPr>
              <w:spacing w:line="276" w:lineRule="auto"/>
              <w:rPr>
                <w:rFonts w:ascii="宋体" w:hAnsi="宋体" w:eastAsia="宋体" w:cs="宋体"/>
                <w:sz w:val="24"/>
              </w:rPr>
            </w:pPr>
            <w:r>
              <w:rPr>
                <w:rFonts w:hint="eastAsia" w:ascii="宋体" w:hAnsi="宋体" w:eastAsia="宋体" w:cs="宋体"/>
                <w:sz w:val="24"/>
                <w:lang w:eastAsia="zh-CN"/>
              </w:rPr>
              <w:t>财政资金</w:t>
            </w:r>
          </w:p>
        </w:tc>
      </w:tr>
      <w:tr w14:paraId="79483958">
        <w:tblPrEx>
          <w:tblCellMar>
            <w:top w:w="0" w:type="dxa"/>
            <w:left w:w="108" w:type="dxa"/>
            <w:bottom w:w="0" w:type="dxa"/>
            <w:right w:w="108" w:type="dxa"/>
          </w:tblCellMar>
        </w:tblPrEx>
        <w:trPr>
          <w:trHeight w:val="683" w:hRule="atLeast"/>
          <w:jc w:val="center"/>
        </w:trPr>
        <w:tc>
          <w:tcPr>
            <w:tcW w:w="852" w:type="dxa"/>
            <w:tcBorders>
              <w:top w:val="single" w:color="000000" w:sz="6" w:space="0"/>
              <w:left w:val="single" w:color="000000" w:sz="12" w:space="0"/>
              <w:bottom w:val="single" w:color="000000" w:sz="6" w:space="0"/>
            </w:tcBorders>
            <w:vAlign w:val="center"/>
          </w:tcPr>
          <w:p w14:paraId="124ED989">
            <w:pPr>
              <w:jc w:val="center"/>
              <w:rPr>
                <w:rFonts w:ascii="宋体" w:hAnsi="宋体" w:eastAsia="宋体" w:cs="宋体"/>
                <w:sz w:val="24"/>
              </w:rPr>
            </w:pPr>
            <w:r>
              <w:rPr>
                <w:rFonts w:hint="eastAsia" w:ascii="宋体" w:hAnsi="宋体" w:eastAsia="宋体" w:cs="宋体"/>
                <w:sz w:val="24"/>
              </w:rPr>
              <w:t>6</w:t>
            </w:r>
          </w:p>
        </w:tc>
        <w:tc>
          <w:tcPr>
            <w:tcW w:w="1701" w:type="dxa"/>
            <w:tcBorders>
              <w:top w:val="single" w:color="000000" w:sz="6" w:space="0"/>
              <w:left w:val="single" w:color="000000" w:sz="6" w:space="0"/>
              <w:bottom w:val="single" w:color="000000" w:sz="6" w:space="0"/>
            </w:tcBorders>
            <w:vAlign w:val="center"/>
          </w:tcPr>
          <w:p w14:paraId="234012E2">
            <w:pPr>
              <w:jc w:val="center"/>
              <w:rPr>
                <w:rFonts w:ascii="宋体" w:hAnsi="宋体" w:eastAsia="宋体" w:cs="宋体"/>
                <w:sz w:val="24"/>
              </w:rPr>
            </w:pPr>
            <w:r>
              <w:rPr>
                <w:rFonts w:hint="eastAsia" w:ascii="宋体" w:hAnsi="宋体"/>
                <w:sz w:val="24"/>
              </w:rPr>
              <w:t>采购方式</w:t>
            </w:r>
          </w:p>
        </w:tc>
        <w:tc>
          <w:tcPr>
            <w:tcW w:w="7191" w:type="dxa"/>
            <w:tcBorders>
              <w:top w:val="single" w:color="000000" w:sz="6" w:space="0"/>
              <w:left w:val="single" w:color="000000" w:sz="6" w:space="0"/>
              <w:bottom w:val="single" w:color="000000" w:sz="6" w:space="0"/>
              <w:right w:val="single" w:color="000000" w:sz="12" w:space="0"/>
            </w:tcBorders>
            <w:vAlign w:val="center"/>
          </w:tcPr>
          <w:p w14:paraId="29CEA13A">
            <w:pPr>
              <w:widowControl/>
              <w:spacing w:line="276" w:lineRule="auto"/>
              <w:rPr>
                <w:rFonts w:ascii="宋体" w:hAnsi="宋体" w:eastAsia="宋体" w:cs="宋体"/>
                <w:sz w:val="24"/>
              </w:rPr>
            </w:pPr>
            <w:r>
              <w:rPr>
                <w:rFonts w:hint="eastAsia" w:ascii="宋体" w:hAnsi="宋体"/>
                <w:sz w:val="24"/>
              </w:rPr>
              <w:t>公开招标</w:t>
            </w:r>
          </w:p>
        </w:tc>
      </w:tr>
      <w:tr w14:paraId="675D1F5D">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tcBorders>
            <w:vAlign w:val="center"/>
          </w:tcPr>
          <w:p w14:paraId="73CF94A0">
            <w:pPr>
              <w:jc w:val="center"/>
              <w:rPr>
                <w:rFonts w:ascii="宋体" w:hAnsi="宋体" w:eastAsia="宋体" w:cs="宋体"/>
                <w:sz w:val="24"/>
              </w:rPr>
            </w:pPr>
            <w:r>
              <w:rPr>
                <w:rFonts w:hint="eastAsia" w:ascii="宋体" w:hAnsi="宋体" w:eastAsia="宋体" w:cs="宋体"/>
                <w:sz w:val="24"/>
              </w:rPr>
              <w:t>7</w:t>
            </w:r>
          </w:p>
        </w:tc>
        <w:tc>
          <w:tcPr>
            <w:tcW w:w="1701" w:type="dxa"/>
            <w:tcBorders>
              <w:top w:val="single" w:color="000000" w:sz="6" w:space="0"/>
              <w:left w:val="single" w:color="000000" w:sz="6" w:space="0"/>
            </w:tcBorders>
            <w:vAlign w:val="center"/>
          </w:tcPr>
          <w:p w14:paraId="7E5A27EC">
            <w:pPr>
              <w:jc w:val="center"/>
              <w:rPr>
                <w:rFonts w:ascii="宋体" w:hAnsi="宋体" w:eastAsia="宋体" w:cs="宋体"/>
                <w:sz w:val="24"/>
              </w:rPr>
            </w:pPr>
            <w:r>
              <w:rPr>
                <w:rFonts w:hint="eastAsia" w:ascii="宋体" w:hAnsi="宋体" w:eastAsia="宋体" w:cs="宋体"/>
                <w:sz w:val="24"/>
              </w:rPr>
              <w:t>项目概况</w:t>
            </w:r>
          </w:p>
        </w:tc>
        <w:tc>
          <w:tcPr>
            <w:tcW w:w="7191" w:type="dxa"/>
            <w:tcBorders>
              <w:top w:val="single" w:color="000000" w:sz="6" w:space="0"/>
              <w:left w:val="single" w:color="000000" w:sz="6" w:space="0"/>
              <w:right w:val="single" w:color="000000" w:sz="12" w:space="0"/>
            </w:tcBorders>
            <w:vAlign w:val="center"/>
          </w:tcPr>
          <w:p w14:paraId="39CCE68A">
            <w:pPr>
              <w:widowControl/>
              <w:adjustRightInd w:val="0"/>
              <w:snapToGrid w:val="0"/>
              <w:spacing w:line="348" w:lineRule="auto"/>
              <w:rPr>
                <w:rFonts w:ascii="宋体" w:hAnsi="宋体" w:eastAsia="宋体" w:cs="宋体"/>
                <w:sz w:val="24"/>
              </w:rPr>
            </w:pPr>
            <w:r>
              <w:rPr>
                <w:rFonts w:hint="eastAsia" w:ascii="宋体" w:hAnsi="宋体" w:eastAsia="宋体" w:cs="宋体"/>
                <w:sz w:val="24"/>
                <w:lang w:eastAsia="zh-CN"/>
              </w:rPr>
              <w:t>义马市应急广播体系建设项目</w:t>
            </w:r>
            <w:r>
              <w:rPr>
                <w:rFonts w:hint="eastAsia" w:ascii="宋体" w:hAnsi="宋体" w:eastAsia="宋体" w:cs="宋体"/>
                <w:sz w:val="24"/>
              </w:rPr>
              <w:t>；主要采购内容为按照《全国应急广播体系建设总体规划》要求</w:t>
            </w:r>
            <w:r>
              <w:rPr>
                <w:rFonts w:hint="eastAsia" w:ascii="宋体" w:hAnsi="宋体" w:eastAsia="宋体" w:cs="宋体"/>
                <w:sz w:val="24"/>
                <w:lang w:eastAsia="zh-CN"/>
              </w:rPr>
              <w:t>，</w:t>
            </w:r>
            <w:r>
              <w:rPr>
                <w:rFonts w:hint="eastAsia" w:ascii="宋体" w:hAnsi="宋体" w:eastAsia="宋体" w:cs="宋体"/>
                <w:sz w:val="24"/>
                <w:lang w:val="en-US" w:eastAsia="zh-CN"/>
              </w:rPr>
              <w:t>参</w:t>
            </w:r>
            <w:r>
              <w:rPr>
                <w:rFonts w:hint="eastAsia" w:ascii="宋体" w:hAnsi="宋体" w:eastAsia="宋体" w:cs="宋体"/>
                <w:sz w:val="24"/>
              </w:rPr>
              <w:t>照信息系统安全等级保护二级，配置必要的软件、服务器、网络、安全等软硬件设备，完善应急广播传输覆盖网络，部署应急广播终端</w:t>
            </w:r>
            <w:r>
              <w:rPr>
                <w:rFonts w:hint="eastAsia" w:ascii="宋体" w:hAnsi="宋体" w:eastAsia="宋体" w:cs="宋体"/>
                <w:sz w:val="24"/>
                <w:lang w:val="en-US" w:eastAsia="zh-CN"/>
              </w:rPr>
              <w:t>等内容。</w:t>
            </w:r>
          </w:p>
        </w:tc>
      </w:tr>
      <w:tr w14:paraId="7F03002B">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2857D3DA">
            <w:pPr>
              <w:jc w:val="center"/>
              <w:rPr>
                <w:rFonts w:ascii="宋体" w:hAnsi="宋体" w:eastAsia="宋体" w:cs="宋体"/>
                <w:sz w:val="24"/>
              </w:rPr>
            </w:pPr>
            <w:r>
              <w:rPr>
                <w:rFonts w:hint="eastAsia" w:ascii="宋体" w:hAnsi="宋体" w:eastAsia="宋体" w:cs="宋体"/>
                <w:sz w:val="24"/>
              </w:rPr>
              <w:t>8</w:t>
            </w:r>
          </w:p>
        </w:tc>
        <w:tc>
          <w:tcPr>
            <w:tcW w:w="1701" w:type="dxa"/>
            <w:tcBorders>
              <w:top w:val="single" w:color="000000" w:sz="6" w:space="0"/>
              <w:left w:val="single" w:color="000000" w:sz="6" w:space="0"/>
              <w:bottom w:val="single" w:color="000000" w:sz="6" w:space="0"/>
            </w:tcBorders>
            <w:shd w:val="clear" w:color="auto" w:fill="auto"/>
            <w:vAlign w:val="center"/>
          </w:tcPr>
          <w:p w14:paraId="7E7BA64F">
            <w:pPr>
              <w:jc w:val="center"/>
              <w:rPr>
                <w:rFonts w:ascii="宋体" w:hAnsi="宋体" w:eastAsia="宋体" w:cs="宋体"/>
                <w:sz w:val="24"/>
              </w:rPr>
            </w:pPr>
            <w:r>
              <w:rPr>
                <w:rFonts w:hint="eastAsia" w:ascii="宋体" w:hAnsi="宋体" w:eastAsia="宋体" w:cs="宋体"/>
                <w:sz w:val="24"/>
              </w:rPr>
              <w:t>交货地点</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7C244891">
            <w:pPr>
              <w:spacing w:line="276" w:lineRule="auto"/>
              <w:rPr>
                <w:rFonts w:ascii="宋体" w:hAnsi="宋体" w:eastAsia="宋体" w:cs="宋体"/>
                <w:sz w:val="24"/>
              </w:rPr>
            </w:pPr>
            <w:r>
              <w:rPr>
                <w:rFonts w:hint="eastAsia" w:ascii="宋体" w:hAnsi="宋体" w:eastAsia="宋体" w:cs="宋体"/>
                <w:sz w:val="24"/>
              </w:rPr>
              <w:t>采购人指定地点</w:t>
            </w:r>
          </w:p>
        </w:tc>
      </w:tr>
      <w:tr w14:paraId="7ABC300C">
        <w:tblPrEx>
          <w:tblCellMar>
            <w:top w:w="0" w:type="dxa"/>
            <w:left w:w="108" w:type="dxa"/>
            <w:bottom w:w="0" w:type="dxa"/>
            <w:right w:w="108" w:type="dxa"/>
          </w:tblCellMar>
        </w:tblPrEx>
        <w:trPr>
          <w:trHeight w:val="623" w:hRule="atLeast"/>
          <w:jc w:val="center"/>
        </w:trPr>
        <w:tc>
          <w:tcPr>
            <w:tcW w:w="852" w:type="dxa"/>
            <w:tcBorders>
              <w:top w:val="single" w:color="000000" w:sz="6" w:space="0"/>
              <w:left w:val="single" w:color="000000" w:sz="12" w:space="0"/>
              <w:bottom w:val="single" w:color="000000" w:sz="6" w:space="0"/>
            </w:tcBorders>
            <w:shd w:val="clear" w:color="auto" w:fill="auto"/>
            <w:vAlign w:val="center"/>
          </w:tcPr>
          <w:p w14:paraId="666F05C2">
            <w:pPr>
              <w:jc w:val="center"/>
              <w:rPr>
                <w:rFonts w:ascii="宋体" w:hAnsi="宋体" w:eastAsia="宋体" w:cs="宋体"/>
                <w:sz w:val="24"/>
              </w:rPr>
            </w:pPr>
            <w:r>
              <w:rPr>
                <w:rFonts w:hint="eastAsia" w:ascii="宋体" w:hAnsi="宋体" w:eastAsia="宋体" w:cs="宋体"/>
                <w:sz w:val="24"/>
              </w:rPr>
              <w:t>9</w:t>
            </w:r>
          </w:p>
        </w:tc>
        <w:tc>
          <w:tcPr>
            <w:tcW w:w="1701" w:type="dxa"/>
            <w:tcBorders>
              <w:top w:val="single" w:color="000000" w:sz="6" w:space="0"/>
              <w:left w:val="single" w:color="000000" w:sz="6" w:space="0"/>
              <w:bottom w:val="single" w:color="000000" w:sz="6" w:space="0"/>
            </w:tcBorders>
            <w:shd w:val="clear" w:color="auto" w:fill="auto"/>
            <w:vAlign w:val="center"/>
          </w:tcPr>
          <w:p w14:paraId="7DD6188B">
            <w:pPr>
              <w:jc w:val="center"/>
              <w:rPr>
                <w:rFonts w:ascii="宋体" w:hAnsi="宋体" w:eastAsia="宋体" w:cs="宋体"/>
                <w:sz w:val="24"/>
              </w:rPr>
            </w:pPr>
            <w:r>
              <w:rPr>
                <w:rFonts w:hint="eastAsia" w:ascii="宋体" w:hAnsi="宋体" w:eastAsia="宋体" w:cs="宋体"/>
                <w:sz w:val="24"/>
              </w:rPr>
              <w:t>交货期限</w:t>
            </w:r>
          </w:p>
        </w:tc>
        <w:tc>
          <w:tcPr>
            <w:tcW w:w="7191" w:type="dxa"/>
            <w:tcBorders>
              <w:top w:val="single" w:color="000000" w:sz="6" w:space="0"/>
              <w:left w:val="single" w:color="000000" w:sz="6" w:space="0"/>
              <w:bottom w:val="single" w:color="000000" w:sz="6" w:space="0"/>
              <w:right w:val="single" w:color="000000" w:sz="12" w:space="0"/>
            </w:tcBorders>
            <w:shd w:val="clear" w:color="auto" w:fill="FFFFFF"/>
            <w:vAlign w:val="center"/>
          </w:tcPr>
          <w:p w14:paraId="368E2588">
            <w:pPr>
              <w:widowControl/>
              <w:spacing w:line="276" w:lineRule="auto"/>
              <w:rPr>
                <w:rFonts w:hint="eastAsia" w:ascii="宋体" w:hAnsi="宋体" w:eastAsia="宋体" w:cs="宋体"/>
                <w:sz w:val="24"/>
                <w:lang w:eastAsia="zh-CN"/>
              </w:rPr>
            </w:pPr>
            <w:r>
              <w:rPr>
                <w:rFonts w:hint="eastAsia" w:ascii="宋体" w:hAnsi="宋体" w:eastAsia="宋体" w:cs="宋体"/>
                <w:sz w:val="24"/>
                <w:lang w:eastAsia="zh-CN"/>
              </w:rPr>
              <w:t>自合同签订后</w:t>
            </w:r>
            <w:r>
              <w:rPr>
                <w:rFonts w:hint="eastAsia" w:ascii="宋体" w:hAnsi="宋体" w:eastAsia="宋体" w:cs="宋体"/>
                <w:sz w:val="24"/>
                <w:lang w:val="en-US" w:eastAsia="zh-CN"/>
              </w:rPr>
              <w:t>30</w:t>
            </w:r>
            <w:r>
              <w:rPr>
                <w:rFonts w:hint="eastAsia" w:ascii="宋体" w:hAnsi="宋体" w:eastAsia="宋体" w:cs="宋体"/>
                <w:sz w:val="24"/>
                <w:lang w:eastAsia="zh-CN"/>
              </w:rPr>
              <w:t>日历天内供货并安装、调试完毕</w:t>
            </w:r>
          </w:p>
        </w:tc>
      </w:tr>
      <w:tr w14:paraId="40E8AA5F">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3C07768">
            <w:pPr>
              <w:jc w:val="center"/>
              <w:rPr>
                <w:rFonts w:ascii="宋体" w:hAnsi="宋体" w:eastAsia="宋体" w:cs="宋体"/>
                <w:sz w:val="24"/>
              </w:rPr>
            </w:pPr>
            <w:r>
              <w:rPr>
                <w:rFonts w:hint="eastAsia" w:ascii="宋体" w:hAnsi="宋体" w:eastAsia="宋体" w:cs="宋体"/>
                <w:sz w:val="24"/>
              </w:rPr>
              <w:t>10</w:t>
            </w:r>
          </w:p>
        </w:tc>
        <w:tc>
          <w:tcPr>
            <w:tcW w:w="1701" w:type="dxa"/>
            <w:tcBorders>
              <w:top w:val="single" w:color="000000" w:sz="6" w:space="0"/>
              <w:left w:val="single" w:color="000000" w:sz="6" w:space="0"/>
              <w:bottom w:val="single" w:color="000000" w:sz="6" w:space="0"/>
            </w:tcBorders>
            <w:vAlign w:val="center"/>
          </w:tcPr>
          <w:p w14:paraId="60BFF913">
            <w:pPr>
              <w:jc w:val="center"/>
              <w:rPr>
                <w:rFonts w:ascii="宋体" w:hAnsi="宋体" w:eastAsia="宋体" w:cs="宋体"/>
                <w:sz w:val="24"/>
              </w:rPr>
            </w:pPr>
            <w:r>
              <w:rPr>
                <w:rFonts w:hint="eastAsia" w:ascii="宋体" w:hAnsi="宋体" w:eastAsia="宋体" w:cs="宋体"/>
                <w:sz w:val="24"/>
              </w:rPr>
              <w:t>质量要求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1E581EF3">
            <w:pPr>
              <w:spacing w:line="276"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4F1D9A5E">
        <w:tblPrEx>
          <w:tblCellMar>
            <w:top w:w="0" w:type="dxa"/>
            <w:left w:w="108" w:type="dxa"/>
            <w:bottom w:w="0" w:type="dxa"/>
            <w:right w:w="108" w:type="dxa"/>
          </w:tblCellMar>
        </w:tblPrEx>
        <w:trPr>
          <w:trHeight w:val="779" w:hRule="atLeast"/>
          <w:jc w:val="center"/>
        </w:trPr>
        <w:tc>
          <w:tcPr>
            <w:tcW w:w="852" w:type="dxa"/>
            <w:tcBorders>
              <w:top w:val="single" w:color="000000" w:sz="6" w:space="0"/>
              <w:left w:val="single" w:color="000000" w:sz="12" w:space="0"/>
              <w:bottom w:val="single" w:color="000000" w:sz="6" w:space="0"/>
            </w:tcBorders>
            <w:vAlign w:val="center"/>
          </w:tcPr>
          <w:p w14:paraId="2999D87E">
            <w:pPr>
              <w:jc w:val="center"/>
              <w:rPr>
                <w:rFonts w:ascii="宋体" w:hAnsi="宋体" w:eastAsia="宋体" w:cs="宋体"/>
                <w:sz w:val="24"/>
              </w:rPr>
            </w:pPr>
            <w:r>
              <w:rPr>
                <w:rFonts w:hint="eastAsia" w:ascii="宋体" w:hAnsi="宋体" w:eastAsia="宋体" w:cs="宋体"/>
                <w:sz w:val="24"/>
              </w:rPr>
              <w:t>11</w:t>
            </w:r>
          </w:p>
        </w:tc>
        <w:tc>
          <w:tcPr>
            <w:tcW w:w="1701" w:type="dxa"/>
            <w:tcBorders>
              <w:top w:val="single" w:color="000000" w:sz="6" w:space="0"/>
              <w:left w:val="single" w:color="000000" w:sz="6" w:space="0"/>
              <w:bottom w:val="single" w:color="000000" w:sz="6" w:space="0"/>
            </w:tcBorders>
            <w:vAlign w:val="center"/>
          </w:tcPr>
          <w:p w14:paraId="4E8972CE">
            <w:pPr>
              <w:jc w:val="center"/>
              <w:rPr>
                <w:rFonts w:ascii="宋体" w:hAnsi="宋体" w:eastAsia="宋体" w:cs="宋体"/>
                <w:sz w:val="24"/>
              </w:rPr>
            </w:pPr>
            <w:r>
              <w:rPr>
                <w:rFonts w:hint="eastAsia" w:ascii="宋体" w:hAnsi="宋体" w:eastAsia="宋体" w:cs="宋体"/>
                <w:sz w:val="24"/>
              </w:rPr>
              <w:t>质保期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2DF42ABB">
            <w:pPr>
              <w:spacing w:line="276" w:lineRule="auto"/>
              <w:rPr>
                <w:rFonts w:ascii="宋体" w:hAnsi="宋体" w:eastAsia="宋体" w:cs="宋体"/>
                <w:sz w:val="24"/>
              </w:rPr>
            </w:pPr>
            <w:r>
              <w:rPr>
                <w:rFonts w:hint="eastAsia" w:ascii="宋体" w:hAnsi="宋体" w:eastAsia="宋体" w:cs="宋体"/>
                <w:sz w:val="24"/>
              </w:rPr>
              <w:t xml:space="preserve"> </w:t>
            </w:r>
            <w:r>
              <w:rPr>
                <w:rFonts w:hint="eastAsia" w:eastAsia="宋体" w:cs="宋体"/>
                <w:sz w:val="24"/>
              </w:rPr>
              <w:t>按国家规定</w:t>
            </w:r>
          </w:p>
        </w:tc>
      </w:tr>
      <w:tr w14:paraId="4755F789">
        <w:tblPrEx>
          <w:tblCellMar>
            <w:top w:w="0" w:type="dxa"/>
            <w:left w:w="108" w:type="dxa"/>
            <w:bottom w:w="0" w:type="dxa"/>
            <w:right w:w="108" w:type="dxa"/>
          </w:tblCellMar>
        </w:tblPrEx>
        <w:trPr>
          <w:trHeight w:val="280" w:hRule="atLeast"/>
          <w:jc w:val="center"/>
        </w:trPr>
        <w:tc>
          <w:tcPr>
            <w:tcW w:w="852" w:type="dxa"/>
            <w:tcBorders>
              <w:top w:val="single" w:color="000000" w:sz="6" w:space="0"/>
              <w:left w:val="single" w:color="000000" w:sz="12" w:space="0"/>
              <w:bottom w:val="single" w:color="000000" w:sz="6" w:space="0"/>
            </w:tcBorders>
            <w:vAlign w:val="center"/>
          </w:tcPr>
          <w:p w14:paraId="7B3B043E">
            <w:pPr>
              <w:jc w:val="center"/>
              <w:rPr>
                <w:rFonts w:ascii="宋体" w:hAnsi="宋体" w:eastAsia="宋体" w:cs="宋体"/>
                <w:sz w:val="24"/>
              </w:rPr>
            </w:pPr>
            <w:r>
              <w:rPr>
                <w:rFonts w:hint="eastAsia" w:ascii="宋体" w:hAnsi="宋体" w:eastAsia="宋体" w:cs="宋体"/>
                <w:sz w:val="24"/>
              </w:rPr>
              <w:t>12</w:t>
            </w:r>
          </w:p>
        </w:tc>
        <w:tc>
          <w:tcPr>
            <w:tcW w:w="1701" w:type="dxa"/>
            <w:tcBorders>
              <w:top w:val="single" w:color="000000" w:sz="6" w:space="0"/>
              <w:left w:val="single" w:color="000000" w:sz="6" w:space="0"/>
              <w:bottom w:val="single" w:color="000000" w:sz="6" w:space="0"/>
            </w:tcBorders>
            <w:vAlign w:val="center"/>
          </w:tcPr>
          <w:p w14:paraId="1FB29761">
            <w:pPr>
              <w:jc w:val="center"/>
              <w:rPr>
                <w:rFonts w:ascii="宋体" w:hAnsi="宋体" w:eastAsia="宋体" w:cs="宋体"/>
                <w:sz w:val="24"/>
              </w:rPr>
            </w:pPr>
            <w:r>
              <w:rPr>
                <w:rFonts w:hint="eastAsia" w:ascii="宋体" w:hAnsi="宋体" w:eastAsia="宋体" w:cs="宋体"/>
                <w:sz w:val="24"/>
              </w:rPr>
              <w:t>投标人资格要求</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5E733E">
            <w:pPr>
              <w:widowControl/>
              <w:spacing w:line="460" w:lineRule="exact"/>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、满足《中华人民共和国政府采购法》第二十二条规定；</w:t>
            </w:r>
          </w:p>
          <w:p w14:paraId="16AD93A7">
            <w:pPr>
              <w:widowControl/>
              <w:spacing w:line="460" w:lineRule="exact"/>
              <w:rPr>
                <w:rFonts w:hint="eastAsia" w:ascii="宋体" w:hAnsi="宋体" w:eastAsia="宋体" w:cs="宋体"/>
                <w:sz w:val="24"/>
              </w:rPr>
            </w:pPr>
            <w:r>
              <w:rPr>
                <w:rFonts w:hint="eastAsia" w:ascii="宋体" w:hAnsi="宋体" w:eastAsia="宋体" w:cs="宋体"/>
                <w:sz w:val="24"/>
              </w:rPr>
              <w:t>2、落实政府采购政策满足的资格要求：支持中小微（监狱、残疾人福利性单位）企业；</w:t>
            </w:r>
          </w:p>
          <w:p w14:paraId="7DA039DC">
            <w:pPr>
              <w:widowControl/>
              <w:spacing w:line="460" w:lineRule="exact"/>
              <w:rPr>
                <w:rFonts w:hint="eastAsia" w:ascii="宋体" w:hAnsi="宋体" w:eastAsia="宋体" w:cs="宋体"/>
                <w:sz w:val="24"/>
              </w:rPr>
            </w:pPr>
            <w:r>
              <w:rPr>
                <w:rFonts w:hint="eastAsia" w:ascii="宋体" w:hAnsi="宋体" w:eastAsia="宋体" w:cs="宋体"/>
                <w:sz w:val="24"/>
              </w:rPr>
              <w:t>3、本项目的特定资格要求：</w:t>
            </w:r>
          </w:p>
          <w:p w14:paraId="06A5CC4B">
            <w:pPr>
              <w:widowControl/>
              <w:spacing w:line="460" w:lineRule="exact"/>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投标人具有有效的营业执照；</w:t>
            </w:r>
          </w:p>
          <w:p w14:paraId="4177886B">
            <w:pPr>
              <w:widowControl/>
              <w:spacing w:line="460" w:lineRule="exact"/>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lang w:val="en-US" w:eastAsia="zh-CN"/>
              </w:rPr>
              <w:t>投标人</w:t>
            </w:r>
            <w:r>
              <w:rPr>
                <w:rFonts w:hint="eastAsia" w:ascii="宋体" w:hAnsi="宋体" w:eastAsia="宋体" w:cs="宋体"/>
                <w:sz w:val="24"/>
              </w:rPr>
              <w:t>出具的本单位无商业贿赂及无不正当竞争行为承诺书；</w:t>
            </w:r>
          </w:p>
          <w:p w14:paraId="1FD19487">
            <w:pPr>
              <w:widowControl/>
              <w:spacing w:line="460" w:lineRule="exac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出具企业、法定代表人</w:t>
            </w:r>
            <w:r>
              <w:rPr>
                <w:rFonts w:hint="eastAsia" w:ascii="宋体" w:hAnsi="宋体" w:eastAsia="宋体" w:cs="宋体"/>
                <w:sz w:val="24"/>
                <w:lang w:eastAsia="zh-CN"/>
              </w:rPr>
              <w:t>（</w:t>
            </w:r>
            <w:r>
              <w:rPr>
                <w:rFonts w:hint="eastAsia" w:ascii="宋体" w:hAnsi="宋体" w:eastAsia="宋体" w:cs="宋体"/>
                <w:sz w:val="24"/>
                <w:lang w:val="en-US" w:eastAsia="zh-CN"/>
              </w:rPr>
              <w:t>或负责人</w:t>
            </w:r>
            <w:r>
              <w:rPr>
                <w:rFonts w:hint="eastAsia" w:ascii="宋体" w:hAnsi="宋体" w:eastAsia="宋体" w:cs="宋体"/>
                <w:sz w:val="24"/>
                <w:lang w:eastAsia="zh-CN"/>
              </w:rPr>
              <w:t>）</w:t>
            </w:r>
            <w:r>
              <w:rPr>
                <w:rFonts w:hint="eastAsia" w:ascii="宋体" w:hAnsi="宋体" w:eastAsia="宋体" w:cs="宋体"/>
                <w:sz w:val="24"/>
              </w:rPr>
              <w:t>的无行贿犯罪记录,在中国裁判文书网查询（提供网页查询截图）或供应商自行承诺（查询时间自公告发布之日起至投标截止时间）；</w:t>
            </w:r>
          </w:p>
          <w:p w14:paraId="324206EF">
            <w:pPr>
              <w:widowControl/>
              <w:spacing w:line="460" w:lineRule="exact"/>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p>
          <w:p w14:paraId="55EA44F3">
            <w:pPr>
              <w:widowControl/>
              <w:spacing w:line="460" w:lineRule="exact"/>
              <w:rPr>
                <w:rFonts w:ascii="宋体" w:hAnsi="宋体" w:eastAsia="宋体" w:cs="宋体"/>
                <w:bCs/>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）本项目不接受联合体投标。</w:t>
            </w:r>
          </w:p>
        </w:tc>
      </w:tr>
      <w:tr w14:paraId="24582738">
        <w:tblPrEx>
          <w:tblCellMar>
            <w:top w:w="0" w:type="dxa"/>
            <w:left w:w="108" w:type="dxa"/>
            <w:bottom w:w="0" w:type="dxa"/>
            <w:right w:w="108" w:type="dxa"/>
          </w:tblCellMar>
        </w:tblPrEx>
        <w:trPr>
          <w:trHeight w:val="508" w:hRule="atLeast"/>
          <w:jc w:val="center"/>
        </w:trPr>
        <w:tc>
          <w:tcPr>
            <w:tcW w:w="852" w:type="dxa"/>
            <w:tcBorders>
              <w:top w:val="single" w:color="000000" w:sz="6" w:space="0"/>
              <w:left w:val="single" w:color="000000" w:sz="12" w:space="0"/>
              <w:bottom w:val="single" w:color="000000" w:sz="6" w:space="0"/>
            </w:tcBorders>
            <w:vAlign w:val="center"/>
          </w:tcPr>
          <w:p w14:paraId="387A9AC3">
            <w:pPr>
              <w:jc w:val="center"/>
              <w:rPr>
                <w:rFonts w:ascii="宋体" w:hAnsi="宋体" w:eastAsia="宋体" w:cs="宋体"/>
                <w:sz w:val="24"/>
              </w:rPr>
            </w:pPr>
            <w:r>
              <w:rPr>
                <w:rFonts w:hint="eastAsia" w:ascii="宋体" w:hAnsi="宋体" w:eastAsia="宋体" w:cs="宋体"/>
                <w:sz w:val="24"/>
              </w:rPr>
              <w:t>13</w:t>
            </w:r>
          </w:p>
        </w:tc>
        <w:tc>
          <w:tcPr>
            <w:tcW w:w="1701" w:type="dxa"/>
            <w:tcBorders>
              <w:top w:val="single" w:color="000000" w:sz="6" w:space="0"/>
              <w:left w:val="single" w:color="000000" w:sz="6" w:space="0"/>
              <w:bottom w:val="single" w:color="000000" w:sz="6" w:space="0"/>
            </w:tcBorders>
            <w:vAlign w:val="center"/>
          </w:tcPr>
          <w:p w14:paraId="3ED252CA">
            <w:pPr>
              <w:jc w:val="center"/>
              <w:rPr>
                <w:rFonts w:ascii="宋体" w:hAnsi="宋体" w:eastAsia="宋体" w:cs="宋体"/>
                <w:sz w:val="24"/>
              </w:rPr>
            </w:pPr>
            <w:r>
              <w:rPr>
                <w:rFonts w:hint="eastAsia" w:ascii="宋体" w:hAnsi="宋体" w:eastAsia="宋体" w:cs="宋体"/>
                <w:sz w:val="24"/>
              </w:rPr>
              <w:t>是否接受联合体投标</w:t>
            </w:r>
          </w:p>
        </w:tc>
        <w:tc>
          <w:tcPr>
            <w:tcW w:w="7191" w:type="dxa"/>
            <w:tcBorders>
              <w:top w:val="single" w:color="000000" w:sz="6" w:space="0"/>
              <w:left w:val="single" w:color="000000" w:sz="6" w:space="0"/>
              <w:bottom w:val="single" w:color="000000" w:sz="6" w:space="0"/>
              <w:right w:val="single" w:color="000000" w:sz="12" w:space="0"/>
            </w:tcBorders>
            <w:vAlign w:val="center"/>
          </w:tcPr>
          <w:p w14:paraId="591C4298">
            <w:pPr>
              <w:spacing w:line="276" w:lineRule="auto"/>
              <w:rPr>
                <w:rFonts w:ascii="宋体" w:hAnsi="宋体" w:eastAsia="宋体" w:cs="宋体"/>
                <w:sz w:val="24"/>
              </w:rPr>
            </w:pPr>
            <w:r>
              <w:rPr>
                <w:rFonts w:hint="eastAsia" w:ascii="宋体" w:hAnsi="宋体" w:eastAsia="宋体" w:cs="宋体"/>
                <w:sz w:val="24"/>
              </w:rPr>
              <w:t>不接受</w:t>
            </w:r>
          </w:p>
        </w:tc>
      </w:tr>
      <w:tr w14:paraId="2F805D4C">
        <w:tblPrEx>
          <w:tblCellMar>
            <w:top w:w="0" w:type="dxa"/>
            <w:left w:w="108" w:type="dxa"/>
            <w:bottom w:w="0" w:type="dxa"/>
            <w:right w:w="108" w:type="dxa"/>
          </w:tblCellMar>
        </w:tblPrEx>
        <w:trPr>
          <w:trHeight w:val="624" w:hRule="atLeast"/>
          <w:jc w:val="center"/>
        </w:trPr>
        <w:tc>
          <w:tcPr>
            <w:tcW w:w="852" w:type="dxa"/>
            <w:tcBorders>
              <w:top w:val="single" w:color="000000" w:sz="6" w:space="0"/>
              <w:left w:val="single" w:color="000000" w:sz="12" w:space="0"/>
              <w:bottom w:val="single" w:color="000000" w:sz="6" w:space="0"/>
            </w:tcBorders>
            <w:vAlign w:val="center"/>
          </w:tcPr>
          <w:p w14:paraId="20E7D56B">
            <w:pPr>
              <w:spacing w:line="280" w:lineRule="exact"/>
              <w:jc w:val="center"/>
              <w:rPr>
                <w:rFonts w:ascii="宋体" w:hAnsi="宋体" w:eastAsia="宋体" w:cs="宋体"/>
                <w:sz w:val="24"/>
              </w:rPr>
            </w:pPr>
            <w:r>
              <w:rPr>
                <w:rFonts w:hint="eastAsia" w:ascii="宋体" w:hAnsi="宋体" w:eastAsia="宋体" w:cs="宋体"/>
                <w:sz w:val="24"/>
              </w:rPr>
              <w:t>14</w:t>
            </w:r>
          </w:p>
        </w:tc>
        <w:tc>
          <w:tcPr>
            <w:tcW w:w="1701" w:type="dxa"/>
            <w:tcBorders>
              <w:top w:val="single" w:color="000000" w:sz="6" w:space="0"/>
              <w:left w:val="single" w:color="000000" w:sz="6" w:space="0"/>
              <w:bottom w:val="single" w:color="000000" w:sz="6" w:space="0"/>
            </w:tcBorders>
            <w:vAlign w:val="center"/>
          </w:tcPr>
          <w:p w14:paraId="6A2A56F4">
            <w:pPr>
              <w:jc w:val="center"/>
              <w:rPr>
                <w:rFonts w:ascii="宋体" w:hAnsi="宋体" w:eastAsia="宋体" w:cs="宋体"/>
                <w:sz w:val="24"/>
              </w:rPr>
            </w:pPr>
            <w:r>
              <w:rPr>
                <w:rFonts w:hint="eastAsia" w:ascii="宋体" w:hAnsi="宋体" w:eastAsia="宋体" w:cs="宋体"/>
                <w:sz w:val="24"/>
              </w:rPr>
              <w:t>投标预备会</w:t>
            </w:r>
          </w:p>
        </w:tc>
        <w:tc>
          <w:tcPr>
            <w:tcW w:w="7191" w:type="dxa"/>
            <w:tcBorders>
              <w:top w:val="single" w:color="000000" w:sz="6" w:space="0"/>
              <w:left w:val="single" w:color="000000" w:sz="6" w:space="0"/>
              <w:bottom w:val="single" w:color="000000" w:sz="6" w:space="0"/>
              <w:right w:val="single" w:color="000000" w:sz="12" w:space="0"/>
            </w:tcBorders>
            <w:vAlign w:val="center"/>
          </w:tcPr>
          <w:p w14:paraId="7BC74756">
            <w:pPr>
              <w:spacing w:line="276" w:lineRule="auto"/>
              <w:jc w:val="left"/>
              <w:rPr>
                <w:rFonts w:ascii="宋体" w:hAnsi="宋体" w:eastAsia="宋体" w:cs="宋体"/>
                <w:sz w:val="24"/>
              </w:rPr>
            </w:pPr>
            <w:r>
              <w:rPr>
                <w:rFonts w:hint="eastAsia" w:ascii="宋体" w:hAnsi="宋体" w:eastAsia="宋体" w:cs="宋体"/>
                <w:sz w:val="24"/>
              </w:rPr>
              <w:t>不召开</w:t>
            </w:r>
          </w:p>
        </w:tc>
      </w:tr>
      <w:tr w14:paraId="072D2A87">
        <w:tblPrEx>
          <w:tblCellMar>
            <w:top w:w="0" w:type="dxa"/>
            <w:left w:w="108" w:type="dxa"/>
            <w:bottom w:w="0" w:type="dxa"/>
            <w:right w:w="108" w:type="dxa"/>
          </w:tblCellMar>
        </w:tblPrEx>
        <w:trPr>
          <w:trHeight w:val="653" w:hRule="atLeast"/>
          <w:jc w:val="center"/>
        </w:trPr>
        <w:tc>
          <w:tcPr>
            <w:tcW w:w="852" w:type="dxa"/>
            <w:tcBorders>
              <w:top w:val="single" w:color="000000" w:sz="6" w:space="0"/>
              <w:left w:val="single" w:color="000000" w:sz="12" w:space="0"/>
              <w:bottom w:val="single" w:color="000000" w:sz="6" w:space="0"/>
            </w:tcBorders>
            <w:vAlign w:val="center"/>
          </w:tcPr>
          <w:p w14:paraId="75B1FE9F">
            <w:pPr>
              <w:spacing w:line="280" w:lineRule="exact"/>
              <w:jc w:val="center"/>
              <w:rPr>
                <w:rFonts w:ascii="宋体" w:hAnsi="宋体" w:eastAsia="宋体" w:cs="宋体"/>
                <w:sz w:val="24"/>
              </w:rPr>
            </w:pPr>
            <w:r>
              <w:rPr>
                <w:rFonts w:hint="eastAsia" w:ascii="宋体" w:hAnsi="宋体" w:eastAsia="宋体" w:cs="宋体"/>
                <w:sz w:val="24"/>
              </w:rPr>
              <w:t>15</w:t>
            </w:r>
          </w:p>
        </w:tc>
        <w:tc>
          <w:tcPr>
            <w:tcW w:w="1701" w:type="dxa"/>
            <w:tcBorders>
              <w:top w:val="single" w:color="000000" w:sz="6" w:space="0"/>
              <w:left w:val="single" w:color="000000" w:sz="6" w:space="0"/>
              <w:bottom w:val="single" w:color="000000" w:sz="6" w:space="0"/>
            </w:tcBorders>
            <w:vAlign w:val="center"/>
          </w:tcPr>
          <w:p w14:paraId="084DF12B">
            <w:pPr>
              <w:jc w:val="center"/>
              <w:rPr>
                <w:rFonts w:ascii="宋体" w:hAnsi="宋体" w:eastAsia="宋体" w:cs="宋体"/>
                <w:sz w:val="24"/>
              </w:rPr>
            </w:pPr>
            <w:r>
              <w:rPr>
                <w:rFonts w:hint="eastAsia" w:ascii="宋体" w:hAnsi="宋体" w:eastAsia="宋体" w:cs="宋体"/>
                <w:sz w:val="24"/>
              </w:rPr>
              <w:t>分包</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C0B1EB">
            <w:pPr>
              <w:spacing w:line="276" w:lineRule="auto"/>
              <w:rPr>
                <w:rFonts w:ascii="宋体" w:hAnsi="宋体" w:eastAsia="宋体" w:cs="宋体"/>
                <w:sz w:val="24"/>
              </w:rPr>
            </w:pPr>
            <w:r>
              <w:rPr>
                <w:rFonts w:hint="eastAsia" w:ascii="宋体" w:hAnsi="宋体" w:eastAsia="宋体" w:cs="宋体"/>
                <w:sz w:val="24"/>
              </w:rPr>
              <w:t>不允许</w:t>
            </w:r>
          </w:p>
        </w:tc>
      </w:tr>
      <w:tr w14:paraId="0DDAAB9D">
        <w:tblPrEx>
          <w:tblCellMar>
            <w:top w:w="0" w:type="dxa"/>
            <w:left w:w="108" w:type="dxa"/>
            <w:bottom w:w="0" w:type="dxa"/>
            <w:right w:w="108" w:type="dxa"/>
          </w:tblCellMar>
        </w:tblPrEx>
        <w:trPr>
          <w:trHeight w:val="732" w:hRule="atLeast"/>
          <w:jc w:val="center"/>
        </w:trPr>
        <w:tc>
          <w:tcPr>
            <w:tcW w:w="852" w:type="dxa"/>
            <w:tcBorders>
              <w:top w:val="single" w:color="000000" w:sz="6" w:space="0"/>
              <w:left w:val="single" w:color="000000" w:sz="12" w:space="0"/>
              <w:bottom w:val="single" w:color="auto" w:sz="4" w:space="0"/>
            </w:tcBorders>
            <w:vAlign w:val="center"/>
          </w:tcPr>
          <w:p w14:paraId="5B12750F">
            <w:pPr>
              <w:spacing w:line="280" w:lineRule="exact"/>
              <w:jc w:val="center"/>
              <w:rPr>
                <w:rFonts w:ascii="宋体" w:hAnsi="宋体" w:eastAsia="宋体" w:cs="宋体"/>
                <w:sz w:val="24"/>
              </w:rPr>
            </w:pPr>
            <w:r>
              <w:rPr>
                <w:rFonts w:hint="eastAsia" w:ascii="宋体" w:hAnsi="宋体" w:eastAsia="宋体" w:cs="宋体"/>
                <w:sz w:val="24"/>
              </w:rPr>
              <w:t>16</w:t>
            </w:r>
          </w:p>
        </w:tc>
        <w:tc>
          <w:tcPr>
            <w:tcW w:w="1701" w:type="dxa"/>
            <w:tcBorders>
              <w:top w:val="single" w:color="000000" w:sz="6" w:space="0"/>
              <w:left w:val="single" w:color="000000" w:sz="6" w:space="0"/>
              <w:bottom w:val="single" w:color="000000" w:sz="6" w:space="0"/>
            </w:tcBorders>
            <w:vAlign w:val="center"/>
          </w:tcPr>
          <w:p w14:paraId="4211F317">
            <w:pPr>
              <w:jc w:val="center"/>
              <w:rPr>
                <w:rFonts w:ascii="宋体" w:hAnsi="宋体" w:eastAsia="宋体" w:cs="宋体"/>
                <w:sz w:val="24"/>
              </w:rPr>
            </w:pPr>
            <w:r>
              <w:rPr>
                <w:rFonts w:hint="eastAsia" w:ascii="宋体" w:hAnsi="宋体" w:eastAsia="宋体" w:cs="宋体"/>
                <w:sz w:val="24"/>
              </w:rPr>
              <w:t>偏离</w:t>
            </w:r>
          </w:p>
        </w:tc>
        <w:tc>
          <w:tcPr>
            <w:tcW w:w="7191" w:type="dxa"/>
            <w:tcBorders>
              <w:top w:val="single" w:color="000000" w:sz="6" w:space="0"/>
              <w:left w:val="single" w:color="000000" w:sz="6" w:space="0"/>
              <w:bottom w:val="single" w:color="000000" w:sz="6" w:space="0"/>
              <w:right w:val="single" w:color="000000" w:sz="12" w:space="0"/>
            </w:tcBorders>
            <w:vAlign w:val="center"/>
          </w:tcPr>
          <w:p w14:paraId="3C637B2A">
            <w:pPr>
              <w:spacing w:line="276" w:lineRule="auto"/>
              <w:rPr>
                <w:rFonts w:ascii="宋体" w:hAnsi="宋体" w:eastAsia="宋体" w:cs="宋体"/>
                <w:sz w:val="24"/>
              </w:rPr>
            </w:pPr>
            <w:r>
              <w:rPr>
                <w:rFonts w:hint="eastAsia" w:ascii="宋体" w:hAnsi="宋体" w:eastAsia="宋体" w:cs="宋体"/>
                <w:sz w:val="24"/>
              </w:rPr>
              <w:t xml:space="preserve">不允许 </w:t>
            </w:r>
          </w:p>
        </w:tc>
      </w:tr>
      <w:tr w14:paraId="0F8FA1A0">
        <w:tblPrEx>
          <w:tblCellMar>
            <w:top w:w="0" w:type="dxa"/>
            <w:left w:w="108" w:type="dxa"/>
            <w:bottom w:w="0" w:type="dxa"/>
            <w:right w:w="108" w:type="dxa"/>
          </w:tblCellMar>
        </w:tblPrEx>
        <w:trPr>
          <w:trHeight w:val="602" w:hRule="atLeast"/>
          <w:jc w:val="center"/>
        </w:trPr>
        <w:tc>
          <w:tcPr>
            <w:tcW w:w="852" w:type="dxa"/>
            <w:tcBorders>
              <w:top w:val="single" w:color="000000" w:sz="6" w:space="0"/>
              <w:left w:val="single" w:color="000000" w:sz="12" w:space="0"/>
              <w:bottom w:val="single" w:color="auto" w:sz="4" w:space="0"/>
            </w:tcBorders>
            <w:vAlign w:val="center"/>
          </w:tcPr>
          <w:p w14:paraId="1039745A">
            <w:pPr>
              <w:spacing w:line="280" w:lineRule="exact"/>
              <w:jc w:val="center"/>
              <w:rPr>
                <w:rFonts w:ascii="宋体" w:hAnsi="宋体" w:eastAsia="宋体" w:cs="宋体"/>
                <w:sz w:val="24"/>
              </w:rPr>
            </w:pPr>
            <w:r>
              <w:rPr>
                <w:rFonts w:hint="eastAsia" w:ascii="宋体" w:hAnsi="宋体" w:eastAsia="宋体" w:cs="宋体"/>
                <w:sz w:val="24"/>
              </w:rPr>
              <w:t>17</w:t>
            </w:r>
          </w:p>
        </w:tc>
        <w:tc>
          <w:tcPr>
            <w:tcW w:w="1701" w:type="dxa"/>
            <w:tcBorders>
              <w:top w:val="single" w:color="000000" w:sz="6" w:space="0"/>
              <w:left w:val="single" w:color="000000" w:sz="6" w:space="0"/>
              <w:bottom w:val="single" w:color="000000" w:sz="6" w:space="0"/>
            </w:tcBorders>
            <w:vAlign w:val="center"/>
          </w:tcPr>
          <w:p w14:paraId="3A957B2B">
            <w:pPr>
              <w:jc w:val="center"/>
              <w:rPr>
                <w:rFonts w:ascii="宋体" w:hAnsi="宋体" w:eastAsia="宋体" w:cs="宋体"/>
                <w:sz w:val="24"/>
              </w:rPr>
            </w:pPr>
            <w:r>
              <w:rPr>
                <w:rFonts w:hint="eastAsia" w:ascii="宋体" w:hAnsi="宋体" w:eastAsia="宋体" w:cs="宋体"/>
                <w:sz w:val="24"/>
              </w:rPr>
              <w:t>投标人提出问题的截止时间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5C8CC392">
            <w:pPr>
              <w:spacing w:line="276" w:lineRule="auto"/>
              <w:rPr>
                <w:rFonts w:ascii="宋体" w:hAnsi="宋体" w:eastAsia="宋体" w:cs="宋体"/>
                <w:sz w:val="24"/>
              </w:rPr>
            </w:pPr>
            <w:r>
              <w:rPr>
                <w:rFonts w:hint="eastAsia" w:ascii="宋体" w:hAnsi="宋体" w:eastAsia="宋体" w:cs="宋体"/>
                <w:sz w:val="24"/>
              </w:rPr>
              <w:t>投标截止时间10天前</w:t>
            </w:r>
          </w:p>
        </w:tc>
      </w:tr>
      <w:tr w14:paraId="0D247077">
        <w:tblPrEx>
          <w:tblCellMar>
            <w:top w:w="0" w:type="dxa"/>
            <w:left w:w="108" w:type="dxa"/>
            <w:bottom w:w="0" w:type="dxa"/>
            <w:right w:w="108" w:type="dxa"/>
          </w:tblCellMar>
        </w:tblPrEx>
        <w:trPr>
          <w:trHeight w:val="592" w:hRule="atLeast"/>
          <w:jc w:val="center"/>
        </w:trPr>
        <w:tc>
          <w:tcPr>
            <w:tcW w:w="852" w:type="dxa"/>
            <w:tcBorders>
              <w:top w:val="single" w:color="000000" w:sz="6" w:space="0"/>
              <w:left w:val="single" w:color="000000" w:sz="12" w:space="0"/>
              <w:bottom w:val="single" w:color="auto" w:sz="4" w:space="0"/>
            </w:tcBorders>
            <w:vAlign w:val="center"/>
          </w:tcPr>
          <w:p w14:paraId="27889F31">
            <w:pPr>
              <w:spacing w:line="280" w:lineRule="exact"/>
              <w:jc w:val="center"/>
              <w:rPr>
                <w:rFonts w:ascii="宋体" w:hAnsi="宋体" w:eastAsia="宋体" w:cs="宋体"/>
                <w:sz w:val="24"/>
              </w:rPr>
            </w:pPr>
            <w:r>
              <w:rPr>
                <w:rFonts w:hint="eastAsia" w:ascii="宋体" w:hAnsi="宋体" w:eastAsia="宋体" w:cs="宋体"/>
                <w:sz w:val="24"/>
              </w:rPr>
              <w:t>18</w:t>
            </w:r>
          </w:p>
        </w:tc>
        <w:tc>
          <w:tcPr>
            <w:tcW w:w="1701" w:type="dxa"/>
            <w:tcBorders>
              <w:top w:val="single" w:color="000000" w:sz="6" w:space="0"/>
              <w:left w:val="single" w:color="000000" w:sz="6" w:space="0"/>
              <w:bottom w:val="single" w:color="000000" w:sz="6" w:space="0"/>
            </w:tcBorders>
            <w:vAlign w:val="center"/>
          </w:tcPr>
          <w:p w14:paraId="78511240">
            <w:pPr>
              <w:jc w:val="center"/>
              <w:rPr>
                <w:rFonts w:ascii="宋体" w:hAnsi="宋体" w:eastAsia="宋体" w:cs="宋体"/>
                <w:sz w:val="24"/>
              </w:rPr>
            </w:pPr>
            <w:r>
              <w:rPr>
                <w:rFonts w:hint="eastAsia" w:ascii="宋体" w:hAnsi="宋体" w:eastAsia="宋体" w:cs="宋体"/>
                <w:sz w:val="24"/>
              </w:rPr>
              <w:t>采购人澄清的时间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1D3A68E4">
            <w:pPr>
              <w:spacing w:line="276" w:lineRule="auto"/>
              <w:rPr>
                <w:rFonts w:ascii="宋体" w:hAnsi="宋体" w:eastAsia="宋体" w:cs="宋体"/>
                <w:sz w:val="24"/>
              </w:rPr>
            </w:pPr>
            <w:r>
              <w:rPr>
                <w:rFonts w:hint="eastAsia" w:ascii="宋体" w:hAnsi="宋体" w:cs="宋体"/>
                <w:sz w:val="24"/>
              </w:rPr>
              <w:t>投标截止15日前</w:t>
            </w:r>
          </w:p>
        </w:tc>
      </w:tr>
      <w:tr w14:paraId="5849AD4A">
        <w:tblPrEx>
          <w:tblCellMar>
            <w:top w:w="0" w:type="dxa"/>
            <w:left w:w="108" w:type="dxa"/>
            <w:bottom w:w="0" w:type="dxa"/>
            <w:right w:w="108" w:type="dxa"/>
          </w:tblCellMar>
        </w:tblPrEx>
        <w:trPr>
          <w:trHeight w:val="840" w:hRule="atLeast"/>
          <w:jc w:val="center"/>
        </w:trPr>
        <w:tc>
          <w:tcPr>
            <w:tcW w:w="852" w:type="dxa"/>
            <w:tcBorders>
              <w:top w:val="single" w:color="auto" w:sz="4" w:space="0"/>
              <w:left w:val="single" w:color="000000" w:sz="12" w:space="0"/>
              <w:bottom w:val="single" w:color="000000" w:sz="6" w:space="0"/>
            </w:tcBorders>
            <w:vAlign w:val="center"/>
          </w:tcPr>
          <w:p w14:paraId="60444A66">
            <w:pPr>
              <w:spacing w:line="280" w:lineRule="exact"/>
              <w:jc w:val="center"/>
              <w:rPr>
                <w:rFonts w:ascii="宋体" w:hAnsi="宋体" w:eastAsia="宋体" w:cs="宋体"/>
                <w:sz w:val="24"/>
              </w:rPr>
            </w:pPr>
            <w:r>
              <w:rPr>
                <w:rFonts w:hint="eastAsia" w:ascii="宋体" w:hAnsi="宋体" w:eastAsia="宋体" w:cs="宋体"/>
                <w:sz w:val="24"/>
              </w:rPr>
              <w:t>19</w:t>
            </w:r>
          </w:p>
        </w:tc>
        <w:tc>
          <w:tcPr>
            <w:tcW w:w="1701" w:type="dxa"/>
            <w:tcBorders>
              <w:top w:val="single" w:color="000000" w:sz="6" w:space="0"/>
              <w:left w:val="single" w:color="000000" w:sz="6" w:space="0"/>
              <w:bottom w:val="single" w:color="000000" w:sz="6" w:space="0"/>
            </w:tcBorders>
            <w:vAlign w:val="center"/>
          </w:tcPr>
          <w:p w14:paraId="5DD5F676">
            <w:pPr>
              <w:jc w:val="center"/>
              <w:rPr>
                <w:rFonts w:ascii="宋体" w:hAnsi="宋体" w:eastAsia="宋体" w:cs="宋体"/>
                <w:sz w:val="24"/>
              </w:rPr>
            </w:pPr>
            <w:r>
              <w:rPr>
                <w:rFonts w:hint="eastAsia" w:ascii="宋体" w:hAnsi="宋体" w:eastAsia="宋体" w:cs="宋体"/>
                <w:sz w:val="24"/>
              </w:rPr>
              <w:t>构成招标文件的其他材料</w:t>
            </w:r>
          </w:p>
        </w:tc>
        <w:tc>
          <w:tcPr>
            <w:tcW w:w="7191" w:type="dxa"/>
            <w:tcBorders>
              <w:top w:val="single" w:color="000000" w:sz="6" w:space="0"/>
              <w:left w:val="single" w:color="000000" w:sz="6" w:space="0"/>
              <w:bottom w:val="single" w:color="000000" w:sz="6" w:space="0"/>
              <w:right w:val="single" w:color="000000" w:sz="12" w:space="0"/>
            </w:tcBorders>
            <w:vAlign w:val="center"/>
          </w:tcPr>
          <w:p w14:paraId="5367482C">
            <w:pPr>
              <w:spacing w:line="276" w:lineRule="auto"/>
              <w:rPr>
                <w:rFonts w:ascii="宋体" w:hAnsi="宋体" w:eastAsia="宋体" w:cs="宋体"/>
                <w:sz w:val="24"/>
              </w:rPr>
            </w:pPr>
            <w:r>
              <w:rPr>
                <w:rFonts w:hint="eastAsia" w:ascii="宋体" w:hAnsi="宋体" w:eastAsia="宋体" w:cs="宋体"/>
                <w:sz w:val="24"/>
              </w:rPr>
              <w:t>根据第2章第2.2款和第2.3款对招标文件所作的澄清、修改，构成招标文件的组成部分。</w:t>
            </w:r>
          </w:p>
        </w:tc>
      </w:tr>
      <w:tr w14:paraId="523DA767">
        <w:tblPrEx>
          <w:tblCellMar>
            <w:top w:w="0" w:type="dxa"/>
            <w:left w:w="108" w:type="dxa"/>
            <w:bottom w:w="0" w:type="dxa"/>
            <w:right w:w="108" w:type="dxa"/>
          </w:tblCellMar>
        </w:tblPrEx>
        <w:trPr>
          <w:trHeight w:val="450" w:hRule="atLeast"/>
          <w:jc w:val="center"/>
        </w:trPr>
        <w:tc>
          <w:tcPr>
            <w:tcW w:w="852" w:type="dxa"/>
            <w:tcBorders>
              <w:top w:val="single" w:color="000000" w:sz="6" w:space="0"/>
              <w:left w:val="single" w:color="000000" w:sz="12" w:space="0"/>
              <w:bottom w:val="single" w:color="000000" w:sz="6" w:space="0"/>
            </w:tcBorders>
            <w:vAlign w:val="center"/>
          </w:tcPr>
          <w:p w14:paraId="7388B9C2">
            <w:pPr>
              <w:spacing w:line="280" w:lineRule="exact"/>
              <w:jc w:val="center"/>
              <w:rPr>
                <w:rFonts w:ascii="宋体" w:hAnsi="宋体" w:eastAsia="宋体" w:cs="宋体"/>
                <w:sz w:val="24"/>
              </w:rPr>
            </w:pPr>
            <w:r>
              <w:rPr>
                <w:rFonts w:hint="eastAsia" w:ascii="宋体" w:hAnsi="宋体" w:eastAsia="宋体" w:cs="宋体"/>
                <w:sz w:val="24"/>
              </w:rPr>
              <w:t>20</w:t>
            </w:r>
          </w:p>
        </w:tc>
        <w:tc>
          <w:tcPr>
            <w:tcW w:w="1701" w:type="dxa"/>
            <w:tcBorders>
              <w:top w:val="single" w:color="000000" w:sz="6" w:space="0"/>
              <w:left w:val="single" w:color="000000" w:sz="6" w:space="0"/>
              <w:bottom w:val="single" w:color="000000" w:sz="6" w:space="0"/>
            </w:tcBorders>
            <w:vAlign w:val="center"/>
          </w:tcPr>
          <w:p w14:paraId="76BBDE29">
            <w:pPr>
              <w:wordWrap w:val="0"/>
              <w:spacing w:line="360" w:lineRule="auto"/>
              <w:rPr>
                <w:rFonts w:ascii="宋体" w:hAnsi="宋体" w:eastAsia="宋体" w:cs="宋体"/>
                <w:sz w:val="24"/>
              </w:rPr>
            </w:pPr>
            <w:r>
              <w:rPr>
                <w:rFonts w:hint="eastAsia" w:ascii="宋体" w:hAnsi="宋体" w:cs="宋体"/>
                <w:sz w:val="24"/>
              </w:rPr>
              <w:t>采购人答复质疑的时间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259A2097">
            <w:pPr>
              <w:adjustRightInd w:val="0"/>
              <w:snapToGrid w:val="0"/>
              <w:spacing w:line="336" w:lineRule="auto"/>
              <w:rPr>
                <w:rFonts w:ascii="宋体" w:hAnsi="宋体" w:eastAsia="宋体" w:cs="宋体"/>
                <w:sz w:val="24"/>
              </w:rPr>
            </w:pPr>
            <w:r>
              <w:rPr>
                <w:rFonts w:hint="eastAsia" w:ascii="宋体" w:hAnsi="宋体" w:cs="宋体"/>
                <w:sz w:val="24"/>
              </w:rPr>
              <w:t>采购人应当在收到投标人的质疑后七个工作日内作出答复</w:t>
            </w:r>
          </w:p>
        </w:tc>
      </w:tr>
      <w:tr w14:paraId="6A642ED9">
        <w:tblPrEx>
          <w:tblCellMar>
            <w:top w:w="0" w:type="dxa"/>
            <w:left w:w="108" w:type="dxa"/>
            <w:bottom w:w="0" w:type="dxa"/>
            <w:right w:w="108" w:type="dxa"/>
          </w:tblCellMar>
        </w:tblPrEx>
        <w:trPr>
          <w:trHeight w:val="515" w:hRule="atLeast"/>
          <w:jc w:val="center"/>
        </w:trPr>
        <w:tc>
          <w:tcPr>
            <w:tcW w:w="852" w:type="dxa"/>
            <w:tcBorders>
              <w:top w:val="single" w:color="000000" w:sz="6" w:space="0"/>
              <w:left w:val="single" w:color="000000" w:sz="12" w:space="0"/>
              <w:bottom w:val="single" w:color="000000" w:sz="6" w:space="0"/>
            </w:tcBorders>
            <w:vAlign w:val="center"/>
          </w:tcPr>
          <w:p w14:paraId="2EA76230">
            <w:pPr>
              <w:spacing w:line="280" w:lineRule="exact"/>
              <w:jc w:val="center"/>
              <w:rPr>
                <w:rFonts w:ascii="宋体" w:hAnsi="宋体" w:eastAsia="宋体" w:cs="宋体"/>
                <w:sz w:val="24"/>
              </w:rPr>
            </w:pPr>
            <w:r>
              <w:rPr>
                <w:rFonts w:hint="eastAsia" w:ascii="宋体" w:hAnsi="宋体" w:eastAsia="宋体" w:cs="宋体"/>
                <w:sz w:val="24"/>
              </w:rPr>
              <w:t>21</w:t>
            </w:r>
          </w:p>
        </w:tc>
        <w:tc>
          <w:tcPr>
            <w:tcW w:w="1701" w:type="dxa"/>
            <w:tcBorders>
              <w:top w:val="single" w:color="000000" w:sz="6" w:space="0"/>
              <w:left w:val="single" w:color="000000" w:sz="6" w:space="0"/>
              <w:bottom w:val="single" w:color="000000" w:sz="6" w:space="0"/>
            </w:tcBorders>
            <w:vAlign w:val="center"/>
          </w:tcPr>
          <w:p w14:paraId="28E4A0CA">
            <w:pPr>
              <w:jc w:val="center"/>
              <w:rPr>
                <w:rFonts w:ascii="宋体" w:hAnsi="宋体" w:eastAsia="宋体" w:cs="宋体"/>
                <w:sz w:val="24"/>
              </w:rPr>
            </w:pPr>
            <w:r>
              <w:rPr>
                <w:rFonts w:hint="eastAsia" w:ascii="宋体" w:hAnsi="宋体" w:eastAsia="宋体" w:cs="宋体"/>
                <w:sz w:val="24"/>
              </w:rPr>
              <w:t>投标截止时间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546393D">
            <w:pPr>
              <w:spacing w:line="276" w:lineRule="auto"/>
              <w:rPr>
                <w:rFonts w:hint="eastAsia" w:ascii="宋体" w:hAnsi="宋体" w:eastAsia="宋体" w:cs="宋体"/>
                <w:sz w:val="24"/>
                <w:lang w:eastAsia="zh-CN"/>
              </w:rPr>
            </w:pPr>
            <w:r>
              <w:rPr>
                <w:rFonts w:hint="eastAsia" w:ascii="宋体" w:hAnsi="宋体" w:eastAsia="宋体" w:cs="宋体"/>
                <w:sz w:val="24"/>
                <w:lang w:eastAsia="zh-CN"/>
              </w:rPr>
              <w:t>2025年12月10日8时30分</w:t>
            </w:r>
          </w:p>
        </w:tc>
      </w:tr>
      <w:tr w14:paraId="604C2A98">
        <w:tblPrEx>
          <w:tblCellMar>
            <w:top w:w="0" w:type="dxa"/>
            <w:left w:w="108" w:type="dxa"/>
            <w:bottom w:w="0" w:type="dxa"/>
            <w:right w:w="108" w:type="dxa"/>
          </w:tblCellMar>
        </w:tblPrEx>
        <w:trPr>
          <w:trHeight w:val="821" w:hRule="atLeast"/>
          <w:jc w:val="center"/>
        </w:trPr>
        <w:tc>
          <w:tcPr>
            <w:tcW w:w="852" w:type="dxa"/>
            <w:tcBorders>
              <w:top w:val="single" w:color="000000" w:sz="6" w:space="0"/>
              <w:left w:val="single" w:color="000000" w:sz="12" w:space="0"/>
              <w:bottom w:val="single" w:color="000000" w:sz="6" w:space="0"/>
            </w:tcBorders>
            <w:vAlign w:val="center"/>
          </w:tcPr>
          <w:p w14:paraId="02F60B9E">
            <w:pPr>
              <w:spacing w:line="280" w:lineRule="exact"/>
              <w:jc w:val="center"/>
              <w:rPr>
                <w:rFonts w:ascii="宋体" w:hAnsi="宋体" w:eastAsia="宋体" w:cs="宋体"/>
                <w:sz w:val="24"/>
              </w:rPr>
            </w:pPr>
            <w:r>
              <w:rPr>
                <w:rFonts w:hint="eastAsia" w:ascii="宋体" w:hAnsi="宋体" w:eastAsia="宋体" w:cs="宋体"/>
                <w:sz w:val="24"/>
              </w:rPr>
              <w:t>22</w:t>
            </w:r>
          </w:p>
        </w:tc>
        <w:tc>
          <w:tcPr>
            <w:tcW w:w="1701" w:type="dxa"/>
            <w:tcBorders>
              <w:top w:val="single" w:color="000000" w:sz="6" w:space="0"/>
              <w:left w:val="single" w:color="000000" w:sz="6" w:space="0"/>
              <w:bottom w:val="single" w:color="000000" w:sz="6" w:space="0"/>
            </w:tcBorders>
            <w:vAlign w:val="center"/>
          </w:tcPr>
          <w:p w14:paraId="4E39FE35">
            <w:pPr>
              <w:jc w:val="center"/>
              <w:rPr>
                <w:rFonts w:ascii="宋体" w:hAnsi="宋体" w:eastAsia="宋体" w:cs="宋体"/>
                <w:sz w:val="24"/>
              </w:rPr>
            </w:pPr>
            <w:r>
              <w:rPr>
                <w:rFonts w:hint="eastAsia" w:ascii="宋体" w:hAnsi="宋体" w:eastAsia="宋体" w:cs="宋体"/>
                <w:sz w:val="24"/>
              </w:rPr>
              <w:t>投标人确认收到招标文件澄清的时间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00099BA2">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1560272">
        <w:tblPrEx>
          <w:tblCellMar>
            <w:top w:w="0" w:type="dxa"/>
            <w:left w:w="108" w:type="dxa"/>
            <w:bottom w:w="0" w:type="dxa"/>
            <w:right w:w="108" w:type="dxa"/>
          </w:tblCellMar>
        </w:tblPrEx>
        <w:trPr>
          <w:trHeight w:val="971" w:hRule="atLeast"/>
          <w:jc w:val="center"/>
        </w:trPr>
        <w:tc>
          <w:tcPr>
            <w:tcW w:w="852" w:type="dxa"/>
            <w:tcBorders>
              <w:top w:val="single" w:color="000000" w:sz="6" w:space="0"/>
              <w:left w:val="single" w:color="000000" w:sz="12" w:space="0"/>
              <w:bottom w:val="single" w:color="000000" w:sz="6" w:space="0"/>
            </w:tcBorders>
            <w:vAlign w:val="center"/>
          </w:tcPr>
          <w:p w14:paraId="2C03EBB0">
            <w:pPr>
              <w:spacing w:line="280" w:lineRule="exact"/>
              <w:jc w:val="center"/>
              <w:rPr>
                <w:rFonts w:ascii="宋体" w:hAnsi="宋体" w:eastAsia="宋体" w:cs="宋体"/>
                <w:sz w:val="24"/>
              </w:rPr>
            </w:pPr>
            <w:r>
              <w:rPr>
                <w:rFonts w:hint="eastAsia" w:ascii="宋体" w:hAnsi="宋体" w:eastAsia="宋体" w:cs="宋体"/>
                <w:sz w:val="24"/>
              </w:rPr>
              <w:t>23</w:t>
            </w:r>
          </w:p>
        </w:tc>
        <w:tc>
          <w:tcPr>
            <w:tcW w:w="1701" w:type="dxa"/>
            <w:tcBorders>
              <w:top w:val="single" w:color="000000" w:sz="6" w:space="0"/>
              <w:left w:val="single" w:color="000000" w:sz="6" w:space="0"/>
              <w:bottom w:val="single" w:color="000000" w:sz="6" w:space="0"/>
            </w:tcBorders>
            <w:vAlign w:val="center"/>
          </w:tcPr>
          <w:p w14:paraId="24466EF3">
            <w:pPr>
              <w:jc w:val="center"/>
              <w:rPr>
                <w:rFonts w:ascii="宋体" w:hAnsi="宋体" w:eastAsia="宋体" w:cs="宋体"/>
                <w:sz w:val="24"/>
              </w:rPr>
            </w:pPr>
            <w:r>
              <w:rPr>
                <w:rFonts w:hint="eastAsia" w:ascii="宋体" w:hAnsi="宋体" w:eastAsia="宋体" w:cs="宋体"/>
                <w:sz w:val="24"/>
              </w:rPr>
              <w:t>投标人确认收到招标文件修改的时间</w:t>
            </w:r>
          </w:p>
        </w:tc>
        <w:tc>
          <w:tcPr>
            <w:tcW w:w="7191" w:type="dxa"/>
            <w:tcBorders>
              <w:top w:val="single" w:color="000000" w:sz="6" w:space="0"/>
              <w:left w:val="single" w:color="000000" w:sz="6" w:space="0"/>
              <w:bottom w:val="single" w:color="000000" w:sz="6" w:space="0"/>
              <w:right w:val="single" w:color="000000" w:sz="12" w:space="0"/>
            </w:tcBorders>
            <w:vAlign w:val="center"/>
          </w:tcPr>
          <w:p w14:paraId="638CE8D5">
            <w:pPr>
              <w:spacing w:line="276" w:lineRule="auto"/>
              <w:rPr>
                <w:rFonts w:ascii="宋体" w:hAnsi="宋体" w:eastAsia="宋体" w:cs="宋体"/>
                <w:sz w:val="24"/>
              </w:rPr>
            </w:pPr>
            <w:r>
              <w:rPr>
                <w:rFonts w:hint="eastAsia" w:ascii="宋体" w:hAnsi="宋体" w:eastAsia="宋体" w:cs="宋体"/>
                <w:sz w:val="24"/>
              </w:rPr>
              <w:t>投标人收到招标文件澄清文件后24小时内</w:t>
            </w:r>
          </w:p>
        </w:tc>
      </w:tr>
      <w:tr w14:paraId="53895C1D">
        <w:tblPrEx>
          <w:tblCellMar>
            <w:top w:w="0" w:type="dxa"/>
            <w:left w:w="108" w:type="dxa"/>
            <w:bottom w:w="0" w:type="dxa"/>
            <w:right w:w="108" w:type="dxa"/>
          </w:tblCellMar>
        </w:tblPrEx>
        <w:trPr>
          <w:trHeight w:val="597" w:hRule="atLeast"/>
          <w:jc w:val="center"/>
        </w:trPr>
        <w:tc>
          <w:tcPr>
            <w:tcW w:w="852" w:type="dxa"/>
            <w:tcBorders>
              <w:top w:val="single" w:color="000000" w:sz="6" w:space="0"/>
              <w:left w:val="single" w:color="000000" w:sz="12" w:space="0"/>
              <w:bottom w:val="single" w:color="000000" w:sz="6" w:space="0"/>
            </w:tcBorders>
            <w:vAlign w:val="center"/>
          </w:tcPr>
          <w:p w14:paraId="0E7826BB">
            <w:pPr>
              <w:spacing w:line="280" w:lineRule="exact"/>
              <w:jc w:val="center"/>
              <w:rPr>
                <w:rFonts w:ascii="宋体" w:hAnsi="宋体" w:eastAsia="宋体" w:cs="宋体"/>
                <w:sz w:val="24"/>
              </w:rPr>
            </w:pPr>
            <w:r>
              <w:rPr>
                <w:rFonts w:hint="eastAsia" w:ascii="宋体" w:hAnsi="宋体" w:eastAsia="宋体" w:cs="宋体"/>
                <w:sz w:val="24"/>
              </w:rPr>
              <w:t>24</w:t>
            </w:r>
          </w:p>
        </w:tc>
        <w:tc>
          <w:tcPr>
            <w:tcW w:w="1701" w:type="dxa"/>
            <w:tcBorders>
              <w:top w:val="single" w:color="000000" w:sz="6" w:space="0"/>
              <w:left w:val="single" w:color="000000" w:sz="6" w:space="0"/>
              <w:bottom w:val="single" w:color="000000" w:sz="6" w:space="0"/>
            </w:tcBorders>
            <w:vAlign w:val="center"/>
          </w:tcPr>
          <w:p w14:paraId="10EA125C">
            <w:pPr>
              <w:jc w:val="center"/>
              <w:rPr>
                <w:rFonts w:ascii="宋体" w:hAnsi="宋体" w:eastAsia="宋体" w:cs="宋体"/>
                <w:sz w:val="24"/>
              </w:rPr>
            </w:pPr>
            <w:r>
              <w:rPr>
                <w:rFonts w:hint="eastAsia" w:ascii="宋体" w:hAnsi="宋体" w:eastAsia="宋体" w:cs="宋体"/>
                <w:sz w:val="24"/>
              </w:rPr>
              <w:t>投标有效期</w:t>
            </w:r>
          </w:p>
        </w:tc>
        <w:tc>
          <w:tcPr>
            <w:tcW w:w="7191" w:type="dxa"/>
            <w:tcBorders>
              <w:top w:val="single" w:color="000000" w:sz="6" w:space="0"/>
              <w:left w:val="single" w:color="000000" w:sz="6" w:space="0"/>
              <w:bottom w:val="single" w:color="000000" w:sz="6" w:space="0"/>
              <w:right w:val="single" w:color="000000" w:sz="12" w:space="0"/>
            </w:tcBorders>
            <w:vAlign w:val="center"/>
          </w:tcPr>
          <w:p w14:paraId="183488F7">
            <w:pPr>
              <w:spacing w:line="276" w:lineRule="auto"/>
              <w:rPr>
                <w:rFonts w:ascii="宋体" w:hAnsi="宋体" w:eastAsia="宋体" w:cs="宋体"/>
                <w:sz w:val="24"/>
              </w:rPr>
            </w:pPr>
            <w:r>
              <w:rPr>
                <w:rFonts w:hint="eastAsia" w:ascii="宋体" w:hAnsi="宋体" w:eastAsia="宋体" w:cs="宋体"/>
                <w:sz w:val="24"/>
              </w:rPr>
              <w:t>投标截止期后60日历天</w:t>
            </w:r>
          </w:p>
        </w:tc>
      </w:tr>
      <w:tr w14:paraId="48E1274E">
        <w:tblPrEx>
          <w:tblCellMar>
            <w:top w:w="0" w:type="dxa"/>
            <w:left w:w="108" w:type="dxa"/>
            <w:bottom w:w="0" w:type="dxa"/>
            <w:right w:w="108" w:type="dxa"/>
          </w:tblCellMar>
        </w:tblPrEx>
        <w:trPr>
          <w:trHeight w:val="90" w:hRule="atLeast"/>
          <w:jc w:val="center"/>
        </w:trPr>
        <w:tc>
          <w:tcPr>
            <w:tcW w:w="852" w:type="dxa"/>
            <w:tcBorders>
              <w:top w:val="single" w:color="000000" w:sz="6" w:space="0"/>
              <w:left w:val="single" w:color="000000" w:sz="12" w:space="0"/>
              <w:bottom w:val="single" w:color="000000" w:sz="6" w:space="0"/>
            </w:tcBorders>
            <w:vAlign w:val="center"/>
          </w:tcPr>
          <w:p w14:paraId="729A2D49">
            <w:pPr>
              <w:spacing w:line="280" w:lineRule="exact"/>
              <w:jc w:val="center"/>
              <w:rPr>
                <w:rFonts w:ascii="宋体" w:hAnsi="宋体" w:eastAsia="宋体" w:cs="宋体"/>
                <w:sz w:val="24"/>
              </w:rPr>
            </w:pPr>
            <w:r>
              <w:rPr>
                <w:rFonts w:hint="eastAsia" w:ascii="宋体" w:hAnsi="宋体" w:eastAsia="宋体" w:cs="宋体"/>
                <w:sz w:val="24"/>
              </w:rPr>
              <w:t>25</w:t>
            </w:r>
          </w:p>
        </w:tc>
        <w:tc>
          <w:tcPr>
            <w:tcW w:w="1701" w:type="dxa"/>
            <w:tcBorders>
              <w:top w:val="single" w:color="000000" w:sz="6" w:space="0"/>
              <w:left w:val="single" w:color="000000" w:sz="6" w:space="0"/>
              <w:bottom w:val="single" w:color="000000" w:sz="6" w:space="0"/>
            </w:tcBorders>
            <w:vAlign w:val="center"/>
          </w:tcPr>
          <w:p w14:paraId="62500CE2">
            <w:pPr>
              <w:jc w:val="center"/>
              <w:rPr>
                <w:rFonts w:ascii="宋体" w:hAnsi="宋体" w:eastAsia="宋体" w:cs="宋体"/>
                <w:b/>
                <w:sz w:val="24"/>
              </w:rPr>
            </w:pPr>
            <w:r>
              <w:rPr>
                <w:rFonts w:hint="eastAsia" w:ascii="宋体" w:hAnsi="宋体" w:eastAsia="宋体" w:cs="宋体"/>
                <w:sz w:val="24"/>
              </w:rPr>
              <w:t>投标保证金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743801AE">
            <w:pPr>
              <w:pStyle w:val="22"/>
            </w:pPr>
            <w:r>
              <w:rPr>
                <w:rFonts w:hint="eastAsia"/>
              </w:rPr>
              <w:t>根据《河南省财政厅关于优化政府采购营商环境有关问题的通知》（豫财购【2019】4号）第6条的规定，磋商保证金不再收取。供应商应以承诺函的形式替代保证金，承诺函应明确承诺事项及违背承诺的责任。</w:t>
            </w:r>
          </w:p>
        </w:tc>
      </w:tr>
      <w:tr w14:paraId="52037167">
        <w:tblPrEx>
          <w:tblCellMar>
            <w:top w:w="0" w:type="dxa"/>
            <w:left w:w="108" w:type="dxa"/>
            <w:bottom w:w="0" w:type="dxa"/>
            <w:right w:w="108" w:type="dxa"/>
          </w:tblCellMar>
        </w:tblPrEx>
        <w:trPr>
          <w:trHeight w:val="842" w:hRule="atLeast"/>
          <w:jc w:val="center"/>
        </w:trPr>
        <w:tc>
          <w:tcPr>
            <w:tcW w:w="852" w:type="dxa"/>
            <w:tcBorders>
              <w:top w:val="single" w:color="000000" w:sz="6" w:space="0"/>
              <w:left w:val="single" w:color="000000" w:sz="12" w:space="0"/>
              <w:bottom w:val="single" w:color="000000" w:sz="6" w:space="0"/>
            </w:tcBorders>
            <w:vAlign w:val="center"/>
          </w:tcPr>
          <w:p w14:paraId="6DBB5F53">
            <w:pPr>
              <w:spacing w:line="280" w:lineRule="exact"/>
              <w:jc w:val="center"/>
              <w:rPr>
                <w:rFonts w:ascii="宋体" w:hAnsi="宋体" w:eastAsia="宋体" w:cs="宋体"/>
                <w:sz w:val="24"/>
              </w:rPr>
            </w:pPr>
            <w:r>
              <w:rPr>
                <w:rFonts w:hint="eastAsia" w:ascii="宋体" w:hAnsi="宋体" w:eastAsia="宋体" w:cs="宋体"/>
                <w:sz w:val="24"/>
              </w:rPr>
              <w:t>26</w:t>
            </w:r>
          </w:p>
        </w:tc>
        <w:tc>
          <w:tcPr>
            <w:tcW w:w="1701" w:type="dxa"/>
            <w:tcBorders>
              <w:top w:val="single" w:color="000000" w:sz="6" w:space="0"/>
              <w:left w:val="single" w:color="000000" w:sz="6" w:space="0"/>
              <w:bottom w:val="single" w:color="000000" w:sz="6" w:space="0"/>
            </w:tcBorders>
            <w:vAlign w:val="center"/>
          </w:tcPr>
          <w:p w14:paraId="260BC075">
            <w:pPr>
              <w:jc w:val="center"/>
              <w:rPr>
                <w:rFonts w:ascii="宋体" w:hAnsi="宋体" w:eastAsia="宋体" w:cs="宋体"/>
                <w:sz w:val="24"/>
              </w:rPr>
            </w:pPr>
            <w:r>
              <w:rPr>
                <w:rFonts w:hint="eastAsia" w:ascii="宋体" w:hAnsi="宋体" w:eastAsia="宋体" w:cs="宋体"/>
                <w:sz w:val="24"/>
              </w:rPr>
              <w:t>履约保证金</w:t>
            </w:r>
          </w:p>
        </w:tc>
        <w:tc>
          <w:tcPr>
            <w:tcW w:w="7191" w:type="dxa"/>
            <w:tcBorders>
              <w:top w:val="single" w:color="000000" w:sz="6" w:space="0"/>
              <w:left w:val="single" w:color="000000" w:sz="6" w:space="0"/>
              <w:bottom w:val="single" w:color="000000" w:sz="6" w:space="0"/>
              <w:right w:val="single" w:color="000000" w:sz="12" w:space="0"/>
            </w:tcBorders>
            <w:vAlign w:val="center"/>
          </w:tcPr>
          <w:p w14:paraId="4C3C452A">
            <w:pPr>
              <w:spacing w:line="276" w:lineRule="auto"/>
              <w:rPr>
                <w:rFonts w:ascii="宋体" w:hAnsi="宋体" w:eastAsia="宋体" w:cs="宋体"/>
                <w:sz w:val="24"/>
              </w:rPr>
            </w:pPr>
            <w:r>
              <w:rPr>
                <w:rFonts w:hint="eastAsia" w:ascii="宋体" w:hAnsi="宋体"/>
                <w:color w:val="000000"/>
                <w:kern w:val="0"/>
                <w:sz w:val="24"/>
              </w:rPr>
              <w:t>根据三门峡市财政局《关于进一步优化提升政府采购营商环境有关事项通知》三财购【2021】14号文件，该项目不收取履约保证金。</w:t>
            </w:r>
          </w:p>
        </w:tc>
      </w:tr>
      <w:tr w14:paraId="2719C5FC">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0BE87FB2">
            <w:pPr>
              <w:spacing w:line="280" w:lineRule="exact"/>
              <w:ind w:firstLine="240" w:firstLineChars="100"/>
              <w:rPr>
                <w:rFonts w:ascii="宋体" w:hAnsi="宋体" w:eastAsia="宋体" w:cs="宋体"/>
                <w:sz w:val="24"/>
              </w:rPr>
            </w:pPr>
            <w:r>
              <w:rPr>
                <w:rFonts w:hint="eastAsia" w:ascii="宋体" w:hAnsi="宋体" w:eastAsia="宋体" w:cs="宋体"/>
                <w:sz w:val="24"/>
              </w:rPr>
              <w:t>27</w:t>
            </w:r>
          </w:p>
        </w:tc>
        <w:tc>
          <w:tcPr>
            <w:tcW w:w="1701" w:type="dxa"/>
            <w:tcBorders>
              <w:top w:val="single" w:color="000000" w:sz="6" w:space="0"/>
              <w:left w:val="single" w:color="000000" w:sz="6" w:space="0"/>
              <w:bottom w:val="single" w:color="000000" w:sz="6" w:space="0"/>
            </w:tcBorders>
            <w:vAlign w:val="center"/>
          </w:tcPr>
          <w:p w14:paraId="06D8AEB0">
            <w:pPr>
              <w:jc w:val="center"/>
              <w:rPr>
                <w:rFonts w:ascii="宋体" w:hAnsi="宋体" w:eastAsia="宋体" w:cs="宋体"/>
                <w:sz w:val="24"/>
              </w:rPr>
            </w:pPr>
            <w:r>
              <w:rPr>
                <w:rFonts w:hint="eastAsia" w:ascii="宋体" w:hAnsi="宋体" w:eastAsia="宋体" w:cs="宋体"/>
                <w:sz w:val="24"/>
              </w:rPr>
              <w:t>是否允许递交备选投标方案</w:t>
            </w:r>
          </w:p>
        </w:tc>
        <w:tc>
          <w:tcPr>
            <w:tcW w:w="7191" w:type="dxa"/>
            <w:tcBorders>
              <w:top w:val="single" w:color="000000" w:sz="6" w:space="0"/>
              <w:left w:val="single" w:color="000000" w:sz="6" w:space="0"/>
              <w:bottom w:val="single" w:color="000000" w:sz="6" w:space="0"/>
              <w:right w:val="single" w:color="000000" w:sz="12" w:space="0"/>
            </w:tcBorders>
            <w:vAlign w:val="center"/>
          </w:tcPr>
          <w:p w14:paraId="67274834">
            <w:pPr>
              <w:spacing w:line="276" w:lineRule="auto"/>
              <w:rPr>
                <w:rFonts w:ascii="宋体" w:hAnsi="宋体" w:eastAsia="宋体" w:cs="宋体"/>
                <w:sz w:val="24"/>
              </w:rPr>
            </w:pPr>
            <w:r>
              <w:rPr>
                <w:rFonts w:hint="eastAsia" w:ascii="宋体" w:hAnsi="宋体" w:eastAsia="宋体" w:cs="宋体"/>
                <w:sz w:val="24"/>
              </w:rPr>
              <w:t>不允许</w:t>
            </w:r>
          </w:p>
        </w:tc>
      </w:tr>
      <w:tr w14:paraId="40C08826">
        <w:tblPrEx>
          <w:tblCellMar>
            <w:top w:w="0" w:type="dxa"/>
            <w:left w:w="108" w:type="dxa"/>
            <w:bottom w:w="0" w:type="dxa"/>
            <w:right w:w="108" w:type="dxa"/>
          </w:tblCellMar>
        </w:tblPrEx>
        <w:trPr>
          <w:trHeight w:val="2731" w:hRule="atLeast"/>
          <w:jc w:val="center"/>
        </w:trPr>
        <w:tc>
          <w:tcPr>
            <w:tcW w:w="852" w:type="dxa"/>
            <w:tcBorders>
              <w:top w:val="single" w:color="000000" w:sz="6" w:space="0"/>
              <w:left w:val="single" w:color="000000" w:sz="12" w:space="0"/>
              <w:bottom w:val="single" w:color="000000" w:sz="6" w:space="0"/>
            </w:tcBorders>
            <w:vAlign w:val="center"/>
          </w:tcPr>
          <w:p w14:paraId="72BB37CA">
            <w:pPr>
              <w:spacing w:line="280" w:lineRule="exact"/>
              <w:jc w:val="center"/>
              <w:rPr>
                <w:rFonts w:ascii="宋体" w:hAnsi="宋体" w:eastAsia="宋体" w:cs="宋体"/>
                <w:sz w:val="24"/>
              </w:rPr>
            </w:pPr>
            <w:r>
              <w:rPr>
                <w:rFonts w:hint="eastAsia" w:ascii="宋体" w:hAnsi="宋体" w:eastAsia="宋体" w:cs="宋体"/>
                <w:sz w:val="24"/>
              </w:rPr>
              <w:t>28</w:t>
            </w:r>
          </w:p>
        </w:tc>
        <w:tc>
          <w:tcPr>
            <w:tcW w:w="1701" w:type="dxa"/>
            <w:tcBorders>
              <w:top w:val="single" w:color="000000" w:sz="6" w:space="0"/>
              <w:left w:val="single" w:color="000000" w:sz="6" w:space="0"/>
              <w:bottom w:val="single" w:color="000000" w:sz="6" w:space="0"/>
            </w:tcBorders>
            <w:vAlign w:val="center"/>
          </w:tcPr>
          <w:p w14:paraId="34BECAC6">
            <w:pPr>
              <w:spacing w:line="276" w:lineRule="auto"/>
              <w:rPr>
                <w:rFonts w:ascii="宋体" w:hAnsi="宋体"/>
                <w:color w:val="000000"/>
                <w:kern w:val="0"/>
                <w:sz w:val="24"/>
              </w:rPr>
            </w:pPr>
            <w:r>
              <w:rPr>
                <w:rFonts w:hint="eastAsia" w:ascii="宋体" w:hAnsi="宋体"/>
                <w:color w:val="000000"/>
                <w:kern w:val="0"/>
                <w:sz w:val="24"/>
              </w:rPr>
              <w:t>投标文件的签章</w:t>
            </w:r>
          </w:p>
        </w:tc>
        <w:tc>
          <w:tcPr>
            <w:tcW w:w="7191" w:type="dxa"/>
            <w:tcBorders>
              <w:top w:val="single" w:color="000000" w:sz="6" w:space="0"/>
              <w:left w:val="single" w:color="000000" w:sz="6" w:space="0"/>
              <w:bottom w:val="single" w:color="000000" w:sz="6" w:space="0"/>
              <w:right w:val="single" w:color="000000" w:sz="12" w:space="0"/>
            </w:tcBorders>
            <w:vAlign w:val="center"/>
          </w:tcPr>
          <w:p w14:paraId="3438CF2D">
            <w:pPr>
              <w:spacing w:line="276" w:lineRule="auto"/>
              <w:rPr>
                <w:rFonts w:ascii="宋体" w:hAnsi="宋体"/>
                <w:color w:val="000000"/>
                <w:kern w:val="0"/>
                <w:sz w:val="24"/>
              </w:rPr>
            </w:pPr>
            <w:r>
              <w:rPr>
                <w:rFonts w:hint="eastAsia" w:ascii="宋体" w:hAnsi="宋体"/>
                <w:color w:val="000000"/>
                <w:kern w:val="0"/>
                <w:sz w:val="24"/>
              </w:rPr>
              <w:t>电子化投标文件的签章：</w:t>
            </w:r>
          </w:p>
          <w:p w14:paraId="1F2E2C3F">
            <w:pPr>
              <w:spacing w:line="276" w:lineRule="auto"/>
              <w:rPr>
                <w:rFonts w:ascii="宋体" w:hAnsi="宋体"/>
                <w:color w:val="000000"/>
                <w:kern w:val="0"/>
                <w:sz w:val="24"/>
              </w:rPr>
            </w:pPr>
            <w:r>
              <w:rPr>
                <w:rFonts w:hint="eastAsia" w:ascii="宋体" w:hAnsi="宋体"/>
                <w:color w:val="000000"/>
                <w:kern w:val="0"/>
                <w:sz w:val="24"/>
              </w:rPr>
              <w:t>1、投标人在生成电子化投标文件后，应对电子化投标文件进行签章，未对电子化文件进行签章的视为无效投标。</w:t>
            </w:r>
          </w:p>
          <w:p w14:paraId="50F81A21">
            <w:pPr>
              <w:spacing w:line="276" w:lineRule="auto"/>
              <w:rPr>
                <w:rFonts w:ascii="宋体" w:hAnsi="宋体"/>
                <w:color w:val="000000"/>
                <w:kern w:val="0"/>
                <w:sz w:val="24"/>
              </w:rPr>
            </w:pPr>
            <w:r>
              <w:rPr>
                <w:rFonts w:hint="eastAsia" w:ascii="宋体" w:hAnsi="宋体"/>
                <w:color w:val="000000"/>
                <w:kern w:val="0"/>
                <w:sz w:val="24"/>
              </w:rPr>
              <w:t>2、招标文件中要求法定代表人或授权委托人盖章的，投标人在进行电子化投标文件签章时，以签盖法定代表人签章为准。</w:t>
            </w:r>
          </w:p>
          <w:p w14:paraId="77FD7BA3">
            <w:pPr>
              <w:spacing w:line="276" w:lineRule="auto"/>
              <w:rPr>
                <w:rFonts w:ascii="宋体" w:hAnsi="宋体"/>
                <w:color w:val="000000"/>
                <w:kern w:val="0"/>
                <w:sz w:val="24"/>
              </w:rPr>
            </w:pPr>
            <w:r>
              <w:rPr>
                <w:rFonts w:hint="eastAsia" w:ascii="宋体" w:hAnsi="宋体"/>
                <w:color w:val="000000"/>
                <w:kern w:val="0"/>
                <w:sz w:val="24"/>
              </w:rPr>
              <w:t>3、电子化投标文件工具请在三门峡市公共资源交易中心网首页“下载专区”下载。</w:t>
            </w:r>
          </w:p>
        </w:tc>
      </w:tr>
      <w:tr w14:paraId="6E0588A2">
        <w:tblPrEx>
          <w:tblCellMar>
            <w:top w:w="0" w:type="dxa"/>
            <w:left w:w="108" w:type="dxa"/>
            <w:bottom w:w="0" w:type="dxa"/>
            <w:right w:w="108" w:type="dxa"/>
          </w:tblCellMar>
        </w:tblPrEx>
        <w:trPr>
          <w:trHeight w:val="824" w:hRule="atLeast"/>
          <w:jc w:val="center"/>
        </w:trPr>
        <w:tc>
          <w:tcPr>
            <w:tcW w:w="852" w:type="dxa"/>
            <w:tcBorders>
              <w:top w:val="single" w:color="000000" w:sz="6" w:space="0"/>
              <w:left w:val="single" w:color="000000" w:sz="12" w:space="0"/>
              <w:bottom w:val="single" w:color="000000" w:sz="6" w:space="0"/>
            </w:tcBorders>
            <w:vAlign w:val="center"/>
          </w:tcPr>
          <w:p w14:paraId="38F5D63B">
            <w:pPr>
              <w:spacing w:line="280" w:lineRule="exact"/>
              <w:jc w:val="center"/>
              <w:rPr>
                <w:rFonts w:ascii="宋体" w:hAnsi="宋体" w:eastAsia="宋体" w:cs="宋体"/>
                <w:sz w:val="24"/>
              </w:rPr>
            </w:pPr>
            <w:r>
              <w:rPr>
                <w:rFonts w:hint="eastAsia" w:ascii="宋体" w:hAnsi="宋体" w:eastAsia="宋体" w:cs="宋体"/>
                <w:sz w:val="24"/>
              </w:rPr>
              <w:t>29</w:t>
            </w:r>
          </w:p>
        </w:tc>
        <w:tc>
          <w:tcPr>
            <w:tcW w:w="1701" w:type="dxa"/>
            <w:tcBorders>
              <w:top w:val="single" w:color="000000" w:sz="6" w:space="0"/>
              <w:left w:val="single" w:color="000000" w:sz="6" w:space="0"/>
              <w:bottom w:val="single" w:color="000000" w:sz="6" w:space="0"/>
            </w:tcBorders>
            <w:vAlign w:val="center"/>
          </w:tcPr>
          <w:p w14:paraId="5FFC65D0">
            <w:pPr>
              <w:jc w:val="center"/>
              <w:rPr>
                <w:rFonts w:ascii="宋体" w:hAnsi="宋体" w:eastAsia="宋体" w:cs="宋体"/>
                <w:sz w:val="24"/>
              </w:rPr>
            </w:pPr>
            <w:r>
              <w:rPr>
                <w:rFonts w:hint="eastAsia" w:ascii="宋体" w:hAnsi="宋体" w:eastAsia="宋体" w:cs="宋体"/>
                <w:sz w:val="24"/>
              </w:rPr>
              <w:t>开标时间和地点</w:t>
            </w:r>
          </w:p>
        </w:tc>
        <w:tc>
          <w:tcPr>
            <w:tcW w:w="7191" w:type="dxa"/>
            <w:tcBorders>
              <w:top w:val="single" w:color="000000" w:sz="6" w:space="0"/>
              <w:left w:val="single" w:color="000000" w:sz="6" w:space="0"/>
              <w:bottom w:val="single" w:color="000000" w:sz="6" w:space="0"/>
              <w:right w:val="single" w:color="000000" w:sz="12" w:space="0"/>
            </w:tcBorders>
            <w:vAlign w:val="center"/>
          </w:tcPr>
          <w:p w14:paraId="1F686F02">
            <w:pPr>
              <w:spacing w:line="276" w:lineRule="auto"/>
              <w:rPr>
                <w:rFonts w:ascii="宋体" w:hAnsi="宋体" w:eastAsia="宋体" w:cs="宋体"/>
                <w:sz w:val="24"/>
              </w:rPr>
            </w:pPr>
            <w:r>
              <w:rPr>
                <w:rFonts w:hint="eastAsia" w:ascii="宋体" w:hAnsi="宋体" w:eastAsia="宋体" w:cs="宋体"/>
                <w:sz w:val="24"/>
              </w:rPr>
              <w:t>开标时间：</w:t>
            </w:r>
            <w:r>
              <w:rPr>
                <w:rFonts w:hint="eastAsia" w:ascii="宋体" w:hAnsi="宋体" w:eastAsia="宋体" w:cs="宋体"/>
                <w:sz w:val="24"/>
                <w:lang w:eastAsia="zh-CN"/>
              </w:rPr>
              <w:t>2025年12月10日8时30分</w:t>
            </w:r>
            <w:r>
              <w:rPr>
                <w:rFonts w:hint="eastAsia" w:ascii="宋体" w:hAnsi="宋体" w:eastAsia="宋体" w:cs="宋体"/>
                <w:sz w:val="24"/>
              </w:rPr>
              <w:t>（北京时间）</w:t>
            </w:r>
          </w:p>
          <w:p w14:paraId="58C87A53">
            <w:pPr>
              <w:spacing w:line="276" w:lineRule="auto"/>
              <w:rPr>
                <w:rFonts w:ascii="宋体" w:hAnsi="宋体" w:eastAsia="宋体" w:cs="宋体"/>
                <w:sz w:val="24"/>
              </w:rPr>
            </w:pPr>
            <w:r>
              <w:rPr>
                <w:rFonts w:hint="eastAsia" w:ascii="宋体" w:hAnsi="宋体" w:eastAsia="宋体" w:cs="宋体"/>
                <w:sz w:val="24"/>
              </w:rPr>
              <w:t>开标地点：义马市公共资源交易中心</w:t>
            </w:r>
          </w:p>
        </w:tc>
      </w:tr>
      <w:tr w14:paraId="03069F7E">
        <w:tblPrEx>
          <w:tblCellMar>
            <w:top w:w="0" w:type="dxa"/>
            <w:left w:w="108" w:type="dxa"/>
            <w:bottom w:w="0" w:type="dxa"/>
            <w:right w:w="108" w:type="dxa"/>
          </w:tblCellMar>
        </w:tblPrEx>
        <w:trPr>
          <w:trHeight w:val="313" w:hRule="atLeast"/>
          <w:jc w:val="center"/>
        </w:trPr>
        <w:tc>
          <w:tcPr>
            <w:tcW w:w="852" w:type="dxa"/>
            <w:tcBorders>
              <w:top w:val="single" w:color="000000" w:sz="6" w:space="0"/>
              <w:left w:val="single" w:color="000000" w:sz="12" w:space="0"/>
              <w:bottom w:val="single" w:color="000000" w:sz="6" w:space="0"/>
            </w:tcBorders>
            <w:vAlign w:val="center"/>
          </w:tcPr>
          <w:p w14:paraId="06D78688">
            <w:pPr>
              <w:spacing w:line="280" w:lineRule="exact"/>
              <w:jc w:val="center"/>
              <w:rPr>
                <w:rFonts w:ascii="宋体" w:hAnsi="宋体" w:eastAsia="宋体" w:cs="宋体"/>
                <w:sz w:val="24"/>
              </w:rPr>
            </w:pPr>
            <w:r>
              <w:rPr>
                <w:rFonts w:hint="eastAsia" w:ascii="宋体" w:hAnsi="宋体" w:eastAsia="宋体" w:cs="宋体"/>
                <w:sz w:val="24"/>
              </w:rPr>
              <w:t>30</w:t>
            </w:r>
          </w:p>
        </w:tc>
        <w:tc>
          <w:tcPr>
            <w:tcW w:w="1701" w:type="dxa"/>
            <w:tcBorders>
              <w:top w:val="single" w:color="000000" w:sz="6" w:space="0"/>
              <w:left w:val="single" w:color="000000" w:sz="6" w:space="0"/>
              <w:bottom w:val="single" w:color="000000" w:sz="6" w:space="0"/>
            </w:tcBorders>
            <w:vAlign w:val="center"/>
          </w:tcPr>
          <w:p w14:paraId="12C4D7D5">
            <w:pPr>
              <w:jc w:val="center"/>
              <w:rPr>
                <w:rFonts w:ascii="宋体" w:hAnsi="宋体" w:eastAsia="宋体" w:cs="宋体"/>
                <w:sz w:val="24"/>
              </w:rPr>
            </w:pPr>
            <w:r>
              <w:rPr>
                <w:rFonts w:hint="eastAsia" w:ascii="宋体" w:hAnsi="宋体" w:eastAsia="宋体" w:cs="宋体"/>
                <w:sz w:val="24"/>
              </w:rPr>
              <w:t>是否退还</w:t>
            </w:r>
          </w:p>
          <w:p w14:paraId="6ED226DF">
            <w:pPr>
              <w:jc w:val="center"/>
              <w:rPr>
                <w:rFonts w:ascii="宋体" w:hAnsi="宋体" w:eastAsia="宋体" w:cs="宋体"/>
                <w:sz w:val="24"/>
              </w:rPr>
            </w:pPr>
            <w:r>
              <w:rPr>
                <w:rFonts w:hint="eastAsia" w:ascii="宋体" w:hAnsi="宋体" w:eastAsia="宋体" w:cs="宋体"/>
                <w:sz w:val="24"/>
              </w:rPr>
              <w:t>投标文件</w:t>
            </w:r>
          </w:p>
        </w:tc>
        <w:tc>
          <w:tcPr>
            <w:tcW w:w="7191" w:type="dxa"/>
            <w:tcBorders>
              <w:top w:val="single" w:color="000000" w:sz="6" w:space="0"/>
              <w:left w:val="single" w:color="000000" w:sz="6" w:space="0"/>
              <w:bottom w:val="single" w:color="000000" w:sz="6" w:space="0"/>
              <w:right w:val="single" w:color="000000" w:sz="12" w:space="0"/>
            </w:tcBorders>
            <w:vAlign w:val="center"/>
          </w:tcPr>
          <w:p w14:paraId="44122A4E">
            <w:pPr>
              <w:spacing w:line="276" w:lineRule="auto"/>
              <w:rPr>
                <w:rFonts w:ascii="宋体" w:hAnsi="宋体" w:eastAsia="宋体" w:cs="宋体"/>
                <w:sz w:val="24"/>
              </w:rPr>
            </w:pPr>
            <w:r>
              <w:rPr>
                <w:rFonts w:hint="eastAsia" w:ascii="宋体" w:hAnsi="宋体" w:eastAsia="宋体" w:cs="宋体"/>
                <w:sz w:val="24"/>
              </w:rPr>
              <w:t>否</w:t>
            </w:r>
          </w:p>
        </w:tc>
      </w:tr>
      <w:tr w14:paraId="217AC869">
        <w:tblPrEx>
          <w:tblCellMar>
            <w:top w:w="0" w:type="dxa"/>
            <w:left w:w="108" w:type="dxa"/>
            <w:bottom w:w="0" w:type="dxa"/>
            <w:right w:w="108" w:type="dxa"/>
          </w:tblCellMar>
        </w:tblPrEx>
        <w:trPr>
          <w:trHeight w:val="1115" w:hRule="atLeast"/>
          <w:jc w:val="center"/>
        </w:trPr>
        <w:tc>
          <w:tcPr>
            <w:tcW w:w="852" w:type="dxa"/>
            <w:tcBorders>
              <w:top w:val="single" w:color="000000" w:sz="6" w:space="0"/>
              <w:left w:val="single" w:color="000000" w:sz="12" w:space="0"/>
              <w:bottom w:val="single" w:color="000000" w:sz="6" w:space="0"/>
            </w:tcBorders>
            <w:vAlign w:val="center"/>
          </w:tcPr>
          <w:p w14:paraId="007C09AB">
            <w:pPr>
              <w:spacing w:line="280" w:lineRule="exact"/>
              <w:jc w:val="center"/>
              <w:rPr>
                <w:rFonts w:ascii="宋体" w:hAnsi="宋体" w:eastAsia="宋体" w:cs="宋体"/>
                <w:sz w:val="24"/>
              </w:rPr>
            </w:pPr>
            <w:r>
              <w:rPr>
                <w:rFonts w:hint="eastAsia" w:ascii="宋体" w:hAnsi="宋体" w:eastAsia="宋体" w:cs="宋体"/>
                <w:sz w:val="24"/>
              </w:rPr>
              <w:t>31</w:t>
            </w:r>
          </w:p>
        </w:tc>
        <w:tc>
          <w:tcPr>
            <w:tcW w:w="1701" w:type="dxa"/>
            <w:tcBorders>
              <w:top w:val="single" w:color="000000" w:sz="6" w:space="0"/>
              <w:left w:val="single" w:color="000000" w:sz="6" w:space="0"/>
              <w:bottom w:val="single" w:color="000000" w:sz="6" w:space="0"/>
            </w:tcBorders>
            <w:vAlign w:val="center"/>
          </w:tcPr>
          <w:p w14:paraId="6DBADCDA">
            <w:pPr>
              <w:jc w:val="center"/>
              <w:rPr>
                <w:rFonts w:ascii="宋体" w:hAnsi="宋体" w:eastAsia="宋体" w:cs="宋体"/>
                <w:sz w:val="24"/>
              </w:rPr>
            </w:pPr>
            <w:r>
              <w:rPr>
                <w:rFonts w:hint="eastAsia" w:ascii="宋体" w:hAnsi="宋体" w:eastAsia="宋体" w:cs="宋体"/>
                <w:sz w:val="24"/>
              </w:rPr>
              <w:t>评标委员会的</w:t>
            </w:r>
          </w:p>
          <w:p w14:paraId="713B0EFC">
            <w:pPr>
              <w:jc w:val="center"/>
              <w:rPr>
                <w:rFonts w:ascii="宋体" w:hAnsi="宋体" w:eastAsia="宋体" w:cs="宋体"/>
                <w:sz w:val="24"/>
              </w:rPr>
            </w:pPr>
            <w:r>
              <w:rPr>
                <w:rFonts w:hint="eastAsia" w:ascii="宋体" w:hAnsi="宋体" w:eastAsia="宋体" w:cs="宋体"/>
                <w:sz w:val="24"/>
              </w:rPr>
              <w:t>组建</w:t>
            </w:r>
          </w:p>
        </w:tc>
        <w:tc>
          <w:tcPr>
            <w:tcW w:w="7191" w:type="dxa"/>
            <w:tcBorders>
              <w:top w:val="single" w:color="000000" w:sz="6" w:space="0"/>
              <w:left w:val="single" w:color="000000" w:sz="6" w:space="0"/>
              <w:bottom w:val="single" w:color="000000" w:sz="6" w:space="0"/>
              <w:right w:val="single" w:color="000000" w:sz="12" w:space="0"/>
            </w:tcBorders>
            <w:vAlign w:val="center"/>
          </w:tcPr>
          <w:p w14:paraId="425A60A8">
            <w:pPr>
              <w:spacing w:line="276" w:lineRule="auto"/>
              <w:rPr>
                <w:rFonts w:ascii="宋体" w:hAnsi="宋体" w:eastAsia="宋体" w:cs="宋体"/>
                <w:sz w:val="24"/>
              </w:rPr>
            </w:pPr>
            <w:r>
              <w:rPr>
                <w:rFonts w:hint="eastAsia" w:ascii="宋体" w:hAnsi="宋体" w:eastAsia="宋体" w:cs="宋体"/>
                <w:sz w:val="24"/>
              </w:rPr>
              <w:t>评标委员会由5人组成：采购人代表1人，技术、经济等方面的专家4人；</w:t>
            </w:r>
          </w:p>
          <w:p w14:paraId="73AF1EB8">
            <w:pPr>
              <w:spacing w:line="276" w:lineRule="auto"/>
              <w:rPr>
                <w:rFonts w:ascii="宋体" w:hAnsi="宋体" w:eastAsia="宋体" w:cs="宋体"/>
                <w:sz w:val="24"/>
              </w:rPr>
            </w:pPr>
            <w:r>
              <w:rPr>
                <w:rFonts w:hint="eastAsia" w:ascii="宋体" w:hAnsi="宋体" w:eastAsia="宋体" w:cs="宋体"/>
                <w:sz w:val="24"/>
              </w:rPr>
              <w:t>评委专家确定方式：开标后在相应专家库中随机抽取。</w:t>
            </w:r>
          </w:p>
        </w:tc>
      </w:tr>
      <w:tr w14:paraId="43781F62">
        <w:tblPrEx>
          <w:tblCellMar>
            <w:top w:w="0" w:type="dxa"/>
            <w:left w:w="108" w:type="dxa"/>
            <w:bottom w:w="0" w:type="dxa"/>
            <w:right w:w="108" w:type="dxa"/>
          </w:tblCellMar>
        </w:tblPrEx>
        <w:trPr>
          <w:trHeight w:val="692" w:hRule="atLeast"/>
          <w:jc w:val="center"/>
        </w:trPr>
        <w:tc>
          <w:tcPr>
            <w:tcW w:w="852" w:type="dxa"/>
            <w:tcBorders>
              <w:top w:val="single" w:color="000000" w:sz="6" w:space="0"/>
              <w:left w:val="single" w:color="000000" w:sz="12" w:space="0"/>
              <w:bottom w:val="single" w:color="000000" w:sz="6" w:space="0"/>
            </w:tcBorders>
            <w:vAlign w:val="center"/>
          </w:tcPr>
          <w:p w14:paraId="5400D813">
            <w:pPr>
              <w:spacing w:line="280" w:lineRule="exact"/>
              <w:jc w:val="center"/>
              <w:rPr>
                <w:rFonts w:ascii="宋体" w:hAnsi="宋体" w:eastAsia="宋体" w:cs="宋体"/>
                <w:sz w:val="24"/>
              </w:rPr>
            </w:pPr>
            <w:r>
              <w:rPr>
                <w:rFonts w:hint="eastAsia" w:ascii="宋体" w:hAnsi="宋体" w:eastAsia="宋体" w:cs="宋体"/>
                <w:sz w:val="24"/>
              </w:rPr>
              <w:t>32</w:t>
            </w:r>
          </w:p>
        </w:tc>
        <w:tc>
          <w:tcPr>
            <w:tcW w:w="1701" w:type="dxa"/>
            <w:tcBorders>
              <w:top w:val="single" w:color="000000" w:sz="6" w:space="0"/>
              <w:left w:val="single" w:color="000000" w:sz="6" w:space="0"/>
              <w:bottom w:val="single" w:color="000000" w:sz="6" w:space="0"/>
            </w:tcBorders>
            <w:vAlign w:val="center"/>
          </w:tcPr>
          <w:p w14:paraId="0E028E14">
            <w:pPr>
              <w:jc w:val="center"/>
              <w:rPr>
                <w:rFonts w:ascii="宋体" w:hAnsi="宋体" w:eastAsia="宋体" w:cs="宋体"/>
                <w:sz w:val="24"/>
              </w:rPr>
            </w:pPr>
            <w:r>
              <w:rPr>
                <w:rFonts w:hint="eastAsia" w:ascii="宋体" w:hAnsi="宋体" w:eastAsia="宋体" w:cs="宋体"/>
                <w:sz w:val="24"/>
              </w:rPr>
              <w:t>是否授权评标委员会确定中标人</w:t>
            </w:r>
          </w:p>
        </w:tc>
        <w:tc>
          <w:tcPr>
            <w:tcW w:w="7191" w:type="dxa"/>
            <w:tcBorders>
              <w:top w:val="single" w:color="000000" w:sz="6" w:space="0"/>
              <w:left w:val="single" w:color="000000" w:sz="6" w:space="0"/>
              <w:bottom w:val="single" w:color="000000" w:sz="6" w:space="0"/>
              <w:right w:val="single" w:color="000000" w:sz="12" w:space="0"/>
            </w:tcBorders>
            <w:vAlign w:val="center"/>
          </w:tcPr>
          <w:p w14:paraId="098E9BBF">
            <w:pPr>
              <w:spacing w:line="276" w:lineRule="auto"/>
              <w:rPr>
                <w:rFonts w:ascii="宋体" w:hAnsi="宋体" w:eastAsia="宋体" w:cs="宋体"/>
                <w:sz w:val="24"/>
              </w:rPr>
            </w:pPr>
            <w:r>
              <w:rPr>
                <w:rFonts w:hint="eastAsia" w:ascii="宋体" w:hAnsi="宋体" w:eastAsia="宋体" w:cs="宋体"/>
                <w:sz w:val="24"/>
              </w:rPr>
              <w:t>否,推选中标候选人数：1-3名</w:t>
            </w:r>
          </w:p>
        </w:tc>
      </w:tr>
      <w:tr w14:paraId="0134C9BB">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1BA07A27">
            <w:pPr>
              <w:spacing w:line="280" w:lineRule="exact"/>
              <w:jc w:val="center"/>
              <w:rPr>
                <w:rFonts w:ascii="宋体" w:hAnsi="宋体" w:eastAsia="宋体" w:cs="宋体"/>
                <w:sz w:val="24"/>
              </w:rPr>
            </w:pPr>
            <w:r>
              <w:rPr>
                <w:rFonts w:hint="eastAsia" w:ascii="宋体" w:hAnsi="宋体" w:eastAsia="宋体" w:cs="宋体"/>
                <w:sz w:val="24"/>
              </w:rPr>
              <w:t>33</w:t>
            </w:r>
          </w:p>
        </w:tc>
        <w:tc>
          <w:tcPr>
            <w:tcW w:w="1701" w:type="dxa"/>
            <w:tcBorders>
              <w:top w:val="single" w:color="000000" w:sz="6" w:space="0"/>
              <w:left w:val="single" w:color="000000" w:sz="6" w:space="0"/>
              <w:bottom w:val="single" w:color="000000" w:sz="6" w:space="0"/>
            </w:tcBorders>
            <w:vAlign w:val="center"/>
          </w:tcPr>
          <w:p w14:paraId="78CEECCD">
            <w:pPr>
              <w:jc w:val="center"/>
              <w:rPr>
                <w:rFonts w:hint="eastAsia" w:ascii="宋体" w:hAnsi="宋体" w:eastAsia="宋体" w:cs="宋体"/>
                <w:sz w:val="24"/>
              </w:rPr>
            </w:pPr>
            <w:r>
              <w:rPr>
                <w:rFonts w:hint="eastAsia" w:ascii="宋体" w:hAnsi="宋体" w:eastAsia="宋体" w:cs="宋体"/>
                <w:sz w:val="24"/>
              </w:rPr>
              <w:t>报价</w:t>
            </w:r>
          </w:p>
        </w:tc>
        <w:tc>
          <w:tcPr>
            <w:tcW w:w="7191" w:type="dxa"/>
            <w:tcBorders>
              <w:top w:val="single" w:color="000000" w:sz="6" w:space="0"/>
              <w:left w:val="single" w:color="000000" w:sz="6" w:space="0"/>
              <w:bottom w:val="single" w:color="000000" w:sz="6" w:space="0"/>
              <w:right w:val="single" w:color="000000" w:sz="12" w:space="0"/>
            </w:tcBorders>
            <w:vAlign w:val="center"/>
          </w:tcPr>
          <w:p w14:paraId="1C2AD0CA">
            <w:pPr>
              <w:spacing w:line="276" w:lineRule="auto"/>
              <w:rPr>
                <w:rFonts w:hint="eastAsia" w:ascii="宋体" w:hAnsi="宋体" w:eastAsia="宋体" w:cs="宋体"/>
                <w:sz w:val="24"/>
              </w:rPr>
            </w:pPr>
            <w:r>
              <w:rPr>
                <w:rFonts w:hint="eastAsia" w:ascii="宋体" w:hAnsi="宋体" w:eastAsia="宋体" w:cs="宋体"/>
                <w:sz w:val="24"/>
              </w:rPr>
              <w:t>本项目应以人民币报价，投标供应商就该项目完整投标（包含设备</w:t>
            </w:r>
            <w:r>
              <w:rPr>
                <w:rFonts w:hint="eastAsia" w:ascii="宋体" w:hAnsi="宋体" w:eastAsia="宋体" w:cs="宋体"/>
                <w:sz w:val="24"/>
                <w:lang w:val="en-US" w:eastAsia="zh-CN"/>
              </w:rPr>
              <w:t>及软硬件</w:t>
            </w:r>
            <w:r>
              <w:rPr>
                <w:rFonts w:hint="eastAsia" w:ascii="宋体" w:hAnsi="宋体" w:eastAsia="宋体" w:cs="宋体"/>
                <w:sz w:val="24"/>
              </w:rPr>
              <w:t>价、备品备件价、检验费、包装费、装卸费、运输费、税金（含关税、增值税。税金最终按甲方规定执行）、安装调试费、检测验收费、培训费及其他所有费用），采购人不另外支付其他任何费用；</w:t>
            </w:r>
          </w:p>
        </w:tc>
      </w:tr>
      <w:tr w14:paraId="43C2C65D">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7D06183A">
            <w:pPr>
              <w:spacing w:line="280" w:lineRule="exact"/>
              <w:jc w:val="center"/>
              <w:rPr>
                <w:rFonts w:ascii="宋体" w:hAnsi="宋体" w:eastAsia="宋体" w:cs="宋体"/>
                <w:sz w:val="24"/>
              </w:rPr>
            </w:pPr>
            <w:r>
              <w:rPr>
                <w:rFonts w:hint="eastAsia" w:ascii="宋体" w:hAnsi="宋体" w:eastAsia="宋体" w:cs="宋体"/>
                <w:sz w:val="24"/>
              </w:rPr>
              <w:t>34</w:t>
            </w:r>
          </w:p>
        </w:tc>
        <w:tc>
          <w:tcPr>
            <w:tcW w:w="1701" w:type="dxa"/>
            <w:tcBorders>
              <w:top w:val="single" w:color="000000" w:sz="6" w:space="0"/>
              <w:left w:val="single" w:color="000000" w:sz="6" w:space="0"/>
              <w:bottom w:val="single" w:color="000000" w:sz="6" w:space="0"/>
            </w:tcBorders>
            <w:vAlign w:val="center"/>
          </w:tcPr>
          <w:p w14:paraId="63C263EF">
            <w:pPr>
              <w:wordWrap w:val="0"/>
              <w:spacing w:line="360" w:lineRule="auto"/>
              <w:rPr>
                <w:rFonts w:ascii="宋体" w:hAnsi="宋体" w:cs="宋体"/>
                <w:sz w:val="24"/>
              </w:rPr>
            </w:pPr>
            <w:r>
              <w:rPr>
                <w:rFonts w:hint="eastAsia" w:ascii="宋体" w:hAnsi="宋体"/>
                <w:color w:val="000000"/>
                <w:kern w:val="0"/>
                <w:sz w:val="24"/>
              </w:rPr>
              <w:t>本项目对应的中小企业划分标准所属行业</w:t>
            </w:r>
          </w:p>
        </w:tc>
        <w:tc>
          <w:tcPr>
            <w:tcW w:w="7191" w:type="dxa"/>
            <w:tcBorders>
              <w:top w:val="single" w:color="000000" w:sz="6" w:space="0"/>
              <w:left w:val="single" w:color="000000" w:sz="6" w:space="0"/>
              <w:bottom w:val="single" w:color="000000" w:sz="6" w:space="0"/>
              <w:right w:val="single" w:color="000000" w:sz="12" w:space="0"/>
            </w:tcBorders>
            <w:vAlign w:val="center"/>
          </w:tcPr>
          <w:p w14:paraId="288A00E2">
            <w:pPr>
              <w:adjustRightInd w:val="0"/>
              <w:snapToGrid w:val="0"/>
              <w:spacing w:line="336" w:lineRule="auto"/>
              <w:rPr>
                <w:rFonts w:hint="default" w:eastAsiaTheme="minorEastAsia"/>
                <w:lang w:val="en-US" w:eastAsia="zh-CN"/>
              </w:rPr>
            </w:pPr>
            <w:r>
              <w:rPr>
                <w:rFonts w:hint="eastAsia" w:ascii="宋体" w:hAnsi="宋体" w:cs="宋体"/>
                <w:sz w:val="24"/>
                <w:lang w:val="en-US" w:eastAsia="zh-CN"/>
              </w:rPr>
              <w:t>软件和信息技术服务业</w:t>
            </w:r>
          </w:p>
        </w:tc>
      </w:tr>
      <w:tr w14:paraId="01150297">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57AEDC9F">
            <w:pPr>
              <w:spacing w:line="280" w:lineRule="exact"/>
              <w:jc w:val="center"/>
              <w:rPr>
                <w:rFonts w:ascii="宋体" w:hAnsi="宋体" w:eastAsia="宋体" w:cs="宋体"/>
                <w:sz w:val="24"/>
              </w:rPr>
            </w:pPr>
            <w:r>
              <w:rPr>
                <w:rFonts w:hint="eastAsia" w:ascii="宋体" w:hAnsi="宋体" w:eastAsia="宋体" w:cs="宋体"/>
                <w:sz w:val="24"/>
              </w:rPr>
              <w:t>35</w:t>
            </w:r>
          </w:p>
        </w:tc>
        <w:tc>
          <w:tcPr>
            <w:tcW w:w="1701" w:type="dxa"/>
            <w:tcBorders>
              <w:top w:val="single" w:color="000000" w:sz="6" w:space="0"/>
              <w:left w:val="single" w:color="000000" w:sz="6" w:space="0"/>
              <w:bottom w:val="single" w:color="000000" w:sz="6" w:space="0"/>
            </w:tcBorders>
            <w:vAlign w:val="center"/>
          </w:tcPr>
          <w:p w14:paraId="1F278E7C">
            <w:pPr>
              <w:widowControl/>
              <w:adjustRightInd w:val="0"/>
              <w:snapToGrid w:val="0"/>
              <w:jc w:val="center"/>
              <w:rPr>
                <w:rFonts w:ascii="宋体" w:hAnsi="宋体"/>
                <w:color w:val="000000"/>
                <w:kern w:val="0"/>
                <w:sz w:val="24"/>
              </w:rPr>
            </w:pPr>
            <w:r>
              <w:rPr>
                <w:rFonts w:hint="eastAsia" w:ascii="宋体" w:hAnsi="宋体" w:cs="Courier New"/>
                <w:color w:val="000000"/>
                <w:kern w:val="0"/>
                <w:sz w:val="24"/>
              </w:rPr>
              <w:t>其他事项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5B5C7EF">
            <w:pPr>
              <w:widowControl/>
              <w:tabs>
                <w:tab w:val="left" w:pos="0"/>
              </w:tabs>
              <w:autoSpaceDE w:val="0"/>
              <w:autoSpaceDN w:val="0"/>
              <w:adjustRightInd w:val="0"/>
              <w:snapToGrid w:val="0"/>
              <w:ind w:firstLine="480" w:firstLineChars="200"/>
              <w:jc w:val="left"/>
              <w:rPr>
                <w:rFonts w:ascii="宋体" w:hAnsi="宋体" w:cs="宋体"/>
                <w:kern w:val="0"/>
                <w:sz w:val="24"/>
                <w:lang w:val="zh-CN"/>
              </w:rPr>
            </w:pPr>
            <w:r>
              <w:rPr>
                <w:rFonts w:hint="eastAsia" w:ascii="宋体" w:hAnsi="宋体" w:cs="宋体"/>
                <w:kern w:val="0"/>
                <w:sz w:val="24"/>
                <w:lang w:val="zh-CN"/>
              </w:rPr>
              <w:t>为贯彻落实《国务院关于印发扎实稳住经济一揽子政策措施的通知》（国发〔2022〕12号）有关要求，未预留份额专门面向中小企业的货物服务采购项目，以及货物服务预留份额项目中非预留部分采购包：对符合财库(2020) 46号文件规定小微企业的价格扣除优惠，由10%提高至20%，接受大中型企业与小微企业组成联合体或者允许大中型企业向一家或者多家小微企业分包的货物服务项目，联合协议或者分包意向协议约定小微企业的合同份额占到合同总金额的30%以上的，对联合体或者大中型企业的价格扣除优惠，由4%提高至6%,用扣除后的价格参与评审。工程类政府采购项目存在价格评审的，价格评审优惠按照财库【2020】46号文件的规定执行。</w:t>
            </w:r>
          </w:p>
          <w:p w14:paraId="6B204E8A">
            <w:pPr>
              <w:widowControl/>
              <w:tabs>
                <w:tab w:val="left" w:pos="0"/>
              </w:tabs>
              <w:autoSpaceDE w:val="0"/>
              <w:autoSpaceDN w:val="0"/>
              <w:adjustRightInd w:val="0"/>
              <w:snapToGrid w:val="0"/>
              <w:jc w:val="left"/>
              <w:rPr>
                <w:rFonts w:ascii="宋体" w:hAnsi="宋体"/>
                <w:color w:val="000000"/>
                <w:kern w:val="0"/>
                <w:sz w:val="24"/>
              </w:rPr>
            </w:pPr>
            <w:r>
              <w:rPr>
                <w:rFonts w:hint="eastAsia" w:ascii="宋体" w:hAnsi="宋体" w:cs="宋体"/>
                <w:b/>
                <w:kern w:val="0"/>
                <w:sz w:val="24"/>
                <w:lang w:val="zh-CN"/>
              </w:rPr>
              <w:t>因本项目支持中小企业（监狱、残疾人福利性单位），若供应商提供《中小企业声明函》或《残疾人福利性单位声明函》或《监狱企业证明文件》时，价格评审采用比例扣除。</w:t>
            </w:r>
          </w:p>
        </w:tc>
      </w:tr>
      <w:tr w14:paraId="0294BF8A">
        <w:tblPrEx>
          <w:tblCellMar>
            <w:top w:w="0" w:type="dxa"/>
            <w:left w:w="108" w:type="dxa"/>
            <w:bottom w:w="0" w:type="dxa"/>
            <w:right w:w="108" w:type="dxa"/>
          </w:tblCellMar>
        </w:tblPrEx>
        <w:trPr>
          <w:trHeight w:val="613" w:hRule="atLeast"/>
          <w:jc w:val="center"/>
        </w:trPr>
        <w:tc>
          <w:tcPr>
            <w:tcW w:w="852" w:type="dxa"/>
            <w:tcBorders>
              <w:top w:val="single" w:color="000000" w:sz="6" w:space="0"/>
              <w:left w:val="single" w:color="000000" w:sz="12" w:space="0"/>
              <w:bottom w:val="single" w:color="000000" w:sz="6" w:space="0"/>
            </w:tcBorders>
            <w:vAlign w:val="center"/>
          </w:tcPr>
          <w:p w14:paraId="6C87F2F6">
            <w:pPr>
              <w:spacing w:line="280" w:lineRule="exact"/>
              <w:jc w:val="center"/>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6</w:t>
            </w:r>
          </w:p>
        </w:tc>
        <w:tc>
          <w:tcPr>
            <w:tcW w:w="1701" w:type="dxa"/>
            <w:tcBorders>
              <w:top w:val="single" w:color="000000" w:sz="6" w:space="0"/>
              <w:left w:val="single" w:color="000000" w:sz="6" w:space="0"/>
              <w:bottom w:val="single" w:color="000000" w:sz="6" w:space="0"/>
            </w:tcBorders>
            <w:vAlign w:val="center"/>
          </w:tcPr>
          <w:p w14:paraId="55A91CE2">
            <w:pPr>
              <w:widowControl/>
              <w:adjustRightInd w:val="0"/>
              <w:snapToGrid w:val="0"/>
              <w:spacing w:line="320" w:lineRule="exact"/>
              <w:jc w:val="center"/>
              <w:rPr>
                <w:rFonts w:hint="eastAsia" w:ascii="宋体" w:hAnsi="宋体" w:cs="Courier New"/>
                <w:color w:val="000000"/>
                <w:kern w:val="0"/>
                <w:sz w:val="24"/>
              </w:rPr>
            </w:pPr>
            <w:r>
              <w:rPr>
                <w:rFonts w:hint="eastAsia" w:ascii="宋体" w:hAnsi="宋体" w:cs="Courier New"/>
                <w:color w:val="000000"/>
                <w:kern w:val="0"/>
                <w:sz w:val="24"/>
                <w:szCs w:val="24"/>
              </w:rPr>
              <w:t>河南省政府采购合同融资政策告知函</w:t>
            </w:r>
          </w:p>
        </w:tc>
        <w:tc>
          <w:tcPr>
            <w:tcW w:w="7191" w:type="dxa"/>
            <w:tcBorders>
              <w:top w:val="single" w:color="000000" w:sz="6" w:space="0"/>
              <w:left w:val="single" w:color="000000" w:sz="6" w:space="0"/>
              <w:bottom w:val="single" w:color="000000" w:sz="6" w:space="0"/>
              <w:right w:val="single" w:color="000000" w:sz="12" w:space="0"/>
            </w:tcBorders>
            <w:vAlign w:val="center"/>
          </w:tcPr>
          <w:p w14:paraId="3DCC54A4">
            <w:pPr>
              <w:widowControl/>
              <w:tabs>
                <w:tab w:val="left" w:pos="0"/>
              </w:tabs>
              <w:autoSpaceDE w:val="0"/>
              <w:autoSpaceDN w:val="0"/>
              <w:adjustRightInd w:val="0"/>
              <w:snapToGrid w:val="0"/>
              <w:spacing w:line="320" w:lineRule="exact"/>
              <w:jc w:val="left"/>
              <w:rPr>
                <w:rFonts w:ascii="宋体" w:hAnsi="宋体" w:cs="Courier New"/>
                <w:color w:val="000000"/>
                <w:kern w:val="0"/>
                <w:sz w:val="24"/>
                <w:szCs w:val="24"/>
              </w:rPr>
            </w:pPr>
            <w:r>
              <w:rPr>
                <w:rFonts w:hint="eastAsia" w:ascii="宋体" w:hAnsi="宋体" w:cs="Courier New"/>
                <w:color w:val="000000"/>
                <w:kern w:val="0"/>
                <w:sz w:val="24"/>
                <w:szCs w:val="24"/>
              </w:rPr>
              <w:t>各投标供应商：</w:t>
            </w:r>
          </w:p>
          <w:p w14:paraId="276DDC7C">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欢迎贵公司参与河南省政府采购活动！</w:t>
            </w:r>
          </w:p>
          <w:p w14:paraId="051D54BB">
            <w:pPr>
              <w:widowControl/>
              <w:tabs>
                <w:tab w:val="left" w:pos="0"/>
              </w:tabs>
              <w:autoSpaceDE w:val="0"/>
              <w:autoSpaceDN w:val="0"/>
              <w:adjustRightInd w:val="0"/>
              <w:snapToGrid w:val="0"/>
              <w:spacing w:line="320" w:lineRule="exact"/>
              <w:ind w:firstLine="453" w:firstLineChars="189"/>
              <w:jc w:val="left"/>
              <w:rPr>
                <w:rFonts w:ascii="宋体" w:hAnsi="宋体" w:cs="Courier New"/>
                <w:color w:val="000000"/>
                <w:kern w:val="0"/>
                <w:sz w:val="24"/>
                <w:szCs w:val="24"/>
              </w:rPr>
            </w:pPr>
            <w:r>
              <w:rPr>
                <w:rFonts w:hint="eastAsia" w:ascii="宋体" w:hAnsi="宋体" w:cs="Courier New"/>
                <w:color w:val="000000"/>
                <w:kern w:val="0"/>
                <w:sz w:val="24"/>
                <w:szCs w:val="24"/>
              </w:rPr>
              <w:t>政府采购合同融资是河南省财政厅支持中小微企业发展，针对参与政府采购活动的投标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25BD17BD">
            <w:pPr>
              <w:widowControl/>
              <w:tabs>
                <w:tab w:val="left" w:pos="0"/>
              </w:tabs>
              <w:autoSpaceDE w:val="0"/>
              <w:autoSpaceDN w:val="0"/>
              <w:adjustRightInd w:val="0"/>
              <w:snapToGrid w:val="0"/>
              <w:spacing w:line="320" w:lineRule="exact"/>
              <w:ind w:firstLine="453" w:firstLineChars="189"/>
              <w:jc w:val="left"/>
              <w:rPr>
                <w:rFonts w:hint="eastAsia" w:ascii="宋体" w:hAnsi="宋体" w:cs="宋体"/>
                <w:b/>
                <w:kern w:val="0"/>
                <w:sz w:val="24"/>
                <w:lang w:val="zh-CN"/>
              </w:rPr>
            </w:pPr>
            <w:r>
              <w:rPr>
                <w:rFonts w:hint="eastAsia" w:ascii="宋体" w:hAnsi="宋体" w:cs="Courier New"/>
                <w:color w:val="000000"/>
                <w:kern w:val="0"/>
                <w:sz w:val="24"/>
                <w:szCs w:val="24"/>
              </w:rPr>
              <w:t>贷款渠道和提供贷款的金融机构，可在河南省政府采购网“河南省政府采购合同融资平台”查询联系。</w:t>
            </w:r>
          </w:p>
        </w:tc>
      </w:tr>
      <w:tr w14:paraId="1CAC6338">
        <w:tblPrEx>
          <w:tblCellMar>
            <w:top w:w="0" w:type="dxa"/>
            <w:left w:w="108" w:type="dxa"/>
            <w:bottom w:w="0" w:type="dxa"/>
            <w:right w:w="108" w:type="dxa"/>
          </w:tblCellMar>
        </w:tblPrEx>
        <w:trPr>
          <w:trHeight w:val="970" w:hRule="atLeast"/>
          <w:jc w:val="center"/>
        </w:trPr>
        <w:tc>
          <w:tcPr>
            <w:tcW w:w="852" w:type="dxa"/>
            <w:tcBorders>
              <w:top w:val="single" w:color="000000" w:sz="6" w:space="0"/>
              <w:left w:val="single" w:color="000000" w:sz="12" w:space="0"/>
              <w:bottom w:val="single" w:color="000000" w:sz="6" w:space="0"/>
            </w:tcBorders>
            <w:vAlign w:val="center"/>
          </w:tcPr>
          <w:p w14:paraId="5AE346C0">
            <w:pPr>
              <w:spacing w:line="280" w:lineRule="exact"/>
              <w:jc w:val="center"/>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val="en-US" w:eastAsia="zh-CN"/>
              </w:rPr>
              <w:t>7</w:t>
            </w:r>
          </w:p>
        </w:tc>
        <w:tc>
          <w:tcPr>
            <w:tcW w:w="1701" w:type="dxa"/>
            <w:tcBorders>
              <w:top w:val="single" w:color="000000" w:sz="6" w:space="0"/>
              <w:left w:val="single" w:color="000000" w:sz="6" w:space="0"/>
              <w:bottom w:val="single" w:color="000000" w:sz="6" w:space="0"/>
            </w:tcBorders>
            <w:vAlign w:val="center"/>
          </w:tcPr>
          <w:p w14:paraId="50CB32CB">
            <w:pPr>
              <w:jc w:val="center"/>
              <w:rPr>
                <w:rFonts w:ascii="宋体" w:hAnsi="宋体" w:eastAsia="宋体" w:cs="宋体"/>
                <w:sz w:val="24"/>
              </w:rPr>
            </w:pPr>
            <w:r>
              <w:rPr>
                <w:rFonts w:hint="eastAsia" w:ascii="宋体" w:hAnsi="宋体" w:eastAsia="宋体" w:cs="宋体"/>
                <w:sz w:val="24"/>
              </w:rPr>
              <w:t>招标代理服务费</w:t>
            </w:r>
          </w:p>
        </w:tc>
        <w:tc>
          <w:tcPr>
            <w:tcW w:w="7191" w:type="dxa"/>
            <w:tcBorders>
              <w:top w:val="single" w:color="000000" w:sz="6" w:space="0"/>
              <w:left w:val="single" w:color="000000" w:sz="6" w:space="0"/>
              <w:bottom w:val="single" w:color="000000" w:sz="6" w:space="0"/>
              <w:right w:val="single" w:color="000000" w:sz="12" w:space="0"/>
            </w:tcBorders>
            <w:vAlign w:val="center"/>
          </w:tcPr>
          <w:p w14:paraId="5E8F8055">
            <w:pPr>
              <w:spacing w:line="276" w:lineRule="auto"/>
              <w:rPr>
                <w:rFonts w:ascii="宋体" w:hAnsi="宋体" w:eastAsia="宋体" w:cs="宋体"/>
                <w:kern w:val="0"/>
                <w:sz w:val="24"/>
              </w:rPr>
            </w:pPr>
            <w:r>
              <w:rPr>
                <w:rFonts w:hint="eastAsia" w:ascii="宋体" w:hAnsi="宋体" w:eastAsia="宋体" w:cs="宋体"/>
                <w:kern w:val="0"/>
                <w:sz w:val="24"/>
              </w:rPr>
              <w:t>本项目代理服务费根据《河南省招标代理服务收费指导意见（豫招协【2023】002号）》有关规定收取。</w:t>
            </w:r>
          </w:p>
        </w:tc>
      </w:tr>
      <w:tr w14:paraId="6AF31580">
        <w:tblPrEx>
          <w:tblCellMar>
            <w:top w:w="0" w:type="dxa"/>
            <w:left w:w="108" w:type="dxa"/>
            <w:bottom w:w="0" w:type="dxa"/>
            <w:right w:w="108" w:type="dxa"/>
          </w:tblCellMar>
        </w:tblPrEx>
        <w:trPr>
          <w:trHeight w:val="1134" w:hRule="atLeast"/>
          <w:jc w:val="center"/>
        </w:trPr>
        <w:tc>
          <w:tcPr>
            <w:tcW w:w="852" w:type="dxa"/>
            <w:tcBorders>
              <w:top w:val="single" w:color="000000" w:sz="6" w:space="0"/>
              <w:left w:val="single" w:color="000000" w:sz="12" w:space="0"/>
              <w:bottom w:val="single" w:color="000000" w:sz="6" w:space="0"/>
            </w:tcBorders>
            <w:vAlign w:val="center"/>
          </w:tcPr>
          <w:p w14:paraId="271428F1">
            <w:pPr>
              <w:spacing w:line="280" w:lineRule="exact"/>
              <w:jc w:val="center"/>
              <w:rPr>
                <w:rFonts w:hint="default" w:ascii="宋体" w:hAnsi="宋体" w:eastAsia="宋体" w:cs="宋体"/>
                <w:sz w:val="24"/>
                <w:lang w:val="en-US" w:eastAsia="zh-CN"/>
              </w:rPr>
            </w:pPr>
            <w:r>
              <w:rPr>
                <w:rFonts w:hint="eastAsia" w:ascii="宋体" w:hAnsi="宋体" w:eastAsia="宋体" w:cs="宋体"/>
                <w:sz w:val="24"/>
                <w:lang w:val="en-US" w:eastAsia="zh-CN"/>
              </w:rPr>
              <w:t>38</w:t>
            </w:r>
          </w:p>
        </w:tc>
        <w:tc>
          <w:tcPr>
            <w:tcW w:w="1701" w:type="dxa"/>
            <w:tcBorders>
              <w:top w:val="single" w:color="000000" w:sz="6" w:space="0"/>
              <w:left w:val="single" w:color="000000" w:sz="6" w:space="0"/>
              <w:bottom w:val="single" w:color="000000" w:sz="6" w:space="0"/>
            </w:tcBorders>
            <w:vAlign w:val="center"/>
          </w:tcPr>
          <w:p w14:paraId="04DFF9C7">
            <w:pPr>
              <w:jc w:val="center"/>
              <w:rPr>
                <w:rFonts w:ascii="宋体" w:hAnsi="宋体" w:eastAsia="宋体" w:cs="宋体"/>
                <w:sz w:val="24"/>
              </w:rPr>
            </w:pPr>
            <w:r>
              <w:rPr>
                <w:rFonts w:ascii="宋体" w:hAnsi="宋体" w:cs="Courier New"/>
                <w:color w:val="000000"/>
                <w:kern w:val="0"/>
                <w:sz w:val="24"/>
              </w:rPr>
              <w:t>其它需要说明的内容</w:t>
            </w:r>
          </w:p>
        </w:tc>
        <w:tc>
          <w:tcPr>
            <w:tcW w:w="7191" w:type="dxa"/>
            <w:tcBorders>
              <w:top w:val="single" w:color="000000" w:sz="6" w:space="0"/>
              <w:left w:val="single" w:color="000000" w:sz="6" w:space="0"/>
              <w:bottom w:val="single" w:color="000000" w:sz="6" w:space="0"/>
              <w:right w:val="single" w:color="000000" w:sz="12" w:space="0"/>
            </w:tcBorders>
            <w:vAlign w:val="center"/>
          </w:tcPr>
          <w:p w14:paraId="687D513B">
            <w:pPr>
              <w:spacing w:line="276" w:lineRule="auto"/>
              <w:rPr>
                <w:rFonts w:ascii="宋体" w:hAnsi="宋体" w:eastAsia="宋体" w:cs="宋体"/>
                <w:sz w:val="24"/>
              </w:rPr>
            </w:pPr>
            <w:r>
              <w:rPr>
                <w:rFonts w:hint="eastAsia" w:ascii="宋体" w:hAnsi="宋体" w:eastAsia="宋体" w:cs="宋体"/>
                <w:sz w:val="24"/>
              </w:rPr>
              <w:t>1、投标人在供货期间必须采取相应措施以保证供货安全；</w:t>
            </w:r>
          </w:p>
          <w:p w14:paraId="2C7374F4">
            <w:pPr>
              <w:spacing w:line="276" w:lineRule="auto"/>
              <w:rPr>
                <w:rFonts w:ascii="宋体" w:hAnsi="宋体" w:eastAsia="宋体" w:cs="宋体"/>
                <w:sz w:val="24"/>
              </w:rPr>
            </w:pPr>
            <w:r>
              <w:rPr>
                <w:rFonts w:hint="eastAsia" w:ascii="宋体" w:hAnsi="宋体" w:eastAsia="宋体" w:cs="宋体"/>
                <w:sz w:val="24"/>
              </w:rPr>
              <w:t>2、中标通知书发出后，中标人必须及时与采购人签订采购合同；</w:t>
            </w:r>
          </w:p>
          <w:p w14:paraId="78630AFA">
            <w:pPr>
              <w:numPr>
                <w:ilvl w:val="0"/>
                <w:numId w:val="6"/>
              </w:numPr>
              <w:spacing w:line="276" w:lineRule="auto"/>
              <w:rPr>
                <w:rFonts w:ascii="宋体" w:hAnsi="宋体" w:eastAsia="宋体" w:cs="宋体"/>
                <w:sz w:val="24"/>
              </w:rPr>
            </w:pPr>
            <w:r>
              <w:rPr>
                <w:rFonts w:hint="eastAsia" w:ascii="宋体" w:hAnsi="宋体" w:eastAsia="宋体" w:cs="宋体"/>
                <w:sz w:val="24"/>
              </w:rPr>
              <w:t>本招标文件未尽事宜，执行国家、省、市相关规定。</w:t>
            </w:r>
          </w:p>
        </w:tc>
      </w:tr>
      <w:tr w14:paraId="5CDE9430">
        <w:tblPrEx>
          <w:tblCellMar>
            <w:top w:w="0" w:type="dxa"/>
            <w:left w:w="108" w:type="dxa"/>
            <w:bottom w:w="0" w:type="dxa"/>
            <w:right w:w="108" w:type="dxa"/>
          </w:tblCellMar>
        </w:tblPrEx>
        <w:trPr>
          <w:trHeight w:val="422" w:hRule="atLeast"/>
          <w:jc w:val="center"/>
        </w:trPr>
        <w:tc>
          <w:tcPr>
            <w:tcW w:w="852" w:type="dxa"/>
            <w:tcBorders>
              <w:top w:val="single" w:color="000000" w:sz="6" w:space="0"/>
              <w:left w:val="single" w:color="000000" w:sz="12" w:space="0"/>
              <w:bottom w:val="single" w:color="000000" w:sz="12" w:space="0"/>
            </w:tcBorders>
            <w:vAlign w:val="center"/>
          </w:tcPr>
          <w:p w14:paraId="02217FDA">
            <w:pPr>
              <w:spacing w:line="440" w:lineRule="exact"/>
              <w:rPr>
                <w:rFonts w:ascii="宋体" w:hAnsi="宋体" w:eastAsia="宋体" w:cs="宋体"/>
                <w:b/>
                <w:bCs/>
                <w:sz w:val="24"/>
              </w:rPr>
            </w:pPr>
            <w:r>
              <w:rPr>
                <w:rFonts w:hint="eastAsia" w:ascii="宋体" w:hAnsi="宋体" w:eastAsia="宋体" w:cs="宋体"/>
                <w:b/>
                <w:bCs/>
                <w:sz w:val="24"/>
              </w:rPr>
              <w:t>电子化交易注意事项</w:t>
            </w:r>
          </w:p>
        </w:tc>
        <w:tc>
          <w:tcPr>
            <w:tcW w:w="8892" w:type="dxa"/>
            <w:gridSpan w:val="2"/>
            <w:tcBorders>
              <w:top w:val="single" w:color="000000" w:sz="6" w:space="0"/>
              <w:left w:val="single" w:color="000000" w:sz="12" w:space="0"/>
              <w:bottom w:val="single" w:color="000000" w:sz="12" w:space="0"/>
              <w:right w:val="single" w:color="000000" w:sz="12" w:space="0"/>
            </w:tcBorders>
            <w:vAlign w:val="center"/>
          </w:tcPr>
          <w:p w14:paraId="1376912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本项目为电子化、无纸化交易项目，投标文件是投标人、投标人（以下简称“</w:t>
            </w:r>
            <w:r>
              <w:rPr>
                <w:rFonts w:hint="eastAsia" w:ascii="宋体" w:hAnsi="宋体" w:eastAsia="宋体" w:cs="宋体"/>
                <w:sz w:val="24"/>
              </w:rPr>
              <w:t>投标人</w:t>
            </w:r>
            <w:r>
              <w:rPr>
                <w:rFonts w:hint="eastAsia" w:ascii="宋体" w:hAnsi="宋体" w:eastAsia="宋体" w:cs="宋体"/>
                <w:b/>
                <w:bCs/>
                <w:kern w:val="0"/>
                <w:sz w:val="24"/>
              </w:rPr>
              <w:t>”）通过中心投标文件制作系统制作，并经过电子签章和加密后生成的电子版投标文件。投标人投标时，将不再接受任何纸质文件资料。</w:t>
            </w:r>
          </w:p>
          <w:p w14:paraId="1DA701BE">
            <w:pPr>
              <w:spacing w:line="400" w:lineRule="exact"/>
              <w:ind w:firstLine="480"/>
              <w:rPr>
                <w:rFonts w:ascii="宋体" w:hAnsi="宋体" w:eastAsia="宋体" w:cs="宋体"/>
                <w:bCs/>
                <w:kern w:val="0"/>
                <w:sz w:val="24"/>
              </w:rPr>
            </w:pPr>
            <w:r>
              <w:rPr>
                <w:rFonts w:hint="eastAsia" w:ascii="宋体" w:hAnsi="宋体" w:eastAsia="宋体" w:cs="宋体"/>
                <w:bCs/>
                <w:kern w:val="0"/>
                <w:sz w:val="24"/>
              </w:rPr>
              <w:t>电子化投标文件具体制作教材请投标人通过CA证书登录三门峡市公共资源电子化交易系统在 “下载专区”中查看。</w:t>
            </w:r>
          </w:p>
          <w:p w14:paraId="1E0CC87A">
            <w:pPr>
              <w:spacing w:line="400" w:lineRule="exact"/>
              <w:ind w:firstLine="482"/>
              <w:rPr>
                <w:rFonts w:ascii="宋体" w:hAnsi="宋体" w:eastAsia="宋体" w:cs="宋体"/>
                <w:b/>
                <w:bCs/>
                <w:kern w:val="0"/>
                <w:sz w:val="24"/>
              </w:rPr>
            </w:pPr>
            <w:r>
              <w:rPr>
                <w:rFonts w:hint="eastAsia" w:ascii="宋体" w:hAnsi="宋体" w:eastAsia="宋体" w:cs="宋体"/>
                <w:b/>
                <w:bCs/>
                <w:kern w:val="0"/>
                <w:sz w:val="24"/>
              </w:rPr>
              <w:t>温馨提示：本项目为电子化、无纸化交易项目，开标时不接受任何纸质资料，为保证您能投标成功，请需仔细阅读以下条款。</w:t>
            </w:r>
          </w:p>
          <w:p w14:paraId="3624DF91">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w:t>
            </w:r>
          </w:p>
          <w:p w14:paraId="1085777C">
            <w:pPr>
              <w:spacing w:line="400" w:lineRule="exact"/>
              <w:ind w:firstLine="276" w:firstLineChars="115"/>
              <w:rPr>
                <w:rFonts w:ascii="宋体" w:hAnsi="宋体" w:eastAsia="宋体" w:cs="宋体"/>
                <w:sz w:val="24"/>
              </w:rPr>
            </w:pPr>
            <w:r>
              <w:rPr>
                <w:rFonts w:hint="eastAsia" w:ascii="宋体" w:hAnsi="宋体" w:eastAsia="宋体" w:cs="宋体"/>
                <w:sz w:val="24"/>
              </w:rPr>
              <w:t>（一）电子化投标文件的签章</w:t>
            </w:r>
          </w:p>
          <w:p w14:paraId="27DA1B51">
            <w:pPr>
              <w:spacing w:line="400" w:lineRule="exact"/>
              <w:ind w:firstLine="276" w:firstLineChars="115"/>
              <w:rPr>
                <w:rFonts w:ascii="宋体" w:hAnsi="宋体" w:eastAsia="宋体" w:cs="宋体"/>
                <w:sz w:val="24"/>
              </w:rPr>
            </w:pPr>
            <w:r>
              <w:rPr>
                <w:rFonts w:hint="eastAsia" w:ascii="宋体" w:hAnsi="宋体" w:eastAsia="宋体" w:cs="宋体"/>
                <w:sz w:val="24"/>
              </w:rPr>
              <w:t>1、投标人在生成电子化投标文件后，应对电子化投标文件进行签章，未进行签章的视为无效投标。</w:t>
            </w:r>
          </w:p>
          <w:p w14:paraId="14700950">
            <w:pPr>
              <w:spacing w:line="400" w:lineRule="exact"/>
              <w:ind w:firstLine="276" w:firstLineChars="115"/>
              <w:rPr>
                <w:rFonts w:ascii="宋体" w:hAnsi="宋体" w:eastAsia="宋体" w:cs="宋体"/>
                <w:sz w:val="24"/>
              </w:rPr>
            </w:pPr>
            <w:r>
              <w:rPr>
                <w:rFonts w:hint="eastAsia" w:ascii="宋体" w:hAnsi="宋体" w:eastAsia="宋体" w:cs="宋体"/>
                <w:sz w:val="24"/>
              </w:rPr>
              <w:t>2、投标文件中要求法定代表人或授权委托人盖章的，投标人在进行电子化投标文件签章时，以签盖法定代表人签章为准。电子化投标文件具体制作教材请投标人通过CA证书登录三门峡市公共资源电子化交易系统在右上角“交易智库”中查看。电子化投标文件工具请点击：</w:t>
            </w:r>
          </w:p>
          <w:p w14:paraId="2F5C8D33">
            <w:pPr>
              <w:spacing w:line="400" w:lineRule="exact"/>
              <w:ind w:firstLine="276" w:firstLineChars="115"/>
              <w:rPr>
                <w:rFonts w:ascii="宋体" w:hAnsi="宋体" w:eastAsia="宋体" w:cs="宋体"/>
                <w:sz w:val="24"/>
              </w:rPr>
            </w:pPr>
            <w:r>
              <w:rPr>
                <w:rFonts w:hint="eastAsia" w:ascii="宋体" w:hAnsi="宋体" w:eastAsia="宋体" w:cs="宋体"/>
                <w:sz w:val="24"/>
              </w:rPr>
              <w:t>http://gzjy.smx.gov.cn/fwzn/moreinfo.html进行下载。</w:t>
            </w:r>
          </w:p>
          <w:p w14:paraId="31699314">
            <w:pPr>
              <w:spacing w:line="400" w:lineRule="exact"/>
              <w:ind w:firstLine="276" w:firstLineChars="115"/>
              <w:rPr>
                <w:rFonts w:ascii="宋体" w:hAnsi="宋体" w:eastAsia="宋体" w:cs="宋体"/>
                <w:sz w:val="24"/>
              </w:rPr>
            </w:pPr>
            <w:r>
              <w:rPr>
                <w:rFonts w:hint="eastAsia" w:ascii="宋体" w:hAnsi="宋体" w:eastAsia="宋体" w:cs="宋体"/>
                <w:sz w:val="24"/>
              </w:rPr>
              <w:t>（二）电子化投标文件的格式及上传投标</w:t>
            </w:r>
          </w:p>
          <w:p w14:paraId="4C84541F">
            <w:pPr>
              <w:spacing w:line="400" w:lineRule="exact"/>
              <w:ind w:firstLine="276" w:firstLineChars="115"/>
              <w:rPr>
                <w:rFonts w:ascii="宋体" w:hAnsi="宋体" w:eastAsia="宋体" w:cs="宋体"/>
                <w:sz w:val="24"/>
              </w:rPr>
            </w:pPr>
            <w:r>
              <w:rPr>
                <w:rFonts w:hint="eastAsia" w:ascii="宋体" w:hAnsi="宋体" w:eastAsia="宋体" w:cs="宋体"/>
                <w:sz w:val="24"/>
              </w:rPr>
              <w:t>1、投标人所上传的电子化投标文件，应是通过中心投标文件制作系统制作的，经过签章和加密后生成的电子版投标文件。生成的电子版投标文件包含用于投标文件上传的主文件（后缀为.smxtf）和用于应急补救的投标文件备份文件（后缀为.nsmxtf），备份文件主要用于电子化开标出现技术问题后的补救，请投标人随身携带。</w:t>
            </w:r>
          </w:p>
          <w:p w14:paraId="2033F229">
            <w:pPr>
              <w:spacing w:line="400" w:lineRule="exact"/>
              <w:ind w:firstLine="276" w:firstLineChars="115"/>
              <w:rPr>
                <w:rFonts w:ascii="宋体" w:hAnsi="宋体" w:eastAsia="宋体" w:cs="宋体"/>
                <w:sz w:val="24"/>
              </w:rPr>
            </w:pPr>
            <w:r>
              <w:rPr>
                <w:rFonts w:hint="eastAsia" w:ascii="宋体" w:hAnsi="宋体" w:eastAsia="宋体" w:cs="宋体"/>
                <w:sz w:val="24"/>
              </w:rPr>
              <w:t>注：投标人投报多个标段的，需要每个标段单独制作电子投标文件。</w:t>
            </w:r>
          </w:p>
          <w:p w14:paraId="69FD2023">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2、电子化投标文件应在投标截止时间前成功上传至三门峡市公共资源电子化交易系统。至投标截止时间止，仍未上传成功的电子化投标文件将不予接收。</w:t>
            </w:r>
          </w:p>
          <w:p w14:paraId="352A7B34">
            <w:pPr>
              <w:spacing w:line="400" w:lineRule="exact"/>
              <w:ind w:firstLine="276" w:firstLineChars="115"/>
              <w:rPr>
                <w:rFonts w:ascii="宋体" w:hAnsi="宋体" w:eastAsia="宋体" w:cs="宋体"/>
                <w:sz w:val="24"/>
              </w:rPr>
            </w:pPr>
            <w:r>
              <w:rPr>
                <w:rFonts w:hint="eastAsia" w:ascii="宋体" w:hAnsi="宋体" w:eastAsia="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030E5762">
            <w:pPr>
              <w:spacing w:line="400" w:lineRule="exact"/>
              <w:ind w:firstLine="276" w:firstLineChars="115"/>
              <w:rPr>
                <w:rFonts w:ascii="宋体" w:hAnsi="宋体" w:eastAsia="宋体" w:cs="宋体"/>
                <w:sz w:val="24"/>
              </w:rPr>
            </w:pPr>
            <w:r>
              <w:rPr>
                <w:rFonts w:hint="eastAsia" w:ascii="宋体" w:hAnsi="宋体" w:eastAsia="宋体" w:cs="宋体"/>
                <w:sz w:val="24"/>
              </w:rPr>
              <w:t>技术联系电话：0398-3117871     主体库咨询电话:0398-3117815</w:t>
            </w:r>
          </w:p>
          <w:p w14:paraId="1AA03836">
            <w:pPr>
              <w:spacing w:line="400" w:lineRule="exact"/>
              <w:ind w:firstLine="276" w:firstLineChars="115"/>
              <w:rPr>
                <w:rFonts w:ascii="宋体" w:hAnsi="宋体" w:eastAsia="宋体" w:cs="宋体"/>
                <w:sz w:val="24"/>
              </w:rPr>
            </w:pPr>
            <w:r>
              <w:rPr>
                <w:rFonts w:hint="eastAsia" w:ascii="宋体" w:hAnsi="宋体" w:eastAsia="宋体" w:cs="宋体"/>
                <w:sz w:val="24"/>
              </w:rPr>
              <w:t>CA证书制发:0398-2181635        科技信息科:0398-3117095</w:t>
            </w:r>
          </w:p>
          <w:p w14:paraId="5F770E56">
            <w:pPr>
              <w:spacing w:line="400" w:lineRule="exact"/>
              <w:ind w:firstLine="276" w:firstLineChars="115"/>
              <w:rPr>
                <w:rFonts w:ascii="宋体" w:hAnsi="宋体" w:eastAsia="宋体" w:cs="宋体"/>
                <w:sz w:val="24"/>
              </w:rPr>
            </w:pPr>
            <w:r>
              <w:rPr>
                <w:rFonts w:hint="eastAsia" w:ascii="宋体" w:hAnsi="宋体" w:eastAsia="宋体" w:cs="宋体"/>
                <w:sz w:val="24"/>
              </w:rPr>
              <w:t>（三）电子化项目开标、解密、唱标、评标</w:t>
            </w:r>
          </w:p>
          <w:p w14:paraId="46A000D4">
            <w:pPr>
              <w:spacing w:line="400" w:lineRule="exact"/>
              <w:ind w:firstLine="276" w:firstLineChars="115"/>
              <w:rPr>
                <w:rFonts w:ascii="宋体" w:hAnsi="宋体" w:eastAsia="宋体" w:cs="宋体"/>
                <w:sz w:val="24"/>
              </w:rPr>
            </w:pPr>
            <w:r>
              <w:rPr>
                <w:rFonts w:hint="eastAsia" w:ascii="宋体" w:hAnsi="宋体" w:eastAsia="宋体" w:cs="宋体"/>
                <w:sz w:val="24"/>
              </w:rPr>
              <w:t>1、本项目采用电子化、无纸化进行招标，本项目为不见面开标项目，开标当日，供应商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投标文件解密等。</w:t>
            </w:r>
          </w:p>
          <w:p w14:paraId="0C45E6C1">
            <w:pPr>
              <w:spacing w:line="400" w:lineRule="exact"/>
              <w:ind w:firstLine="276" w:firstLineChars="115"/>
              <w:rPr>
                <w:rFonts w:ascii="宋体" w:hAnsi="宋体" w:eastAsia="宋体" w:cs="宋体"/>
                <w:sz w:val="24"/>
              </w:rPr>
            </w:pPr>
            <w:r>
              <w:rPr>
                <w:rFonts w:hint="eastAsia" w:ascii="宋体" w:hAnsi="宋体" w:eastAsia="宋体" w:cs="宋体"/>
                <w:sz w:val="24"/>
              </w:rPr>
              <w:t>2、电子化投标文件采用一次加密方式。开标时，由投标人使用CA证书，在规定时间内对其电子化投标文件进行解密。每位投标人的解密时间为开标时间起30分钟内，如在规定时间内未完成解密的，其投标文件不予开标、唱标。</w:t>
            </w:r>
          </w:p>
          <w:p w14:paraId="53990434">
            <w:pPr>
              <w:spacing w:line="400" w:lineRule="exact"/>
              <w:ind w:firstLine="276" w:firstLineChars="115"/>
              <w:rPr>
                <w:rFonts w:ascii="宋体" w:hAnsi="宋体" w:eastAsia="宋体" w:cs="宋体"/>
                <w:sz w:val="24"/>
              </w:rPr>
            </w:pPr>
            <w:r>
              <w:rPr>
                <w:rFonts w:hint="eastAsia" w:ascii="宋体" w:hAnsi="宋体" w:eastAsia="宋体" w:cs="宋体"/>
                <w:sz w:val="24"/>
              </w:rPr>
              <w:t>如投标人携带CA证书至现场参加开标的，首先应按照中介服务机构指引，使用投标人CA证书对其电子化投标文件进行解密。</w:t>
            </w:r>
          </w:p>
          <w:p w14:paraId="183A7458">
            <w:pPr>
              <w:spacing w:line="400" w:lineRule="exact"/>
              <w:ind w:firstLine="276" w:firstLineChars="115"/>
              <w:rPr>
                <w:rFonts w:ascii="宋体" w:hAnsi="宋体" w:eastAsia="宋体" w:cs="宋体"/>
                <w:sz w:val="24"/>
              </w:rPr>
            </w:pPr>
            <w:r>
              <w:rPr>
                <w:rFonts w:hint="eastAsia" w:ascii="宋体" w:hAnsi="宋体" w:eastAsia="宋体" w:cs="宋体"/>
                <w:sz w:val="24"/>
              </w:rPr>
              <w:t>3、电子化投标文件异常情况的处理</w:t>
            </w:r>
          </w:p>
          <w:p w14:paraId="4063852C">
            <w:pPr>
              <w:spacing w:line="400" w:lineRule="exact"/>
              <w:ind w:firstLine="276" w:firstLineChars="115"/>
              <w:rPr>
                <w:rFonts w:ascii="宋体" w:hAnsi="宋体" w:eastAsia="宋体" w:cs="宋体"/>
                <w:sz w:val="24"/>
              </w:rPr>
            </w:pPr>
            <w:r>
              <w:rPr>
                <w:rFonts w:hint="eastAsia" w:ascii="宋体" w:hAnsi="宋体" w:eastAsia="宋体" w:cs="宋体"/>
                <w:sz w:val="24"/>
              </w:rPr>
              <w:t>如出现投标人的电子投标文件无法解密等异常情况，投标人应及时致电中介服务机构说明。投标文件异常，按以下步骤进行处理：</w:t>
            </w:r>
          </w:p>
          <w:p w14:paraId="33143814">
            <w:pPr>
              <w:spacing w:line="400" w:lineRule="exact"/>
              <w:ind w:firstLine="276" w:firstLineChars="115"/>
              <w:rPr>
                <w:rFonts w:ascii="宋体" w:hAnsi="宋体" w:eastAsia="宋体" w:cs="宋体"/>
                <w:sz w:val="24"/>
              </w:rPr>
            </w:pPr>
            <w:r>
              <w:rPr>
                <w:rFonts w:hint="eastAsia" w:ascii="宋体" w:hAnsi="宋体" w:eastAsia="宋体" w:cs="宋体"/>
                <w:sz w:val="24"/>
              </w:rPr>
              <w:t>（1）首先由技术人员进行问题排查。</w:t>
            </w:r>
          </w:p>
          <w:p w14:paraId="18FF6A66">
            <w:pPr>
              <w:spacing w:line="400" w:lineRule="exact"/>
              <w:ind w:firstLine="276" w:firstLineChars="115"/>
              <w:rPr>
                <w:rFonts w:ascii="宋体" w:hAnsi="宋体" w:eastAsia="宋体" w:cs="宋体"/>
                <w:sz w:val="24"/>
              </w:rPr>
            </w:pPr>
            <w:r>
              <w:rPr>
                <w:rFonts w:hint="eastAsia" w:ascii="宋体" w:hAnsi="宋体" w:eastAsia="宋体" w:cs="宋体"/>
                <w:sz w:val="24"/>
              </w:rPr>
              <w:t>（2）经技术人员排查后，是投标人文件自身问题导致投标文件无法解密的，该投标文件将不予接收、解密和唱标。开标会议继续进行。</w:t>
            </w:r>
          </w:p>
          <w:p w14:paraId="512A594A">
            <w:pPr>
              <w:spacing w:line="400" w:lineRule="exact"/>
              <w:ind w:firstLine="276" w:firstLineChars="115"/>
              <w:rPr>
                <w:rFonts w:ascii="宋体" w:hAnsi="宋体" w:eastAsia="宋体" w:cs="宋体"/>
                <w:sz w:val="24"/>
              </w:rPr>
            </w:pPr>
            <w:r>
              <w:rPr>
                <w:rFonts w:hint="eastAsia" w:ascii="宋体" w:hAnsi="宋体" w:eastAsia="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23C10029">
            <w:pPr>
              <w:spacing w:line="400" w:lineRule="exact"/>
              <w:ind w:firstLine="276" w:firstLineChars="115"/>
              <w:rPr>
                <w:rFonts w:ascii="宋体" w:hAnsi="宋体" w:eastAsia="宋体" w:cs="宋体"/>
                <w:sz w:val="24"/>
              </w:rPr>
            </w:pPr>
            <w:r>
              <w:rPr>
                <w:rFonts w:hint="eastAsia" w:ascii="宋体" w:hAnsi="宋体" w:eastAsia="宋体" w:cs="宋体"/>
                <w:sz w:val="24"/>
              </w:rPr>
              <w:t>4、待所有投标人投标文件解密完成后，由中介服务机构操作，对所有已解密投标文件进行唱标。</w:t>
            </w:r>
          </w:p>
          <w:p w14:paraId="6B1269EE">
            <w:pPr>
              <w:spacing w:line="400" w:lineRule="exact"/>
              <w:ind w:firstLine="276" w:firstLineChars="115"/>
              <w:rPr>
                <w:rFonts w:ascii="宋体" w:hAnsi="宋体" w:eastAsia="宋体" w:cs="宋体"/>
                <w:sz w:val="24"/>
              </w:rPr>
            </w:pPr>
            <w:r>
              <w:rPr>
                <w:rFonts w:hint="eastAsia" w:ascii="宋体" w:hAnsi="宋体" w:eastAsia="宋体" w:cs="宋体"/>
                <w:sz w:val="24"/>
              </w:rPr>
              <w:t>投标人应保证在开标期间电话、电脑、网络能够正常工作，投标人因停电、电脑病毒、网络堵塞等原因，未在规定的解密时间内对投标文件进行解密的，其投标文件不予接收、唱标。</w:t>
            </w:r>
          </w:p>
          <w:p w14:paraId="179A0C23">
            <w:pPr>
              <w:spacing w:line="400" w:lineRule="exact"/>
              <w:ind w:firstLine="276" w:firstLineChars="115"/>
              <w:rPr>
                <w:rFonts w:ascii="宋体" w:hAnsi="宋体" w:eastAsia="宋体" w:cs="宋体"/>
                <w:sz w:val="24"/>
              </w:rPr>
            </w:pPr>
            <w:r>
              <w:rPr>
                <w:rFonts w:hint="eastAsia" w:ascii="宋体" w:hAnsi="宋体" w:eastAsia="宋体" w:cs="宋体"/>
                <w:sz w:val="24"/>
              </w:rPr>
              <w:t>5、开标时投标人可登录到交易系统中在开标大厅中点击开标一览表查看自己的投标报价。如对自己的唱标内容有异议的，应在唱标内容显示后10分钟内向中介服务机构电话质疑。中介服务机构应在监督人员的监督下进行免提通话接受投标人的质疑并做好书面记录。投标人未在规定时间内提出质疑的，视为认可唱标内容。</w:t>
            </w:r>
          </w:p>
          <w:p w14:paraId="6AF53D10">
            <w:pPr>
              <w:spacing w:line="400" w:lineRule="exact"/>
              <w:ind w:firstLine="276" w:firstLineChars="115"/>
              <w:rPr>
                <w:rFonts w:ascii="宋体" w:hAnsi="宋体" w:eastAsia="宋体" w:cs="宋体"/>
                <w:sz w:val="24"/>
              </w:rPr>
            </w:pPr>
            <w:r>
              <w:rPr>
                <w:rFonts w:hint="eastAsia" w:ascii="宋体" w:hAnsi="宋体" w:eastAsia="宋体" w:cs="宋体"/>
                <w:sz w:val="24"/>
              </w:rPr>
              <w:t>6、评标时，评标委员会对电子化投标文件有质疑的，将通过电子化交易系统对投标人发起质疑，并在监督人员的监督下，用免提模式致电需要答复的投标人进行详细质询。质疑回复内容确认后，投标人的回复文件必须以经过投标人和其法定代表人签章的PDF格式文件为准，并通过电子化交易系统提交至评标委员会。</w:t>
            </w:r>
          </w:p>
          <w:p w14:paraId="7CB541EE">
            <w:pPr>
              <w:spacing w:line="400" w:lineRule="exact"/>
              <w:ind w:firstLine="276" w:firstLineChars="115"/>
              <w:rPr>
                <w:rFonts w:ascii="宋体" w:hAnsi="宋体" w:eastAsia="宋体" w:cs="宋体"/>
                <w:sz w:val="24"/>
              </w:rPr>
            </w:pPr>
            <w:r>
              <w:rPr>
                <w:rFonts w:hint="eastAsia" w:ascii="宋体" w:hAnsi="宋体" w:eastAsia="宋体" w:cs="宋体"/>
                <w:sz w:val="24"/>
              </w:rPr>
              <w:t>7、如评标委员会对需要回复的投标人连续三次致电未接通的，视为投标人放弃回复，评标委员会将自行对需要回复的内容进行认定。</w:t>
            </w:r>
          </w:p>
          <w:p w14:paraId="65347ECB">
            <w:pPr>
              <w:spacing w:line="400" w:lineRule="exact"/>
              <w:ind w:firstLine="276" w:firstLineChars="115"/>
              <w:rPr>
                <w:rFonts w:ascii="宋体" w:hAnsi="宋体" w:eastAsia="宋体" w:cs="宋体"/>
                <w:sz w:val="24"/>
              </w:rPr>
            </w:pPr>
            <w:r>
              <w:rPr>
                <w:rFonts w:hint="eastAsia" w:ascii="宋体" w:hAnsi="宋体" w:eastAsia="宋体" w:cs="宋体"/>
                <w:sz w:val="24"/>
              </w:rPr>
              <w:t>二、相关证书原件的提交</w:t>
            </w:r>
          </w:p>
          <w:p w14:paraId="380838CE">
            <w:pPr>
              <w:spacing w:line="400" w:lineRule="exact"/>
              <w:ind w:firstLine="276" w:firstLineChars="115"/>
              <w:rPr>
                <w:rFonts w:ascii="宋体" w:hAnsi="宋体" w:eastAsia="宋体" w:cs="宋体"/>
                <w:sz w:val="24"/>
              </w:rPr>
            </w:pPr>
            <w:r>
              <w:rPr>
                <w:rFonts w:hint="eastAsia" w:ascii="宋体" w:hAnsi="宋体" w:eastAsia="宋体" w:cs="宋体"/>
                <w:sz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24B7EB41">
            <w:pPr>
              <w:spacing w:line="400" w:lineRule="exact"/>
              <w:ind w:firstLine="276" w:firstLineChars="115"/>
              <w:rPr>
                <w:rFonts w:ascii="宋体" w:hAnsi="宋体" w:eastAsia="宋体" w:cs="宋体"/>
                <w:sz w:val="24"/>
              </w:rPr>
            </w:pPr>
            <w:r>
              <w:rPr>
                <w:rFonts w:hint="eastAsia" w:ascii="宋体" w:hAnsi="宋体" w:eastAsia="宋体" w:cs="宋体"/>
                <w:sz w:val="24"/>
              </w:rPr>
              <w:t>投标人需保证上传内容齐全，真实有效，原件扫描件清晰可辨。因投标人上传原因导致应得分项而未得分或资格审查不合格等情况的，由投标人自行承担责任。</w:t>
            </w:r>
          </w:p>
          <w:p w14:paraId="1A1A829E">
            <w:pPr>
              <w:spacing w:line="400" w:lineRule="exact"/>
              <w:ind w:firstLine="276" w:firstLineChars="115"/>
              <w:rPr>
                <w:rFonts w:ascii="宋体" w:hAnsi="宋体" w:eastAsia="宋体" w:cs="宋体"/>
                <w:sz w:val="24"/>
              </w:rPr>
            </w:pPr>
            <w:r>
              <w:rPr>
                <w:rFonts w:hint="eastAsia" w:ascii="宋体" w:hAnsi="宋体" w:eastAsia="宋体" w:cs="宋体"/>
                <w:sz w:val="24"/>
              </w:rPr>
              <w:t>提示：本项目为电子化、无纸化交易项目，开标时不再接受任何纸质资料，为保证您能投标成功，请需仔细阅读以上条款。</w:t>
            </w:r>
          </w:p>
        </w:tc>
      </w:tr>
      <w:bookmarkEnd w:id="4"/>
      <w:bookmarkEnd w:id="5"/>
    </w:tbl>
    <w:p w14:paraId="0F035FEB">
      <w:pPr>
        <w:spacing w:line="440" w:lineRule="exact"/>
        <w:ind w:firstLine="562"/>
        <w:rPr>
          <w:b/>
          <w:sz w:val="28"/>
          <w:szCs w:val="28"/>
        </w:rPr>
      </w:pPr>
    </w:p>
    <w:p w14:paraId="1B60EA3D">
      <w:pPr>
        <w:spacing w:line="480" w:lineRule="exact"/>
        <w:ind w:firstLine="482" w:firstLineChars="200"/>
        <w:jc w:val="left"/>
        <w:outlineLvl w:val="1"/>
        <w:rPr>
          <w:rFonts w:ascii="宋体" w:hAnsi="宋体" w:cs="宋体"/>
          <w:b/>
          <w:bCs/>
          <w:sz w:val="24"/>
        </w:rPr>
      </w:pPr>
      <w:bookmarkStart w:id="10" w:name="_Toc375041307"/>
      <w:bookmarkStart w:id="11" w:name="_Toc179632589"/>
      <w:bookmarkStart w:id="12" w:name="_Toc375041556"/>
      <w:bookmarkStart w:id="13" w:name="_Toc144974539"/>
      <w:bookmarkStart w:id="14" w:name="_Toc152045571"/>
      <w:bookmarkStart w:id="15" w:name="_Toc375041750"/>
      <w:bookmarkStart w:id="16" w:name="_Toc450119701"/>
      <w:bookmarkStart w:id="17" w:name="_Toc152042347"/>
      <w:bookmarkStart w:id="18" w:name="_Toc447894711"/>
      <w:r>
        <w:rPr>
          <w:rFonts w:hint="eastAsia" w:ascii="宋体" w:hAnsi="宋体" w:cs="宋体"/>
          <w:b/>
          <w:bCs/>
          <w:kern w:val="0"/>
          <w:sz w:val="24"/>
          <w:lang w:bidi="ar"/>
        </w:rPr>
        <w:t xml:space="preserve">1. 总则 </w:t>
      </w:r>
    </w:p>
    <w:p w14:paraId="65AB4A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 项目概况 </w:t>
      </w:r>
    </w:p>
    <w:p w14:paraId="463D085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1.1.1 根据《中华人民共和国政府采购法》等有关法律、法规和规章的规定，本招标项目已具备招标条件，现对本项目进行招标。 </w:t>
      </w:r>
    </w:p>
    <w:p w14:paraId="29206A3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1.1.2 本招标项目采购人：见投标人须知前附表。 </w:t>
      </w:r>
    </w:p>
    <w:p w14:paraId="76B6E71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1.1.3 本项目采购代理机构：见投标人须知前附表。 </w:t>
      </w:r>
    </w:p>
    <w:p w14:paraId="614E4DE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1.1.4 本招标项目名称：见投标人须知前附表。 </w:t>
      </w:r>
    </w:p>
    <w:p w14:paraId="33326E50">
      <w:pPr>
        <w:spacing w:line="480" w:lineRule="exact"/>
        <w:ind w:firstLine="480" w:firstLineChars="200"/>
        <w:jc w:val="left"/>
        <w:rPr>
          <w:rFonts w:ascii="宋体" w:hAnsi="宋体" w:cs="宋体"/>
          <w:sz w:val="24"/>
        </w:rPr>
      </w:pPr>
      <w:r>
        <w:rPr>
          <w:rFonts w:hint="eastAsia" w:ascii="宋体" w:hAnsi="宋体" w:cs="宋体"/>
          <w:kern w:val="0"/>
          <w:sz w:val="24"/>
          <w:lang w:bidi="ar"/>
        </w:rPr>
        <w:t>1.1.5 本项目</w:t>
      </w:r>
      <w:r>
        <w:rPr>
          <w:rFonts w:hint="eastAsia" w:ascii="宋体" w:hAnsi="宋体" w:eastAsia="宋体" w:cs="宋体"/>
          <w:sz w:val="24"/>
        </w:rPr>
        <w:t>交货地点：</w:t>
      </w:r>
      <w:r>
        <w:rPr>
          <w:rFonts w:hint="eastAsia" w:ascii="宋体" w:hAnsi="宋体" w:cs="宋体"/>
          <w:kern w:val="0"/>
          <w:sz w:val="24"/>
          <w:lang w:bidi="ar"/>
        </w:rPr>
        <w:t xml:space="preserve">见投标人须知前附表。 </w:t>
      </w:r>
    </w:p>
    <w:p w14:paraId="5698860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1.2 资金来源和落实情况 </w:t>
      </w:r>
    </w:p>
    <w:p w14:paraId="1642059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1.2.1 本招标项目的资金来源：见投标人须知前附表。 </w:t>
      </w:r>
    </w:p>
    <w:p w14:paraId="5E97B6AB">
      <w:pPr>
        <w:spacing w:line="480" w:lineRule="exact"/>
        <w:ind w:firstLine="480" w:firstLineChars="200"/>
        <w:jc w:val="left"/>
        <w:rPr>
          <w:rFonts w:ascii="宋体" w:hAnsi="宋体" w:cs="宋体"/>
          <w:sz w:val="24"/>
        </w:rPr>
      </w:pPr>
      <w:r>
        <w:rPr>
          <w:rFonts w:hint="eastAsia" w:ascii="宋体" w:hAnsi="宋体" w:cs="宋体"/>
          <w:kern w:val="0"/>
          <w:sz w:val="24"/>
          <w:lang w:bidi="ar"/>
        </w:rPr>
        <w:t>1.2.2本招标项目的资金落实情况：见投标人须知前附表。</w:t>
      </w:r>
    </w:p>
    <w:p w14:paraId="4787249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1.3 采购内容、交货期限和质量要求 </w:t>
      </w:r>
    </w:p>
    <w:p w14:paraId="6EFEAFF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1.3.1 本次采购内容：见投标人须知前附表。 </w:t>
      </w:r>
    </w:p>
    <w:p w14:paraId="5F98755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1.3.2 本项目的交货期限及地点：见投标人前附表。 </w:t>
      </w:r>
    </w:p>
    <w:p w14:paraId="79D0FF5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1.3.3 本项目的质量要求：见投标人须知前附表。 </w:t>
      </w:r>
    </w:p>
    <w:p w14:paraId="0DDA9FC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1.4 投标人资格要求 </w:t>
      </w:r>
    </w:p>
    <w:p w14:paraId="6D11164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1.4.1投标人应具备承担本项目的资格要求。 </w:t>
      </w:r>
    </w:p>
    <w:p w14:paraId="2CB31D6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详见投标人须知前附表； </w:t>
      </w:r>
    </w:p>
    <w:p w14:paraId="6E42D2A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1.4.2 本次采购不接受联合体投标。 </w:t>
      </w:r>
    </w:p>
    <w:p w14:paraId="32292EB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1.5 费用承担 </w:t>
      </w:r>
    </w:p>
    <w:p w14:paraId="03C5BA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投标人准备和参加投标活动发生的费用自理。 </w:t>
      </w:r>
    </w:p>
    <w:p w14:paraId="7127BEC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1.6 保密</w:t>
      </w:r>
    </w:p>
    <w:p w14:paraId="1AB9904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参与招标投标活动的各方应对招标文件和投标文件中的商业和技术等秘密保密，违者应对由此造成的后果承担法律责任。 </w:t>
      </w:r>
    </w:p>
    <w:p w14:paraId="7D456CE0">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1.7 语言文字 </w:t>
      </w:r>
    </w:p>
    <w:p w14:paraId="339D51E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除专用术语外，与招标投标有关的语言均使用中文。必要时专用术语应附有中文注释。 </w:t>
      </w:r>
    </w:p>
    <w:p w14:paraId="0A98EE01">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1.8 计量单位 </w:t>
      </w:r>
    </w:p>
    <w:p w14:paraId="629D71BA">
      <w:pPr>
        <w:spacing w:line="480" w:lineRule="exact"/>
        <w:ind w:firstLine="480" w:firstLineChars="200"/>
        <w:jc w:val="left"/>
        <w:rPr>
          <w:rFonts w:ascii="宋体" w:hAnsi="宋体" w:cs="宋体"/>
          <w:sz w:val="24"/>
        </w:rPr>
      </w:pPr>
      <w:r>
        <w:rPr>
          <w:rFonts w:hint="eastAsia" w:ascii="宋体" w:hAnsi="宋体" w:cs="宋体"/>
          <w:kern w:val="0"/>
          <w:sz w:val="24"/>
          <w:lang w:bidi="ar"/>
        </w:rPr>
        <w:t>所有计量均采用中华人民共和国法定计量单位。</w:t>
      </w:r>
    </w:p>
    <w:p w14:paraId="78019CDF">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1.9 踏勘现场 </w:t>
      </w:r>
    </w:p>
    <w:p w14:paraId="77DA5A3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不组织 </w:t>
      </w:r>
    </w:p>
    <w:p w14:paraId="46B9850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1.10 投标预备会 </w:t>
      </w:r>
    </w:p>
    <w:p w14:paraId="06388B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不再组织 </w:t>
      </w:r>
    </w:p>
    <w:p w14:paraId="640EC18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1.11 分包 </w:t>
      </w:r>
    </w:p>
    <w:p w14:paraId="38426C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 </w:t>
      </w:r>
    </w:p>
    <w:p w14:paraId="7A689A55">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1.12 偏离</w:t>
      </w:r>
    </w:p>
    <w:p w14:paraId="64DEEB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不允许，除招标文件允许修正的除外。 </w:t>
      </w:r>
    </w:p>
    <w:p w14:paraId="25A1CBED">
      <w:pPr>
        <w:spacing w:line="480" w:lineRule="exact"/>
        <w:ind w:firstLine="482" w:firstLineChars="200"/>
        <w:jc w:val="left"/>
        <w:outlineLvl w:val="1"/>
        <w:rPr>
          <w:rFonts w:ascii="宋体" w:hAnsi="宋体" w:cs="宋体"/>
          <w:b/>
          <w:bCs/>
          <w:kern w:val="0"/>
          <w:sz w:val="24"/>
          <w:lang w:bidi="ar"/>
        </w:rPr>
      </w:pPr>
      <w:bookmarkStart w:id="19" w:name="_Toc5006"/>
      <w:r>
        <w:rPr>
          <w:rFonts w:hint="eastAsia" w:ascii="宋体" w:hAnsi="宋体" w:cs="宋体"/>
          <w:b/>
          <w:bCs/>
          <w:kern w:val="0"/>
          <w:sz w:val="24"/>
          <w:lang w:bidi="ar"/>
        </w:rPr>
        <w:t>2. 招标文件</w:t>
      </w:r>
      <w:bookmarkEnd w:id="19"/>
      <w:r>
        <w:rPr>
          <w:rFonts w:hint="eastAsia" w:ascii="宋体" w:hAnsi="宋体" w:cs="宋体"/>
          <w:b/>
          <w:bCs/>
          <w:kern w:val="0"/>
          <w:sz w:val="24"/>
          <w:lang w:bidi="ar"/>
        </w:rPr>
        <w:t xml:space="preserve"> </w:t>
      </w:r>
    </w:p>
    <w:p w14:paraId="594CA8B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2.1 招标文件的组成 </w:t>
      </w:r>
    </w:p>
    <w:p w14:paraId="0111D9C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本招标文件包括： </w:t>
      </w:r>
    </w:p>
    <w:p w14:paraId="325B8379">
      <w:pPr>
        <w:spacing w:line="480" w:lineRule="exact"/>
        <w:ind w:firstLine="480" w:firstLineChars="200"/>
        <w:jc w:val="left"/>
        <w:rPr>
          <w:rFonts w:ascii="宋体" w:hAnsi="宋体" w:cs="宋体"/>
          <w:sz w:val="24"/>
        </w:rPr>
      </w:pPr>
      <w:r>
        <w:rPr>
          <w:rFonts w:hint="eastAsia" w:ascii="宋体" w:hAnsi="宋体" w:cs="宋体"/>
          <w:kern w:val="0"/>
          <w:sz w:val="24"/>
          <w:lang w:bidi="ar"/>
        </w:rPr>
        <w:t>（1）招标公告 ；</w:t>
      </w:r>
    </w:p>
    <w:p w14:paraId="019A533F">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（2）投标人须知； </w:t>
      </w:r>
    </w:p>
    <w:p w14:paraId="79B96BA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（3）采购清单及参数要求； </w:t>
      </w:r>
    </w:p>
    <w:p w14:paraId="6CCCEE7F">
      <w:pPr>
        <w:spacing w:line="480" w:lineRule="exact"/>
        <w:ind w:firstLine="480" w:firstLineChars="200"/>
        <w:jc w:val="left"/>
        <w:rPr>
          <w:rFonts w:ascii="宋体" w:hAnsi="宋体" w:cs="宋体"/>
          <w:sz w:val="24"/>
        </w:rPr>
      </w:pPr>
      <w:r>
        <w:rPr>
          <w:rFonts w:hint="eastAsia" w:ascii="宋体" w:hAnsi="宋体" w:cs="宋体"/>
          <w:kern w:val="0"/>
          <w:sz w:val="24"/>
          <w:lang w:bidi="ar"/>
        </w:rPr>
        <w:t>（4）评标办法（综合评分法）；</w:t>
      </w:r>
    </w:p>
    <w:p w14:paraId="1D43233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（5）合同条款及格式；</w:t>
      </w:r>
    </w:p>
    <w:p w14:paraId="4F8845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（6）投标文件格式。 </w:t>
      </w:r>
    </w:p>
    <w:p w14:paraId="4698471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根据本章第 2.2 款对招标文件所作的澄清、修改，构成招标文件的组成部分。 </w:t>
      </w:r>
    </w:p>
    <w:p w14:paraId="643E0629">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2.2 招标文件的澄清或修改 </w:t>
      </w:r>
    </w:p>
    <w:p w14:paraId="7316F1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2.2.1 投标人应仔细阅读和检查招标文件的全部内容。如发现缺页或附件不全，应及时向招标人提出，以便补齐。如有疑问，应在投标人须知前附表规定的时间前在“三门峡市公共资源交易中心”电子交易平台，要求招标人对招标文件予以澄清。 </w:t>
      </w:r>
    </w:p>
    <w:p w14:paraId="568C0DA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2.2.2 招标文件的澄清将在投标人须知前附表规定的投标截止时间 15 天前在“三门峡市公共资源交易中心”电子交易平台公布给所有潜在投标人，但不指明澄清问题的来源。如果澄清发出的时间距投标截止时间不足 15 天，相应延长投标截止时间。 </w:t>
      </w:r>
    </w:p>
    <w:p w14:paraId="4BD7D16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2.2.3 投标人在收到澄清后，应在投标人须知前附表规定的时间内在交易平台上回复确认已收到该澄清，未按规定时间予以回复的视为同意或满意该澄清。 </w:t>
      </w:r>
    </w:p>
    <w:p w14:paraId="6F57C5B8">
      <w:pPr>
        <w:spacing w:line="480" w:lineRule="exact"/>
        <w:ind w:firstLine="482" w:firstLineChars="200"/>
        <w:jc w:val="left"/>
        <w:outlineLvl w:val="1"/>
        <w:rPr>
          <w:rFonts w:ascii="宋体" w:hAnsi="宋体" w:cs="宋体"/>
          <w:b/>
          <w:bCs/>
          <w:kern w:val="0"/>
          <w:sz w:val="24"/>
          <w:lang w:bidi="ar"/>
        </w:rPr>
      </w:pPr>
      <w:bookmarkStart w:id="20" w:name="_Toc9574"/>
      <w:r>
        <w:rPr>
          <w:rFonts w:hint="eastAsia" w:ascii="宋体" w:hAnsi="宋体" w:cs="宋体"/>
          <w:b/>
          <w:bCs/>
          <w:kern w:val="0"/>
          <w:sz w:val="24"/>
          <w:lang w:bidi="ar"/>
        </w:rPr>
        <w:t>3. 投标文件</w:t>
      </w:r>
      <w:bookmarkEnd w:id="20"/>
      <w:r>
        <w:rPr>
          <w:rFonts w:hint="eastAsia" w:ascii="宋体" w:hAnsi="宋体" w:cs="宋体"/>
          <w:b/>
          <w:bCs/>
          <w:kern w:val="0"/>
          <w:sz w:val="24"/>
          <w:lang w:bidi="ar"/>
        </w:rPr>
        <w:t xml:space="preserve"> </w:t>
      </w:r>
    </w:p>
    <w:p w14:paraId="30FE1202">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 xml:space="preserve">3.1 投标文件的组成 </w:t>
      </w:r>
    </w:p>
    <w:p w14:paraId="2A880390">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3.1.1 投标文件应包括下列内容： </w:t>
      </w:r>
    </w:p>
    <w:p w14:paraId="2F26D0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（1）投标函及开标一览表 </w:t>
      </w:r>
    </w:p>
    <w:p w14:paraId="00C5B46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（2）法定代表人身份证明 </w:t>
      </w:r>
    </w:p>
    <w:p w14:paraId="6B1310B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（3）授权委托书 </w:t>
      </w:r>
    </w:p>
    <w:p w14:paraId="2824E48E">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（4）投标承诺函</w:t>
      </w:r>
    </w:p>
    <w:p w14:paraId="015FEE20">
      <w:pPr>
        <w:spacing w:line="480" w:lineRule="exact"/>
        <w:ind w:firstLine="480" w:firstLineChars="200"/>
        <w:jc w:val="left"/>
        <w:rPr>
          <w:rFonts w:hint="default" w:ascii="宋体" w:hAnsi="宋体" w:cs="宋体" w:eastAsiaTheme="minorEastAsia"/>
          <w:sz w:val="24"/>
          <w:lang w:val="en-US" w:eastAsia="zh-CN"/>
        </w:rPr>
      </w:pPr>
      <w:r>
        <w:rPr>
          <w:rFonts w:hint="eastAsia" w:ascii="宋体" w:hAnsi="宋体" w:cs="宋体"/>
          <w:kern w:val="0"/>
          <w:sz w:val="24"/>
          <w:lang w:bidi="ar"/>
        </w:rPr>
        <w:t>（5）投标分项报价表</w:t>
      </w:r>
      <w:r>
        <w:rPr>
          <w:rFonts w:hint="eastAsia" w:ascii="宋体" w:hAnsi="宋体" w:cs="宋体"/>
          <w:kern w:val="0"/>
          <w:sz w:val="24"/>
          <w:lang w:val="en-US" w:eastAsia="zh-CN" w:bidi="ar"/>
        </w:rPr>
        <w:t>及技术参数偏离表</w:t>
      </w:r>
    </w:p>
    <w:p w14:paraId="620CDA4D">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（6）企业基本情况表</w:t>
      </w:r>
    </w:p>
    <w:p w14:paraId="1981C7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（7）项目实施方案</w:t>
      </w:r>
    </w:p>
    <w:p w14:paraId="0EBB70C8">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（8）其他承诺</w:t>
      </w:r>
    </w:p>
    <w:p w14:paraId="1B0AC62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（9）供应商认为应该提交的其他证明材料 </w:t>
      </w:r>
    </w:p>
    <w:p w14:paraId="7CA5EFA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 投标报价 </w:t>
      </w:r>
    </w:p>
    <w:p w14:paraId="2A62F71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3.2.1根据招标文件规定的采购内容，投标人应对本次招标的全部工作内容进行投标报价。投标报价应是招标文件所确定的招标范围内的全部工作内容的价格体现。 </w:t>
      </w:r>
    </w:p>
    <w:p w14:paraId="3E1C6B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3.2.2 投标人的投标报价应包含验收合格正式交付使用前所发生的一切费用，且投标人只能提出一个不变价格，采购人不接受任何选择价。 </w:t>
      </w:r>
    </w:p>
    <w:p w14:paraId="76444ABF">
      <w:pPr>
        <w:spacing w:line="480" w:lineRule="exact"/>
        <w:ind w:firstLine="480" w:firstLineChars="200"/>
        <w:jc w:val="left"/>
        <w:rPr>
          <w:rFonts w:ascii="宋体" w:hAnsi="宋体" w:cs="宋体"/>
          <w:sz w:val="24"/>
        </w:rPr>
      </w:pPr>
      <w:r>
        <w:rPr>
          <w:rFonts w:hint="eastAsia" w:ascii="宋体" w:hAnsi="宋体" w:cs="宋体"/>
          <w:kern w:val="0"/>
          <w:sz w:val="24"/>
          <w:lang w:bidi="ar"/>
        </w:rPr>
        <w:t>3.2.3 投标文件的投标报价，应是完成本文件所列招标范围的全部内容。</w:t>
      </w:r>
    </w:p>
    <w:p w14:paraId="3D397D3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 投标有效期 </w:t>
      </w:r>
    </w:p>
    <w:p w14:paraId="00973E6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3.3.1 在投标人须知前附表规定的投标有效期内，投标人不得要求撤销或修改其投标文件。 </w:t>
      </w:r>
    </w:p>
    <w:p w14:paraId="469031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3.4 投标保证金（本项目不适用） </w:t>
      </w:r>
    </w:p>
    <w:p w14:paraId="0BE9A48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3.5 备选投标方案 </w:t>
      </w:r>
    </w:p>
    <w:p w14:paraId="4C658CFC">
      <w:pPr>
        <w:spacing w:line="480" w:lineRule="exact"/>
        <w:ind w:firstLine="480" w:firstLineChars="200"/>
        <w:jc w:val="left"/>
        <w:rPr>
          <w:rFonts w:ascii="宋体" w:hAnsi="宋体" w:cs="宋体"/>
          <w:sz w:val="24"/>
        </w:rPr>
      </w:pPr>
      <w:r>
        <w:rPr>
          <w:rFonts w:hint="eastAsia" w:ascii="宋体" w:hAnsi="宋体" w:cs="宋体"/>
          <w:kern w:val="0"/>
          <w:sz w:val="24"/>
          <w:lang w:bidi="ar"/>
        </w:rPr>
        <w:t>不允许</w:t>
      </w:r>
    </w:p>
    <w:p w14:paraId="554B010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 投标文件的编制 </w:t>
      </w:r>
    </w:p>
    <w:p w14:paraId="3036965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3.6.1 投标文件应按第六章“投标文件格式”进行编写，如有必要，可以增加附页，作为投标文件的组成部分。其中，开标一览表在满足招标文件实质性要求的基础上，可以提出比招标文件要求更有利于采购人的承诺。 </w:t>
      </w:r>
    </w:p>
    <w:p w14:paraId="11F5683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3.6.2 投标文件应当对招标文件有关供货期限、投标有效期、质量要求、采购内容等实质性内容作出响应。 </w:t>
      </w:r>
    </w:p>
    <w:p w14:paraId="5AFEF384">
      <w:pPr>
        <w:spacing w:line="480" w:lineRule="exact"/>
        <w:ind w:firstLine="482" w:firstLineChars="200"/>
        <w:jc w:val="left"/>
        <w:outlineLvl w:val="1"/>
        <w:rPr>
          <w:rFonts w:ascii="宋体" w:hAnsi="宋体" w:cs="宋体"/>
          <w:b/>
          <w:bCs/>
          <w:kern w:val="0"/>
          <w:sz w:val="24"/>
          <w:lang w:bidi="ar"/>
        </w:rPr>
      </w:pPr>
      <w:bookmarkStart w:id="21" w:name="_Toc27412"/>
      <w:r>
        <w:rPr>
          <w:rFonts w:hint="eastAsia" w:ascii="宋体" w:hAnsi="宋体" w:cs="宋体"/>
          <w:b/>
          <w:bCs/>
          <w:kern w:val="0"/>
          <w:sz w:val="24"/>
          <w:lang w:bidi="ar"/>
        </w:rPr>
        <w:t>4. 投标</w:t>
      </w:r>
      <w:bookmarkEnd w:id="21"/>
      <w:r>
        <w:rPr>
          <w:rFonts w:hint="eastAsia" w:ascii="宋体" w:hAnsi="宋体" w:cs="宋体"/>
          <w:b/>
          <w:bCs/>
          <w:kern w:val="0"/>
          <w:sz w:val="24"/>
          <w:lang w:bidi="ar"/>
        </w:rPr>
        <w:t xml:space="preserve"> </w:t>
      </w:r>
    </w:p>
    <w:p w14:paraId="7CE4FDB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 电子投标文件的加密 </w:t>
      </w:r>
    </w:p>
    <w:p w14:paraId="3BED419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4.1.1 电子投标文件的加密：详见电子投标文件制作操作指南。 </w:t>
      </w:r>
    </w:p>
    <w:p w14:paraId="761B7923">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4.2 投标文件的递交 </w:t>
      </w:r>
    </w:p>
    <w:p w14:paraId="7AA0A0EA">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4.2.1 投标人应在投标人须知前附表规定的投标截止时间前递交投标文件。</w:t>
      </w:r>
    </w:p>
    <w:p w14:paraId="6103A497">
      <w:pPr>
        <w:spacing w:line="480" w:lineRule="exact"/>
        <w:ind w:firstLine="480" w:firstLineChars="200"/>
        <w:rPr>
          <w:rFonts w:ascii="宋体" w:hAnsi="宋体" w:cs="宋体"/>
          <w:sz w:val="24"/>
        </w:rPr>
      </w:pPr>
      <w:r>
        <w:rPr>
          <w:rFonts w:hint="eastAsia" w:ascii="宋体" w:hAnsi="宋体" w:cs="宋体"/>
          <w:sz w:val="24"/>
        </w:rPr>
        <w:t>4.2.2 电子招标投标文件递交异常的处理方式</w:t>
      </w:r>
    </w:p>
    <w:p w14:paraId="48021219">
      <w:pPr>
        <w:spacing w:line="480" w:lineRule="exact"/>
        <w:ind w:firstLine="480" w:firstLineChars="200"/>
        <w:rPr>
          <w:rFonts w:ascii="宋体" w:hAnsi="宋体" w:cs="宋体"/>
          <w:sz w:val="24"/>
        </w:rPr>
      </w:pPr>
      <w:r>
        <w:rPr>
          <w:rFonts w:hint="eastAsia" w:ascii="宋体" w:hAnsi="宋体" w:cs="宋体"/>
          <w:sz w:val="24"/>
        </w:rPr>
        <w:t>当电子投标（文件打包、上传、解密异常）操作出现异常时，应及时联系平台技术支持人员解决。</w:t>
      </w:r>
    </w:p>
    <w:p w14:paraId="2FDCE63A">
      <w:pPr>
        <w:spacing w:line="480" w:lineRule="exact"/>
        <w:ind w:firstLine="480" w:firstLineChars="200"/>
        <w:rPr>
          <w:rFonts w:ascii="宋体" w:hAnsi="宋体" w:cs="宋体"/>
          <w:sz w:val="24"/>
        </w:rPr>
      </w:pPr>
      <w:r>
        <w:rPr>
          <w:rFonts w:hint="eastAsia" w:ascii="宋体" w:hAnsi="宋体" w:cs="宋体"/>
          <w:sz w:val="24"/>
        </w:rPr>
        <w:t>招标人有权对投标人提供的证明材料进行核实，如果发现投标人提供虚假信息，将追究提供虚假信息的责任。</w:t>
      </w:r>
    </w:p>
    <w:p w14:paraId="6C573B88">
      <w:pPr>
        <w:spacing w:line="480" w:lineRule="exact"/>
        <w:ind w:firstLine="480" w:firstLineChars="200"/>
        <w:rPr>
          <w:rFonts w:ascii="宋体" w:hAnsi="宋体" w:cs="宋体"/>
          <w:sz w:val="24"/>
        </w:rPr>
      </w:pPr>
      <w:r>
        <w:rPr>
          <w:rFonts w:hint="eastAsia" w:ascii="宋体" w:hAnsi="宋体" w:cs="宋体"/>
          <w:sz w:val="24"/>
        </w:rPr>
        <w:t>4.2.3评标委员会不向落标方解释落标原因，不退还投标文件。</w:t>
      </w:r>
    </w:p>
    <w:p w14:paraId="5EEFE20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4.3.1 在本章投标人须知前附表规定的投标截止时间前，投标人可以修改或撤回已递交的投标文件。 </w:t>
      </w:r>
    </w:p>
    <w:p w14:paraId="1D7E3EC6">
      <w:pPr>
        <w:spacing w:line="480" w:lineRule="exact"/>
        <w:ind w:firstLine="482" w:firstLineChars="200"/>
        <w:jc w:val="left"/>
        <w:outlineLvl w:val="1"/>
        <w:rPr>
          <w:rFonts w:ascii="宋体" w:hAnsi="宋体" w:cs="宋体"/>
          <w:b/>
          <w:bCs/>
          <w:kern w:val="0"/>
          <w:sz w:val="24"/>
          <w:lang w:bidi="ar"/>
        </w:rPr>
      </w:pPr>
      <w:bookmarkStart w:id="22" w:name="_Toc24799"/>
      <w:r>
        <w:rPr>
          <w:rFonts w:hint="eastAsia" w:ascii="宋体" w:hAnsi="宋体" w:cs="宋体"/>
          <w:b/>
          <w:bCs/>
          <w:kern w:val="0"/>
          <w:sz w:val="24"/>
          <w:lang w:bidi="ar"/>
        </w:rPr>
        <w:t>5. 开标</w:t>
      </w:r>
      <w:bookmarkEnd w:id="22"/>
      <w:r>
        <w:rPr>
          <w:rFonts w:hint="eastAsia" w:ascii="宋体" w:hAnsi="宋体" w:cs="宋体"/>
          <w:b/>
          <w:bCs/>
          <w:kern w:val="0"/>
          <w:sz w:val="24"/>
          <w:lang w:bidi="ar"/>
        </w:rPr>
        <w:t xml:space="preserve"> </w:t>
      </w:r>
    </w:p>
    <w:p w14:paraId="6232425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5.1 开标时间和地点 </w:t>
      </w:r>
    </w:p>
    <w:p w14:paraId="0511788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采购人在投标人须知前附表规定的投标截止时间（开标时间）和规定的地点公开开标。 </w:t>
      </w:r>
    </w:p>
    <w:p w14:paraId="6CD8808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5.2 开标程序</w:t>
      </w:r>
    </w:p>
    <w:p w14:paraId="7893A0D8">
      <w:pPr>
        <w:spacing w:line="480" w:lineRule="exact"/>
        <w:ind w:firstLine="480" w:firstLineChars="200"/>
        <w:rPr>
          <w:rFonts w:ascii="宋体" w:hAnsi="宋体" w:cs="宋体"/>
          <w:sz w:val="24"/>
        </w:rPr>
      </w:pPr>
      <w:r>
        <w:rPr>
          <w:rFonts w:hint="eastAsia" w:ascii="宋体" w:hAnsi="宋体" w:cs="宋体"/>
          <w:sz w:val="24"/>
        </w:rPr>
        <w:t>5.2.1开标由采购代理机构主持；</w:t>
      </w:r>
    </w:p>
    <w:p w14:paraId="2AE1351D">
      <w:pPr>
        <w:spacing w:line="480" w:lineRule="exact"/>
        <w:ind w:firstLine="480" w:firstLineChars="200"/>
        <w:rPr>
          <w:rFonts w:ascii="宋体" w:hAnsi="宋体" w:cs="宋体"/>
          <w:sz w:val="24"/>
        </w:rPr>
      </w:pPr>
      <w:r>
        <w:rPr>
          <w:rFonts w:hint="eastAsia" w:ascii="宋体" w:hAnsi="宋体" w:cs="宋体"/>
          <w:sz w:val="24"/>
        </w:rPr>
        <w:t>5.2.2宣布开标会议纪律；</w:t>
      </w:r>
    </w:p>
    <w:p w14:paraId="5282BC06">
      <w:pPr>
        <w:spacing w:line="480" w:lineRule="exact"/>
        <w:ind w:firstLine="480" w:firstLineChars="200"/>
        <w:rPr>
          <w:rFonts w:ascii="宋体" w:hAnsi="宋体" w:cs="宋体"/>
          <w:sz w:val="24"/>
        </w:rPr>
      </w:pPr>
      <w:r>
        <w:rPr>
          <w:rFonts w:hint="eastAsia" w:ascii="宋体" w:hAnsi="宋体" w:cs="宋体"/>
          <w:sz w:val="24"/>
        </w:rPr>
        <w:t>5.2.3开标时，电子招标投标交易平台自动提取所有投标文件，按时在线解密。解密全部完成后，向所有投标人公布投标人名称、投标价格和招标文件规定的其他内容。</w:t>
      </w:r>
    </w:p>
    <w:p w14:paraId="43137501">
      <w:pPr>
        <w:spacing w:line="480" w:lineRule="exact"/>
        <w:ind w:firstLine="480" w:firstLineChars="200"/>
        <w:rPr>
          <w:rFonts w:ascii="宋体" w:hAnsi="宋体" w:cs="宋体"/>
          <w:sz w:val="24"/>
        </w:rPr>
      </w:pPr>
      <w:r>
        <w:rPr>
          <w:rFonts w:hint="eastAsia" w:ascii="宋体" w:hAnsi="宋体" w:cs="宋体"/>
          <w:sz w:val="24"/>
        </w:rPr>
        <w:t>5.2.4采购人在招标文件要求提交投标文件的截止时间前收到的投标文件，开标时都应当众予以解密、宣读。</w:t>
      </w:r>
    </w:p>
    <w:p w14:paraId="62BB1F83">
      <w:pPr>
        <w:spacing w:line="480" w:lineRule="exact"/>
        <w:ind w:firstLine="480" w:firstLineChars="200"/>
        <w:rPr>
          <w:rFonts w:ascii="宋体" w:hAnsi="宋体" w:cs="宋体"/>
          <w:sz w:val="24"/>
        </w:rPr>
      </w:pPr>
      <w:r>
        <w:rPr>
          <w:rFonts w:hint="eastAsia" w:ascii="宋体" w:hAnsi="宋体" w:cs="宋体"/>
          <w:sz w:val="24"/>
        </w:rPr>
        <w:t>5.3采购人对开标过程进行记录，并存档备查。</w:t>
      </w:r>
    </w:p>
    <w:p w14:paraId="1BCC920A">
      <w:pPr>
        <w:spacing w:line="480" w:lineRule="exact"/>
        <w:ind w:firstLine="480" w:firstLineChars="200"/>
        <w:rPr>
          <w:rFonts w:ascii="宋体" w:hAnsi="宋体" w:cs="宋体"/>
          <w:sz w:val="24"/>
        </w:rPr>
      </w:pPr>
      <w:r>
        <w:rPr>
          <w:rFonts w:hint="eastAsia" w:ascii="宋体" w:hAnsi="宋体" w:cs="宋体"/>
          <w:sz w:val="24"/>
        </w:rPr>
        <w:t>5.4投标文件的有效性</w:t>
      </w:r>
    </w:p>
    <w:p w14:paraId="4A87F21F">
      <w:pPr>
        <w:spacing w:line="480" w:lineRule="exact"/>
        <w:ind w:firstLine="480" w:firstLineChars="200"/>
        <w:rPr>
          <w:rFonts w:ascii="宋体" w:hAnsi="宋体" w:cs="宋体"/>
          <w:sz w:val="24"/>
        </w:rPr>
      </w:pPr>
      <w:r>
        <w:rPr>
          <w:rFonts w:hint="eastAsia" w:ascii="宋体" w:hAnsi="宋体" w:cs="宋体"/>
          <w:sz w:val="24"/>
        </w:rPr>
        <w:t>5.4.1投标文件有下列情形之一的为无效投标文件，采购人不予受理：</w:t>
      </w:r>
    </w:p>
    <w:p w14:paraId="1DA03F18">
      <w:pPr>
        <w:spacing w:line="480" w:lineRule="exact"/>
        <w:ind w:firstLine="480" w:firstLineChars="200"/>
        <w:rPr>
          <w:rFonts w:ascii="宋体" w:hAnsi="宋体" w:cs="宋体"/>
          <w:sz w:val="24"/>
        </w:rPr>
      </w:pPr>
      <w:r>
        <w:rPr>
          <w:rFonts w:hint="eastAsia" w:ascii="宋体" w:hAnsi="宋体" w:cs="宋体"/>
          <w:sz w:val="24"/>
        </w:rPr>
        <w:t>1)逾期上传的；</w:t>
      </w:r>
    </w:p>
    <w:p w14:paraId="49789E90">
      <w:pPr>
        <w:spacing w:line="480" w:lineRule="exact"/>
        <w:ind w:firstLine="480" w:firstLineChars="200"/>
        <w:rPr>
          <w:rFonts w:ascii="宋体" w:hAnsi="宋体" w:cs="宋体"/>
          <w:sz w:val="24"/>
        </w:rPr>
      </w:pPr>
      <w:r>
        <w:rPr>
          <w:rFonts w:hint="eastAsia" w:ascii="宋体" w:hAnsi="宋体" w:cs="宋体"/>
          <w:sz w:val="24"/>
        </w:rPr>
        <w:t>2)因投标人原因造成投标文件未解密的，视为撤销其投标文件；因投标人之外的原因造成投标文件未解密的，视为撤回其投标文件，投标人有权要求责任方赔偿因此遭受的直接损失。部分投标文件未解密的，其他投标文件的开标可以继续进行。</w:t>
      </w:r>
    </w:p>
    <w:p w14:paraId="7DB90586">
      <w:pPr>
        <w:spacing w:line="480" w:lineRule="exact"/>
        <w:ind w:firstLine="480" w:firstLineChars="200"/>
        <w:rPr>
          <w:rFonts w:ascii="宋体" w:hAnsi="宋体" w:cs="宋体"/>
          <w:sz w:val="24"/>
        </w:rPr>
      </w:pPr>
      <w:r>
        <w:rPr>
          <w:rFonts w:hint="eastAsia" w:ascii="宋体" w:hAnsi="宋体" w:cs="宋体"/>
          <w:sz w:val="24"/>
        </w:rPr>
        <w:t>5.4.2若投标文件解密后，有效电子投标文件不足三家的，本项目应予废标。</w:t>
      </w:r>
    </w:p>
    <w:p w14:paraId="36E702C6">
      <w:pPr>
        <w:spacing w:line="480" w:lineRule="exact"/>
        <w:ind w:firstLine="480" w:firstLineChars="200"/>
        <w:rPr>
          <w:rFonts w:ascii="宋体" w:hAnsi="宋体" w:cs="宋体"/>
          <w:sz w:val="24"/>
        </w:rPr>
      </w:pPr>
      <w:r>
        <w:rPr>
          <w:rFonts w:hint="eastAsia" w:ascii="宋体" w:hAnsi="宋体" w:cs="宋体"/>
          <w:sz w:val="24"/>
        </w:rPr>
        <w:t>5.5由采购人</w:t>
      </w:r>
      <w:r>
        <w:rPr>
          <w:rFonts w:hint="eastAsia" w:ascii="宋体" w:hAnsi="宋体" w:cs="宋体"/>
          <w:sz w:val="24"/>
          <w:lang w:eastAsia="zh-CN"/>
        </w:rPr>
        <w:t>（</w:t>
      </w:r>
      <w:r>
        <w:rPr>
          <w:rFonts w:hint="eastAsia" w:ascii="宋体" w:hAnsi="宋体" w:cs="宋体"/>
          <w:sz w:val="24"/>
          <w:lang w:val="en-US" w:eastAsia="zh-CN"/>
        </w:rPr>
        <w:t>或代理机构</w:t>
      </w:r>
      <w:r>
        <w:rPr>
          <w:rFonts w:hint="eastAsia" w:ascii="宋体" w:hAnsi="宋体" w:cs="宋体"/>
          <w:sz w:val="24"/>
          <w:lang w:eastAsia="zh-CN"/>
        </w:rPr>
        <w:t>）</w:t>
      </w:r>
      <w:r>
        <w:rPr>
          <w:rFonts w:hint="eastAsia" w:ascii="宋体" w:hAnsi="宋体" w:cs="宋体"/>
          <w:sz w:val="24"/>
        </w:rPr>
        <w:t>对各投标人的投标文件进行资格审查（资格审查内容后附）,未通过资格审查的投标文件为无效投标文件，通过资格审查的投标文件可进入评标环节；有效投标文件由评标委员会进行评审、比较。</w:t>
      </w:r>
    </w:p>
    <w:p w14:paraId="5DF9A4DD">
      <w:pPr>
        <w:widowControl/>
        <w:spacing w:line="460" w:lineRule="exact"/>
        <w:ind w:firstLine="480"/>
        <w:rPr>
          <w:rFonts w:hint="eastAsia" w:ascii="宋体" w:hAnsi="宋体" w:eastAsia="宋体" w:cs="宋体"/>
          <w:sz w:val="24"/>
        </w:rPr>
      </w:pPr>
      <w:r>
        <w:rPr>
          <w:rFonts w:hint="eastAsia" w:ascii="宋体" w:hAnsi="宋体" w:cs="宋体"/>
          <w:sz w:val="24"/>
        </w:rPr>
        <w:t>附:资格审查内容：</w:t>
      </w:r>
    </w:p>
    <w:p w14:paraId="088FD62B">
      <w:pPr>
        <w:widowControl/>
        <w:spacing w:line="460" w:lineRule="exact"/>
        <w:ind w:firstLine="480"/>
        <w:rPr>
          <w:rFonts w:hint="eastAsia" w:ascii="宋体" w:hAnsi="宋体" w:eastAsia="宋体" w:cs="宋体"/>
          <w:sz w:val="24"/>
        </w:rPr>
      </w:pPr>
      <w:bookmarkStart w:id="23" w:name="_Toc16810"/>
      <w:r>
        <w:rPr>
          <w:rFonts w:hint="eastAsia" w:ascii="宋体" w:hAnsi="宋体" w:eastAsia="宋体" w:cs="宋体"/>
          <w:sz w:val="24"/>
          <w:lang w:val="en-US" w:eastAsia="zh-CN"/>
        </w:rPr>
        <w:t>1</w:t>
      </w:r>
      <w:r>
        <w:rPr>
          <w:rFonts w:hint="eastAsia" w:ascii="宋体" w:hAnsi="宋体" w:eastAsia="宋体" w:cs="宋体"/>
          <w:sz w:val="24"/>
        </w:rPr>
        <w:t>、满足《中华人民共和国政府采购法》第二十二条规定；</w:t>
      </w:r>
    </w:p>
    <w:p w14:paraId="4E43B68B">
      <w:pPr>
        <w:widowControl/>
        <w:spacing w:line="460" w:lineRule="exact"/>
        <w:ind w:firstLine="480"/>
        <w:rPr>
          <w:rFonts w:hint="eastAsia" w:ascii="宋体" w:hAnsi="宋体" w:eastAsia="宋体" w:cs="宋体"/>
          <w:sz w:val="24"/>
        </w:rPr>
      </w:pPr>
      <w:r>
        <w:rPr>
          <w:rFonts w:hint="eastAsia" w:ascii="宋体" w:hAnsi="宋体" w:eastAsia="宋体" w:cs="宋体"/>
          <w:sz w:val="24"/>
        </w:rPr>
        <w:t>2、落实政府采购政策满足的资格要求：支持中小微（监狱、残疾人福利性单位）企业；</w:t>
      </w:r>
    </w:p>
    <w:p w14:paraId="70BCE753">
      <w:pPr>
        <w:widowControl/>
        <w:spacing w:line="460" w:lineRule="exact"/>
        <w:ind w:firstLine="480"/>
        <w:rPr>
          <w:rFonts w:hint="eastAsia" w:ascii="宋体" w:hAnsi="宋体" w:eastAsia="宋体" w:cs="宋体"/>
          <w:sz w:val="24"/>
        </w:rPr>
      </w:pPr>
      <w:r>
        <w:rPr>
          <w:rFonts w:hint="eastAsia" w:ascii="宋体" w:hAnsi="宋体" w:eastAsia="宋体" w:cs="宋体"/>
          <w:sz w:val="24"/>
        </w:rPr>
        <w:t>3、本项目的特定资格要求：</w:t>
      </w:r>
    </w:p>
    <w:p w14:paraId="27BB3327">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eastAsia="zh-CN"/>
        </w:rPr>
        <w:t>投标人具有有效的营业执照；</w:t>
      </w:r>
    </w:p>
    <w:p w14:paraId="47E412B3">
      <w:pPr>
        <w:widowControl/>
        <w:spacing w:line="460" w:lineRule="exact"/>
        <w:ind w:firstLine="480"/>
        <w:rPr>
          <w:rFonts w:hint="eastAsia"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lang w:val="en-US" w:eastAsia="zh-CN"/>
        </w:rPr>
        <w:t>投标人</w:t>
      </w:r>
      <w:r>
        <w:rPr>
          <w:rFonts w:hint="eastAsia" w:ascii="宋体" w:hAnsi="宋体" w:eastAsia="宋体" w:cs="宋体"/>
          <w:sz w:val="24"/>
        </w:rPr>
        <w:t>出具的本单位无商业贿赂及无不正当竞争行为承诺书；</w:t>
      </w:r>
    </w:p>
    <w:p w14:paraId="26AF60EC">
      <w:pPr>
        <w:widowControl/>
        <w:spacing w:line="460" w:lineRule="exact"/>
        <w:ind w:firstLine="48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w:t>
      </w:r>
      <w:r>
        <w:rPr>
          <w:rFonts w:hint="eastAsia" w:ascii="宋体" w:hAnsi="宋体" w:eastAsia="宋体" w:cs="宋体"/>
          <w:sz w:val="24"/>
          <w:lang w:val="en-US" w:eastAsia="zh-CN"/>
        </w:rPr>
        <w:t>投标人</w:t>
      </w:r>
      <w:r>
        <w:rPr>
          <w:rFonts w:hint="eastAsia" w:ascii="宋体" w:hAnsi="宋体" w:eastAsia="宋体" w:cs="宋体"/>
          <w:sz w:val="24"/>
        </w:rPr>
        <w:t>出具企业、法定代表人</w:t>
      </w:r>
      <w:r>
        <w:rPr>
          <w:rFonts w:hint="eastAsia" w:ascii="宋体" w:hAnsi="宋体" w:eastAsia="宋体" w:cs="宋体"/>
          <w:sz w:val="24"/>
          <w:lang w:eastAsia="zh-CN"/>
        </w:rPr>
        <w:t>（</w:t>
      </w:r>
      <w:r>
        <w:rPr>
          <w:rFonts w:hint="eastAsia" w:ascii="宋体" w:hAnsi="宋体" w:eastAsia="宋体" w:cs="宋体"/>
          <w:sz w:val="24"/>
          <w:lang w:val="en-US" w:eastAsia="zh-CN"/>
        </w:rPr>
        <w:t>或负责人</w:t>
      </w:r>
      <w:r>
        <w:rPr>
          <w:rFonts w:hint="eastAsia" w:ascii="宋体" w:hAnsi="宋体" w:eastAsia="宋体" w:cs="宋体"/>
          <w:sz w:val="24"/>
          <w:lang w:eastAsia="zh-CN"/>
        </w:rPr>
        <w:t>）</w:t>
      </w:r>
      <w:r>
        <w:rPr>
          <w:rFonts w:hint="eastAsia" w:ascii="宋体" w:hAnsi="宋体" w:eastAsia="宋体" w:cs="宋体"/>
          <w:sz w:val="24"/>
        </w:rPr>
        <w:t>的无行贿犯罪记录,在中国裁判文书网查询（提供网页查询截图）或供应商自行承诺（查询时间自公告发布之日起至投标截止时间）；</w:t>
      </w:r>
    </w:p>
    <w:p w14:paraId="3D0707BD">
      <w:pPr>
        <w:widowControl/>
        <w:spacing w:line="460" w:lineRule="exact"/>
        <w:ind w:firstLine="48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w:t>
      </w: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p>
    <w:p w14:paraId="14F973C9">
      <w:pPr>
        <w:widowControl/>
        <w:spacing w:line="460" w:lineRule="exact"/>
        <w:ind w:firstLine="48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）本项目不接受联合体投标。</w:t>
      </w:r>
    </w:p>
    <w:p w14:paraId="452A1D13">
      <w:pPr>
        <w:spacing w:line="480" w:lineRule="exact"/>
        <w:ind w:firstLine="482" w:firstLineChars="200"/>
        <w:jc w:val="left"/>
        <w:outlineLvl w:val="1"/>
        <w:rPr>
          <w:rFonts w:ascii="宋体" w:hAnsi="宋体" w:cs="宋体"/>
          <w:b/>
          <w:bCs/>
          <w:kern w:val="0"/>
          <w:sz w:val="24"/>
          <w:lang w:bidi="ar"/>
        </w:rPr>
      </w:pPr>
      <w:r>
        <w:rPr>
          <w:rFonts w:hint="eastAsia" w:ascii="宋体" w:hAnsi="宋体" w:cs="宋体"/>
          <w:b/>
          <w:bCs/>
          <w:kern w:val="0"/>
          <w:sz w:val="24"/>
          <w:lang w:bidi="ar"/>
        </w:rPr>
        <w:t>6. 评标</w:t>
      </w:r>
      <w:bookmarkEnd w:id="23"/>
      <w:r>
        <w:rPr>
          <w:rFonts w:hint="eastAsia" w:ascii="宋体" w:hAnsi="宋体" w:cs="宋体"/>
          <w:b/>
          <w:bCs/>
          <w:kern w:val="0"/>
          <w:sz w:val="24"/>
          <w:lang w:bidi="ar"/>
        </w:rPr>
        <w:t xml:space="preserve"> </w:t>
      </w:r>
    </w:p>
    <w:p w14:paraId="7A9EB1C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 评标委员会 </w:t>
      </w:r>
    </w:p>
    <w:p w14:paraId="772F97C3">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评标委员会构成：由有关技术、经济等方面的专家组成，成员为5人,其中采购人代表1人，相关专家4人。</w:t>
      </w:r>
    </w:p>
    <w:p w14:paraId="593C1247">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评标专家确定方式：从相关专家库随机抽取</w:t>
      </w:r>
    </w:p>
    <w:p w14:paraId="42320CF4">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参加评标的专家由采购人在公共资源交易中心、监督人员、业主代表共同监督下，由采购人从相关专家库中随机抽取。与投标人有利害关系的人不得进入评标委员会。</w:t>
      </w:r>
    </w:p>
    <w:p w14:paraId="0A1EF43F">
      <w:pPr>
        <w:spacing w:line="480" w:lineRule="exact"/>
        <w:ind w:firstLine="480" w:firstLineChars="200"/>
        <w:rPr>
          <w:rFonts w:ascii="宋体" w:hAnsi="宋体" w:cs="宋体"/>
          <w:kern w:val="0"/>
          <w:sz w:val="24"/>
          <w:lang w:bidi="ar"/>
        </w:rPr>
      </w:pPr>
      <w:r>
        <w:rPr>
          <w:rFonts w:hint="eastAsia" w:ascii="宋体" w:hAnsi="宋体" w:cs="宋体"/>
          <w:sz w:val="24"/>
        </w:rPr>
        <w:t>6.1.2开标结束后，开始评标。评标工作在相关部门监督下，采用保密方式进行。</w:t>
      </w:r>
    </w:p>
    <w:p w14:paraId="66BAD7A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6.1.3 评标委员会成员有下列情形之一的，应当回避： </w:t>
      </w:r>
    </w:p>
    <w:p w14:paraId="6030E70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（1）采购人或投标人的主要负责人的近亲属； </w:t>
      </w:r>
    </w:p>
    <w:p w14:paraId="7645D09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（2）项目主管部门或者行政监督部门的人员； </w:t>
      </w:r>
    </w:p>
    <w:p w14:paraId="6D4EF49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（3）与投标人有经济利益关系，可能影响对投标公正评审的； </w:t>
      </w:r>
    </w:p>
    <w:p w14:paraId="743C39E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（4）曾因在招标、评标以及其他与招标投标有关活动中从事违法行为而受过行政处罚或刑事处罚的。 </w:t>
      </w:r>
    </w:p>
    <w:p w14:paraId="23D3D144">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 xml:space="preserve">6.4 评标原则 </w:t>
      </w:r>
    </w:p>
    <w:p w14:paraId="4761AD17">
      <w:pPr>
        <w:spacing w:line="480" w:lineRule="exact"/>
        <w:ind w:firstLine="480" w:firstLineChars="200"/>
        <w:jc w:val="left"/>
        <w:rPr>
          <w:rFonts w:ascii="宋体" w:hAnsi="宋体" w:cs="宋体"/>
          <w:sz w:val="24"/>
        </w:rPr>
      </w:pPr>
      <w:r>
        <w:rPr>
          <w:rFonts w:hint="eastAsia" w:ascii="宋体" w:hAnsi="宋体" w:cs="宋体"/>
          <w:kern w:val="0"/>
          <w:sz w:val="24"/>
          <w:lang w:bidi="ar"/>
        </w:rPr>
        <w:t>评标活动遵循公平、公正、科学和择优的原则。</w:t>
      </w:r>
    </w:p>
    <w:p w14:paraId="1D92E32B">
      <w:pPr>
        <w:spacing w:line="480" w:lineRule="exact"/>
        <w:ind w:firstLine="480" w:firstLineChars="200"/>
        <w:jc w:val="left"/>
        <w:rPr>
          <w:rFonts w:ascii="宋体" w:hAnsi="宋体" w:cs="宋体"/>
          <w:bCs/>
          <w:sz w:val="24"/>
        </w:rPr>
      </w:pPr>
      <w:r>
        <w:rPr>
          <w:rFonts w:hint="eastAsia" w:ascii="宋体" w:hAnsi="宋体" w:cs="宋体"/>
          <w:bCs/>
          <w:kern w:val="0"/>
          <w:sz w:val="24"/>
          <w:lang w:bidi="ar"/>
        </w:rPr>
        <w:t>6.5评标</w:t>
      </w:r>
    </w:p>
    <w:p w14:paraId="3E99D770">
      <w:pPr>
        <w:spacing w:line="480" w:lineRule="exact"/>
        <w:ind w:firstLine="480" w:firstLineChars="200"/>
        <w:jc w:val="left"/>
        <w:rPr>
          <w:rFonts w:ascii="宋体" w:hAnsi="宋体" w:cs="宋体"/>
          <w:sz w:val="24"/>
        </w:rPr>
      </w:pPr>
      <w:r>
        <w:rPr>
          <w:rFonts w:hint="eastAsia" w:ascii="宋体" w:hAnsi="宋体" w:cs="宋体"/>
          <w:kern w:val="0"/>
          <w:sz w:val="24"/>
          <w:lang w:bidi="ar"/>
        </w:rPr>
        <w:t>评标委员会按照第</w:t>
      </w:r>
      <w:r>
        <w:rPr>
          <w:rFonts w:hint="eastAsia" w:ascii="宋体" w:hAnsi="宋体" w:cs="宋体"/>
          <w:kern w:val="0"/>
          <w:sz w:val="24"/>
          <w:lang w:val="en-US" w:eastAsia="zh-CN" w:bidi="ar"/>
        </w:rPr>
        <w:t>四</w:t>
      </w:r>
      <w:r>
        <w:rPr>
          <w:rFonts w:hint="eastAsia" w:ascii="宋体" w:hAnsi="宋体" w:cs="宋体"/>
          <w:kern w:val="0"/>
          <w:sz w:val="24"/>
          <w:lang w:bidi="ar"/>
        </w:rPr>
        <w:t>章“评标办法”规定的方法、评审因素、标准和程序对投标文件进行评审。第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章“评标办法”没有规定的方法、评审因素和标准，不作为评标依据。 </w:t>
      </w:r>
    </w:p>
    <w:p w14:paraId="53DD60F3">
      <w:pPr>
        <w:numPr>
          <w:ilvl w:val="0"/>
          <w:numId w:val="7"/>
        </w:numPr>
        <w:spacing w:line="480" w:lineRule="exact"/>
        <w:ind w:firstLine="482" w:firstLineChars="200"/>
        <w:jc w:val="left"/>
        <w:outlineLvl w:val="1"/>
        <w:rPr>
          <w:rFonts w:ascii="宋体" w:hAnsi="宋体" w:cs="宋体"/>
          <w:b/>
          <w:bCs/>
          <w:kern w:val="0"/>
          <w:sz w:val="24"/>
          <w:lang w:bidi="ar"/>
        </w:rPr>
      </w:pPr>
      <w:bookmarkStart w:id="24" w:name="_Toc21680"/>
      <w:r>
        <w:rPr>
          <w:rFonts w:hint="eastAsia" w:ascii="宋体" w:hAnsi="宋体" w:cs="宋体"/>
          <w:b/>
          <w:bCs/>
          <w:kern w:val="0"/>
          <w:sz w:val="24"/>
          <w:lang w:bidi="ar"/>
        </w:rPr>
        <w:t>合同授予</w:t>
      </w:r>
      <w:bookmarkEnd w:id="24"/>
      <w:r>
        <w:rPr>
          <w:rFonts w:hint="eastAsia" w:ascii="宋体" w:hAnsi="宋体" w:cs="宋体"/>
          <w:b/>
          <w:bCs/>
          <w:kern w:val="0"/>
          <w:sz w:val="24"/>
          <w:lang w:bidi="ar"/>
        </w:rPr>
        <w:t xml:space="preserve"> </w:t>
      </w:r>
    </w:p>
    <w:p w14:paraId="743D5809">
      <w:pPr>
        <w:spacing w:line="480" w:lineRule="exact"/>
        <w:ind w:firstLine="480" w:firstLineChars="200"/>
        <w:rPr>
          <w:rFonts w:ascii="宋体" w:hAnsi="宋体" w:cs="宋体"/>
          <w:sz w:val="24"/>
        </w:rPr>
      </w:pPr>
      <w:r>
        <w:rPr>
          <w:rFonts w:hint="eastAsia" w:ascii="宋体" w:hAnsi="宋体" w:cs="宋体"/>
          <w:sz w:val="24"/>
        </w:rPr>
        <w:t>7.1本招标项目的合同将授予按本评标办法确定的中标人。</w:t>
      </w:r>
    </w:p>
    <w:p w14:paraId="17E1DA74">
      <w:pPr>
        <w:spacing w:line="480" w:lineRule="exact"/>
        <w:ind w:firstLine="480" w:firstLineChars="200"/>
        <w:rPr>
          <w:rFonts w:ascii="宋体" w:hAnsi="宋体" w:cs="宋体"/>
          <w:sz w:val="24"/>
        </w:rPr>
      </w:pPr>
      <w:r>
        <w:rPr>
          <w:rFonts w:hint="eastAsia" w:ascii="宋体" w:hAnsi="宋体" w:cs="宋体"/>
          <w:sz w:val="24"/>
        </w:rPr>
        <w:t>7.2采购人可确定排名第一的中标候选人为中标供应商。当确定中标的投标候选人放弃中标或因不可抗力提出不能履行合同的，采购人可以按序确定排名第二的中标候选人为中标人，以此类推。</w:t>
      </w:r>
    </w:p>
    <w:p w14:paraId="39113B61">
      <w:pPr>
        <w:spacing w:line="480" w:lineRule="exact"/>
        <w:ind w:firstLine="480" w:firstLineChars="200"/>
        <w:rPr>
          <w:rFonts w:ascii="宋体" w:hAnsi="宋体" w:cs="宋体"/>
          <w:sz w:val="24"/>
        </w:rPr>
      </w:pPr>
      <w:r>
        <w:rPr>
          <w:rFonts w:hint="eastAsia" w:ascii="宋体" w:hAnsi="宋体" w:cs="宋体"/>
          <w:sz w:val="24"/>
        </w:rPr>
        <w:t>7.3采购人不承诺将合同授予报价最低的或最高的中标候选人。</w:t>
      </w:r>
    </w:p>
    <w:p w14:paraId="3ABE3D2B">
      <w:pPr>
        <w:spacing w:line="480" w:lineRule="exact"/>
        <w:ind w:firstLine="482" w:firstLineChars="200"/>
        <w:jc w:val="left"/>
        <w:outlineLvl w:val="1"/>
        <w:rPr>
          <w:rFonts w:ascii="宋体" w:hAnsi="宋体" w:cs="宋体"/>
          <w:b/>
          <w:bCs/>
          <w:kern w:val="0"/>
          <w:sz w:val="24"/>
          <w:lang w:bidi="ar"/>
        </w:rPr>
      </w:pPr>
      <w:bookmarkStart w:id="25" w:name="_Toc18335"/>
      <w:r>
        <w:rPr>
          <w:rFonts w:hint="eastAsia" w:ascii="宋体" w:hAnsi="宋体" w:cs="宋体"/>
          <w:b/>
          <w:bCs/>
          <w:kern w:val="0"/>
          <w:sz w:val="24"/>
          <w:lang w:bidi="ar"/>
        </w:rPr>
        <w:t>7.1 定标办法</w:t>
      </w:r>
      <w:bookmarkEnd w:id="25"/>
      <w:r>
        <w:rPr>
          <w:rFonts w:hint="eastAsia" w:ascii="宋体" w:hAnsi="宋体" w:cs="宋体"/>
          <w:b/>
          <w:bCs/>
          <w:kern w:val="0"/>
          <w:sz w:val="24"/>
          <w:lang w:bidi="ar"/>
        </w:rPr>
        <w:t xml:space="preserve"> </w:t>
      </w:r>
    </w:p>
    <w:p w14:paraId="35F995B9">
      <w:pPr>
        <w:spacing w:line="480" w:lineRule="exact"/>
        <w:ind w:firstLine="480" w:firstLineChars="200"/>
        <w:rPr>
          <w:rFonts w:ascii="宋体" w:hAnsi="宋体" w:cs="宋体"/>
          <w:sz w:val="24"/>
        </w:rPr>
      </w:pPr>
      <w:r>
        <w:rPr>
          <w:rFonts w:hint="eastAsia" w:ascii="宋体" w:hAnsi="宋体" w:cs="宋体"/>
          <w:sz w:val="24"/>
        </w:rPr>
        <w:t>7.1.1投标人的排名按得分顺序从高到低排列；得分相同的，按响应报价由低到高顺序排列；得分且响应报价相同的，按技术</w:t>
      </w:r>
      <w:r>
        <w:rPr>
          <w:rFonts w:hint="eastAsia" w:ascii="宋体" w:hAnsi="宋体" w:cs="宋体"/>
          <w:sz w:val="24"/>
          <w:lang w:val="en-US" w:eastAsia="zh-CN"/>
        </w:rPr>
        <w:t>得分</w:t>
      </w:r>
      <w:r>
        <w:rPr>
          <w:rFonts w:hint="eastAsia" w:ascii="宋体" w:hAnsi="宋体" w:cs="宋体"/>
          <w:sz w:val="24"/>
        </w:rPr>
        <w:t>优劣顺序排列。</w:t>
      </w:r>
    </w:p>
    <w:p w14:paraId="77D510B9">
      <w:pPr>
        <w:spacing w:line="480" w:lineRule="exact"/>
        <w:ind w:firstLine="480" w:firstLineChars="200"/>
        <w:rPr>
          <w:rFonts w:ascii="宋体" w:hAnsi="宋体" w:cs="宋体"/>
          <w:sz w:val="24"/>
        </w:rPr>
      </w:pPr>
      <w:r>
        <w:rPr>
          <w:rFonts w:hint="eastAsia" w:ascii="宋体" w:hAnsi="宋体" w:cs="宋体"/>
          <w:sz w:val="24"/>
        </w:rPr>
        <w:t>7.1.2采购人按评标小组写出评标报告确定中标人。</w:t>
      </w:r>
    </w:p>
    <w:p w14:paraId="1F2202D9">
      <w:pPr>
        <w:spacing w:line="480" w:lineRule="exact"/>
        <w:ind w:firstLine="482" w:firstLineChars="200"/>
        <w:jc w:val="left"/>
        <w:rPr>
          <w:rFonts w:ascii="宋体" w:hAnsi="宋体" w:cs="宋体"/>
          <w:kern w:val="0"/>
          <w:sz w:val="24"/>
          <w:lang w:bidi="ar"/>
        </w:rPr>
      </w:pPr>
      <w:r>
        <w:rPr>
          <w:rFonts w:hint="eastAsia" w:ascii="宋体" w:hAnsi="宋体" w:cs="宋体"/>
          <w:b/>
          <w:bCs/>
          <w:kern w:val="0"/>
          <w:sz w:val="24"/>
          <w:lang w:bidi="ar"/>
        </w:rPr>
        <w:t>7.2 中标通知</w:t>
      </w:r>
      <w:r>
        <w:rPr>
          <w:rFonts w:hint="eastAsia" w:ascii="宋体" w:hAnsi="宋体" w:cs="宋体"/>
          <w:kern w:val="0"/>
          <w:sz w:val="24"/>
          <w:lang w:bidi="ar"/>
        </w:rPr>
        <w:t xml:space="preserve"> </w:t>
      </w:r>
    </w:p>
    <w:p w14:paraId="0DE2D10C">
      <w:pPr>
        <w:spacing w:line="480" w:lineRule="exact"/>
        <w:ind w:firstLine="480" w:firstLineChars="200"/>
        <w:jc w:val="left"/>
        <w:rPr>
          <w:rFonts w:ascii="宋体" w:hAnsi="宋体" w:cs="宋体"/>
          <w:sz w:val="24"/>
        </w:rPr>
      </w:pPr>
      <w:r>
        <w:rPr>
          <w:rFonts w:hint="eastAsia" w:ascii="宋体" w:hAnsi="宋体" w:cs="宋体"/>
          <w:kern w:val="0"/>
          <w:sz w:val="24"/>
          <w:lang w:bidi="ar"/>
        </w:rPr>
        <w:t>7.2.1 采购代理机构应当在评标结束后2个工作日内将评标报告送采购人。</w:t>
      </w:r>
    </w:p>
    <w:p w14:paraId="1CFFC8AE">
      <w:pPr>
        <w:spacing w:line="480" w:lineRule="exact"/>
        <w:ind w:firstLine="480" w:firstLineChars="200"/>
        <w:jc w:val="left"/>
        <w:rPr>
          <w:rFonts w:ascii="宋体" w:hAnsi="宋体" w:cs="宋体"/>
          <w:sz w:val="24"/>
        </w:rPr>
      </w:pPr>
      <w:r>
        <w:rPr>
          <w:rFonts w:hint="eastAsia" w:ascii="宋体" w:hAnsi="宋体" w:cs="宋体"/>
          <w:kern w:val="0"/>
          <w:sz w:val="24"/>
          <w:lang w:bidi="ar"/>
        </w:rPr>
        <w:t>7.2.2 采购人应当自收到评标报告之日起5个工作日内，在评标报告确定的中标候选人名单中确定中标人。中标候选人并列的，由采购人或者采购人委托评标委员会按照招标文件规定的方式确定中标人；招标文件未规定的，采取随机抽取的方式确定。</w:t>
      </w:r>
    </w:p>
    <w:p w14:paraId="6176AE94">
      <w:pPr>
        <w:spacing w:line="480" w:lineRule="exact"/>
        <w:ind w:firstLine="480" w:firstLineChars="200"/>
        <w:jc w:val="left"/>
        <w:rPr>
          <w:rFonts w:ascii="宋体" w:hAnsi="宋体" w:cs="宋体"/>
          <w:sz w:val="24"/>
        </w:rPr>
      </w:pPr>
      <w:r>
        <w:rPr>
          <w:rFonts w:hint="eastAsia" w:ascii="宋体" w:hAnsi="宋体" w:cs="宋体"/>
          <w:kern w:val="0"/>
          <w:sz w:val="24"/>
          <w:lang w:bidi="ar"/>
        </w:rPr>
        <w:t>7.2.3 采购人在收到评标报告5个工作日内未按评标报告推荐的中标候选人顺序确定中标人，又不能说明合法理由的，视同按评标报告推荐的顺序确定排名第一的中标候选人为中标人。</w:t>
      </w:r>
    </w:p>
    <w:p w14:paraId="55E752B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7.2.4 采购人或者采购代理机构应当自中标人确定之日起 2 个工作日内，在省级以上财政部门指定的媒体上公告中标结果，招标文件应当随中标结果同时公告。 </w:t>
      </w:r>
    </w:p>
    <w:p w14:paraId="4720438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7.2.5 中标结果公告内容应当包括采购人及其委托的采购代理机构的名称、地址、联系方式，项目名称和项目编号，中标人名称、地址和中标金额，主要中标标的的名称、规格型号、数量、单价、服务要求，中标公告期限以及评审专家名单。 </w:t>
      </w:r>
    </w:p>
    <w:p w14:paraId="55F541D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7.2.6 中标公告期限为 1 个工作日。 </w:t>
      </w:r>
    </w:p>
    <w:p w14:paraId="3B0509B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7.2.7 在公告中标结果的同时，采购人或者采购代理机构应当向中标人发出中标通知书；对未通过资格审查的投标人，应当告知其未通过的原因；同时告知未中标人本人的评审得分与排序。 </w:t>
      </w:r>
    </w:p>
    <w:p w14:paraId="05E8DBD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7.2.8 中标通知书发出后，采购人不得违法改变中标结果，中标人无正当理由不得放弃中标。 </w:t>
      </w:r>
    </w:p>
    <w:p w14:paraId="7190297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 签订合同 </w:t>
      </w:r>
    </w:p>
    <w:p w14:paraId="49CD08B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7.3.1 采购人自成交通知书发出之日起30日内，按照招标文件和中标人投标文件的规定，与中标人签订书面合同。所签订的合同不得对招标文件确定的事项和中标人投标文件作实质性修改。 </w:t>
      </w:r>
    </w:p>
    <w:p w14:paraId="4586CF6D">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7.3.2 采购人不得向中标人提出任何不合理的要求作为签订合同的条件。 </w:t>
      </w:r>
    </w:p>
    <w:p w14:paraId="0BCF27C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7.3.3 发出中标通知书后，采购人无正当理由拒签合同的，给中标人造成损失的，还应当赔偿损失。 </w:t>
      </w:r>
    </w:p>
    <w:p w14:paraId="0E558A35">
      <w:pPr>
        <w:spacing w:line="480" w:lineRule="exact"/>
        <w:ind w:firstLine="482" w:firstLineChars="200"/>
        <w:jc w:val="left"/>
        <w:outlineLvl w:val="1"/>
        <w:rPr>
          <w:rFonts w:ascii="宋体" w:hAnsi="宋体" w:cs="宋体"/>
          <w:b/>
          <w:bCs/>
          <w:kern w:val="0"/>
          <w:sz w:val="24"/>
          <w:lang w:bidi="ar"/>
        </w:rPr>
      </w:pPr>
      <w:bookmarkStart w:id="26" w:name="_Toc17983"/>
      <w:r>
        <w:rPr>
          <w:rFonts w:hint="eastAsia" w:ascii="宋体" w:hAnsi="宋体" w:cs="宋体"/>
          <w:b/>
          <w:bCs/>
          <w:kern w:val="0"/>
          <w:sz w:val="24"/>
          <w:lang w:bidi="ar"/>
        </w:rPr>
        <w:t>8. 重新招标和采购变更</w:t>
      </w:r>
      <w:bookmarkEnd w:id="26"/>
      <w:r>
        <w:rPr>
          <w:rFonts w:hint="eastAsia" w:ascii="宋体" w:hAnsi="宋体" w:cs="宋体"/>
          <w:b/>
          <w:bCs/>
          <w:kern w:val="0"/>
          <w:sz w:val="24"/>
          <w:lang w:bidi="ar"/>
        </w:rPr>
        <w:t xml:space="preserve"> </w:t>
      </w:r>
    </w:p>
    <w:p w14:paraId="6A072C1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8.1 重新招标 </w:t>
      </w:r>
    </w:p>
    <w:p w14:paraId="3FCDD49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有下列情形之一的，采购人将重新招标： </w:t>
      </w:r>
    </w:p>
    <w:p w14:paraId="44220AC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（1）投标截止时间止，投标人少于3个的； </w:t>
      </w:r>
    </w:p>
    <w:p w14:paraId="5731FB79">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（2）通过资格审查少于3个或经评标委员会评审后否决所有投标的。 </w:t>
      </w:r>
    </w:p>
    <w:p w14:paraId="668757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8.2 采购变更 </w:t>
      </w:r>
    </w:p>
    <w:p w14:paraId="7CF2F02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重新招标后投标人仍少于3 个或者所有投标被否决的，属于必须审批或核准的项目，经原审批或核准部门批准后可采用其他采购方式。 </w:t>
      </w:r>
    </w:p>
    <w:p w14:paraId="1378BAD0">
      <w:pPr>
        <w:spacing w:line="480" w:lineRule="exact"/>
        <w:ind w:firstLine="482" w:firstLineChars="200"/>
        <w:jc w:val="left"/>
        <w:outlineLvl w:val="1"/>
        <w:rPr>
          <w:rFonts w:ascii="宋体" w:hAnsi="宋体" w:cs="宋体"/>
          <w:b/>
          <w:bCs/>
          <w:kern w:val="0"/>
          <w:sz w:val="24"/>
          <w:lang w:bidi="ar"/>
        </w:rPr>
      </w:pPr>
      <w:bookmarkStart w:id="27" w:name="_Toc29120"/>
      <w:r>
        <w:rPr>
          <w:rFonts w:hint="eastAsia" w:ascii="宋体" w:hAnsi="宋体" w:cs="宋体"/>
          <w:b/>
          <w:bCs/>
          <w:kern w:val="0"/>
          <w:sz w:val="24"/>
          <w:lang w:bidi="ar"/>
        </w:rPr>
        <w:t>9. 纪律和监督</w:t>
      </w:r>
      <w:bookmarkEnd w:id="27"/>
      <w:r>
        <w:rPr>
          <w:rFonts w:hint="eastAsia" w:ascii="宋体" w:hAnsi="宋体" w:cs="宋体"/>
          <w:b/>
          <w:bCs/>
          <w:kern w:val="0"/>
          <w:sz w:val="24"/>
          <w:lang w:bidi="ar"/>
        </w:rPr>
        <w:t xml:space="preserve"> </w:t>
      </w:r>
    </w:p>
    <w:p w14:paraId="47507987">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9.1 对采购人的纪律要求 </w:t>
      </w:r>
    </w:p>
    <w:p w14:paraId="153E4A1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采购人不得泄漏招标投标活动中应当保密的情况和资料，不得与投标人串通损害国家利益、社会公共利益或者他人合法权益。 </w:t>
      </w:r>
    </w:p>
    <w:p w14:paraId="24383801">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9.2 对投标人的纪律要求 </w:t>
      </w:r>
    </w:p>
    <w:p w14:paraId="0B96E07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投标人不得相互串通投标或者与采购人串通投标，不得向采购人或者评标委员会成员行贿谋取中标，不得以他人名义投标或者以其他方式弄虚作假骗取中标；投标人不得以任何方式干扰、影响评标工作。 </w:t>
      </w:r>
    </w:p>
    <w:p w14:paraId="5B1333F4">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 对评标委员会成员的纪律要求 </w:t>
      </w:r>
    </w:p>
    <w:p w14:paraId="45DC7D1E">
      <w:pPr>
        <w:spacing w:line="480" w:lineRule="exact"/>
        <w:ind w:firstLine="480" w:firstLineChars="200"/>
        <w:jc w:val="left"/>
        <w:rPr>
          <w:rFonts w:ascii="宋体" w:hAnsi="宋体" w:cs="宋体"/>
          <w:sz w:val="24"/>
        </w:rPr>
      </w:pPr>
      <w:r>
        <w:rPr>
          <w:rFonts w:hint="eastAsia" w:ascii="宋体" w:hAnsi="宋体" w:cs="宋体"/>
          <w:kern w:val="0"/>
          <w:sz w:val="24"/>
          <w:lang w:bidi="ar"/>
        </w:rPr>
        <w:t>9.3.1 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cs="宋体"/>
          <w:kern w:val="0"/>
          <w:sz w:val="24"/>
          <w:lang w:val="en-US" w:eastAsia="zh-CN" w:bidi="ar"/>
        </w:rPr>
        <w:t>四</w:t>
      </w:r>
      <w:r>
        <w:rPr>
          <w:rFonts w:hint="eastAsia" w:ascii="宋体" w:hAnsi="宋体" w:cs="宋体"/>
          <w:kern w:val="0"/>
          <w:sz w:val="24"/>
          <w:lang w:bidi="ar"/>
        </w:rPr>
        <w:t xml:space="preserve">章“评标办法”没有规定的评审因素和标准进行评标。 </w:t>
      </w:r>
    </w:p>
    <w:p w14:paraId="0BE759B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9.3.2 评标委员会及其成员不得有下列行为： </w:t>
      </w:r>
    </w:p>
    <w:p w14:paraId="2FE42A68">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（一）确定参与评标至评标结束前私自接触投标人； </w:t>
      </w:r>
    </w:p>
    <w:p w14:paraId="7541D32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（二）接受投标人提出的与投标文件不一致的澄清或者说明，《政府采购货物和服务招标投标管理办法》（财政部令第 87 号）第五十一条规定的情形除外； </w:t>
      </w:r>
    </w:p>
    <w:p w14:paraId="1BEA87EE">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（三）违反评标纪律发表倾向性意见或者征询采购人的倾向性意见； </w:t>
      </w:r>
    </w:p>
    <w:p w14:paraId="1222C2D6">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（四）对需要专业判断的主观评审因素协商评分； </w:t>
      </w:r>
    </w:p>
    <w:p w14:paraId="236C3802">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（五）在评标过程中擅离职守，影响评标程序正常进行的； </w:t>
      </w:r>
    </w:p>
    <w:p w14:paraId="5C0116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（六）记录、复制或者带走任何评标资料； </w:t>
      </w:r>
    </w:p>
    <w:p w14:paraId="16809B7A">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（七）其他不遵守评标纪律的行为。 </w:t>
      </w:r>
    </w:p>
    <w:p w14:paraId="454DBD85">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9.4 对与评标活动有关的工作人员的纪律要求 </w:t>
      </w:r>
    </w:p>
    <w:p w14:paraId="1F47328C">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 </w:t>
      </w:r>
    </w:p>
    <w:p w14:paraId="4652962B">
      <w:pPr>
        <w:spacing w:line="480" w:lineRule="exact"/>
        <w:ind w:firstLine="480" w:firstLineChars="200"/>
        <w:jc w:val="left"/>
        <w:rPr>
          <w:rFonts w:ascii="宋体" w:hAnsi="宋体" w:cs="宋体"/>
          <w:sz w:val="24"/>
        </w:rPr>
      </w:pPr>
      <w:r>
        <w:rPr>
          <w:rFonts w:hint="eastAsia" w:ascii="宋体" w:hAnsi="宋体" w:cs="宋体"/>
          <w:kern w:val="0"/>
          <w:sz w:val="24"/>
          <w:lang w:bidi="ar"/>
        </w:rPr>
        <w:t>9.5 投诉</w:t>
      </w:r>
    </w:p>
    <w:p w14:paraId="32CC4A0B">
      <w:pPr>
        <w:spacing w:line="480" w:lineRule="exact"/>
        <w:ind w:firstLine="480" w:firstLineChars="200"/>
        <w:jc w:val="left"/>
        <w:rPr>
          <w:rFonts w:ascii="宋体" w:hAnsi="宋体" w:cs="宋体"/>
          <w:sz w:val="24"/>
        </w:rPr>
      </w:pPr>
      <w:r>
        <w:rPr>
          <w:rFonts w:hint="eastAsia" w:ascii="宋体" w:hAnsi="宋体" w:cs="宋体"/>
          <w:kern w:val="0"/>
          <w:sz w:val="24"/>
          <w:lang w:bidi="ar"/>
        </w:rPr>
        <w:t xml:space="preserve">投标人和其他利害关系人认为本次招标活动违反法律、法规和规章规定的，有权向有关行政监督部门投诉。 </w:t>
      </w:r>
    </w:p>
    <w:p w14:paraId="53A6507D">
      <w:pPr>
        <w:spacing w:line="480" w:lineRule="exact"/>
        <w:ind w:firstLine="482" w:firstLineChars="200"/>
        <w:jc w:val="left"/>
        <w:outlineLvl w:val="1"/>
        <w:rPr>
          <w:rFonts w:ascii="宋体" w:hAnsi="宋体" w:cs="宋体"/>
          <w:b/>
          <w:bCs/>
          <w:kern w:val="0"/>
          <w:sz w:val="24"/>
          <w:lang w:bidi="ar"/>
        </w:rPr>
      </w:pPr>
      <w:bookmarkStart w:id="28" w:name="_Toc12299"/>
      <w:r>
        <w:rPr>
          <w:rFonts w:hint="eastAsia" w:ascii="宋体" w:hAnsi="宋体" w:cs="宋体"/>
          <w:b/>
          <w:bCs/>
          <w:kern w:val="0"/>
          <w:sz w:val="24"/>
          <w:lang w:bidi="ar"/>
        </w:rPr>
        <w:t>10. 需要补充的其他内容</w:t>
      </w:r>
      <w:bookmarkEnd w:id="28"/>
      <w:r>
        <w:rPr>
          <w:rFonts w:hint="eastAsia" w:ascii="宋体" w:hAnsi="宋体" w:cs="宋体"/>
          <w:b/>
          <w:bCs/>
          <w:kern w:val="0"/>
          <w:sz w:val="24"/>
          <w:lang w:bidi="ar"/>
        </w:rPr>
        <w:t xml:space="preserve"> </w:t>
      </w:r>
    </w:p>
    <w:p w14:paraId="60D07116">
      <w:pPr>
        <w:spacing w:line="480" w:lineRule="exact"/>
        <w:ind w:firstLine="480" w:firstLineChars="200"/>
        <w:jc w:val="left"/>
        <w:rPr>
          <w:rFonts w:ascii="宋体" w:hAnsi="宋体" w:cs="宋体"/>
          <w:kern w:val="0"/>
          <w:sz w:val="24"/>
          <w:lang w:bidi="ar"/>
        </w:rPr>
      </w:pPr>
      <w:r>
        <w:rPr>
          <w:rFonts w:hint="eastAsia" w:ascii="宋体" w:hAnsi="宋体" w:cs="宋体"/>
          <w:kern w:val="0"/>
          <w:sz w:val="24"/>
          <w:lang w:bidi="ar"/>
        </w:rPr>
        <w:t>需要补充的其他内容：见投标人须知前附表。</w:t>
      </w:r>
    </w:p>
    <w:p w14:paraId="17350FE5">
      <w:pPr>
        <w:numPr>
          <w:ilvl w:val="0"/>
          <w:numId w:val="8"/>
        </w:numPr>
        <w:spacing w:line="480" w:lineRule="exact"/>
        <w:ind w:firstLine="482" w:firstLineChars="200"/>
        <w:rPr>
          <w:rFonts w:ascii="宋体" w:hAnsi="宋体" w:cs="宋体"/>
          <w:b/>
          <w:bCs/>
          <w:kern w:val="0"/>
          <w:sz w:val="24"/>
          <w:lang w:bidi="ar"/>
        </w:rPr>
      </w:pPr>
      <w:r>
        <w:rPr>
          <w:rFonts w:hint="eastAsia" w:ascii="宋体" w:hAnsi="宋体" w:cs="宋体"/>
          <w:b/>
          <w:bCs/>
          <w:kern w:val="0"/>
          <w:sz w:val="24"/>
          <w:lang w:bidi="ar"/>
        </w:rPr>
        <w:t>质疑与投诉</w:t>
      </w:r>
    </w:p>
    <w:p w14:paraId="1A76C984">
      <w:pPr>
        <w:spacing w:line="480" w:lineRule="exact"/>
        <w:ind w:firstLine="480" w:firstLineChars="200"/>
        <w:rPr>
          <w:rFonts w:ascii="宋体" w:hAnsi="宋体" w:cs="宋体"/>
          <w:sz w:val="24"/>
        </w:rPr>
      </w:pPr>
      <w:r>
        <w:rPr>
          <w:rFonts w:hint="eastAsia" w:ascii="宋体" w:hAnsi="宋体" w:cs="宋体"/>
          <w:sz w:val="24"/>
        </w:rPr>
        <w:t>11.1政府采购投标人提出质疑和投诉应当坚持依法依规、诚实信用原则。</w:t>
      </w:r>
    </w:p>
    <w:p w14:paraId="305DCA76">
      <w:pPr>
        <w:spacing w:line="480" w:lineRule="exact"/>
        <w:ind w:firstLine="480" w:firstLineChars="200"/>
        <w:rPr>
          <w:rFonts w:ascii="宋体" w:hAnsi="宋体" w:cs="宋体"/>
          <w:sz w:val="24"/>
        </w:rPr>
      </w:pPr>
      <w:r>
        <w:rPr>
          <w:rFonts w:hint="eastAsia" w:ascii="宋体" w:hAnsi="宋体" w:cs="宋体"/>
          <w:sz w:val="24"/>
        </w:rPr>
        <w:t>11.2质疑函的接收</w:t>
      </w:r>
    </w:p>
    <w:p w14:paraId="4C398654">
      <w:pPr>
        <w:spacing w:line="480" w:lineRule="exact"/>
        <w:ind w:firstLine="480" w:firstLineChars="200"/>
        <w:rPr>
          <w:rFonts w:ascii="宋体" w:hAnsi="宋体" w:cs="宋体"/>
          <w:sz w:val="24"/>
        </w:rPr>
      </w:pPr>
      <w:r>
        <w:rPr>
          <w:rFonts w:hint="eastAsia" w:ascii="宋体" w:hAnsi="宋体" w:cs="宋体"/>
          <w:sz w:val="24"/>
        </w:rPr>
        <w:t>11.2.1接收质疑函的方式：投标人应在法定质疑期内向采购人、采购代理机构递交质疑函。</w:t>
      </w:r>
    </w:p>
    <w:p w14:paraId="4FE006F0">
      <w:pPr>
        <w:spacing w:line="480" w:lineRule="exact"/>
        <w:ind w:firstLine="480" w:firstLineChars="200"/>
        <w:rPr>
          <w:rFonts w:ascii="宋体" w:hAnsi="宋体" w:cs="宋体"/>
          <w:sz w:val="24"/>
        </w:rPr>
      </w:pPr>
      <w:r>
        <w:rPr>
          <w:rFonts w:hint="eastAsia" w:ascii="宋体" w:hAnsi="宋体" w:cs="宋体"/>
          <w:sz w:val="24"/>
        </w:rPr>
        <w:t>11.2.2质疑函接收联系事宜：</w:t>
      </w:r>
    </w:p>
    <w:p w14:paraId="006ECA56">
      <w:pPr>
        <w:spacing w:line="480" w:lineRule="exact"/>
        <w:ind w:firstLine="480" w:firstLineChars="200"/>
        <w:rPr>
          <w:rFonts w:ascii="宋体" w:hAnsi="宋体" w:cs="宋体"/>
          <w:sz w:val="24"/>
        </w:rPr>
      </w:pPr>
      <w:r>
        <w:rPr>
          <w:rFonts w:hint="eastAsia" w:ascii="宋体" w:hAnsi="宋体" w:cs="宋体"/>
          <w:sz w:val="24"/>
        </w:rPr>
        <w:t>接收单位：河南中易顺工程管理有限公司</w:t>
      </w:r>
    </w:p>
    <w:p w14:paraId="6B57C2AB">
      <w:pPr>
        <w:spacing w:line="480" w:lineRule="exact"/>
        <w:ind w:firstLine="480" w:firstLineChars="200"/>
        <w:rPr>
          <w:rFonts w:ascii="宋体" w:hAnsi="宋体" w:cs="宋体"/>
          <w:sz w:val="24"/>
        </w:rPr>
      </w:pPr>
      <w:r>
        <w:rPr>
          <w:rFonts w:hint="eastAsia" w:ascii="宋体" w:hAnsi="宋体" w:cs="宋体"/>
          <w:sz w:val="24"/>
        </w:rPr>
        <w:t xml:space="preserve">地  址、联系电话（详见投标人须知前附表） </w:t>
      </w:r>
    </w:p>
    <w:p w14:paraId="4C2087D2">
      <w:pPr>
        <w:spacing w:line="480" w:lineRule="exact"/>
        <w:ind w:firstLine="480" w:firstLineChars="200"/>
        <w:rPr>
          <w:rFonts w:ascii="宋体" w:hAnsi="宋体" w:cs="宋体"/>
          <w:sz w:val="24"/>
        </w:rPr>
      </w:pPr>
      <w:r>
        <w:rPr>
          <w:rFonts w:hint="eastAsia" w:ascii="宋体" w:hAnsi="宋体" w:cs="宋体"/>
          <w:sz w:val="24"/>
        </w:rPr>
        <w:t>11.2.3投标人可以委托代理人进行质疑和投诉。其授权委托书应当载明代理人的姓名或者名称、代理事项、具体权限、期限和相关事项。投标人为自然人的，应当由本人签字；投标人为法人或者其他组织的，应当由法定代表人、主要负责人签字或者盖章，并加盖公章。代理人提出质疑和投诉，应当提交投标人签署的授权委托书。</w:t>
      </w:r>
    </w:p>
    <w:p w14:paraId="0C62C986">
      <w:pPr>
        <w:spacing w:line="480" w:lineRule="exact"/>
        <w:ind w:firstLine="480" w:firstLineChars="200"/>
        <w:rPr>
          <w:rFonts w:ascii="宋体" w:hAnsi="宋体" w:cs="宋体"/>
          <w:sz w:val="24"/>
        </w:rPr>
      </w:pPr>
      <w:r>
        <w:rPr>
          <w:rFonts w:hint="eastAsia" w:ascii="宋体" w:hAnsi="宋体" w:cs="宋体"/>
          <w:sz w:val="24"/>
        </w:rPr>
        <w:t>11.2.4以联合体形式参加政府采购活动的，其质疑和投诉应当由组成联合体的所有投标人共同提出。</w:t>
      </w:r>
    </w:p>
    <w:p w14:paraId="709F460B">
      <w:pPr>
        <w:spacing w:line="480" w:lineRule="exact"/>
        <w:ind w:firstLine="480" w:firstLineChars="200"/>
        <w:rPr>
          <w:rFonts w:ascii="宋体" w:hAnsi="宋体" w:cs="宋体"/>
          <w:sz w:val="24"/>
        </w:rPr>
      </w:pPr>
      <w:r>
        <w:rPr>
          <w:rFonts w:hint="eastAsia" w:ascii="宋体" w:hAnsi="宋体" w:cs="宋体"/>
          <w:sz w:val="24"/>
        </w:rPr>
        <w:t>11.2.5投标人认为招标文件、采购过程、中标或者成交结果使自己的权益受到损害的，向采购人或采购代理机构提出质疑；投标人应在法定质疑期内一次性提出针对同一采购程序环节的质疑。</w:t>
      </w:r>
    </w:p>
    <w:p w14:paraId="1F933C37">
      <w:pPr>
        <w:spacing w:line="480" w:lineRule="exact"/>
        <w:ind w:firstLine="480" w:firstLineChars="200"/>
        <w:rPr>
          <w:rFonts w:ascii="宋体" w:hAnsi="宋体" w:cs="宋体"/>
          <w:sz w:val="24"/>
        </w:rPr>
      </w:pPr>
      <w:r>
        <w:rPr>
          <w:rFonts w:hint="eastAsia" w:ascii="宋体" w:hAnsi="宋体" w:cs="宋体"/>
          <w:sz w:val="24"/>
        </w:rPr>
        <w:t>11.2.6投标人提出质疑应当提交质疑函和必要的证明材料。质疑函应当包括下列内容：</w:t>
      </w:r>
    </w:p>
    <w:p w14:paraId="1A7D3FFD">
      <w:pPr>
        <w:spacing w:line="480" w:lineRule="exact"/>
        <w:ind w:firstLine="480" w:firstLineChars="200"/>
        <w:rPr>
          <w:rFonts w:ascii="宋体" w:hAnsi="宋体" w:cs="宋体"/>
          <w:sz w:val="24"/>
        </w:rPr>
      </w:pPr>
      <w:r>
        <w:rPr>
          <w:rFonts w:hint="eastAsia" w:ascii="宋体" w:hAnsi="宋体" w:cs="宋体"/>
          <w:sz w:val="24"/>
        </w:rPr>
        <w:t>（一）投标人的姓名或者名称、地址、邮编、联系人及联系电话；</w:t>
      </w:r>
    </w:p>
    <w:p w14:paraId="6FC2F20D">
      <w:pPr>
        <w:spacing w:line="480" w:lineRule="exact"/>
        <w:ind w:firstLine="480" w:firstLineChars="200"/>
        <w:rPr>
          <w:rFonts w:ascii="宋体" w:hAnsi="宋体" w:cs="宋体"/>
          <w:sz w:val="24"/>
        </w:rPr>
      </w:pPr>
      <w:r>
        <w:rPr>
          <w:rFonts w:hint="eastAsia" w:ascii="宋体" w:hAnsi="宋体" w:cs="宋体"/>
          <w:sz w:val="24"/>
        </w:rPr>
        <w:t>（二）质疑项目的名称、编号；</w:t>
      </w:r>
    </w:p>
    <w:p w14:paraId="3AD6B1FA">
      <w:pPr>
        <w:spacing w:line="480" w:lineRule="exact"/>
        <w:ind w:firstLine="480" w:firstLineChars="200"/>
        <w:rPr>
          <w:rFonts w:ascii="宋体" w:hAnsi="宋体" w:cs="宋体"/>
          <w:sz w:val="24"/>
        </w:rPr>
      </w:pPr>
      <w:r>
        <w:rPr>
          <w:rFonts w:hint="eastAsia" w:ascii="宋体" w:hAnsi="宋体" w:cs="宋体"/>
          <w:sz w:val="24"/>
        </w:rPr>
        <w:t>（三）具体、明确的质疑事项和与质疑事项相关的请求；</w:t>
      </w:r>
    </w:p>
    <w:p w14:paraId="33435427">
      <w:pPr>
        <w:spacing w:line="480" w:lineRule="exact"/>
        <w:ind w:firstLine="480" w:firstLineChars="200"/>
        <w:rPr>
          <w:rFonts w:ascii="宋体" w:hAnsi="宋体" w:cs="宋体"/>
          <w:sz w:val="24"/>
        </w:rPr>
      </w:pPr>
      <w:r>
        <w:rPr>
          <w:rFonts w:hint="eastAsia" w:ascii="宋体" w:hAnsi="宋体" w:cs="宋体"/>
          <w:sz w:val="24"/>
        </w:rPr>
        <w:t>（四）事实依据；</w:t>
      </w:r>
    </w:p>
    <w:p w14:paraId="2979131C">
      <w:pPr>
        <w:spacing w:line="480" w:lineRule="exact"/>
        <w:ind w:firstLine="480" w:firstLineChars="200"/>
        <w:rPr>
          <w:rFonts w:ascii="宋体" w:hAnsi="宋体" w:cs="宋体"/>
          <w:sz w:val="24"/>
        </w:rPr>
      </w:pPr>
      <w:r>
        <w:rPr>
          <w:rFonts w:hint="eastAsia" w:ascii="宋体" w:hAnsi="宋体" w:cs="宋体"/>
          <w:sz w:val="24"/>
        </w:rPr>
        <w:t>（五）必要的法律依据；</w:t>
      </w:r>
    </w:p>
    <w:p w14:paraId="1D842CE0">
      <w:pPr>
        <w:spacing w:line="480" w:lineRule="exact"/>
        <w:ind w:firstLine="480" w:firstLineChars="200"/>
        <w:rPr>
          <w:rFonts w:ascii="宋体" w:hAnsi="宋体" w:cs="宋体"/>
          <w:sz w:val="24"/>
        </w:rPr>
      </w:pPr>
      <w:r>
        <w:rPr>
          <w:rFonts w:hint="eastAsia" w:ascii="宋体" w:hAnsi="宋体" w:cs="宋体"/>
          <w:sz w:val="24"/>
        </w:rPr>
        <w:t>（六）提出质疑的日期。</w:t>
      </w:r>
    </w:p>
    <w:p w14:paraId="0E5895C1">
      <w:pPr>
        <w:spacing w:line="480" w:lineRule="exact"/>
        <w:ind w:firstLine="480" w:firstLineChars="200"/>
        <w:rPr>
          <w:rFonts w:ascii="宋体" w:hAnsi="宋体" w:cs="宋体"/>
          <w:sz w:val="24"/>
        </w:rPr>
      </w:pPr>
      <w:r>
        <w:rPr>
          <w:rFonts w:hint="eastAsia" w:ascii="宋体" w:hAnsi="宋体" w:cs="宋体"/>
          <w:sz w:val="24"/>
        </w:rPr>
        <w:t>投标人为自然人的，应当由本人签字；投标人为法人或者其他组织的，应当由法定代表人、主要负责人，或者其授权代表签字或者盖章，并加盖公章。</w:t>
      </w:r>
    </w:p>
    <w:p w14:paraId="3F8DB4E4">
      <w:pPr>
        <w:spacing w:line="480" w:lineRule="exact"/>
        <w:ind w:firstLine="480" w:firstLineChars="200"/>
        <w:rPr>
          <w:rFonts w:ascii="宋体" w:hAnsi="宋体" w:cs="宋体"/>
          <w:sz w:val="24"/>
        </w:rPr>
      </w:pPr>
      <w:r>
        <w:rPr>
          <w:rFonts w:hint="eastAsia" w:ascii="宋体" w:hAnsi="宋体" w:cs="宋体"/>
          <w:sz w:val="24"/>
        </w:rPr>
        <w:t>质疑函格式详见附件1。</w:t>
      </w:r>
    </w:p>
    <w:p w14:paraId="1D09D197">
      <w:pPr>
        <w:spacing w:line="480" w:lineRule="exact"/>
        <w:ind w:firstLine="480" w:firstLineChars="200"/>
        <w:rPr>
          <w:rFonts w:ascii="宋体" w:hAnsi="宋体" w:cs="宋体"/>
          <w:sz w:val="24"/>
        </w:rPr>
      </w:pPr>
      <w:r>
        <w:rPr>
          <w:rFonts w:hint="eastAsia" w:ascii="宋体" w:hAnsi="宋体" w:cs="宋体"/>
          <w:sz w:val="24"/>
        </w:rPr>
        <w:t>11.2.7采购人、采购代理机构不得拒收质疑投标人在法定质疑期内发出的质疑函，应当在收到质疑函后7个工作日内作出答复，并通知质疑投标人和其他有关投标人。</w:t>
      </w:r>
    </w:p>
    <w:p w14:paraId="0A72891C">
      <w:pPr>
        <w:spacing w:line="480" w:lineRule="exact"/>
        <w:ind w:firstLine="480" w:firstLineChars="200"/>
        <w:rPr>
          <w:rFonts w:ascii="宋体" w:hAnsi="宋体" w:cs="宋体"/>
          <w:sz w:val="24"/>
        </w:rPr>
      </w:pPr>
      <w:r>
        <w:rPr>
          <w:rFonts w:hint="eastAsia" w:ascii="宋体" w:hAnsi="宋体" w:cs="宋体"/>
          <w:sz w:val="24"/>
        </w:rPr>
        <w:t>11.2.8质疑投标人对采购人、采购代理机构的答复不满意，或者采购人、采购代理机构未在规定时间内作出答复的，可以在答复期满后15个工作日内按《政府采购质疑和投诉办法》（财政部令第94号）的规定向财政部门提起投诉。</w:t>
      </w:r>
    </w:p>
    <w:p w14:paraId="74296719">
      <w:pPr>
        <w:spacing w:line="480" w:lineRule="exact"/>
        <w:ind w:firstLine="480" w:firstLineChars="200"/>
        <w:rPr>
          <w:rFonts w:ascii="宋体" w:hAnsi="宋体" w:cs="宋体"/>
          <w:sz w:val="24"/>
        </w:rPr>
      </w:pPr>
      <w:r>
        <w:rPr>
          <w:rFonts w:hint="eastAsia" w:ascii="宋体" w:hAnsi="宋体" w:cs="宋体"/>
          <w:sz w:val="24"/>
        </w:rPr>
        <w:t>11.2.9投诉人在全国范围12个月内三次以上投诉查无实据的，由财政部门列入不良行为记录名单，投诉人有下列行为之一的，属于虚假、恶意投诉，由财政部门列入不良行为记录名单，禁止其1至3年内参加政府采购活动：</w:t>
      </w:r>
    </w:p>
    <w:p w14:paraId="79EF3148">
      <w:pPr>
        <w:spacing w:line="480" w:lineRule="exact"/>
        <w:ind w:firstLine="480" w:firstLineChars="200"/>
        <w:rPr>
          <w:rFonts w:ascii="宋体" w:hAnsi="宋体" w:cs="宋体"/>
          <w:sz w:val="24"/>
        </w:rPr>
      </w:pPr>
      <w:r>
        <w:rPr>
          <w:rFonts w:hint="eastAsia" w:ascii="宋体" w:hAnsi="宋体" w:cs="宋体"/>
          <w:sz w:val="24"/>
        </w:rPr>
        <w:t>（一）捏造事实；</w:t>
      </w:r>
    </w:p>
    <w:p w14:paraId="10229C69">
      <w:pPr>
        <w:spacing w:line="480" w:lineRule="exact"/>
        <w:ind w:firstLine="480" w:firstLineChars="200"/>
        <w:rPr>
          <w:rFonts w:ascii="宋体" w:hAnsi="宋体" w:cs="宋体"/>
          <w:sz w:val="24"/>
        </w:rPr>
      </w:pPr>
      <w:r>
        <w:rPr>
          <w:rFonts w:hint="eastAsia" w:ascii="宋体" w:hAnsi="宋体" w:cs="宋体"/>
          <w:sz w:val="24"/>
        </w:rPr>
        <w:t>（二）提供虚假材料；</w:t>
      </w:r>
    </w:p>
    <w:p w14:paraId="08D5143B">
      <w:pPr>
        <w:spacing w:line="480" w:lineRule="exact"/>
        <w:ind w:firstLine="480" w:firstLineChars="200"/>
        <w:rPr>
          <w:rFonts w:ascii="宋体" w:hAnsi="宋体" w:cs="宋体"/>
          <w:sz w:val="24"/>
        </w:rPr>
      </w:pPr>
      <w:r>
        <w:rPr>
          <w:rFonts w:hint="eastAsia" w:ascii="宋体" w:hAnsi="宋体" w:cs="宋体"/>
          <w:sz w:val="24"/>
        </w:rPr>
        <w:t>（三）以非法手段取得证明材料。证据来源的合法性存在明显疑问，投诉人无法证明其取得方式合法的，视为以非法手段取得证明材料。</w:t>
      </w:r>
    </w:p>
    <w:p w14:paraId="372855D6">
      <w:pPr>
        <w:spacing w:line="480" w:lineRule="exact"/>
        <w:ind w:firstLine="480" w:firstLineChars="200"/>
        <w:rPr>
          <w:rFonts w:ascii="宋体" w:hAnsi="宋体" w:cs="宋体"/>
          <w:sz w:val="24"/>
        </w:rPr>
      </w:pPr>
      <w:r>
        <w:rPr>
          <w:rFonts w:hint="eastAsia" w:ascii="宋体" w:hAnsi="宋体" w:cs="宋体"/>
          <w:sz w:val="24"/>
        </w:rPr>
        <w:t xml:space="preserve"> 11.2.10其它未尽事宜按《政府采购质疑和投诉办法》（财政部令第94号）执行。</w:t>
      </w:r>
    </w:p>
    <w:p w14:paraId="2DE87A72">
      <w:pPr>
        <w:widowControl/>
        <w:jc w:val="left"/>
        <w:rPr>
          <w:rFonts w:ascii="宋体" w:hAnsi="宋体" w:eastAsia="宋体" w:cs="宋体"/>
          <w:sz w:val="24"/>
        </w:rPr>
      </w:pPr>
      <w:r>
        <w:rPr>
          <w:rFonts w:hint="eastAsia" w:ascii="宋体" w:hAnsi="宋体" w:cs="宋体"/>
        </w:rPr>
        <w:br w:type="page"/>
      </w:r>
      <w:bookmarkEnd w:id="10"/>
      <w:bookmarkEnd w:id="11"/>
      <w:bookmarkEnd w:id="12"/>
      <w:bookmarkEnd w:id="13"/>
      <w:bookmarkEnd w:id="14"/>
      <w:bookmarkEnd w:id="15"/>
      <w:bookmarkEnd w:id="16"/>
      <w:bookmarkEnd w:id="17"/>
      <w:bookmarkEnd w:id="18"/>
    </w:p>
    <w:p w14:paraId="2963789E">
      <w:pPr>
        <w:widowControl/>
        <w:spacing w:line="440" w:lineRule="exact"/>
        <w:jc w:val="left"/>
        <w:rPr>
          <w:rFonts w:ascii="宋体" w:hAnsi="宋体" w:eastAsia="宋体" w:cs="宋体"/>
          <w:sz w:val="24"/>
        </w:rPr>
      </w:pPr>
    </w:p>
    <w:p w14:paraId="1DE0250D">
      <w:pPr>
        <w:spacing w:line="440" w:lineRule="exact"/>
        <w:ind w:firstLine="405" w:firstLineChars="168"/>
        <w:rPr>
          <w:rFonts w:ascii="宋体" w:hAnsi="宋体" w:eastAsia="宋体" w:cs="宋体"/>
          <w:b/>
          <w:sz w:val="24"/>
        </w:rPr>
      </w:pPr>
      <w:r>
        <w:rPr>
          <w:rFonts w:hint="eastAsia" w:ascii="宋体" w:hAnsi="宋体" w:eastAsia="宋体" w:cs="宋体"/>
          <w:b/>
          <w:sz w:val="24"/>
        </w:rPr>
        <w:t>附件1：质疑函范本</w:t>
      </w:r>
    </w:p>
    <w:p w14:paraId="435745AE">
      <w:pPr>
        <w:spacing w:line="440" w:lineRule="exact"/>
        <w:ind w:firstLine="482"/>
        <w:jc w:val="center"/>
        <w:rPr>
          <w:rFonts w:ascii="宋体" w:hAnsi="宋体" w:eastAsia="宋体" w:cs="宋体"/>
          <w:b/>
          <w:bCs/>
          <w:sz w:val="24"/>
        </w:rPr>
      </w:pPr>
      <w:r>
        <w:rPr>
          <w:rFonts w:hint="eastAsia" w:ascii="宋体" w:hAnsi="宋体" w:eastAsia="宋体" w:cs="宋体"/>
          <w:b/>
          <w:bCs/>
          <w:sz w:val="24"/>
        </w:rPr>
        <w:t>质疑函范本</w:t>
      </w:r>
    </w:p>
    <w:p w14:paraId="6528823B">
      <w:pPr>
        <w:spacing w:line="440" w:lineRule="exact"/>
        <w:ind w:firstLine="480"/>
        <w:rPr>
          <w:rFonts w:ascii="宋体" w:hAnsi="宋体" w:eastAsia="宋体" w:cs="宋体"/>
          <w:kern w:val="0"/>
          <w:sz w:val="24"/>
        </w:rPr>
      </w:pPr>
      <w:r>
        <w:rPr>
          <w:rFonts w:hint="eastAsia" w:ascii="宋体" w:hAnsi="宋体" w:eastAsia="宋体" w:cs="宋体"/>
          <w:kern w:val="0"/>
          <w:sz w:val="24"/>
        </w:rPr>
        <w:t>一、质疑投标人基本信息</w:t>
      </w:r>
    </w:p>
    <w:p w14:paraId="1381A56D">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质疑投标人：                                        </w:t>
      </w:r>
    </w:p>
    <w:p w14:paraId="707AA64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3B8CBEE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联系人：                      联系电话：                              </w:t>
      </w:r>
    </w:p>
    <w:p w14:paraId="2C78023F">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授权代表：                                          </w:t>
      </w:r>
    </w:p>
    <w:p w14:paraId="652C3EE1">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联系电话：                                            </w:t>
      </w:r>
    </w:p>
    <w:p w14:paraId="028A21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地址：                         邮编：                                       </w:t>
      </w:r>
    </w:p>
    <w:p w14:paraId="1CEA9A61">
      <w:pPr>
        <w:spacing w:line="440" w:lineRule="exact"/>
        <w:ind w:firstLine="480"/>
        <w:rPr>
          <w:rFonts w:ascii="宋体" w:hAnsi="宋体" w:eastAsia="宋体" w:cs="宋体"/>
          <w:bCs/>
          <w:kern w:val="0"/>
          <w:sz w:val="24"/>
        </w:rPr>
      </w:pPr>
      <w:r>
        <w:rPr>
          <w:rFonts w:hint="eastAsia" w:ascii="宋体" w:hAnsi="宋体" w:eastAsia="宋体" w:cs="宋体"/>
          <w:bCs/>
          <w:kern w:val="0"/>
          <w:sz w:val="24"/>
        </w:rPr>
        <w:t>二、质疑项目基本情况</w:t>
      </w:r>
    </w:p>
    <w:p w14:paraId="6CBC8C38">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质疑项目的名称：                                      </w:t>
      </w:r>
    </w:p>
    <w:p w14:paraId="011D97E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质疑项目的编号：               包号：                 </w:t>
      </w:r>
    </w:p>
    <w:p w14:paraId="4C62CBD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采购人名称：                                         </w:t>
      </w:r>
    </w:p>
    <w:p w14:paraId="618F300B">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招标文件获取日期：                                           </w:t>
      </w:r>
    </w:p>
    <w:p w14:paraId="629670DB">
      <w:pPr>
        <w:spacing w:line="440" w:lineRule="exact"/>
        <w:ind w:firstLine="480"/>
        <w:rPr>
          <w:rFonts w:ascii="宋体" w:hAnsi="宋体" w:eastAsia="宋体" w:cs="宋体"/>
          <w:kern w:val="0"/>
          <w:sz w:val="24"/>
        </w:rPr>
      </w:pPr>
      <w:r>
        <w:rPr>
          <w:rFonts w:hint="eastAsia" w:ascii="宋体" w:hAnsi="宋体" w:eastAsia="宋体" w:cs="宋体"/>
          <w:kern w:val="0"/>
          <w:sz w:val="24"/>
        </w:rPr>
        <w:t>三、质疑事项具体内容</w:t>
      </w:r>
    </w:p>
    <w:p w14:paraId="49D5CE23">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质疑事项1：                                         </w:t>
      </w:r>
    </w:p>
    <w:p w14:paraId="4C9CC65E">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事实依据：                                          </w:t>
      </w:r>
    </w:p>
    <w:p w14:paraId="442F184E">
      <w:pPr>
        <w:spacing w:line="440" w:lineRule="exact"/>
        <w:ind w:firstLine="480"/>
        <w:rPr>
          <w:rFonts w:ascii="宋体" w:hAnsi="宋体" w:eastAsia="宋体" w:cs="宋体"/>
          <w:kern w:val="0"/>
          <w:sz w:val="24"/>
        </w:rPr>
      </w:pPr>
    </w:p>
    <w:p w14:paraId="4DECE39A">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法律依据：                                          </w:t>
      </w:r>
    </w:p>
    <w:p w14:paraId="3CBC1B94">
      <w:pPr>
        <w:spacing w:line="440" w:lineRule="exact"/>
        <w:ind w:firstLine="480"/>
        <w:rPr>
          <w:rFonts w:ascii="宋体" w:hAnsi="宋体" w:eastAsia="宋体" w:cs="宋体"/>
          <w:kern w:val="0"/>
          <w:sz w:val="24"/>
        </w:rPr>
      </w:pPr>
    </w:p>
    <w:p w14:paraId="3013AA63">
      <w:pPr>
        <w:spacing w:line="440" w:lineRule="exact"/>
        <w:ind w:firstLine="480"/>
        <w:rPr>
          <w:rFonts w:ascii="宋体" w:hAnsi="宋体" w:eastAsia="宋体" w:cs="宋体"/>
          <w:kern w:val="0"/>
          <w:sz w:val="24"/>
        </w:rPr>
      </w:pPr>
      <w:r>
        <w:rPr>
          <w:rFonts w:hint="eastAsia" w:ascii="宋体" w:hAnsi="宋体" w:eastAsia="宋体" w:cs="宋体"/>
          <w:kern w:val="0"/>
          <w:sz w:val="24"/>
        </w:rPr>
        <w:t>质疑事项2</w:t>
      </w:r>
    </w:p>
    <w:p w14:paraId="0E1422F1">
      <w:pPr>
        <w:spacing w:line="440" w:lineRule="exact"/>
        <w:ind w:firstLine="480"/>
        <w:rPr>
          <w:rFonts w:ascii="宋体" w:hAnsi="宋体" w:eastAsia="宋体" w:cs="宋体"/>
          <w:kern w:val="0"/>
          <w:sz w:val="24"/>
        </w:rPr>
      </w:pPr>
      <w:r>
        <w:rPr>
          <w:rFonts w:hint="eastAsia" w:ascii="宋体" w:hAnsi="宋体" w:eastAsia="宋体" w:cs="宋体"/>
          <w:kern w:val="0"/>
          <w:sz w:val="24"/>
        </w:rPr>
        <w:t>……</w:t>
      </w:r>
    </w:p>
    <w:p w14:paraId="0F4B9F6F">
      <w:pPr>
        <w:spacing w:line="440" w:lineRule="exact"/>
        <w:ind w:firstLine="480"/>
        <w:rPr>
          <w:rFonts w:ascii="宋体" w:hAnsi="宋体" w:eastAsia="宋体" w:cs="宋体"/>
          <w:bCs/>
          <w:kern w:val="0"/>
          <w:sz w:val="24"/>
        </w:rPr>
      </w:pPr>
      <w:r>
        <w:rPr>
          <w:rFonts w:hint="eastAsia" w:ascii="宋体" w:hAnsi="宋体" w:eastAsia="宋体" w:cs="宋体"/>
          <w:bCs/>
          <w:kern w:val="0"/>
          <w:sz w:val="24"/>
        </w:rPr>
        <w:t>四、与质疑事项相关的质疑请求</w:t>
      </w:r>
    </w:p>
    <w:p w14:paraId="7B1A8B99">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请求：                                               </w:t>
      </w:r>
    </w:p>
    <w:p w14:paraId="60B71D56">
      <w:pPr>
        <w:spacing w:line="440" w:lineRule="exact"/>
        <w:ind w:firstLine="480"/>
        <w:rPr>
          <w:rFonts w:ascii="宋体" w:hAnsi="宋体" w:eastAsia="宋体" w:cs="宋体"/>
          <w:kern w:val="0"/>
          <w:sz w:val="24"/>
        </w:rPr>
      </w:pPr>
      <w:r>
        <w:rPr>
          <w:rFonts w:hint="eastAsia" w:ascii="宋体" w:hAnsi="宋体" w:eastAsia="宋体" w:cs="宋体"/>
          <w:kern w:val="0"/>
          <w:sz w:val="24"/>
        </w:rPr>
        <w:t xml:space="preserve">签字(签章)：                   公章：                      </w:t>
      </w:r>
    </w:p>
    <w:p w14:paraId="5D96BFAC">
      <w:pPr>
        <w:widowControl/>
        <w:spacing w:line="440" w:lineRule="exact"/>
        <w:ind w:firstLine="480"/>
        <w:jc w:val="center"/>
        <w:outlineLvl w:val="0"/>
        <w:rPr>
          <w:rFonts w:ascii="宋体" w:hAnsi="宋体" w:eastAsia="宋体" w:cs="宋体"/>
          <w:b/>
          <w:bCs/>
          <w:kern w:val="0"/>
          <w:sz w:val="24"/>
        </w:rPr>
      </w:pPr>
      <w:bookmarkStart w:id="29" w:name="_Toc20402"/>
      <w:r>
        <w:rPr>
          <w:rFonts w:hint="eastAsia" w:ascii="宋体" w:hAnsi="宋体" w:eastAsia="宋体" w:cs="宋体"/>
          <w:sz w:val="24"/>
        </w:rPr>
        <w:t>日期：</w:t>
      </w:r>
      <w:bookmarkEnd w:id="29"/>
    </w:p>
    <w:p w14:paraId="71CCB310">
      <w:pPr>
        <w:spacing w:line="440" w:lineRule="exact"/>
        <w:ind w:firstLine="562"/>
        <w:rPr>
          <w:rFonts w:ascii="宋体" w:hAnsi="宋体" w:cs="宋体"/>
        </w:rPr>
      </w:pPr>
    </w:p>
    <w:p w14:paraId="1C097551">
      <w:pPr>
        <w:pStyle w:val="22"/>
        <w:rPr>
          <w:rFonts w:ascii="宋体" w:hAnsi="宋体" w:cs="宋体"/>
        </w:rPr>
      </w:pPr>
    </w:p>
    <w:p w14:paraId="2A3A11BD">
      <w:pPr>
        <w:pStyle w:val="22"/>
        <w:rPr>
          <w:rFonts w:ascii="宋体" w:hAnsi="宋体" w:cs="宋体"/>
        </w:rPr>
      </w:pPr>
    </w:p>
    <w:p w14:paraId="11BC18C3">
      <w:pPr>
        <w:pStyle w:val="22"/>
        <w:rPr>
          <w:rFonts w:ascii="宋体" w:hAnsi="宋体" w:cs="宋体"/>
        </w:rPr>
      </w:pPr>
    </w:p>
    <w:p w14:paraId="453DD77C">
      <w:pPr>
        <w:pStyle w:val="22"/>
        <w:rPr>
          <w:rFonts w:ascii="宋体" w:hAnsi="宋体" w:cs="宋体"/>
        </w:rPr>
      </w:pPr>
    </w:p>
    <w:p w14:paraId="32F6D3A3">
      <w:pPr>
        <w:pStyle w:val="22"/>
        <w:rPr>
          <w:rFonts w:ascii="宋体" w:hAnsi="宋体" w:cs="宋体"/>
        </w:rPr>
      </w:pPr>
    </w:p>
    <w:p w14:paraId="0D2C4A58">
      <w:pPr>
        <w:pStyle w:val="22"/>
        <w:rPr>
          <w:rFonts w:ascii="宋体" w:hAnsi="宋体" w:cs="宋体"/>
        </w:rPr>
        <w:sectPr>
          <w:headerReference r:id="rId3" w:type="default"/>
          <w:footerReference r:id="rId4" w:type="default"/>
          <w:pgSz w:w="11905" w:h="16838"/>
          <w:pgMar w:top="1191" w:right="1247" w:bottom="1247" w:left="1247" w:header="720" w:footer="720" w:gutter="0"/>
          <w:cols w:space="0" w:num="1"/>
          <w:docGrid w:linePitch="312" w:charSpace="0"/>
        </w:sectPr>
      </w:pPr>
    </w:p>
    <w:p w14:paraId="5202326B">
      <w:pPr>
        <w:pStyle w:val="22"/>
        <w:rPr>
          <w:rFonts w:ascii="宋体" w:hAnsi="宋体" w:cs="宋体"/>
        </w:rPr>
      </w:pPr>
    </w:p>
    <w:tbl>
      <w:tblPr>
        <w:tblStyle w:val="19"/>
        <w:tblW w:w="174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9"/>
        <w:gridCol w:w="1605"/>
        <w:gridCol w:w="10043"/>
        <w:gridCol w:w="438"/>
        <w:gridCol w:w="394"/>
        <w:gridCol w:w="379"/>
        <w:gridCol w:w="877"/>
        <w:gridCol w:w="2123"/>
        <w:gridCol w:w="1080"/>
      </w:tblGrid>
      <w:tr w14:paraId="7D0A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678" w:hRule="atLeast"/>
        </w:trPr>
        <w:tc>
          <w:tcPr>
            <w:tcW w:w="14255" w:type="dxa"/>
            <w:gridSpan w:val="7"/>
            <w:tcBorders>
              <w:top w:val="nil"/>
              <w:left w:val="nil"/>
              <w:bottom w:val="single" w:color="auto" w:sz="4" w:space="0"/>
              <w:right w:val="nil"/>
            </w:tcBorders>
            <w:noWrap/>
            <w:vAlign w:val="center"/>
          </w:tcPr>
          <w:p w14:paraId="7A2E7145">
            <w:pPr>
              <w:pStyle w:val="3"/>
              <w:numPr>
                <w:ilvl w:val="0"/>
                <w:numId w:val="0"/>
              </w:numPr>
              <w:ind w:leftChars="1800"/>
              <w:jc w:val="both"/>
            </w:pPr>
            <w:bookmarkStart w:id="30" w:name="_Toc10742"/>
            <w:r>
              <w:rPr>
                <w:rFonts w:hint="eastAsia"/>
              </w:rPr>
              <w:t>第</w:t>
            </w:r>
            <w:r>
              <w:rPr>
                <w:rFonts w:hint="eastAsia"/>
                <w:lang w:val="en-US" w:eastAsia="zh-CN"/>
              </w:rPr>
              <w:t>三</w:t>
            </w:r>
            <w:r>
              <w:rPr>
                <w:rFonts w:hint="eastAsia"/>
              </w:rPr>
              <w:t>章</w:t>
            </w:r>
            <w:r>
              <w:rPr>
                <w:rFonts w:hint="eastAsia"/>
                <w:lang w:val="en-US" w:eastAsia="zh-CN"/>
              </w:rPr>
              <w:t xml:space="preserve">    </w:t>
            </w:r>
            <w:r>
              <w:rPr>
                <w:rFonts w:hint="eastAsia"/>
              </w:rPr>
              <w:t xml:space="preserve"> 采购清单及参数要求</w:t>
            </w:r>
            <w:bookmarkEnd w:id="30"/>
          </w:p>
          <w:p w14:paraId="111B85A1">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p>
        </w:tc>
      </w:tr>
      <w:tr w14:paraId="4698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auto" w:sz="4" w:space="0"/>
              <w:left w:val="single" w:color="000000" w:sz="4" w:space="0"/>
              <w:bottom w:val="single" w:color="000000" w:sz="4" w:space="0"/>
              <w:right w:val="single" w:color="000000" w:sz="4" w:space="0"/>
            </w:tcBorders>
            <w:noWrap/>
            <w:vAlign w:val="center"/>
          </w:tcPr>
          <w:p w14:paraId="54EF1F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一、县（市）级应急广播平台</w:t>
            </w:r>
          </w:p>
        </w:tc>
      </w:tr>
      <w:tr w14:paraId="6AA42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466526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CB11A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货物名称</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1D3EEC16">
            <w:pPr>
              <w:keepNext w:val="0"/>
              <w:keepLines w:val="0"/>
              <w:widowControl/>
              <w:suppressLineNumbers w:val="0"/>
              <w:jc w:val="center"/>
              <w:textAlignment w:val="center"/>
              <w:rPr>
                <w:rFonts w:ascii="仿宋_GB2312" w:hAnsi="等线" w:eastAsia="仿宋_GB2312" w:cs="仿宋_GB2312"/>
                <w:b/>
                <w:bCs/>
                <w:i w:val="0"/>
                <w:iCs w:val="0"/>
                <w:color w:val="000000"/>
                <w:sz w:val="20"/>
                <w:szCs w:val="20"/>
                <w:u w:val="none"/>
              </w:rPr>
            </w:pPr>
            <w:r>
              <w:rPr>
                <w:rFonts w:hint="default" w:ascii="仿宋_GB2312" w:hAnsi="等线" w:eastAsia="仿宋_GB2312" w:cs="仿宋_GB2312"/>
                <w:b/>
                <w:bCs/>
                <w:i w:val="0"/>
                <w:iCs w:val="0"/>
                <w:color w:val="000000"/>
                <w:kern w:val="0"/>
                <w:sz w:val="20"/>
                <w:szCs w:val="20"/>
                <w:u w:val="none"/>
                <w:lang w:val="en-US" w:eastAsia="zh-CN" w:bidi="ar"/>
              </w:rPr>
              <w:t>技术参数要求</w:t>
            </w:r>
          </w:p>
        </w:tc>
        <w:tc>
          <w:tcPr>
            <w:tcW w:w="438" w:type="dxa"/>
            <w:tcBorders>
              <w:top w:val="single" w:color="000000" w:sz="4" w:space="0"/>
              <w:left w:val="single" w:color="000000" w:sz="4" w:space="0"/>
              <w:bottom w:val="single" w:color="000000" w:sz="4" w:space="0"/>
              <w:right w:val="single" w:color="000000" w:sz="4" w:space="0"/>
            </w:tcBorders>
            <w:noWrap w:val="0"/>
            <w:vAlign w:val="center"/>
          </w:tcPr>
          <w:p w14:paraId="27B18A2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394" w:type="dxa"/>
            <w:tcBorders>
              <w:top w:val="single" w:color="000000" w:sz="4" w:space="0"/>
              <w:left w:val="single" w:color="000000" w:sz="4" w:space="0"/>
              <w:bottom w:val="single" w:color="000000" w:sz="4" w:space="0"/>
              <w:right w:val="single" w:color="000000" w:sz="4" w:space="0"/>
            </w:tcBorders>
            <w:noWrap w:val="0"/>
            <w:vAlign w:val="center"/>
          </w:tcPr>
          <w:p w14:paraId="27E907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56" w:type="dxa"/>
            <w:gridSpan w:val="2"/>
            <w:tcBorders>
              <w:top w:val="single" w:color="000000" w:sz="4" w:space="0"/>
              <w:left w:val="single" w:color="000000" w:sz="4" w:space="0"/>
              <w:bottom w:val="single" w:color="000000" w:sz="4" w:space="0"/>
              <w:right w:val="single" w:color="000000" w:sz="4" w:space="0"/>
            </w:tcBorders>
            <w:noWrap w:val="0"/>
            <w:vAlign w:val="center"/>
          </w:tcPr>
          <w:p w14:paraId="2C6EFE7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469F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0"/>
            <w:vAlign w:val="center"/>
          </w:tcPr>
          <w:p w14:paraId="1A6A76D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736" w:type="dxa"/>
            <w:gridSpan w:val="6"/>
            <w:tcBorders>
              <w:top w:val="single" w:color="000000" w:sz="4" w:space="0"/>
              <w:left w:val="single" w:color="000000" w:sz="4" w:space="0"/>
              <w:bottom w:val="single" w:color="000000" w:sz="4" w:space="0"/>
              <w:right w:val="single" w:color="000000" w:sz="4" w:space="0"/>
            </w:tcBorders>
            <w:noWrap w:val="0"/>
            <w:vAlign w:val="center"/>
          </w:tcPr>
          <w:p w14:paraId="21BCC92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应急广播平台软件</w:t>
            </w:r>
          </w:p>
        </w:tc>
      </w:tr>
      <w:tr w14:paraId="21DB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3A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140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县（市）级应急广播调度控制系统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B1687">
            <w:pPr>
              <w:spacing w:line="360" w:lineRule="auto"/>
              <w:jc w:val="left"/>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一、平台系统要求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1、支持B/S架构，可以通过浏览器远程登录管理和信息的展示。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FF"/>
                <w:kern w:val="0"/>
                <w:sz w:val="20"/>
                <w:szCs w:val="20"/>
                <w:highlight w:val="none"/>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2、支持适配 LINUX 系统/Windows系统/UOS/欧拉/麒麟国产操作系统。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3、可设置个人用户名及密码登录，支持二维码/验证码/密钥（U盾）验证登录功能。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4、一级（功能模块）标签须在首页全部显示，下级菜单能够在首页上展开，可进行图片验证。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二、信息接入要求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1、心跳发送功能：按照一定的时间间隔定时向上级应急广播平台发送心跳数据包。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2、信息主动上报：当本平台维护的应急广播平台、前端/台站、应急广播适配器、传输覆盖播出设备、终端等信息发生修改时，主动上报至上级应急广播平台。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3、信息被动上报：根据上级应急广播平台的要求，将本平台维护的应急广播平台、前端/台站、应急广播适配器、传输覆盖播出设备、终端等信息反馈至上级应急广播平台。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状态主动上报：当本平台维护的应急广播平台、应急广播适配器等设备发生故障时，主动上报至上级应急广播平台；当本平台维护的前端/台站、传输覆盖播出设备、终端等设备发生故障时，主动上报至上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5、状态被动上报：根据上级应急广播平台的要求，将本平台维护的前端/台站、传输覆盖播出设备、终端等设备发生故障时，主动上报至上级应急广播平台；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6、能接收和响应上级应急广播平台发送的、要求启动应急广播适配器进行应急广播播发的指令，能正确处理未到时、已到时未过期、已过期三种时间指令，并将接收处理结果、播出结果反馈至上级应急广播平台；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7、具备对接入的应急广播信息按照《GYT 384-2023 应急广播平台接口规范》进行解析和验证的功能；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三、信息处理要求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1、接入信息解析处理：具备对接收到的应急信息、应急广播消息的关键内容（来源单位、消息类型、事件级别、发布时间、发布内容等）进行解析和存储功能；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2、接入信息提示功能：能将接收到信息/消息的关键内容在界面上展示；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3、能够记录应急信息接收以及播发结果反馈的相关日志，支持系统日志与操作日志，并支持导出打印；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4、支持排期单广播，支持单次排期单广播与持续排期单广播；节目单内容可在平台内编辑，并查看排期单广播的状态；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5、支持乡镇、行政村自动上行的数字广播控制台、应急广播适配器等设备开户与升级功能；支持对终端OTA在线升级；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6、支持离线TTS文字转语音功能，并且能与系统内置的敏感词库进行对比，非法字符则不广播；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7、具备应急信息/应急广播消息查询功能：可以查询查看应急信息/应急广播消息的事件来源、事件类型、事件级别、创建时间；</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8、具备应急信息/应急广播消息处理状态的展示功能，包括未处理、处理中、已处理；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四、信息制作要求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1、信息制作负责日常编辑制作，并对应急信息内容、平台播音内容制作、转换，生成适合应急广播平台各个渠道播发的应急广播消息和内容传输流；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2、音频文件流化功能：能够将接收到的 mp3 的音频文件转化成 UDP-TS 实时流；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3、具有对本地应急广播资源（应急广播文本内容自动文转语生成的语音文件、应急广播音频文件）进行审核、预览功能；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4、支持日常消息制作和应急消息制作；支持指定消息循环播发的次数；支持普通音频消息制作和图文应急消息制作；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5、具备将音视频文件流化功能：支持将接收到的音视频文件转化成音视频流，支持 RTSP、RTMP、HTTP，音频流支持不同码率的音频流；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6、具备对制作完成的应急广播消息进行搜索查询的功能；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五、媒资管理要求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1、支持用户上传图片、文字、音频、视频、文件等媒资文件；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2、支持有审核权限的用户审核媒资文件，并把审核不通过的文件反馈给用户；</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3、支持实时采集音频、视频文件；支持网络直播流。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六、消息审核播发要求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1、审核播发功能包含应急广播信息的审核批准、播发控制、应急信息储存管理等功能；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2、审核批准：具备对本地应急广播资源（应急广播文本内容自动文转语生成的语音文件、应急广播音频文件）进行审核、预览功能；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3、应急信息储存管理：主要为待审核、经审核的应急信息文件的存储、统计、分类、查询、调取等管理功能；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4、息处理：支持分析音频文件编码格式、声道数、采样率、码率、时长、 文件大小。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5、能够按照全部、已审核和待审核以及消息标题、消息级别、消息类型的筛选条件过滤显示消息；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6、支持自定义消息审核配置，能够根据消息的类型和级别指定审核部门、审核人；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七、资源管理要求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1、能获取应急广播适配器（包含调频广播、地面数字电视、有线数字电视、广播模块）回传的状态，并在系统中进行查看或展示；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2、接收应急广播适配器的回传状态，状态异常时可自动触发声光报警；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3、接收前端/台站、大喇叭县乡村适配器、终端的回传状态，状态异常时可自动触发声光报警；</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4、支持进行前端/台站适配器、大喇叭县乡村适配器、终端等资源的管理、资源编码的分配管理；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5、具备应急广播系统资源导入导出功能：支持 excel 文件格式的应急广播系统资源数据导入导出功能；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6、根据用户需求增加不同分类，然后用户将不同资源放入不同分类下方便管理和查找（例如：农业宣传、道德法制）。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八、资源调度要求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1、具备调度预案编辑和维护功能，调度预案至少应包括对不同事件级别的应急广播发布需求，建立对应的资源调度策略和原则；</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2、具备根据应急广播消息的事件类型、事件级别、覆盖区域、语言相关参数从系统中获取相关的应急广播传输覆盖资源，生成相关的调度预案；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3、资源调度功能：应能根据发布需求、调度预案，生成本次资源调度方案的功能，并可由人工介入修改调度方案；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4、应急广播消息指令生成功能：应能根据资源调度方案，自动生成应急广播消息指令的功能。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5、调度方案生成：具备根据应急广播消息播发的实际需求，结合调度预案，生成本次资源调度的解决方案；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6、播发任务监管功能：可获取并监管当前系统正在进行的应急广播发布任务。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九、生成播发要求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1、具备应急广播消息文件的封装功能：能够对应急广播信息主体文件、应急广播节目资源文件、应急广播消息指令文件进行签名保护并封装，签名格式符合GY/T 389-2023《应急广播系统数字签名技术规范》，封装格式符合GY/T 385-2023《应急广播消息格式规范》；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2、广播电视台频率频道播出：能与广播电视台频率频道播出系统/应急广播适配器对接，发布应急广播消息；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3、通过网络将应急广播消息发送到对应的广播电视台频率频道播出系统、应急广播传输覆盖网，并接收应急广播适配器的接收处理反馈结果；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4、支持获取各通道播发状态，并展示播发进程，对异常情况进行记录与展示；当分发传输失败，可重新发送；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5、无线前端/发射台站播出：能与调频广播应急广播适配器、地面数字电视应急广播适配器对接，发布应急广播消息；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6、有线前端播出：能与有线数字电视应急广播适配器对接，发布应急广播消息；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7、应急广播大喇叭播出：能与县级应急广播大喇叭适配器对接，发布应急广播消息、下发应急广播 tar 文件；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8、机顶盒联动：支持与具有应急广播接收功能的有线数字电视、地面数字电视机顶盒联动发布应急广播信息；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十、效果评估要求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1、发布进程数据采集和展示功能：能在播发过程中采集系统主要环节的数据，如各类适配器和已有村村响系统的响应状态，并进行动态展示；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2、事后评估功能：能在发布结束后，对播发覆盖率、播发时效等指标进行评估；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3、查询统计功能：支持对应急信息、应急广播消息、播发效果等内容的检索与查询，支持简单检索和各种查询条件相组合的复杂检索；</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4、效果分析功能：支持采集处理播发结果、反馈数据，具有广播消息发布效果分析和评价功能，支持与资源调度方案进行对比分析，评价应急广播消息发布的总体效果；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5、对本级应急广播系统的运行状态、播发状态、播发内容、响应情况进行采集，并计算展示播发覆盖率，评估播发效果；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6、具备任务监听功能：支持监听正在播放的广播内容；</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十一、安全管理要求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1、证书列表导入功能：支持认证中心发布的证书列表文件的导入；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2、证书发放功能：能实现通过县应急广播大喇叭适配器向终端发放证书更新指令，更新终端的证书列表；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3、签名验签功能：对上级应急广播平台、县应急广播大喇叭适配器、前端/台站适配器的数据交互，支持签名和验签功能。符合GY/T 389-2023《应急广播系统数字签名技术规范》要求；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4、支持与安全加密系统对接，对控制命令进行加密；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5、支持数字签名和数字证书，支持对接入的应急信息和应急广播消息进行安全校验，对播发的应急广播消息进行签名保护；</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6、具备调用安全服务专用设备进行信任证书列表分发功能：支持从安全服务专用设备获取信任证书列表，并将其分发给适配器设备、终端设备、平台自身及对接的应急广播平台；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7、电话白名单：支持电话白名单的区域绑定、广播等级设置；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8、支持自动解析离线证书文件，分离出证书数据和证书列表数据，并进行存储管理；支持离线证书管理功能，将证书和证书信任列表导入到适配器设备和终端设备；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十二、运维管理要求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1、权限管理功能：实现对用户、角色、权限的分配和管理功能；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2、基础数据维护功能：能实现行政区域管理等；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3、系统服务管理：支持系统参数配置；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4、具备日志管理功能：对管理应急广播平台的各类日志数据，具体包括系统登录日志、用户操作日志、系统运维日志；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5、具有系统数据库的定期备份、故障恢复功能，数据备份时间间隔7天，数据备份存储时长6个月；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6、演练功能：具有实际演练、系统演练、流程演练和模拟功能；演练计划制定及管理功能，并根据计划执行应急演练功能；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7、备份管理：平台支持双机热备份，具有负载均衡；当一台管理服务器出现故障时，应用可自动连接到其他服务器继续工作，服务器切换不影响广播。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十三、大喇叭管控要求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1、支持对县急广播大喇叭适配器进行本机参数配置功能：支持对区应急广播大喇叭适配器进行网络参数、应急广播资源编码、回传参数、白名单等参数配置；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2、支持对未分配资源编码的设备选择区域后自动进行终端资源编码和下发资源编码；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3、支持对县应急广播大喇叭适配器进行数据查询功能：支持区应急广播大喇叭适配器进行输入输出通道、播发记录、故障详情查询功能，并反馈正确的数据记录；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4、能与县应急广播大喇叭适配器保持心跳维持功能，能通过网络向县级应急广播大喇叭适配器发送心跳数据包；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5、支持分区域播发控制：支持分区域播发控制；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6、支持接收应急广播大喇叭适配器以推送的实时音频流：支持接收并存储应急广播大喇叭适配器以 RTSP、 RTMP、HTTP 形式推送的 MP3 格式的实时音频流并存储为 mp3 文件；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7、具有调频RDS广播、有线数字电视、地面数字电视、IP（4G/5G）分发功能；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8、支持县、乡镇、村相关部门独立发布应急信息，支持对发布的应急广播信息进行保存功能，具有追溯机制；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十四、融媒体平台对接要求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1、支持按照应急广播平台接口规范与融媒体平台对接；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2、支持发送应急广播消息到本级融媒体平台，实现全媒体信息传播；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3、支持通过融媒体中心进行应急广播消息发布，响应和接收融媒体中心推送的节目信息，并按要求调度相关应急广播系统资源进行播发；</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4、支持与视频监控平台对接，支持NTP服务；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十五、GIS辅助要求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1、将调度方案和效果评估输送到GIS平台直观呈现，供管理决策层制定决策和分析评估；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2、通过GIS将信息进行空间直观的展现，便于查看资源的定位查询，为决策和分析提供支持；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3、对各类应急状态（如自然灾害、重大群体事件、重大卫生事件等）提供多种直观的监控、分析、评估手段；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4、支持离线GIS地图展示、广播；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5、支持GIS地图展示应急广播终端基本信息、播放信息、地理信息、运行状态；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6、支持配置事件类型、事件级别，在地图上联动展示；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7、GIS地图监管：能够查询定位广播终端位置、工作状态，能够显示各广播终端所在的地理位置和设备工作状态的在线信息；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8、资源状态显示：利用信息表格和地理信息系统技术，直观、准确地描述出 资源的分布情况和使用情况，方便指挥调度人员的使用；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十六、监控及传感器联动要求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1、支持监控联动功能，支持多宫格形式查看监控点位（摄像头）的实时视频内容；</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2、支持摄像头与终端的绑定和解绑；支持摄像头与应急广播终端的联动，摄像头根据视频内容对应急广播平台发出预警信息，应急广播平台收到预警信息后对该摄像头绑定的应急广播终端进行预警广播；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3、支持平台提供报警功能，平台弹出小窗口提示接收到监控联动预警信息，支持绑定手机号码并发出短信通知；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FF"/>
                <w:kern w:val="0"/>
                <w:sz w:val="20"/>
                <w:szCs w:val="20"/>
                <w:highlight w:val="none"/>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4、支持水文/雨量/风速/水位/位移/火情等传感器联动功能，支持查看各点位的水文实情，包括雨量大小、风速大小、水位差高度、山体位移、火情识别预警等</w:t>
            </w:r>
            <w:r>
              <w:rPr>
                <w:rFonts w:hint="default" w:ascii="仿宋_GB2312" w:hAnsi="等线" w:eastAsia="仿宋_GB2312" w:cs="仿宋_GB2312"/>
                <w:i w:val="0"/>
                <w:iCs w:val="0"/>
                <w:color w:val="000000"/>
                <w:kern w:val="0"/>
                <w:sz w:val="20"/>
                <w:szCs w:val="20"/>
                <w:u w:val="none"/>
                <w:lang w:val="en-US" w:eastAsia="zh-CN" w:bidi="ar"/>
              </w:rPr>
              <w:t>。</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十七、性能要求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1、紧急类应急信息的应急广播平台自动播发响应时长≤3 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2、一般类应急信息的应急广播平台自动播发响应时长≤3 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3、应急信息并行接入能力：≥20路；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4、并行播发能力：≥200路；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5、兼容国标协议下应急广播适配器、应急广播终端等设备；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6、支持应急广播平台具备与国产化 CPU（海光/兆芯 X86架构） 的兼容性认证；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FF"/>
                <w:kern w:val="0"/>
                <w:sz w:val="20"/>
                <w:szCs w:val="20"/>
                <w:highlight w:val="none"/>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7、支持应急广播平台具备与国产化数据库软件（达梦/GaussDB/</w:t>
            </w:r>
            <w:r>
              <w:rPr>
                <w:rFonts w:hint="default" w:ascii="仿宋_GB2312" w:hAnsi="等线" w:eastAsia="仿宋_GB2312" w:cs="仿宋_GB2312"/>
                <w:i w:val="0"/>
                <w:iCs w:val="0"/>
                <w:color w:val="0000FF"/>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OceanBase）的兼容性认证；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8、支持应急广播平台具备与国产化（UOS/欧拉/麒麟）等操作系统的兼容性认证；</w:t>
            </w:r>
          </w:p>
          <w:p w14:paraId="1E42A826">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宋体" w:hAnsi="宋体" w:eastAsia="宋体" w:cs="宋体"/>
                <w:b w:val="0"/>
                <w:bCs w:val="0"/>
                <w:i w:val="0"/>
                <w:iCs w:val="0"/>
                <w:color w:val="0000FF"/>
                <w:kern w:val="0"/>
                <w:sz w:val="20"/>
                <w:szCs w:val="20"/>
                <w:highlight w:val="none"/>
                <w:u w:val="none"/>
                <w:lang w:val="en-US" w:eastAsia="zh-CN" w:bidi="ar"/>
              </w:rPr>
              <w:t>（以上标注“★”的条款须提供国家认可的检测机构出具的权威检测报告作为证明文件。)</w:t>
            </w:r>
            <w:r>
              <w:rPr>
                <w:rFonts w:hint="eastAsia" w:ascii="仿宋_GB2312" w:hAnsi="等线" w:eastAsia="仿宋_GB2312" w:cs="仿宋_GB2312"/>
                <w:b w:val="0"/>
                <w:bCs w:val="0"/>
                <w:i w:val="0"/>
                <w:iCs w:val="0"/>
                <w:color w:val="0000FF"/>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677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09D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9EA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含：广播控制子系统、资源管理子系统、监管检测子系统、支持维护子系统、权限管理子系统、效果评估子系统、GIS地图子系统、媒资管理子系统、视频监控联动子系统、视频发布系统等</w:t>
            </w:r>
          </w:p>
        </w:tc>
      </w:tr>
      <w:tr w14:paraId="728A9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0DE6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6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 地图数据</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549A27">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GIS 引擎、基础数据、应用及接口开发。</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C178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F82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FDA6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GIS 引擎、基础数据、应用及接口开发</w:t>
            </w:r>
          </w:p>
        </w:tc>
      </w:tr>
      <w:tr w14:paraId="559B6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E4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FB4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数据库软件</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6119DF">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数据库软件部署、数据库初始化工作和必要的优化工作。</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AF0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79D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53A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数据库软件部署、数据库初始化工作和必要的优化工作</w:t>
            </w:r>
          </w:p>
        </w:tc>
      </w:tr>
      <w:tr w14:paraId="5ADC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66DE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2C8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应急广播系统APP</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A74FB">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1.具备用户鉴权功能，支持账户+密码登录模式。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2.具备文件广播功能，通过手机中已录制的文件广播。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3.具备二维码扫描终端信息，经纬度定位，自动生成上报平台，自动开户功能。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4.具备录播试听功能，通过手机将通知录制后，在手机上试听确认后再进行播出。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5.具备邀请码验证功能。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6.具体远程审核功能，能审核播发内容，进行审核管控。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7.具备对选择区域进行录播、直播功能，支持列表选择区域功能。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8.具备地图功能，通过地图展现终端地理分布情况及实施状态监控。</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9CD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500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6C4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运行维护、移动应急直播</w:t>
            </w:r>
          </w:p>
        </w:tc>
      </w:tr>
      <w:tr w14:paraId="6212F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C18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E068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服务器、网络、客户端等硬件</w:t>
            </w:r>
          </w:p>
        </w:tc>
      </w:tr>
      <w:tr w14:paraId="2C457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6EA5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4E1C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应用服务器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7883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 xml:space="preserve">服务器配置不低于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1、CPU：主频不低于2.1GHz，支持不低于16核32线程；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2、内存：不低于32GB；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3、硬盘：总容量不低于4TB；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4、RAID卡：支持RAID 0，1，5，6，10，50，60扩展；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5、具备热插拔冗余双电源模块，确保高可靠不间断运行；</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6、导轨：机架导轨*1套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7、包含正版操作系统。</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C92B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BE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BEEF4D">
            <w:pPr>
              <w:rPr>
                <w:rFonts w:hint="eastAsia" w:ascii="宋体" w:hAnsi="宋体" w:eastAsia="宋体" w:cs="宋体"/>
                <w:i w:val="0"/>
                <w:iCs w:val="0"/>
                <w:color w:val="000000"/>
                <w:sz w:val="20"/>
                <w:szCs w:val="20"/>
                <w:u w:val="none"/>
              </w:rPr>
            </w:pPr>
          </w:p>
        </w:tc>
      </w:tr>
      <w:tr w14:paraId="4D22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43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52AC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核心交换机</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543CBA">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1、交换容量≥672Gbps，转发性能≥171Mpps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2、固化10/100/1000M以太网端口≥24个，10G/1G SFP+光接口≥4个；</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3、产品端口浪涌抗扰度≥10KV，即具备10KV的防雷能力；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4、支持RIP/RIPng、OSPFv2/OSPFv3等三层路由协议；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5、支持SAVI功能，可防止地址解析欺骗；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★6、支持专门基础网络保护机制，能够限制用户向网络中发送数据包的速率，对有攻击行为的用户进行隔离，保证设备和整网的安全稳定运行，提供具有 CMA或 CNAS认证章的第三方权威机构检验报告关键页证明并加盖厂商公章；</w:t>
            </w:r>
            <w:r>
              <w:rPr>
                <w:rFonts w:hint="default" w:ascii="仿宋_GB2312" w:hAnsi="等线" w:eastAsia="仿宋_GB2312" w:cs="仿宋_GB2312"/>
                <w:i w:val="0"/>
                <w:iCs w:val="0"/>
                <w:color w:val="0000FF"/>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★7、支持虚拟化功能，可将多台物理设备虚拟化为一台逻辑设备统一管理，并且链路故障的收敛时间≤50ms；提供具有 CMA或 CNAS认证章的第三方权威机构检验报告关键页证明并加盖厂商公章；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8、支持快速以太网链路检测协议，可快速检测链路的通断和光纤链路的单向性，并支持端口下的环路检测功能；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9、支持SNMP、CLI(Telnet/Console)、RMON、SSH、Syslog、NTP/SNTP、FTP、TFTP、Web。</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66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20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EE1197">
            <w:pPr>
              <w:rPr>
                <w:rFonts w:hint="eastAsia" w:ascii="宋体" w:hAnsi="宋体" w:eastAsia="宋体" w:cs="宋体"/>
                <w:i w:val="0"/>
                <w:iCs w:val="0"/>
                <w:color w:val="000000"/>
                <w:sz w:val="20"/>
                <w:szCs w:val="20"/>
                <w:u w:val="none"/>
              </w:rPr>
            </w:pPr>
          </w:p>
        </w:tc>
      </w:tr>
      <w:tr w14:paraId="3CAA5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62E0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7A9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客户端</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A1BC2C">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 xml:space="preserve">最低配置不低于以下要求：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1.CPU：i5 12400；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2.内存：不低于16GB DDR4；</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3.硬盘：1TB 7200转+256GB固态；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4.显卡：集成显卡；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5.显示器：不小于23英寸，支持1920×1080以上高清显示；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6.含鼠标键盘；</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7.含正版操作系统；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8.支持IPV4/IPV6。</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9B3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14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DC0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含正版操作系统</w:t>
            </w:r>
          </w:p>
        </w:tc>
      </w:tr>
      <w:tr w14:paraId="647E6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E04C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8A4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北斗授时服务器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21E42">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★1.30 米北斗蘑菇头天线，内置单北斗接收机,定时精度≤30ns,定位精度:2.5mCEP；支持自动锁定信号的功能</w:t>
            </w:r>
            <w:r>
              <w:rPr>
                <w:rFonts w:hint="default" w:ascii="仿宋_GB2312" w:hAnsi="等线" w:eastAsia="仿宋_GB2312" w:cs="仿宋_GB2312"/>
                <w:i w:val="0"/>
                <w:iCs w:val="0"/>
                <w:color w:val="000000"/>
                <w:kern w:val="0"/>
                <w:sz w:val="20"/>
                <w:szCs w:val="20"/>
                <w:u w:val="none"/>
                <w:lang w:val="en-US" w:eastAsia="zh-CN" w:bidi="ar"/>
              </w:rPr>
              <w:t>。</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2.具备接收北斗导航信号，能接收北斗导航信号提供的时间信息和定时信号，当其中一套系统失效时能切换到另一套系统继续稳定工作。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3.内置高精度晶振。可选配同系列铷原子钟，卫星锁定时，日平均频率偏差可达 1E-13 量级；锁定后输出 1pps 相对 UTC(NIM)的平均偏差 3ns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4.NTP 同步偏差 ≤25μ。</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5.防火墙保护，启用 sN-flood 防御，提高内部网络的安全性。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6.具备液晶和指示灯显示，可显示 UTC 时间和日期，卫星状态及锁定颗数，设备状态，指示灯能直观显示卫星及设备状态。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7.支持免配置免维护功能：具备免配置免维护功能，出现断电、重新安装均不需要任何配置，只需要正常加电和连接好天线，系统即可正常工作。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 高稳恒温晶振被北斗导航系统驯服锁定后，当北斗导航系统信号丢失时，同步时钟可以保持高精度的时间和频率输出，监控信号、1pps 信号和 10MHz 频率均有输出。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1.标准 19 英寸机架式机箱结构。</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2.天线输入接口：BNC 接头，阴型，50Ω.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3.网口：10M/100M/1000M 自适应以太网接口，RJ45.</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 2 路 10MHz 信号接口、2 路 1pps 信号接口、1 路监控信号接口.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1.工作电压：AC100V～AC260V，50Hz/60Hz。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2.PPS 周期：1Plus/秒、PPS 脉宽：10 毫秒。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3.自动授时周期：1～300 秒可调。</w:t>
            </w:r>
          </w:p>
          <w:p w14:paraId="74496C2B">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 xml:space="preserve">以上标注“★”的条款须提供国家认可的检测机构出具的权威检测报告作为证明文件。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7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EBB2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D84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支持北斗时钟信号</w:t>
            </w:r>
          </w:p>
        </w:tc>
      </w:tr>
      <w:tr w14:paraId="25F41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7FD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2E5C2A">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安全设备</w:t>
            </w:r>
          </w:p>
        </w:tc>
      </w:tr>
      <w:tr w14:paraId="12EED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2C65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47C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签名验签服务器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6A6E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主要功能及技术参数要求：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1.支持应急广播专用国产密码算法短证书应用；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2.支持国产密码算法和通用密码算法的并行应用,支持国产SM1/SM4 等算法；支持国产 SM3 和通用 SHA1/SHA256 等算法；支持国产 SM2 和通用 RSA(1024 和 2048)等算法；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3.采用国家密码管理局批准的硬件芯片实现各类密码算法，保证算法的高安全性，采用 WNG8 物理噪声源芯片产生高质量的真随机数作为密钥，保证密钥的高强度。</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4.支持对广播消息签名及验证，支持应急广播体系多级联动、支持安全证书链认证；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5.提供图形化的设备管理客户端软件，可运行于 windows 系统； 管理终端与设备间可通过串口或网口进行连接。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6.提供基于IC卡的管理机制，采用智能IC卡辅助完成设备管理中的身份认证或密钥数据的安全存储；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7.支持提供应急广播证书更新、证书信任列表共更新、证书下载等服务，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8.支持通过 WEB 方式登陆控制台，对证书及其相关参数进行配置，以提高服务管理效率。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9.密钥或证书备份恢复：支持内部密钥或证书的安全备份和恢 复，可实现互备或负载的多台设备间的同步；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10.单台设备证书管理量＞5000张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11.设备签名验签符合《应急广播安全保护技术规范数字签名》要求。</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FCC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10B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FC36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数字签名设备</w:t>
            </w:r>
          </w:p>
        </w:tc>
      </w:tr>
      <w:tr w14:paraId="57233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37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8D0D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C5307">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1、标准1U设备；标准配置≥6个10/100M/1000M自适应千兆电接口、≥2个千兆光口；标配≥64 GB SSD硬盘存储；支持下一代防火墙访问控制、</w:t>
            </w:r>
            <w:bookmarkStart w:id="31" w:name="OLE_LINK7"/>
            <w:r>
              <w:rPr>
                <w:rFonts w:hint="default" w:ascii="仿宋_GB2312" w:hAnsi="等线" w:eastAsia="仿宋_GB2312" w:cs="仿宋_GB2312"/>
                <w:i w:val="0"/>
                <w:iCs w:val="0"/>
                <w:color w:val="000000"/>
                <w:kern w:val="0"/>
                <w:sz w:val="20"/>
                <w:szCs w:val="20"/>
                <w:u w:val="none"/>
                <w:lang w:val="en-US" w:eastAsia="zh-CN" w:bidi="ar"/>
              </w:rPr>
              <w:t>入侵防御、</w:t>
            </w:r>
            <w:bookmarkEnd w:id="31"/>
            <w:r>
              <w:rPr>
                <w:rFonts w:hint="default" w:ascii="仿宋_GB2312" w:hAnsi="等线" w:eastAsia="仿宋_GB2312" w:cs="仿宋_GB2312"/>
                <w:i w:val="0"/>
                <w:iCs w:val="0"/>
                <w:color w:val="000000"/>
                <w:kern w:val="0"/>
                <w:sz w:val="20"/>
                <w:szCs w:val="20"/>
                <w:u w:val="none"/>
                <w:lang w:val="en-US" w:eastAsia="zh-CN" w:bidi="ar"/>
              </w:rPr>
              <w:t>防病毒、URL分类管理、流控和IPSec VPN模块；整机吞吐量≥3G,最大并发≥100万，最大新建连接数≥3万/秒。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2、支持基于应用、WEB地址URL等的策略路由，可实现为不同的应用类型智能选择相应的链路。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3、支持静态路由、策略路由以及多播路由协议等。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4、产品支持NAT地址转换能力。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5、产品支持路由模式、透明模式、虚拟网线模式、旁路镜像模式等多种部署方式。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6、产品支持IPV4与IPV6双栈协议。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7、产品支持对SMTP、HTTP、FTP、SMB、POP3、HTTPS、IMAP等协议进行病毒防御。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8、产品支持IP SEC VPN组网能力。</w:t>
            </w:r>
            <w:r>
              <w:rPr>
                <w:rFonts w:hint="default" w:ascii="仿宋_GB2312" w:hAnsi="等线" w:eastAsia="仿宋_GB2312" w:cs="仿宋_GB2312"/>
                <w:i w:val="0"/>
                <w:iCs w:val="0"/>
                <w:color w:val="000000"/>
                <w:kern w:val="0"/>
                <w:sz w:val="20"/>
                <w:szCs w:val="20"/>
                <w:u w:val="none"/>
                <w:lang w:val="en-US" w:eastAsia="zh-CN" w:bidi="ar"/>
              </w:rPr>
              <w:br w:type="textWrapping"/>
            </w:r>
            <w:bookmarkStart w:id="32" w:name="OLE_LINK2"/>
            <w:r>
              <w:rPr>
                <w:rFonts w:hint="default" w:ascii="仿宋_GB2312" w:hAnsi="等线" w:eastAsia="仿宋_GB2312" w:cs="仿宋_GB2312"/>
                <w:i w:val="0"/>
                <w:iCs w:val="0"/>
                <w:color w:val="060CF6"/>
                <w:kern w:val="0"/>
                <w:sz w:val="20"/>
                <w:szCs w:val="20"/>
                <w:u w:val="none"/>
                <w:lang w:val="en-US" w:eastAsia="zh-CN" w:bidi="ar"/>
              </w:rPr>
              <w:t>9、★产品应具备独立的勒索病毒防护模块，非普通防病毒功能，支持对特定的业务进行勒索风险自动化评估，并依据评估结果自动生成防护策略。（需提供厂商盖章的产品功能截图证明，需提供产品功能截图证明并出具关于“勒索病毒”的软件著作权证明功能有效性）</w:t>
            </w:r>
            <w:r>
              <w:rPr>
                <w:rFonts w:hint="default" w:ascii="仿宋_GB2312" w:hAnsi="等线" w:eastAsia="仿宋_GB2312" w:cs="仿宋_GB2312"/>
                <w:i w:val="0"/>
                <w:iCs w:val="0"/>
                <w:color w:val="060CF6"/>
                <w:kern w:val="0"/>
                <w:sz w:val="20"/>
                <w:szCs w:val="20"/>
                <w:u w:val="none"/>
                <w:lang w:val="en-US" w:eastAsia="zh-CN" w:bidi="ar"/>
              </w:rPr>
              <w:br w:type="textWrapping"/>
            </w:r>
            <w:r>
              <w:rPr>
                <w:rFonts w:hint="default" w:ascii="仿宋_GB2312" w:hAnsi="等线" w:eastAsia="仿宋_GB2312" w:cs="仿宋_GB2312"/>
                <w:i w:val="0"/>
                <w:iCs w:val="0"/>
                <w:color w:val="060CF6"/>
                <w:kern w:val="0"/>
                <w:sz w:val="20"/>
                <w:szCs w:val="20"/>
                <w:u w:val="none"/>
                <w:lang w:val="en-US" w:eastAsia="zh-CN" w:bidi="ar"/>
              </w:rPr>
              <w:t>10、★产品支持僵尸主机检测功能，产品内置僵尸网络特征库超过128万种，可识别主机的异常外联行为。（需提供产品功能截图证明和具备CMA/CNAS标识的第三方检测报告，加盖公章）</w:t>
            </w:r>
            <w:bookmarkEnd w:id="32"/>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为避免用户账号成为安全防御短板，产品支持用户账号安全保护功能，包括用户账号多余入口检测、用户账号弱口令检测、用户账号暴力破解检测、失陷账号检测，防止因账号被暴力破解导致的非法提权情况发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12、支持基于IMAP、FTP、RDP、VNC、SSH、TELNET、ORACLE、MYSQL、MSSQL等应用协议进行深度检测与防护。                                                                                        </w:t>
            </w:r>
            <w:r>
              <w:rPr>
                <w:rFonts w:hint="default" w:ascii="仿宋_GB2312" w:hAnsi="等线" w:eastAsia="仿宋_GB2312" w:cs="仿宋_GB2312"/>
                <w:i w:val="0"/>
                <w:iCs w:val="0"/>
                <w:color w:val="auto"/>
                <w:kern w:val="0"/>
                <w:sz w:val="20"/>
                <w:szCs w:val="20"/>
                <w:u w:val="none"/>
                <w:lang w:val="en-US" w:eastAsia="zh-CN" w:bidi="ar"/>
              </w:rPr>
              <w:t>13、产品支持与同品牌终端威胁防御系统联动管理（如不同品牌支持定制），在防火墙产品完成终端安全策略设置和内网终端安全软件的统一管理，支持检测到某主机有僵木蠕毒的C2通信时，手动或自动化将恶意域名信息下发到终端安全软件做C2通信的封锁遏制，支持管理员下发一键隔离指令，对终端恶意文件进行隔离。</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14、产品支持对压缩病毒文件进行检测和拦截，压缩层数至少支持15层。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15、提</w:t>
            </w:r>
            <w:r>
              <w:rPr>
                <w:rFonts w:hint="default" w:ascii="仿宋_GB2312" w:hAnsi="等线" w:eastAsia="仿宋_GB2312" w:cs="仿宋_GB2312"/>
                <w:i w:val="0"/>
                <w:iCs w:val="0"/>
                <w:color w:val="000000"/>
                <w:kern w:val="0"/>
                <w:sz w:val="20"/>
                <w:szCs w:val="20"/>
                <w:u w:val="none"/>
                <w:lang w:val="en-US" w:eastAsia="zh-CN" w:bidi="ar"/>
              </w:rPr>
              <w:t>供3年软硬件质保、升级、规则库更新服务。</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19B5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EB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E82BDE">
            <w:pPr>
              <w:rPr>
                <w:rFonts w:hint="eastAsia" w:ascii="宋体" w:hAnsi="宋体" w:eastAsia="宋体" w:cs="宋体"/>
                <w:i w:val="0"/>
                <w:iCs w:val="0"/>
                <w:color w:val="000000"/>
                <w:sz w:val="20"/>
                <w:szCs w:val="20"/>
                <w:u w:val="none"/>
              </w:rPr>
            </w:pPr>
          </w:p>
        </w:tc>
      </w:tr>
      <w:tr w14:paraId="72C0B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423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490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日志收集与分析系统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EF37D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1、规格：2U，硬盘容量≥4TB * 2，接口≥6千兆电口+2万兆光口SFP+。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2、日志审计主机许可数量≥50，EPS≥2500。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3、具备内置的日志处理模型，自动解析主流网络设备、安全设备和中间件的日志数据。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4、支持对日志源的批量采集和日志源数据的批量转发。</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5、支持设置日志存储策略，包括设置日志存储周期（天）、存储空间等。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6、支持对每个日志源设置过滤条件规则，自动过滤无用日志，满足根据实际业务需求减少采集对象发送到核心服务器的安全事件数，减少对网络带宽和数据库存储空间的占用。</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7、支持自定义首页卡片，支持实时监控系统日志传输量和日志留存的合规情况。</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8、支持日志文件备份到外置存储节点，支持ISCSI存储方式，并可查看外置存储容量、状态等信息。</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9、为方便运维人员在日常运维过程中处理海量日志和告警数据，产品需支持可视化展示，包括数据分布、安全事件趋势图、关联规则告警趋势图、接入设备概况等，可提供设备专项分析场景。</w:t>
            </w:r>
            <w:r>
              <w:rPr>
                <w:rFonts w:hint="default" w:ascii="仿宋_GB2312" w:hAnsi="等线" w:eastAsia="仿宋_GB2312" w:cs="仿宋_GB2312"/>
                <w:i w:val="0"/>
                <w:iCs w:val="0"/>
                <w:color w:val="0000FF"/>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10、为减少运维人员日常工作量，产品需支持将检索日志的查询条件收藏为查询模版，支持查询模版创建、导入导出、删除功能，支持历史搜索记录功能。11、支持资产全生命周期管理，资产入库审核、资产离线风险识别、资产退库、资产数据更新，责任人管理机制等，支持自定义资产标签、属性。</w:t>
            </w:r>
            <w:r>
              <w:rPr>
                <w:rFonts w:hint="default" w:ascii="仿宋_GB2312" w:hAnsi="等线" w:eastAsia="仿宋_GB2312" w:cs="仿宋_GB2312"/>
                <w:i w:val="0"/>
                <w:iCs w:val="0"/>
                <w:color w:val="0000FF"/>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12、支持通过正则、分隔符、json、xml的可视方式进行自定义规则解析，支持对解析结果字段的新增、合并、映射，以满足除内置解析规则之外未被覆盖的日志类型的解析。</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13、★为验证日志数据采集是否成功，避免设备部署后采集失效但不被发现等风险，所投设备需支持POC测试工具一键生成数据,验证日志数据采集是否成功，避免设备部署后采集失效但不被发现等风险。（提供产品功能截图并加盖原厂商公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14、提供3年软硬件质保、升级服务</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2B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89B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06F0BE">
            <w:pPr>
              <w:rPr>
                <w:rFonts w:hint="eastAsia" w:ascii="宋体" w:hAnsi="宋体" w:eastAsia="宋体" w:cs="宋体"/>
                <w:i w:val="0"/>
                <w:iCs w:val="0"/>
                <w:color w:val="000000"/>
                <w:sz w:val="20"/>
                <w:szCs w:val="20"/>
                <w:u w:val="none"/>
              </w:rPr>
            </w:pPr>
          </w:p>
        </w:tc>
      </w:tr>
      <w:tr w14:paraId="0206C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A41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BD7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终端威胁防御系统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7A562">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1、提供企业级终端安全软件，要求具备统一的软件管理平台，可在平台上进行杀毒命令下发、全网安全状况一览等操作，要求提供20个PC授权、5个服务器授权。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2、采用B/S架构的管理控制中心，具备终端安全可视，终端统一管理，统一威胁处置，统一漏洞修复，威胁响应处置，日志记录与查询等功能。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3、产品具备风险评估能力，能够识别暴漏的端口等信息，并能够进行处置。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4、PC端产品支持屏幕水印、外设管控等能力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5、支持对终端账户信息进行梳理，了解账号权限分布概况以及风险账号分布情况，可按照隐藏账号、弱密码账号、可疑root权限账号、长期未使用账号、夜间登录、多IP登录进行账号分类查看，支持统计最近一年未修改密码的账户。</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6、产品具备威胁检测能力，能够检测蠕虫、木马、挖矿、勒索等病毒文件，并且具备无文件病毒查杀能力。</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7、具备强力专杀云端下发通道，支持在管理端批量下发强力专杀工具到内网各终端快速响应终端威胁。</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8、终端安全具备针对最新未知的文件，使用IOC特征（文件hash、dns、url、ip等）的技术，进行云端查询。云端安全中心使用大数据分析平台，基于多维威胁情报、云端沙箱技术、多引擎扩展的检测技术等，实现秒级响应未知文件的检测结果。</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9、支持勒索可疑行为检测，通过行为AI能力对勒索信、命令行、修改文件等多种躲避式投放勒索病毒的高危高频场景进行精准告警和自动拦截。</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10、产品终端具备自保护能力，终端卸载需要密码，并且支持agent安装目录的文件保护。</w:t>
            </w:r>
            <w:r>
              <w:rPr>
                <w:rFonts w:hint="default" w:ascii="仿宋_GB2312" w:hAnsi="等线" w:eastAsia="仿宋_GB2312" w:cs="仿宋_GB2312"/>
                <w:i w:val="0"/>
                <w:iCs w:val="0"/>
                <w:color w:val="auto"/>
                <w:kern w:val="0"/>
                <w:sz w:val="20"/>
                <w:szCs w:val="20"/>
                <w:u w:val="none"/>
                <w:lang w:val="en-US" w:eastAsia="zh-CN" w:bidi="ar"/>
              </w:rPr>
              <w:br w:type="textWrapping"/>
            </w:r>
            <w:r>
              <w:rPr>
                <w:rFonts w:hint="default" w:ascii="仿宋_GB2312" w:hAnsi="等线" w:eastAsia="仿宋_GB2312" w:cs="仿宋_GB2312"/>
                <w:i w:val="0"/>
                <w:iCs w:val="0"/>
                <w:color w:val="auto"/>
                <w:kern w:val="0"/>
                <w:sz w:val="20"/>
                <w:szCs w:val="20"/>
                <w:u w:val="none"/>
                <w:lang w:val="en-US" w:eastAsia="zh-CN" w:bidi="ar"/>
              </w:rPr>
              <w:t>11、支持禁止黑客工具启动，包含：冰刃、xuetr、ProcessHacker、PCHunter、火绒剑、Mimikatz的自启动，可以防止黑客攻击。</w:t>
            </w:r>
            <w:r>
              <w:rPr>
                <w:rFonts w:hint="default" w:ascii="仿宋_GB2312" w:hAnsi="等线" w:eastAsia="仿宋_GB2312" w:cs="仿宋_GB2312"/>
                <w:i w:val="0"/>
                <w:iCs w:val="0"/>
                <w:color w:val="auto"/>
                <w:kern w:val="0"/>
                <w:sz w:val="20"/>
                <w:szCs w:val="20"/>
                <w:u w:val="none"/>
                <w:lang w:val="en-US" w:eastAsia="zh-CN" w:bidi="ar"/>
              </w:rPr>
              <w:br w:type="textWrapping"/>
            </w:r>
            <w:bookmarkStart w:id="33" w:name="OLE_LINK6"/>
            <w:r>
              <w:rPr>
                <w:rFonts w:hint="default" w:ascii="仿宋_GB2312" w:hAnsi="等线" w:eastAsia="仿宋_GB2312" w:cs="仿宋_GB2312"/>
                <w:i w:val="0"/>
                <w:iCs w:val="0"/>
                <w:color w:val="0000FF"/>
                <w:kern w:val="0"/>
                <w:sz w:val="20"/>
                <w:szCs w:val="20"/>
                <w:u w:val="none"/>
                <w:lang w:val="en-US" w:eastAsia="zh-CN" w:bidi="ar"/>
              </w:rPr>
              <w:t>12、产品具备联动能力，可以与防火墙产品进行联动，联动能力至少达到：</w:t>
            </w:r>
            <w:r>
              <w:rPr>
                <w:rFonts w:hint="default" w:ascii="仿宋_GB2312" w:hAnsi="等线" w:eastAsia="仿宋_GB2312" w:cs="仿宋_GB2312"/>
                <w:i w:val="0"/>
                <w:iCs w:val="0"/>
                <w:color w:val="0000FF"/>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1）★支持为防火墙提供溯源举证功能，即本产品检测到僵木蠕毒的恶意域名访问时，会共享事件信息给防火墙，包含事件相关的文件、进程、域名连接、注册表修改操作等关键项，并且可以在防火墙侧进行威胁事件的溯源分析。支持对根据回溯出的风险项一键根除，清除后进程无法被创建、运行。（如本身具备联动功能，则提供防火墙产品的联动溯源举证的功能截图，包含本产品联动上报的文件、进程、注册表操作等信息，如不具备需出具厂商功能定制承诺函）</w:t>
            </w:r>
            <w:bookmarkEnd w:id="33"/>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13、提供3年软件升级、规则库更新服务。</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DCE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50D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86467E">
            <w:pPr>
              <w:rPr>
                <w:rFonts w:hint="eastAsia" w:ascii="宋体" w:hAnsi="宋体" w:eastAsia="宋体" w:cs="宋体"/>
                <w:i w:val="0"/>
                <w:iCs w:val="0"/>
                <w:color w:val="000000"/>
                <w:sz w:val="20"/>
                <w:szCs w:val="20"/>
                <w:u w:val="none"/>
              </w:rPr>
            </w:pPr>
          </w:p>
        </w:tc>
      </w:tr>
      <w:tr w14:paraId="7B93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FF5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749D7E">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大喇叭前端（县（市）级）</w:t>
            </w:r>
          </w:p>
        </w:tc>
      </w:tr>
      <w:tr w14:paraId="134C9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7AD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30B5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县（市）级应急广播大喇叭适配器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A04C0">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1.具备输出音频信号及 RDS指令信号，控制终端进行应急广播消息播发的功能，输出信号符合GY/T 390-2023模拟调频应急广播技术规范。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2.具备输出音频信号及 DTMB/DVB-C 指令信号，控制终端进行应急广播消息播发的功能，输出信号符合 GD/J087-2018《地面数字电视应急广播技术规范》和 GY/T 393-2023《有线数字电视应急广播技术规范》。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3.具备输出音频信号及 IP指令信号，控制终端进行应急广播消息播发的功能，输出信号符合 GY/T 394-2023《应急广播大喇叭系统技术要求和测量方法》。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（二）基本功能要求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1.可通过前面板液晶屏及按键，对设备IP 地址、端口号进行设置。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2.可脱离管理平台实现本级广播的功能。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 U 盘（MPEG-1Layer2 和 MP3 格式文件）广播、线路广播、话筒广播、电话广播，U 盘广播可通过按键选择上下曲。。</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4.内置监听喇叭，监听音量可调节，具有音频存储功能（MPEG-1Layer2 和 MP3）。</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5.可设置定时广播（≥36 组），广播音源可选择话筒广播、U 盘、调频接收、线路输入。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6.可在管理平台中对本设备的工作参数配置。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7.可在管理平台中控制本设备的工作状态，可以读取本设备的当前状态。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8.设备本地优先级模式：话筒广播（紧急）&gt;电话广播 &gt;调频&gt;IP&gt;DTMB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&gt;DVBC&gt;话筒广播（日常）&gt;U 盘&gt;线路广播。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10.具有电话广播功能，电话广播支持 32 个白名单(可独立设置)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11.备日志打印或显示功，用于显示应急广播消息发布记录和发布时间，以及应急广播消息接收回执和播发反馈记录显示，用于显示被测系统设备的应急广播消息处理情况。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12.支持模拟和数字调频、、有线数字电视、地面数字电视、IP（有线或无线4G/5G）等一种或多种信号接收解调能力，以及应急广播消息规范解析处理能力。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13.具有应急演练功能，对应急广播适配器发送的应急演练消息，处理并执行应急演练，并通过 IP 网络回传演练反馈。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14.支持有线 IP、无线 4G/5G、无线 WIFI 备份接入，自动切换功能，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优先级别可设置，确保设备网络连接正常。</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（三）安全加密功能要求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1.内置符合国密算法的安全模块，具备对接收到的应急广播消息进行验签，对向下级发送的应急广播指令进行签名的功能，处理符合 GYT389-2023《应急广播系统数字签名技术规范》要求。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2.具备对加载有国密算法保护的应急广播协议的封装功能。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3.具备对加载有国密算法保护的应急广播协议的接收解析功能。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4.具备对加载有国密算法保护的应急广播消息的签名验签功能。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（四）智慧运维功能要求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 FM /DVB-C/DTMB/4G 信号强度、信号质量指示，信噪比、故障状态信息获取。</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2.具备有线 IP 网络/WIFI 网络/4G 网络自动循环检测，网络优先级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别可设置，平台连接、业务端口、回传端口状态监测功能。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FF"/>
                <w:kern w:val="0"/>
                <w:sz w:val="20"/>
                <w:szCs w:val="20"/>
                <w:u w:val="none"/>
                <w:lang w:val="en-US" w:eastAsia="zh-CN" w:bidi="ar"/>
              </w:rPr>
              <w:t>★3.具备适配器 CPU、内存使用率显示、输出音量大小、序列号和MCA 设置或读取功能；具备设备状态、软件版本、硬件版本、序列号、资源编码、安全模块、本机地址、广播地址、MAC 地址、4G 状态显示功能。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4.支持硬件测试功能，可对接收通道 FM /DVB-C/DTMB/4G、安全模块、公网接入、功放输出进行测试。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5.在设备停电的瞬间，向运维服务器上报“断电”告警，明确停电导</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致的离线。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6.适配器出现故障或者故障消除，适配器主动向应急广播平台上报故障/恢复情况。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（五）接口要求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1.采用19 英寸机架式设计，可根据不同应用场景配置不同的板卡。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 1 路 AC220V 可控电源输出；控制功率 3300W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3.具有2路及以上音频输出，接口类：RCA 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4.具有2 路及以上线路音频输入接口，RCA 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5.具有6.5mm 话筒接口。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6.2 个RJ45接口，100Mbps/1000Mbps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7.FM 输入接口：公制F母座，1 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8.FM 输出接口：公制F母座，输出1 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9.具有DVB-C、DTMB输入接口，英制F母座。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10.具有1路无线WIFI接口，具备WIFI接收功能。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11.具有1路HDMI视频输出。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12.具备1路无线网络接口，支持配置移动4G/5G通信模块（通话、短信转语音、回传、设备联网功能）。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13.1 个 RS232，DB9 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14.USB 接口：2 个 USB2.0/USB3.0 接口，接口类型：USB-TypeA。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1.工作电压范围：AC165V～AC260V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2.FM 频率：输入/输出频率范围 87MHz～108MHz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3.DTMB 频段：47MHz～862MHz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4.DVB-C 频段：47MHz～862MHz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5.IP速率：100Mbps/1000Mbps（自适应）</w:t>
            </w:r>
          </w:p>
          <w:p w14:paraId="44DCF0CA">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00"/>
                <w:kern w:val="0"/>
                <w:sz w:val="20"/>
                <w:szCs w:val="20"/>
                <w:u w:val="none"/>
                <w:lang w:val="en-US" w:eastAsia="zh-CN" w:bidi="ar"/>
              </w:rPr>
              <w:t xml:space="preserve"> </w:t>
            </w: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default" w:ascii="仿宋_GB2312" w:hAnsi="等线" w:eastAsia="仿宋_GB2312" w:cs="仿宋_GB2312"/>
                <w:i w:val="0"/>
                <w:iCs w:val="0"/>
                <w:color w:val="0000FF"/>
                <w:kern w:val="0"/>
                <w:sz w:val="20"/>
                <w:szCs w:val="20"/>
                <w:u w:val="none"/>
                <w:lang w:val="en-US" w:eastAsia="zh-CN" w:bidi="ar"/>
              </w:rPr>
              <w:t xml:space="preserve"> </w:t>
            </w:r>
            <w:r>
              <w:rPr>
                <w:rFonts w:hint="default"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A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06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9F243">
            <w:pPr>
              <w:rPr>
                <w:rFonts w:hint="eastAsia" w:ascii="宋体" w:hAnsi="宋体" w:eastAsia="宋体" w:cs="宋体"/>
                <w:i w:val="0"/>
                <w:iCs w:val="0"/>
                <w:color w:val="000000"/>
                <w:sz w:val="20"/>
                <w:szCs w:val="20"/>
                <w:u w:val="none"/>
              </w:rPr>
            </w:pPr>
          </w:p>
        </w:tc>
      </w:tr>
      <w:tr w14:paraId="71C34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A5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1888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播音话筒</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CB7C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主要技术参数及功能要求：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1.电容式麦克风，采用高灵敏度电容式拾音头模组，具有高质量的收音效能带支架座子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2.类型：动圈式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3.指向特征：心型</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4.拾音器类型：φ9.7背极电容式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5.频率范围：40HZ-20000Hz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6.输出阻抗：600Ω非平衡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7.灵敏度：-45dB(3.5mV/Pa)3dB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8.幻像供电：48V/3V DC</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83A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F9F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5B3354">
            <w:pPr>
              <w:rPr>
                <w:rFonts w:hint="eastAsia" w:ascii="宋体" w:hAnsi="宋体" w:eastAsia="宋体" w:cs="宋体"/>
                <w:i w:val="0"/>
                <w:iCs w:val="0"/>
                <w:color w:val="000000"/>
                <w:sz w:val="20"/>
                <w:szCs w:val="20"/>
                <w:u w:val="none"/>
              </w:rPr>
            </w:pPr>
          </w:p>
        </w:tc>
      </w:tr>
      <w:tr w14:paraId="60DD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1BC3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229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C02412">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1.支持接收上级调频信号进行处理能力，解调出音频信号，唤醒终端做出相应的播发/停止动作。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2.支持接收上级 DTMB/DVB-C 信号进行处理能力，解调出音频信号及控制信号，唤醒终端做出相应的播发/停止动作。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IP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1.可设置本设备IP地址、端口号等参数；可通过网口 WEB 网页进行参数配置；支持平台远程配置工作参数（包括：编资源码、开关音量、调频（FM-RDS）频率、DTMB 频率、DVB-C 频率、IP 端口、网段等）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2.支持国密算法数字签名（SM1/SM2/SM3/SM4），具有国密算法芯片，提供指令签名、指令验证等功能，保障指令的安全性。符合《GY/T 389-2023 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3.具有升级功能，可对整个系统进行升级，升级过程可断电。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 FM /DVB-C/DTMB信号强度、信号质量指示；具备有线网络、WIFI网络、平台连接、业务端口、回传端口状态监测功能；支持硬件测试功能，可对接收通道FM /DVB-C/DTMB、安全模块、公网接入、功放输出进行测试。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5.支持音量调节功能，日常广播时音量可自动或维持终端音量和自定义音量，应急广播时音量自动最大。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6.DTMB、DVB-C、FM-RDS、IP 输入口具备防雷保护功能。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4.网络接口: RJ45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1.工作电压范围：176V～264V AC，50/60Hz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2.供电方式:电源采用变压器（E 型）整流供电、并支持次级短路保护，支持瞬间异常保护功能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3.FM频段输入:支持 60MHz～108MHz，接收灵敏度：30dBuV。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4.DTMB频段:频段范围：47MHz ～ 862MHz，最小接收电平（多载波模式 16QAM）：-85.0dBm。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6.DVB-C频段:频段范围：47MHz ～ 862MHz，最小接收电平（64QAM）：-78.5dBm。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6.IP速率:10Mbps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7.音频频响:20Hz-20kHz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8.ARP、UDP、TCP/IP、RTP、ICMP、RTMP、RTSP、HLS、ICMP、IGMP、HTTP。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9.功率:≥10W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MPEG1-layer1/2/3、MPEG2-layer1/2/3、AAC、asf/mmf/ mpa/tta/voc/wav/m4a/wma/wv/ts/aiff/amr/au/flac/m4b/m4r/mk a/mp2/mp3/ogg 音频解码功能，音质清晰流畅。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11.码率：32kbps～192kbps</w:t>
            </w:r>
          </w:p>
          <w:p w14:paraId="1B136FD6">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38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596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FEAB91">
            <w:pPr>
              <w:rPr>
                <w:rFonts w:hint="eastAsia" w:ascii="宋体" w:hAnsi="宋体" w:eastAsia="宋体" w:cs="宋体"/>
                <w:i w:val="0"/>
                <w:iCs w:val="0"/>
                <w:color w:val="000000"/>
                <w:sz w:val="20"/>
                <w:szCs w:val="20"/>
                <w:u w:val="none"/>
              </w:rPr>
            </w:pPr>
          </w:p>
        </w:tc>
      </w:tr>
      <w:tr w14:paraId="5F78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6DC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ADF6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UKey密码钥匙</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FE290A">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满足国密要求，用于应急广播系统登录认证。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21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F6E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B26299">
            <w:pPr>
              <w:rPr>
                <w:rFonts w:hint="eastAsia" w:ascii="宋体" w:hAnsi="宋体" w:eastAsia="宋体" w:cs="宋体"/>
                <w:i w:val="0"/>
                <w:iCs w:val="0"/>
                <w:color w:val="000000"/>
                <w:sz w:val="20"/>
                <w:szCs w:val="20"/>
                <w:u w:val="none"/>
              </w:rPr>
            </w:pPr>
          </w:p>
        </w:tc>
      </w:tr>
      <w:tr w14:paraId="70AC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ED4B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8382A9">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基础设施配套</w:t>
            </w:r>
          </w:p>
        </w:tc>
      </w:tr>
      <w:tr w14:paraId="63DE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1AA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F894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标准机柜</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866AE4">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 42U/尺寸 600*1200*2000mm；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2.至少支持1000KG 的负载承重；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3.配置多负载安全电源插座；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4.12对L支架；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5.风扇不少于2只；</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6.机柜能可靠接地；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7.机柜前门为单开平面网孔门，后门为双开平面网孔门；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8.角钢焊接安装底架；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9.表面处理：酸洗，磷化后镀彩锌和静电喷涂塑粉；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10.20位PDU安装，机柜后面安装，左右各1个。（支持功率不小于4kw）</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1290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149E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A0AB4B">
            <w:pPr>
              <w:rPr>
                <w:rFonts w:hint="eastAsia" w:ascii="宋体" w:hAnsi="宋体" w:eastAsia="宋体" w:cs="宋体"/>
                <w:i w:val="0"/>
                <w:iCs w:val="0"/>
                <w:color w:val="000000"/>
                <w:sz w:val="20"/>
                <w:szCs w:val="20"/>
                <w:u w:val="none"/>
              </w:rPr>
            </w:pPr>
          </w:p>
        </w:tc>
      </w:tr>
      <w:tr w14:paraId="7A6B4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5D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2DE0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 电源</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A0E69">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1、纯在线式双变换，采用先进的DSP数字控制技术；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2、单进单出在线塔式主机，容量：10KVA/8KW；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3、输入电压：162-280V@100%负载；频率范围46～54Hz@5054Hz系统；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4、输出电压：220V/230V/240V(设置中可调）±1%；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5、输出频率： 50/60HZ±0.1%HZ（电池模式）；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6、UPS输出功率因素0.8；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7、电流峰值比（峰值系数）：3：1；</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8、谐波失真：≤3%(线性负载);≤5%(非线性负载)；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9、过载能力（市电模式）：100%~110%:30分钟;110%~130%:5分钟;&gt;130%:10秒过载后，转旁路；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10、整机效率：&gt;90%；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11、面板显示：通过图像直观显示负载大小，电池容量，市电模式，电池模式，旁路模式，故障指示等；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12、直流电压：192V（电池：32节*100AH/含电池安装柜）；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13、噪音：小于58dB@1Merer；</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14、市电电池切换时间：UPS在市电和电池两种状态间切换的时间应为0；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15、标配RS232接口，支持电源监控软件；可选配SNMP/RS485选件进行网络监控。</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7A5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45B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54C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后备时间2个小时</w:t>
            </w:r>
          </w:p>
        </w:tc>
      </w:tr>
      <w:tr w14:paraId="50F52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3FE4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F02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调度室电子屏</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06545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100英寸，4K超高清分辨率（3840×2160），支持HDR，屏幕刷新率288Hz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运行内存4GB，存储空间128GB，支持蓝牙5.2及Wi-Fi 6技术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3个HDMI接口（支持4K 120Hz输入）、2个USB接口、AV输入等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音响总功率150W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含壁挂支架</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BC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AEE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F53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100寸、含支架</w:t>
            </w:r>
          </w:p>
        </w:tc>
      </w:tr>
      <w:tr w14:paraId="427E5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1CD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82B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机房空调</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29299">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1、精密空调的送/回风类型：上送风前回风，冷媒R410a，总冷量：≥12.8KW，显冷量≥12.5KW（工况回风：24℃，相对湿度50%）需提供机组第三方检测报告和原厂盖章彩页资料证明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2、风量：≥3900 m3/h；需提供机组第三方检测报告和原厂盖章彩页资料证明</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机组应支持U盘升级，方便近端维护，机组应具有大容量的故障报警记录储存的功能，存储历史告警信息不小于500条，机组具有4.3寸触摸彩屏，操作便捷，可显示机组实时运行状态，自动维护提示、故障诊断、部件告警信息等，可记录整机及部件运行时间，机组的所有操作记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4、机组尺寸不小于宽深高600*570*1900mm；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5、输入电压允许波动范围：380V±10%，频率：50HZ ±2HZ；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6、机房专用空调应能按要求自动调节室内温、湿度，具有制冷、加热、加湿、除湿等功能；精密空调温度范围和精度 17-32±1℃，湿度范围和精度40-70±5%RH，温、湿度波动超限应能发出报警信号</w:t>
            </w:r>
            <w:r>
              <w:rPr>
                <w:rFonts w:hint="eastAsia" w:ascii="仿宋_GB2312" w:hAnsi="等线" w:eastAsia="仿宋_GB2312" w:cs="仿宋_GB2312"/>
                <w:i w:val="0"/>
                <w:iCs w:val="0"/>
                <w:color w:val="000000"/>
                <w:kern w:val="0"/>
                <w:sz w:val="20"/>
                <w:szCs w:val="20"/>
                <w:u w:val="none"/>
                <w:lang w:val="en-US" w:eastAsia="zh-CN"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97B5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E60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3909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5匹精密空调</w:t>
            </w:r>
          </w:p>
        </w:tc>
      </w:tr>
      <w:tr w14:paraId="296B8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63D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22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机房环境监测+适应性改造</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7340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主要设备配置与参数要求：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1.网络摄像头*3个</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（1）采用200万星光级1/2.7”CMOS ICR 红外阵列网络摄像机；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（2）快门支持1/3秒至 1/100000 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（3）支持背光补偿功能；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（4）支持3D数字降噪功能；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 H.264/MJPEG 视频压缩标准；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（6）压缩码率支持 32Kbps-8Mbps；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（7）分辨率支持 1920*1080、1280*960、1280*720；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（8）支持移动侦测、越界侦测、区域入侵侦测、动态分析、遮挡报 警等功能；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（9）支持防闪烁、双码流、心跳、镜像、密码保护、视频遮盖、水印技术等功能。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2.硬盘录像机*1台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（1）网络视频输入：4路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（2）接入带宽：40Mbps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（3）HDMI输出：1路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（4）VGA输出：1路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（5）音频输出1路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（6）同步回放4路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（7）录像模式：手动录像、定时录像、移动侦测录像、报警录像、动测和报警录像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（8）回放模式：即时回放、常规回放、事件回放、标签回放、外部文件回放</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（9）硬盘</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1）系列：监控硬盘1*块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2）单碟容量：6TB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3）工作温度：5℃-60℃-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4）保存温度：-40℃-到 70℃-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3.门禁系统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（1）操作员临时要离开一下工作岗位（例如去洗手间），可以进行界面锁定，后台软件继续运行和监控，其他人无法趁机进行操作软件， 操作员回来后输入密码后重新回到软件操作界面。</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（2）控制模式：一个门进门刷卡和出门按钮，或进出都刷卡；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（3）管理门数：泌阳；</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（4）可接读卡器数量：2；</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（5）输入格式：wiegand26-40bit 兼容此协议下的一切读卡器和生物识别设备；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（6）存储注册卡(用户卡)：4万；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（7）脱机存储记录数：10万；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（8）通讯方式：TCP/IP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4.动态人脸+刷卡+密码门禁机*1套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一、主要参数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（1）人脸容量 2000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（2）IC 卡容量 2000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（3）人脸识别准确率 ＞99.7%人脸识别时间 ＜0.5 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（4）识别范围 识别距离：0.5~1.5 米，识别身高：1.2~2 米</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（5）识别记录 5 万条含人脸，15 万条不含人脸</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（6）主要参数 系统 嵌入式 Linux 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（7）摄像头 200 万双目高清摄像头</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（8）显示屏 5 寸高清 IPS 显示屏，480*854</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二、基本功能 软件功能 支持考勤、门禁、人员注册等功能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（1）网络协议 HTTP、RTSP、TCP/IP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（2）无线通讯 支持WIFI、蓝牙</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（3）语音播报 支持语音播报功能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（4）补光功能 支持白光补光，红外补光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（5）外部接口 网络通讯 1 路百兆网络接口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（6）电源输入 1 路直流 12V 电源接口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（7）韦根输出 1 路韦根输出接口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（8）门锁输出 1 路门锁输出接口，支持常开、常闭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（9）开门按钮 1 路开门按钮输入接口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（10）门磁 1 路门状态检测输入接口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含：开门按钮、单门磁力锁、闭门器、卡片、门禁检测等。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5.环境监测主机*1台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（1）要求环境及动力设备监控主机基于ARM架构，嵌入式Linux平台开发，有效杜绝Windows系统不隐定和不安全、以及各种病毒的干扰，最大程度保证机房网络安全；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（2）要求嵌入式监控主机具有告警延时、过滤、屏蔽功能；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（3）要求嵌入式监控主机具有历史查询、统计报表、日志查询、用户管理、权限管理等功能；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（4）要求嵌入式监控主机内置软硬件看门狗功能：系统无响应时，硬件会自动重启，无需人为干预和维护；</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（5）模拟量输入接口：≥4路；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（6）干接点(开关量)输入接口：≥8路；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（7）干接点(继电器)输出接口：≥4路；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（8）RS485接口：≥8路；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（9）RS232接口：≥4路；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（10）CONSOLE口：≥1路；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（11）支持双网口设计，提供两个10/100M自适应RJ45以太网口；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（12）要求实现智能联动控制；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（13）LED：电源、系统、串口、网络等状态指示灯；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（14）内置 蜂鸣报警器；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（15）Micro-SD卡槽（内置）；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（16）供电：要求支持交流220V、直流-48V、直流12V，可根据现场情况任选其一；工作温度  -20℃~+70℃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（17）支持无线通信：支持2G\4G\WIFI\NB-IoT；</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（18）支持内置后备电池，断电后，可以继续支持监控；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（19）支持内置多种报警：提供短信、电话、声光、邮件、多媒体语音等报警。</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（20）标准的19寸1U机箱设计，符合设备必须进柜、上架的建设标准。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6.湿度传感器*4个</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（1）采用温湿度一体式传感器；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（2）自带 LCD 屏幕，可显示采集的现场温度、湿度数据；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（3）有效工作面积 10-20 平方米；</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（4）温度探测范围-20~70℃，测量精度±0.5℃；</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（5）湿度探测范围 0～100RH，测量精度±3 RH。</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7.烟雾传感器*4个</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（1）支持报警 LED 灯保持常亮，发出声响，并启动继电器输出；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（2）报警输出常开常闭可选，出厂默认常闭；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（3）报警烟雾灵敏度 0.15～0.3dB/m；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（4）报警方式：联网输出/LED 指示报警。</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8.漏水报警传感器*1套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（1）采用光电原理液体泄漏检测；</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（2）支持水、弱酸弱碱、汽油、柴油等的泄露检测</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（3）采用密封设计，产品稳定可靠；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（4）采用高精度、高灵敏度，响应时间快；</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（5）报警常开输出。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9.机房改造：静电地板、墙体美化、吊顶等。</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8D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FF90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8A56F2">
            <w:pPr>
              <w:rPr>
                <w:rFonts w:hint="eastAsia" w:ascii="宋体" w:hAnsi="宋体" w:eastAsia="宋体" w:cs="宋体"/>
                <w:i w:val="0"/>
                <w:iCs w:val="0"/>
                <w:color w:val="000000"/>
                <w:sz w:val="20"/>
                <w:szCs w:val="20"/>
                <w:u w:val="none"/>
              </w:rPr>
            </w:pPr>
          </w:p>
        </w:tc>
      </w:tr>
      <w:tr w14:paraId="7BA2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82F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D39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FDCA21">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满足设备安装需求，含网线、水晶头、插线板、托架、螺钉、扎线、标签纸等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322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489C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481527">
            <w:pPr>
              <w:rPr>
                <w:rFonts w:hint="eastAsia" w:ascii="宋体" w:hAnsi="宋体" w:eastAsia="宋体" w:cs="宋体"/>
                <w:i w:val="0"/>
                <w:iCs w:val="0"/>
                <w:color w:val="000000"/>
                <w:sz w:val="20"/>
                <w:szCs w:val="20"/>
                <w:u w:val="none"/>
              </w:rPr>
            </w:pPr>
          </w:p>
        </w:tc>
      </w:tr>
      <w:tr w14:paraId="39C8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5FE70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二、县（市）直部门应急信息发布前置系统（应急管理局(与市防指合署办公)、水利局、自然资源局、科协（含气象职能））</w:t>
            </w:r>
          </w:p>
        </w:tc>
      </w:tr>
      <w:tr w14:paraId="1517A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DF53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24C3A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（应急管理局(与市防指合署办公)、水利局系统协议对接及系统开发</w:t>
            </w:r>
          </w:p>
        </w:tc>
      </w:tr>
      <w:tr w14:paraId="0ADA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FE1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6D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应急信息接入前置系统软件</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95C3D">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定制开发，满足与应急管理局、水利局原广播系统协议对接开发，具有要求：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1、支持接入节点的参数配置和管理功能，包括对接入节点的增加、删除、修改操作，以及对接入节点名称、IP地址、资源编码、端口、数字证书信息的配置和管理；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2、支持接入节点的开通和关闭功能，系统接收到被关闭节点的信息不予处理；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分时间段信息接入播出策略配置，播出时间段内接入的信息，正常播出，播出时段外接入的信息，保存在系统里，暂不对外播出，等待到达播出时段后，依次进行正常播出；支持根据应急信息级别播出策略配置，不同级别的接入信息选择配置不同的播出资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4、支持多种不同信息的接收与采集功能，包括文字、图片、实时语音、实时视频、音频文件、视频文件和网络直播流；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809E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46A5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F534E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定制开发</w:t>
            </w:r>
          </w:p>
        </w:tc>
      </w:tr>
      <w:tr w14:paraId="06231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5646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655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与应急局、水利局原广播系统对</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BB444">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满足义马市应急广播接入原系统集成。</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88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9AE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A7F130">
            <w:pPr>
              <w:rPr>
                <w:rFonts w:hint="eastAsia" w:ascii="宋体" w:hAnsi="宋体" w:eastAsia="宋体" w:cs="宋体"/>
                <w:i w:val="0"/>
                <w:iCs w:val="0"/>
                <w:color w:val="000000"/>
                <w:sz w:val="20"/>
                <w:szCs w:val="20"/>
                <w:u w:val="none"/>
              </w:rPr>
            </w:pPr>
          </w:p>
        </w:tc>
      </w:tr>
      <w:tr w14:paraId="6ADF8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488E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1F386D">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自然资源局、科协（含气象职能））新建</w:t>
            </w:r>
          </w:p>
        </w:tc>
      </w:tr>
      <w:tr w14:paraId="0ABDB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7BAB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C5D8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应急信息发布前置系统软件</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4C1D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1.软件采用全 B/S 构架；支持国产操作系统。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2.支持身份认证功能，可确认前置系统访问者的身份的合法性，支持用户名+密码、USB KEY认证登录。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3.支持登陆用户分级、分层权限管理；根据实际业务为不同的用户分配不同的权限。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4.支持多种广播类型，支持实时应急广播、短信转语音广播、实时普通广播及流程广播。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5.支持音频、音视频文件、图片、文字内容导入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6.支持本地媒资采集，可采集直播、文字、本地文件等资源。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7.支持多种广播类型，支持实时应急广播、短信转语音广播、实时普通广播及流程广播。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在本地进行应急信息的录入，包括预警内容、事件等级、时间登记、覆盖区域，并可进行内容核对；支持按需选择事件类型、事件级别、开始时间、结束时间、输入事件摘要；支持本地媒资采集，支持直播、音频、音视频文件、图片、文字内容、本地文件资源导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地图展示所属接入区域；支持行政区域以树形展示；支持生成接入信息时可以按需选择事件类型；支持生成接入信息时可以按需选择事件级别；支持生成接入信息时可以按需输入事件摘要；支持生成接入信息时可以按需选择开始时间、结束时间。</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10.能够按照相关规范要求生成应急信息。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11.能够按照相关规范要求将应急信息发送至应急广播平台。具备将 XML 样例协议转化为符合《应急广播平台接口规范》的 TAR 包，实现应急信息的适配接入。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12.持对录入信息进行核查及验证，完成后进行上传提交发布；提交时对内容调用安全专用设备 USB 密码器进行数字签名保护，数据格式符合 GYT 384-2023《应急广播平台接口规范》；数字签名符合 GYT 389-2023《应急广播系统数字签名技术规范》。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13.具备接收应急广播平台反馈的符合 GYT 384-2023《应急广播平台接口规范》的应急广播消息播发状态，在前置系统中能够看到所发布应急信息的执行响应情况。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14.支持记录应急信息发布日志，并提供日志查询、发布统计功能。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15.支持文字、图片、音视频多种方式进行应急信息接入及发布；支持应急广播发布结果以数据、图表多重方式查看及导出。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16.具有分级管理功能，用户可以通过软件安全认证模块，实现身份的鉴权，匹配用户权限，实现对区域、业务、渠道等进行管理和维护。</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17.信息发布渠道包括内部渠道和外部渠道。内部渠道包括广播系统、手机APP、电脑客户端、微信，外部渠道包括数字电视系统、其他可以与应急信息平台对接的软硬件。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18.支持预警部门对接，支持与有关部门预警信息对接，相关部门可按照标准格式传输应急广播消息至应急广播平台，实现预警信息的实时发布。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19.支持内置于应急广播县级平台软件中；满足政府横向部门（应急广管理局、气象局、农村农业局、融媒体中心等）应急消息发布需求。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20.支持按区域启动区域广播；具备在 GIS 地图上圈选播发区域进行播发控制。</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1A4F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F7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3F548A">
            <w:pPr>
              <w:rPr>
                <w:rFonts w:hint="eastAsia" w:ascii="宋体" w:hAnsi="宋体" w:eastAsia="宋体" w:cs="宋体"/>
                <w:i w:val="0"/>
                <w:iCs w:val="0"/>
                <w:color w:val="000000"/>
                <w:sz w:val="20"/>
                <w:szCs w:val="20"/>
                <w:u w:val="none"/>
              </w:rPr>
            </w:pPr>
          </w:p>
        </w:tc>
      </w:tr>
      <w:tr w14:paraId="1671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A482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E689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 密码器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57F8C">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主要技术参数及功能要求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1.支持应急广播专用国产密码算法短证书应用；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2.支对应急广播消息进行签名保护，支持可信证书列表，并实现基于此可信证书列表的消息验证；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3.支持国产密码算法和通用密码算法的并行应用,支持国产SM1/SM4等算法；支持国产SM3和通用SHA1/SHA256等算法；支持国产SM2和通用RSA(1024和2048)等算法；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4.采用国家密码管理局批准的硬件芯片实现各类密码算法，保证算法的高安全性，采用WNG8物理噪声源芯片产生高质量的真随机数作为密钥，保证密钥的高强度；</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5.采用的数字证书和数字签名技术符合《应急广播安全保护技术规范 数字签名》的要求。</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153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8F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A0C315">
            <w:pPr>
              <w:rPr>
                <w:rFonts w:hint="eastAsia" w:ascii="宋体" w:hAnsi="宋体" w:eastAsia="宋体" w:cs="宋体"/>
                <w:i w:val="0"/>
                <w:iCs w:val="0"/>
                <w:color w:val="000000"/>
                <w:sz w:val="20"/>
                <w:szCs w:val="20"/>
                <w:u w:val="none"/>
              </w:rPr>
            </w:pPr>
          </w:p>
        </w:tc>
      </w:tr>
      <w:tr w14:paraId="0FD5E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AF0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56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0046B">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1．交换容量 1.6Gbps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2．转发率 1.2Mpps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3．不低于8个10/100/1000Mbps 网口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E99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CAF6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199D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w:t>
            </w:r>
          </w:p>
        </w:tc>
      </w:tr>
      <w:tr w14:paraId="3C965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0E06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61B3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客户端</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DCDE3E">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 xml:space="preserve">最低配置不低于以下要求：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1.CPU：i5 12400；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2.内存：不低于16GB DDR4；</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3.硬盘：1TB 7200转+256GB固态；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4.显卡：集成显卡；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5.显示器：不小于23英寸，支持1920×1080以上高清显示；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6.含鼠标键盘；</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7.含正版操作系统；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8.支持IPV4/IPV6。</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06ED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C6C1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9CE9D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含正版操作系统</w:t>
            </w:r>
          </w:p>
        </w:tc>
      </w:tr>
      <w:tr w14:paraId="20C33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830B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670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数字广播控制台</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092B0">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主要技术参数及功能要求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（一）基本功能要求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1.嵌入式linux操作系统。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2.桌面话筒式设计，外接鹅颈式话筒，金属外壳，具有 7 英寸真彩 LCD 触摸屏带鹅颈话筒，支持电容多点触控，支持自动锁屏。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3.集话筒喊话、U 盘播放、线路输入等功能于一体。</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4.支持日常、应急广播功能，支持实时切换音源，日常广播默认 U 盘广播、应急广播默认话筒喊话。</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3.支持一键式开启应急、日常广播功能，可设置广播音源，广播音源可预设为U盘、话筒、线路输入等。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4.具有音频采样及编码功能，码率可根据实际带宽设置，根据系统任务，可将模拟音频流实时编码上传至服务器。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5.具有区域广播功能，可勾选全部区域或部分乡镇/行政村/终端或某一个乡镇/行政村/终端广播。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6.具有定时广播功能，支持建立不低于200条定时广播任务。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7.具有与系统平台自动校时功能。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 U 盘广播多种播放模式选择：顺序播放、单曲循环或随机播放，支持广播音量调节，支持展示 U 盘内 MP3 总数、当前播放序号，每页可显示 6 首或以上歌曲名，且可翻页显示；支持展示 U 盘内音频文件总数，包括 MP3 等，当前播放序号，每页可显示 10 首歌曲名，且可翻页显示，音频码率支持 8~128kbps。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9.支持外接鹅颈式话筒，具有话筒喊话功能，支持音量实时调节。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10.具有监听功能，内置 5W 高品质扬声器，支持音量实时调节。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11.支持通过LCD电容显示屏对设备IP地址、端口号进行设置，屏幕支持多点触控。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 IP 基带信号和音频信号采样编码功能。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13.支持一键式开启应急/正常广播功能 ；支持一键广播功能，可对所辖区域内的终端进行广播。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14.支持远程网管功能标准 SNMP，支持远程 Web 配置设备参数，支持对设备进行复位和重启操作。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15.支持设置屏幕锁定，通过密码或 Ukey 的方式进行解锁，保证控制系统安全。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16.内置标准安全模块，支持数字签名验证，支持国密 SM2/SM3非对称算法验签，符合 GY/T 389-2023《应急广播系统数字签名技术规范》，保障应急广播指令和内容的真实性、合法性、完整性。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17.支持全网通 4G/5G 移动通信模块（广电、移动、联通、电信），可实现远程电话和短信应急插播功能。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18.支持电话白名单的区域绑定、广播等级设置。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19.支持一键测试网络状态，包括网线物理连接状态、是否可上网、PING 服务器状态、连接服务器端口状态、手动 IP与端口状态等信息。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20.支持本地 USB 口手动升级，支持平台设备通过 IP、4G/5G、WiFi 等方式远程在线升级，具备修改失败、升级失败后还原功能，可查看升级前后软件版本</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21.支持有线 IP、无线 4G/5G、WiFi 等网络通道与应急广播平台连接，网络通道自动检测切换，优先级别可设置。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22.支持 TCP/IP 协议栈，支持静态 IP 和 DHCP 两种上网方式，支持跨网段、跨路由工作，配置简单方便快捷。</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（二）接口和指标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1.USB接口：2组，满足USB2.0/3.0 要求，支持U盘广播，支持U-KEY登陆用户鉴权。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2.2 组标准 RJ45 网口，10/100M 自适应，IP 输出控制信号、UDP 音频流。网络通讯协议：UDP、ARP、UDP、TCP/IP、RTP、ICMP、RTMP、RTSP、HLS、ICMP、IGMP、HTTP。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3.2组RCA音频线路输入、输出接口，输入阻抗10kΩ，不平衡。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4.失真度：0.1%（输入电平0.775Vrms）。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5.音频频响：±0.5dB（40Hz~20kHz）。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6.1 个 WiFi 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7.1组XLR鹅颈式话筒接口，1组6.5mm话筒接口。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8.1路监听扬声器，输出功率10W。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9.全网通 4G/5G 接口：支持 4G/5G 上网和电话语音接入独立通道。</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10.2 组天线接口，SMA-J 接头，支持接 4G/5G 天线、接 WiFi天线。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11.1路RS232串口。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12.外置式电源适配器，220VAC/50Hz。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13.音频解码：支持 MPEG1-layer1/2/3、MPEG2-layer1/2/3、AAC、DRA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解码、支持 MP3 音频格式编码，asf/mmf/mpa/tta/voc/wav/m4a/wma/wv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/ts/aiff/amr/au/flac/m4b/m4r/mka/mp2/mp3/ogg音频解码功能，音质清晰流畅。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14.视频解码：支持 avi/rmvb/mkv/mpeg/wmv/mov/flv/ts/mp4</w:t>
            </w:r>
          </w:p>
          <w:p w14:paraId="2A4C917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default"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CE18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360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5071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含：安全模块</w:t>
            </w:r>
          </w:p>
        </w:tc>
      </w:tr>
      <w:tr w14:paraId="4209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1C2C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AB6B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E88F0F">
            <w:pPr>
              <w:keepNext w:val="0"/>
              <w:keepLines w:val="0"/>
              <w:widowControl/>
              <w:suppressLineNumbers w:val="0"/>
              <w:ind w:left="0" w:leftChars="0" w:right="0" w:rightChars="0" w:firstLine="0" w:firstLineChars="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1.支持接收上级调频信号进行处理能力，解调出音频信号，唤醒终端做出相应的播发/停止动作。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2.支持接收上级 DTMB/DVB-C 信号进行处理能力，解调出音频信号及控制信号，唤醒终端做出相应的播发/停止动作。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IP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1.可设置本设备IP地址、端口号等参数；可通过网口 WEB 网页进行参数配置；支持平台远程配置工作参数（包括：编资源码、开关音量、调频（FM-RDS）频率、DTMB 频率、DVB-C 频率、IP 端口、网段等）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2.支持国密算法数字签名（SM1/SM2/SM3/SM4），具有国密算法芯片，提供指令签名、指令验证等功能，保障指令的安全性。符合《GY/T 389-2023 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3.具有升级功能，可对整个系统进行升级，升级过程可断电。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4.具备 FM /DVB-C/DTMB信号强度、信号质量指示；具备有线网络、WIFI网络、平台连接、业务端口、回传端口状态监测功能；支持硬件测试功能，可对接收通道FM /DVB-C/DTMB、安全模块、公网接入、功放输出进行测试。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5.支持音量调节功能，日常广播时音量可自动/或维持终端音量和自定义音量，应急广播时音量自动最大。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6.DTMB、DVB-C、FM-RDS、IP 输入口具备防雷保护功能。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4.网络接口: RJ45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1.工作电压范围：176V～264V AC，50/60Hz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2.供电方式:电源采用变压器（E 型）整流供电、并支持次级短路保护，支持瞬间异常保护功能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3.FM频段输入:支持 60MHz～108MHz，接收灵敏度：30dBuV。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4.DTMB频段:频段范围：47MHz ～ 862MHz，最小接收电平（多载波模式 16QAM）：-85.0dBm。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6.DVB-C频段:频段范围：47MHz ～ 862MHz，最小接收电平（64QAM）：-78.5dBm。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6.IP速率:10Mbps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7.音频频响:20Hz-20kHz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8.ARP、UDP、TCP/IP、RTP、ICMP、RTMP、RTSP、HLS、ICMP、IGMP、HTTP。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9.功率:≥10W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MPEG1-layer1/2/3、MPEG2-layer1/2/3、AAC、asf/mmf/ mpa/tta/voc/wav/m4a/wma/wv/ts/aiff/amr/au/flac/m4b/m4r/mk a/mp2/mp3/ogg 音频解码功能，音质清晰流畅。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11.码率：32kbps～192kbps</w:t>
            </w:r>
          </w:p>
          <w:p w14:paraId="434C1B6A">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5D1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02B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86AA63">
            <w:pPr>
              <w:rPr>
                <w:rFonts w:hint="eastAsia" w:ascii="宋体" w:hAnsi="宋体" w:eastAsia="宋体" w:cs="宋体"/>
                <w:i w:val="0"/>
                <w:iCs w:val="0"/>
                <w:color w:val="000000"/>
                <w:sz w:val="20"/>
                <w:szCs w:val="20"/>
                <w:u w:val="none"/>
              </w:rPr>
            </w:pPr>
          </w:p>
        </w:tc>
      </w:tr>
      <w:tr w14:paraId="6CA4D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480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ECE3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UKey密码钥匙</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B9286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满足国密要求，用于应急广播系统登录认证。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F9CE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CC5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38DE4">
            <w:pPr>
              <w:rPr>
                <w:rFonts w:hint="eastAsia" w:ascii="宋体" w:hAnsi="宋体" w:eastAsia="宋体" w:cs="宋体"/>
                <w:i w:val="0"/>
                <w:iCs w:val="0"/>
                <w:color w:val="000000"/>
                <w:sz w:val="20"/>
                <w:szCs w:val="20"/>
                <w:u w:val="none"/>
              </w:rPr>
            </w:pPr>
          </w:p>
        </w:tc>
      </w:tr>
      <w:tr w14:paraId="0E06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6573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2D8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D7E62">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满足设备安装需求，含网线、水晶头、插线板、托架、螺钉、扎线、标签纸等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434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DEB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B47DB">
            <w:pPr>
              <w:rPr>
                <w:rFonts w:hint="eastAsia" w:ascii="宋体" w:hAnsi="宋体" w:eastAsia="宋体" w:cs="宋体"/>
                <w:i w:val="0"/>
                <w:iCs w:val="0"/>
                <w:color w:val="000000"/>
                <w:sz w:val="20"/>
                <w:szCs w:val="20"/>
                <w:u w:val="none"/>
              </w:rPr>
            </w:pPr>
          </w:p>
        </w:tc>
      </w:tr>
      <w:tr w14:paraId="71089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71B2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三、7个街道办事处应急广播系统分控平台（东区、新区、千秋路办事处、朝阳路办事处、常村路办事处、泰山路办事处、新义街办事处）</w:t>
            </w:r>
          </w:p>
        </w:tc>
      </w:tr>
      <w:tr w14:paraId="4560F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CAA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DCE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街道级应急广播分控平台软件</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B002B7">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1.软件采用全 B/S 构架；支持国产操作系统。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2.登陆用户分级、分层权限管理；支持系统随操作系统启动。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3.支持信息处理功能，包含接入信息解析处理、接入信息提示等功能。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4.支持信息制作和审核功能，包含自动文转语、音频文件流化、信息审核等功能。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5.支持资源管理功能，包含资源管理、资源状态获取及显示、资源故障报警等功能。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6.支持资源调度功能，包含调度预案管理、资源调度、应急广播消息指令生成、 播发认为监管等功能。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7.支持效果评估功能，包含发布进程数据采集和展示、事后评估、查询统计等功能。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8.支持安全管理功能，包含证书列表导入、证书发放、签名验签等功能。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9.支持运维管理功能，包含权限管理、基础数据维护、系统服务管理、数据同步管理等功能。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大喇叭管控功能，包含终端的应急/日常广播开/停播指令、终端的资源编码设置指令、终端的音量控制指令、终端的回传参数、回传周期、网络参数设置指令、终端的参数/状态查询指令、终端的时钟校准指令、终端的证书更新指令、终 端的功放开关控制指令、终端的 RDS 扫描频点设置指令等。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11.支持本地媒资采集，可采集直播、文字、本地音频和视频文件资源。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12.支持实时应急广播、短信转语音广播、实时普通广播及流程广播;支持 TTS 文字转语音广播；支持文字信息应急广播；支持短信转语音广播服务;支持终端设备单个控制、分区、分组控制。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在本地进行应急信息的录入，包括预警内容、时间登记、覆盖区域，并可进行内容核对；支持按需选择事件类型、事件级别、开始时间、结束时间、输入事件摘要；支持本地媒资采集，支持直播、音频、音视频文件、图片、文字内容、本地文件资源导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14.支持对录入信息进行核查及验证，完成后进行上传提交；对提交的内容调用 USB 密码器进行签名保护，数据格式符合GY/T 384-2023《应急广播平台接口规范》。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15.支持终端设备参数的初始化设置（注册、修改、删除）；支持临时区域绑定；支持地图上框选终端设备播放；支持对自身播发的应急广播信息进行监控。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支持应急信息提交结果返回前置系统，前置机使用者可查看所提交应急信息的执行响应情况，支持对自身播发的应急广播信息进行监控，按照应急事件类型和应急事件级别为统计维度，支持以饼图的形式统计应急事件的占比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17.支持文字、图片、音视频多种方式进行应急信息接入及发布；支持应急广播发布结果以数据、图表多重方式查看及导出。</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FAD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E621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79EF5">
            <w:pPr>
              <w:rPr>
                <w:rFonts w:hint="eastAsia" w:ascii="宋体" w:hAnsi="宋体" w:eastAsia="宋体" w:cs="宋体"/>
                <w:i w:val="0"/>
                <w:iCs w:val="0"/>
                <w:color w:val="000000"/>
                <w:sz w:val="20"/>
                <w:szCs w:val="20"/>
                <w:u w:val="none"/>
              </w:rPr>
            </w:pPr>
          </w:p>
        </w:tc>
      </w:tr>
      <w:tr w14:paraId="71FD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B4E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1C4A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客户端</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29169">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 xml:space="preserve">最低配置不低于以下要求：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1.CPU：i5 12400；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2.内存：不低于16GB DDR4；</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3.硬盘：1TB 7200转+256GB固态；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4.显卡：集成显卡；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5.显示器：不小于23英寸，支持1920×1080以上高清显示；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6.含鼠标键盘；</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7.含正版操作系统；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8.支持IPV4/IPV6。</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76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AA4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3FB22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含正版操作系统</w:t>
            </w:r>
          </w:p>
        </w:tc>
      </w:tr>
      <w:tr w14:paraId="42A3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FE0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3EB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9410D">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1．交换容量 1.6Gbps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2．转发率 1.2Mpps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3．不低于8个10/100/1000Mbps 网口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45F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954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9ED0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w:t>
            </w:r>
          </w:p>
        </w:tc>
      </w:tr>
      <w:tr w14:paraId="278AA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E5D8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F1C6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街道级应急广播大喇叭适配器</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01C979">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1.可接收上级调频信号，解调出音频信号及 RDS 数据，做出相应的播发/停止动作。信号处理符合 GY/T 390-2023《模拟调频应急广播技术规范》的要求。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2.具备输出音频信号及 DTMB/DVB-C 指令信号，控制终端进行应急广播消息播发的功能，输出信号符合 GD/J087-2018《地面数字电视应急广播技术规范》和 GY/T 393-2023《有线数字电视应急广播技术规范》。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3.具备输出音频信号及 IP指令信号，控制终端进行应急广播消息播发的功能，输出信号符合 GY/T 394-2023《应急广播大喇叭系统技术要求和测量方法》。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4.具有本地音源和上级收转信号调频编码输出，可输出标准的RDS 调频信号，进行信号传输。信号输出符合 GY/T 390-2023《模拟调频应急广播技术规范》的要求。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（二）基本功能要求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1.可通过前面板液晶屏及按键，对设备IP 地址、端口号进行设置。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2.可脱离管理平台实现本级广播的功能。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3.支持本地音源广播，包括U盘（MP3/Flac/Ogg wav/avi/Rmvb/mp4</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等多种格式文件）广播、线路广播、话筒广播，可通过按键选择上下曲。</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4.具有监听功能：内置监听喇叭，监听音量可调节。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5.可设置定时广播（≥64个时间段或以上），广播音源可选择话筒广播、U 盘、调频接收、线路输入。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6.支持一键式开启正常/应急广播，广播音源具有多种输入方式(包括话简广播、调频接收等)，具有2路线性输出，支持对传输方式和音源输入方式进行优先级判断、设置。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7.支持远程对本设备的网络参数、应急广播资源编码、回传参数工作参数配置。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8.支持读取安全模块编号功能，支持管理平台更新证书；具备两种认证开机功能，包括UsB密钥绑定认证开机功能，可以与安全专用设备及终端的加密方式相匹配。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9.具备响应管理平台发出的控制和读取状态指令的功能。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10.支持优先级判断（应急广播&gt;紧急广播（话筒或电话）&gt;日常广播）。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11.支持将话筒广播一键切换为紧急模式。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12.通道支持IP 和调频、DTMB（输入）、DVB-C（输入）、4G/5G 播发应急广播消息通道。</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13.支持配置移动4G/5G通信模块（通话、短信转语音、回传、设备联网功能）。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14.具备本地播发、上级信号接收播发功能。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15.具备本地多音源切换功能。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17.具有电话广播功能，电话广播支持 ≥32 个白名单(可独立设置)。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18.支持广播模式自动切换功能，当设备处于日常广播模式时，应急广播消息能自动切断日常广播播发应急消息，应急广播消息播发完毕，切换回原来的日常广播状态。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19.具备远程终端控制及逻辑寻址功能，支持 IP回传本机运行状态(设 备工作电压、逻辑地址、版本号等)，具备网络 WEB管理和应用软件在线升级功能、查询自身的运行日志。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20.具备日志打印或显示功，用于显示应急广播消息发布记录和发布时间，以及应急广播消息接收回执和播发反馈记录显示，用于显示被测系统设备的应急广播消息处理情况，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21.支持调频、有线数字电视、地面数字电视、IP（有线或无线4G/5G） 等一种或多种信号接收解调能力，以及应急广播消息规范解析处理能力。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22.具有应急演练功能，对应急广播适配器发送的应急演练消息，处理并执行应急演练，并通过 IP 网络回传演练反馈。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23.支持有线 IP、无线 4G/5G、无线 WIFI 备份接入，自动切换功能，优先级别可设置，确保设备网络连接正常。</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（三）安全加密功能要求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1.内置符合国密算法的安全模块，具备对接收到的应急广播消息进行验签，对向下级发送的应急广播指令进行签名的功能，处理符合 GYT389-2023《应急广播系统数字签名技术规范》要求。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2.具备对加载有国密算法保护的应急广播协议的封装功能。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3.具备对加载有国密算法保护的应急广播协议的接收解析功能。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4.具备对加载有国密算法保护的应急广播消息的签名验签功能。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（四）智慧运维功能要求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 FM /DVB-C/DTMB/4G 信号强度、信号质量指示，信噪比、故障状态信息获取。</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2.具备有线 IP 网络/WIFI 网络/4G 网络自动循环检测，网络优先级别可设置，平台连接、业务端口、回传端口状态监测功能。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3.具备适配器 CPU、内存使用率显示、输出音量大小、序列号和MCA 设置或读取功能；具备设备状态、软件版本、硬件版本、序列号、资源编码、安全模块、本机地址、广播地址、MAC 地址、4G 状态显示功能。4.支持硬件测试功能，可对接收通道 FM /DVB-C/DTMB/4G、安全模块、公网接入、功放输出进行测试。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5.在设备停电的瞬间，向运维服务器上报“断电”告警，明确停电导致的离线。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6.适配器出现故障或者故障消除，适配器主动向应急广播平台上报故障/恢复情况。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（五）接口要求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1.采用19 英寸机架式设计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2.具有1 路AC220V 可控电源输出；控制功率3300W。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3.具有2路线路音频输入接口，RCA莲花母座。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4.具有2路音频输出，接口类型：RCA 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5.具有6.5mm话筒接口。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6.2个RJ45接口，100Mbps/1000Mbps自适应。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7.FM 输入接口：1路输入内置2分配，配置2个调谐器，公制F母座。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8.具有DVB-C、DTMB输入接口，英制F母座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9.具有监听喇叭，监听音量通过旋钮可调。</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10.具有1路无线WIFI接口，具备WIFI接收功能。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11.具有1路HDMI视频输出。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12.配置移动4G/5G通信模块（通话、短信转语音、回传、设备联网功能）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13.USB 接口：2 个 USB2.0/USB3.0 接口，接口类型：USB-TypeA。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14.1 个 RS232，DB9 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（六）性能要求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1.工作电压范围：AC165V～AC260V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2.FM 频率：输入/输出频率范围 87MHz～108MHz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3.DTMB 频段：47MHz～862MHz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4.DVB-C 频段：47MHz～862MHz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5.IP速率：100Mbps/1000Mbps（自适应）</w:t>
            </w:r>
          </w:p>
          <w:p w14:paraId="0D846E00">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r>
              <w:rPr>
                <w:rFonts w:hint="default"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76A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35F9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B61F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含：安全模块</w:t>
            </w:r>
          </w:p>
        </w:tc>
      </w:tr>
      <w:tr w14:paraId="40DDA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BB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1922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播音话筒</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C8616">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1.换能方式：电容式；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2.指向性：心型指向；</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3.适用范围：会议话筒；</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4.频率范围：40～16KHz；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5.供电电源： DC3V/幻象48V；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6.灵敏度：-38dB(3.5mV/Pa)3dB；</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7.输出阻抗：600Ω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8.参考适音距离（20-50)cm。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D4F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2BA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1B6B5">
            <w:pPr>
              <w:rPr>
                <w:rFonts w:hint="eastAsia" w:ascii="宋体" w:hAnsi="宋体" w:eastAsia="宋体" w:cs="宋体"/>
                <w:i w:val="0"/>
                <w:iCs w:val="0"/>
                <w:color w:val="000000"/>
                <w:sz w:val="20"/>
                <w:szCs w:val="20"/>
                <w:u w:val="none"/>
              </w:rPr>
            </w:pPr>
          </w:p>
        </w:tc>
      </w:tr>
      <w:tr w14:paraId="46AC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AF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04E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监听音箱</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1C981">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1.支持接收上级调频信号进行处理能力，解调出音频信号，唤醒终端做出相应的播发/停止动作。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2.支持接收上级 DTMB/DVB-C 信号进行处理能力，解调出音频信号及控制信号，唤醒终端做出相应的播发/停止动作。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IP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1.可设置本设备IP地址、端口号等参数；可通过网口 WEB 网页进行参数配置；支持平台远程配置工作参数（包括：编资源码、开关音量、调频（FM-RDS）频率、DTMB 频率、DVB-C 频率、IP 端口、网段等）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2.支持国密算法数字签名（SM1/SM2/SM3/SM4），具有国密算法芯片，提供指令签名、指令验证等功能，保障指令的安全性。符合《GY/T 389-2023 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3.具有升级功能，可对整个系统进行升级，升级过程可断电。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4.具备 FM /DVB-C/DTMB信号强度、信号质量指示；具备有线网络、WIFI网络、平台连接、业务端口、回传端口状态监测功能；支持硬件测试功能，可对接收通道FM /DVB-C/DTMB、安全模块、公网接入、功放输出进行测试。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5.支持音量调节功能，日常广播时音量可自动/或维持终端音量和自定义音量，应急广播时音量自动最大。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6.DTMB、DVB-C、FM-RDS、IP 输入口具备防雷保护功能。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4.网络接口: RJ45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1.工作电压范围：176V～264V AC，50/60Hz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2.供电方式:电源采用变压器（E 型）整流供电、并支持次级短路保护，支持瞬间异常保护功能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3.FM频段输入:支持 60MHz～108MHz，接收灵敏度：30dBuV。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4.DTMB频段:频段范围：47MHz ～ 862MHz，最小接收电平（多载波模式 16QAM）：-85.0dBm。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6.DVB-C频段:频段范围：47MHz ～ 862MHz，最小接收电平（64QAM）：-78.5dBm。</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6.IP速率:10Mbps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7.音频频响:20Hz-20kHz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8.ARP、UDP、TCP/IP、RTP、ICMP、RTMP、RTSP、HLS、ICMP、IGMP、HTTP。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9.功率:≥10W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MPEG1-layer1/2/3、MPEG2-layer1/2/3、AAC、asf/mmf/ mpa/tta/voc/wav/m4a/wma/wv/ts/aiff/amr/au/flac/m4b/m4r/mk a/mp2/mp3/ogg 音频解码功能，音质清晰流畅。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11.码率：32kbps～192kbps</w:t>
            </w:r>
          </w:p>
          <w:p w14:paraId="3602A6F3">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270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1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7C2370">
            <w:pPr>
              <w:rPr>
                <w:rFonts w:hint="eastAsia" w:ascii="宋体" w:hAnsi="宋体" w:eastAsia="宋体" w:cs="宋体"/>
                <w:i w:val="0"/>
                <w:iCs w:val="0"/>
                <w:color w:val="000000"/>
                <w:sz w:val="20"/>
                <w:szCs w:val="20"/>
                <w:u w:val="none"/>
              </w:rPr>
            </w:pPr>
          </w:p>
        </w:tc>
      </w:tr>
      <w:tr w14:paraId="4C4CA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0ACF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A75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UPS 电源</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DB567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1、单进单出在线塔式主机，容量：1KVA/800W；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2、标准充电时间：4小时充电达90%；</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3、直流电压：36V（电池：3节*65AH/电池安装柜）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环境温度小于35度:105%~110%:UPS会在10分钟后自动关闭，或在输入正常时切换到旁路模式。110%-130%:UPS会在1分钟后自动关闭，或在输入正常时切换到旁路模式。&gt;130%:UPS会在3秒后自动关闭，或在输入正常时切换到旁路模式；</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5、输入电压：162-280V@100%负载；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6、输出电压：220V/230V/240V(设置中可调）±1%；</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7、通过LED灯显示负载大小，电池容量，市电模式，电池模式，旁路模式，故障指示等，可通过LED灯指示调整输出电压，旁路使能。</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991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2F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24B34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后备时间2个小时,在线式</w:t>
            </w:r>
          </w:p>
        </w:tc>
      </w:tr>
      <w:tr w14:paraId="2D3BF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F15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AA20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UKey密码钥匙</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AE9BC">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满足国密要求，用于应急广播系统登录认证。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27D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2FAB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E4A1FD">
            <w:pPr>
              <w:rPr>
                <w:rFonts w:hint="eastAsia" w:ascii="宋体" w:hAnsi="宋体" w:eastAsia="宋体" w:cs="宋体"/>
                <w:i w:val="0"/>
                <w:iCs w:val="0"/>
                <w:color w:val="000000"/>
                <w:sz w:val="20"/>
                <w:szCs w:val="20"/>
                <w:u w:val="none"/>
              </w:rPr>
            </w:pPr>
          </w:p>
        </w:tc>
      </w:tr>
      <w:tr w14:paraId="5D4A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9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24B3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2A7EED">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满足设备安装需求，含网线、水晶头、插线板、托架、螺钉、扎线、标签纸等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954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9BE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476B19">
            <w:pPr>
              <w:rPr>
                <w:rFonts w:hint="eastAsia" w:ascii="宋体" w:hAnsi="宋体" w:eastAsia="宋体" w:cs="宋体"/>
                <w:i w:val="0"/>
                <w:iCs w:val="0"/>
                <w:color w:val="000000"/>
                <w:sz w:val="20"/>
                <w:szCs w:val="20"/>
                <w:u w:val="none"/>
              </w:rPr>
            </w:pPr>
          </w:p>
        </w:tc>
      </w:tr>
      <w:tr w14:paraId="50E3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667BC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四、应急广播主动发布终端</w:t>
            </w:r>
          </w:p>
        </w:tc>
      </w:tr>
      <w:tr w14:paraId="37570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204B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E11B68">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社区和自然村终端（东区、新区勘察点点位）</w:t>
            </w:r>
          </w:p>
        </w:tc>
      </w:tr>
      <w:tr w14:paraId="7120B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321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781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多模收扩机</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1B3683">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1.具有接收上级调频信号进行处理能力，解调出音频信号，做出相应的播发/停止动作。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2.具有接收上级 DTMB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DVB-C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4.具有接收上级 IP 信号（有线 IP 和无线 4G/5G）进行处理能力，解调出音频信号及控制信号，做出相应的播发/停止动作。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5.支持任意几种接收模式组合，第一信号源中断自动切换到第二信号源，第一信号源恢复则自动接收第一信号源。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1.可设置本设备IP地址、端口号等参数；可通过串口、网口等端口通过 WEB 网页进行参数配置 ；支持通过平台远程进行参数配置（包括：编码、开关音量、调频（FM-RDS）频率、DTMB 频率、DVB-C 频率、IP（或4G）端口、网段等）。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2.具备多模接收（IP(4G/5G)/DTMB/FM-RDS/DVB-C）多模自适应接收，支持主备接收模式自动切换功能。支持广电、移动、联通、电信全网通 4G/5G 信号接收。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3.支持国密算法数字签名（SM1/SM2/SM3/SM4），具有国密算法芯片，提供指令签名、指令验证等功能，保障指令的安全性。符合 GY/T 389-2023《应急广播系统数字签名技术规范》相关技术要求。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4.支持有线IP或4G/5G接收音频流后能够实现解码、输出功能，音质清晰、流畅；IP 方式下支持 IPv4/IPv6 双栈。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5.具备有线 IP（或无线 4G/5G）数据回传功能，支持将运行状态、应急广播响应操作结果等数据回传至市/县级应急广播平台。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6.主动上报心跳、任务开始、任务结束信息。在 WEB 配置界面上可以根据实际网络环境选择回传通道配置。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7.支持县/乡镇/村（居委）级对所辖终端的语音广播、分区广播和点对点广播；支持分区域播发控制。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8.能在 60MHz～108MHz 范围内对 3 个信源频点进行轮询，接收并处理调频应急广播指令，可根据响应应急广播指令切换到指定频点播放应急广播消息内容，一个接收器对所有信源频点进行轮询，接收并处理应急广播指令，另一个接收器响应应急广播指令切换到指定频点播放应急广播消息内容。</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 USB 升级、支持平台软件在线升级、支持 OTA 在线升级功能、支持通过 DVB-C 或 DTMB远程批量升级、支持通过有线 IP 或无线 4G/5G 在线升级功能，支持 Web 网页本地升级。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Web 登录，可在 Web 上对设备进行网络、接收、时间同步、通道优先级别等参数配置或设备初始化、系统重启等功能。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11.具备 FM /DVB-C/DTMB/4G信号强度、信号质量指示；具备有线网络、WIFI网络、4G网络、平台连接、业务端口、回传端口状态监测功能；支持硬件测试功能，可对接收通道FM /DVB-C/DTMB/4G、安全模块、公网接入、功放输出进行测试。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12.支持通道优先级设置功能，通道优先级为有线 IP/4G/5G/FM-RDS/ DVB-C/DTMB，用户可本地和远程更改优先级设置，优先级高的优先响应。具备广播断电自动恢复功能，可实时修改任务优先级，优先级可通过 WEB 网页设置或蓝牙设置。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13.符合《GY/T 387-2023县级应急广播系统技术规范》中有关安全性和《GY/T 394-2023应急广播大喇叭系统技术要求和测量方法》有关安全服务相关技术要求，具有经国家密码管理局认证的安全加密模块，并内置集成在终端设备中。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14.支持通过手机 APP 扫描终端二维码信息、自动生成终端安装经纬度、自动与平台对接开户功能，将本机注册到应急广播管理平台，实现扫码安装功能；实现巡更打卡功能，可将巡更点的经纬度、终端安装位置场景照片上传至上级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15.支持音量调节功能，日常广播时音量可自动/手动调节或维持终端音量和自定义音量，应急广播时音量自动最大。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16.整机具有防止设备漏电、抗感应雷击的接地端子，具有瞬间异常保护功能；整机采用防雨外壳，全天候户外防水设计，防尘、防锈、防潮。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17.具有过热、过压、过载、短路保护功能，故障消失自动恢复。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18.DTMB、DVB-C、FM-RDS、4G/5G 射频输入口具备防雷保护功能，IP 输入口具有隔离变压器防护。</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19.支持 4G/5G 模块（支持全网通）采用工业级 4G/5G 卡，卡槽接口采用密封外漏式安装，内置干燥剂，可以有效防止 4G/5G 卡防尘、防雨、防氧化功能。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4.网络接口:RJ45，IP 输入口具有隔离变压器防护功能。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6.天线接口：1 个 SMA 型 4G 手机模块天线接口（GPRS 天线）。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7.接地：设备具有接地端子接口。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8.电源接口：具有插拔式电源插座，带防脱落卡扣设计。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1.电源输入:电压范围：AC176V～AC264V 50Hz±5Hz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2.直流输入：电压范围：12V～48V DC（自适应）、DC -48V。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3.供电系统：支持市电和太阳能混合供电，支持无缝电源切换。</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4.供电方式:电源采用变压器整流供电、并支持次级短路保护，支持瞬间异常保护功能，故障解除后可自动恢复。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5.FM频段输入:支持 60MHz～108MHz。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6.DTMB频段:频段范围：47MHz ～ 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7.DVB-C频段:频段范围：47MHz ～ 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8.IP速率:10Mbps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9.支持协议：ARP、UDP、TCP/IP、RTP、ICMP、RTMP、RTSP、HLS、ICMP、IGMP、HTTP。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10.输出功率:≥50W</w:t>
            </w:r>
          </w:p>
          <w:p w14:paraId="3672232C">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CD0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DE7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AA85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每个行政村部署3套（含20户以上自然村）；含安全模块、IP/4G/FM/DVB-C/DTMB；</w:t>
            </w:r>
          </w:p>
        </w:tc>
      </w:tr>
      <w:tr w14:paraId="57EA5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D1A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6F1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高音喇叭</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D28F04">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功能及技术参数要求：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1、适宜室外使用，防护等级：IP66。</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2、铝质外壳，具有防锈、防腐蚀工艺处理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3、额定功率：25W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4、额定输入阻抗：16欧姆±15%</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5、额定频率范围：300-6000Hz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6、额定特性灵敏度：≥108db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BEF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2973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48131D">
            <w:pPr>
              <w:rPr>
                <w:rFonts w:hint="eastAsia" w:ascii="宋体" w:hAnsi="宋体" w:eastAsia="宋体" w:cs="宋体"/>
                <w:i w:val="0"/>
                <w:iCs w:val="0"/>
                <w:color w:val="000000"/>
                <w:sz w:val="20"/>
                <w:szCs w:val="20"/>
                <w:u w:val="none"/>
              </w:rPr>
            </w:pPr>
          </w:p>
        </w:tc>
      </w:tr>
      <w:tr w14:paraId="367A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423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2A3C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横担抱箍</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F5224">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收扩机和高音喇叭抱箍、横担（热镀锌）等与安装固定有关的其他材料。</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737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639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805214">
            <w:pPr>
              <w:rPr>
                <w:rFonts w:hint="eastAsia" w:ascii="宋体" w:hAnsi="宋体" w:eastAsia="宋体" w:cs="宋体"/>
                <w:i w:val="0"/>
                <w:iCs w:val="0"/>
                <w:color w:val="000000"/>
                <w:sz w:val="20"/>
                <w:szCs w:val="20"/>
                <w:u w:val="none"/>
              </w:rPr>
            </w:pPr>
          </w:p>
        </w:tc>
      </w:tr>
      <w:tr w14:paraId="648E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ED5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073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E7C9C0">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1.不间断电源（太阳能）包括太阳能板、蓄电池组、控制器、固定支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2.架和抱箍以及安装调试辅材；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3.具备防雷功能；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4.使用太阳能备电系统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5.太阳能板：18V、100W、单晶硅；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5.电池组：采用 12V、20AH 锂电池；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6.控制保护系统：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（1）过充保护，最大充电电流 10A；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（2）内置 6 条充电曲线，满足各种主流需求；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（3）LED 指示充电状态；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D78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4D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2F5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终端后备电源</w:t>
            </w:r>
          </w:p>
        </w:tc>
      </w:tr>
      <w:tr w14:paraId="43397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B7D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C0D8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E83A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满足设备安装需求，含网线、水晶头、插线板、托架、螺钉、扎线、标签纸、不锈钢抱箍等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B5BF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DE45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82C3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含安装抱箍、电源线</w:t>
            </w:r>
          </w:p>
        </w:tc>
      </w:tr>
      <w:tr w14:paraId="20A1E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A0A6F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95CCA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14个自然灾害点应急广播终端</w:t>
            </w:r>
          </w:p>
        </w:tc>
      </w:tr>
      <w:tr w14:paraId="6384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528F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1FA7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多模音柱</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2AF6BE">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1.具有接收上级调频信号进行处理能力，解调出音频信号，做出相应的播发/停止动作。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2.具有接收上级 DTMB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DVB-C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4.具有接收上级 IP 信号（有线 IP 和无线 4G/5G）进行处理能力，解调出音频信号及控制信号，做出相应的播发/停止动作.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5.支持任意几种接收模式组合，第一信号源中断自动切换到第二信号源，第一信号源恢复则自动接收第一信号源。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1.可设置本设备IP地址、端口号等参数；可通过串口、网口等端口通过 WEB 网页进行参数配置；支持通过平台远程进行参数配置（包括：编码、开关音量、调频（FM-RDS）频率、DTMB 频率、DVB-C 频率、有线 IP（或 4G）端口、网段等）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2.具备多模接收（IP(4G/5G)/FM-RDS/DVB-C/DTMB）多模自适应接收，支持主备接收模式自动切换功能；支持广电、移动、联通、电信全网通 4G/5G 信号接收。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3.支持国密算法数字签名（SM1/SM2/SM3/SM4），具有国密算法芯片，提供指令签名、指令验证等功能，保障指令的安全性。符合 GY/T 389-2023《应急广播系统数字签名技术规范》相关技术要求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4.支持有线IP或4G/5G接收音频流后能够实现解码、输出功能，音质清晰、流畅；IP 方式下支持 IPv4/IPv6 双栈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5.具备有线 IP（或无线 4G/5G）数据回传功能，支持将运行状态、应急广播响应操作结果等数据回传至市/县级应急广播平台。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 IPV4 和 IPV6 通信功能，支持静态地址配置和 DHCP 动态地址获取。</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7.支持县/乡镇/村（居委）级对所辖终端的语音广播、分区广播和点对点广播；支持分区域播发控制。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8.能在 60MHz～108MHz 范围内对 3 个信源频点进行轮询，接收并处理调频应急广播指令，可根据响应应急广播指令切换到指定频点播放应急广播消息内容，一个接收器对所有信源频点进行轮询，接收并处理应急广播指令，另一个接收器响应应急广播指令切换到指定频点播放应急广播消息内容。</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 USB 升级；支持软件在线升级；支持 OTA 在线升级功能；支持通过 DVB-C 或 DTMB 远程批量升级；支持通过有线 IP 或无线 4G/5G 在线升级；支持 Web 网页本地升级功能。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Web 登录，可在 Web 上对设备进行网络、接收、时间同步、通道优先级别等参数配置或设备初始化、系统重启等功能。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11.具备 FM /DVB-C/DTMB/4G信号强度、信号质量指示；具备有线网络、WIFI网络、4G网络、平台连接、业务端口、回传端口状态监测功能；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12.支持硬件测试功能，可对接收通道 FM /DVB-C/DTMB/IP（有线和 4G/5G）、安全模块、公网接入、功放输出进行测试。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13.支持通道优先级设置功能，通道优先级为有线 IP/4G/5G/FM-RDS/ DVB-C/DTMB，用户可本地和远程更改优先级设置，优先级高的优先响应；具备广播断电自动恢复功能，可实时修改任务优先级。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14.符合《GY/T 387-2023县级应急广播系统技术规范》中有关安全性和《GY/T 394-2023应急广播大喇叭系统技术要求和测量方法》有关安全服务相关技术要求，具有经国家密码管理局认证的安全加密模块，并内置集成在终端设备中。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15.通过手机 APP 软件扫描设备二维码，实现巡更打卡功能，可将巡更点的经纬度、设备现场照片上传至上级平台。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16.支持音量调节功能，日常广播时音量可自动/手动调节或维持终端音量和自定义音量，应急广播时音量自动最大；断电可自动恢复播放任务，无需人工干预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17.具有过热、过压、过载、短路保护功能，故障消失自动恢复。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18.整机采用立柱式铝合金外壳设计，防雨、防尘外壳，具有防护功能。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19.DTMB、DVB-C、FM-RDS、IP、4G/5G 输入口具备防雷保护功能。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20.支持双面对称播音。</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（三）主要接口要求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4.网络接口:RJ45，IP 输入口具有隔离变压器防护功能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5.音频输出:定阻输出，内置扬声器。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7.天线接口：1 个 SMA 型 4G 手机模块天线接口（GPRS 天线）。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8.接地：设备具有接地端子接口。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9.电源接口：具有防水插拔式电源插座，带防脱落卡扣设计。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1.工作电压范围:176VAC～264VAC 50Hz±5Hz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2.直流输入：电压范围：DC12V～DC48V（自适应）、DC-48V。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3.供电系统：支持市电和太阳能混合供电，支持无缝电源切换。</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4.供电方式:电源采用变压器整流供电、并支持次级短路保护，支持瞬间异常保护功能，故障解除后可自动恢复。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5.FM频段输入:支持 60 MHz ～108MHz。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6.DTMB频段:频段范围：47MHz～862MHz。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7.DVB-C频段:频段范围：47MHz～862MHz.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8.IP 速率 :10Mbps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9.支持协议:ARP、UDP、TCP/IP、RTP、ICMP、RTMP、RTSP、HLS、ICMP、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10.输出功率:≥25W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11.应急广播响应时长：＜3s</w:t>
            </w:r>
          </w:p>
          <w:p w14:paraId="0BFFC46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28F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0E34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D18B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含安全模块、IP/4G/FM/DVB-C/DTMB；</w:t>
            </w:r>
          </w:p>
        </w:tc>
      </w:tr>
      <w:tr w14:paraId="3D26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C88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E1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75EA3">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1.不间断电源（太阳能）包括太阳能板、蓄电池组、控制器、固定支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2.架和抱箍以及安装调试辅材；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3.具备防雷功能；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4.使用太阳能备电系统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5.太阳能板：18V、100W、单晶硅；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5.电池组：采用 12V、20AH 锂电池；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6.控制保护系统：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（1）过充保护，最大充电电流 10A；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（2）内置 6 条充电曲线，满足各种主流需求；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（3）LED 指示充电状态；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3A9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DDB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CD3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终端后备电源</w:t>
            </w:r>
          </w:p>
        </w:tc>
      </w:tr>
      <w:tr w14:paraId="0C08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622"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83F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D4E7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4D901">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满足设备安装需求，含网线、电源线、水晶头、插线板、托架、螺钉、扎线、不锈钢抱箍等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65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3AE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459A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含安装抱箍、电源线</w:t>
            </w:r>
          </w:p>
        </w:tc>
      </w:tr>
      <w:tr w14:paraId="1E5A5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36743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58B4AF">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5个公园应急广播终端</w:t>
            </w:r>
          </w:p>
        </w:tc>
      </w:tr>
      <w:tr w14:paraId="357FA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AC8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263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多模音柱</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A61ABC">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（一）总体要求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1.具有接收上级调频信号进行处理能力，解调出音频信号，做出相应的播发/停止动作。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2.具有接收上级 DTMB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3.具有接收上级 DVB-C 信号进行处理能力，解调出音频信号及控制信号，做出相应的播发/停止动作。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4.具有接收上级 IP 信号（有线 IP 和无线 4G/5G）进行处理能力，解调出音频信号及控制信号，做出相应的播发/停止动作.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5.支持任意几种接收模式组合，第一信号源中断自动切换到第二信号源，第一信号源恢复则自动接收第一信号源。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1.可设置本设备IP地址、端口号等参数；可通过串口、网口等端口通过 WEB 网页进行参数配置；支持通过平台远程进行参数配置（包括：编码、开关音量、调频（FM-RDS）频率、DTMB 频率、DVB-C 频率、有线 IP（或 4G）端口、网段等）</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2.具备多模接收（IP(4G/5G)/FM-RDS/DVB-C/DTMB）多模自适应接收，支持主备接收模式自动切换功能；支持广电、移动、联通、电信全网通 4G/5G 信号接收。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3.支持国密算法数字签名（SM1/SM2/SM3/SM4），具有国密算法芯片，提供指令签名、指令验证等功能，保障指令的安全性。符合 GY/T 389-2023《应急广播系统数字签名技术规范》相关技术要求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4.支持有线IP或4G/5G接收音频流后能够实现解码、输出功能，音质清晰、流畅；IP 方式下支持 IPv4/IPv6 双栈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5.具备有线 IP（或无线 4G/5G）数据回传功能，支持将运行状态、应急广播响应操作结果等数据回传至市/县级应急广播平台。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6.具备 IPV4 和 IPV6 通信功能，支持静态地址配置和 DHCP 动态地址获取。</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7.支持县/乡镇/村（居委）级对所辖终端的语音广播、分区广播和点对点广播；支持分区域播发控制。</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8.能在 60MHz～108MHz 范围内对 3 个信源频点进行轮询，接收并处理调频应急广播指令，可根据响应应急广播指令切换到指定频点播放应急广播消息内容，一个接收器对所有信源频点进行轮询，接收并处理应急广播指令，另一个接收器响应应急广播指令切换到指定频点播放应急广播消息内容。</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 USB 升级；支持软件在线升级；支持 OTA 在线升级功能；支持通过 DVB-C 或 DTMB 远程批量升级；支持通过有线 IP 或无线 4G/5G 在线升级；支持 Web 网页本地升级功能。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 Web 登录，可在 Web 上对设备进行网络、接收、时间同步、通道优先级别等参数配置或设备初始化、系统重启等功能。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11.具备 FM /DVB-C/DTMB/4G信号强度、信号质量指示；具备有线网络、WIFI网络、4G网络、平台连接、业务端口、回传端口状态监测功能；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12.支持硬件测试功能，可对接收通道 FM /DVB-C/DTMB/IP（有线和 4G/5G）、安全模块、公网接入、功放输出进行测试。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13.支持通道优先级设置功能，通道优先级为有线 IP/4G/5G/FM-RDS/ DVB-C/DTMB，用户可本地和远程更改优先级设置，优先级高的优先响应；具备广播断电自动恢复功能，可实时修改任务优先级。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14.符合《GY/T 387-2023县级应急广播系统技术规范》中有关安全性和《GY/T 394-2023应急广播大喇叭系统技术要求和测量方法》有关安全服务相关技术要求，具有经国家密码管理局认证的安全加密模块，并内置集成在终端设备中。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15.通过手机 APP 软件扫描设备二维码，实现巡更打卡功能，可将巡更点的经纬度、设备现场照片上传至上级平台。</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16.支持音量调节功能，日常广播时音量可自动/手动调节或维持终端音量和自定义音量，应急广播时音量自动最大；断电可自动恢复播放任务，无需人工干预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17.具有过热、过压、过载、短路保护功能，故障消失自动恢复。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18.整机采用立柱式铝合金外壳设计，防雨、防尘外壳，具有防护功能。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19.DTMB、DVB-C、FM-RDS、IP、4G/5G 输入口具备防雷保护功能。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20.支持双面对称播音。</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（三）主要接口要求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1.FM输入接口：公制F母座，1路输入内置2分配，配置2个调谐器。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2.DTMB输入接口：英制F母座，1路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3.DVB-C输入接口:英制F母座，1路。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4.网络接口:RJ45，IP 输入口具有隔离变压器防护功能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5.音频输出:定阻输出，内置扬声器。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6.USB接口：1路USB接口，USB支持wifi模块拓展功能。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7.天线接口：1 个 SMA 型 4G 手机模块天线接口（GPRS 天线）。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8.接地：设备具有接地端子接口。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9.电源接口：具有防水插拔式电源插座，带防脱落卡扣设计。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1.工作电压范围:176VAC～264VAC 50Hz±5Hz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2.直流输入：电压范围：DC12V～DC48V（自适应）、DC-48V。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3.供电系统：支持市电和太阳能混合供电，支持无缝电源切换。</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4.供电方式:电源采用变压器整流供电、并支持次级短路保护，支持瞬间异常保护功能，故障解除后可自动恢复。</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5.FM频段输入:支持 60 MHz ～108MHz。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6.DTMB频段:频段范围：47MHz～862MHz。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7.DVB-C频段:频段范围：47MHz～862MHz.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8.IP 速率 :10Mbps /100Mbps自适应</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9.支持协议:ARP、UDP、TCP/IP、RTP、ICMP、RTMP、RTSP、HLS、ICMP、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IGMP、HTTP</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10.输出功率:≥25W</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11.应急广播响应时长：＜3s</w:t>
            </w:r>
          </w:p>
          <w:p w14:paraId="50D185F4">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E5B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EA5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810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含安全模块、IP/4G/FM/DVB-C/DTMB；</w:t>
            </w:r>
          </w:p>
        </w:tc>
      </w:tr>
      <w:tr w14:paraId="2187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79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6DF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太阳能系统</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2A7BB">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1.不间断电源（太阳能）包括太阳能板、蓄电池组、控制器、固定支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2.架和抱箍以及安装调试辅材；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3.具备防雷功能；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4.使用太阳能备电系统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5.太阳能板：18V、100W、单晶硅；</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5.电池组：采用 12V、20AH 锂电池；</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6.控制保护系统：</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（1）过充保护，最大充电电流 10A；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（2）内置 6 条充电曲线，满足各种主流需求；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（3）LED 指示充电状态；</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E6A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9F5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B03D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终端后备电源</w:t>
            </w:r>
          </w:p>
        </w:tc>
      </w:tr>
      <w:tr w14:paraId="63297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11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8354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线缆辅材及安装</w:t>
            </w:r>
          </w:p>
        </w:tc>
        <w:tc>
          <w:tcPr>
            <w:tcW w:w="1004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9FE43">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满足设备安装需求，含网线、电源线、水晶头、插线板、托架、螺钉、扎线、不锈钢抱箍等　</w:t>
            </w:r>
          </w:p>
        </w:tc>
        <w:tc>
          <w:tcPr>
            <w:tcW w:w="4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FC96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39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D7C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DA28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含安装抱箍、电源线</w:t>
            </w:r>
          </w:p>
        </w:tc>
      </w:tr>
      <w:tr w14:paraId="19DD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000000" w:sz="4" w:space="0"/>
              <w:left w:val="single" w:color="000000" w:sz="4" w:space="0"/>
              <w:bottom w:val="single" w:color="000000" w:sz="4" w:space="0"/>
              <w:right w:val="single" w:color="000000" w:sz="4" w:space="0"/>
            </w:tcBorders>
            <w:noWrap w:val="0"/>
            <w:vAlign w:val="center"/>
          </w:tcPr>
          <w:p w14:paraId="4F463CA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五、应急广播系统对接</w:t>
            </w:r>
          </w:p>
        </w:tc>
      </w:tr>
      <w:tr w14:paraId="7DE81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B51E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w:t>
            </w:r>
          </w:p>
        </w:tc>
        <w:tc>
          <w:tcPr>
            <w:tcW w:w="13736"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E92C51">
            <w:pPr>
              <w:keepNext w:val="0"/>
              <w:keepLines w:val="0"/>
              <w:widowControl/>
              <w:suppressLineNumbers w:val="0"/>
              <w:jc w:val="lef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调频广播系统对接</w:t>
            </w:r>
          </w:p>
        </w:tc>
      </w:tr>
      <w:tr w14:paraId="50E89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251E8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52158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调频应急广播适配器</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53129B36">
            <w:pPr>
              <w:keepNext w:val="0"/>
              <w:keepLines w:val="0"/>
              <w:widowControl/>
              <w:suppressLineNumbers w:val="0"/>
              <w:jc w:val="left"/>
              <w:textAlignment w:val="center"/>
              <w:rPr>
                <w:rFonts w:hint="default" w:ascii="仿宋_GB2312" w:hAnsi="等线" w:eastAsia="仿宋_GB2312" w:cs="仿宋_GB2312"/>
                <w:i w:val="0"/>
                <w:iCs w:val="0"/>
                <w:color w:val="000000"/>
                <w:kern w:val="0"/>
                <w:sz w:val="20"/>
                <w:szCs w:val="20"/>
                <w:u w:val="none"/>
                <w:lang w:val="en-US" w:eastAsia="zh-CN" w:bidi="ar"/>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（一）应急广播平台接口功能要求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1.具备与上级应急广播平台对接的接口，接口实现符合 GY/T384-2023《应急广播平台接口规范》的要求。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2.可接收上级应急广播平台发来的应急广播消息，按照标准规范实现协议解析；支持应急广播平台实现接口联动，支持心跳检测，支持应急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广播平台发来的应急广播消息播发请求。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3.采用硬件方式，具备对接收到的应急广播消息进行验签，对向下级发送的应急广播表进行签名的功能、具备应急广播证书管理功能；处理符合GY/T 389-2023《应急广播系统数字签名技术规范》的要求。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4.实现调频广播的RDS应急广播协议封装、适配、发送，包括调频广播RDS基带编码、应急广播RDS 数据生成、RDS发送，以及应急广播音频输出功能。输出信号符合GY/T 390-2023《模拟调频应急广播技术规范》的要求。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5.具备输出音频信号及 IP指令信号，控制终端进行应急广播消息播发的功能，输出信号符合 GY/T 394-2023《应急广播大喇叭系统技术要求和测量方法》。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（二）基本功能要求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1.具备前面板液晶屏及按键，可查询IP 地址等主要参数和设备告警状态。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2.设备配置管理，应急广播业务配置与监测，均可通过浏览器访问操作。</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3.支持以太网接口100M/1000M，支持主备1+1 模式配置。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4.支持应急广播节目的接收和存储、解码、支持应急广播指令的接收和存储、分析。</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5.具备RS232，可外接其他应急广播监测设备。</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6.系统具有备份机制，支持安全播出。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7.具备双电源供电，电源支持交/直流可选，支持电源模块的热备份及热插拔，在更换电源模块时不会导致业务中断，具备断电直通功能。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8.设备支持实时告警功能；具备定制声光报警功能，当收到上级平台的应急消息时，可以通过声光报警，报警音量80 分贝。</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9.设备具有100/1000Base-T 以太网接口，可实现基于SNMP 的集中网络管理。可通过统一网管软件系统的监控管理进行设备配置，并实现通过网管统一集中进行状态监控，并支持软件升级、查询自身的运行日志。</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10.支持与调频发射机自动化系统对接的功能，能从自动化系统中获取发射机工作状态。</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11.支持输出控制指令，控制音频切换器切换输出应急广播音频节目。</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12.具备日志打印或显示功，用于显示应急广播消息发布记录和发布时间，以及应急广播消息接收回执和播发反馈记录显示，用于显示被测系统设备的应急广播消息处理情况。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13.支持模拟和数字调频、有线数字电视、地面数字电视、IP（有线或无线4G/5G）等一种或多种信号接收解调能力，以及应急广播消息规范解析处理能力。</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14.具有应急演练功能，对应急广播适配器发送的应急演练消息，处理并执行应急演练，并通过 IP 网络回传演练反馈。</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eastAsia" w:ascii="仿宋_GB2312" w:hAnsi="等线" w:eastAsia="仿宋_GB2312" w:cs="仿宋_GB2312"/>
                <w:i w:val="0"/>
                <w:iCs w:val="0"/>
                <w:color w:val="0000FF"/>
                <w:kern w:val="0"/>
                <w:sz w:val="20"/>
                <w:szCs w:val="20"/>
                <w:u w:val="none"/>
                <w:lang w:val="en-US" w:eastAsia="zh-CN" w:bidi="ar"/>
              </w:rPr>
              <w:t>★</w:t>
            </w:r>
            <w:r>
              <w:rPr>
                <w:rFonts w:hint="default" w:ascii="仿宋_GB2312" w:hAnsi="等线" w:eastAsia="仿宋_GB2312" w:cs="仿宋_GB2312"/>
                <w:i w:val="0"/>
                <w:iCs w:val="0"/>
                <w:color w:val="0000FF"/>
                <w:kern w:val="0"/>
                <w:sz w:val="20"/>
                <w:szCs w:val="20"/>
                <w:u w:val="none"/>
                <w:lang w:val="en-US" w:eastAsia="zh-CN" w:bidi="ar"/>
              </w:rPr>
              <w:t>15.支持有线 IP、无线 4G/5G、无线 WIFI 备份接入，自动切换功能，优先级别可设置，确保设备网络连接正常。</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（三）调频广播功能要求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1.具备应急广播模拟音频输出，支持立体声差分音频信号输出。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2.具备应急广播RDS 基带信号输出，可直接对接调频发射机RDS接口。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3.基带RDS 输出幅度可进行调节。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（四）安全加密功能要求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1.内置符合国密算法的安全模块，具备对接收到的应急广播消息进行验签，对向下级发送的应急广播指令进行签名的功能，处理符合 GYT389-2023《应急广播系统数字签名技术规范》要求。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2.具备对加载有国密算法保护的应急广播协议的封装功能。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3.具备对加载有国密算法保护的应急广播协议的接收解析功能。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4.具备对加载有国密算法保护的应急广播消息的签名验签功能。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（五）智慧运维功能要求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1.具备 FM /DVB-C/DTMB/4G 信号强度、信号质量指示，信噪比、故障状态信息获取。</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2.具备有线 IP 网络/WIFI 网络/4G 网络自动循环检测，网络优先级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别可设置，平台连接、业务端口、回传端口状态监测功能。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3.具备适配器 CPU、内存使用率显示、输出音量大小、序列号和MCA 设置或读取功能；具备设备状态、软件版本、硬件版本、序列号、资源编码、安全模块、本机地址、广播地址、MAC 地址、4G 状态显示功能。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4.支持硬件测试功能，可对接收通道 FM /DVB-C/DTMB/4G、安全模块、公网接入、功放输出进行测试。</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5.在设备停电的瞬间，向运维服务器上报“断电”告警，明确停电导</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致的离线。</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6.适配器出现故障或者故障消除，适配器主动向应急广播平台上报故障/恢复情况。</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（六）接口功能要求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1.采用19 英寸机架式设计，可根据不同应用场景配置不同的板卡。</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2.具有 1 路 AC220V 可控电源输出；控制功率 3300W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3.电源输入接口：交流 220V，三芯电源座，2 个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4.具有2路及以上音频输出，接口类：RCA 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5.具有2 路及以上线路音频输入接口，RCA 莲花母座。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7.具有6.5mm 话筒接口。</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8.2 个RJ45接口，100Mbps/1000Mbps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9.FM 输入接口：公制F母座，1 路输入内置2分配，配置2个调谐器。</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10.FM 输出接口：公制F母座，输出1 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11.RDS 输出接口：1 路 BNC 接口，输出幅度 0～3Vp-p 可调，输出阻抗低阻，测试负载 600 欧姆，57kHz±6Hz，速率：1.1875kbps。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12.具有1路无线WIFI接口，具备WIFI接收功能。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13.具有1路HDMI视频输出。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14.具备1路无线网络接口，支持配置移动4G/5G通信模块（通话、短信转语音、回传、设备联网功能）。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15.具有DVB-C、DTMB输入接口，英制F母座。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16.1 个 RS232，DB9 母座。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17.USB 接口：2 个 USB2.0/USB3.0 接口，接口类型：USB-TypeA。</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（六）性能要求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1.工作电压范围：AC165V～AC260V</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2.FM 频率：输入/输出频率范围 87MHz～108MHz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3.DTMB 频段：47MHz～862MHz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4.DVB-C 频段：47MHz～862MHz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 xml:space="preserve">5.IP速率：100Mbps/1000Mbps（自适应）  </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6.RDS 接口速率：1.1875kbps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7.RDS 输出频率：57kHz</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8.RDS输出幅度：0～3.3Vp-p，幅度可调。</w:t>
            </w:r>
          </w:p>
          <w:p w14:paraId="475D633B">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lang w:val="en-US"/>
              </w:rPr>
            </w:pPr>
            <w:r>
              <w:rPr>
                <w:rFonts w:hint="eastAsia" w:ascii="仿宋_GB2312" w:hAnsi="等线" w:eastAsia="仿宋_GB2312" w:cs="仿宋_GB2312"/>
                <w:i w:val="0"/>
                <w:iCs w:val="0"/>
                <w:color w:val="0000FF"/>
                <w:kern w:val="0"/>
                <w:sz w:val="20"/>
                <w:szCs w:val="20"/>
                <w:u w:val="none"/>
                <w:lang w:val="en-US" w:eastAsia="zh-CN" w:bidi="ar"/>
              </w:rPr>
              <w:t>以上标注“★”的条款须提供国家认可的检测机构出具的权威检测报告作为证明文件。</w:t>
            </w:r>
            <w:r>
              <w:rPr>
                <w:rFonts w:hint="eastAsia" w:ascii="仿宋_GB2312" w:hAnsi="等线" w:eastAsia="仿宋_GB2312" w:cs="仿宋_GB2312"/>
                <w:i w:val="0"/>
                <w:iCs w:val="0"/>
                <w:color w:val="000000"/>
                <w:kern w:val="0"/>
                <w:sz w:val="20"/>
                <w:szCs w:val="20"/>
                <w:u w:val="none"/>
                <w:lang w:val="en-US" w:eastAsia="zh-CN" w:bidi="ar"/>
              </w:rPr>
              <w:t xml:space="preserve"> </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4FF835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6FE90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644E567C">
            <w:pPr>
              <w:jc w:val="center"/>
              <w:rPr>
                <w:rFonts w:hint="eastAsia" w:ascii="宋体" w:hAnsi="宋体" w:eastAsia="宋体" w:cs="宋体"/>
                <w:i w:val="0"/>
                <w:iCs w:val="0"/>
                <w:color w:val="000000"/>
                <w:sz w:val="20"/>
                <w:szCs w:val="20"/>
                <w:u w:val="none"/>
              </w:rPr>
            </w:pPr>
          </w:p>
        </w:tc>
      </w:tr>
      <w:tr w14:paraId="5A2D6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6FAB1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2267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音频切换器</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3BFABBF8">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技术参数及功能要求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1、单机嵌入式广播级设备，具备高可靠性，确保广播电视安全播出；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2、设备前面板具备液晶屏及按键，可查询设备基本信息；</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3、单机1U具备模拟差分音频切换输入接口，接口类型：凤凰头，2路模拟差分音频切换输出接口，接口类型：凤凰头；</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4、支持主备两路模拟音频切换功能，每路均支持断电信号直通功能；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5、具备手动/自动输出选择功能，自动情况下当前信源丢失后自动切换到有信源的通道；</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6、每路音频输入输出，均支持左右声道立体声，并且为差分信号输入输出；</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7、具有设置参数断电保存功能；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8、支持应急广播音频切换，能够与应急广播适配器进行集成对接；</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9、具备设备配置管理；</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10、具备双电源模块供电，支持电源模块的热插拔，更换电源模块时业务不中断；</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设备支持实时告警功能；</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11、设备具有100M/1000M以太网接口，接口类型RJ45，可实现基于SNMP的集中网络管理，支持软件升级；</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12、具备2路交流电源输入接口，接口类型：三芯电源插座。</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65338A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5DB476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3121DB3F">
            <w:pPr>
              <w:jc w:val="center"/>
              <w:rPr>
                <w:rFonts w:hint="eastAsia" w:ascii="宋体" w:hAnsi="宋体" w:eastAsia="宋体" w:cs="宋体"/>
                <w:i w:val="0"/>
                <w:iCs w:val="0"/>
                <w:color w:val="000000"/>
                <w:sz w:val="20"/>
                <w:szCs w:val="20"/>
                <w:u w:val="none"/>
              </w:rPr>
            </w:pPr>
          </w:p>
        </w:tc>
      </w:tr>
      <w:tr w14:paraId="6BA5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35C8E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73A803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043B7683">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主要技术参数要求：</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1．交换容量 1.6Gbps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2．转发率 1.2Mpps</w:t>
            </w:r>
            <w:r>
              <w:rPr>
                <w:rFonts w:hint="default" w:ascii="仿宋_GB2312" w:hAnsi="等线" w:eastAsia="仿宋_GB2312" w:cs="仿宋_GB2312"/>
                <w:i w:val="0"/>
                <w:iCs w:val="0"/>
                <w:color w:val="000000"/>
                <w:kern w:val="0"/>
                <w:sz w:val="20"/>
                <w:szCs w:val="20"/>
                <w:u w:val="none"/>
                <w:lang w:val="en-US" w:eastAsia="zh-CN" w:bidi="ar"/>
              </w:rPr>
              <w:br w:type="textWrapping"/>
            </w:r>
            <w:r>
              <w:rPr>
                <w:rFonts w:hint="default" w:ascii="仿宋_GB2312" w:hAnsi="等线" w:eastAsia="仿宋_GB2312" w:cs="仿宋_GB2312"/>
                <w:i w:val="0"/>
                <w:iCs w:val="0"/>
                <w:color w:val="000000"/>
                <w:kern w:val="0"/>
                <w:sz w:val="20"/>
                <w:szCs w:val="20"/>
                <w:u w:val="none"/>
                <w:lang w:val="en-US" w:eastAsia="zh-CN" w:bidi="ar"/>
              </w:rPr>
              <w:t>3．不低于8个10/100/1000Mbps 网口　</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0BAE5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3889A0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1BA15E8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w:t>
            </w:r>
          </w:p>
        </w:tc>
      </w:tr>
      <w:tr w14:paraId="4445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2B272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260B82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安装调试及辅材</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0ECB7D75">
            <w:pPr>
              <w:keepNext w:val="0"/>
              <w:keepLines w:val="0"/>
              <w:widowControl/>
              <w:suppressLineNumbers w:val="0"/>
              <w:jc w:val="left"/>
              <w:textAlignment w:val="center"/>
              <w:rPr>
                <w:rFonts w:hint="default" w:ascii="仿宋_GB2312" w:hAnsi="等线" w:eastAsia="仿宋_GB2312" w:cs="仿宋_GB2312"/>
                <w:i w:val="0"/>
                <w:iCs w:val="0"/>
                <w:color w:val="000000"/>
                <w:sz w:val="20"/>
                <w:szCs w:val="20"/>
                <w:u w:val="none"/>
              </w:rPr>
            </w:pPr>
            <w:r>
              <w:rPr>
                <w:rFonts w:hint="default" w:ascii="仿宋_GB2312" w:hAnsi="等线" w:eastAsia="仿宋_GB2312" w:cs="仿宋_GB2312"/>
                <w:i w:val="0"/>
                <w:iCs w:val="0"/>
                <w:color w:val="000000"/>
                <w:kern w:val="0"/>
                <w:sz w:val="20"/>
                <w:szCs w:val="20"/>
                <w:u w:val="none"/>
                <w:lang w:val="en-US" w:eastAsia="zh-CN" w:bidi="ar"/>
              </w:rPr>
              <w:t>满足设备安装需求，含网线、水晶头、插线板、托架、螺钉、扎线、标签纸等　</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75A8C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20DAF5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718EE087">
            <w:pPr>
              <w:jc w:val="center"/>
              <w:rPr>
                <w:rFonts w:hint="eastAsia" w:ascii="宋体" w:hAnsi="宋体" w:eastAsia="宋体" w:cs="宋体"/>
                <w:i w:val="0"/>
                <w:iCs w:val="0"/>
                <w:color w:val="000000"/>
                <w:sz w:val="20"/>
                <w:szCs w:val="20"/>
                <w:u w:val="none"/>
              </w:rPr>
            </w:pPr>
          </w:p>
        </w:tc>
      </w:tr>
      <w:tr w14:paraId="7395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14255"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28F21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六、网络运行费用</w:t>
            </w:r>
          </w:p>
        </w:tc>
      </w:tr>
      <w:tr w14:paraId="7CBFB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3361"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138466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32D1F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网络专线</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3EF415B0">
            <w:pPr>
              <w:keepNext w:val="0"/>
              <w:keepLines w:val="0"/>
              <w:widowControl/>
              <w:suppressLineNumbers w:val="0"/>
              <w:jc w:val="left"/>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县（市）级平台100M固定IP专线1条，县（市）级平台与省（市）平台对接专线1条，县（市）级平台与调频IP网络对接专线1条，县（市）级平台与应急广播发布前置平台IP网络对接专线4条，县（市）级平台与乡镇IP网络对接专线7条，包含三年网络运行费</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5044B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0A216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76CD20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市）级平台100M固定IP专线1条，县（市）级平台与省（市）平台对接专线1条，县（市）级平台与调频IP网络对接专线1条，县（市）级平台与应急广播发布前置平台IP网络对接专线4条，县（市）级平台与乡镇IP网络对接专线7条，包含三年网络运行费</w:t>
            </w:r>
          </w:p>
        </w:tc>
      </w:tr>
      <w:tr w14:paraId="690FA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280" w:hRule="atLeast"/>
        </w:trPr>
        <w:tc>
          <w:tcPr>
            <w:tcW w:w="519" w:type="dxa"/>
            <w:tcBorders>
              <w:top w:val="single" w:color="000000" w:sz="4" w:space="0"/>
              <w:left w:val="single" w:color="000000" w:sz="4" w:space="0"/>
              <w:bottom w:val="single" w:color="000000" w:sz="4" w:space="0"/>
              <w:right w:val="single" w:color="000000" w:sz="4" w:space="0"/>
            </w:tcBorders>
            <w:noWrap/>
            <w:vAlign w:val="center"/>
          </w:tcPr>
          <w:p w14:paraId="10383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14:paraId="0B3FA9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应急广播终端物联网卡</w:t>
            </w:r>
          </w:p>
        </w:tc>
        <w:tc>
          <w:tcPr>
            <w:tcW w:w="10043" w:type="dxa"/>
            <w:tcBorders>
              <w:top w:val="single" w:color="000000" w:sz="4" w:space="0"/>
              <w:left w:val="single" w:color="000000" w:sz="4" w:space="0"/>
              <w:bottom w:val="single" w:color="000000" w:sz="4" w:space="0"/>
              <w:right w:val="single" w:color="000000" w:sz="4" w:space="0"/>
            </w:tcBorders>
            <w:noWrap w:val="0"/>
            <w:vAlign w:val="center"/>
          </w:tcPr>
          <w:p w14:paraId="69A1FBEE">
            <w:pPr>
              <w:keepNext w:val="0"/>
              <w:keepLines w:val="0"/>
              <w:widowControl/>
              <w:suppressLineNumbers w:val="0"/>
              <w:jc w:val="left"/>
              <w:textAlignment w:val="center"/>
              <w:rPr>
                <w:rFonts w:hint="eastAsia" w:ascii="仿宋_GB2312" w:hAnsi="等线" w:eastAsia="仿宋_GB2312" w:cs="仿宋_GB2312"/>
                <w:i w:val="0"/>
                <w:iCs w:val="0"/>
                <w:color w:val="000000"/>
                <w:kern w:val="0"/>
                <w:sz w:val="20"/>
                <w:szCs w:val="20"/>
                <w:u w:val="none"/>
                <w:lang w:val="en-US" w:eastAsia="zh-CN" w:bidi="ar"/>
              </w:rPr>
            </w:pPr>
            <w:r>
              <w:rPr>
                <w:rFonts w:hint="eastAsia" w:ascii="仿宋_GB2312" w:hAnsi="等线" w:eastAsia="仿宋_GB2312" w:cs="仿宋_GB2312"/>
                <w:i w:val="0"/>
                <w:iCs w:val="0"/>
                <w:color w:val="000000"/>
                <w:kern w:val="0"/>
                <w:sz w:val="20"/>
                <w:szCs w:val="20"/>
                <w:u w:val="none"/>
                <w:lang w:val="en-US" w:eastAsia="zh-CN" w:bidi="ar"/>
              </w:rPr>
              <w:t>通过4G/5G专用网络连接到各个乡镇</w:t>
            </w: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46FB95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0FFBA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139371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4G网络、流量：6G/月，三年网络运行费</w:t>
            </w:r>
          </w:p>
        </w:tc>
      </w:tr>
      <w:tr w14:paraId="1FDB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3203" w:type="dxa"/>
          <w:trHeight w:val="456" w:hRule="atLeast"/>
        </w:trPr>
        <w:tc>
          <w:tcPr>
            <w:tcW w:w="519" w:type="dxa"/>
            <w:tcBorders>
              <w:top w:val="single" w:color="000000" w:sz="4" w:space="0"/>
              <w:left w:val="single" w:color="000000" w:sz="4" w:space="0"/>
              <w:bottom w:val="single" w:color="auto" w:sz="4" w:space="0"/>
              <w:right w:val="single" w:color="000000" w:sz="4" w:space="0"/>
            </w:tcBorders>
            <w:noWrap/>
            <w:vAlign w:val="center"/>
          </w:tcPr>
          <w:p w14:paraId="01ACE0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5" w:type="dxa"/>
            <w:tcBorders>
              <w:top w:val="single" w:color="000000" w:sz="4" w:space="0"/>
              <w:left w:val="single" w:color="000000" w:sz="4" w:space="0"/>
              <w:bottom w:val="single" w:color="auto" w:sz="4" w:space="0"/>
              <w:right w:val="single" w:color="000000" w:sz="4" w:space="0"/>
            </w:tcBorders>
            <w:noWrap w:val="0"/>
            <w:vAlign w:val="center"/>
          </w:tcPr>
          <w:p w14:paraId="3163B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终端运行电费</w:t>
            </w:r>
          </w:p>
        </w:tc>
        <w:tc>
          <w:tcPr>
            <w:tcW w:w="10043" w:type="dxa"/>
            <w:tcBorders>
              <w:top w:val="single" w:color="000000" w:sz="4" w:space="0"/>
              <w:left w:val="single" w:color="000000" w:sz="4" w:space="0"/>
              <w:bottom w:val="single" w:color="auto" w:sz="4" w:space="0"/>
              <w:right w:val="single" w:color="000000" w:sz="4" w:space="0"/>
            </w:tcBorders>
            <w:noWrap w:val="0"/>
            <w:vAlign w:val="center"/>
          </w:tcPr>
          <w:p w14:paraId="6ED3AE00">
            <w:pPr>
              <w:jc w:val="center"/>
              <w:rPr>
                <w:rFonts w:hint="eastAsia" w:ascii="宋体" w:hAnsi="宋体" w:eastAsia="宋体" w:cs="宋体"/>
                <w:i w:val="0"/>
                <w:iCs w:val="0"/>
                <w:color w:val="000000"/>
                <w:sz w:val="20"/>
                <w:szCs w:val="20"/>
                <w:u w:val="none"/>
              </w:rPr>
            </w:pPr>
          </w:p>
        </w:tc>
        <w:tc>
          <w:tcPr>
            <w:tcW w:w="438" w:type="dxa"/>
            <w:tcBorders>
              <w:top w:val="single" w:color="000000" w:sz="4" w:space="0"/>
              <w:left w:val="single" w:color="000000" w:sz="4" w:space="0"/>
              <w:bottom w:val="single" w:color="000000" w:sz="4" w:space="0"/>
              <w:right w:val="single" w:color="000000" w:sz="4" w:space="0"/>
            </w:tcBorders>
            <w:noWrap/>
            <w:vAlign w:val="center"/>
          </w:tcPr>
          <w:p w14:paraId="3F01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94" w:type="dxa"/>
            <w:tcBorders>
              <w:top w:val="single" w:color="000000" w:sz="4" w:space="0"/>
              <w:left w:val="single" w:color="000000" w:sz="4" w:space="0"/>
              <w:bottom w:val="single" w:color="000000" w:sz="4" w:space="0"/>
              <w:right w:val="single" w:color="000000" w:sz="4" w:space="0"/>
            </w:tcBorders>
            <w:noWrap/>
            <w:vAlign w:val="center"/>
          </w:tcPr>
          <w:p w14:paraId="1D6D33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256" w:type="dxa"/>
            <w:gridSpan w:val="2"/>
            <w:tcBorders>
              <w:top w:val="single" w:color="000000" w:sz="4" w:space="0"/>
              <w:left w:val="single" w:color="000000" w:sz="4" w:space="0"/>
              <w:bottom w:val="single" w:color="000000" w:sz="4" w:space="0"/>
              <w:right w:val="single" w:color="000000" w:sz="4" w:space="0"/>
            </w:tcBorders>
            <w:noWrap/>
            <w:vAlign w:val="center"/>
          </w:tcPr>
          <w:p w14:paraId="4D229C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城区、乡镇（街道）、行政村（社区）自付</w:t>
            </w:r>
          </w:p>
        </w:tc>
      </w:tr>
      <w:tr w14:paraId="6235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19" w:type="dxa"/>
            <w:tcBorders>
              <w:top w:val="single" w:color="auto" w:sz="4" w:space="0"/>
              <w:left w:val="nil"/>
              <w:bottom w:val="nil"/>
              <w:right w:val="nil"/>
            </w:tcBorders>
            <w:noWrap/>
            <w:vAlign w:val="center"/>
          </w:tcPr>
          <w:p w14:paraId="45957CC9">
            <w:pPr>
              <w:jc w:val="left"/>
              <w:rPr>
                <w:rFonts w:hint="eastAsia" w:ascii="宋体" w:hAnsi="宋体" w:eastAsia="宋体" w:cs="宋体"/>
                <w:i w:val="0"/>
                <w:iCs w:val="0"/>
                <w:color w:val="000000"/>
                <w:sz w:val="20"/>
                <w:szCs w:val="20"/>
                <w:u w:val="none"/>
              </w:rPr>
            </w:pPr>
          </w:p>
        </w:tc>
        <w:tc>
          <w:tcPr>
            <w:tcW w:w="1605" w:type="dxa"/>
            <w:tcBorders>
              <w:top w:val="single" w:color="auto" w:sz="4" w:space="0"/>
              <w:left w:val="nil"/>
              <w:bottom w:val="nil"/>
              <w:right w:val="nil"/>
            </w:tcBorders>
            <w:noWrap w:val="0"/>
            <w:vAlign w:val="center"/>
          </w:tcPr>
          <w:p w14:paraId="0EC2074C">
            <w:pPr>
              <w:rPr>
                <w:rFonts w:hint="eastAsia" w:ascii="宋体" w:hAnsi="宋体" w:eastAsia="宋体" w:cs="宋体"/>
                <w:i w:val="0"/>
                <w:iCs w:val="0"/>
                <w:color w:val="000000"/>
                <w:sz w:val="20"/>
                <w:szCs w:val="20"/>
                <w:u w:val="none"/>
              </w:rPr>
            </w:pPr>
          </w:p>
        </w:tc>
        <w:tc>
          <w:tcPr>
            <w:tcW w:w="10043" w:type="dxa"/>
            <w:tcBorders>
              <w:top w:val="single" w:color="auto" w:sz="4" w:space="0"/>
              <w:left w:val="nil"/>
              <w:bottom w:val="nil"/>
              <w:right w:val="nil"/>
            </w:tcBorders>
            <w:noWrap w:val="0"/>
            <w:vAlign w:val="center"/>
          </w:tcPr>
          <w:p w14:paraId="1F91B33D">
            <w:pPr>
              <w:rPr>
                <w:rFonts w:hint="eastAsia" w:ascii="宋体" w:hAnsi="宋体" w:eastAsia="宋体" w:cs="宋体"/>
                <w:i w:val="0"/>
                <w:iCs w:val="0"/>
                <w:color w:val="000000"/>
                <w:sz w:val="20"/>
                <w:szCs w:val="20"/>
                <w:u w:val="none"/>
              </w:rPr>
            </w:pPr>
          </w:p>
        </w:tc>
        <w:tc>
          <w:tcPr>
            <w:tcW w:w="438" w:type="dxa"/>
            <w:tcBorders>
              <w:top w:val="single" w:color="auto" w:sz="4" w:space="0"/>
              <w:left w:val="nil"/>
              <w:bottom w:val="nil"/>
              <w:right w:val="nil"/>
            </w:tcBorders>
            <w:noWrap/>
            <w:vAlign w:val="center"/>
          </w:tcPr>
          <w:p w14:paraId="20EC8EBA">
            <w:pPr>
              <w:jc w:val="center"/>
              <w:rPr>
                <w:rFonts w:hint="eastAsia" w:ascii="宋体" w:hAnsi="宋体" w:eastAsia="宋体" w:cs="宋体"/>
                <w:i w:val="0"/>
                <w:iCs w:val="0"/>
                <w:color w:val="000000"/>
                <w:sz w:val="20"/>
                <w:szCs w:val="20"/>
                <w:u w:val="none"/>
              </w:rPr>
            </w:pPr>
          </w:p>
        </w:tc>
        <w:tc>
          <w:tcPr>
            <w:tcW w:w="394" w:type="dxa"/>
            <w:tcBorders>
              <w:top w:val="single" w:color="auto" w:sz="4" w:space="0"/>
              <w:left w:val="nil"/>
              <w:bottom w:val="nil"/>
              <w:right w:val="nil"/>
            </w:tcBorders>
            <w:noWrap/>
            <w:vAlign w:val="center"/>
          </w:tcPr>
          <w:p w14:paraId="0B84CDB6">
            <w:pPr>
              <w:jc w:val="center"/>
              <w:rPr>
                <w:rFonts w:hint="eastAsia" w:ascii="宋体" w:hAnsi="宋体" w:eastAsia="宋体" w:cs="宋体"/>
                <w:i w:val="0"/>
                <w:iCs w:val="0"/>
                <w:color w:val="000000"/>
                <w:sz w:val="20"/>
                <w:szCs w:val="20"/>
                <w:u w:val="none"/>
              </w:rPr>
            </w:pPr>
          </w:p>
        </w:tc>
        <w:tc>
          <w:tcPr>
            <w:tcW w:w="379" w:type="dxa"/>
            <w:tcBorders>
              <w:top w:val="single" w:color="auto" w:sz="4" w:space="0"/>
              <w:left w:val="nil"/>
              <w:bottom w:val="nil"/>
              <w:right w:val="nil"/>
            </w:tcBorders>
            <w:noWrap/>
            <w:vAlign w:val="center"/>
          </w:tcPr>
          <w:p w14:paraId="29F3ECEE">
            <w:pPr>
              <w:rPr>
                <w:rFonts w:hint="eastAsia" w:ascii="宋体" w:hAnsi="宋体" w:eastAsia="宋体" w:cs="宋体"/>
                <w:i w:val="0"/>
                <w:iCs w:val="0"/>
                <w:color w:val="00B0F0"/>
                <w:sz w:val="20"/>
                <w:szCs w:val="20"/>
                <w:u w:val="none"/>
              </w:rPr>
            </w:pPr>
          </w:p>
        </w:tc>
        <w:tc>
          <w:tcPr>
            <w:tcW w:w="877" w:type="dxa"/>
            <w:tcBorders>
              <w:top w:val="single" w:color="auto" w:sz="4" w:space="0"/>
              <w:left w:val="nil"/>
              <w:bottom w:val="nil"/>
              <w:right w:val="nil"/>
            </w:tcBorders>
            <w:noWrap/>
            <w:vAlign w:val="center"/>
          </w:tcPr>
          <w:p w14:paraId="6FF01392">
            <w:pPr>
              <w:jc w:val="center"/>
              <w:rPr>
                <w:rFonts w:hint="eastAsia" w:ascii="宋体" w:hAnsi="宋体" w:eastAsia="宋体" w:cs="宋体"/>
                <w:i w:val="0"/>
                <w:iCs w:val="0"/>
                <w:color w:val="000000"/>
                <w:sz w:val="20"/>
                <w:szCs w:val="20"/>
                <w:u w:val="none"/>
              </w:rPr>
            </w:pPr>
          </w:p>
        </w:tc>
        <w:tc>
          <w:tcPr>
            <w:tcW w:w="2123" w:type="dxa"/>
            <w:tcBorders>
              <w:top w:val="nil"/>
              <w:left w:val="nil"/>
              <w:bottom w:val="nil"/>
              <w:right w:val="nil"/>
            </w:tcBorders>
            <w:noWrap/>
            <w:vAlign w:val="center"/>
          </w:tcPr>
          <w:p w14:paraId="1AE1E0FE">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noWrap/>
            <w:vAlign w:val="center"/>
          </w:tcPr>
          <w:p w14:paraId="330CACC5">
            <w:pPr>
              <w:rPr>
                <w:rFonts w:hint="eastAsia" w:ascii="宋体" w:hAnsi="宋体" w:eastAsia="宋体" w:cs="宋体"/>
                <w:i w:val="0"/>
                <w:iCs w:val="0"/>
                <w:color w:val="000000"/>
                <w:sz w:val="20"/>
                <w:szCs w:val="20"/>
                <w:u w:val="none"/>
              </w:rPr>
            </w:pPr>
          </w:p>
        </w:tc>
      </w:tr>
      <w:tr w14:paraId="3DDF2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19" w:type="dxa"/>
            <w:tcBorders>
              <w:top w:val="nil"/>
              <w:left w:val="nil"/>
              <w:bottom w:val="nil"/>
              <w:right w:val="nil"/>
            </w:tcBorders>
            <w:noWrap/>
            <w:vAlign w:val="center"/>
          </w:tcPr>
          <w:p w14:paraId="1FDC6601">
            <w:pPr>
              <w:rPr>
                <w:rFonts w:hint="eastAsia" w:ascii="宋体" w:hAnsi="宋体" w:eastAsia="宋体" w:cs="宋体"/>
                <w:i w:val="0"/>
                <w:iCs w:val="0"/>
                <w:color w:val="000000"/>
                <w:sz w:val="20"/>
                <w:szCs w:val="20"/>
                <w:u w:val="none"/>
              </w:rPr>
            </w:pPr>
          </w:p>
        </w:tc>
        <w:tc>
          <w:tcPr>
            <w:tcW w:w="1605" w:type="dxa"/>
            <w:tcBorders>
              <w:top w:val="nil"/>
              <w:left w:val="nil"/>
              <w:bottom w:val="nil"/>
              <w:right w:val="nil"/>
            </w:tcBorders>
            <w:noWrap w:val="0"/>
            <w:vAlign w:val="center"/>
          </w:tcPr>
          <w:p w14:paraId="696E66C1">
            <w:pPr>
              <w:rPr>
                <w:rFonts w:hint="eastAsia" w:ascii="宋体" w:hAnsi="宋体" w:eastAsia="宋体" w:cs="宋体"/>
                <w:i w:val="0"/>
                <w:iCs w:val="0"/>
                <w:color w:val="000000"/>
                <w:sz w:val="20"/>
                <w:szCs w:val="20"/>
                <w:u w:val="none"/>
              </w:rPr>
            </w:pPr>
          </w:p>
        </w:tc>
        <w:tc>
          <w:tcPr>
            <w:tcW w:w="10043" w:type="dxa"/>
            <w:tcBorders>
              <w:top w:val="nil"/>
              <w:left w:val="nil"/>
              <w:bottom w:val="nil"/>
              <w:right w:val="nil"/>
            </w:tcBorders>
            <w:noWrap w:val="0"/>
            <w:vAlign w:val="center"/>
          </w:tcPr>
          <w:p w14:paraId="136C0D10">
            <w:pPr>
              <w:rPr>
                <w:rFonts w:hint="eastAsia" w:ascii="宋体" w:hAnsi="宋体" w:eastAsia="宋体" w:cs="宋体"/>
                <w:i w:val="0"/>
                <w:iCs w:val="0"/>
                <w:color w:val="000000"/>
                <w:sz w:val="20"/>
                <w:szCs w:val="20"/>
                <w:u w:val="none"/>
              </w:rPr>
            </w:pPr>
          </w:p>
        </w:tc>
        <w:tc>
          <w:tcPr>
            <w:tcW w:w="438" w:type="dxa"/>
            <w:tcBorders>
              <w:top w:val="nil"/>
              <w:left w:val="nil"/>
              <w:bottom w:val="nil"/>
              <w:right w:val="nil"/>
            </w:tcBorders>
            <w:noWrap/>
            <w:vAlign w:val="center"/>
          </w:tcPr>
          <w:p w14:paraId="009A7594">
            <w:pPr>
              <w:jc w:val="center"/>
              <w:rPr>
                <w:rFonts w:hint="eastAsia" w:ascii="宋体" w:hAnsi="宋体" w:eastAsia="宋体" w:cs="宋体"/>
                <w:i w:val="0"/>
                <w:iCs w:val="0"/>
                <w:color w:val="000000"/>
                <w:sz w:val="20"/>
                <w:szCs w:val="20"/>
                <w:u w:val="none"/>
              </w:rPr>
            </w:pPr>
          </w:p>
        </w:tc>
        <w:tc>
          <w:tcPr>
            <w:tcW w:w="394" w:type="dxa"/>
            <w:tcBorders>
              <w:top w:val="nil"/>
              <w:left w:val="nil"/>
              <w:bottom w:val="nil"/>
              <w:right w:val="nil"/>
            </w:tcBorders>
            <w:noWrap/>
            <w:vAlign w:val="center"/>
          </w:tcPr>
          <w:p w14:paraId="20AF62B3">
            <w:pPr>
              <w:jc w:val="center"/>
              <w:rPr>
                <w:rFonts w:hint="eastAsia" w:ascii="宋体" w:hAnsi="宋体" w:eastAsia="宋体" w:cs="宋体"/>
                <w:i w:val="0"/>
                <w:iCs w:val="0"/>
                <w:color w:val="000000"/>
                <w:sz w:val="20"/>
                <w:szCs w:val="20"/>
                <w:u w:val="none"/>
              </w:rPr>
            </w:pPr>
          </w:p>
        </w:tc>
        <w:tc>
          <w:tcPr>
            <w:tcW w:w="379" w:type="dxa"/>
            <w:tcBorders>
              <w:top w:val="nil"/>
              <w:left w:val="nil"/>
              <w:bottom w:val="nil"/>
              <w:right w:val="nil"/>
            </w:tcBorders>
            <w:noWrap/>
            <w:vAlign w:val="center"/>
          </w:tcPr>
          <w:p w14:paraId="6B41F779">
            <w:pPr>
              <w:rPr>
                <w:rFonts w:hint="eastAsia" w:ascii="宋体" w:hAnsi="宋体" w:eastAsia="宋体" w:cs="宋体"/>
                <w:i w:val="0"/>
                <w:iCs w:val="0"/>
                <w:color w:val="00B0F0"/>
                <w:sz w:val="20"/>
                <w:szCs w:val="20"/>
                <w:u w:val="none"/>
              </w:rPr>
            </w:pPr>
          </w:p>
        </w:tc>
        <w:tc>
          <w:tcPr>
            <w:tcW w:w="877" w:type="dxa"/>
            <w:tcBorders>
              <w:top w:val="nil"/>
              <w:left w:val="nil"/>
              <w:bottom w:val="nil"/>
              <w:right w:val="nil"/>
            </w:tcBorders>
            <w:noWrap/>
            <w:vAlign w:val="center"/>
          </w:tcPr>
          <w:p w14:paraId="1012EBAC">
            <w:pPr>
              <w:jc w:val="center"/>
              <w:rPr>
                <w:rFonts w:hint="eastAsia" w:ascii="宋体" w:hAnsi="宋体" w:eastAsia="宋体" w:cs="宋体"/>
                <w:i w:val="0"/>
                <w:iCs w:val="0"/>
                <w:color w:val="000000"/>
                <w:sz w:val="20"/>
                <w:szCs w:val="20"/>
                <w:u w:val="none"/>
              </w:rPr>
            </w:pPr>
          </w:p>
        </w:tc>
        <w:tc>
          <w:tcPr>
            <w:tcW w:w="2123" w:type="dxa"/>
            <w:tcBorders>
              <w:top w:val="nil"/>
              <w:left w:val="nil"/>
              <w:bottom w:val="nil"/>
              <w:right w:val="nil"/>
            </w:tcBorders>
            <w:noWrap/>
            <w:vAlign w:val="center"/>
          </w:tcPr>
          <w:p w14:paraId="4556BF70">
            <w:pPr>
              <w:rPr>
                <w:rFonts w:hint="eastAsia" w:ascii="宋体" w:hAnsi="宋体" w:eastAsia="宋体" w:cs="宋体"/>
                <w:i w:val="0"/>
                <w:iCs w:val="0"/>
                <w:color w:val="000000"/>
                <w:sz w:val="20"/>
                <w:szCs w:val="20"/>
                <w:u w:val="none"/>
              </w:rPr>
            </w:pPr>
          </w:p>
        </w:tc>
        <w:tc>
          <w:tcPr>
            <w:tcW w:w="1080" w:type="dxa"/>
            <w:tcBorders>
              <w:top w:val="nil"/>
              <w:left w:val="nil"/>
              <w:bottom w:val="nil"/>
              <w:right w:val="nil"/>
            </w:tcBorders>
            <w:noWrap/>
            <w:vAlign w:val="center"/>
          </w:tcPr>
          <w:p w14:paraId="6893B308">
            <w:pPr>
              <w:rPr>
                <w:rFonts w:hint="eastAsia" w:ascii="宋体" w:hAnsi="宋体" w:eastAsia="宋体" w:cs="宋体"/>
                <w:i w:val="0"/>
                <w:iCs w:val="0"/>
                <w:color w:val="000000"/>
                <w:sz w:val="20"/>
                <w:szCs w:val="20"/>
                <w:u w:val="none"/>
              </w:rPr>
            </w:pPr>
          </w:p>
        </w:tc>
      </w:tr>
    </w:tbl>
    <w:p w14:paraId="0FF567BA">
      <w:pPr>
        <w:snapToGrid w:val="0"/>
        <w:spacing w:line="324" w:lineRule="auto"/>
        <w:rPr>
          <w:rFonts w:ascii="宋体" w:hAnsi="宋体" w:eastAsia="宋体" w:cs="宋体"/>
          <w:bCs/>
          <w:sz w:val="28"/>
          <w:szCs w:val="28"/>
        </w:rPr>
      </w:pPr>
      <w:r>
        <w:rPr>
          <w:rFonts w:hint="eastAsia" w:ascii="宋体" w:hAnsi="宋体" w:eastAsia="宋体" w:cs="宋体"/>
          <w:b/>
          <w:sz w:val="28"/>
          <w:szCs w:val="28"/>
        </w:rPr>
        <w:t>其他要求</w:t>
      </w:r>
      <w:r>
        <w:rPr>
          <w:rFonts w:hint="eastAsia" w:ascii="宋体" w:hAnsi="宋体" w:eastAsia="宋体" w:cs="宋体"/>
          <w:bCs/>
          <w:sz w:val="28"/>
          <w:szCs w:val="28"/>
        </w:rPr>
        <w:t>：</w:t>
      </w:r>
    </w:p>
    <w:p w14:paraId="05CD05FB">
      <w:pPr>
        <w:snapToGrid w:val="0"/>
        <w:spacing w:line="324" w:lineRule="auto"/>
        <w:ind w:firstLine="560" w:firstLineChars="200"/>
        <w:rPr>
          <w:rFonts w:ascii="宋体" w:hAnsi="宋体" w:eastAsia="宋体" w:cs="宋体"/>
          <w:bCs/>
          <w:sz w:val="28"/>
          <w:szCs w:val="28"/>
        </w:rPr>
      </w:pPr>
      <w:r>
        <w:rPr>
          <w:rFonts w:hint="eastAsia" w:ascii="宋体" w:hAnsi="宋体" w:eastAsia="宋体" w:cs="宋体"/>
          <w:bCs/>
          <w:sz w:val="28"/>
          <w:szCs w:val="28"/>
        </w:rPr>
        <w:t>1、各供应商必须在投标文件中保证：设置24小时服务热线，保证在接到维修电话后响应时间小于2小时，维修人员最晚第二日上门修复。如果主要设备问题不能及时解决，供应商须提供一台相同性能的备用设备，在维修期内供用户免费使用。</w:t>
      </w:r>
    </w:p>
    <w:p w14:paraId="77ED7536">
      <w:pPr>
        <w:snapToGrid w:val="0"/>
        <w:spacing w:line="324" w:lineRule="auto"/>
        <w:ind w:firstLine="560" w:firstLineChars="200"/>
        <w:rPr>
          <w:rFonts w:hint="eastAsia" w:ascii="宋体" w:hAnsi="宋体" w:eastAsia="宋体" w:cs="宋体"/>
          <w:bCs/>
          <w:sz w:val="28"/>
          <w:szCs w:val="28"/>
          <w:lang w:val="en-US" w:eastAsia="zh-CN"/>
        </w:rPr>
        <w:sectPr>
          <w:type w:val="continuous"/>
          <w:pgSz w:w="16838" w:h="11905" w:orient="landscape"/>
          <w:pgMar w:top="1247" w:right="1191" w:bottom="1247" w:left="1247" w:header="720" w:footer="720" w:gutter="0"/>
          <w:cols w:space="0" w:num="1"/>
          <w:docGrid w:linePitch="312" w:charSpace="0"/>
        </w:sectPr>
      </w:pPr>
      <w:r>
        <w:rPr>
          <w:rFonts w:hint="eastAsia" w:ascii="宋体" w:hAnsi="宋体" w:eastAsia="宋体" w:cs="宋体"/>
          <w:bCs/>
          <w:sz w:val="28"/>
          <w:szCs w:val="28"/>
        </w:rPr>
        <w:t>2、技术服务和培训：卖方须到买方处提供现场免费的设备安装、调试，直至运行正常。并另为设备操作管理人员（至少两名）提供一周以上的免费的应用操作及维护培训</w:t>
      </w:r>
      <w:r>
        <w:rPr>
          <w:rFonts w:hint="eastAsia" w:ascii="宋体" w:hAnsi="宋体" w:eastAsia="宋体" w:cs="宋体"/>
          <w:bCs/>
          <w:sz w:val="28"/>
          <w:szCs w:val="28"/>
          <w:lang w:eastAsia="zh-CN"/>
        </w:rPr>
        <w:t>。</w:t>
      </w:r>
    </w:p>
    <w:p w14:paraId="0DFC859B">
      <w:pPr>
        <w:rPr>
          <w:rFonts w:ascii="宋体" w:hAnsi="宋体" w:cs="宋体"/>
          <w:b/>
          <w:bCs/>
          <w:kern w:val="44"/>
          <w:sz w:val="32"/>
          <w:szCs w:val="32"/>
        </w:rPr>
      </w:pPr>
    </w:p>
    <w:p w14:paraId="65F00B93">
      <w:pPr>
        <w:pStyle w:val="3"/>
        <w:rPr>
          <w:sz w:val="28"/>
          <w:szCs w:val="28"/>
        </w:rPr>
      </w:pPr>
      <w:bookmarkStart w:id="34" w:name="_Toc24162"/>
      <w:r>
        <w:rPr>
          <w:rFonts w:hint="eastAsia"/>
        </w:rPr>
        <w:t>第四章   评标办法（综合评分法）</w:t>
      </w:r>
      <w:bookmarkEnd w:id="34"/>
    </w:p>
    <w:p w14:paraId="62593520">
      <w:pPr>
        <w:autoSpaceDE w:val="0"/>
        <w:autoSpaceDN w:val="0"/>
        <w:adjustRightInd w:val="0"/>
        <w:spacing w:line="480" w:lineRule="exact"/>
        <w:jc w:val="center"/>
        <w:rPr>
          <w:rFonts w:ascii="宋体" w:hAnsi="宋体" w:cs="宋体"/>
          <w:b/>
          <w:bCs/>
          <w:kern w:val="0"/>
          <w:sz w:val="24"/>
        </w:rPr>
      </w:pPr>
      <w:bookmarkStart w:id="35" w:name="_Toc466566804"/>
      <w:r>
        <w:rPr>
          <w:rFonts w:hint="eastAsia" w:ascii="宋体" w:hAnsi="宋体" w:cs="宋体"/>
          <w:b/>
          <w:bCs/>
          <w:kern w:val="0"/>
          <w:sz w:val="24"/>
        </w:rPr>
        <w:t>评标办法前附表</w:t>
      </w:r>
      <w:bookmarkEnd w:id="35"/>
    </w:p>
    <w:p w14:paraId="1DE04139">
      <w:pPr>
        <w:ind w:firstLine="480"/>
        <w:outlineLvl w:val="1"/>
        <w:rPr>
          <w:rFonts w:ascii="宋体" w:hAnsi="宋体" w:cs="宋体"/>
          <w:sz w:val="24"/>
        </w:rPr>
      </w:pPr>
      <w:bookmarkStart w:id="36" w:name="_Toc433"/>
      <w:r>
        <w:rPr>
          <w:rFonts w:hint="eastAsia" w:ascii="宋体" w:hAnsi="宋体" w:cs="宋体"/>
          <w:sz w:val="24"/>
        </w:rPr>
        <w:t>附表1  初步评审表</w:t>
      </w:r>
      <w:bookmarkEnd w:id="36"/>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129"/>
        <w:gridCol w:w="1329"/>
        <w:gridCol w:w="387"/>
        <w:gridCol w:w="5964"/>
      </w:tblGrid>
      <w:tr w14:paraId="074F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47" w:type="dxa"/>
            <w:gridSpan w:val="2"/>
            <w:vAlign w:val="center"/>
          </w:tcPr>
          <w:p w14:paraId="49D4B79C">
            <w:pPr>
              <w:spacing w:line="360" w:lineRule="auto"/>
              <w:jc w:val="center"/>
              <w:rPr>
                <w:rFonts w:ascii="宋体" w:hAnsi="宋体" w:cs="宋体"/>
                <w:b/>
                <w:sz w:val="24"/>
              </w:rPr>
            </w:pPr>
            <w:r>
              <w:rPr>
                <w:rFonts w:hint="eastAsia" w:ascii="宋体" w:hAnsi="宋体" w:cs="宋体"/>
                <w:b/>
                <w:sz w:val="24"/>
              </w:rPr>
              <w:t>条款号</w:t>
            </w:r>
          </w:p>
        </w:tc>
        <w:tc>
          <w:tcPr>
            <w:tcW w:w="1716" w:type="dxa"/>
            <w:gridSpan w:val="2"/>
            <w:vAlign w:val="center"/>
          </w:tcPr>
          <w:p w14:paraId="0F300BFC">
            <w:pPr>
              <w:spacing w:line="360" w:lineRule="auto"/>
              <w:jc w:val="left"/>
              <w:rPr>
                <w:rFonts w:ascii="宋体" w:hAnsi="宋体" w:cs="宋体"/>
                <w:b/>
                <w:sz w:val="24"/>
              </w:rPr>
            </w:pPr>
            <w:r>
              <w:rPr>
                <w:rFonts w:hint="eastAsia" w:ascii="宋体" w:hAnsi="宋体" w:cs="宋体"/>
                <w:b/>
                <w:sz w:val="24"/>
              </w:rPr>
              <w:t>评审因素</w:t>
            </w:r>
          </w:p>
        </w:tc>
        <w:tc>
          <w:tcPr>
            <w:tcW w:w="5964" w:type="dxa"/>
            <w:vAlign w:val="center"/>
          </w:tcPr>
          <w:p w14:paraId="2A186421">
            <w:pPr>
              <w:spacing w:line="360" w:lineRule="auto"/>
              <w:jc w:val="center"/>
              <w:rPr>
                <w:rFonts w:ascii="宋体" w:hAnsi="宋体" w:cs="宋体"/>
                <w:b/>
                <w:sz w:val="24"/>
              </w:rPr>
            </w:pPr>
            <w:r>
              <w:rPr>
                <w:rFonts w:hint="eastAsia" w:ascii="宋体" w:hAnsi="宋体" w:cs="宋体"/>
                <w:b/>
                <w:sz w:val="24"/>
              </w:rPr>
              <w:t>评审标准</w:t>
            </w:r>
          </w:p>
        </w:tc>
      </w:tr>
      <w:tr w14:paraId="26FC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0" w:type="auto"/>
            <w:vMerge w:val="restart"/>
            <w:vAlign w:val="center"/>
          </w:tcPr>
          <w:p w14:paraId="32EA53E4">
            <w:pPr>
              <w:spacing w:line="360" w:lineRule="auto"/>
              <w:jc w:val="center"/>
              <w:rPr>
                <w:rFonts w:ascii="宋体" w:hAnsi="宋体" w:cs="宋体"/>
                <w:sz w:val="24"/>
              </w:rPr>
            </w:pPr>
            <w:r>
              <w:rPr>
                <w:rFonts w:hint="eastAsia" w:ascii="宋体" w:hAnsi="宋体" w:cs="宋体"/>
                <w:sz w:val="24"/>
              </w:rPr>
              <w:t>2.1.1</w:t>
            </w:r>
          </w:p>
        </w:tc>
        <w:tc>
          <w:tcPr>
            <w:tcW w:w="1129" w:type="dxa"/>
            <w:vMerge w:val="restart"/>
            <w:vAlign w:val="center"/>
          </w:tcPr>
          <w:p w14:paraId="32DBA80B">
            <w:pPr>
              <w:spacing w:line="360" w:lineRule="auto"/>
              <w:jc w:val="left"/>
              <w:rPr>
                <w:rFonts w:ascii="宋体" w:hAnsi="宋体" w:cs="宋体"/>
                <w:sz w:val="24"/>
              </w:rPr>
            </w:pPr>
            <w:r>
              <w:rPr>
                <w:rFonts w:hint="eastAsia" w:ascii="宋体" w:hAnsi="宋体" w:cs="宋体"/>
                <w:sz w:val="24"/>
              </w:rPr>
              <w:t>形式评审标准</w:t>
            </w:r>
          </w:p>
        </w:tc>
        <w:tc>
          <w:tcPr>
            <w:tcW w:w="1716" w:type="dxa"/>
            <w:gridSpan w:val="2"/>
            <w:vAlign w:val="center"/>
          </w:tcPr>
          <w:p w14:paraId="5B75024B">
            <w:pPr>
              <w:spacing w:before="57" w:line="360" w:lineRule="auto"/>
              <w:ind w:right="2"/>
              <w:jc w:val="left"/>
              <w:rPr>
                <w:rFonts w:ascii="宋体" w:hAnsi="宋体" w:cs="宋体"/>
                <w:sz w:val="24"/>
              </w:rPr>
            </w:pPr>
            <w:r>
              <w:rPr>
                <w:rFonts w:hint="eastAsia" w:ascii="宋体" w:hAnsi="宋体" w:cs="宋体"/>
                <w:sz w:val="24"/>
              </w:rPr>
              <w:t>投标人名称</w:t>
            </w:r>
          </w:p>
        </w:tc>
        <w:tc>
          <w:tcPr>
            <w:tcW w:w="5964" w:type="dxa"/>
            <w:vAlign w:val="center"/>
          </w:tcPr>
          <w:p w14:paraId="714100BA">
            <w:pPr>
              <w:spacing w:line="360" w:lineRule="auto"/>
              <w:jc w:val="left"/>
              <w:rPr>
                <w:rFonts w:ascii="宋体" w:hAnsi="宋体" w:cs="宋体"/>
                <w:sz w:val="24"/>
              </w:rPr>
            </w:pPr>
            <w:r>
              <w:rPr>
                <w:rFonts w:hint="eastAsia" w:ascii="宋体" w:hAnsi="宋体" w:cs="宋体"/>
                <w:sz w:val="24"/>
              </w:rPr>
              <w:t>与营业执照一致</w:t>
            </w:r>
          </w:p>
        </w:tc>
      </w:tr>
      <w:tr w14:paraId="79B9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0" w:type="auto"/>
            <w:vMerge w:val="continue"/>
            <w:vAlign w:val="center"/>
          </w:tcPr>
          <w:p w14:paraId="68D1D239">
            <w:pPr>
              <w:spacing w:before="57" w:line="360" w:lineRule="auto"/>
              <w:ind w:right="2"/>
              <w:jc w:val="left"/>
              <w:rPr>
                <w:rFonts w:ascii="宋体" w:hAnsi="宋体" w:cs="宋体"/>
                <w:kern w:val="0"/>
                <w:sz w:val="24"/>
                <w:lang w:eastAsia="en-US"/>
              </w:rPr>
            </w:pPr>
          </w:p>
        </w:tc>
        <w:tc>
          <w:tcPr>
            <w:tcW w:w="1129" w:type="dxa"/>
            <w:vMerge w:val="continue"/>
            <w:vAlign w:val="center"/>
          </w:tcPr>
          <w:p w14:paraId="134055C9">
            <w:pPr>
              <w:spacing w:line="360" w:lineRule="auto"/>
              <w:jc w:val="left"/>
              <w:rPr>
                <w:rFonts w:ascii="宋体" w:hAnsi="宋体" w:cs="宋体"/>
                <w:sz w:val="24"/>
              </w:rPr>
            </w:pPr>
          </w:p>
        </w:tc>
        <w:tc>
          <w:tcPr>
            <w:tcW w:w="1716" w:type="dxa"/>
            <w:gridSpan w:val="2"/>
            <w:vAlign w:val="center"/>
          </w:tcPr>
          <w:p w14:paraId="062530AB">
            <w:pPr>
              <w:spacing w:line="360" w:lineRule="auto"/>
              <w:jc w:val="left"/>
              <w:rPr>
                <w:rFonts w:ascii="宋体" w:hAnsi="宋体" w:cs="宋体"/>
                <w:sz w:val="24"/>
              </w:rPr>
            </w:pPr>
            <w:r>
              <w:rPr>
                <w:rFonts w:hint="eastAsia" w:ascii="宋体" w:hAnsi="宋体" w:cs="宋体"/>
                <w:sz w:val="24"/>
              </w:rPr>
              <w:t>签字、盖章</w:t>
            </w:r>
          </w:p>
        </w:tc>
        <w:tc>
          <w:tcPr>
            <w:tcW w:w="5964" w:type="dxa"/>
            <w:vAlign w:val="center"/>
          </w:tcPr>
          <w:p w14:paraId="5349398F">
            <w:pPr>
              <w:spacing w:line="360" w:lineRule="auto"/>
              <w:jc w:val="left"/>
              <w:rPr>
                <w:rFonts w:ascii="宋体" w:hAnsi="宋体" w:cs="宋体"/>
                <w:sz w:val="24"/>
              </w:rPr>
            </w:pPr>
            <w:r>
              <w:rPr>
                <w:rFonts w:hint="eastAsia" w:ascii="宋体" w:hAnsi="宋体" w:cs="宋体"/>
                <w:sz w:val="24"/>
              </w:rPr>
              <w:t>符合招标文件签字、盖章的要求</w:t>
            </w:r>
          </w:p>
        </w:tc>
      </w:tr>
      <w:tr w14:paraId="3ECB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0" w:type="auto"/>
            <w:vMerge w:val="continue"/>
            <w:vAlign w:val="center"/>
          </w:tcPr>
          <w:p w14:paraId="010B023D">
            <w:pPr>
              <w:spacing w:before="57" w:line="360" w:lineRule="auto"/>
              <w:ind w:right="2"/>
              <w:jc w:val="left"/>
              <w:rPr>
                <w:rFonts w:ascii="宋体" w:hAnsi="宋体" w:cs="宋体"/>
                <w:kern w:val="0"/>
                <w:sz w:val="24"/>
              </w:rPr>
            </w:pPr>
          </w:p>
        </w:tc>
        <w:tc>
          <w:tcPr>
            <w:tcW w:w="1129" w:type="dxa"/>
            <w:vMerge w:val="continue"/>
            <w:vAlign w:val="center"/>
          </w:tcPr>
          <w:p w14:paraId="1B7CCDC3">
            <w:pPr>
              <w:spacing w:line="360" w:lineRule="auto"/>
              <w:jc w:val="left"/>
              <w:rPr>
                <w:rFonts w:ascii="宋体" w:hAnsi="宋体" w:cs="宋体"/>
                <w:sz w:val="24"/>
              </w:rPr>
            </w:pPr>
          </w:p>
        </w:tc>
        <w:tc>
          <w:tcPr>
            <w:tcW w:w="1716" w:type="dxa"/>
            <w:gridSpan w:val="2"/>
            <w:vAlign w:val="center"/>
          </w:tcPr>
          <w:p w14:paraId="62DCED0B">
            <w:pPr>
              <w:spacing w:line="360" w:lineRule="auto"/>
              <w:jc w:val="left"/>
              <w:rPr>
                <w:rFonts w:ascii="宋体" w:hAnsi="宋体" w:cs="宋体"/>
                <w:sz w:val="24"/>
              </w:rPr>
            </w:pPr>
            <w:r>
              <w:rPr>
                <w:rFonts w:hint="eastAsia" w:ascii="宋体" w:hAnsi="宋体" w:cs="宋体"/>
                <w:sz w:val="24"/>
              </w:rPr>
              <w:t>投标文件格式</w:t>
            </w:r>
          </w:p>
        </w:tc>
        <w:tc>
          <w:tcPr>
            <w:tcW w:w="5964" w:type="dxa"/>
            <w:vAlign w:val="center"/>
          </w:tcPr>
          <w:p w14:paraId="474BE9F7">
            <w:pPr>
              <w:spacing w:line="360" w:lineRule="auto"/>
              <w:jc w:val="left"/>
              <w:rPr>
                <w:rFonts w:ascii="宋体" w:hAnsi="宋体" w:cs="宋体"/>
                <w:sz w:val="24"/>
              </w:rPr>
            </w:pPr>
            <w:r>
              <w:rPr>
                <w:rFonts w:hint="eastAsia" w:ascii="宋体" w:hAnsi="宋体" w:cs="宋体"/>
                <w:sz w:val="24"/>
              </w:rPr>
              <w:t>符合第六章“投标文件格式”要求</w:t>
            </w:r>
          </w:p>
        </w:tc>
      </w:tr>
      <w:tr w14:paraId="5C37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Merge w:val="continue"/>
            <w:vAlign w:val="center"/>
          </w:tcPr>
          <w:p w14:paraId="79B0E141">
            <w:pPr>
              <w:spacing w:before="57" w:line="360" w:lineRule="auto"/>
              <w:ind w:right="2"/>
              <w:jc w:val="left"/>
              <w:rPr>
                <w:rFonts w:ascii="宋体" w:hAnsi="宋体" w:cs="宋体"/>
                <w:kern w:val="0"/>
                <w:sz w:val="24"/>
              </w:rPr>
            </w:pPr>
          </w:p>
        </w:tc>
        <w:tc>
          <w:tcPr>
            <w:tcW w:w="1129" w:type="dxa"/>
            <w:vMerge w:val="continue"/>
            <w:vAlign w:val="center"/>
          </w:tcPr>
          <w:p w14:paraId="45E0729A">
            <w:pPr>
              <w:spacing w:line="360" w:lineRule="auto"/>
              <w:jc w:val="left"/>
              <w:rPr>
                <w:rFonts w:ascii="宋体" w:hAnsi="宋体" w:cs="宋体"/>
                <w:sz w:val="24"/>
              </w:rPr>
            </w:pPr>
          </w:p>
        </w:tc>
        <w:tc>
          <w:tcPr>
            <w:tcW w:w="1716" w:type="dxa"/>
            <w:gridSpan w:val="2"/>
            <w:vAlign w:val="center"/>
          </w:tcPr>
          <w:p w14:paraId="02DD5724">
            <w:pPr>
              <w:spacing w:line="360" w:lineRule="auto"/>
              <w:jc w:val="left"/>
              <w:rPr>
                <w:rFonts w:ascii="宋体" w:hAnsi="宋体" w:cs="宋体"/>
                <w:sz w:val="24"/>
              </w:rPr>
            </w:pPr>
            <w:r>
              <w:rPr>
                <w:rFonts w:hint="eastAsia" w:ascii="宋体" w:hAnsi="宋体" w:cs="宋体"/>
                <w:sz w:val="24"/>
              </w:rPr>
              <w:t>报价唯一</w:t>
            </w:r>
          </w:p>
        </w:tc>
        <w:tc>
          <w:tcPr>
            <w:tcW w:w="5964" w:type="dxa"/>
            <w:vAlign w:val="center"/>
          </w:tcPr>
          <w:p w14:paraId="36346838">
            <w:pPr>
              <w:spacing w:line="360" w:lineRule="auto"/>
              <w:jc w:val="left"/>
              <w:rPr>
                <w:rFonts w:ascii="宋体" w:hAnsi="宋体" w:cs="宋体"/>
                <w:sz w:val="24"/>
              </w:rPr>
            </w:pPr>
            <w:r>
              <w:rPr>
                <w:rFonts w:hint="eastAsia" w:ascii="宋体" w:hAnsi="宋体" w:cs="宋体"/>
                <w:sz w:val="24"/>
              </w:rPr>
              <w:t>只能有一个有效报价，且未超出该项目采购预算金额或最高限价的</w:t>
            </w:r>
          </w:p>
        </w:tc>
      </w:tr>
      <w:tr w14:paraId="3CBBF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Merge w:val="restart"/>
            <w:vAlign w:val="center"/>
          </w:tcPr>
          <w:p w14:paraId="34F14B2C">
            <w:pPr>
              <w:spacing w:before="57" w:line="360" w:lineRule="auto"/>
              <w:ind w:right="2"/>
              <w:jc w:val="left"/>
              <w:rPr>
                <w:rFonts w:ascii="宋体" w:hAnsi="宋体" w:cs="宋体"/>
                <w:kern w:val="0"/>
                <w:sz w:val="24"/>
              </w:rPr>
            </w:pPr>
            <w:r>
              <w:rPr>
                <w:rFonts w:hint="eastAsia" w:ascii="宋体" w:hAnsi="宋体" w:cs="宋体"/>
                <w:sz w:val="24"/>
              </w:rPr>
              <w:t>2.1.2</w:t>
            </w:r>
          </w:p>
        </w:tc>
        <w:tc>
          <w:tcPr>
            <w:tcW w:w="1129" w:type="dxa"/>
            <w:vMerge w:val="restart"/>
            <w:vAlign w:val="center"/>
          </w:tcPr>
          <w:p w14:paraId="07D681BC">
            <w:pPr>
              <w:spacing w:line="360" w:lineRule="auto"/>
              <w:jc w:val="left"/>
              <w:rPr>
                <w:rFonts w:ascii="宋体" w:hAnsi="宋体" w:cs="宋体"/>
                <w:sz w:val="24"/>
              </w:rPr>
            </w:pPr>
            <w:r>
              <w:rPr>
                <w:rFonts w:hint="eastAsia" w:ascii="宋体" w:hAnsi="宋体" w:cs="宋体"/>
                <w:sz w:val="24"/>
              </w:rPr>
              <w:t>资格评审标准</w:t>
            </w:r>
          </w:p>
        </w:tc>
        <w:tc>
          <w:tcPr>
            <w:tcW w:w="1716" w:type="dxa"/>
            <w:gridSpan w:val="2"/>
            <w:vAlign w:val="center"/>
          </w:tcPr>
          <w:p w14:paraId="1A47CF55">
            <w:pPr>
              <w:spacing w:line="360" w:lineRule="auto"/>
              <w:jc w:val="left"/>
              <w:rPr>
                <w:rFonts w:ascii="宋体" w:hAnsi="宋体" w:cs="宋体"/>
                <w:sz w:val="24"/>
              </w:rPr>
            </w:pPr>
            <w:r>
              <w:rPr>
                <w:rFonts w:hint="eastAsia" w:ascii="宋体" w:hAnsi="宋体" w:cs="宋体"/>
                <w:sz w:val="24"/>
              </w:rPr>
              <w:t>法定代表人身份证（或授权委托书及授权人身份证）</w:t>
            </w:r>
          </w:p>
        </w:tc>
        <w:tc>
          <w:tcPr>
            <w:tcW w:w="5964" w:type="dxa"/>
            <w:vAlign w:val="center"/>
          </w:tcPr>
          <w:p w14:paraId="55DF8DBF">
            <w:pPr>
              <w:spacing w:line="360" w:lineRule="auto"/>
              <w:jc w:val="left"/>
              <w:rPr>
                <w:rFonts w:ascii="宋体" w:hAnsi="宋体" w:cs="宋体"/>
                <w:sz w:val="24"/>
              </w:rPr>
            </w:pPr>
            <w:r>
              <w:rPr>
                <w:rFonts w:hint="eastAsia" w:ascii="宋体" w:hAnsi="宋体" w:cs="宋体"/>
                <w:sz w:val="24"/>
              </w:rPr>
              <w:t>法定代表人</w:t>
            </w:r>
            <w:r>
              <w:rPr>
                <w:rFonts w:hint="eastAsia" w:ascii="宋体" w:hAnsi="宋体" w:cs="宋体"/>
                <w:sz w:val="24"/>
                <w:lang w:eastAsia="zh-CN"/>
              </w:rPr>
              <w:t>（</w:t>
            </w:r>
            <w:r>
              <w:rPr>
                <w:rFonts w:hint="eastAsia" w:ascii="宋体" w:hAnsi="宋体" w:cs="宋体"/>
                <w:sz w:val="24"/>
                <w:lang w:val="en-US" w:eastAsia="zh-CN"/>
              </w:rPr>
              <w:t>或负责人</w:t>
            </w:r>
            <w:r>
              <w:rPr>
                <w:rFonts w:hint="eastAsia" w:ascii="宋体" w:hAnsi="宋体" w:cs="宋体"/>
                <w:sz w:val="24"/>
                <w:lang w:eastAsia="zh-CN"/>
              </w:rPr>
              <w:t>）</w:t>
            </w:r>
            <w:r>
              <w:rPr>
                <w:rFonts w:hint="eastAsia" w:ascii="宋体" w:hAnsi="宋体" w:cs="宋体"/>
                <w:sz w:val="24"/>
              </w:rPr>
              <w:t>提供本人身份证（或代理人提供法人代表授权委托书及被授权人身份证）</w:t>
            </w:r>
          </w:p>
        </w:tc>
      </w:tr>
      <w:tr w14:paraId="6B98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Merge w:val="continue"/>
            <w:vAlign w:val="center"/>
          </w:tcPr>
          <w:p w14:paraId="4EB8E1A2">
            <w:pPr>
              <w:spacing w:before="57" w:line="360" w:lineRule="auto"/>
              <w:ind w:right="2"/>
              <w:jc w:val="left"/>
              <w:rPr>
                <w:rFonts w:ascii="宋体" w:hAnsi="宋体" w:cs="宋体"/>
                <w:sz w:val="24"/>
              </w:rPr>
            </w:pPr>
          </w:p>
        </w:tc>
        <w:tc>
          <w:tcPr>
            <w:tcW w:w="1129" w:type="dxa"/>
            <w:vMerge w:val="continue"/>
            <w:vAlign w:val="center"/>
          </w:tcPr>
          <w:p w14:paraId="13D32516">
            <w:pPr>
              <w:spacing w:line="360" w:lineRule="auto"/>
              <w:jc w:val="left"/>
              <w:rPr>
                <w:rFonts w:ascii="宋体" w:hAnsi="宋体" w:cs="宋体"/>
                <w:sz w:val="24"/>
              </w:rPr>
            </w:pPr>
          </w:p>
        </w:tc>
        <w:tc>
          <w:tcPr>
            <w:tcW w:w="1716" w:type="dxa"/>
            <w:gridSpan w:val="2"/>
            <w:vAlign w:val="center"/>
          </w:tcPr>
          <w:p w14:paraId="69689ADB">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w:t>
            </w:r>
          </w:p>
        </w:tc>
        <w:tc>
          <w:tcPr>
            <w:tcW w:w="5964" w:type="dxa"/>
            <w:vAlign w:val="center"/>
          </w:tcPr>
          <w:p w14:paraId="15314756">
            <w:pPr>
              <w:spacing w:line="360" w:lineRule="auto"/>
              <w:jc w:val="left"/>
              <w:rPr>
                <w:rFonts w:ascii="宋体" w:hAnsi="宋体" w:cs="宋体"/>
                <w:sz w:val="24"/>
              </w:rPr>
            </w:pPr>
            <w:r>
              <w:rPr>
                <w:rFonts w:hint="eastAsia" w:ascii="宋体" w:hAnsi="宋体" w:cs="宋体"/>
                <w:sz w:val="24"/>
              </w:rPr>
              <w:t>投标供应商符合《中华人民共和国政府采购法》第二十二条规定条件（相关证明资料或承诺书）</w:t>
            </w:r>
          </w:p>
        </w:tc>
      </w:tr>
      <w:tr w14:paraId="7AF4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0" w:type="auto"/>
            <w:vMerge w:val="continue"/>
            <w:vAlign w:val="center"/>
          </w:tcPr>
          <w:p w14:paraId="01F7CC8D">
            <w:pPr>
              <w:spacing w:before="57" w:line="360" w:lineRule="auto"/>
              <w:ind w:right="2"/>
              <w:jc w:val="left"/>
              <w:rPr>
                <w:rFonts w:ascii="宋体" w:hAnsi="宋体" w:cs="宋体"/>
                <w:sz w:val="24"/>
              </w:rPr>
            </w:pPr>
          </w:p>
        </w:tc>
        <w:tc>
          <w:tcPr>
            <w:tcW w:w="1129" w:type="dxa"/>
            <w:vMerge w:val="continue"/>
            <w:vAlign w:val="center"/>
          </w:tcPr>
          <w:p w14:paraId="6378D074">
            <w:pPr>
              <w:spacing w:line="360" w:lineRule="auto"/>
              <w:jc w:val="left"/>
              <w:rPr>
                <w:rFonts w:ascii="宋体" w:hAnsi="宋体" w:cs="宋体"/>
                <w:sz w:val="24"/>
              </w:rPr>
            </w:pPr>
          </w:p>
        </w:tc>
        <w:tc>
          <w:tcPr>
            <w:tcW w:w="1716" w:type="dxa"/>
            <w:gridSpan w:val="2"/>
            <w:vAlign w:val="center"/>
          </w:tcPr>
          <w:p w14:paraId="10FAA30F">
            <w:pPr>
              <w:spacing w:line="360" w:lineRule="auto"/>
              <w:jc w:val="left"/>
              <w:rPr>
                <w:rFonts w:ascii="宋体" w:hAnsi="宋体" w:cs="宋体"/>
                <w:sz w:val="24"/>
              </w:rPr>
            </w:pPr>
            <w:r>
              <w:rPr>
                <w:rFonts w:hint="eastAsia" w:ascii="宋体" w:hAnsi="宋体" w:cs="宋体"/>
                <w:sz w:val="24"/>
              </w:rPr>
              <w:t>营业执照</w:t>
            </w:r>
          </w:p>
        </w:tc>
        <w:tc>
          <w:tcPr>
            <w:tcW w:w="5964" w:type="dxa"/>
            <w:vAlign w:val="center"/>
          </w:tcPr>
          <w:p w14:paraId="62EFCF59">
            <w:pPr>
              <w:spacing w:line="360" w:lineRule="auto"/>
              <w:jc w:val="left"/>
              <w:rPr>
                <w:rFonts w:ascii="宋体" w:hAnsi="宋体" w:cs="宋体"/>
                <w:sz w:val="24"/>
              </w:rPr>
            </w:pPr>
            <w:r>
              <w:rPr>
                <w:rFonts w:hint="eastAsia" w:ascii="宋体" w:hAnsi="宋体" w:cs="宋体"/>
                <w:sz w:val="24"/>
              </w:rPr>
              <w:t>投标人具有有效的营业执照</w:t>
            </w:r>
          </w:p>
        </w:tc>
      </w:tr>
      <w:tr w14:paraId="65E4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vMerge w:val="continue"/>
            <w:vAlign w:val="center"/>
          </w:tcPr>
          <w:p w14:paraId="5C1A0EAA">
            <w:pPr>
              <w:spacing w:before="57" w:line="360" w:lineRule="auto"/>
              <w:ind w:right="2"/>
              <w:jc w:val="left"/>
              <w:rPr>
                <w:rFonts w:ascii="宋体" w:hAnsi="宋体" w:cs="宋体"/>
                <w:sz w:val="24"/>
              </w:rPr>
            </w:pPr>
          </w:p>
        </w:tc>
        <w:tc>
          <w:tcPr>
            <w:tcW w:w="1129" w:type="dxa"/>
            <w:vMerge w:val="continue"/>
            <w:vAlign w:val="center"/>
          </w:tcPr>
          <w:p w14:paraId="361A52D0">
            <w:pPr>
              <w:spacing w:line="360" w:lineRule="auto"/>
              <w:jc w:val="left"/>
              <w:rPr>
                <w:rFonts w:ascii="宋体" w:hAnsi="宋体" w:cs="宋体"/>
                <w:sz w:val="24"/>
              </w:rPr>
            </w:pPr>
          </w:p>
        </w:tc>
        <w:tc>
          <w:tcPr>
            <w:tcW w:w="1716" w:type="dxa"/>
            <w:gridSpan w:val="2"/>
            <w:vAlign w:val="center"/>
          </w:tcPr>
          <w:p w14:paraId="27B3A511">
            <w:pPr>
              <w:spacing w:line="360" w:lineRule="auto"/>
              <w:jc w:val="left"/>
              <w:rPr>
                <w:rFonts w:ascii="宋体" w:hAnsi="宋体" w:cs="宋体"/>
                <w:sz w:val="24"/>
              </w:rPr>
            </w:pPr>
            <w:r>
              <w:rPr>
                <w:rFonts w:hint="eastAsia" w:ascii="宋体" w:hAnsi="宋体" w:cs="宋体"/>
                <w:sz w:val="24"/>
              </w:rPr>
              <w:t>无商业贿赂和不正当竞争行为的承诺书</w:t>
            </w:r>
          </w:p>
        </w:tc>
        <w:tc>
          <w:tcPr>
            <w:tcW w:w="5964" w:type="dxa"/>
            <w:vAlign w:val="center"/>
          </w:tcPr>
          <w:p w14:paraId="6BF891B0">
            <w:pPr>
              <w:spacing w:line="360" w:lineRule="auto"/>
              <w:jc w:val="left"/>
              <w:rPr>
                <w:rFonts w:ascii="宋体" w:hAnsi="宋体" w:cs="宋体"/>
                <w:sz w:val="24"/>
              </w:rPr>
            </w:pPr>
            <w:r>
              <w:rPr>
                <w:rFonts w:hint="eastAsia" w:ascii="宋体" w:hAnsi="宋体" w:cs="宋体"/>
                <w:sz w:val="24"/>
              </w:rPr>
              <w:t>投标人须出具本企业无商业贿赂和不正当竞争行为的承诺书</w:t>
            </w:r>
          </w:p>
        </w:tc>
      </w:tr>
      <w:tr w14:paraId="1D941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0" w:type="auto"/>
            <w:vMerge w:val="continue"/>
            <w:vAlign w:val="center"/>
          </w:tcPr>
          <w:p w14:paraId="285F514B">
            <w:pPr>
              <w:spacing w:before="57" w:line="360" w:lineRule="auto"/>
              <w:ind w:right="2"/>
              <w:jc w:val="left"/>
              <w:rPr>
                <w:rFonts w:ascii="宋体" w:hAnsi="宋体" w:cs="宋体"/>
                <w:sz w:val="24"/>
              </w:rPr>
            </w:pPr>
          </w:p>
        </w:tc>
        <w:tc>
          <w:tcPr>
            <w:tcW w:w="1129" w:type="dxa"/>
            <w:vMerge w:val="continue"/>
            <w:vAlign w:val="center"/>
          </w:tcPr>
          <w:p w14:paraId="52A2828F">
            <w:pPr>
              <w:spacing w:before="57" w:line="360" w:lineRule="auto"/>
              <w:ind w:right="2"/>
              <w:jc w:val="left"/>
              <w:rPr>
                <w:rFonts w:ascii="宋体" w:hAnsi="宋体" w:cs="宋体"/>
                <w:spacing w:val="1"/>
                <w:sz w:val="24"/>
              </w:rPr>
            </w:pPr>
          </w:p>
        </w:tc>
        <w:tc>
          <w:tcPr>
            <w:tcW w:w="1716" w:type="dxa"/>
            <w:gridSpan w:val="2"/>
            <w:vAlign w:val="center"/>
          </w:tcPr>
          <w:p w14:paraId="36627F71">
            <w:pPr>
              <w:spacing w:line="360" w:lineRule="auto"/>
              <w:jc w:val="left"/>
              <w:rPr>
                <w:rFonts w:ascii="宋体" w:hAnsi="宋体" w:cs="宋体"/>
                <w:sz w:val="24"/>
              </w:rPr>
            </w:pPr>
            <w:r>
              <w:rPr>
                <w:rFonts w:hint="eastAsia" w:ascii="宋体" w:hAnsi="宋体" w:cs="宋体"/>
                <w:sz w:val="24"/>
              </w:rPr>
              <w:t>无行贿犯罪记录</w:t>
            </w:r>
          </w:p>
        </w:tc>
        <w:tc>
          <w:tcPr>
            <w:tcW w:w="5964" w:type="dxa"/>
            <w:vAlign w:val="center"/>
          </w:tcPr>
          <w:p w14:paraId="2202D4E4">
            <w:pPr>
              <w:spacing w:line="360" w:lineRule="auto"/>
              <w:jc w:val="left"/>
              <w:rPr>
                <w:rFonts w:ascii="宋体" w:hAnsi="宋体" w:cs="宋体"/>
                <w:sz w:val="24"/>
              </w:rPr>
            </w:pPr>
            <w:r>
              <w:rPr>
                <w:rFonts w:hint="eastAsia" w:ascii="宋体" w:hAnsi="宋体" w:cs="宋体"/>
                <w:sz w:val="24"/>
              </w:rPr>
              <w:t>提供</w:t>
            </w:r>
            <w:r>
              <w:rPr>
                <w:rFonts w:hint="eastAsia" w:ascii="宋体" w:hAnsi="宋体" w:cs="宋体"/>
                <w:sz w:val="24"/>
                <w:lang w:val="en-US" w:eastAsia="zh-CN"/>
              </w:rPr>
              <w:t>投标人</w:t>
            </w:r>
            <w:r>
              <w:rPr>
                <w:rFonts w:hint="eastAsia" w:ascii="宋体" w:hAnsi="宋体" w:cs="宋体"/>
                <w:sz w:val="24"/>
              </w:rPr>
              <w:t>企业、法定代表人</w:t>
            </w:r>
            <w:r>
              <w:rPr>
                <w:rFonts w:hint="eastAsia" w:ascii="宋体" w:hAnsi="宋体" w:cs="宋体"/>
                <w:sz w:val="24"/>
                <w:lang w:eastAsia="zh-CN"/>
              </w:rPr>
              <w:t>（</w:t>
            </w:r>
            <w:r>
              <w:rPr>
                <w:rFonts w:hint="eastAsia" w:ascii="宋体" w:hAnsi="宋体" w:cs="宋体"/>
                <w:sz w:val="24"/>
                <w:lang w:val="en-US" w:eastAsia="zh-CN"/>
              </w:rPr>
              <w:t>或负责人</w:t>
            </w:r>
            <w:r>
              <w:rPr>
                <w:rFonts w:hint="eastAsia" w:ascii="宋体" w:hAnsi="宋体" w:cs="宋体"/>
                <w:sz w:val="24"/>
                <w:lang w:eastAsia="zh-CN"/>
              </w:rPr>
              <w:t>）</w:t>
            </w:r>
            <w:r>
              <w:rPr>
                <w:rFonts w:hint="eastAsia" w:ascii="宋体" w:hAnsi="宋体" w:cs="宋体"/>
                <w:sz w:val="24"/>
              </w:rPr>
              <w:t>无行贿犯罪记录，在中国裁判文书网查询（提供网页查询截图）或供应商自行承诺</w:t>
            </w:r>
            <w:r>
              <w:rPr>
                <w:rFonts w:hint="eastAsia" w:ascii="宋体" w:hAnsi="宋体" w:eastAsia="宋体" w:cs="宋体"/>
                <w:sz w:val="24"/>
              </w:rPr>
              <w:t>（查询时间自公告发布之日起至投标截止时间）</w:t>
            </w:r>
          </w:p>
        </w:tc>
      </w:tr>
      <w:tr w14:paraId="6860B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1" w:hRule="atLeast"/>
          <w:jc w:val="center"/>
        </w:trPr>
        <w:tc>
          <w:tcPr>
            <w:tcW w:w="0" w:type="auto"/>
            <w:vMerge w:val="continue"/>
            <w:vAlign w:val="center"/>
          </w:tcPr>
          <w:p w14:paraId="41EA4EA3">
            <w:pPr>
              <w:spacing w:before="57" w:line="360" w:lineRule="auto"/>
              <w:ind w:right="2"/>
              <w:jc w:val="left"/>
              <w:rPr>
                <w:rFonts w:ascii="宋体" w:hAnsi="宋体" w:cs="宋体"/>
                <w:sz w:val="24"/>
              </w:rPr>
            </w:pPr>
          </w:p>
        </w:tc>
        <w:tc>
          <w:tcPr>
            <w:tcW w:w="1129" w:type="dxa"/>
            <w:vMerge w:val="continue"/>
            <w:vAlign w:val="center"/>
          </w:tcPr>
          <w:p w14:paraId="32644C24">
            <w:pPr>
              <w:spacing w:before="57" w:line="360" w:lineRule="auto"/>
              <w:ind w:right="2"/>
              <w:jc w:val="left"/>
              <w:rPr>
                <w:rFonts w:ascii="宋体" w:hAnsi="宋体" w:cs="宋体"/>
                <w:spacing w:val="1"/>
                <w:sz w:val="24"/>
              </w:rPr>
            </w:pPr>
          </w:p>
        </w:tc>
        <w:tc>
          <w:tcPr>
            <w:tcW w:w="1716" w:type="dxa"/>
            <w:gridSpan w:val="2"/>
            <w:vAlign w:val="center"/>
          </w:tcPr>
          <w:p w14:paraId="6340B55F">
            <w:pPr>
              <w:snapToGrid w:val="0"/>
              <w:spacing w:line="480" w:lineRule="exact"/>
              <w:rPr>
                <w:rFonts w:ascii="宋体" w:hAnsi="宋体" w:eastAsia="宋体" w:cs="宋体"/>
                <w:sz w:val="24"/>
              </w:rPr>
            </w:pPr>
            <w:r>
              <w:rPr>
                <w:rFonts w:hint="eastAsia" w:ascii="宋体" w:hAnsi="宋体" w:eastAsia="宋体" w:cs="宋体"/>
                <w:sz w:val="24"/>
              </w:rPr>
              <w:t>信用查询</w:t>
            </w:r>
          </w:p>
        </w:tc>
        <w:tc>
          <w:tcPr>
            <w:tcW w:w="5964" w:type="dxa"/>
            <w:vAlign w:val="center"/>
          </w:tcPr>
          <w:p w14:paraId="56214677">
            <w:pPr>
              <w:snapToGrid w:val="0"/>
              <w:spacing w:line="480" w:lineRule="exact"/>
              <w:rPr>
                <w:rFonts w:ascii="宋体" w:hAnsi="宋体" w:eastAsia="宋体" w:cs="宋体"/>
                <w:sz w:val="24"/>
              </w:rPr>
            </w:pPr>
            <w:r>
              <w:rPr>
                <w:rFonts w:hint="eastAsia" w:ascii="宋体" w:hAnsi="宋体" w:eastAsia="宋体" w:cs="宋体"/>
                <w:sz w:val="24"/>
                <w:lang w:eastAsia="zh-CN"/>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投标供应商须提供公告后相关网页查询页截图；</w:t>
            </w:r>
          </w:p>
        </w:tc>
      </w:tr>
      <w:tr w14:paraId="7262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74C3890D">
            <w:pPr>
              <w:spacing w:before="57" w:line="360" w:lineRule="auto"/>
              <w:ind w:right="2"/>
              <w:jc w:val="left"/>
              <w:rPr>
                <w:rFonts w:ascii="宋体" w:hAnsi="宋体" w:cs="宋体"/>
                <w:sz w:val="24"/>
              </w:rPr>
            </w:pPr>
          </w:p>
        </w:tc>
        <w:tc>
          <w:tcPr>
            <w:tcW w:w="1129" w:type="dxa"/>
            <w:vMerge w:val="continue"/>
            <w:vAlign w:val="center"/>
          </w:tcPr>
          <w:p w14:paraId="67A65670">
            <w:pPr>
              <w:spacing w:before="57" w:line="360" w:lineRule="auto"/>
              <w:ind w:right="2"/>
              <w:jc w:val="left"/>
              <w:rPr>
                <w:rFonts w:ascii="宋体" w:hAnsi="宋体" w:cs="宋体"/>
                <w:spacing w:val="1"/>
                <w:sz w:val="24"/>
              </w:rPr>
            </w:pPr>
          </w:p>
        </w:tc>
        <w:tc>
          <w:tcPr>
            <w:tcW w:w="1716" w:type="dxa"/>
            <w:gridSpan w:val="2"/>
            <w:vAlign w:val="center"/>
          </w:tcPr>
          <w:p w14:paraId="2B4F2CD0">
            <w:pPr>
              <w:spacing w:line="360" w:lineRule="auto"/>
              <w:rPr>
                <w:rFonts w:ascii="宋体" w:hAnsi="宋体" w:eastAsia="宋体" w:cs="宋体"/>
                <w:sz w:val="24"/>
              </w:rPr>
            </w:pPr>
            <w:r>
              <w:rPr>
                <w:rFonts w:hint="eastAsia" w:ascii="宋体" w:hAnsi="宋体" w:eastAsia="宋体" w:cs="宋体"/>
                <w:sz w:val="24"/>
              </w:rPr>
              <w:t>本项目不接受联合体投标</w:t>
            </w:r>
          </w:p>
        </w:tc>
        <w:tc>
          <w:tcPr>
            <w:tcW w:w="5964" w:type="dxa"/>
            <w:vAlign w:val="center"/>
          </w:tcPr>
          <w:p w14:paraId="1709EE5B">
            <w:pPr>
              <w:spacing w:line="360" w:lineRule="auto"/>
              <w:rPr>
                <w:rFonts w:ascii="宋体" w:hAnsi="宋体" w:eastAsia="宋体" w:cs="宋体"/>
                <w:sz w:val="24"/>
              </w:rPr>
            </w:pPr>
            <w:r>
              <w:rPr>
                <w:rFonts w:hint="eastAsia" w:ascii="宋体" w:hAnsi="宋体" w:eastAsia="宋体" w:cs="宋体"/>
                <w:sz w:val="24"/>
              </w:rPr>
              <w:t>本项目不接受联合体投标。</w:t>
            </w:r>
          </w:p>
        </w:tc>
      </w:tr>
      <w:tr w14:paraId="6AE0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0" w:type="auto"/>
            <w:vMerge w:val="continue"/>
            <w:vAlign w:val="center"/>
          </w:tcPr>
          <w:p w14:paraId="2F552978">
            <w:pPr>
              <w:spacing w:before="57" w:line="360" w:lineRule="auto"/>
              <w:ind w:right="2"/>
              <w:jc w:val="left"/>
              <w:rPr>
                <w:rFonts w:ascii="宋体" w:hAnsi="宋体" w:cs="宋体"/>
                <w:sz w:val="24"/>
              </w:rPr>
            </w:pPr>
          </w:p>
        </w:tc>
        <w:tc>
          <w:tcPr>
            <w:tcW w:w="1129" w:type="dxa"/>
            <w:vMerge w:val="continue"/>
            <w:vAlign w:val="center"/>
          </w:tcPr>
          <w:p w14:paraId="18C9D06D">
            <w:pPr>
              <w:spacing w:before="57" w:line="360" w:lineRule="auto"/>
              <w:ind w:right="2"/>
              <w:jc w:val="left"/>
              <w:rPr>
                <w:rFonts w:ascii="宋体" w:hAnsi="宋体" w:cs="宋体"/>
                <w:spacing w:val="1"/>
                <w:sz w:val="24"/>
              </w:rPr>
            </w:pPr>
          </w:p>
        </w:tc>
        <w:tc>
          <w:tcPr>
            <w:tcW w:w="1716" w:type="dxa"/>
            <w:gridSpan w:val="2"/>
            <w:vAlign w:val="center"/>
          </w:tcPr>
          <w:p w14:paraId="54A86854">
            <w:pPr>
              <w:spacing w:line="360" w:lineRule="auto"/>
              <w:rPr>
                <w:rFonts w:ascii="宋体" w:hAnsi="宋体" w:eastAsia="宋体" w:cs="宋体"/>
                <w:sz w:val="24"/>
              </w:rPr>
            </w:pPr>
            <w:r>
              <w:rPr>
                <w:rFonts w:hint="eastAsia" w:ascii="宋体" w:hAnsi="宋体" w:eastAsia="宋体" w:cs="宋体"/>
                <w:sz w:val="24"/>
              </w:rPr>
              <w:t>其他证明材料</w:t>
            </w:r>
          </w:p>
        </w:tc>
        <w:tc>
          <w:tcPr>
            <w:tcW w:w="5964" w:type="dxa"/>
            <w:vAlign w:val="center"/>
          </w:tcPr>
          <w:p w14:paraId="2081717F">
            <w:pPr>
              <w:spacing w:line="360" w:lineRule="auto"/>
              <w:rPr>
                <w:rFonts w:ascii="宋体" w:hAnsi="宋体" w:eastAsia="宋体" w:cs="宋体"/>
                <w:sz w:val="24"/>
              </w:rPr>
            </w:pPr>
            <w:r>
              <w:rPr>
                <w:rFonts w:hint="eastAsia" w:ascii="宋体" w:hAnsi="宋体" w:eastAsia="宋体" w:cs="宋体"/>
                <w:sz w:val="24"/>
              </w:rPr>
              <w:t>供应商需要上传的其他证明材料</w:t>
            </w:r>
          </w:p>
        </w:tc>
      </w:tr>
      <w:tr w14:paraId="142C0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0" w:type="auto"/>
            <w:vMerge w:val="continue"/>
            <w:vAlign w:val="center"/>
          </w:tcPr>
          <w:p w14:paraId="15B51BD8">
            <w:pPr>
              <w:spacing w:before="57" w:line="360" w:lineRule="auto"/>
              <w:ind w:right="2"/>
              <w:jc w:val="left"/>
              <w:rPr>
                <w:rFonts w:ascii="宋体" w:hAnsi="宋体" w:cs="宋体"/>
                <w:kern w:val="0"/>
                <w:sz w:val="24"/>
              </w:rPr>
            </w:pPr>
          </w:p>
        </w:tc>
        <w:tc>
          <w:tcPr>
            <w:tcW w:w="1129" w:type="dxa"/>
            <w:vMerge w:val="continue"/>
            <w:vAlign w:val="center"/>
          </w:tcPr>
          <w:p w14:paraId="6598B85D">
            <w:pPr>
              <w:spacing w:before="57" w:line="360" w:lineRule="auto"/>
              <w:ind w:right="2"/>
              <w:jc w:val="left"/>
              <w:rPr>
                <w:rFonts w:ascii="宋体" w:hAnsi="宋体" w:cs="宋体"/>
                <w:kern w:val="0"/>
                <w:sz w:val="24"/>
              </w:rPr>
            </w:pPr>
          </w:p>
        </w:tc>
        <w:tc>
          <w:tcPr>
            <w:tcW w:w="7680" w:type="dxa"/>
            <w:gridSpan w:val="3"/>
            <w:vAlign w:val="center"/>
          </w:tcPr>
          <w:p w14:paraId="10A466F7">
            <w:pPr>
              <w:spacing w:line="360" w:lineRule="auto"/>
              <w:jc w:val="left"/>
              <w:rPr>
                <w:rFonts w:ascii="宋体" w:hAnsi="宋体" w:cs="宋体"/>
                <w:sz w:val="24"/>
              </w:rPr>
            </w:pPr>
            <w:r>
              <w:rPr>
                <w:rFonts w:hint="eastAsia" w:ascii="宋体" w:hAnsi="宋体" w:cs="宋体"/>
                <w:b/>
                <w:bCs/>
                <w:sz w:val="24"/>
              </w:rPr>
              <w:t>注：开标结束后，采购人应当依法对投标人的资格进行审查。</w:t>
            </w:r>
          </w:p>
        </w:tc>
      </w:tr>
      <w:tr w14:paraId="5C04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818" w:type="dxa"/>
            <w:vMerge w:val="restart"/>
            <w:vAlign w:val="center"/>
          </w:tcPr>
          <w:p w14:paraId="480722D3">
            <w:pPr>
              <w:spacing w:line="360" w:lineRule="auto"/>
              <w:jc w:val="center"/>
              <w:rPr>
                <w:rFonts w:ascii="宋体" w:hAnsi="宋体" w:cs="宋体"/>
                <w:sz w:val="24"/>
              </w:rPr>
            </w:pPr>
            <w:r>
              <w:rPr>
                <w:rFonts w:hint="eastAsia" w:ascii="宋体" w:hAnsi="宋体" w:cs="宋体"/>
                <w:sz w:val="24"/>
              </w:rPr>
              <w:t>2.1.3</w:t>
            </w:r>
          </w:p>
        </w:tc>
        <w:tc>
          <w:tcPr>
            <w:tcW w:w="1129" w:type="dxa"/>
            <w:vMerge w:val="restart"/>
            <w:vAlign w:val="center"/>
          </w:tcPr>
          <w:p w14:paraId="050925F1">
            <w:pPr>
              <w:spacing w:line="360" w:lineRule="auto"/>
              <w:jc w:val="center"/>
              <w:rPr>
                <w:rFonts w:ascii="宋体" w:hAnsi="宋体" w:cs="宋体"/>
                <w:sz w:val="24"/>
                <w:highlight w:val="magenta"/>
              </w:rPr>
            </w:pPr>
            <w:r>
              <w:rPr>
                <w:rFonts w:hint="eastAsia" w:ascii="宋体" w:hAnsi="宋体" w:cs="宋体"/>
                <w:sz w:val="24"/>
              </w:rPr>
              <w:t>响应性评审标准</w:t>
            </w:r>
          </w:p>
        </w:tc>
        <w:tc>
          <w:tcPr>
            <w:tcW w:w="1329" w:type="dxa"/>
            <w:vAlign w:val="center"/>
          </w:tcPr>
          <w:p w14:paraId="2B4C529D">
            <w:pPr>
              <w:spacing w:line="360" w:lineRule="auto"/>
              <w:rPr>
                <w:rFonts w:ascii="宋体" w:hAnsi="宋体" w:eastAsia="宋体" w:cs="宋体"/>
                <w:sz w:val="24"/>
              </w:rPr>
            </w:pPr>
            <w:r>
              <w:rPr>
                <w:rFonts w:hint="eastAsia" w:ascii="宋体" w:hAnsi="宋体" w:eastAsia="宋体" w:cs="宋体"/>
                <w:sz w:val="24"/>
              </w:rPr>
              <w:t>采购内容</w:t>
            </w:r>
          </w:p>
        </w:tc>
        <w:tc>
          <w:tcPr>
            <w:tcW w:w="6351" w:type="dxa"/>
            <w:gridSpan w:val="2"/>
            <w:vAlign w:val="center"/>
          </w:tcPr>
          <w:p w14:paraId="6EA2EBE3">
            <w:pPr>
              <w:spacing w:line="360" w:lineRule="auto"/>
              <w:rPr>
                <w:rFonts w:ascii="宋体" w:hAnsi="宋体" w:eastAsia="宋体" w:cs="宋体"/>
                <w:sz w:val="24"/>
              </w:rPr>
            </w:pPr>
            <w:r>
              <w:rPr>
                <w:rFonts w:hint="eastAsia" w:ascii="宋体" w:hAnsi="宋体" w:eastAsia="宋体" w:cs="宋体"/>
                <w:sz w:val="24"/>
              </w:rPr>
              <w:t>详细内容见采购清单</w:t>
            </w:r>
          </w:p>
        </w:tc>
      </w:tr>
      <w:tr w14:paraId="70B3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82155B9">
            <w:pPr>
              <w:spacing w:line="360" w:lineRule="auto"/>
              <w:jc w:val="center"/>
              <w:rPr>
                <w:rFonts w:ascii="宋体" w:hAnsi="宋体" w:cs="宋体"/>
                <w:sz w:val="24"/>
              </w:rPr>
            </w:pPr>
          </w:p>
        </w:tc>
        <w:tc>
          <w:tcPr>
            <w:tcW w:w="1129" w:type="dxa"/>
            <w:vMerge w:val="continue"/>
            <w:vAlign w:val="center"/>
          </w:tcPr>
          <w:p w14:paraId="61166F88">
            <w:pPr>
              <w:spacing w:line="360" w:lineRule="auto"/>
              <w:jc w:val="center"/>
              <w:rPr>
                <w:rFonts w:ascii="宋体" w:hAnsi="宋体" w:cs="宋体"/>
                <w:sz w:val="24"/>
              </w:rPr>
            </w:pPr>
          </w:p>
        </w:tc>
        <w:tc>
          <w:tcPr>
            <w:tcW w:w="1329" w:type="dxa"/>
            <w:vAlign w:val="center"/>
          </w:tcPr>
          <w:p w14:paraId="0E917187">
            <w:pPr>
              <w:spacing w:line="360" w:lineRule="auto"/>
              <w:rPr>
                <w:rFonts w:ascii="宋体" w:hAnsi="宋体" w:eastAsia="宋体" w:cs="宋体"/>
                <w:sz w:val="24"/>
              </w:rPr>
            </w:pPr>
            <w:r>
              <w:rPr>
                <w:rFonts w:hint="eastAsia" w:ascii="宋体" w:hAnsi="宋体" w:eastAsia="宋体" w:cs="宋体"/>
                <w:sz w:val="24"/>
              </w:rPr>
              <w:t>交货期限</w:t>
            </w:r>
          </w:p>
        </w:tc>
        <w:tc>
          <w:tcPr>
            <w:tcW w:w="6351" w:type="dxa"/>
            <w:gridSpan w:val="2"/>
            <w:vAlign w:val="center"/>
          </w:tcPr>
          <w:p w14:paraId="68AB1B36">
            <w:pPr>
              <w:spacing w:line="360" w:lineRule="auto"/>
              <w:rPr>
                <w:rFonts w:hint="eastAsia" w:ascii="宋体" w:hAnsi="宋体" w:eastAsia="宋体" w:cs="宋体"/>
                <w:sz w:val="24"/>
                <w:lang w:eastAsia="zh-CN"/>
              </w:rPr>
            </w:pPr>
            <w:r>
              <w:rPr>
                <w:rFonts w:hint="eastAsia" w:ascii="宋体" w:hAnsi="宋体" w:eastAsia="宋体" w:cs="宋体"/>
                <w:sz w:val="24"/>
                <w:lang w:eastAsia="zh-CN"/>
              </w:rPr>
              <w:t>自合同签订后</w:t>
            </w:r>
            <w:r>
              <w:rPr>
                <w:rFonts w:hint="eastAsia" w:ascii="宋体" w:hAnsi="宋体" w:eastAsia="宋体" w:cs="宋体"/>
                <w:sz w:val="24"/>
                <w:lang w:val="en-US" w:eastAsia="zh-CN"/>
              </w:rPr>
              <w:t>30</w:t>
            </w:r>
            <w:r>
              <w:rPr>
                <w:rFonts w:hint="eastAsia" w:ascii="宋体" w:hAnsi="宋体" w:eastAsia="宋体" w:cs="宋体"/>
                <w:sz w:val="24"/>
                <w:lang w:eastAsia="zh-CN"/>
              </w:rPr>
              <w:t>日历天内供货并安装、调试完毕</w:t>
            </w:r>
          </w:p>
        </w:tc>
      </w:tr>
      <w:tr w14:paraId="19CA0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77AB110A">
            <w:pPr>
              <w:spacing w:line="360" w:lineRule="auto"/>
              <w:jc w:val="center"/>
              <w:rPr>
                <w:rFonts w:ascii="宋体" w:hAnsi="宋体" w:cs="宋体"/>
                <w:sz w:val="24"/>
              </w:rPr>
            </w:pPr>
          </w:p>
        </w:tc>
        <w:tc>
          <w:tcPr>
            <w:tcW w:w="1129" w:type="dxa"/>
            <w:vMerge w:val="continue"/>
            <w:vAlign w:val="center"/>
          </w:tcPr>
          <w:p w14:paraId="7049654F">
            <w:pPr>
              <w:spacing w:line="360" w:lineRule="auto"/>
              <w:jc w:val="center"/>
              <w:rPr>
                <w:rFonts w:ascii="宋体" w:hAnsi="宋体" w:cs="宋体"/>
                <w:sz w:val="24"/>
              </w:rPr>
            </w:pPr>
          </w:p>
        </w:tc>
        <w:tc>
          <w:tcPr>
            <w:tcW w:w="1329" w:type="dxa"/>
            <w:vAlign w:val="center"/>
          </w:tcPr>
          <w:p w14:paraId="1FBA3465">
            <w:pPr>
              <w:spacing w:line="360" w:lineRule="auto"/>
              <w:rPr>
                <w:rFonts w:ascii="宋体" w:hAnsi="宋体" w:eastAsia="宋体" w:cs="宋体"/>
                <w:sz w:val="24"/>
              </w:rPr>
            </w:pPr>
            <w:r>
              <w:rPr>
                <w:rFonts w:hint="eastAsia" w:ascii="宋体" w:hAnsi="宋体" w:eastAsia="宋体" w:cs="宋体"/>
                <w:sz w:val="24"/>
              </w:rPr>
              <w:t>质量要求</w:t>
            </w:r>
          </w:p>
        </w:tc>
        <w:tc>
          <w:tcPr>
            <w:tcW w:w="6351" w:type="dxa"/>
            <w:gridSpan w:val="2"/>
            <w:vAlign w:val="center"/>
          </w:tcPr>
          <w:p w14:paraId="3DFD01CB">
            <w:pPr>
              <w:spacing w:line="360" w:lineRule="auto"/>
              <w:rPr>
                <w:rFonts w:ascii="宋体" w:hAnsi="宋体" w:eastAsia="宋体" w:cs="宋体"/>
                <w:sz w:val="24"/>
              </w:rPr>
            </w:pPr>
            <w:r>
              <w:rPr>
                <w:rFonts w:hint="eastAsia" w:ascii="宋体" w:hAnsi="宋体" w:eastAsia="宋体" w:cs="宋体"/>
                <w:sz w:val="24"/>
              </w:rPr>
              <w:t>达到国家质量验收规范合格标准并满足采购人需求</w:t>
            </w:r>
          </w:p>
        </w:tc>
      </w:tr>
      <w:tr w14:paraId="5D97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818" w:type="dxa"/>
            <w:vMerge w:val="continue"/>
            <w:vAlign w:val="center"/>
          </w:tcPr>
          <w:p w14:paraId="17C70C2A">
            <w:pPr>
              <w:spacing w:line="360" w:lineRule="auto"/>
              <w:jc w:val="center"/>
              <w:rPr>
                <w:rFonts w:ascii="宋体" w:hAnsi="宋体" w:cs="宋体"/>
                <w:sz w:val="24"/>
              </w:rPr>
            </w:pPr>
          </w:p>
        </w:tc>
        <w:tc>
          <w:tcPr>
            <w:tcW w:w="1129" w:type="dxa"/>
            <w:vMerge w:val="continue"/>
            <w:vAlign w:val="center"/>
          </w:tcPr>
          <w:p w14:paraId="7179BDBF">
            <w:pPr>
              <w:spacing w:line="360" w:lineRule="auto"/>
              <w:jc w:val="center"/>
              <w:rPr>
                <w:rFonts w:ascii="宋体" w:hAnsi="宋体" w:cs="宋体"/>
                <w:sz w:val="24"/>
              </w:rPr>
            </w:pPr>
          </w:p>
        </w:tc>
        <w:tc>
          <w:tcPr>
            <w:tcW w:w="1329" w:type="dxa"/>
            <w:vAlign w:val="center"/>
          </w:tcPr>
          <w:p w14:paraId="04C5BEBC">
            <w:pPr>
              <w:spacing w:line="360" w:lineRule="auto"/>
              <w:rPr>
                <w:rFonts w:ascii="宋体" w:hAnsi="宋体" w:eastAsia="宋体" w:cs="宋体"/>
                <w:sz w:val="24"/>
              </w:rPr>
            </w:pPr>
            <w:r>
              <w:rPr>
                <w:rFonts w:hint="eastAsia" w:ascii="宋体" w:hAnsi="宋体" w:eastAsia="宋体" w:cs="宋体"/>
                <w:sz w:val="24"/>
              </w:rPr>
              <w:t>质保期</w:t>
            </w:r>
          </w:p>
        </w:tc>
        <w:tc>
          <w:tcPr>
            <w:tcW w:w="6351" w:type="dxa"/>
            <w:gridSpan w:val="2"/>
            <w:vAlign w:val="center"/>
          </w:tcPr>
          <w:p w14:paraId="5033D93B">
            <w:pPr>
              <w:spacing w:line="360" w:lineRule="auto"/>
              <w:rPr>
                <w:rFonts w:ascii="宋体" w:hAnsi="宋体" w:eastAsia="宋体" w:cs="宋体"/>
                <w:sz w:val="24"/>
              </w:rPr>
            </w:pPr>
            <w:r>
              <w:rPr>
                <w:rFonts w:hint="eastAsia" w:ascii="宋体" w:hAnsi="宋体"/>
                <w:sz w:val="24"/>
              </w:rPr>
              <w:t xml:space="preserve">按国家规定 </w:t>
            </w:r>
          </w:p>
        </w:tc>
      </w:tr>
      <w:tr w14:paraId="551B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3FA8462B">
            <w:pPr>
              <w:spacing w:line="360" w:lineRule="auto"/>
              <w:jc w:val="center"/>
              <w:rPr>
                <w:rFonts w:ascii="宋体" w:hAnsi="宋体" w:cs="宋体"/>
                <w:sz w:val="24"/>
              </w:rPr>
            </w:pPr>
          </w:p>
        </w:tc>
        <w:tc>
          <w:tcPr>
            <w:tcW w:w="1129" w:type="dxa"/>
            <w:vMerge w:val="continue"/>
            <w:vAlign w:val="center"/>
          </w:tcPr>
          <w:p w14:paraId="5AE83F6E">
            <w:pPr>
              <w:spacing w:line="360" w:lineRule="auto"/>
              <w:jc w:val="center"/>
              <w:rPr>
                <w:rFonts w:ascii="宋体" w:hAnsi="宋体" w:cs="宋体"/>
                <w:sz w:val="24"/>
              </w:rPr>
            </w:pPr>
          </w:p>
        </w:tc>
        <w:tc>
          <w:tcPr>
            <w:tcW w:w="1329" w:type="dxa"/>
            <w:vAlign w:val="center"/>
          </w:tcPr>
          <w:p w14:paraId="07A1D267">
            <w:pPr>
              <w:spacing w:line="360" w:lineRule="auto"/>
              <w:rPr>
                <w:rFonts w:ascii="宋体" w:hAnsi="宋体" w:eastAsia="宋体" w:cs="宋体"/>
                <w:sz w:val="24"/>
              </w:rPr>
            </w:pPr>
            <w:r>
              <w:rPr>
                <w:rFonts w:hint="eastAsia" w:ascii="宋体" w:hAnsi="宋体" w:eastAsia="宋体" w:cs="宋体"/>
                <w:sz w:val="24"/>
              </w:rPr>
              <w:t>投标有效期</w:t>
            </w:r>
          </w:p>
        </w:tc>
        <w:tc>
          <w:tcPr>
            <w:tcW w:w="6351" w:type="dxa"/>
            <w:gridSpan w:val="2"/>
            <w:vAlign w:val="center"/>
          </w:tcPr>
          <w:p w14:paraId="31CB188E">
            <w:pPr>
              <w:spacing w:line="360" w:lineRule="auto"/>
              <w:rPr>
                <w:rFonts w:ascii="宋体" w:hAnsi="宋体" w:eastAsia="宋体" w:cs="宋体"/>
                <w:sz w:val="24"/>
              </w:rPr>
            </w:pPr>
            <w:r>
              <w:rPr>
                <w:rFonts w:hint="eastAsia" w:ascii="宋体" w:hAnsi="宋体" w:eastAsia="宋体" w:cs="宋体"/>
                <w:sz w:val="24"/>
              </w:rPr>
              <w:t>60日历天</w:t>
            </w:r>
          </w:p>
        </w:tc>
      </w:tr>
      <w:tr w14:paraId="6E22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8" w:type="dxa"/>
            <w:vMerge w:val="continue"/>
            <w:vAlign w:val="center"/>
          </w:tcPr>
          <w:p w14:paraId="722F3FE8">
            <w:pPr>
              <w:spacing w:line="360" w:lineRule="auto"/>
              <w:jc w:val="center"/>
              <w:rPr>
                <w:rFonts w:ascii="宋体" w:hAnsi="宋体" w:cs="宋体"/>
                <w:sz w:val="24"/>
              </w:rPr>
            </w:pPr>
          </w:p>
        </w:tc>
        <w:tc>
          <w:tcPr>
            <w:tcW w:w="1129" w:type="dxa"/>
            <w:vMerge w:val="continue"/>
            <w:vAlign w:val="center"/>
          </w:tcPr>
          <w:p w14:paraId="041CF603">
            <w:pPr>
              <w:spacing w:line="360" w:lineRule="auto"/>
              <w:jc w:val="center"/>
              <w:rPr>
                <w:rFonts w:ascii="宋体" w:hAnsi="宋体" w:cs="宋体"/>
                <w:sz w:val="24"/>
              </w:rPr>
            </w:pPr>
          </w:p>
        </w:tc>
        <w:tc>
          <w:tcPr>
            <w:tcW w:w="1329" w:type="dxa"/>
            <w:vAlign w:val="center"/>
          </w:tcPr>
          <w:p w14:paraId="7AEDA66F">
            <w:pPr>
              <w:spacing w:line="360" w:lineRule="auto"/>
              <w:rPr>
                <w:rFonts w:ascii="宋体" w:hAnsi="宋体" w:eastAsia="宋体" w:cs="宋体"/>
                <w:sz w:val="24"/>
              </w:rPr>
            </w:pPr>
            <w:r>
              <w:rPr>
                <w:rFonts w:hint="eastAsia" w:ascii="宋体" w:hAnsi="宋体" w:eastAsia="宋体" w:cs="宋体"/>
                <w:sz w:val="24"/>
              </w:rPr>
              <w:t>其他</w:t>
            </w:r>
          </w:p>
        </w:tc>
        <w:tc>
          <w:tcPr>
            <w:tcW w:w="6351" w:type="dxa"/>
            <w:gridSpan w:val="2"/>
            <w:vAlign w:val="center"/>
          </w:tcPr>
          <w:p w14:paraId="3CA646FC">
            <w:pPr>
              <w:spacing w:line="360" w:lineRule="auto"/>
              <w:rPr>
                <w:rFonts w:ascii="宋体" w:hAnsi="宋体" w:eastAsia="宋体" w:cs="宋体"/>
                <w:sz w:val="24"/>
              </w:rPr>
            </w:pPr>
            <w:r>
              <w:rPr>
                <w:rFonts w:hint="eastAsia" w:ascii="宋体" w:hAnsi="宋体" w:eastAsia="宋体" w:cs="宋体"/>
                <w:sz w:val="24"/>
              </w:rPr>
              <w:t>满足招标文件</w:t>
            </w:r>
          </w:p>
        </w:tc>
      </w:tr>
    </w:tbl>
    <w:p w14:paraId="71ED7E95">
      <w:pPr>
        <w:ind w:firstLine="482"/>
        <w:outlineLvl w:val="1"/>
        <w:rPr>
          <w:rFonts w:ascii="宋体" w:hAnsi="宋体" w:cs="宋体"/>
          <w:sz w:val="24"/>
          <w:highlight w:val="yellow"/>
        </w:rPr>
      </w:pPr>
      <w:r>
        <w:rPr>
          <w:rFonts w:hint="eastAsia" w:ascii="宋体" w:hAnsi="宋体" w:cs="宋体"/>
          <w:szCs w:val="20"/>
        </w:rPr>
        <w:br w:type="page"/>
      </w:r>
      <w:bookmarkStart w:id="37" w:name="_Toc3624"/>
      <w:r>
        <w:rPr>
          <w:rFonts w:hint="eastAsia" w:ascii="宋体" w:hAnsi="宋体" w:cs="宋体"/>
          <w:sz w:val="24"/>
        </w:rPr>
        <w:t>附表2  详细评审表</w:t>
      </w:r>
      <w:bookmarkEnd w:id="37"/>
    </w:p>
    <w:tbl>
      <w:tblPr>
        <w:tblStyle w:val="1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8"/>
        <w:gridCol w:w="2037"/>
        <w:gridCol w:w="5920"/>
      </w:tblGrid>
      <w:tr w14:paraId="1133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1898" w:type="dxa"/>
            <w:vAlign w:val="center"/>
          </w:tcPr>
          <w:p w14:paraId="276EE5CF">
            <w:pPr>
              <w:autoSpaceDE w:val="0"/>
              <w:autoSpaceDN w:val="0"/>
              <w:adjustRightInd w:val="0"/>
              <w:spacing w:line="480" w:lineRule="exact"/>
              <w:jc w:val="center"/>
              <w:rPr>
                <w:rFonts w:ascii="宋体" w:hAnsi="宋体" w:cs="宋体"/>
                <w:b/>
                <w:kern w:val="0"/>
                <w:sz w:val="24"/>
              </w:rPr>
            </w:pPr>
            <w:bookmarkStart w:id="38" w:name="_Toc31816"/>
            <w:r>
              <w:rPr>
                <w:rFonts w:hint="eastAsia" w:ascii="宋体" w:hAnsi="宋体" w:cs="宋体"/>
                <w:b/>
                <w:kern w:val="0"/>
                <w:sz w:val="24"/>
              </w:rPr>
              <w:t>评审因素</w:t>
            </w:r>
          </w:p>
        </w:tc>
        <w:tc>
          <w:tcPr>
            <w:tcW w:w="7957" w:type="dxa"/>
            <w:gridSpan w:val="2"/>
            <w:vAlign w:val="center"/>
          </w:tcPr>
          <w:p w14:paraId="6416FBD2">
            <w:pPr>
              <w:autoSpaceDE w:val="0"/>
              <w:autoSpaceDN w:val="0"/>
              <w:adjustRightInd w:val="0"/>
              <w:spacing w:line="480" w:lineRule="exact"/>
              <w:jc w:val="center"/>
              <w:rPr>
                <w:rFonts w:ascii="宋体" w:hAnsi="宋体" w:cs="宋体"/>
                <w:b/>
                <w:kern w:val="0"/>
                <w:sz w:val="24"/>
              </w:rPr>
            </w:pPr>
            <w:r>
              <w:rPr>
                <w:rFonts w:hint="eastAsia" w:ascii="宋体" w:hAnsi="宋体" w:cs="宋体"/>
                <w:b/>
                <w:kern w:val="0"/>
                <w:sz w:val="24"/>
              </w:rPr>
              <w:t>评审标准</w:t>
            </w:r>
          </w:p>
        </w:tc>
      </w:tr>
      <w:tr w14:paraId="150D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898" w:type="dxa"/>
            <w:vAlign w:val="center"/>
          </w:tcPr>
          <w:p w14:paraId="15BA348E">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分值构成</w:t>
            </w:r>
          </w:p>
          <w:p w14:paraId="48FB968C">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100分</w:t>
            </w:r>
          </w:p>
        </w:tc>
        <w:tc>
          <w:tcPr>
            <w:tcW w:w="7957" w:type="dxa"/>
            <w:gridSpan w:val="2"/>
            <w:vAlign w:val="center"/>
          </w:tcPr>
          <w:p w14:paraId="45372011">
            <w:pPr>
              <w:adjustRightInd w:val="0"/>
              <w:snapToGrid w:val="0"/>
              <w:spacing w:line="440" w:lineRule="atLeast"/>
              <w:jc w:val="left"/>
              <w:rPr>
                <w:rFonts w:ascii="宋体" w:hAnsi="宋体" w:cs="宋体"/>
                <w:sz w:val="24"/>
              </w:rPr>
            </w:pPr>
            <w:r>
              <w:rPr>
                <w:rFonts w:hint="eastAsia" w:ascii="宋体" w:hAnsi="宋体" w:cs="宋体"/>
                <w:sz w:val="24"/>
              </w:rPr>
              <w:t>投标报价：30分</w:t>
            </w:r>
          </w:p>
          <w:p w14:paraId="1F5BA117">
            <w:pPr>
              <w:adjustRightInd w:val="0"/>
              <w:snapToGrid w:val="0"/>
              <w:spacing w:line="440" w:lineRule="atLeast"/>
              <w:jc w:val="left"/>
              <w:rPr>
                <w:rFonts w:ascii="宋体" w:hAnsi="宋体" w:cs="宋体"/>
                <w:sz w:val="24"/>
              </w:rPr>
            </w:pPr>
            <w:r>
              <w:rPr>
                <w:rFonts w:hint="eastAsia" w:ascii="宋体" w:hAnsi="宋体" w:cs="宋体"/>
                <w:sz w:val="24"/>
              </w:rPr>
              <w:t>技术标：50分</w:t>
            </w:r>
          </w:p>
          <w:p w14:paraId="6E5614D8">
            <w:pPr>
              <w:adjustRightInd w:val="0"/>
              <w:snapToGrid w:val="0"/>
              <w:spacing w:line="440" w:lineRule="atLeast"/>
              <w:jc w:val="left"/>
              <w:rPr>
                <w:rFonts w:ascii="宋体" w:hAnsi="宋体" w:cs="宋体"/>
                <w:sz w:val="24"/>
              </w:rPr>
            </w:pPr>
            <w:r>
              <w:rPr>
                <w:rFonts w:hint="eastAsia" w:ascii="宋体" w:hAnsi="宋体" w:cs="宋体"/>
                <w:sz w:val="24"/>
              </w:rPr>
              <w:t>商务标：20分</w:t>
            </w:r>
          </w:p>
        </w:tc>
      </w:tr>
      <w:tr w14:paraId="3EE2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898" w:type="dxa"/>
            <w:vAlign w:val="center"/>
          </w:tcPr>
          <w:p w14:paraId="676FE05B">
            <w:pPr>
              <w:spacing w:line="400" w:lineRule="exact"/>
              <w:jc w:val="center"/>
              <w:rPr>
                <w:rFonts w:ascii="宋体" w:hAnsi="宋体" w:cs="宋体"/>
                <w:sz w:val="24"/>
                <w:szCs w:val="22"/>
              </w:rPr>
            </w:pPr>
            <w:r>
              <w:rPr>
                <w:rFonts w:hint="eastAsia" w:ascii="宋体" w:hAnsi="宋体" w:cs="宋体"/>
                <w:sz w:val="24"/>
                <w:szCs w:val="22"/>
              </w:rPr>
              <w:t>综合得分</w:t>
            </w:r>
          </w:p>
          <w:p w14:paraId="05285D12">
            <w:pPr>
              <w:spacing w:line="400" w:lineRule="exact"/>
              <w:jc w:val="center"/>
              <w:rPr>
                <w:rFonts w:ascii="宋体" w:hAnsi="宋体" w:cs="宋体"/>
                <w:sz w:val="24"/>
                <w:szCs w:val="22"/>
              </w:rPr>
            </w:pPr>
            <w:r>
              <w:rPr>
                <w:rFonts w:hint="eastAsia" w:ascii="宋体" w:hAnsi="宋体" w:cs="宋体"/>
                <w:sz w:val="24"/>
                <w:szCs w:val="22"/>
              </w:rPr>
              <w:t>按公式计算</w:t>
            </w:r>
          </w:p>
        </w:tc>
        <w:tc>
          <w:tcPr>
            <w:tcW w:w="7957" w:type="dxa"/>
            <w:gridSpan w:val="2"/>
            <w:vAlign w:val="center"/>
          </w:tcPr>
          <w:p w14:paraId="63A7C115">
            <w:pPr>
              <w:ind w:left="-107" w:leftChars="-52" w:right="-107" w:rightChars="-51" w:hanging="2"/>
              <w:rPr>
                <w:rFonts w:ascii="宋体" w:hAnsi="宋体" w:cs="宋体"/>
                <w:sz w:val="24"/>
              </w:rPr>
            </w:pPr>
            <w:r>
              <w:rPr>
                <w:rFonts w:hint="eastAsia" w:ascii="宋体" w:hAnsi="宋体" w:cs="宋体"/>
                <w:sz w:val="24"/>
              </w:rPr>
              <w:t>综合得分=投标报价</w:t>
            </w:r>
            <w:r>
              <w:rPr>
                <w:rFonts w:hint="eastAsia" w:ascii="宋体" w:hAnsi="宋体" w:cs="宋体"/>
                <w:snapToGrid w:val="0"/>
                <w:kern w:val="0"/>
                <w:sz w:val="24"/>
              </w:rPr>
              <w:t>得分</w:t>
            </w:r>
            <w:r>
              <w:rPr>
                <w:rFonts w:hint="eastAsia" w:ascii="宋体" w:hAnsi="宋体" w:cs="宋体"/>
                <w:sz w:val="24"/>
              </w:rPr>
              <w:t>＋技术标得分＋商务标得分；</w:t>
            </w:r>
          </w:p>
          <w:p w14:paraId="05455FC8">
            <w:pPr>
              <w:spacing w:line="400" w:lineRule="exact"/>
              <w:rPr>
                <w:rFonts w:ascii="宋体" w:hAnsi="宋体" w:cs="宋体"/>
                <w:sz w:val="24"/>
                <w:szCs w:val="22"/>
              </w:rPr>
            </w:pPr>
            <w:r>
              <w:rPr>
                <w:rFonts w:hint="eastAsia" w:ascii="宋体" w:hAnsi="宋体" w:cs="宋体"/>
                <w:sz w:val="24"/>
                <w:szCs w:val="22"/>
              </w:rPr>
              <w:t>投标人综合得分按下列公式计算（计算分值均保留两位小数）；</w:t>
            </w:r>
          </w:p>
        </w:tc>
      </w:tr>
      <w:tr w14:paraId="3F3B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6" w:hRule="atLeast"/>
          <w:jc w:val="center"/>
        </w:trPr>
        <w:tc>
          <w:tcPr>
            <w:tcW w:w="1898" w:type="dxa"/>
            <w:vAlign w:val="center"/>
          </w:tcPr>
          <w:p w14:paraId="148764AA">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投标报价</w:t>
            </w:r>
          </w:p>
          <w:p w14:paraId="51A70FE4">
            <w:pPr>
              <w:autoSpaceDE w:val="0"/>
              <w:autoSpaceDN w:val="0"/>
              <w:adjustRightInd w:val="0"/>
              <w:spacing w:line="420" w:lineRule="exact"/>
              <w:jc w:val="center"/>
              <w:rPr>
                <w:rFonts w:ascii="宋体" w:hAnsi="宋体" w:cs="宋体"/>
                <w:sz w:val="24"/>
              </w:rPr>
            </w:pPr>
            <w:r>
              <w:rPr>
                <w:rFonts w:hint="eastAsia" w:ascii="宋体" w:hAnsi="宋体" w:cs="宋体"/>
                <w:kern w:val="0"/>
                <w:sz w:val="24"/>
              </w:rPr>
              <w:t>（30分）</w:t>
            </w:r>
          </w:p>
        </w:tc>
        <w:tc>
          <w:tcPr>
            <w:tcW w:w="7957" w:type="dxa"/>
            <w:gridSpan w:val="2"/>
            <w:vAlign w:val="center"/>
          </w:tcPr>
          <w:p w14:paraId="68674875">
            <w:pPr>
              <w:spacing w:line="360" w:lineRule="auto"/>
              <w:jc w:val="left"/>
              <w:rPr>
                <w:rFonts w:ascii="宋体" w:hAnsi="宋体" w:cs="宋体"/>
                <w:sz w:val="24"/>
              </w:rPr>
            </w:pPr>
            <w:r>
              <w:rPr>
                <w:rFonts w:hint="eastAsia" w:ascii="宋体" w:hAnsi="宋体" w:cs="宋体"/>
                <w:sz w:val="24"/>
              </w:rPr>
              <w:t>综合评分法中的价格分统一采用低价优先法计算，即满足招标文件要求且最后报价最低的投标人的价格为评标基准价，其价格分为满分。其他投标人的价格分别统一按照下列公式计算：</w:t>
            </w:r>
          </w:p>
          <w:p w14:paraId="6D75901C">
            <w:pPr>
              <w:spacing w:line="360" w:lineRule="auto"/>
              <w:jc w:val="left"/>
              <w:rPr>
                <w:rFonts w:ascii="宋体" w:hAnsi="宋体" w:cs="宋体"/>
                <w:sz w:val="24"/>
              </w:rPr>
            </w:pPr>
            <w:r>
              <w:rPr>
                <w:rFonts w:hint="eastAsia" w:ascii="宋体" w:hAnsi="宋体" w:cs="宋体"/>
                <w:sz w:val="24"/>
              </w:rPr>
              <w:t>投标报价得分=（评标基准价/投标报价）×30×100%</w:t>
            </w:r>
          </w:p>
          <w:p w14:paraId="79E80122">
            <w:pPr>
              <w:spacing w:line="360" w:lineRule="auto"/>
              <w:jc w:val="left"/>
              <w:rPr>
                <w:rFonts w:ascii="宋体" w:hAnsi="宋体" w:cs="宋体"/>
                <w:sz w:val="24"/>
              </w:rPr>
            </w:pPr>
            <w:r>
              <w:rPr>
                <w:rFonts w:hint="eastAsia" w:ascii="宋体" w:hAnsi="宋体" w:cs="宋体"/>
                <w:b/>
                <w:bCs/>
                <w:sz w:val="24"/>
              </w:rPr>
              <w:t>注</w:t>
            </w:r>
            <w:r>
              <w:rPr>
                <w:rFonts w:hint="eastAsia" w:ascii="宋体" w:hAnsi="宋体" w:cs="宋体"/>
                <w:sz w:val="24"/>
              </w:rPr>
              <w:t>：分值计算保留两位小数。</w:t>
            </w:r>
          </w:p>
          <w:p w14:paraId="28748963">
            <w:pPr>
              <w:spacing w:line="360" w:lineRule="auto"/>
              <w:jc w:val="left"/>
              <w:rPr>
                <w:rFonts w:ascii="宋体" w:hAnsi="宋体" w:cs="宋体"/>
                <w:sz w:val="24"/>
              </w:rPr>
            </w:pPr>
            <w:r>
              <w:rPr>
                <w:rFonts w:hint="eastAsia" w:ascii="宋体" w:hAnsi="宋体" w:cs="宋体"/>
                <w:sz w:val="24"/>
              </w:rPr>
              <w:t>1.有效投标人是指通过符合性审查的投标人；</w:t>
            </w:r>
          </w:p>
          <w:p w14:paraId="755C31D7">
            <w:pPr>
              <w:spacing w:line="360" w:lineRule="auto"/>
              <w:jc w:val="left"/>
              <w:rPr>
                <w:rFonts w:ascii="宋体" w:hAnsi="宋体" w:cs="宋体"/>
                <w:sz w:val="24"/>
              </w:rPr>
            </w:pPr>
            <w:r>
              <w:rPr>
                <w:rFonts w:hint="eastAsia" w:ascii="宋体" w:hAnsi="宋体" w:cs="宋体"/>
                <w:sz w:val="24"/>
              </w:rPr>
              <w:t>2.投标人的投标总报价应包含：设备价、运至合同指定地点的运输、装卸、保险、安装、技术培训及各种税费等；</w:t>
            </w:r>
          </w:p>
          <w:p w14:paraId="6E560D7F">
            <w:pPr>
              <w:spacing w:line="360" w:lineRule="auto"/>
              <w:jc w:val="left"/>
              <w:rPr>
                <w:rFonts w:hint="eastAsia" w:ascii="宋体" w:hAnsi="宋体" w:cs="宋体"/>
                <w:sz w:val="24"/>
              </w:rPr>
            </w:pPr>
            <w:r>
              <w:rPr>
                <w:rFonts w:hint="eastAsia" w:ascii="宋体" w:hAnsi="宋体" w:cs="宋体"/>
                <w:sz w:val="24"/>
              </w:rPr>
              <w:t>3.评标委员会发现投标人的报价明显低于其他投标报价，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14:paraId="6F495FAD">
            <w:pPr>
              <w:spacing w:line="360" w:lineRule="auto"/>
              <w:jc w:val="left"/>
              <w:rPr>
                <w:rFonts w:ascii="宋体" w:hAnsi="宋体" w:cs="宋体"/>
                <w:sz w:val="24"/>
              </w:rPr>
            </w:pPr>
            <w:r>
              <w:rPr>
                <w:rFonts w:hint="eastAsia" w:ascii="宋体" w:hAnsi="宋体" w:cs="宋体"/>
                <w:sz w:val="24"/>
              </w:rPr>
              <w:t>4.根据国务院2022年5月31日印发《扎实稳住经济的一揽子政策措施》，加大政府采购支持中小企业力度，将对所投标的小型和微型企业制造的产品的价格给予20%的扣除（所有产品制造商均为小微企业），用扣除后的价格参与评审。中小企业划型标准见《关于印发中小企业划型标规定的通知》（工信部联企业[2011]300号）。</w:t>
            </w:r>
          </w:p>
        </w:tc>
      </w:tr>
      <w:tr w14:paraId="669C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4" w:hRule="exact"/>
          <w:jc w:val="center"/>
        </w:trPr>
        <w:tc>
          <w:tcPr>
            <w:tcW w:w="1898" w:type="dxa"/>
            <w:vMerge w:val="restart"/>
            <w:vAlign w:val="center"/>
          </w:tcPr>
          <w:p w14:paraId="56DB649A">
            <w:pPr>
              <w:jc w:val="center"/>
              <w:rPr>
                <w:rFonts w:ascii="宋体" w:hAnsi="宋体" w:cs="宋体"/>
                <w:sz w:val="24"/>
              </w:rPr>
            </w:pPr>
            <w:r>
              <w:rPr>
                <w:rFonts w:hint="eastAsia" w:ascii="宋体" w:hAnsi="宋体" w:cs="宋体"/>
                <w:sz w:val="24"/>
              </w:rPr>
              <w:t>技术标评分</w:t>
            </w:r>
          </w:p>
          <w:p w14:paraId="7FB7507B">
            <w:pPr>
              <w:jc w:val="center"/>
              <w:rPr>
                <w:rFonts w:ascii="宋体" w:hAnsi="宋体" w:cs="宋体"/>
                <w:sz w:val="24"/>
              </w:rPr>
            </w:pPr>
            <w:r>
              <w:rPr>
                <w:rFonts w:hint="eastAsia" w:ascii="宋体" w:hAnsi="宋体" w:cs="宋体"/>
                <w:sz w:val="24"/>
              </w:rPr>
              <w:t>（50分）</w:t>
            </w:r>
          </w:p>
        </w:tc>
        <w:tc>
          <w:tcPr>
            <w:tcW w:w="2037" w:type="dxa"/>
            <w:vAlign w:val="center"/>
          </w:tcPr>
          <w:p w14:paraId="2C67D095">
            <w:pPr>
              <w:spacing w:before="57" w:line="360" w:lineRule="auto"/>
              <w:ind w:right="2"/>
              <w:jc w:val="left"/>
              <w:rPr>
                <w:rFonts w:ascii="宋体" w:hAnsi="宋体" w:cs="宋体"/>
                <w:color w:val="auto"/>
                <w:kern w:val="0"/>
                <w:sz w:val="24"/>
              </w:rPr>
            </w:pPr>
            <w:r>
              <w:rPr>
                <w:rFonts w:hint="eastAsia" w:ascii="宋体" w:hAnsi="宋体" w:cs="宋体"/>
                <w:color w:val="auto"/>
                <w:kern w:val="0"/>
                <w:sz w:val="24"/>
              </w:rPr>
              <w:t>技术参数及要求符合情况</w:t>
            </w:r>
          </w:p>
          <w:p w14:paraId="70313512">
            <w:pPr>
              <w:spacing w:before="57" w:line="360" w:lineRule="auto"/>
              <w:ind w:right="2"/>
              <w:jc w:val="left"/>
              <w:rPr>
                <w:rFonts w:ascii="宋体" w:hAnsi="宋体" w:cs="宋体"/>
                <w:color w:val="0000FF"/>
                <w:sz w:val="24"/>
              </w:rPr>
            </w:pPr>
            <w:r>
              <w:rPr>
                <w:rFonts w:hint="eastAsia" w:ascii="宋体" w:hAnsi="宋体" w:cs="宋体"/>
                <w:color w:val="auto"/>
                <w:kern w:val="0"/>
                <w:sz w:val="24"/>
              </w:rPr>
              <w:t>（</w:t>
            </w:r>
            <w:r>
              <w:rPr>
                <w:rFonts w:hint="eastAsia" w:ascii="宋体" w:hAnsi="宋体" w:cs="宋体"/>
                <w:color w:val="auto"/>
                <w:kern w:val="0"/>
                <w:sz w:val="24"/>
                <w:lang w:val="en-US" w:eastAsia="zh-CN"/>
              </w:rPr>
              <w:t>0-</w:t>
            </w:r>
            <w:r>
              <w:rPr>
                <w:rFonts w:hint="eastAsia" w:ascii="宋体" w:hAnsi="宋体" w:cs="宋体"/>
                <w:color w:val="auto"/>
                <w:kern w:val="0"/>
                <w:sz w:val="24"/>
              </w:rPr>
              <w:t>2</w:t>
            </w:r>
            <w:r>
              <w:rPr>
                <w:rFonts w:hint="eastAsia" w:ascii="宋体" w:hAnsi="宋体" w:cs="宋体"/>
                <w:color w:val="auto"/>
                <w:kern w:val="0"/>
                <w:sz w:val="24"/>
                <w:lang w:val="en-US" w:eastAsia="zh-CN"/>
              </w:rPr>
              <w:t>5</w:t>
            </w:r>
            <w:r>
              <w:rPr>
                <w:rFonts w:hint="eastAsia" w:ascii="宋体" w:hAnsi="宋体" w:cs="宋体"/>
                <w:color w:val="auto"/>
                <w:kern w:val="0"/>
                <w:sz w:val="24"/>
              </w:rPr>
              <w:t>分）</w:t>
            </w:r>
          </w:p>
        </w:tc>
        <w:tc>
          <w:tcPr>
            <w:tcW w:w="5920" w:type="dxa"/>
            <w:vAlign w:val="center"/>
          </w:tcPr>
          <w:p w14:paraId="28A74A2A">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满足招标文件要求的全部技术指标得</w:t>
            </w:r>
            <w:r>
              <w:rPr>
                <w:rFonts w:hint="eastAsia" w:ascii="宋体" w:hAnsi="宋体" w:eastAsia="宋体" w:cs="宋体"/>
                <w:sz w:val="24"/>
                <w:szCs w:val="24"/>
                <w:highlight w:val="none"/>
                <w:lang w:val="en-US" w:eastAsia="zh-CN"/>
              </w:rPr>
              <w:t>25</w:t>
            </w:r>
            <w:r>
              <w:rPr>
                <w:rFonts w:hint="eastAsia" w:ascii="宋体" w:hAnsi="宋体" w:eastAsia="宋体" w:cs="宋体"/>
                <w:sz w:val="24"/>
                <w:szCs w:val="24"/>
                <w:highlight w:val="none"/>
                <w:lang w:val="en-US"/>
              </w:rPr>
              <w:t>分</w:t>
            </w:r>
            <w:r>
              <w:rPr>
                <w:rFonts w:hint="eastAsia" w:ascii="宋体" w:hAnsi="宋体" w:eastAsia="宋体" w:cs="宋体"/>
                <w:sz w:val="24"/>
                <w:szCs w:val="24"/>
                <w:highlight w:val="none"/>
                <w:lang w:val="en-US" w:eastAsia="zh-CN"/>
              </w:rPr>
              <w:t>。</w:t>
            </w:r>
          </w:p>
          <w:p w14:paraId="7724F5C8">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 xml:space="preserve">标“★”项参数和要求，每有一项偏离扣 </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rPr>
              <w:t xml:space="preserve"> 分</w:t>
            </w:r>
            <w:r>
              <w:rPr>
                <w:rFonts w:hint="eastAsia" w:ascii="宋体" w:hAnsi="宋体" w:eastAsia="宋体" w:cs="宋体"/>
                <w:sz w:val="24"/>
                <w:szCs w:val="24"/>
                <w:highlight w:val="none"/>
                <w:lang w:val="en-US" w:eastAsia="zh-CN"/>
              </w:rPr>
              <w:t>；</w:t>
            </w:r>
          </w:p>
          <w:p w14:paraId="3613E6EC">
            <w:pPr>
              <w:keepNext w:val="0"/>
              <w:keepLines w:val="0"/>
              <w:widowControl w:val="0"/>
              <w:suppressLineNumbers w:val="0"/>
              <w:adjustRightInd w:val="0"/>
              <w:snapToGrid w:val="0"/>
              <w:spacing w:before="0" w:beforeAutospacing="0" w:after="0" w:afterAutospacing="0" w:line="360" w:lineRule="auto"/>
              <w:ind w:left="2" w:right="0" w:hanging="2" w:hangingChars="1"/>
              <w:jc w:val="both"/>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其它技术参数不满足磋商文件要求的每有一项偏离扣</w:t>
            </w:r>
            <w:r>
              <w:rPr>
                <w:rFonts w:hint="eastAsia" w:ascii="宋体" w:hAnsi="宋体" w:eastAsia="宋体" w:cs="宋体"/>
                <w:sz w:val="24"/>
                <w:szCs w:val="24"/>
                <w:highlight w:val="none"/>
                <w:lang w:val="en-US" w:eastAsia="zh-CN"/>
              </w:rPr>
              <w:t>0.5</w:t>
            </w:r>
            <w:r>
              <w:rPr>
                <w:rFonts w:hint="eastAsia" w:ascii="宋体" w:hAnsi="宋体" w:eastAsia="宋体" w:cs="宋体"/>
                <w:sz w:val="24"/>
                <w:szCs w:val="24"/>
                <w:highlight w:val="none"/>
                <w:lang w:val="en-US"/>
              </w:rPr>
              <w:t>分，扣完为止。</w:t>
            </w:r>
          </w:p>
          <w:p w14:paraId="5E8FB1FE">
            <w:pPr>
              <w:spacing w:before="57" w:line="360" w:lineRule="auto"/>
              <w:ind w:right="2"/>
              <w:jc w:val="left"/>
              <w:rPr>
                <w:rFonts w:ascii="宋体" w:hAnsi="宋体" w:cs="宋体"/>
                <w:color w:val="0000FF"/>
                <w:sz w:val="24"/>
              </w:rPr>
            </w:pPr>
            <w:r>
              <w:rPr>
                <w:rFonts w:hint="eastAsia" w:ascii="宋体" w:hAnsi="宋体" w:eastAsia="宋体" w:cs="宋体"/>
                <w:sz w:val="24"/>
                <w:szCs w:val="24"/>
                <w:highlight w:val="none"/>
                <w:lang w:val="en-US"/>
              </w:rPr>
              <w:t>注“★”的需提供</w:t>
            </w:r>
            <w:r>
              <w:rPr>
                <w:rFonts w:hint="eastAsia" w:ascii="宋体" w:hAnsi="宋体" w:eastAsia="宋体" w:cs="宋体"/>
                <w:sz w:val="24"/>
                <w:szCs w:val="24"/>
                <w:highlight w:val="none"/>
                <w:lang w:val="en-US" w:eastAsia="zh-CN"/>
              </w:rPr>
              <w:t>相关证明资料，</w:t>
            </w:r>
            <w:r>
              <w:rPr>
                <w:rFonts w:hint="eastAsia" w:ascii="宋体" w:hAnsi="宋体" w:eastAsia="宋体" w:cs="宋体"/>
                <w:sz w:val="24"/>
                <w:szCs w:val="24"/>
                <w:highlight w:val="none"/>
                <w:lang w:val="en-US"/>
              </w:rPr>
              <w:t>否则</w:t>
            </w:r>
            <w:r>
              <w:rPr>
                <w:rFonts w:hint="eastAsia" w:ascii="宋体" w:hAnsi="宋体" w:eastAsia="宋体" w:cs="宋体"/>
                <w:sz w:val="24"/>
                <w:szCs w:val="24"/>
                <w:highlight w:val="none"/>
                <w:lang w:val="en-US" w:eastAsia="zh-CN"/>
              </w:rPr>
              <w:t>按负偏离</w:t>
            </w:r>
            <w:r>
              <w:rPr>
                <w:rFonts w:hint="eastAsia" w:ascii="宋体" w:hAnsi="宋体" w:eastAsia="宋体" w:cs="宋体"/>
                <w:sz w:val="24"/>
                <w:szCs w:val="24"/>
                <w:highlight w:val="none"/>
                <w:lang w:val="en-US"/>
              </w:rPr>
              <w:t>，</w:t>
            </w:r>
            <w:r>
              <w:rPr>
                <w:rFonts w:hint="eastAsia" w:ascii="宋体" w:hAnsi="宋体" w:eastAsia="宋体" w:cs="宋体"/>
                <w:sz w:val="24"/>
                <w:szCs w:val="24"/>
                <w:highlight w:val="none"/>
                <w:lang w:val="en-US" w:eastAsia="zh-CN"/>
              </w:rPr>
              <w:t>证明资料如为</w:t>
            </w:r>
            <w:r>
              <w:rPr>
                <w:rFonts w:hint="eastAsia" w:ascii="宋体" w:hAnsi="宋体" w:eastAsia="宋体" w:cs="宋体"/>
                <w:sz w:val="24"/>
                <w:szCs w:val="24"/>
                <w:highlight w:val="none"/>
                <w:lang w:val="en-US"/>
              </w:rPr>
              <w:t>复印件加盖投标人公章。</w:t>
            </w:r>
          </w:p>
        </w:tc>
      </w:tr>
      <w:tr w14:paraId="259B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4" w:hRule="exact"/>
          <w:jc w:val="center"/>
        </w:trPr>
        <w:tc>
          <w:tcPr>
            <w:tcW w:w="1898" w:type="dxa"/>
            <w:vMerge w:val="continue"/>
            <w:vAlign w:val="center"/>
          </w:tcPr>
          <w:p w14:paraId="18D0D54F">
            <w:pPr>
              <w:spacing w:line="276" w:lineRule="auto"/>
              <w:jc w:val="center"/>
              <w:rPr>
                <w:rFonts w:ascii="宋体" w:hAnsi="宋体" w:cs="宋体"/>
                <w:sz w:val="24"/>
              </w:rPr>
            </w:pPr>
          </w:p>
        </w:tc>
        <w:tc>
          <w:tcPr>
            <w:tcW w:w="2037" w:type="dxa"/>
            <w:vAlign w:val="center"/>
          </w:tcPr>
          <w:p w14:paraId="0C07A148">
            <w:pPr>
              <w:spacing w:before="57" w:line="360" w:lineRule="auto"/>
              <w:ind w:right="2"/>
              <w:jc w:val="left"/>
              <w:rPr>
                <w:rFonts w:ascii="宋体" w:hAnsi="宋体" w:cs="宋体"/>
                <w:kern w:val="0"/>
                <w:sz w:val="24"/>
              </w:rPr>
            </w:pPr>
            <w:r>
              <w:rPr>
                <w:rFonts w:hint="eastAsia" w:ascii="宋体" w:hAnsi="宋体" w:cs="宋体"/>
                <w:kern w:val="0"/>
                <w:sz w:val="24"/>
                <w:lang w:val="en-US" w:eastAsia="zh-CN"/>
              </w:rPr>
              <w:t>项目</w:t>
            </w:r>
            <w:r>
              <w:rPr>
                <w:rFonts w:hint="eastAsia" w:ascii="宋体" w:hAnsi="宋体" w:cs="宋体"/>
                <w:kern w:val="0"/>
                <w:sz w:val="24"/>
              </w:rPr>
              <w:t>实施方案</w:t>
            </w:r>
          </w:p>
          <w:p w14:paraId="7F6C49FD">
            <w:pPr>
              <w:spacing w:before="57" w:line="360" w:lineRule="auto"/>
              <w:ind w:right="2"/>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0-</w:t>
            </w:r>
            <w:r>
              <w:rPr>
                <w:rFonts w:hint="eastAsia" w:ascii="宋体" w:hAnsi="宋体" w:cs="宋体"/>
                <w:kern w:val="0"/>
                <w:sz w:val="24"/>
              </w:rPr>
              <w:t>10分）</w:t>
            </w:r>
          </w:p>
          <w:p w14:paraId="31E4D5DC">
            <w:pPr>
              <w:spacing w:before="57" w:line="360" w:lineRule="auto"/>
              <w:ind w:right="2"/>
              <w:jc w:val="left"/>
              <w:rPr>
                <w:rFonts w:ascii="宋体" w:hAnsi="宋体" w:cs="宋体"/>
                <w:sz w:val="24"/>
              </w:rPr>
            </w:pPr>
          </w:p>
        </w:tc>
        <w:tc>
          <w:tcPr>
            <w:tcW w:w="5920" w:type="dxa"/>
            <w:vAlign w:val="center"/>
          </w:tcPr>
          <w:p w14:paraId="727C307C">
            <w:pPr>
              <w:spacing w:before="57" w:line="360" w:lineRule="auto"/>
              <w:ind w:right="2"/>
              <w:jc w:val="left"/>
              <w:rPr>
                <w:rFonts w:ascii="宋体" w:hAnsi="宋体" w:cs="宋体"/>
                <w:kern w:val="0"/>
                <w:sz w:val="24"/>
              </w:rPr>
            </w:pPr>
            <w:r>
              <w:rPr>
                <w:rFonts w:hint="eastAsia" w:ascii="宋体" w:hAnsi="宋体" w:cs="宋体"/>
                <w:kern w:val="0"/>
                <w:sz w:val="24"/>
              </w:rPr>
              <w:t>根据投标人提供的项目实施方案，保障措施、技术支持承诺，进度计划与措施，人员投入等方面，对安装方案的完整性、合理性时效性进行综合评价，优秀得7～10分，良得4～6分，一般得1～3分，没有不得分。</w:t>
            </w:r>
          </w:p>
          <w:p w14:paraId="53FAD43C">
            <w:pPr>
              <w:spacing w:before="57" w:line="360" w:lineRule="auto"/>
              <w:ind w:right="2"/>
              <w:jc w:val="left"/>
              <w:rPr>
                <w:rFonts w:ascii="宋体" w:hAnsi="宋体" w:cs="宋体"/>
                <w:sz w:val="24"/>
              </w:rPr>
            </w:pPr>
          </w:p>
        </w:tc>
      </w:tr>
      <w:tr w14:paraId="740C9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1898" w:type="dxa"/>
            <w:vMerge w:val="continue"/>
            <w:vAlign w:val="center"/>
          </w:tcPr>
          <w:p w14:paraId="7DB3C572">
            <w:pPr>
              <w:spacing w:line="276" w:lineRule="auto"/>
              <w:jc w:val="center"/>
              <w:rPr>
                <w:rFonts w:ascii="宋体" w:hAnsi="宋体" w:cs="宋体"/>
                <w:sz w:val="24"/>
              </w:rPr>
            </w:pPr>
          </w:p>
        </w:tc>
        <w:tc>
          <w:tcPr>
            <w:tcW w:w="2037" w:type="dxa"/>
            <w:vAlign w:val="center"/>
          </w:tcPr>
          <w:p w14:paraId="09F04494">
            <w:pPr>
              <w:spacing w:before="57" w:line="360" w:lineRule="auto"/>
              <w:ind w:right="2"/>
              <w:jc w:val="left"/>
              <w:rPr>
                <w:rFonts w:ascii="宋体" w:hAnsi="宋体" w:cs="宋体"/>
                <w:sz w:val="24"/>
              </w:rPr>
            </w:pPr>
            <w:r>
              <w:rPr>
                <w:rFonts w:hint="eastAsia" w:ascii="宋体" w:hAnsi="宋体" w:cs="宋体"/>
                <w:kern w:val="0"/>
                <w:sz w:val="24"/>
              </w:rPr>
              <w:t>质量保证</w:t>
            </w:r>
            <w:r>
              <w:rPr>
                <w:rFonts w:hint="eastAsia" w:ascii="宋体" w:hAnsi="宋体" w:cs="宋体"/>
                <w:kern w:val="0"/>
                <w:sz w:val="24"/>
                <w:lang w:val="en-US" w:eastAsia="zh-CN"/>
              </w:rPr>
              <w:t>方案及相关承诺</w:t>
            </w:r>
            <w:r>
              <w:rPr>
                <w:rFonts w:hint="eastAsia" w:ascii="宋体" w:hAnsi="宋体" w:cs="宋体"/>
                <w:kern w:val="0"/>
                <w:sz w:val="24"/>
              </w:rPr>
              <w:t>措施（</w:t>
            </w:r>
            <w:r>
              <w:rPr>
                <w:rFonts w:hint="eastAsia" w:ascii="宋体" w:hAnsi="宋体" w:cs="宋体"/>
                <w:kern w:val="0"/>
                <w:sz w:val="24"/>
                <w:lang w:val="en-US" w:eastAsia="zh-CN"/>
              </w:rPr>
              <w:t>0-</w:t>
            </w:r>
            <w:r>
              <w:rPr>
                <w:rFonts w:hint="eastAsia" w:ascii="宋体" w:hAnsi="宋体" w:cs="宋体"/>
                <w:kern w:val="0"/>
                <w:sz w:val="24"/>
              </w:rPr>
              <w:t>10分）</w:t>
            </w:r>
          </w:p>
        </w:tc>
        <w:tc>
          <w:tcPr>
            <w:tcW w:w="5920" w:type="dxa"/>
            <w:vAlign w:val="center"/>
          </w:tcPr>
          <w:p w14:paraId="3EF22063">
            <w:pPr>
              <w:spacing w:before="57" w:line="360" w:lineRule="auto"/>
              <w:ind w:right="2"/>
              <w:jc w:val="left"/>
              <w:rPr>
                <w:rFonts w:ascii="宋体" w:hAnsi="宋体" w:cs="宋体"/>
                <w:sz w:val="24"/>
              </w:rPr>
            </w:pPr>
            <w:r>
              <w:rPr>
                <w:rFonts w:hint="eastAsia" w:ascii="宋体" w:hAnsi="宋体" w:cs="宋体"/>
                <w:kern w:val="0"/>
                <w:sz w:val="24"/>
              </w:rPr>
              <w:t>能够提出针对本项目的产品特点，提出详细的质量保证措施，</w:t>
            </w:r>
            <w:r>
              <w:rPr>
                <w:rFonts w:hint="eastAsia" w:ascii="宋体" w:hAnsi="宋体" w:cs="宋体"/>
                <w:kern w:val="0"/>
                <w:sz w:val="24"/>
                <w:lang w:val="en-US" w:eastAsia="zh-CN"/>
              </w:rPr>
              <w:t>安全保证措施，服务响应时间，</w:t>
            </w:r>
            <w:r>
              <w:rPr>
                <w:rFonts w:hint="eastAsia" w:ascii="宋体" w:hAnsi="宋体" w:cs="宋体"/>
                <w:sz w:val="24"/>
              </w:rPr>
              <w:t>应急预案和紧急事件处置</w:t>
            </w:r>
            <w:r>
              <w:rPr>
                <w:rFonts w:hint="eastAsia" w:ascii="宋体" w:hAnsi="宋体" w:cs="宋体"/>
                <w:kern w:val="0"/>
                <w:sz w:val="24"/>
                <w:lang w:val="en-US" w:eastAsia="zh-CN"/>
              </w:rPr>
              <w:t>等内容，</w:t>
            </w:r>
            <w:r>
              <w:rPr>
                <w:rFonts w:hint="eastAsia" w:ascii="宋体" w:hAnsi="宋体" w:cs="宋体"/>
                <w:kern w:val="0"/>
                <w:sz w:val="24"/>
              </w:rPr>
              <w:t>依据措施的科学性、合理性、可行性酌情打分，优秀得7～10分，良得4～6分，一般得1～3分，没有不得分。</w:t>
            </w:r>
          </w:p>
        </w:tc>
      </w:tr>
      <w:tr w14:paraId="0518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8" w:hRule="exact"/>
          <w:jc w:val="center"/>
        </w:trPr>
        <w:tc>
          <w:tcPr>
            <w:tcW w:w="1898" w:type="dxa"/>
            <w:vMerge w:val="continue"/>
            <w:vAlign w:val="center"/>
          </w:tcPr>
          <w:p w14:paraId="2F22DB54">
            <w:pPr>
              <w:spacing w:line="276" w:lineRule="auto"/>
              <w:jc w:val="center"/>
              <w:rPr>
                <w:rFonts w:ascii="宋体" w:hAnsi="宋体" w:cs="宋体"/>
                <w:sz w:val="24"/>
              </w:rPr>
            </w:pPr>
          </w:p>
        </w:tc>
        <w:tc>
          <w:tcPr>
            <w:tcW w:w="2037" w:type="dxa"/>
            <w:vAlign w:val="center"/>
          </w:tcPr>
          <w:p w14:paraId="5B3682BC">
            <w:pPr>
              <w:spacing w:before="57" w:line="360" w:lineRule="auto"/>
              <w:ind w:right="2"/>
              <w:jc w:val="left"/>
              <w:rPr>
                <w:rFonts w:hint="default" w:ascii="宋体" w:hAnsi="宋体" w:cs="宋体"/>
                <w:kern w:val="0"/>
                <w:sz w:val="24"/>
                <w:lang w:val="en-US" w:eastAsia="zh-CN"/>
              </w:rPr>
            </w:pPr>
            <w:r>
              <w:rPr>
                <w:rFonts w:hint="eastAsia" w:ascii="宋体" w:hAnsi="宋体" w:cs="宋体"/>
                <w:kern w:val="0"/>
                <w:sz w:val="24"/>
                <w:lang w:val="en-US" w:eastAsia="zh-CN"/>
              </w:rPr>
              <w:t>培训保障措施（0-5分）</w:t>
            </w:r>
          </w:p>
        </w:tc>
        <w:tc>
          <w:tcPr>
            <w:tcW w:w="5920" w:type="dxa"/>
            <w:vAlign w:val="center"/>
          </w:tcPr>
          <w:p w14:paraId="4EE3E235">
            <w:pPr>
              <w:spacing w:before="57" w:line="360" w:lineRule="auto"/>
              <w:ind w:right="2"/>
              <w:jc w:val="left"/>
              <w:rPr>
                <w:rFonts w:hint="eastAsia" w:ascii="宋体" w:hAnsi="宋体" w:cs="宋体"/>
                <w:kern w:val="0"/>
                <w:sz w:val="24"/>
                <w:lang w:val="en-US" w:eastAsia="zh-CN"/>
              </w:rPr>
            </w:pPr>
            <w:r>
              <w:rPr>
                <w:rFonts w:hint="eastAsia" w:ascii="宋体" w:hAnsi="宋体" w:cs="宋体"/>
                <w:kern w:val="0"/>
                <w:sz w:val="24"/>
                <w:lang w:val="en-US" w:eastAsia="zh-CN"/>
              </w:rPr>
              <w:t>根据供应商针对本项目提供具体的人员培训实施方案，（包括以下内容，但不限于以下内容：培训对象、培训目的、培训方式、培训时间、培训内容等）进行评分：</w:t>
            </w:r>
          </w:p>
          <w:p w14:paraId="49921BEB">
            <w:pPr>
              <w:spacing w:before="57" w:line="360" w:lineRule="auto"/>
              <w:ind w:right="2"/>
              <w:jc w:val="left"/>
              <w:rPr>
                <w:rFonts w:hint="eastAsia" w:ascii="宋体" w:hAnsi="宋体" w:cs="宋体"/>
                <w:kern w:val="0"/>
                <w:sz w:val="24"/>
                <w:lang w:val="en-US" w:eastAsia="zh-CN"/>
              </w:rPr>
            </w:pPr>
            <w:r>
              <w:rPr>
                <w:rFonts w:hint="eastAsia" w:ascii="宋体" w:hAnsi="宋体" w:cs="宋体"/>
                <w:kern w:val="0"/>
                <w:sz w:val="24"/>
                <w:lang w:val="en-US" w:eastAsia="zh-CN"/>
              </w:rPr>
              <w:t>①内容全面详细、科学合理、实施操作性强，无缺失得4-5 分；</w:t>
            </w:r>
          </w:p>
          <w:p w14:paraId="62549840">
            <w:pPr>
              <w:spacing w:before="57" w:line="360" w:lineRule="auto"/>
              <w:ind w:right="2"/>
              <w:jc w:val="left"/>
              <w:rPr>
                <w:rFonts w:hint="eastAsia" w:ascii="宋体" w:hAnsi="宋体" w:cs="宋体"/>
                <w:kern w:val="0"/>
                <w:sz w:val="24"/>
                <w:lang w:val="en-US" w:eastAsia="zh-CN"/>
              </w:rPr>
            </w:pPr>
            <w:r>
              <w:rPr>
                <w:rFonts w:hint="eastAsia" w:ascii="宋体" w:hAnsi="宋体" w:cs="宋体"/>
                <w:kern w:val="0"/>
                <w:sz w:val="24"/>
                <w:lang w:val="en-US" w:eastAsia="zh-CN"/>
              </w:rPr>
              <w:t>②内容简单、基本合理得2-3分；</w:t>
            </w:r>
          </w:p>
          <w:p w14:paraId="53EF1082">
            <w:pPr>
              <w:spacing w:before="57" w:line="360" w:lineRule="auto"/>
              <w:ind w:right="2"/>
              <w:jc w:val="left"/>
              <w:rPr>
                <w:rFonts w:hint="eastAsia" w:ascii="宋体" w:hAnsi="宋体" w:cs="宋体"/>
                <w:kern w:val="0"/>
                <w:sz w:val="24"/>
                <w:lang w:val="en-US" w:eastAsia="zh-CN"/>
              </w:rPr>
            </w:pPr>
            <w:r>
              <w:rPr>
                <w:rFonts w:hint="eastAsia" w:ascii="宋体" w:hAnsi="宋体" w:cs="宋体"/>
                <w:kern w:val="0"/>
                <w:sz w:val="24"/>
                <w:lang w:val="en-US" w:eastAsia="zh-CN"/>
              </w:rPr>
              <w:t>③内容较差、不合理得0-1 分。</w:t>
            </w:r>
          </w:p>
          <w:p w14:paraId="789C2C05">
            <w:pPr>
              <w:spacing w:before="57" w:line="360" w:lineRule="auto"/>
              <w:ind w:right="2"/>
              <w:jc w:val="left"/>
              <w:rPr>
                <w:rFonts w:hint="eastAsia" w:ascii="宋体" w:hAnsi="宋体" w:cs="宋体"/>
                <w:kern w:val="0"/>
                <w:sz w:val="24"/>
                <w:lang w:val="en-US" w:eastAsia="zh-CN"/>
              </w:rPr>
            </w:pPr>
            <w:r>
              <w:rPr>
                <w:rFonts w:hint="eastAsia" w:ascii="宋体" w:hAnsi="宋体" w:cs="宋体"/>
                <w:kern w:val="0"/>
                <w:sz w:val="24"/>
                <w:lang w:val="en-US" w:eastAsia="zh-CN"/>
              </w:rPr>
              <w:t>未提供的不得分。</w:t>
            </w:r>
          </w:p>
        </w:tc>
      </w:tr>
      <w:tr w14:paraId="6F13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855" w:type="dxa"/>
            <w:gridSpan w:val="3"/>
            <w:vAlign w:val="center"/>
          </w:tcPr>
          <w:p w14:paraId="31D48267">
            <w:pPr>
              <w:jc w:val="center"/>
              <w:rPr>
                <w:rFonts w:ascii="宋体" w:hAnsi="宋体" w:cs="宋体"/>
                <w:sz w:val="24"/>
              </w:rPr>
            </w:pPr>
            <w:r>
              <w:rPr>
                <w:rFonts w:hint="eastAsia" w:ascii="宋体" w:hAnsi="宋体" w:cs="宋体"/>
                <w:kern w:val="0"/>
                <w:sz w:val="24"/>
              </w:rPr>
              <w:t>注：</w:t>
            </w:r>
            <w:r>
              <w:rPr>
                <w:rFonts w:hint="eastAsia" w:ascii="宋体" w:hAnsi="宋体" w:cs="宋体"/>
                <w:sz w:val="24"/>
              </w:rPr>
              <w:t>以上项目若有缺项或错误的，该项为0分；不缺项的，不低于最低分。</w:t>
            </w:r>
          </w:p>
        </w:tc>
      </w:tr>
      <w:tr w14:paraId="3ED3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898" w:type="dxa"/>
            <w:vMerge w:val="restart"/>
            <w:vAlign w:val="center"/>
          </w:tcPr>
          <w:p w14:paraId="52BDD2E8">
            <w:pPr>
              <w:autoSpaceDE w:val="0"/>
              <w:autoSpaceDN w:val="0"/>
              <w:adjustRightInd w:val="0"/>
              <w:spacing w:line="300" w:lineRule="exact"/>
              <w:jc w:val="center"/>
              <w:rPr>
                <w:rFonts w:ascii="宋体" w:hAnsi="宋体" w:cs="宋体"/>
                <w:sz w:val="24"/>
              </w:rPr>
            </w:pPr>
            <w:r>
              <w:rPr>
                <w:rFonts w:hint="eastAsia" w:ascii="宋体" w:hAnsi="宋体" w:cs="宋体"/>
                <w:sz w:val="24"/>
              </w:rPr>
              <w:t>商务标评分</w:t>
            </w:r>
          </w:p>
          <w:p w14:paraId="22CB918D">
            <w:pPr>
              <w:autoSpaceDE w:val="0"/>
              <w:autoSpaceDN w:val="0"/>
              <w:adjustRightInd w:val="0"/>
              <w:spacing w:line="300" w:lineRule="exact"/>
              <w:jc w:val="center"/>
              <w:rPr>
                <w:rFonts w:ascii="宋体" w:hAnsi="宋体" w:cs="宋体"/>
                <w:kern w:val="0"/>
                <w:sz w:val="24"/>
              </w:rPr>
            </w:pPr>
            <w:r>
              <w:rPr>
                <w:rFonts w:hint="eastAsia" w:ascii="宋体" w:hAnsi="宋体" w:cs="宋体"/>
                <w:kern w:val="0"/>
                <w:sz w:val="24"/>
              </w:rPr>
              <w:t>（20分）</w:t>
            </w:r>
          </w:p>
          <w:p w14:paraId="120BF401">
            <w:pPr>
              <w:spacing w:line="322" w:lineRule="auto"/>
              <w:jc w:val="center"/>
              <w:rPr>
                <w:rFonts w:ascii="宋体" w:hAnsi="宋体" w:cs="宋体"/>
                <w:sz w:val="24"/>
              </w:rPr>
            </w:pPr>
          </w:p>
        </w:tc>
        <w:tc>
          <w:tcPr>
            <w:tcW w:w="2037" w:type="dxa"/>
            <w:vAlign w:val="center"/>
          </w:tcPr>
          <w:p w14:paraId="551A5E01">
            <w:pPr>
              <w:adjustRightInd w:val="0"/>
              <w:snapToGrid w:val="0"/>
              <w:spacing w:line="360" w:lineRule="auto"/>
              <w:jc w:val="center"/>
              <w:rPr>
                <w:rFonts w:ascii="宋体" w:hAnsi="宋体" w:cs="宋体"/>
                <w:sz w:val="24"/>
              </w:rPr>
            </w:pPr>
            <w:r>
              <w:rPr>
                <w:rFonts w:hint="eastAsia" w:ascii="宋体" w:hAnsi="宋体" w:cs="宋体"/>
                <w:sz w:val="24"/>
              </w:rPr>
              <w:t>企业业绩</w:t>
            </w:r>
          </w:p>
          <w:p w14:paraId="14B0DDFE">
            <w:pPr>
              <w:widowControl/>
              <w:spacing w:line="336" w:lineRule="auto"/>
              <w:jc w:val="center"/>
              <w:rPr>
                <w:rFonts w:ascii="宋体" w:hAnsi="宋体" w:cs="宋体"/>
                <w:sz w:val="24"/>
              </w:rPr>
            </w:pPr>
            <w:r>
              <w:rPr>
                <w:rFonts w:hint="eastAsia" w:ascii="宋体" w:hAnsi="宋体" w:cs="宋体"/>
                <w:sz w:val="24"/>
              </w:rPr>
              <w:t>（</w:t>
            </w:r>
            <w:r>
              <w:rPr>
                <w:rFonts w:hint="eastAsia" w:ascii="宋体" w:hAnsi="宋体" w:cs="宋体"/>
                <w:sz w:val="24"/>
                <w:lang w:val="en-US" w:eastAsia="zh-CN"/>
              </w:rPr>
              <w:t>0-</w:t>
            </w:r>
            <w:r>
              <w:rPr>
                <w:rFonts w:hint="eastAsia" w:ascii="宋体" w:hAnsi="宋体" w:cs="宋体"/>
                <w:sz w:val="24"/>
              </w:rPr>
              <w:t>4分）</w:t>
            </w:r>
          </w:p>
        </w:tc>
        <w:tc>
          <w:tcPr>
            <w:tcW w:w="5920" w:type="dxa"/>
            <w:vAlign w:val="center"/>
          </w:tcPr>
          <w:p w14:paraId="7A6BC52F">
            <w:pPr>
              <w:spacing w:line="360" w:lineRule="auto"/>
              <w:jc w:val="left"/>
              <w:rPr>
                <w:rFonts w:ascii="宋体" w:hAnsi="宋体" w:cs="宋体"/>
                <w:sz w:val="24"/>
              </w:rPr>
            </w:pPr>
            <w:r>
              <w:rPr>
                <w:rFonts w:hint="eastAsia" w:ascii="宋体" w:hAnsi="宋体" w:cs="宋体"/>
                <w:sz w:val="24"/>
              </w:rPr>
              <w:t>投标</w:t>
            </w:r>
            <w:r>
              <w:rPr>
                <w:rFonts w:hint="eastAsia" w:ascii="宋体" w:hAnsi="宋体" w:cs="宋体"/>
                <w:sz w:val="24"/>
                <w:lang w:val="en-US" w:eastAsia="zh-CN"/>
              </w:rPr>
              <w:t>人需提供</w:t>
            </w:r>
            <w:r>
              <w:rPr>
                <w:rFonts w:hint="eastAsia" w:ascii="宋体" w:hAnsi="宋体" w:cs="宋体"/>
                <w:sz w:val="24"/>
              </w:rPr>
              <w:t>202</w:t>
            </w:r>
            <w:r>
              <w:rPr>
                <w:rFonts w:ascii="宋体" w:hAnsi="宋体" w:cs="宋体"/>
                <w:sz w:val="24"/>
              </w:rPr>
              <w:t>2</w:t>
            </w:r>
            <w:r>
              <w:rPr>
                <w:rFonts w:hint="eastAsia" w:ascii="宋体" w:hAnsi="宋体" w:cs="宋体"/>
                <w:sz w:val="24"/>
              </w:rPr>
              <w:t>年1月1日以来（以合同协议书签订时间或中标通知书时间为准）具有类似业绩的，每有一项得</w:t>
            </w:r>
            <w:r>
              <w:rPr>
                <w:rFonts w:ascii="宋体" w:hAnsi="宋体" w:cs="宋体"/>
                <w:sz w:val="24"/>
              </w:rPr>
              <w:t>2</w:t>
            </w:r>
            <w:r>
              <w:rPr>
                <w:rFonts w:hint="eastAsia" w:ascii="宋体" w:hAnsi="宋体" w:cs="宋体"/>
                <w:sz w:val="24"/>
              </w:rPr>
              <w:t>分，最多得</w:t>
            </w:r>
            <w:r>
              <w:rPr>
                <w:rFonts w:hint="eastAsia" w:ascii="宋体" w:hAnsi="宋体" w:cs="宋体"/>
                <w:sz w:val="24"/>
                <w:lang w:val="en-US" w:eastAsia="zh-CN"/>
              </w:rPr>
              <w:t>4</w:t>
            </w:r>
            <w:r>
              <w:rPr>
                <w:rFonts w:hint="eastAsia" w:ascii="宋体" w:hAnsi="宋体" w:cs="宋体"/>
                <w:sz w:val="24"/>
              </w:rPr>
              <w:t>分（注：需提供中标通知书或合同原件扫描件并加盖投标供应商公章，否则不计分）。</w:t>
            </w:r>
          </w:p>
        </w:tc>
      </w:tr>
      <w:tr w14:paraId="0FC6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898" w:type="dxa"/>
            <w:vMerge w:val="continue"/>
            <w:vAlign w:val="center"/>
          </w:tcPr>
          <w:p w14:paraId="69A204B7">
            <w:pPr>
              <w:spacing w:line="322" w:lineRule="auto"/>
              <w:jc w:val="center"/>
              <w:rPr>
                <w:rFonts w:ascii="宋体" w:hAnsi="宋体" w:cs="宋体"/>
                <w:sz w:val="24"/>
              </w:rPr>
            </w:pPr>
          </w:p>
        </w:tc>
        <w:tc>
          <w:tcPr>
            <w:tcW w:w="2037" w:type="dxa"/>
            <w:shd w:val="clear" w:color="auto" w:fill="auto"/>
            <w:vAlign w:val="center"/>
          </w:tcPr>
          <w:p w14:paraId="6BA2CC99">
            <w:pPr>
              <w:adjustRightInd w:val="0"/>
              <w:snapToGrid w:val="0"/>
              <w:spacing w:line="360" w:lineRule="auto"/>
              <w:jc w:val="center"/>
              <w:rPr>
                <w:rFonts w:hint="eastAsia" w:ascii="宋体" w:hAnsi="宋体" w:cs="宋体"/>
                <w:sz w:val="24"/>
              </w:rPr>
            </w:pPr>
            <w:r>
              <w:rPr>
                <w:rFonts w:hint="eastAsia" w:ascii="宋体" w:hAnsi="宋体" w:cs="宋体"/>
                <w:sz w:val="24"/>
                <w:lang w:val="en-US"/>
              </w:rPr>
              <w:t>服务</w:t>
            </w:r>
            <w:r>
              <w:rPr>
                <w:rFonts w:hint="eastAsia" w:ascii="宋体" w:hAnsi="宋体" w:cs="宋体"/>
                <w:sz w:val="24"/>
                <w:lang w:val="en-US" w:eastAsia="zh-CN"/>
              </w:rPr>
              <w:t>方案</w:t>
            </w:r>
          </w:p>
          <w:p w14:paraId="2234F1AC">
            <w:pPr>
              <w:adjustRightInd w:val="0"/>
              <w:snapToGrid w:val="0"/>
              <w:spacing w:line="360" w:lineRule="auto"/>
              <w:jc w:val="center"/>
              <w:rPr>
                <w:rFonts w:hint="eastAsia" w:ascii="宋体" w:hAnsi="宋体" w:cs="宋体"/>
                <w:sz w:val="24"/>
                <w:lang w:val="en-US" w:eastAsia="zh-CN"/>
              </w:rPr>
            </w:pPr>
            <w:r>
              <w:rPr>
                <w:rFonts w:hint="eastAsia" w:ascii="宋体" w:hAnsi="宋体" w:cs="宋体"/>
                <w:sz w:val="24"/>
              </w:rPr>
              <w:t>（</w:t>
            </w:r>
            <w:r>
              <w:rPr>
                <w:rFonts w:hint="eastAsia" w:ascii="宋体" w:hAnsi="宋体" w:cs="宋体"/>
                <w:sz w:val="24"/>
                <w:lang w:val="en-US" w:eastAsia="zh-CN"/>
              </w:rPr>
              <w:t>0-6</w:t>
            </w:r>
            <w:r>
              <w:rPr>
                <w:rFonts w:hint="eastAsia" w:ascii="宋体" w:hAnsi="宋体" w:cs="宋体"/>
                <w:sz w:val="24"/>
              </w:rPr>
              <w:t>分）</w:t>
            </w:r>
          </w:p>
        </w:tc>
        <w:tc>
          <w:tcPr>
            <w:tcW w:w="5920" w:type="dxa"/>
            <w:shd w:val="clear" w:color="auto" w:fill="auto"/>
            <w:vAlign w:val="center"/>
          </w:tcPr>
          <w:p w14:paraId="361B5FC5">
            <w:pPr>
              <w:spacing w:line="360" w:lineRule="auto"/>
              <w:jc w:val="left"/>
              <w:rPr>
                <w:rFonts w:hint="eastAsia" w:ascii="宋体" w:hAnsi="宋体" w:cs="宋体"/>
                <w:sz w:val="24"/>
                <w:lang w:val="en-US"/>
              </w:rPr>
            </w:pPr>
            <w:r>
              <w:rPr>
                <w:rFonts w:hint="eastAsia" w:ascii="宋体" w:hAnsi="宋体" w:cs="宋体"/>
                <w:sz w:val="24"/>
                <w:lang w:val="en-US"/>
              </w:rPr>
              <w:t>①针对本项目具有完善的服务体系，且后续服务安排合理、全面的得</w:t>
            </w:r>
            <w:r>
              <w:rPr>
                <w:rFonts w:hint="eastAsia" w:ascii="宋体" w:hAnsi="宋体" w:cs="宋体"/>
                <w:sz w:val="24"/>
                <w:lang w:val="en-US" w:eastAsia="zh-CN"/>
              </w:rPr>
              <w:t>5-6</w:t>
            </w:r>
            <w:r>
              <w:rPr>
                <w:rFonts w:hint="eastAsia" w:ascii="宋体" w:hAnsi="宋体" w:cs="宋体"/>
                <w:sz w:val="24"/>
                <w:lang w:val="en-US"/>
              </w:rPr>
              <w:t xml:space="preserve"> 分；</w:t>
            </w:r>
          </w:p>
          <w:p w14:paraId="129C17A4">
            <w:pPr>
              <w:spacing w:line="360" w:lineRule="auto"/>
              <w:jc w:val="left"/>
              <w:rPr>
                <w:rFonts w:hint="eastAsia" w:ascii="宋体" w:hAnsi="宋体" w:cs="宋体"/>
                <w:sz w:val="24"/>
                <w:lang w:val="en-US"/>
              </w:rPr>
            </w:pPr>
            <w:r>
              <w:rPr>
                <w:rFonts w:hint="eastAsia" w:ascii="宋体" w:hAnsi="宋体" w:cs="宋体"/>
                <w:sz w:val="24"/>
                <w:lang w:val="en-US"/>
              </w:rPr>
              <w:t xml:space="preserve">②服务方案较完善，且后续服务安排较合理的得 </w:t>
            </w:r>
            <w:r>
              <w:rPr>
                <w:rFonts w:hint="eastAsia" w:ascii="宋体" w:hAnsi="宋体" w:cs="宋体"/>
                <w:sz w:val="24"/>
                <w:lang w:val="en-US" w:eastAsia="zh-CN"/>
              </w:rPr>
              <w:t>3-4</w:t>
            </w:r>
            <w:r>
              <w:rPr>
                <w:rFonts w:hint="eastAsia" w:ascii="宋体" w:hAnsi="宋体" w:cs="宋体"/>
                <w:sz w:val="24"/>
                <w:lang w:val="en-US"/>
              </w:rPr>
              <w:t xml:space="preserve"> 分；</w:t>
            </w:r>
          </w:p>
          <w:p w14:paraId="3F908F8F">
            <w:pPr>
              <w:spacing w:line="360" w:lineRule="auto"/>
              <w:jc w:val="left"/>
              <w:rPr>
                <w:rFonts w:hint="eastAsia" w:ascii="宋体" w:hAnsi="宋体" w:cs="宋体"/>
                <w:sz w:val="24"/>
                <w:lang w:val="en-US"/>
              </w:rPr>
            </w:pPr>
            <w:r>
              <w:rPr>
                <w:rFonts w:hint="eastAsia" w:ascii="宋体" w:hAnsi="宋体" w:cs="宋体"/>
                <w:sz w:val="24"/>
                <w:lang w:val="en-US"/>
              </w:rPr>
              <w:t xml:space="preserve">③服务方案不完善，且后续服务安排较合理的得 </w:t>
            </w:r>
            <w:r>
              <w:rPr>
                <w:rFonts w:hint="eastAsia" w:ascii="宋体" w:hAnsi="宋体" w:cs="宋体"/>
                <w:sz w:val="24"/>
                <w:lang w:val="en-US" w:eastAsia="zh-CN"/>
              </w:rPr>
              <w:t>1-2</w:t>
            </w:r>
            <w:r>
              <w:rPr>
                <w:rFonts w:hint="eastAsia" w:ascii="宋体" w:hAnsi="宋体" w:cs="宋体"/>
                <w:sz w:val="24"/>
                <w:lang w:val="en-US"/>
              </w:rPr>
              <w:t xml:space="preserve"> 分；</w:t>
            </w:r>
          </w:p>
          <w:p w14:paraId="77403913">
            <w:pPr>
              <w:spacing w:line="360" w:lineRule="auto"/>
              <w:jc w:val="left"/>
              <w:rPr>
                <w:rFonts w:hint="eastAsia" w:ascii="宋体" w:hAnsi="宋体" w:cs="宋体"/>
                <w:sz w:val="24"/>
                <w:lang w:val="en-US" w:eastAsia="zh-CN"/>
              </w:rPr>
            </w:pPr>
            <w:r>
              <w:rPr>
                <w:rFonts w:hint="eastAsia" w:ascii="宋体" w:hAnsi="宋体" w:cs="宋体"/>
                <w:sz w:val="24"/>
                <w:lang w:val="en-US" w:eastAsia="zh-CN"/>
              </w:rPr>
              <w:t>未</w:t>
            </w:r>
            <w:r>
              <w:rPr>
                <w:rFonts w:hint="eastAsia" w:ascii="宋体" w:hAnsi="宋体" w:cs="宋体"/>
                <w:sz w:val="24"/>
                <w:lang w:val="en-US"/>
              </w:rPr>
              <w:t>提供</w:t>
            </w:r>
            <w:r>
              <w:rPr>
                <w:rFonts w:hint="eastAsia" w:ascii="宋体" w:hAnsi="宋体" w:cs="宋体"/>
                <w:sz w:val="24"/>
                <w:lang w:val="en-US" w:eastAsia="zh-CN"/>
              </w:rPr>
              <w:t>的</w:t>
            </w:r>
            <w:r>
              <w:rPr>
                <w:rFonts w:hint="eastAsia" w:ascii="宋体" w:hAnsi="宋体" w:cs="宋体"/>
                <w:sz w:val="24"/>
                <w:lang w:val="en-US"/>
              </w:rPr>
              <w:t>不得分</w:t>
            </w:r>
            <w:r>
              <w:rPr>
                <w:rFonts w:hint="eastAsia" w:ascii="宋体" w:hAnsi="宋体" w:cs="宋体"/>
                <w:sz w:val="24"/>
                <w:lang w:val="en-US" w:eastAsia="zh-CN"/>
              </w:rPr>
              <w:t>。</w:t>
            </w:r>
          </w:p>
        </w:tc>
      </w:tr>
      <w:tr w14:paraId="6D07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3" w:hRule="atLeast"/>
          <w:jc w:val="center"/>
        </w:trPr>
        <w:tc>
          <w:tcPr>
            <w:tcW w:w="1898" w:type="dxa"/>
            <w:vMerge w:val="continue"/>
            <w:vAlign w:val="center"/>
          </w:tcPr>
          <w:p w14:paraId="6FDF9575">
            <w:pPr>
              <w:autoSpaceDE w:val="0"/>
              <w:autoSpaceDN w:val="0"/>
              <w:adjustRightInd w:val="0"/>
              <w:spacing w:line="300" w:lineRule="exact"/>
              <w:jc w:val="center"/>
              <w:rPr>
                <w:rFonts w:ascii="宋体" w:hAnsi="宋体" w:cs="宋体"/>
                <w:kern w:val="0"/>
                <w:sz w:val="24"/>
              </w:rPr>
            </w:pPr>
          </w:p>
        </w:tc>
        <w:tc>
          <w:tcPr>
            <w:tcW w:w="2037" w:type="dxa"/>
            <w:vAlign w:val="center"/>
          </w:tcPr>
          <w:p w14:paraId="5F8F244A">
            <w:pPr>
              <w:spacing w:line="360" w:lineRule="auto"/>
              <w:jc w:val="left"/>
              <w:rPr>
                <w:rFonts w:hint="eastAsia" w:ascii="宋体" w:hAnsi="宋体" w:cs="宋体"/>
                <w:color w:val="auto"/>
                <w:sz w:val="24"/>
                <w:lang w:val="en-US"/>
              </w:rPr>
            </w:pPr>
            <w:r>
              <w:rPr>
                <w:rFonts w:hint="eastAsia" w:ascii="宋体" w:hAnsi="宋体" w:cs="宋体"/>
                <w:color w:val="auto"/>
                <w:sz w:val="24"/>
                <w:lang w:val="en-US"/>
              </w:rPr>
              <w:t>售后服务人员</w:t>
            </w:r>
          </w:p>
          <w:p w14:paraId="560E0758">
            <w:pPr>
              <w:spacing w:line="360" w:lineRule="auto"/>
              <w:jc w:val="left"/>
              <w:rPr>
                <w:rFonts w:hint="eastAsia" w:ascii="宋体" w:hAnsi="宋体" w:cs="宋体"/>
                <w:sz w:val="24"/>
                <w:lang w:val="en-US"/>
              </w:rPr>
            </w:pPr>
            <w:r>
              <w:rPr>
                <w:rFonts w:hint="eastAsia" w:ascii="宋体" w:hAnsi="宋体" w:cs="宋体"/>
                <w:sz w:val="24"/>
                <w:lang w:val="en-US"/>
              </w:rPr>
              <w:t>（</w:t>
            </w:r>
            <w:r>
              <w:rPr>
                <w:rFonts w:hint="eastAsia" w:ascii="宋体" w:hAnsi="宋体" w:cs="宋体"/>
                <w:sz w:val="24"/>
                <w:lang w:val="en-US" w:eastAsia="zh-CN"/>
              </w:rPr>
              <w:t>0-4</w:t>
            </w:r>
            <w:r>
              <w:rPr>
                <w:rFonts w:hint="eastAsia" w:ascii="宋体" w:hAnsi="宋体" w:cs="宋体"/>
                <w:sz w:val="24"/>
                <w:lang w:val="en-US"/>
              </w:rPr>
              <w:t>分）</w:t>
            </w:r>
          </w:p>
        </w:tc>
        <w:tc>
          <w:tcPr>
            <w:tcW w:w="5920" w:type="dxa"/>
            <w:vAlign w:val="center"/>
          </w:tcPr>
          <w:p w14:paraId="52EE95FD">
            <w:pPr>
              <w:spacing w:line="360" w:lineRule="auto"/>
              <w:jc w:val="left"/>
              <w:rPr>
                <w:rFonts w:hint="eastAsia" w:ascii="宋体" w:hAnsi="宋体" w:cs="宋体"/>
                <w:sz w:val="24"/>
                <w:lang w:val="en-US"/>
              </w:rPr>
            </w:pPr>
            <w:r>
              <w:rPr>
                <w:rFonts w:hint="eastAsia" w:ascii="宋体" w:hAnsi="宋体" w:cs="宋体"/>
                <w:sz w:val="24"/>
                <w:lang w:val="en-US"/>
              </w:rPr>
              <w:t>投标人或所投应急广播产品制造商派遣专业项目售后服务团队：</w:t>
            </w:r>
          </w:p>
          <w:p w14:paraId="367926F0">
            <w:pPr>
              <w:spacing w:line="360" w:lineRule="auto"/>
              <w:jc w:val="left"/>
              <w:rPr>
                <w:rFonts w:hint="eastAsia" w:ascii="宋体" w:hAnsi="宋体" w:cs="宋体"/>
                <w:sz w:val="24"/>
                <w:lang w:val="en-US"/>
              </w:rPr>
            </w:pPr>
            <w:r>
              <w:rPr>
                <w:rFonts w:hint="eastAsia" w:ascii="宋体" w:hAnsi="宋体" w:cs="宋体"/>
                <w:sz w:val="24"/>
                <w:lang w:val="en-US"/>
              </w:rPr>
              <w:t>①团队至少包含项目负责人1名、技术负责人1 名</w:t>
            </w:r>
            <w:r>
              <w:rPr>
                <w:rFonts w:hint="eastAsia" w:ascii="宋体" w:hAnsi="宋体" w:cs="宋体"/>
                <w:sz w:val="24"/>
                <w:lang w:val="en-US" w:eastAsia="zh-CN"/>
              </w:rPr>
              <w:t>（需提供上述人员有效社保的证明文件，未提供的不得分。）提供一名得1分，共计2分</w:t>
            </w:r>
            <w:r>
              <w:rPr>
                <w:rFonts w:hint="eastAsia" w:ascii="宋体" w:hAnsi="宋体" w:cs="宋体"/>
                <w:sz w:val="24"/>
                <w:lang w:val="en-US"/>
              </w:rPr>
              <w:t>；</w:t>
            </w:r>
          </w:p>
          <w:p w14:paraId="7BBDEB19">
            <w:pPr>
              <w:spacing w:line="360" w:lineRule="auto"/>
              <w:jc w:val="left"/>
              <w:rPr>
                <w:rFonts w:hint="eastAsia" w:ascii="宋体" w:hAnsi="宋体" w:cs="宋体"/>
                <w:sz w:val="24"/>
                <w:lang w:val="en-US"/>
              </w:rPr>
            </w:pPr>
            <w:r>
              <w:rPr>
                <w:rFonts w:hint="eastAsia" w:ascii="宋体" w:hAnsi="宋体" w:cs="宋体"/>
                <w:sz w:val="24"/>
                <w:lang w:val="en-US"/>
              </w:rPr>
              <w:t>②人员安排、岗位职责与培训制度</w:t>
            </w:r>
            <w:r>
              <w:rPr>
                <w:rFonts w:hint="eastAsia" w:ascii="宋体" w:hAnsi="宋体" w:cs="宋体"/>
                <w:sz w:val="24"/>
                <w:lang w:val="en-US" w:eastAsia="zh-CN"/>
              </w:rPr>
              <w:t>方面：</w:t>
            </w:r>
            <w:r>
              <w:rPr>
                <w:rFonts w:hint="eastAsia" w:ascii="宋体" w:hAnsi="宋体" w:cs="宋体"/>
                <w:sz w:val="24"/>
                <w:lang w:val="en-US"/>
              </w:rPr>
              <w:t>完整</w:t>
            </w:r>
            <w:r>
              <w:rPr>
                <w:rFonts w:hint="eastAsia" w:ascii="宋体" w:hAnsi="宋体" w:cs="宋体"/>
                <w:sz w:val="24"/>
                <w:lang w:val="en-US" w:eastAsia="zh-CN"/>
              </w:rPr>
              <w:t>详细</w:t>
            </w:r>
            <w:r>
              <w:rPr>
                <w:rFonts w:hint="eastAsia" w:ascii="宋体" w:hAnsi="宋体" w:cs="宋体"/>
                <w:sz w:val="24"/>
                <w:lang w:val="en-US"/>
              </w:rPr>
              <w:t>的得 2 分</w:t>
            </w:r>
            <w:r>
              <w:rPr>
                <w:rFonts w:hint="eastAsia" w:ascii="宋体" w:hAnsi="宋体" w:cs="宋体"/>
                <w:sz w:val="24"/>
                <w:lang w:val="en-US" w:eastAsia="zh-CN"/>
              </w:rPr>
              <w:t>；</w:t>
            </w:r>
            <w:r>
              <w:rPr>
                <w:rFonts w:hint="eastAsia" w:ascii="宋体" w:hAnsi="宋体" w:cs="宋体"/>
                <w:sz w:val="24"/>
                <w:lang w:val="en-US"/>
              </w:rPr>
              <w:t>方案内容不完整，与本项目实际情况不符的得</w:t>
            </w:r>
            <w:r>
              <w:rPr>
                <w:rFonts w:hint="eastAsia" w:ascii="宋体" w:hAnsi="宋体" w:cs="宋体"/>
                <w:sz w:val="24"/>
                <w:lang w:val="en-US" w:eastAsia="zh-CN"/>
              </w:rPr>
              <w:t>0-</w:t>
            </w:r>
            <w:r>
              <w:rPr>
                <w:rFonts w:hint="eastAsia" w:ascii="宋体" w:hAnsi="宋体" w:cs="宋体"/>
                <w:sz w:val="24"/>
                <w:lang w:val="en-US"/>
              </w:rPr>
              <w:t xml:space="preserve"> 1 分</w:t>
            </w:r>
            <w:r>
              <w:rPr>
                <w:rFonts w:hint="eastAsia" w:ascii="宋体" w:hAnsi="宋体" w:cs="宋体"/>
                <w:sz w:val="24"/>
                <w:lang w:val="en-US" w:eastAsia="zh-CN"/>
              </w:rPr>
              <w:t>。</w:t>
            </w:r>
          </w:p>
        </w:tc>
      </w:tr>
      <w:tr w14:paraId="6E68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1898" w:type="dxa"/>
            <w:vMerge w:val="continue"/>
            <w:vAlign w:val="center"/>
          </w:tcPr>
          <w:p w14:paraId="253F4FE3">
            <w:pPr>
              <w:autoSpaceDE w:val="0"/>
              <w:autoSpaceDN w:val="0"/>
              <w:adjustRightInd w:val="0"/>
              <w:spacing w:line="300" w:lineRule="exact"/>
              <w:jc w:val="center"/>
              <w:rPr>
                <w:rFonts w:ascii="宋体" w:hAnsi="宋体" w:cs="宋体"/>
                <w:kern w:val="0"/>
                <w:sz w:val="24"/>
              </w:rPr>
            </w:pPr>
          </w:p>
        </w:tc>
        <w:tc>
          <w:tcPr>
            <w:tcW w:w="2037" w:type="dxa"/>
            <w:vAlign w:val="center"/>
          </w:tcPr>
          <w:p w14:paraId="79A710B6">
            <w:pPr>
              <w:spacing w:before="57" w:line="360" w:lineRule="auto"/>
              <w:ind w:right="2"/>
              <w:jc w:val="center"/>
              <w:rPr>
                <w:rFonts w:ascii="宋体" w:hAnsi="宋体" w:cs="宋体"/>
                <w:kern w:val="0"/>
                <w:sz w:val="24"/>
              </w:rPr>
            </w:pPr>
            <w:r>
              <w:rPr>
                <w:rFonts w:hint="eastAsia" w:ascii="宋体" w:hAnsi="宋体" w:cs="宋体"/>
                <w:kern w:val="0"/>
                <w:sz w:val="24"/>
              </w:rPr>
              <w:t>售后服务承诺</w:t>
            </w:r>
          </w:p>
          <w:p w14:paraId="3A0D1568">
            <w:pPr>
              <w:spacing w:before="57" w:line="360" w:lineRule="auto"/>
              <w:ind w:right="2"/>
              <w:jc w:val="center"/>
              <w:rPr>
                <w:rFonts w:ascii="宋体" w:hAnsi="宋体" w:cs="宋体"/>
                <w:sz w:val="24"/>
              </w:rPr>
            </w:pPr>
            <w:r>
              <w:rPr>
                <w:rFonts w:hint="eastAsia" w:ascii="宋体" w:hAnsi="宋体" w:cs="宋体"/>
                <w:kern w:val="0"/>
                <w:sz w:val="24"/>
              </w:rPr>
              <w:t>（</w:t>
            </w:r>
            <w:r>
              <w:rPr>
                <w:rFonts w:hint="eastAsia" w:ascii="宋体" w:hAnsi="宋体" w:cs="宋体"/>
                <w:kern w:val="0"/>
                <w:sz w:val="24"/>
                <w:lang w:val="en-US" w:eastAsia="zh-CN"/>
              </w:rPr>
              <w:t>0-6</w:t>
            </w:r>
            <w:r>
              <w:rPr>
                <w:rFonts w:hint="eastAsia" w:ascii="宋体" w:hAnsi="宋体" w:cs="宋体"/>
                <w:kern w:val="0"/>
                <w:sz w:val="24"/>
              </w:rPr>
              <w:t>分）</w:t>
            </w:r>
          </w:p>
        </w:tc>
        <w:tc>
          <w:tcPr>
            <w:tcW w:w="5920" w:type="dxa"/>
            <w:vAlign w:val="center"/>
          </w:tcPr>
          <w:p w14:paraId="2946C5CA">
            <w:pPr>
              <w:spacing w:before="57" w:line="360" w:lineRule="auto"/>
              <w:ind w:right="2"/>
              <w:jc w:val="left"/>
              <w:rPr>
                <w:rFonts w:ascii="宋体" w:hAnsi="宋体" w:cs="宋体"/>
                <w:kern w:val="0"/>
                <w:sz w:val="24"/>
              </w:rPr>
            </w:pPr>
            <w:r>
              <w:rPr>
                <w:rFonts w:hint="eastAsia" w:ascii="宋体" w:hAnsi="宋体" w:cs="宋体"/>
                <w:kern w:val="0"/>
                <w:sz w:val="24"/>
              </w:rPr>
              <w:t>1、根据供应商的售后服务承诺，包括但不仅限于售后服务内容、故障响应时间和排除故障时限及上门维修人员安排等方面， 酌情打0～3分。</w:t>
            </w:r>
          </w:p>
          <w:p w14:paraId="3A5CFC1A">
            <w:pPr>
              <w:spacing w:before="57" w:line="360" w:lineRule="auto"/>
              <w:ind w:right="2"/>
              <w:jc w:val="left"/>
              <w:rPr>
                <w:rFonts w:ascii="宋体" w:hAnsi="宋体" w:cs="宋体"/>
                <w:sz w:val="24"/>
              </w:rPr>
            </w:pPr>
            <w:r>
              <w:rPr>
                <w:rFonts w:hint="eastAsia" w:ascii="宋体" w:hAnsi="宋体" w:cs="宋体"/>
                <w:kern w:val="0"/>
                <w:sz w:val="24"/>
              </w:rPr>
              <w:t>2、投标人产品包修、维修响应时间、定期回访及优惠承诺(0～</w:t>
            </w:r>
            <w:r>
              <w:rPr>
                <w:rFonts w:hint="eastAsia" w:ascii="宋体" w:hAnsi="宋体" w:cs="宋体"/>
                <w:kern w:val="0"/>
                <w:sz w:val="24"/>
                <w:lang w:val="en-US" w:eastAsia="zh-CN"/>
              </w:rPr>
              <w:t>3</w:t>
            </w:r>
            <w:r>
              <w:rPr>
                <w:rFonts w:hint="eastAsia" w:ascii="宋体" w:hAnsi="宋体" w:cs="宋体"/>
                <w:kern w:val="0"/>
                <w:sz w:val="24"/>
              </w:rPr>
              <w:t>分）</w:t>
            </w:r>
          </w:p>
        </w:tc>
      </w:tr>
      <w:tr w14:paraId="2BC9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55" w:type="dxa"/>
            <w:gridSpan w:val="3"/>
            <w:vAlign w:val="center"/>
          </w:tcPr>
          <w:p w14:paraId="74FECDE3">
            <w:pPr>
              <w:adjustRightInd w:val="0"/>
              <w:snapToGrid w:val="0"/>
              <w:spacing w:line="440" w:lineRule="atLeast"/>
              <w:rPr>
                <w:rFonts w:ascii="宋体" w:hAnsi="宋体" w:cs="宋体"/>
                <w:kern w:val="0"/>
                <w:sz w:val="24"/>
              </w:rPr>
            </w:pPr>
            <w:r>
              <w:rPr>
                <w:rFonts w:hint="eastAsia" w:ascii="宋体" w:hAnsi="宋体" w:cs="宋体"/>
                <w:sz w:val="24"/>
              </w:rPr>
              <w:t>综合得分＝投标报价得分＋技术标得分＋商务标得分</w:t>
            </w:r>
          </w:p>
        </w:tc>
      </w:tr>
      <w:bookmarkEnd w:id="38"/>
    </w:tbl>
    <w:p w14:paraId="4609EC0D">
      <w:pPr>
        <w:spacing w:line="360" w:lineRule="auto"/>
        <w:jc w:val="left"/>
        <w:rPr>
          <w:rFonts w:ascii="宋体" w:hAnsi="宋体" w:cs="宋体"/>
          <w:b/>
          <w:bCs/>
          <w:sz w:val="24"/>
        </w:rPr>
      </w:pPr>
      <w:bookmarkStart w:id="39" w:name="_Toc25603"/>
      <w:bookmarkEnd w:id="39"/>
      <w:bookmarkStart w:id="40" w:name="_Toc22060"/>
      <w:bookmarkEnd w:id="40"/>
      <w:bookmarkStart w:id="41" w:name="_Toc625"/>
      <w:bookmarkEnd w:id="41"/>
      <w:r>
        <w:rPr>
          <w:rFonts w:hint="eastAsia" w:ascii="宋体" w:hAnsi="宋体" w:cs="宋体"/>
          <w:b/>
          <w:bCs/>
          <w:sz w:val="24"/>
        </w:rPr>
        <w:t>1. 评标方法</w:t>
      </w:r>
    </w:p>
    <w:p w14:paraId="72A33EEA">
      <w:pPr>
        <w:spacing w:line="360" w:lineRule="auto"/>
        <w:ind w:firstLine="480" w:firstLineChars="200"/>
        <w:jc w:val="left"/>
        <w:rPr>
          <w:rFonts w:ascii="宋体" w:hAnsi="宋体" w:cs="宋体"/>
          <w:sz w:val="24"/>
        </w:rPr>
      </w:pPr>
      <w:r>
        <w:rPr>
          <w:rFonts w:hint="eastAsia" w:ascii="宋体" w:hAnsi="宋体" w:cs="宋体"/>
          <w:sz w:val="24"/>
        </w:rPr>
        <w:t>（1）本次评标采用综合评分法。</w:t>
      </w:r>
    </w:p>
    <w:p w14:paraId="3B10CA57">
      <w:pPr>
        <w:spacing w:line="360" w:lineRule="auto"/>
        <w:ind w:firstLine="480" w:firstLineChars="200"/>
        <w:jc w:val="left"/>
        <w:rPr>
          <w:rFonts w:ascii="宋体" w:hAnsi="宋体" w:cs="宋体"/>
          <w:sz w:val="24"/>
        </w:rPr>
      </w:pPr>
      <w:r>
        <w:rPr>
          <w:rFonts w:hint="eastAsia" w:ascii="宋体" w:hAnsi="宋体" w:cs="宋体"/>
          <w:sz w:val="24"/>
        </w:rPr>
        <w:t>（2）评标委员会对满足招标文件实质性要求的投标文件，按照本章规定的评分标准进行打分并按得分由高到低顺序推荐中标候选人，但投标报价低于其成本的除外。评标结果按评审后得分由高到低顺序排列。得分相同的，按响应报价由低到高顺序排列；得分且响应报价相同的，按技术</w:t>
      </w:r>
      <w:r>
        <w:rPr>
          <w:rFonts w:hint="eastAsia" w:ascii="宋体" w:hAnsi="宋体" w:cs="宋体"/>
          <w:sz w:val="24"/>
          <w:lang w:val="en-US" w:eastAsia="zh-CN"/>
        </w:rPr>
        <w:t>标得分高低</w:t>
      </w:r>
      <w:r>
        <w:rPr>
          <w:rFonts w:hint="eastAsia" w:ascii="宋体" w:hAnsi="宋体" w:cs="宋体"/>
          <w:sz w:val="24"/>
        </w:rPr>
        <w:t>排列。</w:t>
      </w:r>
    </w:p>
    <w:p w14:paraId="72A3E61E">
      <w:pPr>
        <w:spacing w:line="360" w:lineRule="auto"/>
        <w:ind w:firstLine="480" w:firstLineChars="200"/>
        <w:jc w:val="left"/>
        <w:rPr>
          <w:rFonts w:ascii="宋体" w:hAnsi="宋体" w:cs="宋体"/>
          <w:sz w:val="24"/>
        </w:rPr>
      </w:pPr>
      <w:r>
        <w:rPr>
          <w:rFonts w:hint="eastAsia" w:ascii="宋体" w:hAnsi="宋体" w:cs="宋体"/>
          <w:sz w:val="24"/>
        </w:rPr>
        <w:t>投标文件满足招标文件全部实质性要求，且按照评审因素的量化指标评审得分</w:t>
      </w:r>
      <w:r>
        <w:rPr>
          <w:rFonts w:hint="eastAsia" w:ascii="宋体" w:hAnsi="宋体" w:cs="宋体"/>
          <w:sz w:val="24"/>
          <w:lang w:val="en-US" w:eastAsia="zh-CN"/>
        </w:rPr>
        <w:t>高低推荐3名</w:t>
      </w:r>
      <w:r>
        <w:rPr>
          <w:rFonts w:hint="eastAsia" w:ascii="宋体" w:hAnsi="宋体" w:cs="宋体"/>
          <w:sz w:val="24"/>
        </w:rPr>
        <w:t>中标候选人。</w:t>
      </w:r>
    </w:p>
    <w:p w14:paraId="28D23293">
      <w:pPr>
        <w:spacing w:line="360" w:lineRule="auto"/>
        <w:jc w:val="left"/>
        <w:rPr>
          <w:rFonts w:ascii="宋体" w:hAnsi="宋体" w:cs="宋体"/>
          <w:b/>
          <w:bCs/>
          <w:sz w:val="24"/>
        </w:rPr>
      </w:pPr>
      <w:r>
        <w:rPr>
          <w:rFonts w:hint="eastAsia" w:ascii="宋体" w:hAnsi="宋体" w:cs="宋体"/>
          <w:b/>
          <w:bCs/>
          <w:sz w:val="24"/>
        </w:rPr>
        <w:t>2. 评审标准</w:t>
      </w:r>
    </w:p>
    <w:p w14:paraId="03B9AD90">
      <w:pPr>
        <w:spacing w:line="360" w:lineRule="auto"/>
        <w:jc w:val="left"/>
        <w:rPr>
          <w:rFonts w:ascii="宋体" w:hAnsi="宋体" w:cs="宋体"/>
          <w:b/>
          <w:bCs/>
          <w:sz w:val="24"/>
        </w:rPr>
      </w:pPr>
      <w:r>
        <w:rPr>
          <w:rFonts w:hint="eastAsia" w:ascii="宋体" w:hAnsi="宋体" w:cs="宋体"/>
          <w:b/>
          <w:bCs/>
          <w:sz w:val="24"/>
        </w:rPr>
        <w:t>2.1 初步评审标准</w:t>
      </w:r>
    </w:p>
    <w:p w14:paraId="78146F03">
      <w:pPr>
        <w:spacing w:line="360" w:lineRule="auto"/>
        <w:ind w:firstLine="480" w:firstLineChars="200"/>
        <w:jc w:val="left"/>
        <w:rPr>
          <w:rFonts w:ascii="宋体" w:hAnsi="宋体" w:cs="宋体"/>
          <w:sz w:val="24"/>
        </w:rPr>
      </w:pPr>
      <w:r>
        <w:rPr>
          <w:rFonts w:hint="eastAsia" w:ascii="宋体" w:hAnsi="宋体" w:cs="宋体"/>
          <w:sz w:val="24"/>
        </w:rPr>
        <w:t>2.1.1 形式评审标准：见评标办法前附表。</w:t>
      </w:r>
    </w:p>
    <w:p w14:paraId="56ACF40A">
      <w:pPr>
        <w:spacing w:line="360" w:lineRule="auto"/>
        <w:ind w:firstLine="480" w:firstLineChars="200"/>
        <w:jc w:val="left"/>
        <w:rPr>
          <w:rFonts w:ascii="宋体" w:hAnsi="宋体" w:cs="宋体"/>
          <w:sz w:val="24"/>
        </w:rPr>
      </w:pPr>
      <w:r>
        <w:rPr>
          <w:rFonts w:hint="eastAsia" w:ascii="宋体" w:hAnsi="宋体" w:cs="宋体"/>
          <w:sz w:val="24"/>
        </w:rPr>
        <w:t>2.1.2 资格评审标准：见评标办法前附表。</w:t>
      </w:r>
    </w:p>
    <w:p w14:paraId="16205D73">
      <w:pPr>
        <w:spacing w:line="360" w:lineRule="auto"/>
        <w:ind w:firstLine="480" w:firstLineChars="200"/>
        <w:jc w:val="left"/>
        <w:rPr>
          <w:rFonts w:ascii="宋体" w:hAnsi="宋体" w:cs="宋体"/>
          <w:sz w:val="24"/>
        </w:rPr>
      </w:pPr>
      <w:r>
        <w:rPr>
          <w:rFonts w:hint="eastAsia" w:ascii="宋体" w:hAnsi="宋体" w:cs="宋体"/>
          <w:sz w:val="24"/>
        </w:rPr>
        <w:t>2.1.3 响应性评审标准：见评标办法前附表。</w:t>
      </w:r>
    </w:p>
    <w:p w14:paraId="0BB03172">
      <w:pPr>
        <w:spacing w:line="360" w:lineRule="auto"/>
        <w:jc w:val="left"/>
        <w:rPr>
          <w:rFonts w:ascii="宋体" w:hAnsi="宋体" w:cs="宋体"/>
          <w:b/>
          <w:bCs/>
          <w:sz w:val="24"/>
        </w:rPr>
      </w:pPr>
      <w:r>
        <w:rPr>
          <w:rFonts w:hint="eastAsia" w:ascii="宋体" w:hAnsi="宋体" w:cs="宋体"/>
          <w:b/>
          <w:bCs/>
          <w:sz w:val="24"/>
        </w:rPr>
        <w:t>2.2 分值构成与评分标准</w:t>
      </w:r>
    </w:p>
    <w:p w14:paraId="0A0090E5">
      <w:pPr>
        <w:spacing w:line="360" w:lineRule="auto"/>
        <w:ind w:firstLine="480" w:firstLineChars="200"/>
        <w:jc w:val="left"/>
        <w:rPr>
          <w:rFonts w:ascii="宋体" w:hAnsi="宋体" w:cs="宋体"/>
          <w:sz w:val="24"/>
        </w:rPr>
      </w:pPr>
      <w:r>
        <w:rPr>
          <w:rFonts w:hint="eastAsia" w:ascii="宋体" w:hAnsi="宋体" w:cs="宋体"/>
          <w:sz w:val="24"/>
        </w:rPr>
        <w:t>2.2.1 技术部分：见评标办法前附表；</w:t>
      </w:r>
    </w:p>
    <w:p w14:paraId="6C021928">
      <w:pPr>
        <w:spacing w:line="360" w:lineRule="auto"/>
        <w:ind w:firstLine="480" w:firstLineChars="200"/>
        <w:jc w:val="left"/>
        <w:rPr>
          <w:rFonts w:ascii="宋体" w:hAnsi="宋体" w:cs="宋体"/>
          <w:sz w:val="24"/>
        </w:rPr>
      </w:pPr>
      <w:r>
        <w:rPr>
          <w:rFonts w:hint="eastAsia" w:ascii="宋体" w:hAnsi="宋体" w:cs="宋体"/>
          <w:sz w:val="24"/>
        </w:rPr>
        <w:t>2.2.2 综合标：见评标办法前附表；</w:t>
      </w:r>
    </w:p>
    <w:p w14:paraId="1DDCE8E7">
      <w:pPr>
        <w:spacing w:line="360" w:lineRule="auto"/>
        <w:ind w:firstLine="480" w:firstLineChars="200"/>
        <w:jc w:val="left"/>
        <w:rPr>
          <w:rFonts w:ascii="宋体" w:hAnsi="宋体" w:cs="宋体"/>
          <w:sz w:val="24"/>
        </w:rPr>
      </w:pPr>
      <w:r>
        <w:rPr>
          <w:rFonts w:hint="eastAsia" w:ascii="宋体" w:hAnsi="宋体" w:cs="宋体"/>
          <w:sz w:val="24"/>
        </w:rPr>
        <w:t>2.2.3 投标报价：见评标办法前附表；</w:t>
      </w:r>
    </w:p>
    <w:p w14:paraId="748D54F2">
      <w:pPr>
        <w:spacing w:line="360" w:lineRule="auto"/>
        <w:jc w:val="left"/>
        <w:rPr>
          <w:rFonts w:ascii="宋体" w:hAnsi="宋体" w:cs="宋体"/>
          <w:b/>
          <w:bCs/>
          <w:sz w:val="24"/>
        </w:rPr>
      </w:pPr>
      <w:r>
        <w:rPr>
          <w:rFonts w:hint="eastAsia" w:ascii="宋体" w:hAnsi="宋体" w:cs="宋体"/>
          <w:b/>
          <w:bCs/>
          <w:sz w:val="24"/>
        </w:rPr>
        <w:t>3. 评标程序</w:t>
      </w:r>
    </w:p>
    <w:p w14:paraId="2CCB47F3">
      <w:pPr>
        <w:spacing w:line="360" w:lineRule="auto"/>
        <w:jc w:val="left"/>
        <w:rPr>
          <w:rFonts w:ascii="宋体" w:hAnsi="宋体" w:cs="宋体"/>
          <w:b/>
          <w:bCs/>
          <w:sz w:val="24"/>
        </w:rPr>
      </w:pPr>
      <w:r>
        <w:rPr>
          <w:rFonts w:hint="eastAsia" w:ascii="宋体" w:hAnsi="宋体" w:cs="宋体"/>
          <w:b/>
          <w:bCs/>
          <w:sz w:val="24"/>
        </w:rPr>
        <w:t>3.1 初步评审</w:t>
      </w:r>
    </w:p>
    <w:p w14:paraId="6ADCF6EF">
      <w:pPr>
        <w:adjustRightInd w:val="0"/>
        <w:snapToGrid w:val="0"/>
        <w:spacing w:line="360" w:lineRule="auto"/>
        <w:rPr>
          <w:rFonts w:ascii="宋体" w:hAnsi="宋体" w:cs="宋体"/>
          <w:sz w:val="24"/>
        </w:rPr>
      </w:pPr>
      <w:r>
        <w:rPr>
          <w:rFonts w:hint="eastAsia" w:ascii="宋体" w:hAnsi="宋体" w:cs="宋体"/>
          <w:sz w:val="24"/>
        </w:rPr>
        <w:t>3.1 初步评审</w:t>
      </w:r>
    </w:p>
    <w:p w14:paraId="7DB0A376">
      <w:pPr>
        <w:adjustRightInd w:val="0"/>
        <w:snapToGrid w:val="0"/>
        <w:spacing w:line="360" w:lineRule="auto"/>
        <w:rPr>
          <w:rFonts w:ascii="宋体" w:hAnsi="宋体" w:cs="宋体"/>
          <w:sz w:val="24"/>
        </w:rPr>
      </w:pPr>
      <w:r>
        <w:rPr>
          <w:rFonts w:hint="eastAsia" w:ascii="宋体" w:hAnsi="宋体" w:cs="宋体"/>
          <w:sz w:val="24"/>
        </w:rPr>
        <w:t xml:space="preserve">    3.1.1</w:t>
      </w:r>
      <w:r>
        <w:rPr>
          <w:rFonts w:hint="eastAsia" w:ascii="宋体" w:hAnsi="宋体" w:cs="宋体"/>
          <w:sz w:val="24"/>
          <w:lang w:val="en-US" w:eastAsia="zh-CN"/>
        </w:rPr>
        <w:t>招标人</w:t>
      </w:r>
      <w:r>
        <w:rPr>
          <w:rFonts w:hint="eastAsia" w:ascii="宋体" w:hAnsi="宋体" w:cs="宋体"/>
          <w:sz w:val="24"/>
        </w:rPr>
        <w:t>应该以投标人的投标文件为准，进行核验。评标委员会依据本章规定的评审标准对投标文件进行初步评审。有一项不符合评审标准的，作废标处理。</w:t>
      </w:r>
    </w:p>
    <w:p w14:paraId="34C48585">
      <w:pPr>
        <w:adjustRightInd w:val="0"/>
        <w:snapToGrid w:val="0"/>
        <w:spacing w:line="360" w:lineRule="auto"/>
        <w:ind w:firstLine="480" w:firstLineChars="200"/>
        <w:rPr>
          <w:rFonts w:ascii="宋体" w:hAnsi="宋体" w:cs="宋体"/>
          <w:sz w:val="24"/>
        </w:rPr>
      </w:pPr>
      <w:r>
        <w:rPr>
          <w:rFonts w:hint="eastAsia" w:ascii="宋体" w:hAnsi="宋体" w:cs="宋体"/>
          <w:sz w:val="24"/>
        </w:rPr>
        <w:t>3.1.2 投标人有以下情形之一的，其投标作无效标处理：</w:t>
      </w:r>
    </w:p>
    <w:p w14:paraId="51CFB58D">
      <w:pPr>
        <w:adjustRightInd w:val="0"/>
        <w:snapToGrid w:val="0"/>
        <w:spacing w:line="360" w:lineRule="auto"/>
        <w:ind w:firstLine="480" w:firstLineChars="200"/>
        <w:rPr>
          <w:rFonts w:ascii="宋体" w:hAnsi="宋体" w:cs="宋体"/>
          <w:sz w:val="24"/>
        </w:rPr>
      </w:pPr>
      <w:r>
        <w:rPr>
          <w:rFonts w:hint="eastAsia" w:ascii="宋体" w:hAnsi="宋体" w:cs="宋体"/>
          <w:sz w:val="24"/>
        </w:rPr>
        <w:t>（1）串通投标或弄虚作假或有其他违法行为的；</w:t>
      </w:r>
    </w:p>
    <w:p w14:paraId="1CC10D68">
      <w:pPr>
        <w:adjustRightInd w:val="0"/>
        <w:snapToGrid w:val="0"/>
        <w:spacing w:line="360" w:lineRule="auto"/>
        <w:ind w:firstLine="480" w:firstLineChars="200"/>
        <w:rPr>
          <w:rFonts w:ascii="宋体" w:hAnsi="宋体" w:cs="宋体"/>
          <w:sz w:val="24"/>
        </w:rPr>
      </w:pPr>
      <w:r>
        <w:rPr>
          <w:rFonts w:hint="eastAsia" w:ascii="宋体" w:hAnsi="宋体" w:cs="宋体"/>
          <w:sz w:val="24"/>
        </w:rPr>
        <w:t>（2）不按评标委员会要求澄清、说明或补正的。</w:t>
      </w:r>
    </w:p>
    <w:p w14:paraId="54B1917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3.1.3 投标报价有算术错误的，评标委员会按以下原则对投标报价进行修正，修正的价格经投标人书面确认后具有约束力。投标人不接受修正价格的，其投标作无效标处理。</w:t>
      </w:r>
    </w:p>
    <w:p w14:paraId="0BE2285C">
      <w:pPr>
        <w:autoSpaceDE w:val="0"/>
        <w:autoSpaceDN w:val="0"/>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（1）投标文件中的大写金额与小写金额不一致的，以大写金额为准；</w:t>
      </w:r>
    </w:p>
    <w:p w14:paraId="60CDCB1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14:paraId="554C9E36">
      <w:pPr>
        <w:spacing w:line="360" w:lineRule="auto"/>
        <w:jc w:val="left"/>
        <w:rPr>
          <w:rFonts w:ascii="宋体" w:hAnsi="宋体" w:cs="宋体"/>
          <w:b/>
          <w:bCs/>
          <w:sz w:val="24"/>
        </w:rPr>
      </w:pPr>
      <w:r>
        <w:rPr>
          <w:rFonts w:hint="eastAsia" w:ascii="宋体" w:hAnsi="宋体" w:cs="宋体"/>
          <w:b/>
          <w:bCs/>
          <w:sz w:val="24"/>
        </w:rPr>
        <w:t>3.2 详细评审</w:t>
      </w:r>
    </w:p>
    <w:p w14:paraId="4A35F3FE">
      <w:pPr>
        <w:spacing w:line="360" w:lineRule="auto"/>
        <w:ind w:firstLine="480" w:firstLineChars="200"/>
        <w:jc w:val="left"/>
        <w:rPr>
          <w:rFonts w:ascii="宋体" w:hAnsi="宋体" w:cs="宋体"/>
          <w:sz w:val="24"/>
        </w:rPr>
      </w:pPr>
      <w:r>
        <w:rPr>
          <w:rFonts w:hint="eastAsia" w:ascii="宋体" w:hAnsi="宋体" w:cs="宋体"/>
          <w:sz w:val="24"/>
        </w:rPr>
        <w:t>3.2.1 评标委员会按本章规定的量化因素和分值进行打分，并计算出综合评估得分。</w:t>
      </w:r>
    </w:p>
    <w:p w14:paraId="41F35B28">
      <w:pPr>
        <w:spacing w:line="360" w:lineRule="auto"/>
        <w:ind w:firstLine="480" w:firstLineChars="200"/>
        <w:jc w:val="left"/>
        <w:rPr>
          <w:rFonts w:ascii="宋体" w:hAnsi="宋体" w:cs="宋体"/>
          <w:sz w:val="24"/>
        </w:rPr>
      </w:pPr>
      <w:r>
        <w:rPr>
          <w:rFonts w:hint="eastAsia" w:ascii="宋体" w:hAnsi="宋体" w:cs="宋体"/>
          <w:sz w:val="24"/>
        </w:rPr>
        <w:t>（1） 按本章第2.2.1 规定的评审因素和分值对技术因素计算出得分A ；</w:t>
      </w:r>
    </w:p>
    <w:p w14:paraId="70BCD61C">
      <w:pPr>
        <w:spacing w:line="360" w:lineRule="auto"/>
        <w:ind w:firstLine="480" w:firstLineChars="200"/>
        <w:jc w:val="left"/>
        <w:rPr>
          <w:rFonts w:ascii="宋体" w:hAnsi="宋体" w:cs="宋体"/>
          <w:sz w:val="24"/>
        </w:rPr>
      </w:pPr>
      <w:r>
        <w:rPr>
          <w:rFonts w:hint="eastAsia" w:ascii="宋体" w:hAnsi="宋体" w:cs="宋体"/>
          <w:sz w:val="24"/>
        </w:rPr>
        <w:t>（2） 按本章第2.2.2 规定的评审因素和分值对综合因素计算出得分B；</w:t>
      </w:r>
    </w:p>
    <w:p w14:paraId="5CB2AEDC">
      <w:pPr>
        <w:spacing w:line="360" w:lineRule="auto"/>
        <w:ind w:firstLine="480" w:firstLineChars="200"/>
        <w:jc w:val="left"/>
        <w:rPr>
          <w:rFonts w:ascii="宋体" w:hAnsi="宋体" w:cs="宋体"/>
          <w:sz w:val="24"/>
        </w:rPr>
      </w:pPr>
      <w:r>
        <w:rPr>
          <w:rFonts w:hint="eastAsia" w:ascii="宋体" w:hAnsi="宋体" w:cs="宋体"/>
          <w:sz w:val="24"/>
        </w:rPr>
        <w:t>（3） 按本章第2.2.3 规定的评审因素和分值对投标报价计算出得分C 。</w:t>
      </w:r>
    </w:p>
    <w:p w14:paraId="50C60E93">
      <w:pPr>
        <w:spacing w:line="360" w:lineRule="auto"/>
        <w:ind w:firstLine="480" w:firstLineChars="200"/>
        <w:jc w:val="left"/>
        <w:rPr>
          <w:rFonts w:ascii="宋体" w:hAnsi="宋体" w:cs="宋体"/>
          <w:sz w:val="24"/>
        </w:rPr>
      </w:pPr>
      <w:r>
        <w:rPr>
          <w:rFonts w:hint="eastAsia" w:ascii="宋体" w:hAnsi="宋体" w:cs="宋体"/>
          <w:sz w:val="24"/>
        </w:rPr>
        <w:t>3.2.2 评分分值计算保留小数点后两位，小数点后第三位“四舍五入”。</w:t>
      </w:r>
    </w:p>
    <w:p w14:paraId="598C6B61">
      <w:pPr>
        <w:spacing w:line="360" w:lineRule="auto"/>
        <w:ind w:firstLine="480" w:firstLineChars="200"/>
        <w:jc w:val="left"/>
        <w:rPr>
          <w:rFonts w:ascii="宋体" w:hAnsi="宋体" w:cs="宋体"/>
          <w:sz w:val="24"/>
        </w:rPr>
      </w:pPr>
      <w:r>
        <w:rPr>
          <w:rFonts w:hint="eastAsia" w:ascii="宋体" w:hAnsi="宋体" w:cs="宋体"/>
          <w:sz w:val="24"/>
        </w:rPr>
        <w:t>3.2.3 投标人得分＝A+B+C。投标人的最终得分为各评委所评定分数的算术平均值。</w:t>
      </w:r>
    </w:p>
    <w:p w14:paraId="6D89B977">
      <w:pPr>
        <w:spacing w:line="360" w:lineRule="auto"/>
        <w:ind w:firstLine="480" w:firstLineChars="200"/>
        <w:jc w:val="left"/>
        <w:rPr>
          <w:rFonts w:ascii="宋体" w:hAnsi="宋体" w:cs="宋体"/>
          <w:sz w:val="24"/>
        </w:rPr>
      </w:pPr>
      <w:r>
        <w:rPr>
          <w:rFonts w:hint="eastAsia" w:ascii="宋体" w:hAnsi="宋体" w:cs="宋体"/>
          <w:sz w:val="24"/>
        </w:rPr>
        <w:t>3.2.4 评标委员会发现投标人的报价明显低于其他投标报价，或者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其投标作无效标处理。</w:t>
      </w:r>
    </w:p>
    <w:p w14:paraId="6F4B6C26">
      <w:pPr>
        <w:spacing w:line="360" w:lineRule="auto"/>
        <w:jc w:val="left"/>
        <w:rPr>
          <w:rFonts w:ascii="宋体" w:hAnsi="宋体" w:cs="宋体"/>
          <w:b/>
          <w:bCs/>
          <w:sz w:val="24"/>
        </w:rPr>
      </w:pPr>
      <w:r>
        <w:rPr>
          <w:rFonts w:hint="eastAsia" w:ascii="宋体" w:hAnsi="宋体" w:cs="宋体"/>
          <w:b/>
          <w:bCs/>
          <w:sz w:val="24"/>
        </w:rPr>
        <w:t>3.3 投标文件的澄清和补正</w:t>
      </w:r>
    </w:p>
    <w:p w14:paraId="66976885">
      <w:pPr>
        <w:spacing w:line="360" w:lineRule="auto"/>
        <w:ind w:firstLine="480" w:firstLineChars="200"/>
        <w:jc w:val="left"/>
        <w:rPr>
          <w:rFonts w:ascii="宋体" w:hAnsi="宋体" w:cs="宋体"/>
          <w:sz w:val="24"/>
        </w:rPr>
      </w:pPr>
      <w:r>
        <w:rPr>
          <w:rFonts w:hint="eastAsia" w:ascii="宋体" w:hAnsi="宋体" w:cs="宋体"/>
          <w:sz w:val="24"/>
        </w:rPr>
        <w:t>3.3.1 在评标过程中，评标委员会可以可以通过电子平台要求供应商对响应文件中含义不明确、对同类问题表述不一致或者有明显文字和计算错误的内容作必要的澄清、说明或补正。澄清、说明或补正应通过电子平台方式进行。评标委员会不接受供应商主动提出的澄清、说明或补正。</w:t>
      </w:r>
    </w:p>
    <w:p w14:paraId="6D08B574">
      <w:pPr>
        <w:spacing w:line="360" w:lineRule="auto"/>
        <w:ind w:firstLine="480" w:firstLineChars="200"/>
        <w:jc w:val="left"/>
        <w:rPr>
          <w:rFonts w:ascii="宋体" w:hAnsi="宋体" w:cs="宋体"/>
          <w:sz w:val="24"/>
        </w:rPr>
      </w:pPr>
      <w:r>
        <w:rPr>
          <w:rFonts w:hint="eastAsia" w:ascii="宋体" w:hAnsi="宋体" w:cs="宋体"/>
          <w:sz w:val="24"/>
        </w:rPr>
        <w:t>3.3.2 澄清、说明和补正不得改变投标文件的实质性内容（算术性错误修正的除外）。投标人的澄清、说明和补正属于投标文件的组成部分。</w:t>
      </w:r>
    </w:p>
    <w:p w14:paraId="78E5F900">
      <w:pPr>
        <w:spacing w:line="360" w:lineRule="auto"/>
        <w:ind w:firstLine="480" w:firstLineChars="200"/>
        <w:jc w:val="left"/>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14:paraId="3E6E64B1">
      <w:pPr>
        <w:spacing w:line="360" w:lineRule="auto"/>
        <w:jc w:val="left"/>
        <w:rPr>
          <w:rFonts w:ascii="宋体" w:hAnsi="宋体" w:cs="宋体"/>
          <w:b/>
          <w:bCs/>
          <w:sz w:val="24"/>
        </w:rPr>
      </w:pPr>
      <w:r>
        <w:rPr>
          <w:rFonts w:hint="eastAsia" w:ascii="宋体" w:hAnsi="宋体" w:cs="宋体"/>
          <w:b/>
          <w:bCs/>
          <w:sz w:val="24"/>
        </w:rPr>
        <w:t>3.4 评标结果</w:t>
      </w:r>
    </w:p>
    <w:p w14:paraId="110701D4">
      <w:pPr>
        <w:spacing w:line="360" w:lineRule="auto"/>
        <w:ind w:firstLine="480" w:firstLineChars="200"/>
        <w:jc w:val="left"/>
        <w:rPr>
          <w:rFonts w:ascii="宋体" w:hAnsi="宋体" w:cs="宋体"/>
          <w:sz w:val="24"/>
        </w:rPr>
      </w:pPr>
      <w:r>
        <w:rPr>
          <w:rFonts w:hint="eastAsia" w:ascii="宋体" w:hAnsi="宋体" w:cs="宋体"/>
          <w:sz w:val="24"/>
        </w:rPr>
        <w:t>3.4.1 除第二章“投标人须知”前附表授权直接确定中标人外，评标委员会按照得分由高到低的顺序推荐中标候选人。</w:t>
      </w:r>
    </w:p>
    <w:p w14:paraId="284EE7C4">
      <w:pPr>
        <w:spacing w:line="360" w:lineRule="auto"/>
        <w:ind w:firstLine="480" w:firstLineChars="200"/>
        <w:jc w:val="left"/>
        <w:rPr>
          <w:rFonts w:ascii="宋体" w:hAnsi="宋体" w:cs="宋体"/>
          <w:sz w:val="24"/>
        </w:rPr>
      </w:pPr>
      <w:r>
        <w:rPr>
          <w:rFonts w:hint="eastAsia" w:ascii="宋体" w:hAnsi="宋体" w:cs="宋体"/>
          <w:sz w:val="24"/>
        </w:rPr>
        <w:t>3.4.2 采购代理机构应当在评标结束后2 个工作日内将评标报告送采购人；</w:t>
      </w:r>
    </w:p>
    <w:p w14:paraId="6E85D7D7">
      <w:pPr>
        <w:spacing w:line="360" w:lineRule="auto"/>
        <w:ind w:firstLine="480" w:firstLineChars="200"/>
        <w:jc w:val="left"/>
        <w:rPr>
          <w:rFonts w:ascii="宋体" w:hAnsi="宋体" w:cs="宋体"/>
          <w:sz w:val="24"/>
        </w:rPr>
      </w:pPr>
      <w:r>
        <w:rPr>
          <w:rFonts w:hint="eastAsia" w:ascii="宋体" w:hAnsi="宋体" w:cs="宋体"/>
          <w:sz w:val="24"/>
        </w:rPr>
        <w:t>3.4.3 采购人应当自收到评标报告之日起5 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78F5AB31">
      <w:pPr>
        <w:spacing w:line="480" w:lineRule="exact"/>
        <w:ind w:firstLine="480" w:firstLineChars="200"/>
        <w:rPr>
          <w:rFonts w:hint="eastAsia" w:ascii="宋体" w:hAnsi="宋体" w:cs="宋体" w:eastAsiaTheme="minorEastAsia"/>
          <w:sz w:val="24"/>
          <w:lang w:eastAsia="zh-CN"/>
        </w:rPr>
      </w:pPr>
      <w:r>
        <w:rPr>
          <w:rFonts w:hint="eastAsia" w:ascii="宋体" w:hAnsi="宋体" w:cs="宋体"/>
          <w:sz w:val="24"/>
        </w:rPr>
        <w:t>3.4.4 采购人在收到评标报告5个工作日内未按评标报告推荐的中标候选人顺序确定中标人，又不能说明合法理由的，视同按评标报告推荐的顺序确定排名第一的中标候选人为中标人</w:t>
      </w:r>
      <w:r>
        <w:rPr>
          <w:rFonts w:hint="eastAsia" w:ascii="宋体" w:hAnsi="宋体" w:cs="宋体"/>
          <w:sz w:val="24"/>
          <w:lang w:eastAsia="zh-CN"/>
        </w:rPr>
        <w:t>。</w:t>
      </w:r>
    </w:p>
    <w:p w14:paraId="5D0B5703">
      <w:pPr>
        <w:widowControl/>
        <w:jc w:val="left"/>
        <w:rPr>
          <w:rFonts w:ascii="宋体" w:hAnsi="宋体" w:cs="宋体"/>
          <w:sz w:val="24"/>
        </w:rPr>
      </w:pPr>
      <w:r>
        <w:rPr>
          <w:rFonts w:hint="eastAsia" w:ascii="宋体" w:hAnsi="宋体" w:cs="宋体"/>
          <w:sz w:val="24"/>
        </w:rPr>
        <w:br w:type="page"/>
      </w:r>
    </w:p>
    <w:p w14:paraId="7D12CB3D">
      <w:pPr>
        <w:pStyle w:val="3"/>
      </w:pPr>
      <w:bookmarkStart w:id="42" w:name="_Toc16415"/>
      <w:r>
        <w:rPr>
          <w:rFonts w:hint="eastAsia"/>
        </w:rPr>
        <w:t>第五章  合同条款及格式</w:t>
      </w:r>
      <w:bookmarkEnd w:id="42"/>
    </w:p>
    <w:p w14:paraId="264B8906">
      <w:pPr>
        <w:ind w:firstLine="482"/>
        <w:rPr>
          <w:rFonts w:ascii="宋体" w:hAnsi="宋体"/>
          <w:b/>
          <w:bCs/>
        </w:rPr>
      </w:pPr>
    </w:p>
    <w:p w14:paraId="06CA5905">
      <w:pPr>
        <w:keepNext/>
        <w:keepLines/>
        <w:tabs>
          <w:tab w:val="left" w:pos="2445"/>
        </w:tabs>
        <w:spacing w:line="480" w:lineRule="exact"/>
        <w:ind w:firstLine="3080" w:firstLineChars="1100"/>
        <w:textAlignment w:val="baseline"/>
        <w:outlineLvl w:val="0"/>
        <w:rPr>
          <w:rFonts w:ascii="宋体" w:hAnsi="宋体" w:cs="宋体"/>
          <w:kern w:val="44"/>
          <w:sz w:val="28"/>
          <w:szCs w:val="28"/>
        </w:rPr>
      </w:pPr>
      <w:bookmarkStart w:id="43" w:name="_Toc982"/>
      <w:r>
        <w:rPr>
          <w:rFonts w:hint="eastAsia" w:ascii="宋体" w:hAnsi="宋体" w:cs="宋体"/>
          <w:kern w:val="44"/>
          <w:sz w:val="28"/>
          <w:szCs w:val="28"/>
        </w:rPr>
        <w:t>政府采购合同（主要条款）</w:t>
      </w:r>
      <w:bookmarkEnd w:id="43"/>
    </w:p>
    <w:p w14:paraId="4A5A56F8">
      <w:pPr>
        <w:spacing w:line="480" w:lineRule="exact"/>
        <w:ind w:firstLine="480" w:firstLineChars="200"/>
        <w:jc w:val="center"/>
        <w:rPr>
          <w:rFonts w:ascii="宋体" w:hAnsi="宋体" w:cs="宋体"/>
          <w:sz w:val="24"/>
        </w:rPr>
      </w:pPr>
      <w:r>
        <w:rPr>
          <w:rFonts w:hint="eastAsia" w:ascii="宋体" w:hAnsi="宋体" w:cs="宋体"/>
          <w:sz w:val="24"/>
        </w:rPr>
        <w:t>（仅供参考）</w:t>
      </w:r>
    </w:p>
    <w:p w14:paraId="63DFD68A">
      <w:pPr>
        <w:spacing w:line="460" w:lineRule="exact"/>
        <w:ind w:firstLine="480" w:firstLineChars="200"/>
        <w:rPr>
          <w:rFonts w:ascii="宋体" w:hAnsi="宋体" w:cs="宋体"/>
          <w:sz w:val="24"/>
        </w:rPr>
      </w:pPr>
      <w:r>
        <w:rPr>
          <w:rFonts w:hint="eastAsia" w:ascii="宋体" w:hAnsi="宋体" w:cs="宋体"/>
          <w:sz w:val="24"/>
        </w:rPr>
        <w:t>项目名称：</w:t>
      </w:r>
    </w:p>
    <w:p w14:paraId="0103DE0A">
      <w:pPr>
        <w:spacing w:line="460" w:lineRule="exact"/>
        <w:ind w:firstLine="480" w:firstLineChars="200"/>
        <w:rPr>
          <w:rFonts w:ascii="宋体" w:hAnsi="宋体" w:cs="宋体"/>
          <w:sz w:val="24"/>
        </w:rPr>
      </w:pPr>
      <w:r>
        <w:rPr>
          <w:rFonts w:hint="eastAsia" w:ascii="宋体" w:hAnsi="宋体" w:cs="宋体"/>
          <w:sz w:val="24"/>
        </w:rPr>
        <w:t>招标编号：</w:t>
      </w:r>
    </w:p>
    <w:p w14:paraId="488D557D">
      <w:pPr>
        <w:spacing w:line="460" w:lineRule="exact"/>
        <w:ind w:firstLine="480" w:firstLineChars="200"/>
        <w:rPr>
          <w:rFonts w:ascii="宋体" w:hAnsi="宋体" w:cs="宋体"/>
          <w:sz w:val="24"/>
        </w:rPr>
      </w:pPr>
      <w:r>
        <w:rPr>
          <w:rFonts w:hint="eastAsia" w:ascii="宋体" w:hAnsi="宋体" w:cs="宋体"/>
          <w:sz w:val="24"/>
        </w:rPr>
        <w:t>甲方：（采购人）</w:t>
      </w:r>
    </w:p>
    <w:p w14:paraId="6810386C">
      <w:pPr>
        <w:spacing w:line="460" w:lineRule="exact"/>
        <w:ind w:firstLine="480" w:firstLineChars="200"/>
        <w:rPr>
          <w:rFonts w:ascii="宋体" w:hAnsi="宋体" w:cs="宋体"/>
          <w:sz w:val="24"/>
        </w:rPr>
      </w:pPr>
      <w:r>
        <w:rPr>
          <w:rFonts w:hint="eastAsia" w:ascii="宋体" w:hAnsi="宋体" w:cs="宋体"/>
          <w:sz w:val="24"/>
        </w:rPr>
        <w:t>乙方：（中标投标人）</w:t>
      </w:r>
    </w:p>
    <w:p w14:paraId="22665DF0">
      <w:pPr>
        <w:spacing w:line="460" w:lineRule="exact"/>
        <w:ind w:firstLine="480" w:firstLineChars="200"/>
        <w:rPr>
          <w:rFonts w:ascii="宋体" w:hAnsi="宋体" w:cs="宋体"/>
          <w:sz w:val="24"/>
        </w:rPr>
      </w:pPr>
      <w:r>
        <w:rPr>
          <w:rFonts w:hint="eastAsia" w:ascii="宋体" w:hAnsi="宋体" w:cs="宋体"/>
          <w:sz w:val="24"/>
        </w:rPr>
        <w:t>甲、乙双方根据《中华人民共和国采购法》、《中华人民共和国合同法》等法律法规的规定，按照（招标编号）的招标结果签订本合同。</w:t>
      </w:r>
    </w:p>
    <w:p w14:paraId="5DF49EFC">
      <w:pPr>
        <w:spacing w:line="460" w:lineRule="exact"/>
        <w:ind w:firstLine="480" w:firstLineChars="200"/>
        <w:rPr>
          <w:rFonts w:ascii="宋体" w:hAnsi="宋体" w:cs="宋体"/>
          <w:sz w:val="24"/>
        </w:rPr>
      </w:pPr>
      <w:r>
        <w:rPr>
          <w:rFonts w:hint="eastAsia" w:ascii="宋体" w:hAnsi="宋体" w:cs="宋体"/>
          <w:sz w:val="24"/>
        </w:rPr>
        <w:t>1.货物内容</w:t>
      </w:r>
    </w:p>
    <w:p w14:paraId="2E3FB289">
      <w:pPr>
        <w:spacing w:line="460" w:lineRule="exact"/>
        <w:ind w:firstLine="480" w:firstLineChars="200"/>
        <w:rPr>
          <w:rFonts w:ascii="宋体" w:hAnsi="宋体" w:cs="宋体"/>
          <w:sz w:val="24"/>
        </w:rPr>
      </w:pPr>
      <w:r>
        <w:rPr>
          <w:rFonts w:hint="eastAsia" w:ascii="宋体" w:hAnsi="宋体" w:cs="宋体"/>
          <w:sz w:val="24"/>
        </w:rPr>
        <w:t>1.1 货物名称：</w:t>
      </w:r>
    </w:p>
    <w:p w14:paraId="72E6CE24">
      <w:pPr>
        <w:spacing w:line="460" w:lineRule="exact"/>
        <w:ind w:firstLine="480" w:firstLineChars="200"/>
        <w:rPr>
          <w:rFonts w:ascii="宋体" w:hAnsi="宋体" w:cs="宋体"/>
          <w:sz w:val="24"/>
        </w:rPr>
      </w:pPr>
      <w:r>
        <w:rPr>
          <w:rFonts w:hint="eastAsia" w:ascii="宋体" w:hAnsi="宋体" w:cs="宋体"/>
          <w:sz w:val="24"/>
        </w:rPr>
        <w:t>1.2 型号规格：</w:t>
      </w:r>
    </w:p>
    <w:p w14:paraId="46E1213C">
      <w:pPr>
        <w:spacing w:line="460" w:lineRule="exact"/>
        <w:ind w:firstLine="480" w:firstLineChars="200"/>
        <w:rPr>
          <w:rFonts w:ascii="宋体" w:hAnsi="宋体" w:cs="宋体"/>
          <w:sz w:val="24"/>
        </w:rPr>
      </w:pPr>
      <w:r>
        <w:rPr>
          <w:rFonts w:hint="eastAsia" w:ascii="宋体" w:hAnsi="宋体" w:cs="宋体"/>
          <w:sz w:val="24"/>
        </w:rPr>
        <w:t>1.3 技术参数：</w:t>
      </w:r>
    </w:p>
    <w:p w14:paraId="0E51B3BF">
      <w:pPr>
        <w:spacing w:line="460" w:lineRule="exact"/>
        <w:ind w:firstLine="480" w:firstLineChars="200"/>
        <w:rPr>
          <w:rFonts w:ascii="宋体" w:hAnsi="宋体" w:cs="宋体"/>
          <w:sz w:val="24"/>
        </w:rPr>
      </w:pPr>
      <w:r>
        <w:rPr>
          <w:rFonts w:hint="eastAsia" w:ascii="宋体" w:hAnsi="宋体" w:cs="宋体"/>
          <w:sz w:val="24"/>
        </w:rPr>
        <w:t>1.4 数量（单位）：</w:t>
      </w:r>
    </w:p>
    <w:p w14:paraId="5D6C8855">
      <w:pPr>
        <w:spacing w:line="460" w:lineRule="exact"/>
        <w:ind w:firstLine="480" w:firstLineChars="200"/>
        <w:rPr>
          <w:rFonts w:ascii="宋体" w:hAnsi="宋体" w:cs="宋体"/>
          <w:sz w:val="24"/>
        </w:rPr>
      </w:pPr>
      <w:r>
        <w:rPr>
          <w:rFonts w:hint="eastAsia" w:ascii="宋体" w:hAnsi="宋体" w:cs="宋体"/>
          <w:sz w:val="24"/>
        </w:rPr>
        <w:t>2.合同金额</w:t>
      </w:r>
    </w:p>
    <w:p w14:paraId="73FD8DCA">
      <w:pPr>
        <w:spacing w:line="460" w:lineRule="exact"/>
        <w:ind w:firstLine="480" w:firstLineChars="200"/>
        <w:rPr>
          <w:rFonts w:ascii="宋体" w:hAnsi="宋体" w:cs="宋体"/>
          <w:sz w:val="24"/>
        </w:rPr>
      </w:pPr>
      <w:r>
        <w:rPr>
          <w:rFonts w:hint="eastAsia" w:ascii="宋体" w:hAnsi="宋体" w:cs="宋体"/>
          <w:sz w:val="24"/>
        </w:rPr>
        <w:t>本合同金额为人民币（大写）：___________元（￥________元）。</w:t>
      </w:r>
    </w:p>
    <w:p w14:paraId="10725C4C">
      <w:pPr>
        <w:spacing w:line="460" w:lineRule="exact"/>
        <w:ind w:firstLine="480" w:firstLineChars="200"/>
        <w:rPr>
          <w:rFonts w:ascii="宋体" w:hAnsi="宋体" w:cs="宋体"/>
          <w:sz w:val="24"/>
        </w:rPr>
      </w:pPr>
      <w:r>
        <w:rPr>
          <w:rFonts w:hint="eastAsia" w:ascii="宋体" w:hAnsi="宋体" w:cs="宋体"/>
          <w:sz w:val="24"/>
        </w:rPr>
        <w:t>3.技术资料</w:t>
      </w:r>
    </w:p>
    <w:p w14:paraId="3B43ED9B">
      <w:pPr>
        <w:spacing w:line="460" w:lineRule="exact"/>
        <w:ind w:firstLine="480" w:firstLineChars="200"/>
        <w:rPr>
          <w:rFonts w:ascii="宋体" w:hAnsi="宋体" w:cs="宋体"/>
          <w:sz w:val="24"/>
        </w:rPr>
      </w:pPr>
      <w:r>
        <w:rPr>
          <w:rFonts w:hint="eastAsia" w:ascii="宋体" w:hAnsi="宋体" w:cs="宋体"/>
          <w:sz w:val="24"/>
        </w:rPr>
        <w:t>3.1乙方按招标文件规定的时间向甲方提供使用货物的有关技术资料。</w:t>
      </w:r>
    </w:p>
    <w:p w14:paraId="22EE8888">
      <w:pPr>
        <w:spacing w:line="460" w:lineRule="exact"/>
        <w:ind w:firstLine="480" w:firstLineChars="200"/>
        <w:rPr>
          <w:rFonts w:ascii="宋体" w:hAnsi="宋体" w:cs="宋体"/>
          <w:sz w:val="24"/>
        </w:rPr>
      </w:pPr>
      <w:r>
        <w:rPr>
          <w:rFonts w:hint="eastAsia" w:ascii="宋体" w:hAnsi="宋体" w:cs="宋体"/>
          <w:sz w:val="24"/>
        </w:rPr>
        <w:t>3.2 没有甲方事先书面同意，乙方不得将由甲方提供的有关合同或任何合同条文、规格、计划、图纸、样品或资料提供给与履行本合同无关的任何其他人。</w:t>
      </w:r>
    </w:p>
    <w:p w14:paraId="3FE38137">
      <w:pPr>
        <w:spacing w:line="460" w:lineRule="exact"/>
        <w:ind w:firstLine="480" w:firstLineChars="200"/>
        <w:rPr>
          <w:rFonts w:ascii="宋体" w:hAnsi="宋体" w:cs="宋体"/>
          <w:sz w:val="24"/>
        </w:rPr>
      </w:pPr>
      <w:r>
        <w:rPr>
          <w:rFonts w:hint="eastAsia" w:ascii="宋体" w:hAnsi="宋体" w:cs="宋体"/>
          <w:sz w:val="24"/>
        </w:rPr>
        <w:t>4.知识产权</w:t>
      </w:r>
    </w:p>
    <w:p w14:paraId="109481B9">
      <w:pPr>
        <w:spacing w:line="460" w:lineRule="exact"/>
        <w:ind w:firstLine="480" w:firstLineChars="200"/>
        <w:rPr>
          <w:rFonts w:ascii="宋体" w:hAnsi="宋体" w:cs="宋体"/>
          <w:sz w:val="24"/>
        </w:rPr>
      </w:pPr>
      <w:r>
        <w:rPr>
          <w:rFonts w:hint="eastAsia" w:ascii="宋体" w:hAnsi="宋体" w:cs="宋体"/>
          <w:sz w:val="24"/>
        </w:rPr>
        <w:t>乙方保证所提供的货物或其任何一部分均不会侵犯任何第三方的知识产权。</w:t>
      </w:r>
    </w:p>
    <w:p w14:paraId="0C573AF6">
      <w:pPr>
        <w:spacing w:line="460" w:lineRule="exact"/>
        <w:ind w:firstLine="480" w:firstLineChars="200"/>
        <w:rPr>
          <w:rFonts w:ascii="宋体" w:hAnsi="宋体" w:cs="宋体"/>
          <w:sz w:val="24"/>
        </w:rPr>
      </w:pPr>
      <w:r>
        <w:rPr>
          <w:rFonts w:hint="eastAsia" w:ascii="宋体" w:hAnsi="宋体" w:cs="宋体"/>
          <w:sz w:val="24"/>
        </w:rPr>
        <w:t>5.产权担保</w:t>
      </w:r>
    </w:p>
    <w:p w14:paraId="1F56D75C">
      <w:pPr>
        <w:spacing w:line="460" w:lineRule="exact"/>
        <w:ind w:firstLine="480" w:firstLineChars="200"/>
        <w:rPr>
          <w:rFonts w:ascii="宋体" w:hAnsi="宋体" w:cs="宋体"/>
          <w:sz w:val="24"/>
        </w:rPr>
      </w:pPr>
      <w:r>
        <w:rPr>
          <w:rFonts w:hint="eastAsia" w:ascii="宋体" w:hAnsi="宋体" w:cs="宋体"/>
          <w:sz w:val="24"/>
        </w:rPr>
        <w:t>乙方保证所交付的货物的所有权完全属于乙方且无任何抵押、查封等产权瑕</w:t>
      </w:r>
    </w:p>
    <w:p w14:paraId="5C36AC36">
      <w:pPr>
        <w:spacing w:line="460" w:lineRule="exact"/>
        <w:ind w:firstLine="480" w:firstLineChars="200"/>
        <w:rPr>
          <w:rFonts w:ascii="宋体" w:hAnsi="宋体" w:cs="宋体"/>
          <w:sz w:val="24"/>
        </w:rPr>
      </w:pPr>
      <w:r>
        <w:rPr>
          <w:rFonts w:hint="eastAsia" w:ascii="宋体" w:hAnsi="宋体" w:cs="宋体"/>
          <w:sz w:val="24"/>
        </w:rPr>
        <w:t>疵。</w:t>
      </w:r>
    </w:p>
    <w:p w14:paraId="3224FFBD">
      <w:pPr>
        <w:spacing w:line="460" w:lineRule="exact"/>
        <w:ind w:firstLine="480" w:firstLineChars="200"/>
        <w:rPr>
          <w:rFonts w:ascii="宋体" w:hAnsi="宋体" w:cs="宋体"/>
          <w:sz w:val="24"/>
        </w:rPr>
      </w:pPr>
      <w:r>
        <w:rPr>
          <w:rFonts w:hint="eastAsia" w:ascii="宋体" w:hAnsi="宋体" w:cs="宋体"/>
          <w:sz w:val="24"/>
        </w:rPr>
        <w:t>6.转包或分包</w:t>
      </w:r>
    </w:p>
    <w:p w14:paraId="5918FB4D">
      <w:pPr>
        <w:spacing w:line="460" w:lineRule="exact"/>
        <w:ind w:firstLine="480" w:firstLineChars="200"/>
        <w:rPr>
          <w:rFonts w:ascii="宋体" w:hAnsi="宋体" w:cs="宋体"/>
          <w:sz w:val="24"/>
        </w:rPr>
      </w:pPr>
      <w:r>
        <w:rPr>
          <w:rFonts w:hint="eastAsia" w:ascii="宋体" w:hAnsi="宋体" w:cs="宋体"/>
          <w:sz w:val="24"/>
        </w:rPr>
        <w:t>6.1本合同范围的货物，由乙方直接供应，不得转让他人供应。</w:t>
      </w:r>
    </w:p>
    <w:p w14:paraId="63E170DD">
      <w:pPr>
        <w:spacing w:line="460" w:lineRule="exact"/>
        <w:ind w:firstLine="480" w:firstLineChars="200"/>
        <w:rPr>
          <w:rFonts w:ascii="宋体" w:hAnsi="宋体" w:cs="宋体"/>
          <w:sz w:val="24"/>
        </w:rPr>
      </w:pPr>
      <w:r>
        <w:rPr>
          <w:rFonts w:hint="eastAsia" w:ascii="宋体" w:hAnsi="宋体" w:cs="宋体"/>
          <w:sz w:val="24"/>
        </w:rPr>
        <w:t>6.2 除非得到甲方的书面同意，乙方不得部分分包给他人供应。</w:t>
      </w:r>
    </w:p>
    <w:p w14:paraId="7DE6D549">
      <w:pPr>
        <w:spacing w:line="460" w:lineRule="exact"/>
        <w:ind w:firstLine="480" w:firstLineChars="200"/>
        <w:rPr>
          <w:rFonts w:ascii="宋体" w:hAnsi="宋体" w:cs="宋体"/>
          <w:sz w:val="24"/>
        </w:rPr>
      </w:pPr>
      <w:r>
        <w:rPr>
          <w:rFonts w:hint="eastAsia" w:ascii="宋体" w:hAnsi="宋体" w:cs="宋体"/>
          <w:sz w:val="24"/>
        </w:rPr>
        <w:t>6.3如有转让和未经甲方同意的分包行为，甲方有权给予终止合同。</w:t>
      </w:r>
    </w:p>
    <w:p w14:paraId="423F9119">
      <w:pPr>
        <w:spacing w:line="460" w:lineRule="exact"/>
        <w:ind w:firstLine="480" w:firstLineChars="200"/>
        <w:rPr>
          <w:rFonts w:ascii="宋体" w:hAnsi="宋体" w:cs="宋体"/>
          <w:sz w:val="24"/>
        </w:rPr>
      </w:pPr>
      <w:r>
        <w:rPr>
          <w:rFonts w:hint="eastAsia" w:ascii="宋体" w:hAnsi="宋体" w:cs="宋体"/>
          <w:sz w:val="24"/>
        </w:rPr>
        <w:t>7.供货期、交货方式及交货地点</w:t>
      </w:r>
    </w:p>
    <w:p w14:paraId="577C4651">
      <w:pPr>
        <w:spacing w:line="460" w:lineRule="exact"/>
        <w:ind w:firstLine="480" w:firstLineChars="200"/>
        <w:rPr>
          <w:rFonts w:ascii="宋体" w:hAnsi="宋体" w:cs="宋体"/>
          <w:sz w:val="24"/>
        </w:rPr>
      </w:pPr>
      <w:r>
        <w:rPr>
          <w:rFonts w:hint="eastAsia" w:ascii="宋体" w:hAnsi="宋体" w:cs="宋体"/>
          <w:sz w:val="24"/>
        </w:rPr>
        <w:t>7.1 供货期：</w:t>
      </w:r>
    </w:p>
    <w:p w14:paraId="1C8B46B6">
      <w:pPr>
        <w:spacing w:line="460" w:lineRule="exact"/>
        <w:ind w:firstLine="480" w:firstLineChars="200"/>
        <w:rPr>
          <w:rFonts w:ascii="宋体" w:hAnsi="宋体" w:cs="宋体"/>
          <w:sz w:val="24"/>
        </w:rPr>
      </w:pPr>
      <w:r>
        <w:rPr>
          <w:rFonts w:hint="eastAsia" w:ascii="宋体" w:hAnsi="宋体" w:cs="宋体"/>
          <w:sz w:val="24"/>
        </w:rPr>
        <w:t>7.2 交货方式：</w:t>
      </w:r>
    </w:p>
    <w:p w14:paraId="1A0CFFF9">
      <w:pPr>
        <w:spacing w:line="460" w:lineRule="exact"/>
        <w:ind w:firstLine="480" w:firstLineChars="200"/>
        <w:rPr>
          <w:rFonts w:ascii="宋体" w:hAnsi="宋体" w:cs="宋体"/>
          <w:sz w:val="24"/>
        </w:rPr>
      </w:pPr>
      <w:r>
        <w:rPr>
          <w:rFonts w:hint="eastAsia" w:ascii="宋体" w:hAnsi="宋体" w:cs="宋体"/>
          <w:sz w:val="24"/>
        </w:rPr>
        <w:t>7.3 交货地点：</w:t>
      </w:r>
      <w:r>
        <w:rPr>
          <w:rFonts w:hint="eastAsia" w:ascii="宋体" w:hAnsi="宋体" w:cs="宋体"/>
          <w:sz w:val="24"/>
        </w:rPr>
        <w:tab/>
      </w:r>
    </w:p>
    <w:p w14:paraId="37C1C28E">
      <w:pPr>
        <w:spacing w:line="460" w:lineRule="exact"/>
        <w:ind w:firstLine="480" w:firstLineChars="200"/>
        <w:rPr>
          <w:rFonts w:ascii="宋体" w:hAnsi="宋体" w:cs="宋体"/>
          <w:sz w:val="24"/>
        </w:rPr>
      </w:pPr>
      <w:r>
        <w:rPr>
          <w:rFonts w:hint="eastAsia" w:ascii="宋体" w:hAnsi="宋体" w:cs="宋体"/>
          <w:sz w:val="24"/>
        </w:rPr>
        <w:t>8.货款支付：双方协商。</w:t>
      </w:r>
    </w:p>
    <w:p w14:paraId="42A0D6E1">
      <w:pPr>
        <w:spacing w:line="460" w:lineRule="exact"/>
        <w:ind w:firstLine="480" w:firstLineChars="200"/>
        <w:rPr>
          <w:rFonts w:ascii="宋体" w:hAnsi="宋体" w:cs="宋体"/>
          <w:sz w:val="24"/>
        </w:rPr>
      </w:pPr>
      <w:r>
        <w:rPr>
          <w:rFonts w:hint="eastAsia" w:ascii="宋体" w:hAnsi="宋体" w:cs="宋体"/>
          <w:sz w:val="24"/>
        </w:rPr>
        <w:t>9.税费</w:t>
      </w:r>
    </w:p>
    <w:p w14:paraId="769BE219">
      <w:pPr>
        <w:spacing w:line="460" w:lineRule="exact"/>
        <w:ind w:firstLine="480" w:firstLineChars="200"/>
        <w:rPr>
          <w:rFonts w:ascii="宋体" w:hAnsi="宋体" w:cs="宋体"/>
          <w:sz w:val="24"/>
        </w:rPr>
      </w:pPr>
      <w:r>
        <w:rPr>
          <w:rFonts w:hint="eastAsia" w:ascii="宋体" w:hAnsi="宋体" w:cs="宋体"/>
          <w:sz w:val="24"/>
        </w:rPr>
        <w:t>本合同执行中相关的一切税费均由乙方负担。</w:t>
      </w:r>
    </w:p>
    <w:p w14:paraId="1F8E5E0A">
      <w:pPr>
        <w:spacing w:line="460" w:lineRule="exact"/>
        <w:ind w:firstLine="480" w:firstLineChars="200"/>
        <w:rPr>
          <w:rFonts w:ascii="宋体" w:hAnsi="宋体" w:cs="宋体"/>
          <w:sz w:val="24"/>
        </w:rPr>
      </w:pPr>
      <w:r>
        <w:rPr>
          <w:rFonts w:hint="eastAsia" w:ascii="宋体" w:hAnsi="宋体" w:cs="宋体"/>
          <w:sz w:val="24"/>
        </w:rPr>
        <w:t>10.货物包装、发运及运输</w:t>
      </w:r>
    </w:p>
    <w:p w14:paraId="6FB7BEEA">
      <w:pPr>
        <w:spacing w:line="460" w:lineRule="exact"/>
        <w:ind w:firstLine="480" w:firstLineChars="200"/>
        <w:rPr>
          <w:rFonts w:ascii="宋体" w:hAnsi="宋体" w:cs="宋体"/>
          <w:sz w:val="24"/>
        </w:rPr>
      </w:pPr>
      <w:r>
        <w:rPr>
          <w:rFonts w:hint="eastAsia" w:ascii="宋体" w:hAnsi="宋体" w:cs="宋体"/>
          <w:sz w:val="24"/>
        </w:rPr>
        <w:t>10.1 乙方在货物发运前对其进行满足运输距离、防潮、防震、防锈和防破损装卸等要求包装，以保证货物安全运达甲方指定地点。</w:t>
      </w:r>
    </w:p>
    <w:p w14:paraId="2832C723">
      <w:pPr>
        <w:spacing w:line="460" w:lineRule="exact"/>
        <w:ind w:firstLine="480" w:firstLineChars="200"/>
        <w:rPr>
          <w:rFonts w:ascii="宋体" w:hAnsi="宋体" w:cs="宋体"/>
          <w:sz w:val="24"/>
        </w:rPr>
      </w:pPr>
      <w:r>
        <w:rPr>
          <w:rFonts w:hint="eastAsia" w:ascii="宋体" w:hAnsi="宋体" w:cs="宋体"/>
          <w:sz w:val="24"/>
        </w:rPr>
        <w:t>10.2 使用说明书、质量检验证明书、随配附件和工具以及清单一并附于货物内。</w:t>
      </w:r>
    </w:p>
    <w:p w14:paraId="45699AAA">
      <w:pPr>
        <w:spacing w:line="460" w:lineRule="exact"/>
        <w:ind w:firstLine="480" w:firstLineChars="200"/>
        <w:rPr>
          <w:rFonts w:ascii="宋体" w:hAnsi="宋体" w:cs="宋体"/>
          <w:sz w:val="24"/>
        </w:rPr>
      </w:pPr>
      <w:r>
        <w:rPr>
          <w:rFonts w:hint="eastAsia" w:ascii="宋体" w:hAnsi="宋体" w:cs="宋体"/>
          <w:sz w:val="24"/>
        </w:rPr>
        <w:t>10.3 乙方在货物发运手续办理完毕后24小时内或货到甲方48小时前通知甲方，以准备接货。</w:t>
      </w:r>
    </w:p>
    <w:p w14:paraId="713724FC">
      <w:pPr>
        <w:spacing w:line="460" w:lineRule="exact"/>
        <w:ind w:firstLine="480" w:firstLineChars="200"/>
        <w:rPr>
          <w:rFonts w:ascii="宋体" w:hAnsi="宋体" w:cs="宋体"/>
          <w:sz w:val="24"/>
        </w:rPr>
      </w:pPr>
      <w:r>
        <w:rPr>
          <w:rFonts w:hint="eastAsia" w:ascii="宋体" w:hAnsi="宋体" w:cs="宋体"/>
          <w:sz w:val="24"/>
        </w:rPr>
        <w:t>10.4 货物在交付甲方前发生的风险均由乙方负责。</w:t>
      </w:r>
    </w:p>
    <w:p w14:paraId="78A5F83C">
      <w:pPr>
        <w:spacing w:line="460" w:lineRule="exact"/>
        <w:ind w:firstLine="480" w:firstLineChars="200"/>
        <w:rPr>
          <w:rFonts w:ascii="宋体" w:hAnsi="宋体" w:cs="宋体"/>
          <w:sz w:val="24"/>
        </w:rPr>
      </w:pPr>
      <w:r>
        <w:rPr>
          <w:rFonts w:hint="eastAsia" w:ascii="宋体" w:hAnsi="宋体" w:cs="宋体"/>
          <w:sz w:val="24"/>
        </w:rPr>
        <w:t>10.5 货物在规定的交付期限内由乙方送达甲方指定的地点视为交付，乙方同时需通知甲方货物已送达。</w:t>
      </w:r>
    </w:p>
    <w:p w14:paraId="6F159AAE">
      <w:pPr>
        <w:spacing w:line="460" w:lineRule="exact"/>
        <w:ind w:firstLine="480" w:firstLineChars="200"/>
        <w:rPr>
          <w:rFonts w:ascii="宋体" w:hAnsi="宋体" w:cs="宋体"/>
          <w:sz w:val="24"/>
        </w:rPr>
      </w:pPr>
      <w:r>
        <w:rPr>
          <w:rFonts w:hint="eastAsia" w:ascii="宋体" w:hAnsi="宋体" w:cs="宋体"/>
          <w:sz w:val="24"/>
        </w:rPr>
        <w:t>11.质量保证及售后服务</w:t>
      </w:r>
    </w:p>
    <w:p w14:paraId="1730914C">
      <w:pPr>
        <w:spacing w:line="460" w:lineRule="exact"/>
        <w:ind w:firstLine="480" w:firstLineChars="200"/>
        <w:rPr>
          <w:rFonts w:ascii="宋体" w:hAnsi="宋体" w:cs="宋体"/>
          <w:sz w:val="24"/>
        </w:rPr>
      </w:pPr>
      <w:r>
        <w:rPr>
          <w:rFonts w:hint="eastAsia" w:ascii="宋体" w:hAnsi="宋体" w:cs="宋体"/>
          <w:sz w:val="24"/>
        </w:rPr>
        <w:t>11.1 乙方提供的货物是全新、未使用过的，并完全符合强制性的国家技术质量规范和招标文件规定的质量、规格、性能和技术规范等的要求。</w:t>
      </w:r>
    </w:p>
    <w:p w14:paraId="056DA70E">
      <w:pPr>
        <w:spacing w:line="460" w:lineRule="exact"/>
        <w:ind w:firstLine="480" w:firstLineChars="200"/>
        <w:rPr>
          <w:rFonts w:ascii="宋体" w:hAnsi="宋体" w:cs="宋体"/>
          <w:sz w:val="24"/>
        </w:rPr>
      </w:pPr>
      <w:r>
        <w:rPr>
          <w:rFonts w:hint="eastAsia" w:ascii="宋体" w:hAnsi="宋体" w:cs="宋体"/>
          <w:sz w:val="24"/>
        </w:rPr>
        <w:t>11.2 乙方提供的货物经正确安装、正常运转和保养，在其使用寿命期内须具有符合质量要求和产品说明书的性能。在货物质量保证期之内，乙方须对由于设计、工艺或材料的缺陷而发生的任何不足或故障负责。</w:t>
      </w:r>
    </w:p>
    <w:p w14:paraId="0ED8FF40">
      <w:pPr>
        <w:spacing w:line="460" w:lineRule="exact"/>
        <w:ind w:firstLine="480" w:firstLineChars="200"/>
        <w:rPr>
          <w:rFonts w:ascii="宋体" w:hAnsi="宋体" w:cs="宋体"/>
          <w:sz w:val="24"/>
        </w:rPr>
      </w:pPr>
      <w:r>
        <w:rPr>
          <w:rFonts w:hint="eastAsia" w:ascii="宋体" w:hAnsi="宋体" w:cs="宋体"/>
          <w:sz w:val="24"/>
        </w:rPr>
        <w:t>11.3根据甲方按检验标准自己检验结果或委托有资质的相关质检机构的检验结果，发现货物的数量、质量、规格与合同不符；或者在质量保证期内，证实货物存在缺陷，包括潜在的缺陷或使用不符合要求的材料等，甲方应尽快以书面形式通知乙方。乙方在收到通知后7日内应免费维修或更换有缺陷的货物或部件。如果乙方在收到通知后7日内没有弥补缺陷，甲方可采取必要的补救措施，但由此引发的风险和费用将由乙方承担。</w:t>
      </w:r>
    </w:p>
    <w:p w14:paraId="3E03BBFA">
      <w:pPr>
        <w:spacing w:line="460" w:lineRule="exact"/>
        <w:ind w:firstLine="480" w:firstLineChars="200"/>
        <w:rPr>
          <w:rFonts w:ascii="宋体" w:hAnsi="宋体" w:cs="宋体"/>
          <w:sz w:val="24"/>
        </w:rPr>
      </w:pPr>
      <w:r>
        <w:rPr>
          <w:rFonts w:hint="eastAsia" w:ascii="宋体" w:hAnsi="宋体" w:cs="宋体"/>
          <w:sz w:val="24"/>
        </w:rPr>
        <w:t>11.4合同项下货物的质量保证期为自货物通过最终验收起个月，在质保期内，因人为因素出现故障外，乙方对货物出现的质量及安全问题负责处理解决并承担一切费用。</w:t>
      </w:r>
    </w:p>
    <w:p w14:paraId="004B0256">
      <w:pPr>
        <w:spacing w:line="460" w:lineRule="exact"/>
        <w:ind w:firstLine="480" w:firstLineChars="200"/>
        <w:rPr>
          <w:rFonts w:ascii="宋体" w:hAnsi="宋体" w:cs="宋体"/>
          <w:sz w:val="24"/>
        </w:rPr>
      </w:pPr>
      <w:r>
        <w:rPr>
          <w:rFonts w:hint="eastAsia" w:ascii="宋体" w:hAnsi="宋体" w:cs="宋体"/>
          <w:sz w:val="24"/>
        </w:rPr>
        <w:t>11.5合同项下货物免费保修期为质量保证期满后个月，因人为因素出现的故障不在免费保修范围内。对超过保修期的货物终生维修，维修时只收部件成本费。</w:t>
      </w:r>
    </w:p>
    <w:p w14:paraId="02D789D8">
      <w:pPr>
        <w:spacing w:line="460" w:lineRule="exact"/>
        <w:ind w:firstLine="480" w:firstLineChars="200"/>
        <w:rPr>
          <w:rFonts w:ascii="宋体" w:hAnsi="宋体" w:cs="宋体"/>
          <w:sz w:val="24"/>
        </w:rPr>
      </w:pPr>
      <w:r>
        <w:rPr>
          <w:rFonts w:hint="eastAsia" w:ascii="宋体" w:hAnsi="宋体" w:cs="宋体"/>
          <w:sz w:val="24"/>
        </w:rPr>
        <w:t>11.6在使用过程中发生故障，乙方在接到甲方通知后在小时内到达甲方现场，</w:t>
      </w:r>
    </w:p>
    <w:p w14:paraId="18421D00">
      <w:pPr>
        <w:spacing w:line="460" w:lineRule="exact"/>
        <w:ind w:firstLine="480" w:firstLineChars="200"/>
        <w:rPr>
          <w:rFonts w:ascii="宋体" w:hAnsi="宋体" w:cs="宋体"/>
          <w:sz w:val="24"/>
        </w:rPr>
      </w:pPr>
      <w:r>
        <w:rPr>
          <w:rFonts w:hint="eastAsia" w:ascii="宋体" w:hAnsi="宋体" w:cs="宋体"/>
          <w:sz w:val="24"/>
        </w:rPr>
        <w:t>小时内解除故障。</w:t>
      </w:r>
    </w:p>
    <w:p w14:paraId="53EF1110">
      <w:pPr>
        <w:spacing w:line="460" w:lineRule="exact"/>
        <w:ind w:firstLine="480" w:firstLineChars="200"/>
        <w:rPr>
          <w:rFonts w:ascii="宋体" w:hAnsi="宋体" w:cs="宋体"/>
          <w:sz w:val="24"/>
        </w:rPr>
      </w:pPr>
      <w:r>
        <w:rPr>
          <w:rFonts w:hint="eastAsia" w:ascii="宋体" w:hAnsi="宋体" w:cs="宋体"/>
          <w:sz w:val="24"/>
        </w:rPr>
        <w:t>12.调试和验收</w:t>
      </w:r>
    </w:p>
    <w:p w14:paraId="2583CFEB">
      <w:pPr>
        <w:spacing w:line="460" w:lineRule="exact"/>
        <w:ind w:firstLine="480" w:firstLineChars="200"/>
        <w:rPr>
          <w:rFonts w:ascii="宋体" w:hAnsi="宋体" w:cs="宋体"/>
          <w:sz w:val="24"/>
        </w:rPr>
      </w:pPr>
      <w:r>
        <w:rPr>
          <w:rFonts w:hint="eastAsia" w:ascii="宋体" w:hAnsi="宋体" w:cs="宋体"/>
          <w:sz w:val="24"/>
        </w:rPr>
        <w:t>13.1乙方交货前对产品作出全面检查和对验收文件进行整理，并列出清单，作为甲方收货验收和使用的技术条件依据，检验的结果应随货物交甲方。</w:t>
      </w:r>
    </w:p>
    <w:p w14:paraId="2F133EC5">
      <w:pPr>
        <w:spacing w:line="460" w:lineRule="exact"/>
        <w:ind w:firstLine="480" w:firstLineChars="200"/>
        <w:rPr>
          <w:rFonts w:ascii="宋体" w:hAnsi="宋体" w:cs="宋体"/>
          <w:sz w:val="24"/>
        </w:rPr>
      </w:pPr>
      <w:r>
        <w:rPr>
          <w:rFonts w:hint="eastAsia" w:ascii="宋体" w:hAnsi="宋体" w:cs="宋体"/>
          <w:sz w:val="24"/>
        </w:rPr>
        <w:t>13.2货物运抵现场后，甲方依据招标文件上的技术规格要求和国家有关质量标准在3个工作日内组织初步验收，并制作验收备忘录，签署验收意见。初步验收不合格的不予签收。</w:t>
      </w:r>
    </w:p>
    <w:p w14:paraId="2387FF71">
      <w:pPr>
        <w:spacing w:line="460" w:lineRule="exact"/>
        <w:ind w:firstLine="480" w:firstLineChars="200"/>
        <w:rPr>
          <w:rFonts w:ascii="宋体" w:hAnsi="宋体" w:cs="宋体"/>
          <w:sz w:val="24"/>
        </w:rPr>
      </w:pPr>
      <w:r>
        <w:rPr>
          <w:rFonts w:hint="eastAsia" w:ascii="宋体" w:hAnsi="宋体" w:cs="宋体"/>
          <w:sz w:val="24"/>
        </w:rPr>
        <w:t>13.3 甲方对乙方提供的货物在使用前进行调试时，乙方负责安装并培训甲方的使用操作人员，并协助甲方一起调试，直到符合技术要求，甲方才做最终验收并签署验收意见。</w:t>
      </w:r>
    </w:p>
    <w:p w14:paraId="42771565">
      <w:pPr>
        <w:spacing w:line="460" w:lineRule="exact"/>
        <w:ind w:firstLine="480" w:firstLineChars="200"/>
        <w:rPr>
          <w:rFonts w:ascii="宋体" w:hAnsi="宋体" w:cs="宋体"/>
          <w:sz w:val="24"/>
        </w:rPr>
      </w:pPr>
      <w:r>
        <w:rPr>
          <w:rFonts w:hint="eastAsia" w:ascii="宋体" w:hAnsi="宋体" w:cs="宋体"/>
          <w:sz w:val="24"/>
        </w:rPr>
        <w:t>13.4 对大型或技术复杂的货物，甲方应邀请国家认可的专业检测机构参与初步验收及最终验收，并由其出具质量检测报告。</w:t>
      </w:r>
    </w:p>
    <w:p w14:paraId="713CBE5F">
      <w:pPr>
        <w:spacing w:line="460" w:lineRule="exact"/>
        <w:ind w:firstLine="480" w:firstLineChars="200"/>
        <w:rPr>
          <w:rFonts w:ascii="宋体" w:hAnsi="宋体" w:cs="宋体"/>
          <w:sz w:val="24"/>
        </w:rPr>
      </w:pPr>
      <w:r>
        <w:rPr>
          <w:rFonts w:hint="eastAsia" w:ascii="宋体" w:hAnsi="宋体" w:cs="宋体"/>
          <w:sz w:val="24"/>
        </w:rPr>
        <w:t>13.5 验收时乙方必须在现场，验收完毕后作出验收结果报告。验收费用由乙方负责。</w:t>
      </w:r>
    </w:p>
    <w:p w14:paraId="6C3BE288">
      <w:pPr>
        <w:spacing w:line="460" w:lineRule="exact"/>
        <w:ind w:firstLine="480" w:firstLineChars="200"/>
        <w:rPr>
          <w:rFonts w:ascii="宋体" w:hAnsi="宋体" w:cs="宋体"/>
          <w:sz w:val="24"/>
        </w:rPr>
      </w:pPr>
      <w:r>
        <w:rPr>
          <w:rFonts w:hint="eastAsia" w:ascii="宋体" w:hAnsi="宋体" w:cs="宋体"/>
          <w:sz w:val="24"/>
        </w:rPr>
        <w:t>14.索赔</w:t>
      </w:r>
    </w:p>
    <w:p w14:paraId="545B254B">
      <w:pPr>
        <w:spacing w:line="460" w:lineRule="exact"/>
        <w:ind w:firstLine="480" w:firstLineChars="200"/>
        <w:rPr>
          <w:rFonts w:ascii="宋体" w:hAnsi="宋体" w:cs="宋体"/>
          <w:sz w:val="24"/>
        </w:rPr>
      </w:pPr>
      <w:r>
        <w:rPr>
          <w:rFonts w:hint="eastAsia" w:ascii="宋体" w:hAnsi="宋体" w:cs="宋体"/>
          <w:sz w:val="24"/>
        </w:rPr>
        <w:t>14.1 如果货物的质量、规格、数量等与合同不符，或在质量保证期内证实货物存有缺陷，包括潜在的缺陷或使用不符合要求的材料等，甲方有权根据有资质的权威质检机构的检验结果向乙方提出索赔(但责任应由保险公司或运输部门承担的除外)。</w:t>
      </w:r>
    </w:p>
    <w:p w14:paraId="6240E79F">
      <w:pPr>
        <w:spacing w:line="460" w:lineRule="exact"/>
        <w:ind w:firstLine="480" w:firstLineChars="200"/>
        <w:rPr>
          <w:rFonts w:ascii="宋体" w:hAnsi="宋体" w:cs="宋体"/>
          <w:sz w:val="24"/>
        </w:rPr>
      </w:pPr>
      <w:r>
        <w:rPr>
          <w:rFonts w:hint="eastAsia" w:ascii="宋体" w:hAnsi="宋体" w:cs="宋体"/>
          <w:sz w:val="24"/>
        </w:rPr>
        <w:t>14.2 在根据合同第12条和第13条规定的检验期和质量保证期内，如果乙方对甲方提出的索赔负有责任，乙方应按照甲方同意的下列一种或多种方式解决索赔事宜：</w:t>
      </w:r>
    </w:p>
    <w:p w14:paraId="00CD0387">
      <w:pPr>
        <w:spacing w:line="460" w:lineRule="exact"/>
        <w:ind w:firstLine="480" w:firstLineChars="200"/>
        <w:rPr>
          <w:rFonts w:ascii="宋体" w:hAnsi="宋体" w:cs="宋体"/>
          <w:sz w:val="24"/>
        </w:rPr>
      </w:pPr>
      <w:r>
        <w:rPr>
          <w:rFonts w:hint="eastAsia" w:ascii="宋体" w:hAnsi="宋体" w:cs="宋体"/>
          <w:sz w:val="24"/>
        </w:rPr>
        <w:t>14.2.1 在法定的退货期内，甲方将货物款退还给乙方，乙方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14:paraId="6AFD62D1">
      <w:pPr>
        <w:spacing w:line="460" w:lineRule="exact"/>
        <w:ind w:firstLine="480" w:firstLineChars="200"/>
        <w:rPr>
          <w:rFonts w:ascii="宋体" w:hAnsi="宋体" w:cs="宋体"/>
          <w:sz w:val="24"/>
        </w:rPr>
      </w:pPr>
      <w:r>
        <w:rPr>
          <w:rFonts w:hint="eastAsia" w:ascii="宋体" w:hAnsi="宋体" w:cs="宋体"/>
          <w:sz w:val="24"/>
        </w:rPr>
        <w:t>14.2.2 根据货物低劣程度、损坏程度以及甲方所遭受损失的数额，经双方商定降低货物的价格，或由有权的部门评估，以降低后的价格或评估价格为准。</w:t>
      </w:r>
    </w:p>
    <w:p w14:paraId="6E25A01B">
      <w:pPr>
        <w:spacing w:line="460" w:lineRule="exact"/>
        <w:ind w:firstLine="480" w:firstLineChars="200"/>
        <w:rPr>
          <w:rFonts w:ascii="宋体" w:hAnsi="宋体" w:cs="宋体"/>
          <w:sz w:val="24"/>
        </w:rPr>
      </w:pPr>
      <w:r>
        <w:rPr>
          <w:rFonts w:hint="eastAsia" w:ascii="宋体" w:hAnsi="宋体" w:cs="宋体"/>
          <w:sz w:val="24"/>
        </w:rPr>
        <w:t>14.2.3 用符合规格、质量和性能要求的新零件、部件或货物来更换有缺陷的部分或/和修补缺陷部分，乙方承担一切费用和风险并负担甲方所发生的一切直接费用。同时，乙方方应按合同第12条规定，相应延长修补或更换件的质量保证期。</w:t>
      </w:r>
    </w:p>
    <w:p w14:paraId="7BAD01CD">
      <w:pPr>
        <w:spacing w:line="460" w:lineRule="exact"/>
        <w:ind w:firstLine="480" w:firstLineChars="200"/>
        <w:rPr>
          <w:rFonts w:ascii="宋体" w:hAnsi="宋体" w:cs="宋体"/>
          <w:sz w:val="24"/>
        </w:rPr>
      </w:pPr>
      <w:r>
        <w:rPr>
          <w:rFonts w:hint="eastAsia" w:ascii="宋体" w:hAnsi="宋体" w:cs="宋体"/>
          <w:sz w:val="24"/>
        </w:rPr>
        <w:t>14.2.4 如果在甲方发出索赔通知后日内，乙方未作答复，上述索赔应视为已被乙方接受。如乙方未能在甲方提出索赔通知后日内或买方同意的更长时间内，按照本合同第14.2条规定的任何一种方法解决索赔事宜，甲方将从合同款中扣回索赔金额。如果这些金额不足以补偿索赔金额，甲方有权向乙方提出不足部分的补偿。</w:t>
      </w:r>
    </w:p>
    <w:p w14:paraId="5CC1C14D">
      <w:pPr>
        <w:spacing w:line="460" w:lineRule="exact"/>
        <w:ind w:firstLine="480" w:firstLineChars="200"/>
        <w:rPr>
          <w:rFonts w:ascii="宋体" w:hAnsi="宋体" w:cs="宋体"/>
          <w:sz w:val="24"/>
        </w:rPr>
      </w:pPr>
      <w:r>
        <w:rPr>
          <w:rFonts w:hint="eastAsia" w:ascii="宋体" w:hAnsi="宋体" w:cs="宋体"/>
          <w:sz w:val="24"/>
        </w:rPr>
        <w:t>15.违约责任</w:t>
      </w:r>
    </w:p>
    <w:p w14:paraId="60B2D116">
      <w:pPr>
        <w:spacing w:line="460" w:lineRule="exact"/>
        <w:ind w:firstLine="480" w:firstLineChars="200"/>
        <w:rPr>
          <w:rFonts w:ascii="宋体" w:hAnsi="宋体" w:cs="宋体"/>
          <w:sz w:val="24"/>
        </w:rPr>
      </w:pPr>
      <w:r>
        <w:rPr>
          <w:rFonts w:hint="eastAsia" w:ascii="宋体" w:hAnsi="宋体" w:cs="宋体"/>
          <w:sz w:val="24"/>
        </w:rPr>
        <w:t>15.1 甲方无正当理由拒收货物的，甲方向乙方偿付拒收货款总值的百分之五违约金。</w:t>
      </w:r>
    </w:p>
    <w:p w14:paraId="175F917B">
      <w:pPr>
        <w:spacing w:line="460" w:lineRule="exact"/>
        <w:ind w:firstLine="480" w:firstLineChars="200"/>
        <w:rPr>
          <w:rFonts w:ascii="宋体" w:hAnsi="宋体" w:cs="宋体"/>
          <w:sz w:val="24"/>
        </w:rPr>
      </w:pPr>
      <w:r>
        <w:rPr>
          <w:rFonts w:hint="eastAsia" w:ascii="宋体" w:hAnsi="宋体" w:cs="宋体"/>
          <w:sz w:val="24"/>
        </w:rPr>
        <w:t>15.2 甲方无故逾期验收和办理货款支付手续的,甲方按逾期付款总额每日万分之五向乙方支付违约金。</w:t>
      </w:r>
    </w:p>
    <w:p w14:paraId="644AA45F">
      <w:pPr>
        <w:spacing w:line="460" w:lineRule="exact"/>
        <w:ind w:firstLine="480" w:firstLineChars="200"/>
        <w:rPr>
          <w:rFonts w:ascii="宋体" w:hAnsi="宋体" w:cs="宋体"/>
          <w:sz w:val="24"/>
        </w:rPr>
      </w:pPr>
      <w:r>
        <w:rPr>
          <w:rFonts w:hint="eastAsia" w:ascii="宋体" w:hAnsi="宋体" w:cs="宋体"/>
          <w:sz w:val="24"/>
        </w:rPr>
        <w:t>15.3 乙方逾期交付货物的，乙方按逾期交货总额每日万分之五向甲方支付违约金。逾期超过约定日期10个日历天内不能交货的，甲方有权选择同意延长供货期或解除本合同。甲方同意延长供货期的，延期交货的时间由双方别行确定。乙方仍按上述规定向甲方支付延期交货违约金。违约金由甲方从待付货款中扣除。乙方因逾期交货或因其他违约行为导致甲方解除合同的，乙方向甲方支付合同总值5%的违约金，如造成甲方损失超过违约金的，超出部分由乙方继续承担赔偿责任。</w:t>
      </w:r>
    </w:p>
    <w:p w14:paraId="67917CD0">
      <w:pPr>
        <w:spacing w:line="460" w:lineRule="exact"/>
        <w:ind w:firstLine="480" w:firstLineChars="200"/>
        <w:rPr>
          <w:rFonts w:ascii="宋体" w:hAnsi="宋体" w:cs="宋体"/>
          <w:sz w:val="24"/>
        </w:rPr>
      </w:pPr>
      <w:r>
        <w:rPr>
          <w:rFonts w:hint="eastAsia" w:ascii="宋体" w:hAnsi="宋体" w:cs="宋体"/>
          <w:sz w:val="24"/>
        </w:rPr>
        <w:t>16.不可抗力事件处理</w:t>
      </w:r>
    </w:p>
    <w:p w14:paraId="248EC47C">
      <w:pPr>
        <w:spacing w:line="460" w:lineRule="exact"/>
        <w:ind w:firstLine="480" w:firstLineChars="200"/>
        <w:rPr>
          <w:rFonts w:ascii="宋体" w:hAnsi="宋体" w:cs="宋体"/>
          <w:sz w:val="24"/>
        </w:rPr>
      </w:pPr>
      <w:r>
        <w:rPr>
          <w:rFonts w:hint="eastAsia" w:ascii="宋体" w:hAnsi="宋体" w:cs="宋体"/>
          <w:sz w:val="24"/>
        </w:rPr>
        <w:t>16.1因不可抗力造成违约的，遭受不可抗力一方应及时向对方通报不能履行或不能完全履行的理由，并在随后取得有关权威机构出具的证明后的15日内向另一方提供不可抗力发生以及持续期间的充分证据。基本于以上行为，允许遭受不可抗力一方延期履行、部分履行或者不履行合同，并根据情况可部分或全部免于承担违约责任。</w:t>
      </w:r>
    </w:p>
    <w:p w14:paraId="3691D4E2">
      <w:pPr>
        <w:spacing w:line="460" w:lineRule="exact"/>
        <w:ind w:firstLine="480" w:firstLineChars="200"/>
        <w:rPr>
          <w:rFonts w:ascii="宋体" w:hAnsi="宋体" w:cs="宋体"/>
          <w:sz w:val="24"/>
        </w:rPr>
      </w:pPr>
      <w:r>
        <w:rPr>
          <w:rFonts w:hint="eastAsia" w:ascii="宋体" w:hAnsi="宋体" w:cs="宋体"/>
          <w:sz w:val="24"/>
        </w:rPr>
        <w:t>16.2 本合同中的不可抗力指不能预见、不能避免并不能克服的客观情况。包括但不限于：自然灾害如地震、台风、洪水、火灾；政府行为、法律规定或其适用的变化或者其他任何无法预见、避免或者控制的事件。</w:t>
      </w:r>
    </w:p>
    <w:p w14:paraId="6C766C0B">
      <w:pPr>
        <w:spacing w:line="440" w:lineRule="exact"/>
        <w:ind w:firstLine="480" w:firstLineChars="200"/>
        <w:rPr>
          <w:rFonts w:ascii="宋体" w:hAnsi="宋体" w:cs="宋体"/>
          <w:sz w:val="24"/>
        </w:rPr>
      </w:pPr>
      <w:r>
        <w:rPr>
          <w:rFonts w:hint="eastAsia" w:ascii="宋体" w:hAnsi="宋体" w:cs="宋体"/>
          <w:sz w:val="24"/>
        </w:rPr>
        <w:t>17.合同纠纷处理</w:t>
      </w:r>
    </w:p>
    <w:p w14:paraId="75F0C6AA">
      <w:pPr>
        <w:spacing w:line="440" w:lineRule="exact"/>
        <w:ind w:firstLine="480" w:firstLineChars="200"/>
        <w:rPr>
          <w:rFonts w:ascii="宋体" w:hAnsi="宋体" w:cs="宋体"/>
          <w:sz w:val="24"/>
        </w:rPr>
      </w:pPr>
      <w:r>
        <w:rPr>
          <w:rFonts w:hint="eastAsia" w:ascii="宋体" w:hAnsi="宋体" w:cs="宋体"/>
          <w:sz w:val="24"/>
        </w:rPr>
        <w:t>因本合同或与本合同有关的一切事项发生争议，由双方友好协商解决。协商不成的，任何一方均可选择以下方式解决：</w:t>
      </w:r>
    </w:p>
    <w:p w14:paraId="14DBCD0E">
      <w:pPr>
        <w:spacing w:line="440" w:lineRule="exact"/>
        <w:ind w:firstLine="480" w:firstLineChars="200"/>
        <w:rPr>
          <w:rFonts w:ascii="宋体" w:hAnsi="宋体" w:cs="宋体"/>
          <w:sz w:val="24"/>
        </w:rPr>
      </w:pPr>
      <w:r>
        <w:rPr>
          <w:rFonts w:hint="eastAsia" w:ascii="宋体" w:hAnsi="宋体" w:cs="宋体"/>
          <w:sz w:val="24"/>
        </w:rPr>
        <w:t>17.1 向合同签订地人民法院提起诉讼。</w:t>
      </w:r>
    </w:p>
    <w:p w14:paraId="1F22B2FA">
      <w:pPr>
        <w:spacing w:line="440" w:lineRule="exact"/>
        <w:ind w:firstLine="480" w:firstLineChars="200"/>
        <w:rPr>
          <w:rFonts w:ascii="宋体" w:hAnsi="宋体" w:cs="宋体"/>
          <w:sz w:val="24"/>
        </w:rPr>
      </w:pPr>
      <w:r>
        <w:rPr>
          <w:rFonts w:hint="eastAsia" w:ascii="宋体" w:hAnsi="宋体" w:cs="宋体"/>
          <w:sz w:val="24"/>
        </w:rPr>
        <w:t>18.违约解除合同</w:t>
      </w:r>
    </w:p>
    <w:p w14:paraId="3290FCBF">
      <w:pPr>
        <w:spacing w:line="440" w:lineRule="exact"/>
        <w:ind w:firstLine="480" w:firstLineChars="200"/>
        <w:rPr>
          <w:rFonts w:ascii="宋体" w:hAnsi="宋体" w:cs="宋体"/>
          <w:sz w:val="24"/>
        </w:rPr>
      </w:pPr>
      <w:r>
        <w:rPr>
          <w:rFonts w:hint="eastAsia" w:ascii="宋体" w:hAnsi="宋体" w:cs="宋体"/>
          <w:sz w:val="24"/>
        </w:rPr>
        <w:t xml:space="preserve"> 18.1在乙方违约的情况下，甲方可向乙方发出书面通知，部分或全部终止合同，同时保留向对方追诉的权利。</w:t>
      </w:r>
    </w:p>
    <w:p w14:paraId="2AA75416">
      <w:pPr>
        <w:spacing w:line="440" w:lineRule="exact"/>
        <w:ind w:firstLine="480" w:firstLineChars="200"/>
        <w:rPr>
          <w:rFonts w:ascii="宋体" w:hAnsi="宋体" w:cs="宋体"/>
          <w:sz w:val="24"/>
        </w:rPr>
      </w:pPr>
      <w:r>
        <w:rPr>
          <w:rFonts w:hint="eastAsia" w:ascii="宋体" w:hAnsi="宋体" w:cs="宋体"/>
          <w:sz w:val="24"/>
        </w:rPr>
        <w:t xml:space="preserve"> 18.1.1 乙方未能在合同规定的限期或甲方同意延长的限期内提供全部或部分货物，按合同第15.3的规定可以解除合同的。</w:t>
      </w:r>
    </w:p>
    <w:p w14:paraId="73F2E5D4">
      <w:pPr>
        <w:spacing w:line="440" w:lineRule="exact"/>
        <w:ind w:firstLine="480" w:firstLineChars="200"/>
        <w:rPr>
          <w:rFonts w:ascii="宋体" w:hAnsi="宋体" w:cs="宋体"/>
          <w:sz w:val="24"/>
        </w:rPr>
      </w:pPr>
      <w:r>
        <w:rPr>
          <w:rFonts w:hint="eastAsia" w:ascii="宋体" w:hAnsi="宋体" w:cs="宋体"/>
          <w:sz w:val="24"/>
        </w:rPr>
        <w:t>18.1.2 乙方有转让和未经甲方同意的分包行为，按合同第7.3的规定可以解除合同的。</w:t>
      </w:r>
    </w:p>
    <w:p w14:paraId="2029B95B">
      <w:pPr>
        <w:spacing w:line="440" w:lineRule="exact"/>
        <w:ind w:firstLine="480" w:firstLineChars="200"/>
        <w:rPr>
          <w:rFonts w:ascii="宋体" w:hAnsi="宋体" w:cs="宋体"/>
          <w:sz w:val="24"/>
        </w:rPr>
      </w:pPr>
      <w:r>
        <w:rPr>
          <w:rFonts w:hint="eastAsia" w:ascii="宋体" w:hAnsi="宋体" w:cs="宋体"/>
          <w:sz w:val="24"/>
        </w:rPr>
        <w:t>18.1.3 乙方未能履行合同规定的其它主要义务的。</w:t>
      </w:r>
    </w:p>
    <w:p w14:paraId="569DEF04">
      <w:pPr>
        <w:spacing w:line="440" w:lineRule="exact"/>
        <w:ind w:firstLine="480" w:firstLineChars="200"/>
        <w:rPr>
          <w:rFonts w:ascii="宋体" w:hAnsi="宋体" w:cs="宋体"/>
          <w:sz w:val="24"/>
        </w:rPr>
      </w:pPr>
      <w:r>
        <w:rPr>
          <w:rFonts w:hint="eastAsia" w:ascii="宋体" w:hAnsi="宋体" w:cs="宋体"/>
          <w:sz w:val="24"/>
        </w:rPr>
        <w:t xml:space="preserve"> 18.1.4 在本合同履行过程中有腐败和欺诈行为的。</w:t>
      </w:r>
    </w:p>
    <w:p w14:paraId="7EE83AF4">
      <w:pPr>
        <w:spacing w:line="440" w:lineRule="exact"/>
        <w:ind w:firstLine="480" w:firstLineChars="200"/>
        <w:rPr>
          <w:rFonts w:ascii="宋体" w:hAnsi="宋体" w:cs="宋体"/>
          <w:sz w:val="24"/>
        </w:rPr>
      </w:pPr>
      <w:r>
        <w:rPr>
          <w:rFonts w:hint="eastAsia" w:ascii="宋体" w:hAnsi="宋体" w:cs="宋体"/>
          <w:sz w:val="24"/>
        </w:rPr>
        <w:t xml:space="preserve"> 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59BD3941">
      <w:pPr>
        <w:spacing w:line="440" w:lineRule="exact"/>
        <w:ind w:firstLine="480" w:firstLineChars="200"/>
        <w:rPr>
          <w:rFonts w:ascii="宋体" w:hAnsi="宋体" w:cs="宋体"/>
          <w:sz w:val="24"/>
        </w:rPr>
      </w:pPr>
      <w:r>
        <w:rPr>
          <w:rFonts w:hint="eastAsia" w:ascii="宋体" w:hAnsi="宋体" w:cs="宋体"/>
          <w:sz w:val="24"/>
        </w:rPr>
        <w:t>19.其他约定</w:t>
      </w:r>
    </w:p>
    <w:p w14:paraId="2AF1BD6B">
      <w:pPr>
        <w:spacing w:line="440" w:lineRule="exact"/>
        <w:ind w:firstLine="480" w:firstLineChars="200"/>
        <w:rPr>
          <w:rFonts w:ascii="宋体" w:hAnsi="宋体" w:cs="宋体"/>
          <w:sz w:val="24"/>
        </w:rPr>
      </w:pPr>
      <w:r>
        <w:rPr>
          <w:rFonts w:hint="eastAsia" w:ascii="宋体" w:hAnsi="宋体" w:cs="宋体"/>
          <w:sz w:val="24"/>
        </w:rPr>
        <w:t>19.1 本采购项目的招标文件、中标投标人的投标文件以及相关的澄清确认函（如果有的话）均为本合同不可分割的一部分，与本合同具有同等法律效力。</w:t>
      </w:r>
    </w:p>
    <w:p w14:paraId="77ACF708">
      <w:pPr>
        <w:spacing w:line="440" w:lineRule="exact"/>
        <w:ind w:firstLine="480" w:firstLineChars="200"/>
        <w:rPr>
          <w:rFonts w:ascii="宋体" w:hAnsi="宋体" w:cs="宋体"/>
          <w:sz w:val="24"/>
        </w:rPr>
      </w:pPr>
      <w:r>
        <w:rPr>
          <w:rFonts w:hint="eastAsia" w:ascii="宋体" w:hAnsi="宋体" w:cs="宋体"/>
          <w:sz w:val="24"/>
        </w:rPr>
        <w:t>19.2 本合同未尽事宜，双方另行补充。</w:t>
      </w:r>
    </w:p>
    <w:p w14:paraId="7B31E839">
      <w:pPr>
        <w:spacing w:line="440" w:lineRule="exact"/>
        <w:ind w:firstLine="480" w:firstLineChars="200"/>
        <w:rPr>
          <w:rFonts w:ascii="宋体" w:hAnsi="宋体" w:cs="宋体"/>
          <w:sz w:val="24"/>
        </w:rPr>
      </w:pPr>
      <w:r>
        <w:rPr>
          <w:rFonts w:hint="eastAsia" w:ascii="宋体" w:hAnsi="宋体" w:cs="宋体"/>
          <w:sz w:val="24"/>
        </w:rPr>
        <w:t>19.3本合同正本一式份，具有同等法律效力，甲、乙双方各执两份。自采购合同签订之日起7个工作日内，甲方按照有关规定将合同副本报同级财政部门备案。</w:t>
      </w:r>
    </w:p>
    <w:p w14:paraId="6D56B0E5">
      <w:pPr>
        <w:spacing w:line="440" w:lineRule="exact"/>
        <w:ind w:firstLine="480" w:firstLineChars="200"/>
        <w:rPr>
          <w:rFonts w:ascii="宋体" w:hAnsi="宋体" w:cs="宋体"/>
          <w:sz w:val="24"/>
        </w:rPr>
      </w:pPr>
      <w:r>
        <w:rPr>
          <w:rFonts w:hint="eastAsia" w:ascii="宋体" w:hAnsi="宋体" w:cs="宋体"/>
          <w:sz w:val="24"/>
        </w:rPr>
        <w:t>19.4 签定地点：</w:t>
      </w:r>
    </w:p>
    <w:p w14:paraId="060BBED6">
      <w:pPr>
        <w:spacing w:line="440" w:lineRule="exact"/>
        <w:ind w:firstLine="480" w:firstLineChars="200"/>
        <w:rPr>
          <w:rFonts w:ascii="宋体" w:hAnsi="宋体" w:cs="宋体"/>
          <w:sz w:val="24"/>
        </w:rPr>
      </w:pPr>
      <w:r>
        <w:rPr>
          <w:rFonts w:hint="eastAsia" w:ascii="宋体" w:hAnsi="宋体" w:cs="宋体"/>
          <w:sz w:val="24"/>
        </w:rPr>
        <w:t>甲方：                                乙方：</w:t>
      </w:r>
    </w:p>
    <w:p w14:paraId="5F361D9D">
      <w:pPr>
        <w:spacing w:line="440" w:lineRule="exact"/>
        <w:ind w:firstLine="480" w:firstLineChars="200"/>
        <w:rPr>
          <w:rFonts w:ascii="宋体" w:hAnsi="宋体" w:cs="宋体"/>
          <w:sz w:val="24"/>
        </w:rPr>
      </w:pPr>
      <w:r>
        <w:rPr>
          <w:rFonts w:hint="eastAsia" w:ascii="宋体" w:hAnsi="宋体" w:cs="宋体"/>
          <w:sz w:val="24"/>
        </w:rPr>
        <w:t>单位地址：                           单位地址：</w:t>
      </w:r>
    </w:p>
    <w:p w14:paraId="163F366F">
      <w:pPr>
        <w:spacing w:line="440" w:lineRule="exact"/>
        <w:ind w:firstLine="480" w:firstLineChars="200"/>
        <w:rPr>
          <w:rFonts w:ascii="宋体" w:hAnsi="宋体" w:cs="宋体"/>
          <w:sz w:val="24"/>
        </w:rPr>
      </w:pPr>
      <w:r>
        <w:rPr>
          <w:rFonts w:hint="eastAsia" w:ascii="宋体" w:hAnsi="宋体" w:cs="宋体"/>
          <w:sz w:val="24"/>
        </w:rPr>
        <w:t>法定代表人：                         法定代表人：</w:t>
      </w:r>
    </w:p>
    <w:p w14:paraId="37AF7303">
      <w:pPr>
        <w:spacing w:line="440" w:lineRule="exact"/>
        <w:ind w:firstLine="480" w:firstLineChars="200"/>
        <w:rPr>
          <w:rFonts w:ascii="宋体" w:hAnsi="宋体" w:cs="宋体"/>
          <w:sz w:val="24"/>
        </w:rPr>
      </w:pPr>
      <w:r>
        <w:rPr>
          <w:rFonts w:hint="eastAsia" w:ascii="宋体" w:hAnsi="宋体" w:cs="宋体"/>
          <w:sz w:val="24"/>
        </w:rPr>
        <w:t>委托代理人：                         委托代理人：</w:t>
      </w:r>
    </w:p>
    <w:p w14:paraId="0BF32B99">
      <w:pPr>
        <w:spacing w:line="440" w:lineRule="exact"/>
        <w:ind w:firstLine="480" w:firstLineChars="200"/>
        <w:rPr>
          <w:rFonts w:ascii="宋体" w:hAnsi="宋体" w:cs="宋体"/>
          <w:sz w:val="24"/>
        </w:rPr>
      </w:pPr>
      <w:r>
        <w:rPr>
          <w:rFonts w:hint="eastAsia" w:ascii="宋体" w:hAnsi="宋体" w:cs="宋体"/>
          <w:sz w:val="24"/>
        </w:rPr>
        <w:t>电话：                                 电话：</w:t>
      </w:r>
    </w:p>
    <w:p w14:paraId="291C0D3C">
      <w:pPr>
        <w:spacing w:line="440" w:lineRule="exact"/>
        <w:ind w:firstLine="480" w:firstLineChars="200"/>
        <w:rPr>
          <w:rFonts w:ascii="宋体" w:hAnsi="宋体" w:cs="宋体"/>
          <w:sz w:val="24"/>
        </w:rPr>
      </w:pPr>
    </w:p>
    <w:p w14:paraId="58134B40">
      <w:pPr>
        <w:spacing w:line="440" w:lineRule="exact"/>
        <w:ind w:firstLine="480" w:firstLineChars="200"/>
        <w:rPr>
          <w:rFonts w:ascii="宋体" w:hAnsi="宋体" w:cs="宋体"/>
          <w:sz w:val="24"/>
        </w:rPr>
      </w:pPr>
      <w:r>
        <w:rPr>
          <w:rFonts w:hint="eastAsia" w:ascii="宋体" w:hAnsi="宋体" w:cs="宋体"/>
          <w:sz w:val="24"/>
        </w:rPr>
        <w:t>（监督管理部门）</w:t>
      </w:r>
    </w:p>
    <w:p w14:paraId="39AFA6E4">
      <w:pPr>
        <w:spacing w:line="460" w:lineRule="exact"/>
        <w:ind w:firstLine="480" w:firstLineChars="200"/>
        <w:rPr>
          <w:rFonts w:ascii="宋体" w:hAnsi="宋体" w:cs="宋体"/>
          <w:sz w:val="24"/>
        </w:rPr>
      </w:pPr>
      <w:r>
        <w:rPr>
          <w:rFonts w:hint="eastAsia" w:ascii="宋体" w:hAnsi="宋体" w:cs="宋体"/>
          <w:sz w:val="24"/>
        </w:rPr>
        <w:t>签订日期：   年   月   日</w:t>
      </w:r>
    </w:p>
    <w:p w14:paraId="296658A3"/>
    <w:p w14:paraId="2F36B243"/>
    <w:p w14:paraId="6B006491"/>
    <w:p w14:paraId="2E1764D4"/>
    <w:p w14:paraId="10C80FA3"/>
    <w:p w14:paraId="1F61045D"/>
    <w:p w14:paraId="0AC1A015"/>
    <w:p w14:paraId="3001E9F0"/>
    <w:p w14:paraId="6B4C5026"/>
    <w:p w14:paraId="0DC99F50"/>
    <w:p w14:paraId="0883B1FB"/>
    <w:p w14:paraId="59FF0426"/>
    <w:p w14:paraId="467C3E04"/>
    <w:p w14:paraId="34BC295E"/>
    <w:p w14:paraId="5EADAF22">
      <w:r>
        <w:rPr>
          <w:rFonts w:hint="eastAsia"/>
        </w:rPr>
        <w:t xml:space="preserve">                      </w:t>
      </w:r>
    </w:p>
    <w:p w14:paraId="6D1392DE">
      <w:pPr>
        <w:ind w:left="2840"/>
        <w:rPr>
          <w:b/>
          <w:bCs/>
          <w:sz w:val="32"/>
          <w:szCs w:val="44"/>
        </w:rPr>
      </w:pPr>
    </w:p>
    <w:p w14:paraId="200625DD">
      <w:pPr>
        <w:ind w:left="2840"/>
        <w:rPr>
          <w:b/>
          <w:bCs/>
          <w:sz w:val="32"/>
          <w:szCs w:val="44"/>
        </w:rPr>
      </w:pPr>
    </w:p>
    <w:p w14:paraId="0492A2AA">
      <w:pPr>
        <w:ind w:left="2840"/>
        <w:rPr>
          <w:b/>
          <w:bCs/>
          <w:sz w:val="32"/>
          <w:szCs w:val="44"/>
        </w:rPr>
      </w:pPr>
    </w:p>
    <w:p w14:paraId="1438F8A3">
      <w:pPr>
        <w:ind w:left="2840"/>
        <w:rPr>
          <w:b/>
          <w:bCs/>
          <w:sz w:val="32"/>
          <w:szCs w:val="44"/>
        </w:rPr>
      </w:pPr>
    </w:p>
    <w:p w14:paraId="22E4D327">
      <w:pPr>
        <w:ind w:left="2840"/>
        <w:rPr>
          <w:b/>
          <w:bCs/>
          <w:sz w:val="32"/>
          <w:szCs w:val="44"/>
        </w:rPr>
      </w:pPr>
    </w:p>
    <w:p w14:paraId="116F3652">
      <w:pPr>
        <w:ind w:left="2840"/>
        <w:rPr>
          <w:b/>
          <w:bCs/>
          <w:sz w:val="32"/>
          <w:szCs w:val="44"/>
        </w:rPr>
      </w:pPr>
    </w:p>
    <w:p w14:paraId="51AB7BE6">
      <w:pPr>
        <w:ind w:left="2840"/>
        <w:rPr>
          <w:b/>
          <w:bCs/>
          <w:sz w:val="32"/>
          <w:szCs w:val="44"/>
        </w:rPr>
      </w:pPr>
    </w:p>
    <w:p w14:paraId="355B64EE">
      <w:pPr>
        <w:ind w:left="2840"/>
      </w:pPr>
      <w:r>
        <w:rPr>
          <w:rFonts w:hint="eastAsia"/>
          <w:b/>
          <w:bCs/>
          <w:sz w:val="32"/>
          <w:szCs w:val="44"/>
        </w:rPr>
        <w:t xml:space="preserve">第六章  投标文件格式     </w:t>
      </w:r>
      <w:r>
        <w:rPr>
          <w:rFonts w:hint="eastAsia"/>
        </w:rPr>
        <w:t xml:space="preserve">           </w:t>
      </w:r>
    </w:p>
    <w:p w14:paraId="0AB746AC"/>
    <w:p w14:paraId="0D558DA0"/>
    <w:p w14:paraId="4417BFDF"/>
    <w:p w14:paraId="2BC6DCD1"/>
    <w:p w14:paraId="13064137">
      <w:pPr>
        <w:ind w:firstLine="2560" w:firstLineChars="800"/>
        <w:rPr>
          <w:rFonts w:ascii="宋体" w:hAnsi="宋体" w:cs="宋体"/>
          <w:sz w:val="36"/>
          <w:szCs w:val="36"/>
        </w:rPr>
      </w:pPr>
      <w:r>
        <w:rPr>
          <w:rFonts w:hint="eastAsia" w:ascii="宋体" w:hAnsi="宋体" w:cs="宋体"/>
          <w:sz w:val="32"/>
          <w:szCs w:val="32"/>
          <w:u w:val="single"/>
        </w:rPr>
        <w:t xml:space="preserve">                   </w:t>
      </w:r>
      <w:r>
        <w:rPr>
          <w:rFonts w:hint="eastAsia" w:ascii="宋体" w:hAnsi="宋体" w:cs="宋体"/>
          <w:sz w:val="36"/>
          <w:szCs w:val="36"/>
        </w:rPr>
        <w:t>（项目名称）</w:t>
      </w:r>
    </w:p>
    <w:p w14:paraId="1351CE1F">
      <w:pPr>
        <w:jc w:val="center"/>
        <w:rPr>
          <w:rFonts w:ascii="宋体" w:hAnsi="宋体" w:cs="宋体"/>
          <w:sz w:val="36"/>
          <w:szCs w:val="36"/>
        </w:rPr>
      </w:pPr>
    </w:p>
    <w:p w14:paraId="0CBD16DF">
      <w:pPr>
        <w:jc w:val="center"/>
        <w:rPr>
          <w:rFonts w:ascii="宋体" w:hAnsi="宋体" w:cs="宋体"/>
          <w:sz w:val="36"/>
          <w:szCs w:val="36"/>
        </w:rPr>
      </w:pPr>
    </w:p>
    <w:p w14:paraId="3EA93972">
      <w:pPr>
        <w:rPr>
          <w:rFonts w:ascii="宋体" w:hAnsi="宋体" w:cs="宋体"/>
          <w:sz w:val="36"/>
          <w:szCs w:val="36"/>
        </w:rPr>
      </w:pPr>
    </w:p>
    <w:p w14:paraId="11A32263">
      <w:pPr>
        <w:jc w:val="center"/>
        <w:rPr>
          <w:rFonts w:ascii="宋体" w:hAnsi="宋体" w:cs="宋体"/>
          <w:sz w:val="36"/>
          <w:szCs w:val="36"/>
        </w:rPr>
      </w:pPr>
    </w:p>
    <w:p w14:paraId="4884BA67">
      <w:pPr>
        <w:jc w:val="center"/>
        <w:rPr>
          <w:rFonts w:ascii="宋体" w:hAnsi="宋体" w:cs="宋体"/>
          <w:sz w:val="36"/>
          <w:szCs w:val="36"/>
        </w:rPr>
      </w:pPr>
    </w:p>
    <w:p w14:paraId="6EF6D64A">
      <w:pPr>
        <w:jc w:val="center"/>
        <w:rPr>
          <w:rFonts w:ascii="宋体" w:hAnsi="宋体" w:cs="宋体"/>
          <w:sz w:val="36"/>
          <w:szCs w:val="36"/>
        </w:rPr>
      </w:pPr>
      <w:r>
        <w:rPr>
          <w:rFonts w:hint="eastAsia" w:ascii="宋体" w:hAnsi="宋体" w:cs="宋体"/>
          <w:sz w:val="72"/>
          <w:szCs w:val="72"/>
        </w:rPr>
        <w:t>投 标 文 件</w:t>
      </w:r>
    </w:p>
    <w:p w14:paraId="588813C0">
      <w:pPr>
        <w:jc w:val="center"/>
        <w:rPr>
          <w:rFonts w:ascii="宋体" w:hAnsi="宋体" w:cs="宋体"/>
          <w:sz w:val="36"/>
          <w:szCs w:val="36"/>
        </w:rPr>
      </w:pPr>
    </w:p>
    <w:p w14:paraId="56801D6E">
      <w:pPr>
        <w:jc w:val="center"/>
        <w:rPr>
          <w:rFonts w:ascii="宋体" w:hAnsi="宋体" w:cs="宋体"/>
          <w:sz w:val="36"/>
          <w:szCs w:val="36"/>
        </w:rPr>
      </w:pPr>
    </w:p>
    <w:p w14:paraId="1265D4DC">
      <w:pPr>
        <w:jc w:val="center"/>
        <w:rPr>
          <w:rFonts w:ascii="宋体" w:hAnsi="宋体" w:cs="宋体"/>
          <w:sz w:val="36"/>
          <w:szCs w:val="36"/>
        </w:rPr>
      </w:pPr>
    </w:p>
    <w:p w14:paraId="0C71DD90">
      <w:pPr>
        <w:jc w:val="center"/>
        <w:rPr>
          <w:rFonts w:ascii="宋体" w:hAnsi="宋体" w:cs="宋体"/>
          <w:sz w:val="36"/>
          <w:szCs w:val="36"/>
        </w:rPr>
      </w:pPr>
    </w:p>
    <w:p w14:paraId="451FA508">
      <w:pPr>
        <w:jc w:val="center"/>
        <w:rPr>
          <w:rFonts w:ascii="宋体" w:hAnsi="宋体" w:cs="宋体"/>
          <w:sz w:val="36"/>
          <w:szCs w:val="36"/>
        </w:rPr>
      </w:pPr>
    </w:p>
    <w:p w14:paraId="14EF6653">
      <w:pPr>
        <w:pStyle w:val="22"/>
        <w:rPr>
          <w:rFonts w:hAnsi="宋体"/>
          <w:sz w:val="36"/>
          <w:szCs w:val="36"/>
        </w:rPr>
      </w:pPr>
    </w:p>
    <w:p w14:paraId="16AE8888">
      <w:pPr>
        <w:pStyle w:val="22"/>
        <w:rPr>
          <w:rFonts w:hAnsi="宋体"/>
          <w:sz w:val="36"/>
          <w:szCs w:val="36"/>
        </w:rPr>
      </w:pPr>
    </w:p>
    <w:p w14:paraId="63BC03D2">
      <w:pPr>
        <w:pStyle w:val="22"/>
        <w:rPr>
          <w:rFonts w:hAnsi="宋体"/>
          <w:sz w:val="36"/>
          <w:szCs w:val="36"/>
        </w:rPr>
      </w:pPr>
    </w:p>
    <w:p w14:paraId="49B410CC">
      <w:pPr>
        <w:pStyle w:val="22"/>
        <w:rPr>
          <w:rFonts w:hAnsi="宋体"/>
          <w:sz w:val="36"/>
          <w:szCs w:val="36"/>
        </w:rPr>
      </w:pPr>
    </w:p>
    <w:p w14:paraId="26A9E736">
      <w:pPr>
        <w:jc w:val="center"/>
        <w:rPr>
          <w:rFonts w:ascii="宋体" w:hAnsi="宋体" w:cs="宋体"/>
          <w:sz w:val="36"/>
          <w:szCs w:val="36"/>
        </w:rPr>
      </w:pPr>
    </w:p>
    <w:p w14:paraId="25ABDC23">
      <w:pPr>
        <w:jc w:val="center"/>
        <w:rPr>
          <w:rFonts w:ascii="宋体" w:hAnsi="宋体" w:cs="宋体"/>
          <w:sz w:val="36"/>
          <w:szCs w:val="36"/>
        </w:rPr>
      </w:pPr>
    </w:p>
    <w:p w14:paraId="3D01D4CD">
      <w:pPr>
        <w:spacing w:line="360" w:lineRule="auto"/>
        <w:jc w:val="center"/>
        <w:rPr>
          <w:rFonts w:ascii="宋体" w:hAnsi="宋体" w:cs="宋体"/>
          <w:sz w:val="32"/>
          <w:szCs w:val="32"/>
        </w:rPr>
      </w:pPr>
      <w:r>
        <w:rPr>
          <w:rFonts w:hint="eastAsia" w:ascii="宋体" w:hAnsi="宋体" w:cs="宋体"/>
          <w:sz w:val="32"/>
          <w:szCs w:val="32"/>
        </w:rPr>
        <w:t>投标人：</w:t>
      </w:r>
      <w:r>
        <w:rPr>
          <w:rFonts w:hint="eastAsia" w:ascii="宋体" w:hAnsi="宋体" w:cs="宋体"/>
          <w:sz w:val="32"/>
          <w:szCs w:val="32"/>
          <w:u w:val="single"/>
        </w:rPr>
        <w:t xml:space="preserve">                </w:t>
      </w:r>
      <w:r>
        <w:rPr>
          <w:rFonts w:hint="eastAsia" w:ascii="宋体" w:hAnsi="宋体" w:cs="宋体"/>
          <w:sz w:val="32"/>
          <w:szCs w:val="32"/>
        </w:rPr>
        <w:t>（电子签章）</w:t>
      </w:r>
    </w:p>
    <w:p w14:paraId="7176420C">
      <w:pPr>
        <w:spacing w:line="360" w:lineRule="auto"/>
        <w:jc w:val="center"/>
        <w:rPr>
          <w:rFonts w:ascii="宋体" w:hAnsi="宋体" w:cs="宋体"/>
          <w:sz w:val="32"/>
          <w:szCs w:val="32"/>
        </w:rPr>
      </w:pPr>
      <w:r>
        <w:rPr>
          <w:rFonts w:hint="eastAsia" w:ascii="宋体" w:hAnsi="宋体" w:cs="宋体"/>
          <w:sz w:val="32"/>
          <w:szCs w:val="32"/>
        </w:rPr>
        <w:t>法定代表人或其委托人：</w:t>
      </w:r>
      <w:r>
        <w:rPr>
          <w:rFonts w:hint="eastAsia" w:ascii="宋体" w:hAnsi="宋体" w:cs="宋体"/>
          <w:sz w:val="32"/>
          <w:szCs w:val="32"/>
          <w:u w:val="single"/>
        </w:rPr>
        <w:t xml:space="preserve">            </w:t>
      </w:r>
      <w:r>
        <w:rPr>
          <w:rFonts w:hint="eastAsia" w:ascii="宋体" w:hAnsi="宋体" w:cs="宋体"/>
          <w:sz w:val="32"/>
          <w:szCs w:val="32"/>
        </w:rPr>
        <w:t>（电子签章或签字）</w:t>
      </w:r>
    </w:p>
    <w:p w14:paraId="6903E581">
      <w:pPr>
        <w:spacing w:line="360" w:lineRule="auto"/>
        <w:jc w:val="center"/>
        <w:rPr>
          <w:rFonts w:ascii="宋体" w:hAnsi="宋体" w:cs="宋体"/>
          <w:sz w:val="32"/>
          <w:szCs w:val="32"/>
        </w:rPr>
      </w:pPr>
      <w:r>
        <w:rPr>
          <w:rFonts w:hint="eastAsia" w:ascii="宋体" w:hAnsi="宋体" w:cs="宋体"/>
          <w:sz w:val="32"/>
          <w:szCs w:val="32"/>
        </w:rPr>
        <w:t>年      月      日</w:t>
      </w:r>
    </w:p>
    <w:p w14:paraId="002012C4"/>
    <w:p w14:paraId="4F4F0A19"/>
    <w:p w14:paraId="19793579"/>
    <w:p w14:paraId="0E468A3D">
      <w:pPr>
        <w:jc w:val="center"/>
        <w:rPr>
          <w:rFonts w:ascii="宋体" w:hAnsi="宋体" w:cs="宋体"/>
          <w:sz w:val="36"/>
          <w:szCs w:val="36"/>
        </w:rPr>
      </w:pPr>
    </w:p>
    <w:p w14:paraId="24DE0F3C">
      <w:pPr>
        <w:jc w:val="center"/>
        <w:rPr>
          <w:rFonts w:ascii="宋体" w:hAnsi="宋体" w:cs="宋体"/>
          <w:sz w:val="36"/>
          <w:szCs w:val="36"/>
        </w:rPr>
      </w:pPr>
    </w:p>
    <w:p w14:paraId="7D28C956">
      <w:pPr>
        <w:jc w:val="center"/>
        <w:rPr>
          <w:rFonts w:ascii="宋体" w:hAnsi="宋体" w:cs="宋体"/>
          <w:sz w:val="36"/>
          <w:szCs w:val="36"/>
        </w:rPr>
      </w:pPr>
    </w:p>
    <w:p w14:paraId="0ED14B6A">
      <w:pPr>
        <w:jc w:val="center"/>
        <w:rPr>
          <w:rFonts w:ascii="宋体" w:hAnsi="宋体" w:cs="宋体"/>
          <w:sz w:val="36"/>
          <w:szCs w:val="36"/>
        </w:rPr>
      </w:pPr>
    </w:p>
    <w:p w14:paraId="21895505">
      <w:pPr>
        <w:jc w:val="center"/>
        <w:rPr>
          <w:rFonts w:ascii="宋体" w:hAnsi="宋体" w:cs="宋体"/>
          <w:sz w:val="36"/>
          <w:szCs w:val="36"/>
        </w:rPr>
      </w:pPr>
    </w:p>
    <w:p w14:paraId="71951A53">
      <w:pPr>
        <w:jc w:val="center"/>
        <w:rPr>
          <w:rFonts w:ascii="宋体" w:hAnsi="宋体" w:cs="宋体"/>
          <w:sz w:val="36"/>
          <w:szCs w:val="36"/>
        </w:rPr>
      </w:pPr>
    </w:p>
    <w:p w14:paraId="36495D8A">
      <w:pPr>
        <w:jc w:val="center"/>
        <w:rPr>
          <w:rFonts w:ascii="宋体" w:hAnsi="宋体" w:cs="宋体"/>
          <w:sz w:val="36"/>
          <w:szCs w:val="36"/>
        </w:rPr>
      </w:pPr>
      <w:r>
        <w:rPr>
          <w:rFonts w:hint="eastAsia" w:ascii="宋体" w:hAnsi="宋体" w:cs="宋体"/>
          <w:sz w:val="36"/>
          <w:szCs w:val="36"/>
        </w:rPr>
        <w:t>目    录</w:t>
      </w:r>
    </w:p>
    <w:p w14:paraId="2145AB4F">
      <w:pPr>
        <w:jc w:val="center"/>
        <w:rPr>
          <w:rFonts w:ascii="宋体" w:hAnsi="宋体" w:cs="宋体"/>
          <w:sz w:val="36"/>
          <w:szCs w:val="36"/>
        </w:rPr>
      </w:pPr>
    </w:p>
    <w:p w14:paraId="19F04477">
      <w:pPr>
        <w:jc w:val="center"/>
        <w:rPr>
          <w:rFonts w:ascii="宋体" w:hAnsi="宋体" w:cs="宋体"/>
          <w:sz w:val="36"/>
          <w:szCs w:val="36"/>
        </w:rPr>
      </w:pPr>
      <w:r>
        <w:rPr>
          <w:rFonts w:hint="eastAsia" w:ascii="宋体" w:hAnsi="宋体" w:cs="宋体"/>
          <w:sz w:val="36"/>
          <w:szCs w:val="36"/>
        </w:rPr>
        <w:t>（自拟）</w:t>
      </w:r>
    </w:p>
    <w:p w14:paraId="5FE5B36A"/>
    <w:p w14:paraId="568AC450"/>
    <w:p w14:paraId="0F693482"/>
    <w:p w14:paraId="4004436D"/>
    <w:p w14:paraId="4A5E72CD"/>
    <w:p w14:paraId="2D2F5610"/>
    <w:p w14:paraId="14A1A710"/>
    <w:p w14:paraId="4A66C74F"/>
    <w:p w14:paraId="64929D00"/>
    <w:p w14:paraId="0A84654C"/>
    <w:p w14:paraId="51931420"/>
    <w:p w14:paraId="4D91F059"/>
    <w:p w14:paraId="79C9965B"/>
    <w:p w14:paraId="660C4D78"/>
    <w:p w14:paraId="5FA027D1"/>
    <w:p w14:paraId="45EA43AE"/>
    <w:p w14:paraId="301B67C4"/>
    <w:p w14:paraId="5613A585"/>
    <w:p w14:paraId="5C7FBCDE"/>
    <w:p w14:paraId="408DF3DA"/>
    <w:p w14:paraId="7F369C78"/>
    <w:p w14:paraId="012D88C2"/>
    <w:p w14:paraId="3C246ECF"/>
    <w:p w14:paraId="46711F37"/>
    <w:p w14:paraId="6129469A"/>
    <w:p w14:paraId="5EC4C8C0"/>
    <w:p w14:paraId="05775F3B"/>
    <w:p w14:paraId="583C3140"/>
    <w:p w14:paraId="0A2FC674"/>
    <w:p w14:paraId="7422E402"/>
    <w:p w14:paraId="1FC9E279">
      <w:pPr>
        <w:pStyle w:val="22"/>
      </w:pPr>
    </w:p>
    <w:p w14:paraId="011F2DFC">
      <w:pPr>
        <w:pStyle w:val="22"/>
      </w:pPr>
    </w:p>
    <w:p w14:paraId="0A08BF11">
      <w:pPr>
        <w:pStyle w:val="22"/>
      </w:pPr>
    </w:p>
    <w:p w14:paraId="0E59CCD3">
      <w:pPr>
        <w:pStyle w:val="22"/>
      </w:pPr>
    </w:p>
    <w:p w14:paraId="1C7D07D5">
      <w:pPr>
        <w:pStyle w:val="22"/>
      </w:pPr>
    </w:p>
    <w:p w14:paraId="7AB7E916">
      <w:pPr>
        <w:pStyle w:val="22"/>
      </w:pPr>
    </w:p>
    <w:p w14:paraId="3FA68EF7">
      <w:pPr>
        <w:pStyle w:val="22"/>
      </w:pPr>
    </w:p>
    <w:p w14:paraId="2021AC02">
      <w:pPr>
        <w:pStyle w:val="22"/>
      </w:pPr>
    </w:p>
    <w:p w14:paraId="19A6988C">
      <w:pPr>
        <w:pStyle w:val="22"/>
      </w:pPr>
    </w:p>
    <w:p w14:paraId="0E7A04DC"/>
    <w:p w14:paraId="002880A4">
      <w:pPr>
        <w:jc w:val="center"/>
        <w:rPr>
          <w:rFonts w:ascii="宋体" w:hAnsi="宋体" w:cs="宋体"/>
          <w:b/>
          <w:sz w:val="28"/>
          <w:szCs w:val="28"/>
        </w:rPr>
      </w:pPr>
      <w:r>
        <w:rPr>
          <w:rFonts w:hint="eastAsia" w:ascii="宋体" w:hAnsi="宋体" w:cs="宋体"/>
          <w:b/>
          <w:sz w:val="28"/>
          <w:szCs w:val="28"/>
        </w:rPr>
        <w:t>一、投标函及开标一览表</w:t>
      </w:r>
    </w:p>
    <w:p w14:paraId="5F9BBE21">
      <w:pPr>
        <w:jc w:val="center"/>
        <w:rPr>
          <w:rFonts w:ascii="宋体" w:hAnsi="宋体" w:cs="宋体"/>
          <w:sz w:val="28"/>
          <w:szCs w:val="28"/>
        </w:rPr>
      </w:pPr>
      <w:r>
        <w:rPr>
          <w:rFonts w:hint="eastAsia" w:ascii="宋体" w:hAnsi="宋体" w:cs="宋体"/>
          <w:sz w:val="28"/>
          <w:szCs w:val="28"/>
        </w:rPr>
        <w:t>（一）投标函</w:t>
      </w:r>
    </w:p>
    <w:p w14:paraId="7B858479">
      <w:pPr>
        <w:rPr>
          <w:rFonts w:ascii="宋体" w:hAnsi="宋体" w:cs="宋体"/>
          <w:sz w:val="28"/>
          <w:szCs w:val="28"/>
        </w:rPr>
      </w:pPr>
    </w:p>
    <w:p w14:paraId="1433FDE2">
      <w:pPr>
        <w:spacing w:line="480" w:lineRule="exac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w:t>
      </w:r>
    </w:p>
    <w:p w14:paraId="1EE5F7D3">
      <w:pPr>
        <w:spacing w:line="480" w:lineRule="exact"/>
        <w:rPr>
          <w:rFonts w:ascii="宋体" w:hAnsi="宋体" w:cs="宋体"/>
          <w:sz w:val="24"/>
        </w:rPr>
      </w:pPr>
      <w:r>
        <w:rPr>
          <w:rFonts w:hint="eastAsia" w:ascii="宋体" w:hAnsi="宋体" w:cs="宋体"/>
          <w:sz w:val="24"/>
        </w:rPr>
        <w:t>1、我方已仔细研究了</w:t>
      </w:r>
      <w:r>
        <w:rPr>
          <w:rFonts w:hint="eastAsia" w:ascii="宋体" w:hAnsi="宋体" w:cs="宋体"/>
          <w:sz w:val="24"/>
          <w:u w:val="single"/>
        </w:rPr>
        <w:t xml:space="preserve">                     </w:t>
      </w:r>
      <w:r>
        <w:rPr>
          <w:rFonts w:hint="eastAsia" w:ascii="宋体" w:hAnsi="宋体" w:cs="宋体"/>
          <w:sz w:val="24"/>
        </w:rPr>
        <w:t>项目招标文件的全部内容，愿按照招标文件中规定的条款和要求，完成本项目。投标总报价为（大写）：</w:t>
      </w:r>
      <w:r>
        <w:rPr>
          <w:rFonts w:hint="eastAsia" w:ascii="宋体" w:hAnsi="宋体" w:cs="宋体"/>
          <w:sz w:val="24"/>
          <w:u w:val="single"/>
        </w:rPr>
        <w:t xml:space="preserve">        </w:t>
      </w:r>
      <w:r>
        <w:rPr>
          <w:rFonts w:hint="eastAsia" w:ascii="宋体" w:hAnsi="宋体" w:cs="宋体"/>
          <w:sz w:val="24"/>
        </w:rPr>
        <w:t>，（小写）：</w:t>
      </w:r>
      <w:r>
        <w:rPr>
          <w:rFonts w:hint="eastAsia" w:ascii="宋体" w:hAnsi="宋体" w:cs="宋体"/>
          <w:sz w:val="24"/>
          <w:u w:val="single"/>
        </w:rPr>
        <w:t xml:space="preserve">        </w:t>
      </w:r>
      <w:r>
        <w:rPr>
          <w:rFonts w:hint="eastAsia" w:ascii="宋体" w:hAnsi="宋体" w:cs="宋体"/>
          <w:sz w:val="24"/>
        </w:rPr>
        <w:t xml:space="preserve"> ，供货期限：</w:t>
      </w:r>
      <w:r>
        <w:rPr>
          <w:rFonts w:hint="eastAsia" w:ascii="宋体" w:hAnsi="宋体" w:cs="宋体"/>
          <w:sz w:val="24"/>
          <w:u w:val="single"/>
        </w:rPr>
        <w:t xml:space="preserve">        </w:t>
      </w:r>
      <w:r>
        <w:rPr>
          <w:rFonts w:hint="eastAsia" w:ascii="宋体" w:hAnsi="宋体" w:cs="宋体"/>
          <w:sz w:val="24"/>
        </w:rPr>
        <w:t>，质保期</w:t>
      </w:r>
      <w:r>
        <w:rPr>
          <w:rFonts w:hint="eastAsia" w:ascii="宋体" w:hAnsi="宋体" w:cs="宋体"/>
          <w:sz w:val="24"/>
          <w:u w:val="single"/>
        </w:rPr>
        <w:t xml:space="preserve">       </w:t>
      </w:r>
      <w:r>
        <w:rPr>
          <w:rFonts w:hint="eastAsia" w:ascii="宋体" w:hAnsi="宋体" w:cs="宋体"/>
          <w:sz w:val="24"/>
        </w:rPr>
        <w:t>，质量要求：</w:t>
      </w:r>
      <w:r>
        <w:rPr>
          <w:rFonts w:hint="eastAsia" w:ascii="宋体" w:hAnsi="宋体" w:cs="宋体"/>
          <w:sz w:val="24"/>
          <w:u w:val="single"/>
        </w:rPr>
        <w:t xml:space="preserve">        </w:t>
      </w:r>
      <w:r>
        <w:rPr>
          <w:rFonts w:hint="eastAsia" w:ascii="宋体" w:hAnsi="宋体" w:cs="宋体"/>
          <w:sz w:val="24"/>
        </w:rPr>
        <w:t>。</w:t>
      </w:r>
    </w:p>
    <w:p w14:paraId="734643D2">
      <w:pPr>
        <w:spacing w:line="480" w:lineRule="exact"/>
        <w:rPr>
          <w:rFonts w:ascii="宋体" w:hAnsi="宋体" w:cs="宋体"/>
          <w:sz w:val="24"/>
        </w:rPr>
      </w:pPr>
      <w:r>
        <w:rPr>
          <w:rFonts w:hint="eastAsia" w:ascii="宋体" w:hAnsi="宋体" w:cs="宋体"/>
          <w:sz w:val="24"/>
        </w:rPr>
        <w:t>2、我方承诺在投标有效期</w:t>
      </w:r>
      <w:r>
        <w:rPr>
          <w:rFonts w:hint="eastAsia" w:ascii="宋体" w:hAnsi="宋体" w:cs="宋体"/>
          <w:sz w:val="24"/>
          <w:u w:val="single"/>
        </w:rPr>
        <w:t xml:space="preserve">        </w:t>
      </w:r>
      <w:r>
        <w:rPr>
          <w:rFonts w:hint="eastAsia" w:ascii="宋体" w:hAnsi="宋体" w:cs="宋体"/>
          <w:sz w:val="24"/>
        </w:rPr>
        <w:t>日历天内不修改、撤销投标文件。</w:t>
      </w:r>
    </w:p>
    <w:p w14:paraId="1D6EF45A">
      <w:pPr>
        <w:spacing w:line="480" w:lineRule="exact"/>
        <w:rPr>
          <w:rFonts w:ascii="宋体" w:hAnsi="宋体" w:cs="宋体"/>
          <w:sz w:val="24"/>
        </w:rPr>
      </w:pPr>
      <w:r>
        <w:rPr>
          <w:rFonts w:hint="eastAsia" w:ascii="宋体" w:hAnsi="宋体" w:cs="宋体"/>
          <w:sz w:val="24"/>
        </w:rPr>
        <w:t xml:space="preserve">3、如我方中标： </w:t>
      </w:r>
    </w:p>
    <w:p w14:paraId="4D0EACF8">
      <w:pPr>
        <w:spacing w:line="480" w:lineRule="exact"/>
        <w:rPr>
          <w:rFonts w:ascii="宋体" w:hAnsi="宋体" w:cs="宋体"/>
          <w:sz w:val="24"/>
        </w:rPr>
      </w:pPr>
      <w:r>
        <w:rPr>
          <w:rFonts w:hint="eastAsia" w:ascii="宋体" w:hAnsi="宋体" w:cs="宋体"/>
          <w:sz w:val="24"/>
        </w:rPr>
        <w:t>（1）我方承诺在收到中标通知书后，在中标通知书规定的期限内与你方签订合同。</w:t>
      </w:r>
    </w:p>
    <w:p w14:paraId="54AAB02F">
      <w:pPr>
        <w:spacing w:line="480" w:lineRule="exact"/>
        <w:rPr>
          <w:rFonts w:ascii="宋体" w:hAnsi="宋体" w:cs="宋体"/>
          <w:sz w:val="24"/>
        </w:rPr>
      </w:pPr>
      <w:r>
        <w:rPr>
          <w:rFonts w:hint="eastAsia" w:ascii="宋体" w:hAnsi="宋体" w:cs="宋体"/>
          <w:sz w:val="24"/>
        </w:rPr>
        <w:t>（2）随同本投标函递交的开标一览表属于合同文件的组成部分。</w:t>
      </w:r>
    </w:p>
    <w:p w14:paraId="32D65B30">
      <w:pPr>
        <w:spacing w:line="480" w:lineRule="exact"/>
        <w:rPr>
          <w:rFonts w:ascii="宋体" w:hAnsi="宋体" w:cs="宋体"/>
          <w:sz w:val="24"/>
        </w:rPr>
      </w:pPr>
      <w:r>
        <w:rPr>
          <w:rFonts w:hint="eastAsia" w:ascii="宋体" w:hAnsi="宋体" w:cs="宋体"/>
          <w:sz w:val="24"/>
        </w:rPr>
        <w:t>（3）我方承诺按照招标文件规定向你方递交履约担保。</w:t>
      </w:r>
    </w:p>
    <w:p w14:paraId="3637140B">
      <w:pPr>
        <w:spacing w:line="480" w:lineRule="exact"/>
        <w:rPr>
          <w:rFonts w:ascii="宋体" w:hAnsi="宋体" w:cs="宋体"/>
          <w:sz w:val="24"/>
        </w:rPr>
      </w:pPr>
      <w:r>
        <w:rPr>
          <w:rFonts w:hint="eastAsia" w:ascii="宋体" w:hAnsi="宋体" w:cs="宋体"/>
          <w:sz w:val="24"/>
        </w:rPr>
        <w:t>（4）我方承诺在合同约定的期限内完成本项目。</w:t>
      </w:r>
    </w:p>
    <w:p w14:paraId="55DF4528">
      <w:pPr>
        <w:spacing w:line="480" w:lineRule="exact"/>
        <w:rPr>
          <w:rFonts w:ascii="宋体" w:hAnsi="宋体" w:cs="宋体"/>
          <w:sz w:val="24"/>
        </w:rPr>
      </w:pPr>
      <w:r>
        <w:rPr>
          <w:rFonts w:hint="eastAsia" w:ascii="宋体" w:hAnsi="宋体" w:cs="宋体"/>
          <w:sz w:val="24"/>
        </w:rPr>
        <w:t>4、我方在此声明，所递交的投标文件及有关资料内容完整、真实和准确。</w:t>
      </w:r>
    </w:p>
    <w:p w14:paraId="4DB76EC8">
      <w:pPr>
        <w:spacing w:line="480" w:lineRule="exact"/>
        <w:rPr>
          <w:rFonts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6EC2E6FA">
      <w:pPr>
        <w:spacing w:line="480" w:lineRule="exact"/>
        <w:rPr>
          <w:rFonts w:ascii="宋体" w:hAnsi="宋体" w:cs="宋体"/>
          <w:sz w:val="24"/>
        </w:rPr>
      </w:pPr>
    </w:p>
    <w:p w14:paraId="2A88D104">
      <w:pPr>
        <w:spacing w:line="480" w:lineRule="exact"/>
        <w:rPr>
          <w:rFonts w:ascii="宋体" w:hAnsi="宋体" w:cs="宋体"/>
          <w:sz w:val="24"/>
        </w:rPr>
      </w:pPr>
      <w:r>
        <w:rPr>
          <w:rFonts w:hint="eastAsia" w:ascii="宋体" w:hAnsi="宋体" w:cs="宋体"/>
          <w:sz w:val="24"/>
        </w:rPr>
        <w:t>投标人：                （电子签章）</w:t>
      </w:r>
    </w:p>
    <w:p w14:paraId="6722902B">
      <w:pPr>
        <w:spacing w:line="480" w:lineRule="exact"/>
        <w:rPr>
          <w:rFonts w:ascii="宋体" w:hAnsi="宋体" w:cs="宋体"/>
          <w:sz w:val="24"/>
        </w:rPr>
      </w:pPr>
      <w:r>
        <w:rPr>
          <w:rFonts w:hint="eastAsia" w:ascii="宋体" w:hAnsi="宋体" w:cs="宋体"/>
          <w:sz w:val="24"/>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sz w:val="24"/>
        </w:rPr>
        <w:t>：            （电子签章或签字）</w:t>
      </w:r>
    </w:p>
    <w:p w14:paraId="3326B9EA">
      <w:pPr>
        <w:spacing w:line="480" w:lineRule="exact"/>
        <w:rPr>
          <w:rFonts w:ascii="宋体" w:hAnsi="宋体" w:cs="宋体"/>
          <w:sz w:val="24"/>
        </w:rPr>
      </w:pPr>
      <w:r>
        <w:rPr>
          <w:rFonts w:hint="eastAsia" w:ascii="宋体" w:hAnsi="宋体" w:cs="宋体"/>
          <w:sz w:val="24"/>
        </w:rPr>
        <w:t>日期：</w:t>
      </w:r>
    </w:p>
    <w:p w14:paraId="21C70361">
      <w:pPr>
        <w:spacing w:line="480" w:lineRule="exact"/>
        <w:rPr>
          <w:rFonts w:ascii="宋体" w:hAnsi="宋体" w:cs="宋体"/>
          <w:sz w:val="24"/>
        </w:rPr>
      </w:pPr>
    </w:p>
    <w:p w14:paraId="5DC9161D">
      <w:pPr>
        <w:spacing w:line="588" w:lineRule="exact"/>
        <w:jc w:val="left"/>
        <w:rPr>
          <w:rFonts w:ascii="宋体" w:hAnsi="宋体" w:cs="宋体"/>
        </w:rPr>
      </w:pPr>
    </w:p>
    <w:p w14:paraId="6989CD60">
      <w:pPr>
        <w:spacing w:line="588" w:lineRule="exact"/>
        <w:jc w:val="left"/>
        <w:rPr>
          <w:rFonts w:ascii="宋体" w:hAnsi="宋体" w:cs="宋体"/>
        </w:rPr>
      </w:pPr>
    </w:p>
    <w:p w14:paraId="1CDE6B1B">
      <w:pPr>
        <w:spacing w:line="588" w:lineRule="exact"/>
        <w:jc w:val="left"/>
        <w:rPr>
          <w:rFonts w:ascii="宋体" w:hAnsi="宋体" w:cs="宋体"/>
        </w:rPr>
      </w:pPr>
    </w:p>
    <w:p w14:paraId="4CBD6491">
      <w:pPr>
        <w:spacing w:line="588" w:lineRule="exact"/>
        <w:jc w:val="left"/>
        <w:rPr>
          <w:rFonts w:ascii="宋体" w:hAnsi="宋体" w:cs="宋体"/>
        </w:rPr>
      </w:pPr>
    </w:p>
    <w:p w14:paraId="68DC0DD0">
      <w:pPr>
        <w:spacing w:line="588" w:lineRule="exact"/>
        <w:jc w:val="left"/>
        <w:rPr>
          <w:rFonts w:ascii="宋体" w:hAnsi="宋体" w:cs="宋体"/>
        </w:rPr>
      </w:pPr>
    </w:p>
    <w:p w14:paraId="52E97146">
      <w:pPr>
        <w:spacing w:line="588" w:lineRule="exact"/>
        <w:jc w:val="left"/>
        <w:rPr>
          <w:rFonts w:ascii="宋体" w:hAnsi="宋体" w:cs="宋体"/>
        </w:rPr>
      </w:pPr>
    </w:p>
    <w:p w14:paraId="2FF832A4">
      <w:pPr>
        <w:spacing w:line="588" w:lineRule="exact"/>
        <w:jc w:val="left"/>
        <w:rPr>
          <w:rFonts w:ascii="宋体" w:hAnsi="宋体" w:cs="宋体"/>
        </w:rPr>
      </w:pPr>
    </w:p>
    <w:p w14:paraId="48EF2F2C">
      <w:pPr>
        <w:spacing w:line="588" w:lineRule="exact"/>
        <w:jc w:val="left"/>
        <w:rPr>
          <w:rFonts w:ascii="宋体" w:hAnsi="宋体" w:cs="宋体"/>
        </w:rPr>
      </w:pPr>
    </w:p>
    <w:p w14:paraId="01F9F419">
      <w:pPr>
        <w:rPr>
          <w:rFonts w:ascii="宋体" w:hAnsi="宋体" w:cs="宋体"/>
          <w:sz w:val="28"/>
          <w:szCs w:val="36"/>
        </w:rPr>
      </w:pPr>
      <w:bookmarkStart w:id="44" w:name="_Toc21940_WPSOffice_Level1"/>
      <w:r>
        <w:rPr>
          <w:rFonts w:hint="eastAsia" w:ascii="宋体" w:hAnsi="宋体" w:cs="宋体"/>
          <w:sz w:val="28"/>
          <w:szCs w:val="36"/>
        </w:rPr>
        <w:br w:type="page"/>
      </w:r>
    </w:p>
    <w:p w14:paraId="342B365A">
      <w:pPr>
        <w:jc w:val="center"/>
        <w:rPr>
          <w:rFonts w:ascii="宋体" w:hAnsi="宋体" w:cs="宋体"/>
          <w:sz w:val="28"/>
          <w:szCs w:val="36"/>
        </w:rPr>
      </w:pPr>
      <w:r>
        <w:rPr>
          <w:rFonts w:hint="eastAsia" w:ascii="宋体" w:hAnsi="宋体" w:cs="宋体"/>
          <w:sz w:val="28"/>
          <w:szCs w:val="36"/>
        </w:rPr>
        <w:t>（二）</w:t>
      </w:r>
      <w:bookmarkEnd w:id="44"/>
      <w:r>
        <w:rPr>
          <w:rFonts w:hint="eastAsia" w:ascii="宋体" w:hAnsi="宋体" w:cs="宋体"/>
          <w:sz w:val="28"/>
          <w:szCs w:val="36"/>
        </w:rPr>
        <w:t>开标一览表</w:t>
      </w:r>
    </w:p>
    <w:p w14:paraId="4A4B3303">
      <w:pPr>
        <w:spacing w:after="120"/>
        <w:rPr>
          <w:rFonts w:ascii="宋体" w:hAnsi="宋体" w:cs="宋体"/>
        </w:rPr>
      </w:pPr>
    </w:p>
    <w:tbl>
      <w:tblPr>
        <w:tblStyle w:val="19"/>
        <w:tblW w:w="8760" w:type="dxa"/>
        <w:jc w:val="center"/>
        <w:tblLayout w:type="fixed"/>
        <w:tblCellMar>
          <w:top w:w="0" w:type="dxa"/>
          <w:left w:w="108" w:type="dxa"/>
          <w:bottom w:w="0" w:type="dxa"/>
          <w:right w:w="108" w:type="dxa"/>
        </w:tblCellMar>
      </w:tblPr>
      <w:tblGrid>
        <w:gridCol w:w="2024"/>
        <w:gridCol w:w="2664"/>
        <w:gridCol w:w="1276"/>
        <w:gridCol w:w="2796"/>
      </w:tblGrid>
      <w:tr w14:paraId="2E74FF94">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3E360E3">
            <w:pPr>
              <w:spacing w:line="360" w:lineRule="auto"/>
              <w:jc w:val="center"/>
              <w:rPr>
                <w:rFonts w:ascii="宋体" w:hAnsi="宋体" w:cs="宋体"/>
                <w:sz w:val="24"/>
              </w:rPr>
            </w:pPr>
            <w:r>
              <w:rPr>
                <w:rFonts w:hint="eastAsia" w:ascii="宋体" w:hAnsi="宋体" w:cs="宋体"/>
                <w:sz w:val="24"/>
              </w:rPr>
              <w:t>项目名称</w:t>
            </w:r>
          </w:p>
        </w:tc>
        <w:tc>
          <w:tcPr>
            <w:tcW w:w="6736" w:type="dxa"/>
            <w:gridSpan w:val="3"/>
            <w:tcBorders>
              <w:top w:val="single" w:color="auto" w:sz="4" w:space="0"/>
              <w:left w:val="nil"/>
              <w:bottom w:val="single" w:color="auto" w:sz="4" w:space="0"/>
              <w:right w:val="single" w:color="auto" w:sz="4" w:space="0"/>
            </w:tcBorders>
            <w:vAlign w:val="center"/>
          </w:tcPr>
          <w:p w14:paraId="1CA6597B">
            <w:pPr>
              <w:spacing w:line="360" w:lineRule="auto"/>
              <w:jc w:val="center"/>
              <w:rPr>
                <w:rFonts w:ascii="宋体" w:hAnsi="宋体" w:cs="宋体"/>
                <w:sz w:val="24"/>
              </w:rPr>
            </w:pPr>
          </w:p>
        </w:tc>
      </w:tr>
      <w:tr w14:paraId="530EE5D1">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93F730E">
            <w:pPr>
              <w:spacing w:line="360" w:lineRule="auto"/>
              <w:jc w:val="center"/>
              <w:rPr>
                <w:rFonts w:ascii="宋体" w:hAnsi="宋体" w:cs="宋体"/>
                <w:sz w:val="24"/>
              </w:rPr>
            </w:pPr>
            <w:r>
              <w:rPr>
                <w:rFonts w:hint="eastAsia" w:ascii="宋体" w:hAnsi="宋体" w:cs="宋体"/>
                <w:sz w:val="24"/>
              </w:rPr>
              <w:t>项目编号</w:t>
            </w:r>
          </w:p>
        </w:tc>
        <w:tc>
          <w:tcPr>
            <w:tcW w:w="6736" w:type="dxa"/>
            <w:gridSpan w:val="3"/>
            <w:tcBorders>
              <w:top w:val="single" w:color="auto" w:sz="4" w:space="0"/>
              <w:left w:val="nil"/>
              <w:bottom w:val="single" w:color="auto" w:sz="4" w:space="0"/>
              <w:right w:val="single" w:color="auto" w:sz="4" w:space="0"/>
            </w:tcBorders>
            <w:vAlign w:val="center"/>
          </w:tcPr>
          <w:p w14:paraId="7D3ABAA7">
            <w:pPr>
              <w:spacing w:line="360" w:lineRule="auto"/>
              <w:jc w:val="center"/>
              <w:rPr>
                <w:rFonts w:ascii="宋体" w:hAnsi="宋体" w:cs="宋体"/>
                <w:sz w:val="24"/>
              </w:rPr>
            </w:pPr>
          </w:p>
        </w:tc>
      </w:tr>
      <w:tr w14:paraId="2777AE7B">
        <w:tblPrEx>
          <w:tblCellMar>
            <w:top w:w="0" w:type="dxa"/>
            <w:left w:w="108" w:type="dxa"/>
            <w:bottom w:w="0" w:type="dxa"/>
            <w:right w:w="108" w:type="dxa"/>
          </w:tblCellMar>
        </w:tblPrEx>
        <w:trPr>
          <w:trHeight w:val="853"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068B14D0">
            <w:pPr>
              <w:spacing w:line="360" w:lineRule="auto"/>
              <w:jc w:val="center"/>
              <w:rPr>
                <w:rFonts w:ascii="宋体" w:hAnsi="宋体" w:cs="宋体"/>
                <w:sz w:val="24"/>
              </w:rPr>
            </w:pPr>
            <w:r>
              <w:rPr>
                <w:rFonts w:hint="eastAsia" w:ascii="宋体" w:hAnsi="宋体" w:cs="宋体"/>
                <w:sz w:val="24"/>
              </w:rPr>
              <w:t>投标人名称</w:t>
            </w:r>
          </w:p>
        </w:tc>
        <w:tc>
          <w:tcPr>
            <w:tcW w:w="6736" w:type="dxa"/>
            <w:gridSpan w:val="3"/>
            <w:tcBorders>
              <w:top w:val="single" w:color="auto" w:sz="4" w:space="0"/>
              <w:left w:val="nil"/>
              <w:bottom w:val="single" w:color="auto" w:sz="4" w:space="0"/>
              <w:right w:val="single" w:color="auto" w:sz="4" w:space="0"/>
            </w:tcBorders>
            <w:vAlign w:val="center"/>
          </w:tcPr>
          <w:p w14:paraId="7155FE3F">
            <w:pPr>
              <w:spacing w:line="360" w:lineRule="auto"/>
              <w:jc w:val="center"/>
              <w:rPr>
                <w:rFonts w:ascii="宋体" w:hAnsi="宋体" w:cs="宋体"/>
                <w:sz w:val="24"/>
              </w:rPr>
            </w:pPr>
          </w:p>
        </w:tc>
      </w:tr>
      <w:tr w14:paraId="47863B5A">
        <w:tblPrEx>
          <w:tblCellMar>
            <w:top w:w="0" w:type="dxa"/>
            <w:left w:w="108" w:type="dxa"/>
            <w:bottom w:w="0" w:type="dxa"/>
            <w:right w:w="108" w:type="dxa"/>
          </w:tblCellMar>
        </w:tblPrEx>
        <w:trPr>
          <w:trHeight w:val="1417"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3124F3C">
            <w:pPr>
              <w:spacing w:line="360" w:lineRule="auto"/>
              <w:jc w:val="center"/>
              <w:rPr>
                <w:rFonts w:ascii="宋体" w:hAnsi="宋体" w:cs="宋体"/>
                <w:sz w:val="24"/>
              </w:rPr>
            </w:pPr>
            <w:r>
              <w:rPr>
                <w:rFonts w:hint="eastAsia" w:ascii="宋体" w:hAnsi="宋体" w:cs="宋体"/>
                <w:sz w:val="24"/>
              </w:rPr>
              <w:t>投标报价</w:t>
            </w:r>
          </w:p>
        </w:tc>
        <w:tc>
          <w:tcPr>
            <w:tcW w:w="6736" w:type="dxa"/>
            <w:gridSpan w:val="3"/>
            <w:tcBorders>
              <w:top w:val="single" w:color="auto" w:sz="4" w:space="0"/>
              <w:left w:val="nil"/>
              <w:bottom w:val="single" w:color="auto" w:sz="4" w:space="0"/>
              <w:right w:val="single" w:color="auto" w:sz="4" w:space="0"/>
            </w:tcBorders>
            <w:vAlign w:val="center"/>
          </w:tcPr>
          <w:p w14:paraId="214067FF">
            <w:pPr>
              <w:spacing w:line="360" w:lineRule="auto"/>
              <w:rPr>
                <w:rFonts w:ascii="宋体" w:hAnsi="宋体" w:cs="宋体"/>
                <w:bCs/>
                <w:sz w:val="24"/>
                <w:u w:val="single"/>
              </w:rPr>
            </w:pPr>
            <w:r>
              <w:rPr>
                <w:rFonts w:hint="eastAsia" w:ascii="宋体" w:hAnsi="宋体" w:cs="宋体"/>
                <w:bCs/>
                <w:sz w:val="24"/>
              </w:rPr>
              <w:t>（大写）：</w:t>
            </w:r>
          </w:p>
          <w:p w14:paraId="4966460B">
            <w:pPr>
              <w:spacing w:line="360" w:lineRule="auto"/>
              <w:rPr>
                <w:rFonts w:ascii="宋体" w:hAnsi="宋体" w:cs="宋体"/>
                <w:sz w:val="24"/>
                <w:u w:val="single"/>
              </w:rPr>
            </w:pPr>
            <w:r>
              <w:rPr>
                <w:rFonts w:hint="eastAsia" w:ascii="宋体" w:hAnsi="宋体" w:cs="宋体"/>
                <w:bCs/>
                <w:sz w:val="24"/>
              </w:rPr>
              <w:t>（小写）：</w:t>
            </w:r>
          </w:p>
        </w:tc>
      </w:tr>
      <w:tr w14:paraId="38222E23">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BC21F6">
            <w:pPr>
              <w:spacing w:line="360" w:lineRule="auto"/>
              <w:jc w:val="center"/>
              <w:rPr>
                <w:rFonts w:ascii="宋体" w:hAnsi="宋体" w:cs="宋体"/>
                <w:sz w:val="24"/>
              </w:rPr>
            </w:pPr>
            <w:r>
              <w:rPr>
                <w:rFonts w:hint="eastAsia" w:ascii="宋体" w:hAnsi="宋体" w:cs="宋体"/>
                <w:sz w:val="24"/>
              </w:rPr>
              <w:t>供货期</w:t>
            </w:r>
          </w:p>
        </w:tc>
        <w:tc>
          <w:tcPr>
            <w:tcW w:w="6736" w:type="dxa"/>
            <w:gridSpan w:val="3"/>
            <w:tcBorders>
              <w:top w:val="single" w:color="auto" w:sz="4" w:space="0"/>
              <w:left w:val="nil"/>
              <w:bottom w:val="single" w:color="auto" w:sz="4" w:space="0"/>
              <w:right w:val="single" w:color="auto" w:sz="4" w:space="0"/>
            </w:tcBorders>
            <w:vAlign w:val="center"/>
          </w:tcPr>
          <w:p w14:paraId="7DD42784">
            <w:pPr>
              <w:spacing w:line="360" w:lineRule="auto"/>
              <w:jc w:val="center"/>
              <w:rPr>
                <w:rFonts w:ascii="宋体" w:hAnsi="宋体" w:cs="宋体"/>
                <w:sz w:val="24"/>
              </w:rPr>
            </w:pPr>
          </w:p>
          <w:p w14:paraId="6C457B48">
            <w:pPr>
              <w:spacing w:line="360" w:lineRule="auto"/>
              <w:jc w:val="center"/>
              <w:rPr>
                <w:rFonts w:ascii="宋体" w:hAnsi="宋体" w:cs="宋体"/>
                <w:sz w:val="24"/>
              </w:rPr>
            </w:pPr>
          </w:p>
        </w:tc>
      </w:tr>
      <w:tr w14:paraId="666C2F6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628AD073">
            <w:pPr>
              <w:spacing w:line="360" w:lineRule="auto"/>
              <w:jc w:val="center"/>
              <w:rPr>
                <w:rFonts w:ascii="宋体" w:hAnsi="宋体" w:cs="宋体"/>
                <w:sz w:val="24"/>
              </w:rPr>
            </w:pPr>
            <w:r>
              <w:rPr>
                <w:rFonts w:hint="eastAsia" w:ascii="宋体" w:hAnsi="宋体" w:cs="宋体"/>
                <w:sz w:val="24"/>
              </w:rPr>
              <w:t>质保期</w:t>
            </w:r>
          </w:p>
        </w:tc>
        <w:tc>
          <w:tcPr>
            <w:tcW w:w="6736" w:type="dxa"/>
            <w:gridSpan w:val="3"/>
            <w:tcBorders>
              <w:top w:val="single" w:color="auto" w:sz="4" w:space="0"/>
              <w:left w:val="nil"/>
              <w:bottom w:val="single" w:color="auto" w:sz="4" w:space="0"/>
              <w:right w:val="single" w:color="auto" w:sz="4" w:space="0"/>
            </w:tcBorders>
            <w:vAlign w:val="center"/>
          </w:tcPr>
          <w:p w14:paraId="6CE88580">
            <w:pPr>
              <w:spacing w:line="360" w:lineRule="auto"/>
              <w:jc w:val="center"/>
              <w:rPr>
                <w:rFonts w:ascii="宋体" w:hAnsi="宋体" w:cs="宋体"/>
                <w:sz w:val="24"/>
              </w:rPr>
            </w:pPr>
          </w:p>
        </w:tc>
      </w:tr>
      <w:tr w14:paraId="2E901267">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4680F982">
            <w:pPr>
              <w:spacing w:line="360" w:lineRule="auto"/>
              <w:jc w:val="center"/>
              <w:rPr>
                <w:rFonts w:ascii="宋体" w:hAnsi="宋体" w:cs="宋体"/>
                <w:sz w:val="24"/>
              </w:rPr>
            </w:pPr>
            <w:r>
              <w:rPr>
                <w:rFonts w:hint="eastAsia" w:ascii="宋体" w:hAnsi="宋体" w:cs="宋体"/>
                <w:sz w:val="24"/>
              </w:rPr>
              <w:t>质量要求</w:t>
            </w:r>
          </w:p>
        </w:tc>
        <w:tc>
          <w:tcPr>
            <w:tcW w:w="6736" w:type="dxa"/>
            <w:gridSpan w:val="3"/>
            <w:tcBorders>
              <w:top w:val="single" w:color="auto" w:sz="4" w:space="0"/>
              <w:left w:val="nil"/>
              <w:bottom w:val="single" w:color="auto" w:sz="4" w:space="0"/>
              <w:right w:val="single" w:color="auto" w:sz="4" w:space="0"/>
            </w:tcBorders>
            <w:vAlign w:val="center"/>
          </w:tcPr>
          <w:p w14:paraId="39BC92E5">
            <w:pPr>
              <w:spacing w:line="360" w:lineRule="auto"/>
              <w:jc w:val="center"/>
              <w:rPr>
                <w:rFonts w:ascii="宋体" w:hAnsi="宋体" w:cs="宋体"/>
                <w:sz w:val="24"/>
              </w:rPr>
            </w:pPr>
          </w:p>
        </w:tc>
      </w:tr>
      <w:tr w14:paraId="71CB8D6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382A7AC6">
            <w:pPr>
              <w:spacing w:line="360" w:lineRule="auto"/>
              <w:jc w:val="center"/>
              <w:rPr>
                <w:rFonts w:ascii="宋体" w:hAnsi="宋体" w:cs="宋体"/>
                <w:sz w:val="24"/>
              </w:rPr>
            </w:pPr>
            <w:r>
              <w:rPr>
                <w:rFonts w:hint="eastAsia" w:ascii="宋体" w:hAnsi="宋体" w:cs="宋体"/>
                <w:sz w:val="24"/>
              </w:rPr>
              <w:t>项目负责人</w:t>
            </w:r>
          </w:p>
        </w:tc>
        <w:tc>
          <w:tcPr>
            <w:tcW w:w="2664" w:type="dxa"/>
            <w:tcBorders>
              <w:top w:val="single" w:color="auto" w:sz="4" w:space="0"/>
              <w:left w:val="nil"/>
              <w:bottom w:val="single" w:color="auto" w:sz="4" w:space="0"/>
              <w:right w:val="single" w:color="auto" w:sz="4" w:space="0"/>
            </w:tcBorders>
            <w:vAlign w:val="center"/>
          </w:tcPr>
          <w:p w14:paraId="32691F9D">
            <w:pPr>
              <w:spacing w:line="360" w:lineRule="auto"/>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vAlign w:val="center"/>
          </w:tcPr>
          <w:p w14:paraId="1307E6A1">
            <w:pPr>
              <w:spacing w:line="360" w:lineRule="auto"/>
              <w:jc w:val="center"/>
              <w:rPr>
                <w:rFonts w:ascii="宋体" w:hAnsi="宋体" w:cs="宋体"/>
                <w:sz w:val="24"/>
              </w:rPr>
            </w:pPr>
            <w:r>
              <w:rPr>
                <w:rFonts w:hint="eastAsia" w:ascii="宋体" w:hAnsi="宋体" w:cs="宋体"/>
                <w:sz w:val="24"/>
              </w:rPr>
              <w:t>联系电话</w:t>
            </w:r>
          </w:p>
        </w:tc>
        <w:tc>
          <w:tcPr>
            <w:tcW w:w="2796" w:type="dxa"/>
            <w:tcBorders>
              <w:top w:val="single" w:color="auto" w:sz="4" w:space="0"/>
              <w:left w:val="nil"/>
              <w:bottom w:val="single" w:color="auto" w:sz="4" w:space="0"/>
              <w:right w:val="single" w:color="auto" w:sz="4" w:space="0"/>
            </w:tcBorders>
            <w:vAlign w:val="center"/>
          </w:tcPr>
          <w:p w14:paraId="3F7B0052">
            <w:pPr>
              <w:spacing w:line="360" w:lineRule="auto"/>
              <w:jc w:val="center"/>
              <w:rPr>
                <w:rFonts w:ascii="宋体" w:hAnsi="宋体" w:cs="宋体"/>
                <w:sz w:val="24"/>
              </w:rPr>
            </w:pPr>
          </w:p>
        </w:tc>
      </w:tr>
      <w:tr w14:paraId="54BC6CCC">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217F6EDE">
            <w:pPr>
              <w:spacing w:line="360" w:lineRule="auto"/>
              <w:jc w:val="center"/>
              <w:rPr>
                <w:rFonts w:ascii="宋体" w:hAnsi="宋体" w:cs="宋体"/>
                <w:sz w:val="24"/>
              </w:rPr>
            </w:pPr>
            <w:r>
              <w:rPr>
                <w:rFonts w:hint="eastAsia" w:ascii="宋体" w:hAnsi="宋体" w:cs="宋体"/>
                <w:sz w:val="24"/>
              </w:rPr>
              <w:t>投标有效期</w:t>
            </w:r>
          </w:p>
        </w:tc>
        <w:tc>
          <w:tcPr>
            <w:tcW w:w="6736" w:type="dxa"/>
            <w:gridSpan w:val="3"/>
            <w:tcBorders>
              <w:top w:val="single" w:color="auto" w:sz="4" w:space="0"/>
              <w:left w:val="nil"/>
              <w:bottom w:val="single" w:color="auto" w:sz="4" w:space="0"/>
              <w:right w:val="single" w:color="auto" w:sz="4" w:space="0"/>
            </w:tcBorders>
            <w:vAlign w:val="center"/>
          </w:tcPr>
          <w:p w14:paraId="3420C9F3">
            <w:pPr>
              <w:spacing w:line="360" w:lineRule="auto"/>
              <w:jc w:val="center"/>
              <w:rPr>
                <w:rFonts w:ascii="宋体" w:hAnsi="宋体" w:cs="宋体"/>
                <w:sz w:val="24"/>
              </w:rPr>
            </w:pPr>
          </w:p>
        </w:tc>
      </w:tr>
      <w:tr w14:paraId="25ED9890">
        <w:tblPrEx>
          <w:tblCellMar>
            <w:top w:w="0" w:type="dxa"/>
            <w:left w:w="108" w:type="dxa"/>
            <w:bottom w:w="0" w:type="dxa"/>
            <w:right w:w="108" w:type="dxa"/>
          </w:tblCellMar>
        </w:tblPrEx>
        <w:trPr>
          <w:trHeight w:val="936" w:hRule="atLeast"/>
          <w:jc w:val="center"/>
        </w:trPr>
        <w:tc>
          <w:tcPr>
            <w:tcW w:w="2024" w:type="dxa"/>
            <w:tcBorders>
              <w:top w:val="single" w:color="auto" w:sz="4" w:space="0"/>
              <w:left w:val="single" w:color="auto" w:sz="4" w:space="0"/>
              <w:bottom w:val="single" w:color="auto" w:sz="4" w:space="0"/>
              <w:right w:val="single" w:color="auto" w:sz="4" w:space="0"/>
            </w:tcBorders>
            <w:vAlign w:val="center"/>
          </w:tcPr>
          <w:p w14:paraId="7C96E499">
            <w:pPr>
              <w:spacing w:line="360" w:lineRule="auto"/>
              <w:jc w:val="center"/>
              <w:rPr>
                <w:rFonts w:ascii="宋体" w:hAnsi="宋体" w:cs="宋体"/>
                <w:sz w:val="24"/>
              </w:rPr>
            </w:pPr>
            <w:r>
              <w:rPr>
                <w:rFonts w:hint="eastAsia" w:ascii="宋体" w:hAnsi="宋体" w:cs="宋体"/>
                <w:sz w:val="24"/>
              </w:rPr>
              <w:t>其他说明</w:t>
            </w:r>
          </w:p>
        </w:tc>
        <w:tc>
          <w:tcPr>
            <w:tcW w:w="6736" w:type="dxa"/>
            <w:gridSpan w:val="3"/>
            <w:tcBorders>
              <w:top w:val="single" w:color="auto" w:sz="4" w:space="0"/>
              <w:left w:val="nil"/>
              <w:bottom w:val="single" w:color="auto" w:sz="4" w:space="0"/>
              <w:right w:val="single" w:color="auto" w:sz="4" w:space="0"/>
            </w:tcBorders>
            <w:vAlign w:val="center"/>
          </w:tcPr>
          <w:p w14:paraId="01F97004">
            <w:pPr>
              <w:spacing w:line="360" w:lineRule="auto"/>
              <w:jc w:val="center"/>
              <w:rPr>
                <w:rFonts w:ascii="宋体" w:hAnsi="宋体" w:cs="宋体"/>
                <w:sz w:val="24"/>
              </w:rPr>
            </w:pPr>
          </w:p>
        </w:tc>
      </w:tr>
    </w:tbl>
    <w:p w14:paraId="53F9EC3E">
      <w:pPr>
        <w:spacing w:line="480" w:lineRule="atLeast"/>
        <w:rPr>
          <w:rFonts w:ascii="宋体" w:hAnsi="宋体" w:cs="宋体"/>
          <w:sz w:val="24"/>
        </w:rPr>
      </w:pPr>
    </w:p>
    <w:p w14:paraId="5BEF835D">
      <w:pPr>
        <w:spacing w:line="480" w:lineRule="atLeast"/>
        <w:rPr>
          <w:rFonts w:ascii="宋体" w:hAnsi="宋体" w:cs="宋体"/>
          <w:sz w:val="24"/>
        </w:rPr>
      </w:pPr>
    </w:p>
    <w:p w14:paraId="5A3FFF12">
      <w:pPr>
        <w:spacing w:line="360" w:lineRule="exact"/>
        <w:ind w:right="-340" w:rightChars="-162" w:firstLine="1920" w:firstLineChars="800"/>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3F53FA7">
      <w:pPr>
        <w:spacing w:line="360" w:lineRule="exact"/>
        <w:ind w:right="-340" w:rightChars="-162" w:firstLine="1920" w:firstLineChars="800"/>
        <w:rPr>
          <w:rFonts w:ascii="宋体" w:hAnsi="宋体" w:cs="宋体"/>
          <w:sz w:val="24"/>
        </w:rPr>
      </w:pPr>
      <w:r>
        <w:rPr>
          <w:rFonts w:hint="eastAsia" w:ascii="宋体" w:hAnsi="宋体" w:cs="宋体"/>
          <w:sz w:val="24"/>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（电子签章或签字）</w:t>
      </w:r>
    </w:p>
    <w:p w14:paraId="7FBBFA15">
      <w:pPr>
        <w:spacing w:line="360" w:lineRule="exact"/>
        <w:ind w:right="-340" w:rightChars="-162" w:firstLine="1920" w:firstLineChars="800"/>
        <w:rPr>
          <w:rFonts w:ascii="宋体" w:hAnsi="宋体" w:cs="宋体"/>
          <w:sz w:val="24"/>
        </w:rPr>
      </w:pPr>
      <w:bookmarkStart w:id="121" w:name="_GoBack"/>
      <w:bookmarkEnd w:id="121"/>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7CEF166">
      <w:pPr>
        <w:spacing w:after="120"/>
        <w:rPr>
          <w:rFonts w:ascii="宋体" w:hAnsi="宋体" w:cs="宋体"/>
          <w:sz w:val="24"/>
        </w:rPr>
      </w:pPr>
    </w:p>
    <w:p w14:paraId="3F64F1A5">
      <w:pPr>
        <w:spacing w:before="100" w:beforeAutospacing="1" w:after="100" w:afterAutospacing="1"/>
        <w:rPr>
          <w:rFonts w:ascii="宋体" w:hAnsi="宋体" w:cs="宋体"/>
          <w:kern w:val="0"/>
          <w:szCs w:val="20"/>
        </w:rPr>
        <w:sectPr>
          <w:pgSz w:w="11905" w:h="16838"/>
          <w:pgMar w:top="1247" w:right="1247" w:bottom="1247" w:left="1247" w:header="720" w:footer="720" w:gutter="0"/>
          <w:cols w:space="0" w:num="1"/>
          <w:docGrid w:linePitch="312" w:charSpace="0"/>
        </w:sectPr>
      </w:pPr>
    </w:p>
    <w:p w14:paraId="699EC795">
      <w:pPr>
        <w:spacing w:line="480" w:lineRule="atLeast"/>
        <w:jc w:val="center"/>
        <w:outlineLvl w:val="0"/>
        <w:rPr>
          <w:rFonts w:ascii="宋体" w:hAnsi="宋体" w:cs="宋体"/>
          <w:b/>
          <w:sz w:val="28"/>
          <w:szCs w:val="28"/>
        </w:rPr>
      </w:pPr>
      <w:bookmarkStart w:id="45" w:name="_Toc545"/>
      <w:bookmarkStart w:id="46" w:name="_Toc70398868"/>
      <w:bookmarkStart w:id="47" w:name="_Toc15598"/>
      <w:bookmarkStart w:id="48" w:name="_Toc97815872"/>
      <w:bookmarkStart w:id="49" w:name="_Toc71269874"/>
      <w:bookmarkStart w:id="50" w:name="_Toc97816694"/>
      <w:bookmarkStart w:id="51" w:name="_Toc3096"/>
      <w:bookmarkStart w:id="52" w:name="_Toc14073_WPSOffice_Level1"/>
      <w:r>
        <w:rPr>
          <w:rFonts w:hint="eastAsia" w:ascii="宋体" w:hAnsi="宋体" w:cs="宋体"/>
          <w:b/>
          <w:sz w:val="28"/>
          <w:szCs w:val="28"/>
        </w:rPr>
        <w:t>二、法定代表人</w:t>
      </w:r>
      <w:r>
        <w:rPr>
          <w:rFonts w:hint="eastAsia" w:ascii="宋体" w:hAnsi="宋体" w:cs="宋体"/>
          <w:b/>
          <w:sz w:val="28"/>
          <w:szCs w:val="28"/>
          <w:lang w:eastAsia="zh-CN"/>
        </w:rPr>
        <w:t>（</w:t>
      </w:r>
      <w:r>
        <w:rPr>
          <w:rFonts w:hint="eastAsia" w:ascii="宋体" w:hAnsi="宋体" w:cs="宋体"/>
          <w:b/>
          <w:sz w:val="28"/>
          <w:szCs w:val="28"/>
          <w:lang w:val="en-US" w:eastAsia="zh-CN"/>
        </w:rPr>
        <w:t>或负责人</w:t>
      </w:r>
      <w:r>
        <w:rPr>
          <w:rFonts w:hint="eastAsia" w:ascii="宋体" w:hAnsi="宋体" w:cs="宋体"/>
          <w:b/>
          <w:sz w:val="28"/>
          <w:szCs w:val="28"/>
          <w:lang w:eastAsia="zh-CN"/>
        </w:rPr>
        <w:t>）</w:t>
      </w:r>
      <w:r>
        <w:rPr>
          <w:rFonts w:hint="eastAsia" w:ascii="宋体" w:hAnsi="宋体" w:cs="宋体"/>
          <w:b/>
          <w:sz w:val="28"/>
          <w:szCs w:val="28"/>
        </w:rPr>
        <w:t>身份证明</w:t>
      </w:r>
      <w:bookmarkEnd w:id="45"/>
      <w:bookmarkEnd w:id="46"/>
      <w:bookmarkEnd w:id="47"/>
      <w:bookmarkEnd w:id="48"/>
      <w:bookmarkEnd w:id="49"/>
      <w:bookmarkEnd w:id="50"/>
      <w:bookmarkEnd w:id="51"/>
      <w:bookmarkEnd w:id="52"/>
    </w:p>
    <w:p w14:paraId="3F64B8AB">
      <w:pPr>
        <w:spacing w:line="480" w:lineRule="atLeast"/>
        <w:rPr>
          <w:rFonts w:ascii="宋体" w:hAnsi="宋体" w:cs="宋体"/>
          <w:b/>
          <w:sz w:val="24"/>
        </w:rPr>
      </w:pPr>
    </w:p>
    <w:p w14:paraId="16163D47">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投标人名称：</w:t>
      </w:r>
      <w:r>
        <w:rPr>
          <w:rFonts w:hint="eastAsia" w:ascii="宋体" w:hAnsi="宋体" w:cs="宋体"/>
          <w:kern w:val="0"/>
          <w:sz w:val="24"/>
          <w:szCs w:val="20"/>
          <w:u w:val="single"/>
        </w:rPr>
        <w:t xml:space="preserve">              </w:t>
      </w:r>
    </w:p>
    <w:p w14:paraId="154C0786">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单位性质：</w:t>
      </w:r>
      <w:r>
        <w:rPr>
          <w:rFonts w:hint="eastAsia" w:ascii="宋体" w:hAnsi="宋体" w:cs="宋体"/>
          <w:kern w:val="0"/>
          <w:sz w:val="24"/>
          <w:szCs w:val="20"/>
          <w:u w:val="single"/>
        </w:rPr>
        <w:t xml:space="preserve">            </w:t>
      </w:r>
    </w:p>
    <w:p w14:paraId="6A91A194">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地址：</w:t>
      </w:r>
      <w:r>
        <w:rPr>
          <w:rFonts w:hint="eastAsia" w:ascii="宋体" w:hAnsi="宋体" w:cs="宋体"/>
          <w:kern w:val="0"/>
          <w:sz w:val="24"/>
          <w:szCs w:val="20"/>
          <w:u w:val="single"/>
        </w:rPr>
        <w:t xml:space="preserve">                </w:t>
      </w:r>
    </w:p>
    <w:p w14:paraId="7C91156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成立时间：</w:t>
      </w:r>
      <w:r>
        <w:rPr>
          <w:rFonts w:hint="eastAsia" w:ascii="宋体" w:hAnsi="宋体" w:cs="宋体"/>
          <w:kern w:val="0"/>
          <w:sz w:val="24"/>
          <w:szCs w:val="20"/>
          <w:u w:val="single"/>
        </w:rPr>
        <w:t xml:space="preserve">      </w:t>
      </w:r>
      <w:r>
        <w:rPr>
          <w:rFonts w:hint="eastAsia" w:ascii="宋体" w:hAnsi="宋体" w:cs="宋体"/>
          <w:kern w:val="0"/>
          <w:sz w:val="24"/>
          <w:szCs w:val="20"/>
        </w:rPr>
        <w:t>年</w:t>
      </w:r>
      <w:r>
        <w:rPr>
          <w:rFonts w:hint="eastAsia" w:ascii="宋体" w:hAnsi="宋体" w:cs="宋体"/>
          <w:kern w:val="0"/>
          <w:sz w:val="24"/>
          <w:szCs w:val="20"/>
          <w:u w:val="single"/>
        </w:rPr>
        <w:t xml:space="preserve">      </w:t>
      </w:r>
      <w:r>
        <w:rPr>
          <w:rFonts w:hint="eastAsia" w:ascii="宋体" w:hAnsi="宋体" w:cs="宋体"/>
          <w:kern w:val="0"/>
          <w:sz w:val="24"/>
          <w:szCs w:val="20"/>
        </w:rPr>
        <w:t>月</w:t>
      </w:r>
      <w:r>
        <w:rPr>
          <w:rFonts w:hint="eastAsia" w:ascii="宋体" w:hAnsi="宋体" w:cs="宋体"/>
          <w:kern w:val="0"/>
          <w:sz w:val="24"/>
          <w:szCs w:val="20"/>
          <w:u w:val="single"/>
        </w:rPr>
        <w:t xml:space="preserve">      </w:t>
      </w:r>
      <w:r>
        <w:rPr>
          <w:rFonts w:hint="eastAsia" w:ascii="宋体" w:hAnsi="宋体" w:cs="宋体"/>
          <w:kern w:val="0"/>
          <w:sz w:val="24"/>
          <w:szCs w:val="20"/>
        </w:rPr>
        <w:t>日</w:t>
      </w:r>
    </w:p>
    <w:p w14:paraId="1D2B7D1E">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经营期限：</w:t>
      </w:r>
      <w:r>
        <w:rPr>
          <w:rFonts w:hint="eastAsia" w:ascii="宋体" w:hAnsi="宋体" w:cs="宋体"/>
          <w:kern w:val="0"/>
          <w:sz w:val="24"/>
          <w:szCs w:val="20"/>
          <w:u w:val="single"/>
        </w:rPr>
        <w:t xml:space="preserve">            </w:t>
      </w:r>
    </w:p>
    <w:p w14:paraId="28745D08">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姓名：</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性别：</w:t>
      </w:r>
      <w:r>
        <w:rPr>
          <w:rFonts w:hint="eastAsia" w:ascii="宋体" w:hAnsi="宋体" w:cs="宋体"/>
          <w:kern w:val="0"/>
          <w:sz w:val="24"/>
          <w:szCs w:val="20"/>
          <w:u w:val="single"/>
        </w:rPr>
        <w:t xml:space="preserve">      </w:t>
      </w:r>
    </w:p>
    <w:p w14:paraId="46FBD4CB">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年龄：</w:t>
      </w:r>
      <w:r>
        <w:rPr>
          <w:rFonts w:hint="eastAsia" w:ascii="宋体" w:hAnsi="宋体" w:cs="宋体"/>
          <w:kern w:val="0"/>
          <w:sz w:val="24"/>
          <w:szCs w:val="20"/>
          <w:u w:val="single"/>
        </w:rPr>
        <w:t xml:space="preserve">      </w:t>
      </w:r>
      <w:r>
        <w:rPr>
          <w:rFonts w:hint="eastAsia" w:ascii="宋体" w:hAnsi="宋体" w:cs="宋体"/>
          <w:kern w:val="0"/>
          <w:sz w:val="24"/>
          <w:szCs w:val="20"/>
        </w:rPr>
        <w:t xml:space="preserve">      职务：</w:t>
      </w:r>
      <w:r>
        <w:rPr>
          <w:rFonts w:hint="eastAsia" w:ascii="宋体" w:hAnsi="宋体" w:cs="宋体"/>
          <w:kern w:val="0"/>
          <w:sz w:val="24"/>
          <w:szCs w:val="20"/>
          <w:u w:val="single"/>
        </w:rPr>
        <w:t xml:space="preserve">      </w:t>
      </w:r>
    </w:p>
    <w:p w14:paraId="604D516C">
      <w:pPr>
        <w:wordWrap w:val="0"/>
        <w:overflowPunct w:val="0"/>
        <w:spacing w:before="120" w:beforeLines="50" w:after="120" w:afterLines="50" w:line="360" w:lineRule="auto"/>
        <w:ind w:firstLine="480" w:firstLineChars="200"/>
        <w:jc w:val="left"/>
        <w:rPr>
          <w:rFonts w:ascii="宋体" w:hAnsi="宋体" w:cs="宋体"/>
          <w:sz w:val="24"/>
          <w:szCs w:val="20"/>
        </w:rPr>
      </w:pPr>
      <w:r>
        <w:rPr>
          <w:rFonts w:hint="eastAsia" w:ascii="宋体" w:hAnsi="宋体" w:cs="宋体"/>
          <w:kern w:val="0"/>
          <w:sz w:val="24"/>
          <w:szCs w:val="20"/>
        </w:rPr>
        <w:t>系</w:t>
      </w:r>
      <w:r>
        <w:rPr>
          <w:rFonts w:hint="eastAsia" w:ascii="宋体" w:hAnsi="宋体" w:cs="宋体"/>
          <w:kern w:val="0"/>
          <w:sz w:val="24"/>
          <w:szCs w:val="20"/>
          <w:u w:val="single"/>
        </w:rPr>
        <w:t>（投标人名称）</w:t>
      </w:r>
      <w:r>
        <w:rPr>
          <w:rFonts w:hint="eastAsia" w:ascii="宋体" w:hAnsi="宋体" w:cs="宋体"/>
          <w:kern w:val="0"/>
          <w:sz w:val="24"/>
          <w:szCs w:val="20"/>
        </w:rPr>
        <w:t>的法定代表人。</w:t>
      </w:r>
    </w:p>
    <w:p w14:paraId="4D0F0091">
      <w:pPr>
        <w:wordWrap w:val="0"/>
        <w:overflowPunct w:val="0"/>
        <w:spacing w:before="120" w:beforeLines="50" w:after="120" w:afterLines="50"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61BDE243">
      <w:pPr>
        <w:wordWrap w:val="0"/>
        <w:overflowPunct w:val="0"/>
        <w:spacing w:line="480" w:lineRule="exact"/>
        <w:ind w:firstLine="480" w:firstLineChars="200"/>
        <w:jc w:val="left"/>
        <w:rPr>
          <w:rFonts w:ascii="宋体" w:hAnsi="宋体" w:cs="宋体"/>
          <w:sz w:val="24"/>
          <w:szCs w:val="20"/>
        </w:rPr>
      </w:pPr>
      <w:r>
        <w:rPr>
          <w:rFonts w:hint="eastAsia" w:ascii="宋体" w:hAnsi="宋体" w:cs="宋体"/>
          <w:kern w:val="0"/>
          <w:sz w:val="24"/>
          <w:szCs w:val="20"/>
        </w:rPr>
        <w:t>附：法定代表人身份证复印件，加盖公章。</w:t>
      </w:r>
    </w:p>
    <w:p w14:paraId="0A5A1C39">
      <w:pPr>
        <w:spacing w:after="120"/>
        <w:rPr>
          <w:rFonts w:ascii="宋体" w:hAnsi="宋体" w:cs="宋体"/>
        </w:rPr>
      </w:pPr>
    </w:p>
    <w:p w14:paraId="133EF99F">
      <w:pPr>
        <w:wordWrap w:val="0"/>
        <w:overflowPunct w:val="0"/>
        <w:spacing w:before="120" w:beforeLines="50" w:after="120" w:afterLines="50" w:line="360" w:lineRule="auto"/>
        <w:jc w:val="left"/>
        <w:rPr>
          <w:rFonts w:ascii="宋体" w:hAnsi="宋体" w:cs="宋体"/>
          <w:sz w:val="24"/>
          <w:szCs w:val="20"/>
        </w:rPr>
      </w:pPr>
    </w:p>
    <w:p w14:paraId="5C4FE226">
      <w:pPr>
        <w:wordWrap w:val="0"/>
        <w:overflowPunct w:val="0"/>
        <w:spacing w:before="120" w:beforeLines="50" w:after="120" w:afterLines="50" w:line="360" w:lineRule="auto"/>
        <w:jc w:val="left"/>
        <w:rPr>
          <w:rFonts w:ascii="宋体" w:hAnsi="宋体" w:cs="宋体"/>
          <w:sz w:val="24"/>
          <w:szCs w:val="20"/>
        </w:rPr>
      </w:pPr>
    </w:p>
    <w:p w14:paraId="3C881433">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投标人：（电子签章）</w:t>
      </w:r>
    </w:p>
    <w:p w14:paraId="20FCF7A8">
      <w:pPr>
        <w:wordWrap w:val="0"/>
        <w:overflowPunct w:val="0"/>
        <w:spacing w:before="120" w:beforeLines="50" w:after="120" w:afterLines="50" w:line="360" w:lineRule="auto"/>
        <w:jc w:val="right"/>
        <w:rPr>
          <w:rFonts w:ascii="宋体" w:hAnsi="宋体" w:cs="宋体"/>
          <w:sz w:val="24"/>
          <w:szCs w:val="20"/>
        </w:rPr>
      </w:pPr>
      <w:r>
        <w:rPr>
          <w:rFonts w:hint="eastAsia" w:ascii="宋体" w:hAnsi="宋体" w:cs="宋体"/>
          <w:kern w:val="0"/>
          <w:sz w:val="24"/>
          <w:szCs w:val="20"/>
        </w:rPr>
        <w:t>年   月   日</w:t>
      </w:r>
    </w:p>
    <w:p w14:paraId="2268C462">
      <w:pPr>
        <w:numPr>
          <w:ilvl w:val="0"/>
          <w:numId w:val="3"/>
        </w:numPr>
        <w:spacing w:line="480" w:lineRule="atLeast"/>
        <w:ind w:firstLine="482"/>
        <w:jc w:val="center"/>
        <w:outlineLvl w:val="0"/>
        <w:rPr>
          <w:rFonts w:ascii="宋体" w:hAnsi="宋体" w:cs="宋体"/>
          <w:b/>
          <w:sz w:val="28"/>
          <w:szCs w:val="28"/>
        </w:rPr>
      </w:pPr>
      <w:r>
        <w:rPr>
          <w:rFonts w:hint="eastAsia" w:ascii="宋体" w:hAnsi="宋体" w:cs="宋体"/>
          <w:b/>
          <w:sz w:val="24"/>
        </w:rPr>
        <w:br w:type="page"/>
      </w:r>
      <w:bookmarkStart w:id="53" w:name="_Toc3728"/>
      <w:bookmarkStart w:id="54" w:name="_Toc950"/>
      <w:bookmarkStart w:id="55" w:name="_Toc21143"/>
      <w:bookmarkStart w:id="56" w:name="_Toc71269875"/>
      <w:bookmarkStart w:id="57" w:name="_Toc70398869"/>
      <w:bookmarkStart w:id="58" w:name="_Toc97815873"/>
      <w:bookmarkStart w:id="59" w:name="_Toc97816695"/>
      <w:bookmarkStart w:id="60" w:name="_Toc23981_WPSOffice_Level1"/>
      <w:r>
        <w:rPr>
          <w:rFonts w:hint="eastAsia" w:ascii="宋体" w:hAnsi="宋体" w:cs="宋体"/>
          <w:b/>
          <w:sz w:val="28"/>
          <w:szCs w:val="28"/>
        </w:rPr>
        <w:t>授权委托书</w:t>
      </w:r>
      <w:bookmarkEnd w:id="53"/>
      <w:bookmarkEnd w:id="54"/>
      <w:bookmarkEnd w:id="55"/>
      <w:bookmarkEnd w:id="56"/>
      <w:bookmarkEnd w:id="57"/>
      <w:bookmarkEnd w:id="58"/>
      <w:bookmarkEnd w:id="59"/>
      <w:bookmarkEnd w:id="60"/>
    </w:p>
    <w:p w14:paraId="0D8A2C4E">
      <w:pPr>
        <w:pStyle w:val="22"/>
        <w:ind w:left="482"/>
      </w:pPr>
    </w:p>
    <w:p w14:paraId="09369AE9">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本人</w:t>
      </w:r>
      <w:r>
        <w:rPr>
          <w:rFonts w:hint="eastAsia" w:ascii="宋体" w:hAnsi="宋体" w:cs="宋体"/>
          <w:sz w:val="24"/>
          <w:szCs w:val="21"/>
          <w:u w:val="single"/>
        </w:rPr>
        <w:t xml:space="preserve">              </w:t>
      </w:r>
      <w:r>
        <w:rPr>
          <w:rFonts w:hint="eastAsia" w:ascii="宋体" w:hAnsi="宋体" w:cs="宋体"/>
          <w:sz w:val="24"/>
          <w:szCs w:val="21"/>
        </w:rPr>
        <w:t>（姓名）系</w:t>
      </w:r>
      <w:r>
        <w:rPr>
          <w:rFonts w:hint="eastAsia" w:ascii="宋体" w:hAnsi="宋体" w:cs="宋体"/>
          <w:sz w:val="24"/>
          <w:szCs w:val="21"/>
          <w:u w:val="single"/>
        </w:rPr>
        <w:t xml:space="preserve">                       </w:t>
      </w:r>
      <w:r>
        <w:rPr>
          <w:rFonts w:hint="eastAsia" w:ascii="宋体" w:hAnsi="宋体" w:cs="宋体"/>
          <w:sz w:val="24"/>
          <w:szCs w:val="21"/>
        </w:rPr>
        <w:t>（投标人名称）的法定代表人</w:t>
      </w:r>
      <w:r>
        <w:rPr>
          <w:rFonts w:hint="eastAsia" w:ascii="宋体" w:hAnsi="宋体" w:cs="宋体" w:eastAsiaTheme="minorEastAsia"/>
          <w:kern w:val="2"/>
          <w:sz w:val="24"/>
          <w:szCs w:val="21"/>
          <w:lang w:val="en-US" w:eastAsia="zh-CN" w:bidi="ar-SA"/>
        </w:rPr>
        <w:t>（或负责人）</w:t>
      </w:r>
      <w:r>
        <w:rPr>
          <w:rFonts w:hint="eastAsia" w:ascii="宋体" w:hAnsi="宋体" w:cs="宋体"/>
          <w:sz w:val="24"/>
          <w:szCs w:val="21"/>
        </w:rPr>
        <w:t>，现委托</w:t>
      </w:r>
      <w:r>
        <w:rPr>
          <w:rFonts w:hint="eastAsia" w:ascii="宋体" w:hAnsi="宋体" w:cs="宋体"/>
          <w:sz w:val="24"/>
          <w:szCs w:val="21"/>
          <w:u w:val="single"/>
        </w:rPr>
        <w:t xml:space="preserve">      </w:t>
      </w:r>
      <w:r>
        <w:rPr>
          <w:rFonts w:hint="eastAsia" w:ascii="宋体" w:hAnsi="宋体" w:cs="宋体"/>
          <w:sz w:val="24"/>
          <w:szCs w:val="21"/>
        </w:rPr>
        <w:t>（姓名）为我方代理人。代理人根据授权，以我方名义签署、澄清、说明、补正、递交、撤回、修改</w:t>
      </w:r>
      <w:r>
        <w:rPr>
          <w:rFonts w:hint="eastAsia" w:ascii="宋体" w:hAnsi="宋体" w:cs="宋体"/>
          <w:sz w:val="24"/>
          <w:szCs w:val="21"/>
          <w:u w:val="single"/>
        </w:rPr>
        <w:t xml:space="preserve">             </w:t>
      </w:r>
      <w:r>
        <w:rPr>
          <w:rFonts w:hint="eastAsia" w:ascii="宋体" w:hAnsi="宋体" w:cs="宋体"/>
          <w:sz w:val="24"/>
          <w:szCs w:val="21"/>
        </w:rPr>
        <w:t>项目响应文件、签订合同和处理有关事宜，其法律后果由我方承担。</w:t>
      </w:r>
    </w:p>
    <w:p w14:paraId="24EB9AE0">
      <w:pPr>
        <w:spacing w:before="240" w:beforeLines="100"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委托期限</w:t>
      </w:r>
      <w:r>
        <w:rPr>
          <w:rFonts w:hint="eastAsia" w:ascii="宋体" w:hAnsi="宋体" w:cs="宋体"/>
          <w:sz w:val="24"/>
          <w:szCs w:val="21"/>
          <w:u w:val="single"/>
        </w:rPr>
        <w:t xml:space="preserve">                 </w:t>
      </w:r>
      <w:r>
        <w:rPr>
          <w:rFonts w:hint="eastAsia" w:ascii="宋体" w:hAnsi="宋体" w:cs="宋体"/>
          <w:sz w:val="24"/>
          <w:szCs w:val="21"/>
        </w:rPr>
        <w:t>。</w:t>
      </w:r>
    </w:p>
    <w:p w14:paraId="0ED22AED">
      <w:pPr>
        <w:spacing w:after="240" w:afterLines="100" w:line="480" w:lineRule="exact"/>
        <w:ind w:right="-340" w:rightChars="-162" w:firstLine="480" w:firstLineChars="200"/>
        <w:jc w:val="left"/>
        <w:textAlignment w:val="center"/>
        <w:rPr>
          <w:rFonts w:ascii="宋体" w:hAnsi="宋体" w:cs="宋体"/>
          <w:sz w:val="24"/>
          <w:szCs w:val="21"/>
        </w:rPr>
      </w:pPr>
      <w:r>
        <w:rPr>
          <w:rFonts w:hint="eastAsia" w:ascii="宋体" w:hAnsi="宋体" w:cs="宋体"/>
          <w:sz w:val="24"/>
          <w:szCs w:val="21"/>
        </w:rPr>
        <w:t>附：委托代理人身份证扫描件，加盖公章</w:t>
      </w:r>
    </w:p>
    <w:p w14:paraId="435B8142">
      <w:pPr>
        <w:spacing w:line="480" w:lineRule="exact"/>
        <w:ind w:right="-340" w:rightChars="-162"/>
        <w:textAlignment w:val="center"/>
        <w:rPr>
          <w:rFonts w:ascii="宋体" w:hAnsi="宋体" w:cs="宋体"/>
          <w:sz w:val="24"/>
        </w:rPr>
      </w:pPr>
    </w:p>
    <w:p w14:paraId="74B205DF">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6E5B4E9B">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（电子签章或签字）</w:t>
      </w:r>
    </w:p>
    <w:p w14:paraId="0CA3230A">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424E6318">
      <w:pPr>
        <w:adjustRightInd w:val="0"/>
        <w:snapToGrid w:val="0"/>
        <w:spacing w:line="480" w:lineRule="exact"/>
        <w:ind w:firstLine="3360" w:firstLineChars="1400"/>
        <w:textAlignment w:val="center"/>
        <w:rPr>
          <w:rFonts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6584A1D2">
      <w:pPr>
        <w:adjustRightInd w:val="0"/>
        <w:snapToGrid w:val="0"/>
        <w:spacing w:line="480" w:lineRule="exact"/>
        <w:ind w:firstLine="3360" w:firstLineChars="1400"/>
        <w:textAlignment w:val="center"/>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377D583C">
      <w:pPr>
        <w:spacing w:line="480" w:lineRule="exact"/>
        <w:ind w:right="-340" w:rightChars="-162" w:firstLine="4080" w:firstLineChars="1700"/>
        <w:textAlignment w:val="center"/>
        <w:rPr>
          <w:rFonts w:ascii="宋体" w:hAnsi="宋体" w:cs="宋体"/>
          <w:sz w:val="24"/>
        </w:rPr>
      </w:pPr>
    </w:p>
    <w:p w14:paraId="208B26DE">
      <w:pPr>
        <w:spacing w:line="480" w:lineRule="exact"/>
        <w:ind w:right="-340" w:rightChars="-162" w:firstLine="4800" w:firstLineChars="2000"/>
        <w:textAlignment w:val="center"/>
        <w:rPr>
          <w:rFonts w:ascii="宋体" w:hAnsi="宋体" w:cs="宋体"/>
          <w:b/>
          <w:bCs/>
          <w:sz w:val="24"/>
          <w:szCs w:val="21"/>
        </w:rPr>
      </w:pPr>
      <w:r>
        <w:rPr>
          <w:rFonts w:hint="eastAsia" w:ascii="宋体" w:hAnsi="宋体" w:cs="宋体"/>
          <w:sz w:val="24"/>
        </w:rPr>
        <w:t xml:space="preserve">        年        月        日</w:t>
      </w:r>
    </w:p>
    <w:p w14:paraId="0A9CBBED">
      <w:pPr>
        <w:spacing w:line="480" w:lineRule="atLeast"/>
        <w:jc w:val="left"/>
        <w:outlineLvl w:val="0"/>
        <w:rPr>
          <w:rFonts w:hint="eastAsia" w:ascii="宋体" w:hAnsi="宋体" w:cs="宋体"/>
          <w:b/>
          <w:bCs/>
          <w:sz w:val="24"/>
          <w:szCs w:val="21"/>
        </w:rPr>
      </w:pPr>
      <w:r>
        <w:rPr>
          <w:rFonts w:hint="eastAsia" w:ascii="宋体" w:hAnsi="宋体" w:cs="宋体"/>
          <w:b/>
          <w:bCs/>
          <w:sz w:val="24"/>
          <w:szCs w:val="21"/>
        </w:rPr>
        <w:t>注：因响应文件中授权委托书授权代理人无法手写签字，可以以印刷体代替（印刷体为电脑打出的字体）。</w:t>
      </w:r>
      <w:bookmarkStart w:id="61" w:name="_Toc97815874"/>
      <w:bookmarkStart w:id="62" w:name="_Toc71269876"/>
      <w:bookmarkStart w:id="63" w:name="_Toc11130"/>
      <w:bookmarkStart w:id="64" w:name="_Toc97816696"/>
      <w:bookmarkStart w:id="65" w:name="_Toc13603"/>
      <w:bookmarkStart w:id="66" w:name="_Toc1273_WPSOffice_Level1"/>
      <w:bookmarkStart w:id="67" w:name="_Toc70398870"/>
      <w:bookmarkStart w:id="68" w:name="_Toc30862"/>
    </w:p>
    <w:p w14:paraId="660FDD7B">
      <w:pPr>
        <w:spacing w:line="480" w:lineRule="atLeast"/>
        <w:jc w:val="left"/>
        <w:outlineLvl w:val="0"/>
        <w:rPr>
          <w:rFonts w:hint="eastAsia" w:ascii="宋体" w:hAnsi="宋体" w:cs="宋体"/>
          <w:b/>
          <w:bCs/>
          <w:sz w:val="24"/>
          <w:szCs w:val="21"/>
        </w:rPr>
      </w:pPr>
    </w:p>
    <w:p w14:paraId="105D4A09">
      <w:pPr>
        <w:spacing w:line="480" w:lineRule="atLeast"/>
        <w:jc w:val="center"/>
        <w:outlineLvl w:val="0"/>
        <w:rPr>
          <w:rFonts w:hint="eastAsia" w:ascii="宋体" w:hAnsi="宋体" w:cs="宋体"/>
          <w:sz w:val="24"/>
          <w:szCs w:val="21"/>
        </w:rPr>
      </w:pPr>
    </w:p>
    <w:p w14:paraId="3118739F">
      <w:pPr>
        <w:spacing w:line="480" w:lineRule="atLeast"/>
        <w:jc w:val="center"/>
        <w:outlineLvl w:val="0"/>
        <w:rPr>
          <w:rFonts w:hint="eastAsia" w:ascii="宋体" w:hAnsi="宋体" w:cs="宋体"/>
          <w:sz w:val="24"/>
          <w:szCs w:val="21"/>
        </w:rPr>
      </w:pPr>
    </w:p>
    <w:p w14:paraId="3DB7C18C">
      <w:pPr>
        <w:spacing w:line="480" w:lineRule="atLeast"/>
        <w:jc w:val="center"/>
        <w:outlineLvl w:val="0"/>
        <w:rPr>
          <w:rFonts w:hint="eastAsia" w:ascii="宋体" w:hAnsi="宋体" w:cs="宋体"/>
          <w:sz w:val="24"/>
          <w:szCs w:val="21"/>
        </w:rPr>
      </w:pPr>
    </w:p>
    <w:p w14:paraId="477E0AF8">
      <w:pPr>
        <w:spacing w:line="480" w:lineRule="atLeast"/>
        <w:jc w:val="center"/>
        <w:outlineLvl w:val="0"/>
        <w:rPr>
          <w:rFonts w:hint="eastAsia" w:ascii="宋体" w:hAnsi="宋体" w:cs="宋体"/>
          <w:sz w:val="24"/>
          <w:szCs w:val="21"/>
        </w:rPr>
      </w:pPr>
    </w:p>
    <w:p w14:paraId="0FA407EC">
      <w:pPr>
        <w:spacing w:line="480" w:lineRule="atLeast"/>
        <w:jc w:val="center"/>
        <w:outlineLvl w:val="0"/>
        <w:rPr>
          <w:rFonts w:hint="eastAsia" w:ascii="宋体" w:hAnsi="宋体" w:cs="宋体"/>
          <w:sz w:val="24"/>
          <w:szCs w:val="21"/>
        </w:rPr>
      </w:pPr>
    </w:p>
    <w:p w14:paraId="6D0B9441">
      <w:pPr>
        <w:spacing w:line="480" w:lineRule="atLeast"/>
        <w:jc w:val="center"/>
        <w:outlineLvl w:val="0"/>
        <w:rPr>
          <w:rFonts w:hint="eastAsia" w:ascii="宋体" w:hAnsi="宋体" w:cs="宋体"/>
          <w:sz w:val="24"/>
          <w:szCs w:val="21"/>
        </w:rPr>
      </w:pPr>
    </w:p>
    <w:p w14:paraId="62D18756">
      <w:pPr>
        <w:spacing w:line="480" w:lineRule="atLeast"/>
        <w:jc w:val="center"/>
        <w:outlineLvl w:val="0"/>
        <w:rPr>
          <w:rFonts w:hint="eastAsia" w:ascii="宋体" w:hAnsi="宋体" w:cs="宋体"/>
          <w:sz w:val="24"/>
          <w:szCs w:val="21"/>
        </w:rPr>
      </w:pPr>
    </w:p>
    <w:p w14:paraId="61ECB213">
      <w:pPr>
        <w:spacing w:line="480" w:lineRule="atLeast"/>
        <w:jc w:val="center"/>
        <w:outlineLvl w:val="0"/>
        <w:rPr>
          <w:rFonts w:hint="eastAsia" w:ascii="宋体" w:hAnsi="宋体" w:cs="宋体"/>
          <w:sz w:val="24"/>
          <w:szCs w:val="21"/>
        </w:rPr>
      </w:pPr>
    </w:p>
    <w:p w14:paraId="4E154E61">
      <w:pPr>
        <w:spacing w:line="480" w:lineRule="atLeast"/>
        <w:jc w:val="center"/>
        <w:outlineLvl w:val="0"/>
        <w:rPr>
          <w:rFonts w:ascii="宋体" w:hAnsi="宋体" w:cs="宋体"/>
          <w:b/>
          <w:sz w:val="28"/>
          <w:szCs w:val="28"/>
        </w:rPr>
      </w:pPr>
      <w:r>
        <w:rPr>
          <w:rFonts w:hint="eastAsia" w:ascii="宋体" w:hAnsi="宋体" w:cs="宋体"/>
          <w:b/>
          <w:sz w:val="28"/>
          <w:szCs w:val="28"/>
        </w:rPr>
        <w:t>四、投标承诺函</w:t>
      </w:r>
      <w:bookmarkEnd w:id="61"/>
      <w:bookmarkEnd w:id="62"/>
      <w:bookmarkEnd w:id="63"/>
      <w:bookmarkEnd w:id="64"/>
      <w:bookmarkEnd w:id="65"/>
      <w:bookmarkEnd w:id="66"/>
      <w:bookmarkEnd w:id="67"/>
      <w:bookmarkEnd w:id="68"/>
    </w:p>
    <w:p w14:paraId="76C22CF9">
      <w:pPr>
        <w:spacing w:line="480" w:lineRule="atLeast"/>
        <w:ind w:firstLine="480" w:firstLineChars="200"/>
        <w:rPr>
          <w:rFonts w:ascii="宋体" w:hAnsi="宋体" w:cs="宋体"/>
          <w:sz w:val="24"/>
        </w:rPr>
      </w:pPr>
      <w:r>
        <w:rPr>
          <w:rFonts w:hint="eastAsia" w:ascii="宋体" w:hAnsi="宋体" w:cs="宋体"/>
          <w:sz w:val="24"/>
        </w:rPr>
        <w:t>致（采购人名称）：</w:t>
      </w:r>
      <w:r>
        <w:rPr>
          <w:rFonts w:hint="eastAsia" w:ascii="宋体" w:hAnsi="宋体" w:cs="宋体"/>
          <w:sz w:val="24"/>
          <w:u w:val="single"/>
        </w:rPr>
        <w:t xml:space="preserve">                        </w:t>
      </w:r>
    </w:p>
    <w:p w14:paraId="639E38AB">
      <w:pPr>
        <w:spacing w:line="480" w:lineRule="atLeast"/>
        <w:ind w:firstLine="480" w:firstLineChars="200"/>
        <w:rPr>
          <w:rFonts w:ascii="宋体" w:hAnsi="宋体" w:cs="宋体"/>
          <w:sz w:val="24"/>
        </w:rPr>
      </w:pPr>
      <w:r>
        <w:rPr>
          <w:rFonts w:hint="eastAsia" w:ascii="宋体" w:hAnsi="宋体" w:cs="宋体"/>
          <w:sz w:val="24"/>
        </w:rPr>
        <w:t>我公司作为本次采购项目的投标人，根据招标文件要求，现郑重承诺如下：</w:t>
      </w:r>
    </w:p>
    <w:p w14:paraId="5344406D">
      <w:pPr>
        <w:spacing w:line="480" w:lineRule="atLeast"/>
        <w:ind w:firstLine="480" w:firstLineChars="200"/>
        <w:rPr>
          <w:rFonts w:ascii="宋体" w:hAnsi="宋体" w:cs="宋体"/>
          <w:sz w:val="24"/>
        </w:rPr>
      </w:pPr>
      <w:r>
        <w:rPr>
          <w:rFonts w:hint="eastAsia" w:ascii="宋体" w:hAnsi="宋体" w:cs="宋体"/>
          <w:sz w:val="24"/>
        </w:rPr>
        <w:t>一、具备《中华人民共和国政府采购法》第二十二条和本项目规定的条件：</w:t>
      </w:r>
    </w:p>
    <w:p w14:paraId="2768A9BE">
      <w:pPr>
        <w:spacing w:line="480" w:lineRule="atLeast"/>
        <w:ind w:firstLine="480" w:firstLineChars="200"/>
        <w:rPr>
          <w:rFonts w:ascii="宋体" w:hAnsi="宋体" w:cs="宋体"/>
          <w:sz w:val="24"/>
        </w:rPr>
      </w:pPr>
      <w:r>
        <w:rPr>
          <w:rFonts w:hint="eastAsia" w:ascii="宋体" w:hAnsi="宋体" w:cs="宋体"/>
          <w:sz w:val="24"/>
        </w:rPr>
        <w:t>（一）具有独立承担民事责任的能力；</w:t>
      </w:r>
    </w:p>
    <w:p w14:paraId="456BED30">
      <w:pPr>
        <w:spacing w:line="480" w:lineRule="atLeast"/>
        <w:ind w:firstLine="480" w:firstLineChars="200"/>
        <w:rPr>
          <w:rFonts w:ascii="宋体" w:hAnsi="宋体" w:cs="宋体"/>
          <w:sz w:val="24"/>
        </w:rPr>
      </w:pPr>
      <w:r>
        <w:rPr>
          <w:rFonts w:hint="eastAsia" w:ascii="宋体" w:hAnsi="宋体" w:cs="宋体"/>
          <w:sz w:val="24"/>
        </w:rPr>
        <w:t>（二）具有良好的商业信誉和健全的财务会计制度；</w:t>
      </w:r>
    </w:p>
    <w:p w14:paraId="7D3ADDBA">
      <w:pPr>
        <w:spacing w:line="480" w:lineRule="atLeast"/>
        <w:ind w:firstLine="480" w:firstLineChars="200"/>
        <w:rPr>
          <w:rFonts w:ascii="宋体" w:hAnsi="宋体" w:cs="宋体"/>
          <w:sz w:val="24"/>
        </w:rPr>
      </w:pPr>
      <w:r>
        <w:rPr>
          <w:rFonts w:hint="eastAsia" w:ascii="宋体" w:hAnsi="宋体" w:cs="宋体"/>
          <w:sz w:val="24"/>
        </w:rPr>
        <w:t>（三）具有履行合同所必需的设备和专业技术能力；</w:t>
      </w:r>
    </w:p>
    <w:p w14:paraId="222125E9">
      <w:pPr>
        <w:spacing w:line="480" w:lineRule="atLeast"/>
        <w:ind w:firstLine="480" w:firstLineChars="200"/>
        <w:rPr>
          <w:rFonts w:ascii="宋体" w:hAnsi="宋体" w:cs="宋体"/>
          <w:sz w:val="24"/>
        </w:rPr>
      </w:pPr>
      <w:r>
        <w:rPr>
          <w:rFonts w:hint="eastAsia" w:ascii="宋体" w:hAnsi="宋体" w:cs="宋体"/>
          <w:sz w:val="24"/>
        </w:rPr>
        <w:t>（四）有依法缴纳税收和社会保障资金的良好记录；</w:t>
      </w:r>
    </w:p>
    <w:p w14:paraId="0F032C8C">
      <w:pPr>
        <w:spacing w:line="480" w:lineRule="atLeast"/>
        <w:ind w:firstLine="480" w:firstLineChars="200"/>
        <w:rPr>
          <w:rFonts w:ascii="宋体" w:hAnsi="宋体" w:cs="宋体"/>
          <w:sz w:val="24"/>
        </w:rPr>
      </w:pPr>
      <w:r>
        <w:rPr>
          <w:rFonts w:hint="eastAsia" w:ascii="宋体" w:hAnsi="宋体" w:cs="宋体"/>
          <w:sz w:val="24"/>
        </w:rPr>
        <w:t>（五）参加政府采购活动前三年内，在经营活动中没有重大违法记录；</w:t>
      </w:r>
    </w:p>
    <w:p w14:paraId="58273A42">
      <w:pPr>
        <w:spacing w:line="480" w:lineRule="atLeast"/>
        <w:ind w:firstLine="480" w:firstLineChars="200"/>
        <w:rPr>
          <w:rFonts w:ascii="宋体" w:hAnsi="宋体" w:cs="宋体"/>
          <w:sz w:val="24"/>
        </w:rPr>
      </w:pPr>
      <w:r>
        <w:rPr>
          <w:rFonts w:hint="eastAsia" w:ascii="宋体" w:hAnsi="宋体" w:cs="宋体"/>
          <w:sz w:val="24"/>
        </w:rPr>
        <w:t>（六）法律、行政法规规定的其他条件；</w:t>
      </w:r>
    </w:p>
    <w:p w14:paraId="24E3DD04">
      <w:pPr>
        <w:spacing w:line="480" w:lineRule="atLeast"/>
        <w:ind w:firstLine="480" w:firstLineChars="200"/>
        <w:rPr>
          <w:rFonts w:ascii="宋体" w:hAnsi="宋体" w:cs="宋体"/>
          <w:sz w:val="24"/>
        </w:rPr>
      </w:pPr>
      <w:r>
        <w:rPr>
          <w:rFonts w:hint="eastAsia" w:ascii="宋体" w:hAnsi="宋体" w:cs="宋体"/>
          <w:sz w:val="24"/>
        </w:rPr>
        <w:t>（七）根据采购项目提出的特殊条件。</w:t>
      </w:r>
    </w:p>
    <w:p w14:paraId="156A7871">
      <w:pPr>
        <w:spacing w:line="480" w:lineRule="atLeast"/>
        <w:ind w:firstLine="480" w:firstLineChars="200"/>
        <w:rPr>
          <w:rFonts w:ascii="宋体" w:hAnsi="宋体" w:cs="宋体"/>
          <w:sz w:val="24"/>
        </w:rPr>
      </w:pPr>
      <w:r>
        <w:rPr>
          <w:rFonts w:hint="eastAsia" w:ascii="宋体" w:hAnsi="宋体" w:cs="宋体"/>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FD4E103">
      <w:pPr>
        <w:spacing w:line="480" w:lineRule="atLeast"/>
        <w:ind w:firstLine="480" w:firstLineChars="200"/>
        <w:rPr>
          <w:rFonts w:ascii="宋体" w:hAnsi="宋体" w:cs="宋体"/>
          <w:sz w:val="24"/>
        </w:rPr>
      </w:pPr>
      <w:r>
        <w:rPr>
          <w:rFonts w:hint="eastAsia" w:ascii="宋体" w:hAnsi="宋体" w:cs="宋体"/>
          <w:sz w:val="24"/>
        </w:rPr>
        <w:t>三、参加本次招标采购活动，不存在与单位负责人为同一人或者存在直接控股、管理关系的其他投标人参与同一合同项下的政府采购活动的行为。</w:t>
      </w:r>
    </w:p>
    <w:p w14:paraId="146BA753">
      <w:pPr>
        <w:spacing w:line="480" w:lineRule="atLeast"/>
        <w:ind w:firstLine="480" w:firstLineChars="200"/>
        <w:rPr>
          <w:rFonts w:ascii="宋体" w:hAnsi="宋体" w:cs="宋体"/>
          <w:sz w:val="24"/>
        </w:rPr>
      </w:pPr>
      <w:r>
        <w:rPr>
          <w:rFonts w:hint="eastAsia" w:ascii="宋体" w:hAnsi="宋体" w:cs="宋体"/>
          <w:sz w:val="24"/>
        </w:rPr>
        <w:t>四、参加本次招标采购活动，不存在为采购项目提供整体设计、规范编制或者项目管理、监理、检测等服务的行为。</w:t>
      </w:r>
    </w:p>
    <w:p w14:paraId="27C2153F">
      <w:pPr>
        <w:spacing w:line="480" w:lineRule="atLeast"/>
        <w:ind w:firstLine="480" w:firstLineChars="200"/>
        <w:rPr>
          <w:rFonts w:ascii="宋体" w:hAnsi="宋体" w:cs="宋体"/>
          <w:sz w:val="24"/>
        </w:rPr>
      </w:pPr>
      <w:r>
        <w:rPr>
          <w:rFonts w:hint="eastAsia" w:ascii="宋体" w:hAnsi="宋体" w:cs="宋体"/>
          <w:sz w:val="24"/>
        </w:rPr>
        <w:t>五、参加本次招标采购活动，不存在和其他投标人在同一合同项下的采购项目中，同时委托同一个自然人、同一家庭的人员、同一单位的人员作为代理人的行为。</w:t>
      </w:r>
    </w:p>
    <w:p w14:paraId="56E7F667">
      <w:pPr>
        <w:spacing w:line="480" w:lineRule="atLeast"/>
        <w:ind w:firstLine="480" w:firstLineChars="200"/>
        <w:rPr>
          <w:rFonts w:ascii="宋体" w:hAnsi="宋体" w:cs="宋体"/>
          <w:sz w:val="24"/>
        </w:rPr>
      </w:pPr>
      <w:r>
        <w:rPr>
          <w:rFonts w:hint="eastAsia" w:ascii="宋体" w:hAnsi="宋体" w:cs="宋体"/>
          <w:sz w:val="24"/>
        </w:rPr>
        <w:t>六、投标人参加本次政府采购活动要求在近三年内投标人和其法定代表人没有行贿犯罪行为。</w:t>
      </w:r>
    </w:p>
    <w:p w14:paraId="0563AC83">
      <w:pPr>
        <w:spacing w:line="480" w:lineRule="atLeast"/>
        <w:ind w:firstLine="480" w:firstLineChars="200"/>
        <w:rPr>
          <w:rFonts w:ascii="宋体" w:hAnsi="宋体" w:cs="宋体"/>
          <w:sz w:val="24"/>
        </w:rPr>
      </w:pPr>
      <w:r>
        <w:rPr>
          <w:rFonts w:hint="eastAsia" w:ascii="宋体" w:hAnsi="宋体" w:cs="宋体"/>
          <w:sz w:val="24"/>
        </w:rPr>
        <w:t>七、参加本次招标采购活动，不存在联合体投标。</w:t>
      </w:r>
    </w:p>
    <w:p w14:paraId="566ED0F5">
      <w:pPr>
        <w:spacing w:line="480" w:lineRule="atLeast"/>
        <w:ind w:firstLine="480" w:firstLineChars="200"/>
        <w:rPr>
          <w:rFonts w:ascii="宋体" w:hAnsi="宋体" w:cs="宋体"/>
          <w:sz w:val="24"/>
        </w:rPr>
      </w:pPr>
      <w:r>
        <w:rPr>
          <w:rFonts w:hint="eastAsia" w:ascii="宋体" w:hAnsi="宋体" w:cs="宋体"/>
          <w:sz w:val="24"/>
        </w:rPr>
        <w:t>八、投标文件中提供的能够给予我公司带来优惠、好处的任何材料资料和技术、服务、商务等响应承诺情况都是真实的、有效的、合法的。</w:t>
      </w:r>
    </w:p>
    <w:p w14:paraId="0CE3A0FF">
      <w:pPr>
        <w:spacing w:line="480" w:lineRule="atLeast"/>
        <w:ind w:firstLine="480" w:firstLineChars="200"/>
        <w:rPr>
          <w:rFonts w:ascii="宋体" w:hAnsi="宋体" w:cs="宋体"/>
          <w:sz w:val="24"/>
        </w:rPr>
      </w:pPr>
      <w:r>
        <w:rPr>
          <w:rFonts w:hint="eastAsia" w:ascii="宋体" w:hAnsi="宋体" w:cs="宋体"/>
          <w:sz w:val="24"/>
        </w:rPr>
        <w:t>九、存在以下行为之一的愿意接受相关部门的处理：</w:t>
      </w:r>
    </w:p>
    <w:p w14:paraId="23CDB704">
      <w:pPr>
        <w:spacing w:line="480" w:lineRule="atLeast"/>
        <w:ind w:firstLine="480" w:firstLineChars="200"/>
        <w:rPr>
          <w:rFonts w:ascii="宋体" w:hAnsi="宋体" w:cs="宋体"/>
          <w:sz w:val="24"/>
        </w:rPr>
      </w:pPr>
      <w:r>
        <w:rPr>
          <w:rFonts w:hint="eastAsia" w:ascii="宋体" w:hAnsi="宋体" w:cs="宋体"/>
          <w:sz w:val="24"/>
        </w:rPr>
        <w:t>（一）投标有效期内撤销投标文件的；</w:t>
      </w:r>
    </w:p>
    <w:p w14:paraId="6ABB2690">
      <w:pPr>
        <w:spacing w:line="480" w:lineRule="atLeast"/>
        <w:ind w:firstLine="480" w:firstLineChars="200"/>
        <w:rPr>
          <w:rFonts w:ascii="宋体" w:hAnsi="宋体" w:cs="宋体"/>
          <w:sz w:val="24"/>
        </w:rPr>
      </w:pPr>
      <w:r>
        <w:rPr>
          <w:rFonts w:hint="eastAsia" w:ascii="宋体" w:hAnsi="宋体" w:cs="宋体"/>
          <w:sz w:val="24"/>
        </w:rPr>
        <w:t>（二）在采购人确定中标人以前放弃中标候选资格的；</w:t>
      </w:r>
    </w:p>
    <w:p w14:paraId="1AD75762">
      <w:pPr>
        <w:spacing w:line="480" w:lineRule="atLeast"/>
        <w:ind w:firstLine="480" w:firstLineChars="200"/>
        <w:rPr>
          <w:rFonts w:ascii="宋体" w:hAnsi="宋体" w:cs="宋体"/>
          <w:sz w:val="24"/>
        </w:rPr>
      </w:pPr>
      <w:r>
        <w:rPr>
          <w:rFonts w:hint="eastAsia" w:ascii="宋体" w:hAnsi="宋体" w:cs="宋体"/>
          <w:sz w:val="24"/>
        </w:rPr>
        <w:t>（三）由于中标人的原因未能按照招标文件的规定与采购人签订合同；</w:t>
      </w:r>
    </w:p>
    <w:p w14:paraId="68BA1B0E">
      <w:pPr>
        <w:spacing w:line="480" w:lineRule="atLeast"/>
        <w:ind w:firstLine="480" w:firstLineChars="200"/>
        <w:rPr>
          <w:rFonts w:ascii="宋体" w:hAnsi="宋体" w:cs="宋体"/>
          <w:sz w:val="24"/>
        </w:rPr>
      </w:pPr>
      <w:r>
        <w:rPr>
          <w:rFonts w:hint="eastAsia" w:ascii="宋体" w:hAnsi="宋体" w:cs="宋体"/>
          <w:sz w:val="24"/>
        </w:rPr>
        <w:t>（四）由于中标人的原因未能按照招标文件的规定交纳履约保证金；（如有）</w:t>
      </w:r>
    </w:p>
    <w:p w14:paraId="202B3988">
      <w:pPr>
        <w:spacing w:line="480" w:lineRule="atLeast"/>
        <w:ind w:firstLine="480" w:firstLineChars="200"/>
        <w:rPr>
          <w:rFonts w:ascii="宋体" w:hAnsi="宋体" w:cs="宋体"/>
          <w:sz w:val="24"/>
        </w:rPr>
      </w:pPr>
      <w:r>
        <w:rPr>
          <w:rFonts w:hint="eastAsia" w:ascii="宋体" w:hAnsi="宋体" w:cs="宋体"/>
          <w:sz w:val="24"/>
        </w:rPr>
        <w:t>（五）在投标文件中提供虚假材料谋取中标；</w:t>
      </w:r>
    </w:p>
    <w:p w14:paraId="56383E36">
      <w:pPr>
        <w:spacing w:line="480" w:lineRule="atLeast"/>
        <w:ind w:firstLine="480" w:firstLineChars="200"/>
        <w:rPr>
          <w:rFonts w:ascii="宋体" w:hAnsi="宋体" w:cs="宋体"/>
          <w:sz w:val="24"/>
        </w:rPr>
      </w:pPr>
      <w:r>
        <w:rPr>
          <w:rFonts w:hint="eastAsia" w:ascii="宋体" w:hAnsi="宋体" w:cs="宋体"/>
          <w:sz w:val="24"/>
        </w:rPr>
        <w:t>（六）与采购人、其他投标人或者采购代理机构恶意串通的；</w:t>
      </w:r>
    </w:p>
    <w:p w14:paraId="43CC39D8">
      <w:pPr>
        <w:spacing w:line="480" w:lineRule="atLeast"/>
        <w:ind w:firstLine="480" w:firstLineChars="200"/>
        <w:rPr>
          <w:rFonts w:ascii="宋体" w:hAnsi="宋体" w:cs="宋体"/>
          <w:sz w:val="24"/>
        </w:rPr>
      </w:pPr>
      <w:r>
        <w:rPr>
          <w:rFonts w:hint="eastAsia" w:ascii="宋体" w:hAnsi="宋体" w:cs="宋体"/>
          <w:sz w:val="24"/>
        </w:rPr>
        <w:t>（七）投标有效期内，投标人在政府采购活动中有违法、违规、违纪行为。</w:t>
      </w:r>
    </w:p>
    <w:p w14:paraId="4D1F2F48">
      <w:pPr>
        <w:spacing w:line="480" w:lineRule="atLeast"/>
        <w:ind w:firstLine="480" w:firstLineChars="200"/>
        <w:rPr>
          <w:rFonts w:ascii="宋体" w:hAnsi="宋体" w:cs="宋体"/>
          <w:sz w:val="24"/>
        </w:rPr>
      </w:pPr>
      <w:r>
        <w:rPr>
          <w:rFonts w:hint="eastAsia" w:ascii="宋体" w:hAnsi="宋体" w:cs="宋体"/>
          <w:sz w:val="24"/>
        </w:rPr>
        <w:t>由此产生的一切法律后果和责任由我公司承担。我公司声明放弃对此提出任何异议和追索的权利。</w:t>
      </w:r>
    </w:p>
    <w:p w14:paraId="151631AB">
      <w:pPr>
        <w:spacing w:line="480" w:lineRule="atLeast"/>
        <w:ind w:firstLine="480" w:firstLineChars="200"/>
        <w:rPr>
          <w:rFonts w:ascii="宋体" w:hAnsi="宋体" w:cs="宋体"/>
          <w:sz w:val="24"/>
        </w:rPr>
      </w:pPr>
      <w:r>
        <w:rPr>
          <w:rFonts w:hint="eastAsia" w:ascii="宋体" w:hAnsi="宋体" w:cs="宋体"/>
          <w:sz w:val="24"/>
        </w:rPr>
        <w:t>本公司对上述承诺的内容事项真实性负责。如经查实上述承诺的内容事项存在虚假，我公司愿意接受以提供虚假材料谋取中标追究法律责任。</w:t>
      </w:r>
    </w:p>
    <w:p w14:paraId="3FBA72B5">
      <w:pPr>
        <w:adjustRightInd w:val="0"/>
        <w:snapToGrid w:val="0"/>
        <w:spacing w:line="480" w:lineRule="exact"/>
        <w:ind w:firstLine="3600" w:firstLineChars="1500"/>
        <w:textAlignment w:val="center"/>
        <w:rPr>
          <w:rFonts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（电子签章）</w:t>
      </w:r>
    </w:p>
    <w:p w14:paraId="702BEA18">
      <w:pPr>
        <w:spacing w:line="520" w:lineRule="exact"/>
        <w:ind w:right="-334" w:rightChars="-159" w:firstLine="3600" w:firstLineChars="1500"/>
        <w:jc w:val="left"/>
        <w:textAlignment w:val="center"/>
        <w:rPr>
          <w:rFonts w:ascii="宋体" w:hAnsi="宋体" w:cs="宋体"/>
          <w:sz w:val="24"/>
          <w:szCs w:val="21"/>
        </w:rPr>
      </w:pPr>
      <w:r>
        <w:rPr>
          <w:rFonts w:hint="eastAsia" w:ascii="宋体" w:hAnsi="宋体" w:cs="宋体"/>
          <w:sz w:val="24"/>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（电子签章或签字）</w:t>
      </w:r>
      <w:r>
        <w:rPr>
          <w:rFonts w:hint="eastAsia" w:ascii="宋体" w:hAnsi="宋体" w:cs="宋体"/>
          <w:sz w:val="24"/>
          <w:szCs w:val="21"/>
        </w:rPr>
        <w:t xml:space="preserve">        </w:t>
      </w:r>
    </w:p>
    <w:p w14:paraId="02375FCD">
      <w:pPr>
        <w:spacing w:line="520" w:lineRule="exact"/>
        <w:ind w:right="-334" w:rightChars="-159" w:firstLine="480" w:firstLineChars="200"/>
        <w:jc w:val="left"/>
        <w:textAlignment w:val="center"/>
        <w:rPr>
          <w:rFonts w:ascii="宋体" w:hAnsi="宋体" w:cs="宋体"/>
          <w:sz w:val="24"/>
          <w:szCs w:val="21"/>
        </w:rPr>
      </w:pPr>
      <w:r>
        <w:rPr>
          <w:rFonts w:hint="eastAsia" w:ascii="宋体" w:hAnsi="宋体" w:cs="宋体"/>
          <w:sz w:val="24"/>
          <w:szCs w:val="21"/>
        </w:rPr>
        <w:t xml:space="preserve">                          年        月        日 </w:t>
      </w:r>
    </w:p>
    <w:p w14:paraId="046C00DC">
      <w:pPr>
        <w:spacing w:line="588" w:lineRule="exact"/>
        <w:jc w:val="left"/>
        <w:rPr>
          <w:rFonts w:ascii="宋体" w:hAnsi="宋体" w:cs="宋体"/>
        </w:rPr>
      </w:pPr>
    </w:p>
    <w:p w14:paraId="77C7284B">
      <w:pPr>
        <w:spacing w:line="588" w:lineRule="exact"/>
        <w:jc w:val="left"/>
        <w:rPr>
          <w:rFonts w:ascii="宋体" w:hAnsi="宋体" w:cs="宋体"/>
        </w:rPr>
      </w:pPr>
    </w:p>
    <w:p w14:paraId="51DF9B2D">
      <w:pPr>
        <w:spacing w:line="588" w:lineRule="exact"/>
        <w:jc w:val="left"/>
        <w:rPr>
          <w:rFonts w:ascii="宋体" w:hAnsi="宋体" w:cs="宋体"/>
        </w:rPr>
      </w:pPr>
    </w:p>
    <w:p w14:paraId="72D4EFC7">
      <w:pPr>
        <w:spacing w:line="588" w:lineRule="exact"/>
        <w:jc w:val="left"/>
        <w:rPr>
          <w:rFonts w:ascii="宋体" w:hAnsi="宋体" w:cs="宋体"/>
        </w:rPr>
      </w:pPr>
    </w:p>
    <w:p w14:paraId="3F3F423A">
      <w:pPr>
        <w:spacing w:line="588" w:lineRule="exact"/>
        <w:jc w:val="left"/>
        <w:rPr>
          <w:rFonts w:ascii="宋体" w:hAnsi="宋体" w:cs="宋体"/>
        </w:rPr>
      </w:pPr>
    </w:p>
    <w:p w14:paraId="1ACD7960">
      <w:pPr>
        <w:spacing w:line="588" w:lineRule="exact"/>
        <w:jc w:val="left"/>
        <w:rPr>
          <w:rFonts w:ascii="宋体" w:hAnsi="宋体" w:cs="宋体"/>
        </w:rPr>
      </w:pPr>
    </w:p>
    <w:p w14:paraId="6906C42A">
      <w:pPr>
        <w:spacing w:line="588" w:lineRule="exact"/>
        <w:jc w:val="left"/>
        <w:rPr>
          <w:rFonts w:ascii="宋体" w:hAnsi="宋体" w:cs="宋体"/>
        </w:rPr>
      </w:pPr>
    </w:p>
    <w:p w14:paraId="714486AC">
      <w:pPr>
        <w:spacing w:line="588" w:lineRule="exact"/>
        <w:jc w:val="left"/>
        <w:rPr>
          <w:rFonts w:ascii="宋体" w:hAnsi="宋体" w:cs="宋体"/>
        </w:rPr>
      </w:pPr>
    </w:p>
    <w:p w14:paraId="647F7751">
      <w:pPr>
        <w:spacing w:line="588" w:lineRule="exact"/>
        <w:jc w:val="left"/>
        <w:rPr>
          <w:rFonts w:ascii="宋体" w:hAnsi="宋体" w:cs="宋体"/>
        </w:rPr>
      </w:pPr>
    </w:p>
    <w:p w14:paraId="6A57BF24">
      <w:pPr>
        <w:spacing w:line="588" w:lineRule="exact"/>
        <w:jc w:val="left"/>
        <w:rPr>
          <w:rFonts w:ascii="宋体" w:hAnsi="宋体" w:cs="宋体"/>
        </w:rPr>
      </w:pPr>
    </w:p>
    <w:p w14:paraId="0E08CCEF">
      <w:pPr>
        <w:spacing w:line="588" w:lineRule="exact"/>
        <w:jc w:val="left"/>
        <w:rPr>
          <w:rFonts w:ascii="宋体" w:hAnsi="宋体" w:cs="宋体"/>
        </w:rPr>
      </w:pPr>
    </w:p>
    <w:p w14:paraId="0ED255B8">
      <w:pPr>
        <w:spacing w:line="588" w:lineRule="exact"/>
        <w:jc w:val="left"/>
        <w:rPr>
          <w:rFonts w:ascii="宋体" w:hAnsi="宋体" w:cs="宋体"/>
        </w:rPr>
      </w:pPr>
    </w:p>
    <w:p w14:paraId="0C786946">
      <w:pPr>
        <w:spacing w:line="480" w:lineRule="atLeast"/>
        <w:jc w:val="center"/>
        <w:outlineLvl w:val="0"/>
        <w:rPr>
          <w:rFonts w:hint="eastAsia" w:ascii="宋体" w:hAnsi="宋体" w:cs="宋体"/>
          <w:b/>
          <w:sz w:val="28"/>
          <w:szCs w:val="28"/>
        </w:rPr>
      </w:pPr>
      <w:bookmarkStart w:id="69" w:name="_Toc70398871"/>
      <w:bookmarkStart w:id="70" w:name="_Toc30822"/>
      <w:bookmarkStart w:id="71" w:name="_Toc97816697"/>
      <w:bookmarkStart w:id="72" w:name="_Toc71269877"/>
      <w:bookmarkStart w:id="73" w:name="_Toc17985"/>
      <w:bookmarkStart w:id="74" w:name="_Toc16720"/>
      <w:bookmarkStart w:id="75" w:name="_Toc97815875"/>
      <w:bookmarkStart w:id="76" w:name="_Toc3080_WPSOffice_Level1"/>
    </w:p>
    <w:p w14:paraId="23E49552">
      <w:pPr>
        <w:spacing w:line="480" w:lineRule="atLeast"/>
        <w:jc w:val="center"/>
        <w:outlineLvl w:val="0"/>
        <w:rPr>
          <w:rFonts w:ascii="宋体" w:hAnsi="宋体" w:cs="宋体"/>
          <w:b/>
          <w:sz w:val="28"/>
          <w:szCs w:val="28"/>
        </w:rPr>
      </w:pPr>
      <w:r>
        <w:rPr>
          <w:rFonts w:hint="eastAsia" w:ascii="宋体" w:hAnsi="宋体" w:cs="宋体"/>
          <w:b/>
          <w:sz w:val="28"/>
          <w:szCs w:val="28"/>
        </w:rPr>
        <w:t>五、投标分项报价表</w:t>
      </w:r>
      <w:bookmarkEnd w:id="69"/>
      <w:bookmarkEnd w:id="70"/>
      <w:bookmarkEnd w:id="71"/>
      <w:bookmarkEnd w:id="72"/>
      <w:bookmarkEnd w:id="73"/>
      <w:bookmarkEnd w:id="74"/>
      <w:bookmarkEnd w:id="75"/>
    </w:p>
    <w:p w14:paraId="462CE567">
      <w:pPr>
        <w:spacing w:after="120"/>
        <w:jc w:val="center"/>
        <w:outlineLvl w:val="2"/>
        <w:rPr>
          <w:rFonts w:ascii="宋体" w:hAnsi="宋体" w:cs="宋体"/>
          <w:sz w:val="28"/>
          <w:szCs w:val="36"/>
        </w:rPr>
      </w:pPr>
      <w:bookmarkStart w:id="77" w:name="_Toc24668"/>
      <w:r>
        <w:rPr>
          <w:rFonts w:hint="eastAsia" w:ascii="宋体" w:hAnsi="宋体" w:cs="宋体"/>
          <w:sz w:val="28"/>
          <w:szCs w:val="36"/>
        </w:rPr>
        <w:t>（一）投标分项报价表</w:t>
      </w:r>
      <w:bookmarkEnd w:id="77"/>
    </w:p>
    <w:p w14:paraId="2B4AD0D5">
      <w:pPr>
        <w:spacing w:line="480" w:lineRule="atLeast"/>
        <w:jc w:val="center"/>
        <w:outlineLvl w:val="0"/>
        <w:rPr>
          <w:rFonts w:ascii="宋体" w:hAnsi="宋体" w:cs="宋体"/>
          <w:bCs/>
          <w:sz w:val="24"/>
        </w:rPr>
      </w:pPr>
      <w:bookmarkStart w:id="78" w:name="_Toc97815876"/>
      <w:bookmarkStart w:id="79" w:name="_Toc71269878"/>
      <w:bookmarkStart w:id="80" w:name="_Toc70398872"/>
      <w:bookmarkStart w:id="81" w:name="_Toc1750"/>
      <w:bookmarkStart w:id="82" w:name="_Toc270"/>
      <w:bookmarkStart w:id="83" w:name="_Toc97816698"/>
      <w:bookmarkStart w:id="84" w:name="_Toc2498"/>
      <w:r>
        <w:rPr>
          <w:rFonts w:hint="eastAsia" w:ascii="宋体" w:hAnsi="宋体" w:cs="宋体"/>
          <w:bCs/>
          <w:sz w:val="24"/>
        </w:rPr>
        <w:t>（此格式供参考）</w:t>
      </w:r>
      <w:bookmarkEnd w:id="78"/>
      <w:bookmarkEnd w:id="79"/>
      <w:bookmarkEnd w:id="80"/>
      <w:bookmarkEnd w:id="81"/>
      <w:bookmarkEnd w:id="82"/>
      <w:bookmarkEnd w:id="83"/>
      <w:bookmarkEnd w:id="84"/>
    </w:p>
    <w:p w14:paraId="65ACACF7">
      <w:pPr>
        <w:rPr>
          <w:rFonts w:ascii="宋体" w:hAnsi="宋体" w:cs="宋体"/>
          <w:bCs/>
          <w:szCs w:val="21"/>
        </w:rPr>
      </w:pPr>
      <w:r>
        <w:rPr>
          <w:rFonts w:hint="eastAsia" w:ascii="宋体" w:hAnsi="宋体" w:cs="宋体"/>
          <w:bCs/>
          <w:szCs w:val="21"/>
        </w:rPr>
        <w:t>金额单位：元</w:t>
      </w:r>
    </w:p>
    <w:tbl>
      <w:tblPr>
        <w:tblStyle w:val="19"/>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253"/>
        <w:gridCol w:w="1185"/>
        <w:gridCol w:w="1055"/>
        <w:gridCol w:w="850"/>
        <w:gridCol w:w="851"/>
        <w:gridCol w:w="850"/>
        <w:gridCol w:w="851"/>
        <w:gridCol w:w="850"/>
        <w:gridCol w:w="932"/>
      </w:tblGrid>
      <w:tr w14:paraId="4B70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45" w:type="dxa"/>
            <w:vAlign w:val="center"/>
          </w:tcPr>
          <w:p w14:paraId="639C99C4">
            <w:pPr>
              <w:jc w:val="center"/>
              <w:rPr>
                <w:rFonts w:ascii="宋体" w:hAnsi="宋体" w:cs="宋体"/>
                <w:bCs/>
                <w:szCs w:val="21"/>
              </w:rPr>
            </w:pPr>
            <w:r>
              <w:rPr>
                <w:rFonts w:hint="eastAsia" w:ascii="宋体" w:hAnsi="宋体" w:cs="宋体"/>
                <w:bCs/>
                <w:szCs w:val="21"/>
              </w:rPr>
              <w:t>序号</w:t>
            </w:r>
          </w:p>
        </w:tc>
        <w:tc>
          <w:tcPr>
            <w:tcW w:w="1253" w:type="dxa"/>
            <w:vAlign w:val="center"/>
          </w:tcPr>
          <w:p w14:paraId="1A491FC3">
            <w:pPr>
              <w:jc w:val="center"/>
              <w:rPr>
                <w:rFonts w:ascii="宋体" w:hAnsi="宋体" w:cs="宋体"/>
                <w:bCs/>
                <w:szCs w:val="21"/>
              </w:rPr>
            </w:pPr>
            <w:r>
              <w:rPr>
                <w:rFonts w:hint="eastAsia" w:ascii="宋体" w:hAnsi="宋体" w:cs="宋体"/>
                <w:bCs/>
                <w:szCs w:val="21"/>
              </w:rPr>
              <w:t>货物名称</w:t>
            </w:r>
          </w:p>
        </w:tc>
        <w:tc>
          <w:tcPr>
            <w:tcW w:w="1185" w:type="dxa"/>
            <w:vAlign w:val="center"/>
          </w:tcPr>
          <w:p w14:paraId="054A29E4">
            <w:pPr>
              <w:jc w:val="center"/>
              <w:rPr>
                <w:rFonts w:ascii="宋体" w:hAnsi="宋体" w:cs="宋体"/>
                <w:bCs/>
                <w:szCs w:val="21"/>
              </w:rPr>
            </w:pPr>
            <w:r>
              <w:rPr>
                <w:rFonts w:hint="eastAsia" w:ascii="宋体" w:hAnsi="宋体" w:cs="宋体"/>
                <w:bCs/>
                <w:szCs w:val="21"/>
              </w:rPr>
              <w:t>品牌</w:t>
            </w:r>
          </w:p>
        </w:tc>
        <w:tc>
          <w:tcPr>
            <w:tcW w:w="1055" w:type="dxa"/>
            <w:vAlign w:val="center"/>
          </w:tcPr>
          <w:p w14:paraId="64DB57D9">
            <w:pPr>
              <w:jc w:val="center"/>
              <w:rPr>
                <w:rFonts w:ascii="宋体" w:hAnsi="宋体" w:cs="宋体"/>
                <w:bCs/>
                <w:szCs w:val="21"/>
              </w:rPr>
            </w:pPr>
            <w:r>
              <w:rPr>
                <w:rFonts w:hint="eastAsia" w:ascii="宋体" w:hAnsi="宋体" w:cs="宋体"/>
                <w:bCs/>
                <w:szCs w:val="21"/>
              </w:rPr>
              <w:t>型号</w:t>
            </w:r>
          </w:p>
        </w:tc>
        <w:tc>
          <w:tcPr>
            <w:tcW w:w="850" w:type="dxa"/>
            <w:vAlign w:val="center"/>
          </w:tcPr>
          <w:p w14:paraId="23E2367F">
            <w:pPr>
              <w:jc w:val="center"/>
              <w:rPr>
                <w:rFonts w:ascii="宋体" w:hAnsi="宋体" w:cs="宋体"/>
                <w:bCs/>
                <w:szCs w:val="21"/>
              </w:rPr>
            </w:pPr>
            <w:r>
              <w:rPr>
                <w:rFonts w:hint="eastAsia" w:ascii="宋体" w:hAnsi="宋体" w:cs="宋体"/>
                <w:bCs/>
                <w:szCs w:val="21"/>
              </w:rPr>
              <w:t>产地</w:t>
            </w:r>
          </w:p>
        </w:tc>
        <w:tc>
          <w:tcPr>
            <w:tcW w:w="851" w:type="dxa"/>
            <w:vAlign w:val="center"/>
          </w:tcPr>
          <w:p w14:paraId="769332BC">
            <w:pPr>
              <w:jc w:val="center"/>
              <w:rPr>
                <w:rFonts w:hint="eastAsia" w:ascii="宋体" w:hAnsi="宋体" w:cs="宋体" w:eastAsiaTheme="minorEastAsia"/>
                <w:bCs/>
                <w:szCs w:val="21"/>
                <w:lang w:eastAsia="zh-CN"/>
              </w:rPr>
            </w:pPr>
            <w:r>
              <w:rPr>
                <w:rFonts w:hint="eastAsia" w:ascii="宋体" w:hAnsi="宋体" w:cs="宋体"/>
                <w:bCs/>
                <w:szCs w:val="21"/>
                <w:lang w:val="en-US" w:eastAsia="zh-CN"/>
              </w:rPr>
              <w:t>制造商</w:t>
            </w:r>
          </w:p>
        </w:tc>
        <w:tc>
          <w:tcPr>
            <w:tcW w:w="850" w:type="dxa"/>
            <w:vAlign w:val="center"/>
          </w:tcPr>
          <w:p w14:paraId="49718ACD">
            <w:pPr>
              <w:jc w:val="center"/>
              <w:rPr>
                <w:rFonts w:ascii="宋体" w:hAnsi="宋体" w:cs="宋体"/>
                <w:bCs/>
                <w:szCs w:val="21"/>
              </w:rPr>
            </w:pPr>
            <w:r>
              <w:rPr>
                <w:rFonts w:hint="eastAsia" w:ascii="宋体" w:hAnsi="宋体" w:cs="宋体"/>
                <w:bCs/>
                <w:szCs w:val="21"/>
              </w:rPr>
              <w:t>数量</w:t>
            </w:r>
          </w:p>
        </w:tc>
        <w:tc>
          <w:tcPr>
            <w:tcW w:w="851" w:type="dxa"/>
            <w:vAlign w:val="center"/>
          </w:tcPr>
          <w:p w14:paraId="13DF55DE">
            <w:pPr>
              <w:jc w:val="center"/>
              <w:rPr>
                <w:rFonts w:ascii="宋体" w:hAnsi="宋体" w:cs="宋体"/>
                <w:bCs/>
                <w:szCs w:val="21"/>
              </w:rPr>
            </w:pPr>
            <w:r>
              <w:rPr>
                <w:rFonts w:hint="eastAsia" w:ascii="宋体" w:hAnsi="宋体" w:cs="宋体"/>
                <w:bCs/>
                <w:szCs w:val="21"/>
              </w:rPr>
              <w:t>单价（元）</w:t>
            </w:r>
          </w:p>
        </w:tc>
        <w:tc>
          <w:tcPr>
            <w:tcW w:w="850" w:type="dxa"/>
            <w:vAlign w:val="center"/>
          </w:tcPr>
          <w:p w14:paraId="3B9C1F52">
            <w:pPr>
              <w:jc w:val="center"/>
              <w:rPr>
                <w:rFonts w:ascii="宋体" w:hAnsi="宋体" w:cs="宋体"/>
                <w:bCs/>
                <w:szCs w:val="21"/>
              </w:rPr>
            </w:pPr>
            <w:r>
              <w:rPr>
                <w:rFonts w:hint="eastAsia" w:ascii="宋体" w:hAnsi="宋体" w:cs="宋体"/>
                <w:bCs/>
                <w:szCs w:val="21"/>
              </w:rPr>
              <w:t>合计（元）</w:t>
            </w:r>
          </w:p>
        </w:tc>
        <w:tc>
          <w:tcPr>
            <w:tcW w:w="932" w:type="dxa"/>
            <w:vAlign w:val="center"/>
          </w:tcPr>
          <w:p w14:paraId="6CBA097E">
            <w:pPr>
              <w:jc w:val="center"/>
              <w:rPr>
                <w:rFonts w:ascii="宋体" w:hAnsi="宋体" w:cs="宋体"/>
                <w:bCs/>
                <w:szCs w:val="21"/>
              </w:rPr>
            </w:pPr>
            <w:r>
              <w:rPr>
                <w:rFonts w:hint="eastAsia" w:ascii="宋体" w:hAnsi="宋体" w:cs="宋体"/>
                <w:bCs/>
                <w:szCs w:val="21"/>
              </w:rPr>
              <w:t>备注</w:t>
            </w:r>
          </w:p>
        </w:tc>
      </w:tr>
      <w:tr w14:paraId="3960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06B4277A">
            <w:pPr>
              <w:jc w:val="center"/>
              <w:rPr>
                <w:rFonts w:ascii="宋体" w:hAnsi="宋体" w:cs="宋体"/>
                <w:bCs/>
                <w:szCs w:val="21"/>
              </w:rPr>
            </w:pPr>
            <w:r>
              <w:rPr>
                <w:rFonts w:hint="eastAsia" w:ascii="宋体" w:hAnsi="宋体" w:cs="宋体"/>
                <w:bCs/>
                <w:szCs w:val="21"/>
              </w:rPr>
              <w:t>1</w:t>
            </w:r>
          </w:p>
        </w:tc>
        <w:tc>
          <w:tcPr>
            <w:tcW w:w="1253" w:type="dxa"/>
            <w:vAlign w:val="center"/>
          </w:tcPr>
          <w:p w14:paraId="083827FE">
            <w:pPr>
              <w:jc w:val="center"/>
              <w:rPr>
                <w:rFonts w:ascii="宋体" w:hAnsi="宋体" w:cs="宋体"/>
                <w:bCs/>
                <w:szCs w:val="21"/>
              </w:rPr>
            </w:pPr>
          </w:p>
        </w:tc>
        <w:tc>
          <w:tcPr>
            <w:tcW w:w="1185" w:type="dxa"/>
            <w:vAlign w:val="center"/>
          </w:tcPr>
          <w:p w14:paraId="13758FBF">
            <w:pPr>
              <w:jc w:val="center"/>
              <w:rPr>
                <w:rFonts w:ascii="宋体" w:hAnsi="宋体" w:cs="宋体"/>
                <w:bCs/>
                <w:szCs w:val="21"/>
              </w:rPr>
            </w:pPr>
          </w:p>
        </w:tc>
        <w:tc>
          <w:tcPr>
            <w:tcW w:w="1055" w:type="dxa"/>
            <w:vAlign w:val="center"/>
          </w:tcPr>
          <w:p w14:paraId="55225CA2">
            <w:pPr>
              <w:jc w:val="center"/>
              <w:rPr>
                <w:rFonts w:ascii="宋体" w:hAnsi="宋体" w:cs="宋体"/>
                <w:bCs/>
                <w:szCs w:val="21"/>
              </w:rPr>
            </w:pPr>
          </w:p>
        </w:tc>
        <w:tc>
          <w:tcPr>
            <w:tcW w:w="850" w:type="dxa"/>
            <w:vAlign w:val="center"/>
          </w:tcPr>
          <w:p w14:paraId="002337E2">
            <w:pPr>
              <w:jc w:val="center"/>
              <w:rPr>
                <w:rFonts w:ascii="宋体" w:hAnsi="宋体" w:cs="宋体"/>
                <w:bCs/>
                <w:szCs w:val="21"/>
              </w:rPr>
            </w:pPr>
          </w:p>
        </w:tc>
        <w:tc>
          <w:tcPr>
            <w:tcW w:w="851" w:type="dxa"/>
            <w:vAlign w:val="center"/>
          </w:tcPr>
          <w:p w14:paraId="4881120A">
            <w:pPr>
              <w:jc w:val="center"/>
              <w:rPr>
                <w:rFonts w:ascii="宋体" w:hAnsi="宋体" w:cs="宋体"/>
                <w:bCs/>
                <w:szCs w:val="21"/>
              </w:rPr>
            </w:pPr>
          </w:p>
        </w:tc>
        <w:tc>
          <w:tcPr>
            <w:tcW w:w="850" w:type="dxa"/>
            <w:vAlign w:val="center"/>
          </w:tcPr>
          <w:p w14:paraId="0428FA34">
            <w:pPr>
              <w:jc w:val="center"/>
              <w:rPr>
                <w:rFonts w:ascii="宋体" w:hAnsi="宋体" w:cs="宋体"/>
                <w:bCs/>
                <w:szCs w:val="21"/>
              </w:rPr>
            </w:pPr>
          </w:p>
        </w:tc>
        <w:tc>
          <w:tcPr>
            <w:tcW w:w="851" w:type="dxa"/>
            <w:vAlign w:val="center"/>
          </w:tcPr>
          <w:p w14:paraId="516B9AC7">
            <w:pPr>
              <w:jc w:val="center"/>
              <w:rPr>
                <w:rFonts w:ascii="宋体" w:hAnsi="宋体" w:cs="宋体"/>
                <w:bCs/>
                <w:szCs w:val="21"/>
              </w:rPr>
            </w:pPr>
          </w:p>
        </w:tc>
        <w:tc>
          <w:tcPr>
            <w:tcW w:w="850" w:type="dxa"/>
            <w:vAlign w:val="center"/>
          </w:tcPr>
          <w:p w14:paraId="49C954F4">
            <w:pPr>
              <w:jc w:val="center"/>
              <w:rPr>
                <w:rFonts w:ascii="宋体" w:hAnsi="宋体" w:cs="宋体"/>
                <w:bCs/>
                <w:szCs w:val="21"/>
              </w:rPr>
            </w:pPr>
          </w:p>
        </w:tc>
        <w:tc>
          <w:tcPr>
            <w:tcW w:w="932" w:type="dxa"/>
            <w:vAlign w:val="center"/>
          </w:tcPr>
          <w:p w14:paraId="1119CDBB">
            <w:pPr>
              <w:jc w:val="center"/>
              <w:rPr>
                <w:rFonts w:ascii="宋体" w:hAnsi="宋体" w:cs="宋体"/>
                <w:bCs/>
                <w:szCs w:val="21"/>
              </w:rPr>
            </w:pPr>
          </w:p>
        </w:tc>
      </w:tr>
      <w:tr w14:paraId="51D52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34FC516C">
            <w:pPr>
              <w:jc w:val="center"/>
              <w:rPr>
                <w:rFonts w:ascii="宋体" w:hAnsi="宋体" w:cs="宋体"/>
                <w:bCs/>
                <w:szCs w:val="21"/>
              </w:rPr>
            </w:pPr>
            <w:r>
              <w:rPr>
                <w:rFonts w:hint="eastAsia" w:ascii="宋体" w:hAnsi="宋体" w:cs="宋体"/>
                <w:bCs/>
                <w:szCs w:val="21"/>
              </w:rPr>
              <w:t>2</w:t>
            </w:r>
          </w:p>
        </w:tc>
        <w:tc>
          <w:tcPr>
            <w:tcW w:w="1253" w:type="dxa"/>
            <w:vAlign w:val="center"/>
          </w:tcPr>
          <w:p w14:paraId="5E9ACFCD">
            <w:pPr>
              <w:jc w:val="center"/>
              <w:rPr>
                <w:rFonts w:ascii="宋体" w:hAnsi="宋体" w:cs="宋体"/>
                <w:bCs/>
                <w:szCs w:val="21"/>
              </w:rPr>
            </w:pPr>
          </w:p>
        </w:tc>
        <w:tc>
          <w:tcPr>
            <w:tcW w:w="1185" w:type="dxa"/>
            <w:vAlign w:val="center"/>
          </w:tcPr>
          <w:p w14:paraId="1BFD0595">
            <w:pPr>
              <w:jc w:val="center"/>
              <w:rPr>
                <w:rFonts w:ascii="宋体" w:hAnsi="宋体" w:cs="宋体"/>
                <w:bCs/>
                <w:szCs w:val="21"/>
              </w:rPr>
            </w:pPr>
          </w:p>
        </w:tc>
        <w:tc>
          <w:tcPr>
            <w:tcW w:w="1055" w:type="dxa"/>
            <w:vAlign w:val="center"/>
          </w:tcPr>
          <w:p w14:paraId="63A96D95">
            <w:pPr>
              <w:jc w:val="center"/>
              <w:rPr>
                <w:rFonts w:ascii="宋体" w:hAnsi="宋体" w:cs="宋体"/>
                <w:bCs/>
                <w:szCs w:val="21"/>
              </w:rPr>
            </w:pPr>
          </w:p>
        </w:tc>
        <w:tc>
          <w:tcPr>
            <w:tcW w:w="850" w:type="dxa"/>
            <w:vAlign w:val="center"/>
          </w:tcPr>
          <w:p w14:paraId="77890455">
            <w:pPr>
              <w:jc w:val="center"/>
              <w:rPr>
                <w:rFonts w:ascii="宋体" w:hAnsi="宋体" w:cs="宋体"/>
                <w:bCs/>
                <w:szCs w:val="21"/>
              </w:rPr>
            </w:pPr>
          </w:p>
        </w:tc>
        <w:tc>
          <w:tcPr>
            <w:tcW w:w="851" w:type="dxa"/>
            <w:vAlign w:val="center"/>
          </w:tcPr>
          <w:p w14:paraId="06D1AF81">
            <w:pPr>
              <w:jc w:val="center"/>
              <w:rPr>
                <w:rFonts w:ascii="宋体" w:hAnsi="宋体" w:cs="宋体"/>
                <w:bCs/>
                <w:szCs w:val="21"/>
              </w:rPr>
            </w:pPr>
          </w:p>
        </w:tc>
        <w:tc>
          <w:tcPr>
            <w:tcW w:w="850" w:type="dxa"/>
            <w:vAlign w:val="center"/>
          </w:tcPr>
          <w:p w14:paraId="71C5A202">
            <w:pPr>
              <w:jc w:val="center"/>
              <w:rPr>
                <w:rFonts w:ascii="宋体" w:hAnsi="宋体" w:cs="宋体"/>
                <w:bCs/>
                <w:szCs w:val="21"/>
              </w:rPr>
            </w:pPr>
          </w:p>
        </w:tc>
        <w:tc>
          <w:tcPr>
            <w:tcW w:w="851" w:type="dxa"/>
            <w:vAlign w:val="center"/>
          </w:tcPr>
          <w:p w14:paraId="7F172957">
            <w:pPr>
              <w:jc w:val="center"/>
              <w:rPr>
                <w:rFonts w:ascii="宋体" w:hAnsi="宋体" w:cs="宋体"/>
                <w:bCs/>
                <w:szCs w:val="21"/>
              </w:rPr>
            </w:pPr>
          </w:p>
        </w:tc>
        <w:tc>
          <w:tcPr>
            <w:tcW w:w="850" w:type="dxa"/>
            <w:vAlign w:val="center"/>
          </w:tcPr>
          <w:p w14:paraId="2769CCAE">
            <w:pPr>
              <w:jc w:val="center"/>
              <w:rPr>
                <w:rFonts w:ascii="宋体" w:hAnsi="宋体" w:cs="宋体"/>
                <w:bCs/>
                <w:szCs w:val="21"/>
              </w:rPr>
            </w:pPr>
          </w:p>
        </w:tc>
        <w:tc>
          <w:tcPr>
            <w:tcW w:w="932" w:type="dxa"/>
            <w:vAlign w:val="center"/>
          </w:tcPr>
          <w:p w14:paraId="18454431">
            <w:pPr>
              <w:jc w:val="center"/>
              <w:rPr>
                <w:rFonts w:ascii="宋体" w:hAnsi="宋体" w:cs="宋体"/>
                <w:bCs/>
                <w:szCs w:val="21"/>
              </w:rPr>
            </w:pPr>
          </w:p>
        </w:tc>
      </w:tr>
      <w:tr w14:paraId="78872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2FD77AE6">
            <w:pPr>
              <w:jc w:val="center"/>
              <w:rPr>
                <w:rFonts w:ascii="宋体" w:hAnsi="宋体" w:cs="宋体"/>
                <w:bCs/>
                <w:szCs w:val="21"/>
              </w:rPr>
            </w:pPr>
            <w:r>
              <w:rPr>
                <w:rFonts w:hint="eastAsia" w:ascii="宋体" w:hAnsi="宋体" w:cs="宋体"/>
                <w:bCs/>
                <w:szCs w:val="21"/>
              </w:rPr>
              <w:t>3</w:t>
            </w:r>
          </w:p>
        </w:tc>
        <w:tc>
          <w:tcPr>
            <w:tcW w:w="1253" w:type="dxa"/>
            <w:vAlign w:val="center"/>
          </w:tcPr>
          <w:p w14:paraId="37D1F102">
            <w:pPr>
              <w:jc w:val="center"/>
              <w:rPr>
                <w:rFonts w:ascii="宋体" w:hAnsi="宋体" w:cs="宋体"/>
                <w:bCs/>
                <w:szCs w:val="21"/>
              </w:rPr>
            </w:pPr>
          </w:p>
        </w:tc>
        <w:tc>
          <w:tcPr>
            <w:tcW w:w="1185" w:type="dxa"/>
            <w:vAlign w:val="center"/>
          </w:tcPr>
          <w:p w14:paraId="01C823D7">
            <w:pPr>
              <w:jc w:val="center"/>
              <w:rPr>
                <w:rFonts w:ascii="宋体" w:hAnsi="宋体" w:cs="宋体"/>
                <w:bCs/>
                <w:szCs w:val="21"/>
              </w:rPr>
            </w:pPr>
          </w:p>
        </w:tc>
        <w:tc>
          <w:tcPr>
            <w:tcW w:w="1055" w:type="dxa"/>
            <w:vAlign w:val="center"/>
          </w:tcPr>
          <w:p w14:paraId="52E3B962">
            <w:pPr>
              <w:jc w:val="center"/>
              <w:rPr>
                <w:rFonts w:ascii="宋体" w:hAnsi="宋体" w:cs="宋体"/>
                <w:bCs/>
                <w:szCs w:val="21"/>
              </w:rPr>
            </w:pPr>
          </w:p>
        </w:tc>
        <w:tc>
          <w:tcPr>
            <w:tcW w:w="850" w:type="dxa"/>
            <w:vAlign w:val="center"/>
          </w:tcPr>
          <w:p w14:paraId="7FBDFBB7">
            <w:pPr>
              <w:jc w:val="center"/>
              <w:rPr>
                <w:rFonts w:ascii="宋体" w:hAnsi="宋体" w:cs="宋体"/>
                <w:bCs/>
                <w:szCs w:val="21"/>
              </w:rPr>
            </w:pPr>
          </w:p>
        </w:tc>
        <w:tc>
          <w:tcPr>
            <w:tcW w:w="851" w:type="dxa"/>
            <w:vAlign w:val="center"/>
          </w:tcPr>
          <w:p w14:paraId="13ADC457">
            <w:pPr>
              <w:jc w:val="center"/>
              <w:rPr>
                <w:rFonts w:ascii="宋体" w:hAnsi="宋体" w:cs="宋体"/>
                <w:bCs/>
                <w:szCs w:val="21"/>
              </w:rPr>
            </w:pPr>
          </w:p>
        </w:tc>
        <w:tc>
          <w:tcPr>
            <w:tcW w:w="850" w:type="dxa"/>
            <w:vAlign w:val="center"/>
          </w:tcPr>
          <w:p w14:paraId="1B36E511">
            <w:pPr>
              <w:jc w:val="center"/>
              <w:rPr>
                <w:rFonts w:ascii="宋体" w:hAnsi="宋体" w:cs="宋体"/>
                <w:bCs/>
                <w:szCs w:val="21"/>
              </w:rPr>
            </w:pPr>
          </w:p>
        </w:tc>
        <w:tc>
          <w:tcPr>
            <w:tcW w:w="851" w:type="dxa"/>
            <w:vAlign w:val="center"/>
          </w:tcPr>
          <w:p w14:paraId="028BABDF">
            <w:pPr>
              <w:jc w:val="center"/>
              <w:rPr>
                <w:rFonts w:ascii="宋体" w:hAnsi="宋体" w:cs="宋体"/>
                <w:bCs/>
                <w:szCs w:val="21"/>
              </w:rPr>
            </w:pPr>
          </w:p>
        </w:tc>
        <w:tc>
          <w:tcPr>
            <w:tcW w:w="850" w:type="dxa"/>
            <w:vAlign w:val="center"/>
          </w:tcPr>
          <w:p w14:paraId="79003C08">
            <w:pPr>
              <w:jc w:val="center"/>
              <w:rPr>
                <w:rFonts w:ascii="宋体" w:hAnsi="宋体" w:cs="宋体"/>
                <w:bCs/>
                <w:szCs w:val="21"/>
              </w:rPr>
            </w:pPr>
          </w:p>
        </w:tc>
        <w:tc>
          <w:tcPr>
            <w:tcW w:w="932" w:type="dxa"/>
            <w:vAlign w:val="center"/>
          </w:tcPr>
          <w:p w14:paraId="79CE203B">
            <w:pPr>
              <w:jc w:val="center"/>
              <w:rPr>
                <w:rFonts w:ascii="宋体" w:hAnsi="宋体" w:cs="宋体"/>
                <w:bCs/>
                <w:szCs w:val="21"/>
              </w:rPr>
            </w:pPr>
          </w:p>
        </w:tc>
      </w:tr>
      <w:tr w14:paraId="1162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5624BD2C">
            <w:pPr>
              <w:jc w:val="center"/>
              <w:rPr>
                <w:rFonts w:ascii="宋体" w:hAnsi="宋体" w:cs="宋体"/>
                <w:bCs/>
                <w:szCs w:val="21"/>
              </w:rPr>
            </w:pPr>
            <w:r>
              <w:rPr>
                <w:rFonts w:hint="eastAsia" w:ascii="宋体" w:hAnsi="宋体" w:cs="宋体"/>
                <w:bCs/>
                <w:szCs w:val="21"/>
              </w:rPr>
              <w:t>4</w:t>
            </w:r>
          </w:p>
        </w:tc>
        <w:tc>
          <w:tcPr>
            <w:tcW w:w="1253" w:type="dxa"/>
            <w:vAlign w:val="center"/>
          </w:tcPr>
          <w:p w14:paraId="7A235E5C">
            <w:pPr>
              <w:jc w:val="center"/>
              <w:rPr>
                <w:rFonts w:ascii="宋体" w:hAnsi="宋体" w:cs="宋体"/>
                <w:bCs/>
                <w:szCs w:val="21"/>
              </w:rPr>
            </w:pPr>
          </w:p>
        </w:tc>
        <w:tc>
          <w:tcPr>
            <w:tcW w:w="1185" w:type="dxa"/>
            <w:vAlign w:val="center"/>
          </w:tcPr>
          <w:p w14:paraId="0FDD8BFF">
            <w:pPr>
              <w:jc w:val="center"/>
              <w:rPr>
                <w:rFonts w:ascii="宋体" w:hAnsi="宋体" w:cs="宋体"/>
                <w:bCs/>
                <w:szCs w:val="21"/>
              </w:rPr>
            </w:pPr>
          </w:p>
        </w:tc>
        <w:tc>
          <w:tcPr>
            <w:tcW w:w="1055" w:type="dxa"/>
            <w:vAlign w:val="center"/>
          </w:tcPr>
          <w:p w14:paraId="194209EB">
            <w:pPr>
              <w:jc w:val="center"/>
              <w:rPr>
                <w:rFonts w:ascii="宋体" w:hAnsi="宋体" w:cs="宋体"/>
                <w:bCs/>
                <w:szCs w:val="21"/>
              </w:rPr>
            </w:pPr>
          </w:p>
        </w:tc>
        <w:tc>
          <w:tcPr>
            <w:tcW w:w="850" w:type="dxa"/>
            <w:vAlign w:val="center"/>
          </w:tcPr>
          <w:p w14:paraId="2170D509">
            <w:pPr>
              <w:jc w:val="center"/>
              <w:rPr>
                <w:rFonts w:ascii="宋体" w:hAnsi="宋体" w:cs="宋体"/>
                <w:bCs/>
                <w:szCs w:val="21"/>
              </w:rPr>
            </w:pPr>
          </w:p>
        </w:tc>
        <w:tc>
          <w:tcPr>
            <w:tcW w:w="851" w:type="dxa"/>
            <w:vAlign w:val="center"/>
          </w:tcPr>
          <w:p w14:paraId="4F2F2292">
            <w:pPr>
              <w:jc w:val="center"/>
              <w:rPr>
                <w:rFonts w:ascii="宋体" w:hAnsi="宋体" w:cs="宋体"/>
                <w:bCs/>
                <w:szCs w:val="21"/>
              </w:rPr>
            </w:pPr>
          </w:p>
        </w:tc>
        <w:tc>
          <w:tcPr>
            <w:tcW w:w="850" w:type="dxa"/>
            <w:vAlign w:val="center"/>
          </w:tcPr>
          <w:p w14:paraId="16298E87">
            <w:pPr>
              <w:jc w:val="center"/>
              <w:rPr>
                <w:rFonts w:ascii="宋体" w:hAnsi="宋体" w:cs="宋体"/>
                <w:bCs/>
                <w:szCs w:val="21"/>
              </w:rPr>
            </w:pPr>
          </w:p>
        </w:tc>
        <w:tc>
          <w:tcPr>
            <w:tcW w:w="851" w:type="dxa"/>
            <w:vAlign w:val="center"/>
          </w:tcPr>
          <w:p w14:paraId="4C993301">
            <w:pPr>
              <w:jc w:val="center"/>
              <w:rPr>
                <w:rFonts w:ascii="宋体" w:hAnsi="宋体" w:cs="宋体"/>
                <w:bCs/>
                <w:szCs w:val="21"/>
              </w:rPr>
            </w:pPr>
          </w:p>
        </w:tc>
        <w:tc>
          <w:tcPr>
            <w:tcW w:w="850" w:type="dxa"/>
            <w:vAlign w:val="center"/>
          </w:tcPr>
          <w:p w14:paraId="25E0AE81">
            <w:pPr>
              <w:jc w:val="center"/>
              <w:rPr>
                <w:rFonts w:ascii="宋体" w:hAnsi="宋体" w:cs="宋体"/>
                <w:bCs/>
                <w:szCs w:val="21"/>
              </w:rPr>
            </w:pPr>
          </w:p>
        </w:tc>
        <w:tc>
          <w:tcPr>
            <w:tcW w:w="932" w:type="dxa"/>
            <w:vAlign w:val="center"/>
          </w:tcPr>
          <w:p w14:paraId="644806D2">
            <w:pPr>
              <w:jc w:val="center"/>
              <w:rPr>
                <w:rFonts w:ascii="宋体" w:hAnsi="宋体" w:cs="宋体"/>
                <w:bCs/>
                <w:szCs w:val="21"/>
              </w:rPr>
            </w:pPr>
          </w:p>
        </w:tc>
      </w:tr>
      <w:tr w14:paraId="354B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45" w:type="dxa"/>
            <w:vAlign w:val="center"/>
          </w:tcPr>
          <w:p w14:paraId="1A915218">
            <w:pPr>
              <w:jc w:val="center"/>
              <w:rPr>
                <w:rFonts w:ascii="宋体" w:hAnsi="宋体" w:cs="宋体"/>
                <w:bCs/>
                <w:szCs w:val="21"/>
              </w:rPr>
            </w:pPr>
            <w:r>
              <w:rPr>
                <w:rFonts w:hint="eastAsia" w:ascii="宋体" w:hAnsi="宋体" w:cs="宋体"/>
                <w:bCs/>
                <w:szCs w:val="21"/>
              </w:rPr>
              <w:t>5</w:t>
            </w:r>
          </w:p>
        </w:tc>
        <w:tc>
          <w:tcPr>
            <w:tcW w:w="1253" w:type="dxa"/>
            <w:vAlign w:val="center"/>
          </w:tcPr>
          <w:p w14:paraId="0C7E7E97">
            <w:pPr>
              <w:jc w:val="center"/>
              <w:rPr>
                <w:rFonts w:ascii="宋体" w:hAnsi="宋体" w:cs="宋体"/>
                <w:bCs/>
                <w:szCs w:val="21"/>
              </w:rPr>
            </w:pPr>
          </w:p>
        </w:tc>
        <w:tc>
          <w:tcPr>
            <w:tcW w:w="1185" w:type="dxa"/>
            <w:vAlign w:val="center"/>
          </w:tcPr>
          <w:p w14:paraId="159F43A9">
            <w:pPr>
              <w:jc w:val="center"/>
              <w:rPr>
                <w:rFonts w:ascii="宋体" w:hAnsi="宋体" w:cs="宋体"/>
                <w:bCs/>
                <w:szCs w:val="21"/>
              </w:rPr>
            </w:pPr>
          </w:p>
        </w:tc>
        <w:tc>
          <w:tcPr>
            <w:tcW w:w="1055" w:type="dxa"/>
            <w:vAlign w:val="center"/>
          </w:tcPr>
          <w:p w14:paraId="7D93D05D">
            <w:pPr>
              <w:jc w:val="center"/>
              <w:rPr>
                <w:rFonts w:ascii="宋体" w:hAnsi="宋体" w:cs="宋体"/>
                <w:bCs/>
                <w:szCs w:val="21"/>
              </w:rPr>
            </w:pPr>
          </w:p>
        </w:tc>
        <w:tc>
          <w:tcPr>
            <w:tcW w:w="850" w:type="dxa"/>
            <w:vAlign w:val="center"/>
          </w:tcPr>
          <w:p w14:paraId="51D70D2C">
            <w:pPr>
              <w:jc w:val="center"/>
              <w:rPr>
                <w:rFonts w:ascii="宋体" w:hAnsi="宋体" w:cs="宋体"/>
                <w:bCs/>
                <w:szCs w:val="21"/>
              </w:rPr>
            </w:pPr>
          </w:p>
        </w:tc>
        <w:tc>
          <w:tcPr>
            <w:tcW w:w="851" w:type="dxa"/>
            <w:vAlign w:val="center"/>
          </w:tcPr>
          <w:p w14:paraId="64050EB9">
            <w:pPr>
              <w:jc w:val="center"/>
              <w:rPr>
                <w:rFonts w:ascii="宋体" w:hAnsi="宋体" w:cs="宋体"/>
                <w:bCs/>
                <w:szCs w:val="21"/>
              </w:rPr>
            </w:pPr>
          </w:p>
        </w:tc>
        <w:tc>
          <w:tcPr>
            <w:tcW w:w="850" w:type="dxa"/>
            <w:vAlign w:val="center"/>
          </w:tcPr>
          <w:p w14:paraId="18A6DF13">
            <w:pPr>
              <w:jc w:val="center"/>
              <w:rPr>
                <w:rFonts w:ascii="宋体" w:hAnsi="宋体" w:cs="宋体"/>
                <w:bCs/>
                <w:szCs w:val="21"/>
              </w:rPr>
            </w:pPr>
          </w:p>
        </w:tc>
        <w:tc>
          <w:tcPr>
            <w:tcW w:w="851" w:type="dxa"/>
            <w:vAlign w:val="center"/>
          </w:tcPr>
          <w:p w14:paraId="10059AEC">
            <w:pPr>
              <w:jc w:val="center"/>
              <w:rPr>
                <w:rFonts w:ascii="宋体" w:hAnsi="宋体" w:cs="宋体"/>
                <w:bCs/>
                <w:szCs w:val="21"/>
              </w:rPr>
            </w:pPr>
          </w:p>
        </w:tc>
        <w:tc>
          <w:tcPr>
            <w:tcW w:w="850" w:type="dxa"/>
            <w:vAlign w:val="center"/>
          </w:tcPr>
          <w:p w14:paraId="5013AB49">
            <w:pPr>
              <w:jc w:val="center"/>
              <w:rPr>
                <w:rFonts w:ascii="宋体" w:hAnsi="宋体" w:cs="宋体"/>
                <w:bCs/>
                <w:szCs w:val="21"/>
              </w:rPr>
            </w:pPr>
          </w:p>
        </w:tc>
        <w:tc>
          <w:tcPr>
            <w:tcW w:w="932" w:type="dxa"/>
            <w:vAlign w:val="center"/>
          </w:tcPr>
          <w:p w14:paraId="42ADB470">
            <w:pPr>
              <w:jc w:val="center"/>
              <w:rPr>
                <w:rFonts w:ascii="宋体" w:hAnsi="宋体" w:cs="宋体"/>
                <w:bCs/>
                <w:szCs w:val="21"/>
              </w:rPr>
            </w:pPr>
          </w:p>
        </w:tc>
      </w:tr>
      <w:tr w14:paraId="32DA7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845" w:type="dxa"/>
            <w:vAlign w:val="center"/>
          </w:tcPr>
          <w:p w14:paraId="58E2C292">
            <w:pPr>
              <w:jc w:val="center"/>
              <w:rPr>
                <w:rFonts w:ascii="宋体" w:hAnsi="宋体" w:cs="宋体"/>
                <w:bCs/>
                <w:szCs w:val="21"/>
              </w:rPr>
            </w:pPr>
            <w:bookmarkStart w:id="85" w:name="OLE_LINK3"/>
            <w:r>
              <w:rPr>
                <w:rFonts w:hint="eastAsia" w:ascii="宋体" w:hAnsi="宋体" w:cs="宋体"/>
                <w:bCs/>
                <w:szCs w:val="21"/>
              </w:rPr>
              <w:t>…</w:t>
            </w:r>
            <w:bookmarkEnd w:id="85"/>
          </w:p>
        </w:tc>
        <w:tc>
          <w:tcPr>
            <w:tcW w:w="1253" w:type="dxa"/>
            <w:vAlign w:val="center"/>
          </w:tcPr>
          <w:p w14:paraId="28EC48B1">
            <w:pPr>
              <w:jc w:val="center"/>
              <w:rPr>
                <w:rFonts w:ascii="宋体" w:hAnsi="宋体" w:cs="宋体"/>
                <w:bCs/>
                <w:szCs w:val="21"/>
              </w:rPr>
            </w:pPr>
          </w:p>
        </w:tc>
        <w:tc>
          <w:tcPr>
            <w:tcW w:w="1185" w:type="dxa"/>
            <w:vAlign w:val="center"/>
          </w:tcPr>
          <w:p w14:paraId="43F59FA5">
            <w:pPr>
              <w:jc w:val="center"/>
              <w:rPr>
                <w:rFonts w:ascii="宋体" w:hAnsi="宋体" w:cs="宋体"/>
                <w:bCs/>
                <w:szCs w:val="21"/>
              </w:rPr>
            </w:pPr>
          </w:p>
        </w:tc>
        <w:tc>
          <w:tcPr>
            <w:tcW w:w="1055" w:type="dxa"/>
            <w:vAlign w:val="center"/>
          </w:tcPr>
          <w:p w14:paraId="7840C0DE">
            <w:pPr>
              <w:jc w:val="center"/>
              <w:rPr>
                <w:rFonts w:ascii="宋体" w:hAnsi="宋体" w:cs="宋体"/>
                <w:bCs/>
                <w:szCs w:val="21"/>
              </w:rPr>
            </w:pPr>
          </w:p>
        </w:tc>
        <w:tc>
          <w:tcPr>
            <w:tcW w:w="850" w:type="dxa"/>
            <w:vAlign w:val="center"/>
          </w:tcPr>
          <w:p w14:paraId="5E825C72">
            <w:pPr>
              <w:jc w:val="center"/>
              <w:rPr>
                <w:rFonts w:ascii="宋体" w:hAnsi="宋体" w:cs="宋体"/>
                <w:bCs/>
                <w:szCs w:val="21"/>
              </w:rPr>
            </w:pPr>
          </w:p>
        </w:tc>
        <w:tc>
          <w:tcPr>
            <w:tcW w:w="851" w:type="dxa"/>
            <w:vAlign w:val="center"/>
          </w:tcPr>
          <w:p w14:paraId="34A46020">
            <w:pPr>
              <w:jc w:val="center"/>
              <w:rPr>
                <w:rFonts w:ascii="宋体" w:hAnsi="宋体" w:cs="宋体"/>
                <w:bCs/>
                <w:szCs w:val="21"/>
              </w:rPr>
            </w:pPr>
          </w:p>
        </w:tc>
        <w:tc>
          <w:tcPr>
            <w:tcW w:w="850" w:type="dxa"/>
            <w:vAlign w:val="center"/>
          </w:tcPr>
          <w:p w14:paraId="7A572103">
            <w:pPr>
              <w:jc w:val="center"/>
              <w:rPr>
                <w:rFonts w:ascii="宋体" w:hAnsi="宋体" w:cs="宋体"/>
                <w:bCs/>
                <w:szCs w:val="21"/>
              </w:rPr>
            </w:pPr>
          </w:p>
        </w:tc>
        <w:tc>
          <w:tcPr>
            <w:tcW w:w="851" w:type="dxa"/>
            <w:vAlign w:val="center"/>
          </w:tcPr>
          <w:p w14:paraId="4F6C2099">
            <w:pPr>
              <w:jc w:val="center"/>
              <w:rPr>
                <w:rFonts w:ascii="宋体" w:hAnsi="宋体" w:cs="宋体"/>
                <w:bCs/>
                <w:szCs w:val="21"/>
              </w:rPr>
            </w:pPr>
          </w:p>
        </w:tc>
        <w:tc>
          <w:tcPr>
            <w:tcW w:w="850" w:type="dxa"/>
            <w:vAlign w:val="center"/>
          </w:tcPr>
          <w:p w14:paraId="05B7B948">
            <w:pPr>
              <w:jc w:val="center"/>
              <w:rPr>
                <w:rFonts w:ascii="宋体" w:hAnsi="宋体" w:cs="宋体"/>
                <w:bCs/>
                <w:szCs w:val="21"/>
              </w:rPr>
            </w:pPr>
          </w:p>
        </w:tc>
        <w:tc>
          <w:tcPr>
            <w:tcW w:w="932" w:type="dxa"/>
            <w:vAlign w:val="center"/>
          </w:tcPr>
          <w:p w14:paraId="7C7E05B2">
            <w:pPr>
              <w:jc w:val="center"/>
              <w:rPr>
                <w:rFonts w:ascii="宋体" w:hAnsi="宋体" w:cs="宋体"/>
                <w:bCs/>
                <w:szCs w:val="21"/>
              </w:rPr>
            </w:pPr>
          </w:p>
        </w:tc>
      </w:tr>
    </w:tbl>
    <w:p w14:paraId="1C179157">
      <w:pPr>
        <w:spacing w:after="120"/>
        <w:rPr>
          <w:rFonts w:ascii="宋体" w:hAnsi="宋体" w:cs="宋体"/>
        </w:rPr>
      </w:pPr>
    </w:p>
    <w:p w14:paraId="1CD059A1">
      <w:pPr>
        <w:wordWrap w:val="0"/>
        <w:overflowPunct w:val="0"/>
        <w:spacing w:before="156" w:beforeLines="50" w:after="156" w:afterLines="50" w:line="360" w:lineRule="auto"/>
        <w:jc w:val="left"/>
        <w:rPr>
          <w:rFonts w:ascii="宋体" w:hAnsi="宋体" w:cs="宋体"/>
          <w:szCs w:val="20"/>
        </w:rPr>
      </w:pPr>
      <w:r>
        <w:rPr>
          <w:rFonts w:hint="eastAsia" w:ascii="宋体" w:hAnsi="宋体" w:cs="宋体"/>
          <w:szCs w:val="20"/>
        </w:rPr>
        <w:t>注：1.投标人根据需要可在本表中自行增加更为详细的报价说明</w:t>
      </w:r>
    </w:p>
    <w:p w14:paraId="1EFB5A8A">
      <w:pPr>
        <w:wordWrap w:val="0"/>
        <w:overflowPunct w:val="0"/>
        <w:spacing w:before="156" w:beforeLines="50" w:after="156" w:afterLines="50" w:line="360" w:lineRule="auto"/>
        <w:ind w:firstLine="420" w:firstLineChars="200"/>
        <w:jc w:val="left"/>
        <w:rPr>
          <w:rFonts w:ascii="宋体" w:hAnsi="宋体" w:cs="宋体"/>
          <w:sz w:val="24"/>
          <w:szCs w:val="20"/>
        </w:rPr>
      </w:pPr>
      <w:r>
        <w:rPr>
          <w:rFonts w:hint="eastAsia" w:ascii="宋体" w:hAnsi="宋体" w:cs="宋体"/>
          <w:szCs w:val="20"/>
        </w:rPr>
        <w:t>2.包含设备</w:t>
      </w:r>
      <w:r>
        <w:rPr>
          <w:rFonts w:hint="eastAsia" w:ascii="宋体" w:hAnsi="宋体" w:cs="宋体"/>
          <w:szCs w:val="20"/>
          <w:lang w:val="en-US" w:eastAsia="zh-CN"/>
        </w:rPr>
        <w:t>及软硬件</w:t>
      </w:r>
      <w:r>
        <w:rPr>
          <w:rFonts w:hint="eastAsia" w:ascii="宋体" w:hAnsi="宋体" w:cs="宋体"/>
          <w:szCs w:val="20"/>
        </w:rPr>
        <w:t>价、备品备件价、检验费、包装费、装卸费、运输费、税金（含关税、增值税。税金最终按甲方规定执行）、安装调试费、检测验收费、培训费及其他所有费用，均包含在投标报价中。</w:t>
      </w:r>
    </w:p>
    <w:p w14:paraId="13C51EDC">
      <w:pPr>
        <w:spacing w:line="360" w:lineRule="auto"/>
        <w:jc w:val="right"/>
        <w:rPr>
          <w:rFonts w:ascii="宋体" w:hAnsi="宋体" w:cs="宋体"/>
          <w:bCs/>
          <w:szCs w:val="21"/>
        </w:rPr>
      </w:pPr>
      <w:r>
        <w:rPr>
          <w:rFonts w:hint="eastAsia" w:ascii="宋体" w:hAnsi="宋体" w:cs="宋体"/>
          <w:bCs/>
          <w:szCs w:val="21"/>
        </w:rPr>
        <w:t>投标人：                （电子签章）</w:t>
      </w:r>
    </w:p>
    <w:p w14:paraId="397058CE">
      <w:pPr>
        <w:spacing w:line="360" w:lineRule="auto"/>
        <w:jc w:val="right"/>
        <w:rPr>
          <w:rFonts w:ascii="宋体" w:hAnsi="宋体" w:cs="宋体"/>
          <w:bCs/>
          <w:szCs w:val="21"/>
        </w:rPr>
      </w:pPr>
      <w:r>
        <w:rPr>
          <w:rFonts w:hint="eastAsia" w:ascii="宋体" w:hAnsi="宋体" w:cs="宋体"/>
          <w:bCs/>
          <w:szCs w:val="21"/>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bCs/>
          <w:szCs w:val="21"/>
        </w:rPr>
        <w:t>：            （电子签章或签字）</w:t>
      </w:r>
    </w:p>
    <w:p w14:paraId="0EC45908">
      <w:pPr>
        <w:spacing w:line="360" w:lineRule="auto"/>
        <w:jc w:val="right"/>
        <w:rPr>
          <w:rFonts w:ascii="宋体" w:hAnsi="宋体" w:cs="宋体"/>
          <w:bCs/>
          <w:szCs w:val="21"/>
        </w:rPr>
      </w:pPr>
      <w:r>
        <w:rPr>
          <w:rFonts w:hint="eastAsia" w:ascii="宋体" w:hAnsi="宋体" w:cs="宋体"/>
          <w:bCs/>
          <w:szCs w:val="21"/>
        </w:rPr>
        <w:t>日期：</w:t>
      </w:r>
      <w:bookmarkStart w:id="86" w:name="_Toc71269879"/>
      <w:bookmarkStart w:id="87" w:name="_Toc31976"/>
      <w:bookmarkStart w:id="88" w:name="_Toc70398873"/>
    </w:p>
    <w:p w14:paraId="6BA4CD23">
      <w:pPr>
        <w:spacing w:line="360" w:lineRule="auto"/>
        <w:jc w:val="right"/>
        <w:rPr>
          <w:rFonts w:ascii="宋体" w:hAnsi="宋体" w:cs="宋体"/>
          <w:bCs/>
          <w:szCs w:val="21"/>
        </w:rPr>
      </w:pPr>
    </w:p>
    <w:p w14:paraId="31EDFF8A">
      <w:pPr>
        <w:spacing w:line="360" w:lineRule="auto"/>
        <w:rPr>
          <w:rFonts w:ascii="宋体" w:hAnsi="宋体" w:cs="宋体"/>
          <w:bCs/>
          <w:szCs w:val="21"/>
        </w:rPr>
      </w:pPr>
    </w:p>
    <w:p w14:paraId="7D5ACEAF">
      <w:pPr>
        <w:pStyle w:val="2"/>
      </w:pPr>
    </w:p>
    <w:p w14:paraId="19EF9723">
      <w:pPr>
        <w:spacing w:line="360" w:lineRule="auto"/>
        <w:jc w:val="center"/>
        <w:rPr>
          <w:rFonts w:ascii="宋体" w:hAnsi="宋体" w:cs="宋体"/>
          <w:sz w:val="28"/>
          <w:szCs w:val="28"/>
        </w:rPr>
      </w:pPr>
      <w:r>
        <w:rPr>
          <w:rFonts w:hint="eastAsia" w:ascii="宋体" w:hAnsi="宋体" w:cs="宋体"/>
          <w:kern w:val="0"/>
          <w:sz w:val="28"/>
          <w:szCs w:val="28"/>
        </w:rPr>
        <w:t>（二）</w:t>
      </w:r>
      <w:r>
        <w:rPr>
          <w:rFonts w:hint="eastAsia" w:ascii="宋体" w:hAnsi="宋体" w:cs="宋体"/>
          <w:sz w:val="28"/>
          <w:szCs w:val="28"/>
        </w:rPr>
        <w:t>技术</w:t>
      </w:r>
      <w:r>
        <w:rPr>
          <w:rFonts w:hint="eastAsia" w:ascii="宋体" w:hAnsi="宋体" w:cs="宋体"/>
          <w:sz w:val="28"/>
          <w:szCs w:val="28"/>
          <w:lang w:val="en-US" w:eastAsia="zh-CN"/>
        </w:rPr>
        <w:t>参数</w:t>
      </w:r>
      <w:r>
        <w:rPr>
          <w:rFonts w:hint="eastAsia" w:ascii="宋体" w:hAnsi="宋体" w:cs="宋体"/>
          <w:sz w:val="28"/>
          <w:szCs w:val="28"/>
        </w:rPr>
        <w:t>偏离表</w:t>
      </w:r>
      <w:bookmarkEnd w:id="86"/>
      <w:bookmarkEnd w:id="87"/>
      <w:bookmarkEnd w:id="8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068"/>
        <w:gridCol w:w="2220"/>
        <w:gridCol w:w="2071"/>
        <w:gridCol w:w="1099"/>
        <w:gridCol w:w="904"/>
      </w:tblGrid>
      <w:tr w14:paraId="2AB9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0"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D0CC042">
            <w:pPr>
              <w:spacing w:line="480" w:lineRule="exact"/>
              <w:jc w:val="center"/>
              <w:rPr>
                <w:rFonts w:ascii="宋体" w:hAnsi="宋体" w:cs="宋体"/>
                <w:szCs w:val="21"/>
              </w:rPr>
            </w:pPr>
            <w:r>
              <w:rPr>
                <w:rFonts w:hint="eastAsia" w:ascii="宋体" w:hAnsi="宋体" w:cs="宋体"/>
                <w:szCs w:val="21"/>
              </w:rPr>
              <w:t>序号</w:t>
            </w:r>
          </w:p>
        </w:tc>
        <w:tc>
          <w:tcPr>
            <w:tcW w:w="2068" w:type="dxa"/>
            <w:tcBorders>
              <w:top w:val="single" w:color="auto" w:sz="4" w:space="0"/>
              <w:left w:val="nil"/>
              <w:bottom w:val="single" w:color="auto" w:sz="4" w:space="0"/>
              <w:right w:val="single" w:color="auto" w:sz="4" w:space="0"/>
            </w:tcBorders>
            <w:vAlign w:val="center"/>
          </w:tcPr>
          <w:p w14:paraId="00696032">
            <w:pPr>
              <w:spacing w:line="480" w:lineRule="exact"/>
              <w:jc w:val="center"/>
              <w:rPr>
                <w:rFonts w:ascii="宋体" w:hAnsi="宋体" w:cs="宋体"/>
                <w:szCs w:val="21"/>
              </w:rPr>
            </w:pPr>
            <w:r>
              <w:rPr>
                <w:rFonts w:hint="eastAsia" w:ascii="宋体" w:hAnsi="宋体" w:cs="宋体"/>
                <w:szCs w:val="21"/>
              </w:rPr>
              <w:t>货物名称</w:t>
            </w:r>
          </w:p>
        </w:tc>
        <w:tc>
          <w:tcPr>
            <w:tcW w:w="2220" w:type="dxa"/>
            <w:tcBorders>
              <w:top w:val="single" w:color="auto" w:sz="4" w:space="0"/>
              <w:left w:val="nil"/>
              <w:bottom w:val="single" w:color="auto" w:sz="4" w:space="0"/>
              <w:right w:val="single" w:color="auto" w:sz="4" w:space="0"/>
            </w:tcBorders>
            <w:vAlign w:val="center"/>
          </w:tcPr>
          <w:p w14:paraId="0F3B4D98">
            <w:pPr>
              <w:spacing w:line="480" w:lineRule="exact"/>
              <w:jc w:val="center"/>
              <w:rPr>
                <w:rFonts w:ascii="宋体" w:hAnsi="宋体" w:cs="宋体"/>
                <w:szCs w:val="21"/>
              </w:rPr>
            </w:pPr>
            <w:r>
              <w:rPr>
                <w:rFonts w:hint="eastAsia" w:ascii="宋体" w:hAnsi="宋体" w:cs="宋体"/>
                <w:szCs w:val="21"/>
              </w:rPr>
              <w:t>招标文件要求参数</w:t>
            </w:r>
          </w:p>
        </w:tc>
        <w:tc>
          <w:tcPr>
            <w:tcW w:w="2071" w:type="dxa"/>
            <w:tcBorders>
              <w:top w:val="single" w:color="auto" w:sz="4" w:space="0"/>
              <w:left w:val="nil"/>
              <w:bottom w:val="single" w:color="auto" w:sz="4" w:space="0"/>
              <w:right w:val="single" w:color="auto" w:sz="4" w:space="0"/>
            </w:tcBorders>
            <w:vAlign w:val="center"/>
          </w:tcPr>
          <w:p w14:paraId="31F6535B">
            <w:pPr>
              <w:spacing w:line="480" w:lineRule="exact"/>
              <w:jc w:val="center"/>
              <w:rPr>
                <w:rFonts w:ascii="宋体" w:hAnsi="宋体" w:cs="宋体"/>
                <w:szCs w:val="21"/>
              </w:rPr>
            </w:pPr>
            <w:r>
              <w:rPr>
                <w:rFonts w:hint="eastAsia" w:ascii="宋体" w:hAnsi="宋体" w:cs="宋体"/>
                <w:szCs w:val="21"/>
              </w:rPr>
              <w:t>投标</w:t>
            </w:r>
            <w:r>
              <w:rPr>
                <w:rFonts w:hint="eastAsia" w:ascii="宋体" w:hAnsi="宋体" w:cs="宋体"/>
                <w:szCs w:val="21"/>
                <w:lang w:val="en-US" w:eastAsia="zh-CN"/>
              </w:rPr>
              <w:t>响应技术</w:t>
            </w:r>
            <w:r>
              <w:rPr>
                <w:rFonts w:hint="eastAsia" w:ascii="宋体" w:hAnsi="宋体" w:cs="宋体"/>
                <w:szCs w:val="21"/>
              </w:rPr>
              <w:t>参数</w:t>
            </w:r>
          </w:p>
        </w:tc>
        <w:tc>
          <w:tcPr>
            <w:tcW w:w="1099" w:type="dxa"/>
            <w:tcBorders>
              <w:top w:val="single" w:color="auto" w:sz="4" w:space="0"/>
              <w:left w:val="nil"/>
              <w:bottom w:val="single" w:color="auto" w:sz="4" w:space="0"/>
              <w:right w:val="single" w:color="auto" w:sz="4" w:space="0"/>
            </w:tcBorders>
            <w:vAlign w:val="center"/>
          </w:tcPr>
          <w:p w14:paraId="2D69332A">
            <w:pPr>
              <w:spacing w:line="480" w:lineRule="exact"/>
              <w:jc w:val="center"/>
              <w:rPr>
                <w:rFonts w:ascii="宋体" w:hAnsi="宋体" w:cs="宋体"/>
                <w:szCs w:val="21"/>
              </w:rPr>
            </w:pPr>
            <w:r>
              <w:rPr>
                <w:rFonts w:hint="eastAsia" w:ascii="宋体" w:hAnsi="宋体" w:cs="宋体"/>
                <w:szCs w:val="21"/>
              </w:rPr>
              <w:t>偏离</w:t>
            </w:r>
          </w:p>
          <w:p w14:paraId="55F01613">
            <w:pPr>
              <w:spacing w:line="480" w:lineRule="exact"/>
              <w:jc w:val="center"/>
              <w:rPr>
                <w:rFonts w:ascii="宋体" w:hAnsi="宋体" w:cs="宋体"/>
                <w:szCs w:val="21"/>
              </w:rPr>
            </w:pPr>
            <w:r>
              <w:rPr>
                <w:rFonts w:hint="eastAsia" w:ascii="宋体" w:hAnsi="宋体" w:cs="宋体"/>
                <w:szCs w:val="21"/>
              </w:rPr>
              <w:t>(正/负)</w:t>
            </w:r>
          </w:p>
        </w:tc>
        <w:tc>
          <w:tcPr>
            <w:tcW w:w="904" w:type="dxa"/>
            <w:tcBorders>
              <w:top w:val="single" w:color="auto" w:sz="4" w:space="0"/>
              <w:left w:val="nil"/>
              <w:bottom w:val="single" w:color="auto" w:sz="4" w:space="0"/>
              <w:right w:val="single" w:color="auto" w:sz="4" w:space="0"/>
            </w:tcBorders>
            <w:vAlign w:val="center"/>
          </w:tcPr>
          <w:p w14:paraId="35BC565A">
            <w:pPr>
              <w:spacing w:line="480" w:lineRule="exact"/>
              <w:jc w:val="center"/>
              <w:rPr>
                <w:rFonts w:ascii="宋体" w:hAnsi="宋体" w:cs="宋体"/>
                <w:szCs w:val="21"/>
              </w:rPr>
            </w:pPr>
            <w:r>
              <w:rPr>
                <w:rFonts w:hint="eastAsia" w:ascii="宋体" w:hAnsi="宋体" w:cs="宋体"/>
                <w:szCs w:val="21"/>
              </w:rPr>
              <w:t>说明</w:t>
            </w:r>
          </w:p>
        </w:tc>
      </w:tr>
      <w:tr w14:paraId="46DCD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BD9868E">
            <w:pPr>
              <w:spacing w:line="480" w:lineRule="exact"/>
              <w:jc w:val="center"/>
              <w:rPr>
                <w:rFonts w:ascii="宋体" w:hAnsi="宋体" w:cs="宋体"/>
                <w:szCs w:val="21"/>
              </w:rPr>
            </w:pPr>
            <w:r>
              <w:rPr>
                <w:rFonts w:hint="eastAsia" w:ascii="宋体" w:hAnsi="宋体" w:cs="宋体"/>
                <w:szCs w:val="21"/>
              </w:rPr>
              <w:t>1</w:t>
            </w:r>
          </w:p>
        </w:tc>
        <w:tc>
          <w:tcPr>
            <w:tcW w:w="2068" w:type="dxa"/>
            <w:tcBorders>
              <w:top w:val="single" w:color="auto" w:sz="4" w:space="0"/>
              <w:left w:val="nil"/>
              <w:bottom w:val="single" w:color="auto" w:sz="4" w:space="0"/>
              <w:right w:val="single" w:color="auto" w:sz="4" w:space="0"/>
            </w:tcBorders>
            <w:vAlign w:val="center"/>
          </w:tcPr>
          <w:p w14:paraId="5679469C">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69ECC152">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549C8EDD">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34500DF2">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5E44916A">
            <w:pPr>
              <w:spacing w:line="480" w:lineRule="exact"/>
              <w:jc w:val="center"/>
              <w:rPr>
                <w:rFonts w:ascii="宋体" w:hAnsi="宋体" w:cs="宋体"/>
                <w:szCs w:val="21"/>
              </w:rPr>
            </w:pPr>
          </w:p>
        </w:tc>
      </w:tr>
      <w:tr w14:paraId="072B6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49171369">
            <w:pPr>
              <w:spacing w:line="480" w:lineRule="exact"/>
              <w:jc w:val="center"/>
              <w:rPr>
                <w:rFonts w:ascii="宋体" w:hAnsi="宋体" w:cs="宋体"/>
                <w:szCs w:val="21"/>
              </w:rPr>
            </w:pPr>
            <w:r>
              <w:rPr>
                <w:rFonts w:hint="eastAsia" w:ascii="宋体" w:hAnsi="宋体" w:cs="宋体"/>
                <w:szCs w:val="21"/>
              </w:rPr>
              <w:t>2</w:t>
            </w:r>
          </w:p>
        </w:tc>
        <w:tc>
          <w:tcPr>
            <w:tcW w:w="2068" w:type="dxa"/>
            <w:tcBorders>
              <w:top w:val="single" w:color="auto" w:sz="4" w:space="0"/>
              <w:left w:val="nil"/>
              <w:bottom w:val="single" w:color="auto" w:sz="4" w:space="0"/>
              <w:right w:val="single" w:color="auto" w:sz="4" w:space="0"/>
            </w:tcBorders>
            <w:vAlign w:val="center"/>
          </w:tcPr>
          <w:p w14:paraId="16AF619B">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1E8C2BA6">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721D6BCF">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7E189CC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1A0F5603">
            <w:pPr>
              <w:spacing w:line="480" w:lineRule="exact"/>
              <w:jc w:val="center"/>
              <w:rPr>
                <w:rFonts w:ascii="宋体" w:hAnsi="宋体" w:cs="宋体"/>
                <w:szCs w:val="21"/>
              </w:rPr>
            </w:pPr>
          </w:p>
        </w:tc>
      </w:tr>
      <w:tr w14:paraId="56AD0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01126A2A">
            <w:pPr>
              <w:spacing w:line="480" w:lineRule="exact"/>
              <w:jc w:val="center"/>
              <w:rPr>
                <w:rFonts w:ascii="宋体" w:hAnsi="宋体" w:cs="宋体"/>
                <w:szCs w:val="21"/>
              </w:rPr>
            </w:pPr>
            <w:r>
              <w:rPr>
                <w:rFonts w:hint="eastAsia" w:ascii="宋体" w:hAnsi="宋体" w:cs="宋体"/>
                <w:szCs w:val="21"/>
              </w:rPr>
              <w:t>3</w:t>
            </w:r>
          </w:p>
        </w:tc>
        <w:tc>
          <w:tcPr>
            <w:tcW w:w="2068" w:type="dxa"/>
            <w:tcBorders>
              <w:top w:val="single" w:color="auto" w:sz="4" w:space="0"/>
              <w:left w:val="nil"/>
              <w:bottom w:val="single" w:color="auto" w:sz="4" w:space="0"/>
              <w:right w:val="single" w:color="auto" w:sz="4" w:space="0"/>
            </w:tcBorders>
            <w:vAlign w:val="center"/>
          </w:tcPr>
          <w:p w14:paraId="6AFCB21C">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3930E242">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251D5600">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290A77B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33A9CAEC">
            <w:pPr>
              <w:spacing w:line="480" w:lineRule="exact"/>
              <w:jc w:val="center"/>
              <w:rPr>
                <w:rFonts w:ascii="宋体" w:hAnsi="宋体" w:cs="宋体"/>
                <w:szCs w:val="21"/>
              </w:rPr>
            </w:pPr>
          </w:p>
        </w:tc>
      </w:tr>
      <w:tr w14:paraId="00F8A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7F4EEDB5">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4</w:t>
            </w:r>
          </w:p>
        </w:tc>
        <w:tc>
          <w:tcPr>
            <w:tcW w:w="2068" w:type="dxa"/>
            <w:tcBorders>
              <w:top w:val="single" w:color="auto" w:sz="4" w:space="0"/>
              <w:left w:val="nil"/>
              <w:bottom w:val="single" w:color="auto" w:sz="4" w:space="0"/>
              <w:right w:val="single" w:color="auto" w:sz="4" w:space="0"/>
            </w:tcBorders>
            <w:vAlign w:val="center"/>
          </w:tcPr>
          <w:p w14:paraId="7BE1D244">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25894F0D">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042D4A99">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39DB2DA">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0E29FD5D">
            <w:pPr>
              <w:spacing w:line="480" w:lineRule="exact"/>
              <w:jc w:val="center"/>
              <w:rPr>
                <w:rFonts w:ascii="宋体" w:hAnsi="宋体" w:cs="宋体"/>
                <w:szCs w:val="21"/>
              </w:rPr>
            </w:pPr>
          </w:p>
        </w:tc>
      </w:tr>
      <w:tr w14:paraId="088FA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15EA8BA4">
            <w:pPr>
              <w:spacing w:line="480" w:lineRule="exact"/>
              <w:jc w:val="center"/>
              <w:rPr>
                <w:rFonts w:hint="eastAsia" w:ascii="宋体" w:hAnsi="宋体" w:cs="宋体" w:eastAsiaTheme="minorEastAsia"/>
                <w:szCs w:val="21"/>
                <w:lang w:val="en-US" w:eastAsia="zh-CN"/>
              </w:rPr>
            </w:pPr>
            <w:r>
              <w:rPr>
                <w:rFonts w:hint="eastAsia" w:ascii="宋体" w:hAnsi="宋体" w:cs="宋体"/>
                <w:szCs w:val="21"/>
                <w:lang w:val="en-US" w:eastAsia="zh-CN"/>
              </w:rPr>
              <w:t>5</w:t>
            </w:r>
          </w:p>
        </w:tc>
        <w:tc>
          <w:tcPr>
            <w:tcW w:w="2068" w:type="dxa"/>
            <w:tcBorders>
              <w:top w:val="single" w:color="auto" w:sz="4" w:space="0"/>
              <w:left w:val="nil"/>
              <w:bottom w:val="single" w:color="auto" w:sz="4" w:space="0"/>
              <w:right w:val="single" w:color="auto" w:sz="4" w:space="0"/>
            </w:tcBorders>
            <w:vAlign w:val="center"/>
          </w:tcPr>
          <w:p w14:paraId="28191EE0">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0E49C76A">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3C41443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13BE641F">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22A01793">
            <w:pPr>
              <w:spacing w:line="480" w:lineRule="exact"/>
              <w:jc w:val="center"/>
              <w:rPr>
                <w:rFonts w:ascii="宋体" w:hAnsi="宋体" w:cs="宋体"/>
                <w:szCs w:val="21"/>
              </w:rPr>
            </w:pPr>
          </w:p>
        </w:tc>
      </w:tr>
      <w:tr w14:paraId="2702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818" w:type="dxa"/>
            <w:tcBorders>
              <w:top w:val="single" w:color="auto" w:sz="4" w:space="0"/>
              <w:left w:val="single" w:color="auto" w:sz="4" w:space="0"/>
              <w:bottom w:val="single" w:color="auto" w:sz="4" w:space="0"/>
              <w:right w:val="single" w:color="auto" w:sz="4" w:space="0"/>
            </w:tcBorders>
            <w:vAlign w:val="center"/>
          </w:tcPr>
          <w:p w14:paraId="539E2003">
            <w:pPr>
              <w:spacing w:line="480" w:lineRule="exact"/>
              <w:jc w:val="center"/>
              <w:rPr>
                <w:rFonts w:ascii="宋体" w:hAnsi="宋体" w:cs="宋体"/>
                <w:szCs w:val="21"/>
              </w:rPr>
            </w:pPr>
            <w:r>
              <w:rPr>
                <w:rFonts w:hint="eastAsia" w:ascii="宋体" w:hAnsi="宋体" w:cs="宋体"/>
                <w:szCs w:val="21"/>
              </w:rPr>
              <w:t>…</w:t>
            </w:r>
          </w:p>
        </w:tc>
        <w:tc>
          <w:tcPr>
            <w:tcW w:w="2068" w:type="dxa"/>
            <w:tcBorders>
              <w:top w:val="single" w:color="auto" w:sz="4" w:space="0"/>
              <w:left w:val="nil"/>
              <w:bottom w:val="single" w:color="auto" w:sz="4" w:space="0"/>
              <w:right w:val="single" w:color="auto" w:sz="4" w:space="0"/>
            </w:tcBorders>
            <w:vAlign w:val="center"/>
          </w:tcPr>
          <w:p w14:paraId="114E48BA">
            <w:pPr>
              <w:spacing w:line="480" w:lineRule="exact"/>
              <w:jc w:val="center"/>
              <w:rPr>
                <w:rFonts w:ascii="宋体" w:hAnsi="宋体" w:cs="宋体"/>
                <w:szCs w:val="21"/>
              </w:rPr>
            </w:pPr>
          </w:p>
        </w:tc>
        <w:tc>
          <w:tcPr>
            <w:tcW w:w="2220" w:type="dxa"/>
            <w:tcBorders>
              <w:top w:val="single" w:color="auto" w:sz="4" w:space="0"/>
              <w:left w:val="nil"/>
              <w:bottom w:val="single" w:color="auto" w:sz="4" w:space="0"/>
              <w:right w:val="single" w:color="auto" w:sz="4" w:space="0"/>
            </w:tcBorders>
            <w:vAlign w:val="center"/>
          </w:tcPr>
          <w:p w14:paraId="260BCCA9">
            <w:pPr>
              <w:spacing w:line="480" w:lineRule="exact"/>
              <w:jc w:val="center"/>
              <w:rPr>
                <w:rFonts w:ascii="宋体" w:hAnsi="宋体" w:cs="宋体"/>
                <w:szCs w:val="21"/>
              </w:rPr>
            </w:pPr>
          </w:p>
        </w:tc>
        <w:tc>
          <w:tcPr>
            <w:tcW w:w="2071" w:type="dxa"/>
            <w:tcBorders>
              <w:top w:val="single" w:color="auto" w:sz="4" w:space="0"/>
              <w:left w:val="nil"/>
              <w:bottom w:val="single" w:color="auto" w:sz="4" w:space="0"/>
              <w:right w:val="single" w:color="auto" w:sz="4" w:space="0"/>
            </w:tcBorders>
            <w:vAlign w:val="center"/>
          </w:tcPr>
          <w:p w14:paraId="6B804E5A">
            <w:pPr>
              <w:spacing w:line="480" w:lineRule="exact"/>
              <w:jc w:val="center"/>
              <w:rPr>
                <w:rFonts w:ascii="宋体" w:hAnsi="宋体" w:cs="宋体"/>
                <w:szCs w:val="21"/>
              </w:rPr>
            </w:pPr>
          </w:p>
        </w:tc>
        <w:tc>
          <w:tcPr>
            <w:tcW w:w="1099" w:type="dxa"/>
            <w:tcBorders>
              <w:top w:val="single" w:color="auto" w:sz="4" w:space="0"/>
              <w:left w:val="nil"/>
              <w:bottom w:val="single" w:color="auto" w:sz="4" w:space="0"/>
              <w:right w:val="single" w:color="auto" w:sz="4" w:space="0"/>
            </w:tcBorders>
            <w:vAlign w:val="center"/>
          </w:tcPr>
          <w:p w14:paraId="0B311C26">
            <w:pPr>
              <w:spacing w:line="480" w:lineRule="exact"/>
              <w:jc w:val="center"/>
              <w:rPr>
                <w:rFonts w:ascii="宋体" w:hAnsi="宋体" w:cs="宋体"/>
                <w:szCs w:val="21"/>
              </w:rPr>
            </w:pPr>
          </w:p>
        </w:tc>
        <w:tc>
          <w:tcPr>
            <w:tcW w:w="904" w:type="dxa"/>
            <w:tcBorders>
              <w:top w:val="single" w:color="auto" w:sz="4" w:space="0"/>
              <w:left w:val="nil"/>
              <w:bottom w:val="single" w:color="auto" w:sz="4" w:space="0"/>
              <w:right w:val="single" w:color="auto" w:sz="4" w:space="0"/>
            </w:tcBorders>
            <w:vAlign w:val="center"/>
          </w:tcPr>
          <w:p w14:paraId="4FD9397B">
            <w:pPr>
              <w:spacing w:line="480" w:lineRule="exact"/>
              <w:jc w:val="center"/>
              <w:rPr>
                <w:rFonts w:ascii="宋体" w:hAnsi="宋体" w:cs="宋体"/>
                <w:szCs w:val="21"/>
              </w:rPr>
            </w:pPr>
          </w:p>
        </w:tc>
      </w:tr>
    </w:tbl>
    <w:p w14:paraId="722260B7">
      <w:pPr>
        <w:spacing w:line="360" w:lineRule="auto"/>
        <w:jc w:val="right"/>
        <w:rPr>
          <w:rFonts w:ascii="宋体" w:hAnsi="宋体" w:cs="宋体"/>
          <w:bCs/>
          <w:szCs w:val="21"/>
        </w:rPr>
      </w:pPr>
    </w:p>
    <w:p w14:paraId="72ADC015">
      <w:pPr>
        <w:spacing w:line="360" w:lineRule="auto"/>
        <w:jc w:val="left"/>
        <w:rPr>
          <w:rFonts w:hint="eastAsia" w:ascii="宋体" w:hAnsi="宋体" w:cs="宋体"/>
        </w:rPr>
      </w:pPr>
      <w:r>
        <w:rPr>
          <w:rFonts w:hint="eastAsia" w:ascii="宋体" w:hAnsi="宋体" w:cs="宋体"/>
        </w:rPr>
        <w:t>注：投标供应商应对照招标文件技术规格要求，反映所提供货物和服务对招标文件的技术规格要求的全部正/负偏离（优于招标文件要求的为正偏离、低于招标文件要求得为负偏离）情况。</w:t>
      </w:r>
      <w:bookmarkStart w:id="89" w:name="OLE_LINK4"/>
      <w:r>
        <w:rPr>
          <w:rFonts w:hint="eastAsia" w:ascii="宋体" w:hAnsi="宋体" w:cs="宋体"/>
        </w:rPr>
        <w:t>未在本表中做出偏离说明的项目，视为与招标文件要求一致；在本表中做出偏离说明的项目，投标供应商必须提供所投设备的具体参数值，并在</w:t>
      </w:r>
      <w:r>
        <w:rPr>
          <w:rFonts w:hint="eastAsia" w:ascii="宋体" w:hAnsi="宋体" w:cs="宋体"/>
          <w:lang w:val="en-US" w:eastAsia="zh-CN"/>
        </w:rPr>
        <w:t>响应的</w:t>
      </w:r>
      <w:r>
        <w:rPr>
          <w:rFonts w:hint="eastAsia" w:ascii="宋体" w:hAnsi="宋体" w:cs="宋体"/>
        </w:rPr>
        <w:t>技术</w:t>
      </w:r>
      <w:r>
        <w:rPr>
          <w:rFonts w:hint="eastAsia" w:ascii="宋体" w:hAnsi="宋体" w:cs="宋体"/>
          <w:lang w:val="en-US" w:eastAsia="zh-CN"/>
        </w:rPr>
        <w:t>参数</w:t>
      </w:r>
      <w:r>
        <w:rPr>
          <w:rFonts w:hint="eastAsia" w:ascii="宋体" w:hAnsi="宋体" w:cs="宋体"/>
        </w:rPr>
        <w:t>中</w:t>
      </w:r>
      <w:r>
        <w:rPr>
          <w:rFonts w:hint="eastAsia" w:ascii="宋体" w:hAnsi="宋体" w:cs="宋体"/>
          <w:lang w:val="en-US" w:eastAsia="zh-CN"/>
        </w:rPr>
        <w:t>明确标注</w:t>
      </w:r>
      <w:r>
        <w:rPr>
          <w:rFonts w:hint="eastAsia" w:ascii="宋体" w:hAnsi="宋体" w:cs="宋体"/>
        </w:rPr>
        <w:t>。</w:t>
      </w:r>
    </w:p>
    <w:p w14:paraId="46E97947">
      <w:pPr>
        <w:spacing w:line="360" w:lineRule="auto"/>
        <w:jc w:val="left"/>
        <w:rPr>
          <w:rFonts w:ascii="宋体" w:hAnsi="宋体" w:cs="宋体"/>
          <w:bCs/>
          <w:color w:val="FF0000"/>
          <w:szCs w:val="21"/>
        </w:rPr>
      </w:pPr>
      <w:r>
        <w:rPr>
          <w:rFonts w:hint="eastAsia" w:ascii="宋体" w:hAnsi="宋体" w:cs="宋体"/>
        </w:rPr>
        <w:t>注：此表格若不够用，可根据实际自行扩展表格。</w:t>
      </w:r>
    </w:p>
    <w:bookmarkEnd w:id="89"/>
    <w:p w14:paraId="62830D46">
      <w:pPr>
        <w:spacing w:line="360" w:lineRule="auto"/>
        <w:jc w:val="right"/>
        <w:rPr>
          <w:rFonts w:ascii="宋体" w:hAnsi="宋体" w:cs="宋体"/>
          <w:bCs/>
          <w:szCs w:val="21"/>
        </w:rPr>
      </w:pPr>
    </w:p>
    <w:p w14:paraId="5CDDE5B5">
      <w:pPr>
        <w:spacing w:line="360" w:lineRule="auto"/>
        <w:jc w:val="right"/>
        <w:rPr>
          <w:rFonts w:ascii="宋体" w:hAnsi="宋体" w:cs="宋体"/>
          <w:bCs/>
          <w:szCs w:val="21"/>
        </w:rPr>
      </w:pPr>
      <w:r>
        <w:rPr>
          <w:rFonts w:hint="eastAsia" w:ascii="宋体" w:hAnsi="宋体" w:cs="宋体"/>
          <w:bCs/>
          <w:szCs w:val="21"/>
        </w:rPr>
        <w:t>投标人：                （电子签章）</w:t>
      </w:r>
    </w:p>
    <w:p w14:paraId="3560B650">
      <w:pPr>
        <w:spacing w:line="360" w:lineRule="auto"/>
        <w:jc w:val="right"/>
        <w:rPr>
          <w:rFonts w:ascii="宋体" w:hAnsi="宋体" w:cs="宋体"/>
          <w:bCs/>
          <w:szCs w:val="21"/>
        </w:rPr>
      </w:pPr>
      <w:r>
        <w:rPr>
          <w:rFonts w:hint="eastAsia" w:ascii="宋体" w:hAnsi="宋体" w:cs="宋体"/>
          <w:bCs/>
          <w:szCs w:val="21"/>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bCs/>
          <w:szCs w:val="21"/>
        </w:rPr>
        <w:t>：            （电子签章或签字）</w:t>
      </w:r>
    </w:p>
    <w:p w14:paraId="38ACCE65">
      <w:pPr>
        <w:spacing w:line="360" w:lineRule="auto"/>
        <w:jc w:val="right"/>
        <w:rPr>
          <w:rFonts w:ascii="宋体" w:hAnsi="宋体" w:cs="宋体"/>
          <w:bCs/>
          <w:szCs w:val="21"/>
        </w:rPr>
      </w:pPr>
      <w:r>
        <w:rPr>
          <w:rFonts w:hint="eastAsia" w:ascii="宋体" w:hAnsi="宋体" w:cs="宋体"/>
          <w:bCs/>
          <w:szCs w:val="21"/>
        </w:rPr>
        <w:t>日期：</w:t>
      </w:r>
      <w:bookmarkStart w:id="90" w:name="_Toc70398874"/>
      <w:bookmarkStart w:id="91" w:name="_Toc31944"/>
      <w:bookmarkStart w:id="92" w:name="_Toc71269880"/>
    </w:p>
    <w:p w14:paraId="2539A4DB">
      <w:pPr>
        <w:spacing w:line="360" w:lineRule="auto"/>
        <w:jc w:val="center"/>
        <w:rPr>
          <w:rFonts w:ascii="宋体" w:hAnsi="宋体" w:cs="宋体"/>
          <w:kern w:val="0"/>
          <w:sz w:val="28"/>
          <w:szCs w:val="28"/>
        </w:rPr>
      </w:pPr>
    </w:p>
    <w:p w14:paraId="2CDF86DF">
      <w:pPr>
        <w:spacing w:line="360" w:lineRule="auto"/>
        <w:jc w:val="center"/>
        <w:rPr>
          <w:rFonts w:hint="eastAsia" w:ascii="宋体" w:hAnsi="宋体" w:cs="宋体"/>
          <w:kern w:val="0"/>
          <w:sz w:val="28"/>
          <w:szCs w:val="28"/>
        </w:rPr>
      </w:pPr>
    </w:p>
    <w:p w14:paraId="0D0024FC">
      <w:pPr>
        <w:spacing w:line="360" w:lineRule="auto"/>
        <w:jc w:val="center"/>
        <w:rPr>
          <w:rFonts w:ascii="宋体" w:hAnsi="宋体" w:cs="宋体"/>
          <w:kern w:val="0"/>
          <w:sz w:val="28"/>
          <w:szCs w:val="28"/>
        </w:rPr>
      </w:pPr>
    </w:p>
    <w:p w14:paraId="432FCC64">
      <w:pPr>
        <w:spacing w:line="360" w:lineRule="auto"/>
        <w:jc w:val="center"/>
        <w:rPr>
          <w:rFonts w:ascii="宋体" w:hAnsi="宋体" w:cs="宋体"/>
          <w:kern w:val="0"/>
          <w:sz w:val="28"/>
          <w:szCs w:val="28"/>
        </w:rPr>
      </w:pPr>
      <w:r>
        <w:rPr>
          <w:rFonts w:hint="eastAsia" w:ascii="宋体" w:hAnsi="宋体" w:cs="宋体"/>
          <w:kern w:val="0"/>
          <w:sz w:val="28"/>
          <w:szCs w:val="28"/>
        </w:rPr>
        <w:t>（三）商务条款偏离表</w:t>
      </w:r>
      <w:bookmarkEnd w:id="90"/>
      <w:bookmarkEnd w:id="91"/>
      <w:bookmarkEnd w:id="92"/>
    </w:p>
    <w:tbl>
      <w:tblPr>
        <w:tblStyle w:val="19"/>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2582"/>
        <w:gridCol w:w="2583"/>
        <w:gridCol w:w="1565"/>
        <w:gridCol w:w="1129"/>
      </w:tblGrid>
      <w:tr w14:paraId="091B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8"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2C51CAA6">
            <w:pPr>
              <w:spacing w:line="480" w:lineRule="exact"/>
              <w:jc w:val="center"/>
              <w:rPr>
                <w:rFonts w:ascii="宋体" w:hAnsi="宋体" w:cs="宋体"/>
              </w:rPr>
            </w:pPr>
            <w:r>
              <w:rPr>
                <w:rFonts w:hint="eastAsia" w:ascii="宋体" w:hAnsi="宋体" w:cs="宋体"/>
              </w:rPr>
              <w:t>序号</w:t>
            </w:r>
          </w:p>
        </w:tc>
        <w:tc>
          <w:tcPr>
            <w:tcW w:w="2582" w:type="dxa"/>
            <w:tcBorders>
              <w:top w:val="single" w:color="auto" w:sz="4" w:space="0"/>
              <w:left w:val="nil"/>
              <w:bottom w:val="single" w:color="auto" w:sz="4" w:space="0"/>
              <w:right w:val="single" w:color="auto" w:sz="4" w:space="0"/>
            </w:tcBorders>
            <w:vAlign w:val="center"/>
          </w:tcPr>
          <w:p w14:paraId="3B3EAD5C">
            <w:pPr>
              <w:spacing w:line="480" w:lineRule="exact"/>
              <w:jc w:val="center"/>
              <w:rPr>
                <w:rFonts w:ascii="宋体" w:hAnsi="宋体" w:cs="宋体"/>
              </w:rPr>
            </w:pPr>
            <w:r>
              <w:rPr>
                <w:rFonts w:hint="eastAsia" w:ascii="宋体" w:hAnsi="宋体" w:cs="宋体"/>
              </w:rPr>
              <w:t>招标文件要求</w:t>
            </w:r>
          </w:p>
        </w:tc>
        <w:tc>
          <w:tcPr>
            <w:tcW w:w="2583" w:type="dxa"/>
            <w:tcBorders>
              <w:top w:val="single" w:color="auto" w:sz="4" w:space="0"/>
              <w:left w:val="nil"/>
              <w:bottom w:val="single" w:color="auto" w:sz="4" w:space="0"/>
              <w:right w:val="single" w:color="auto" w:sz="4" w:space="0"/>
            </w:tcBorders>
            <w:vAlign w:val="center"/>
          </w:tcPr>
          <w:p w14:paraId="28A73838">
            <w:pPr>
              <w:spacing w:line="480" w:lineRule="exact"/>
              <w:jc w:val="center"/>
              <w:rPr>
                <w:rFonts w:ascii="宋体" w:hAnsi="宋体" w:cs="宋体"/>
              </w:rPr>
            </w:pPr>
            <w:r>
              <w:rPr>
                <w:rFonts w:hint="eastAsia" w:ascii="宋体" w:hAnsi="宋体" w:cs="宋体"/>
              </w:rPr>
              <w:t>响应情况</w:t>
            </w:r>
          </w:p>
        </w:tc>
        <w:tc>
          <w:tcPr>
            <w:tcW w:w="1565" w:type="dxa"/>
            <w:tcBorders>
              <w:top w:val="single" w:color="auto" w:sz="4" w:space="0"/>
              <w:left w:val="nil"/>
              <w:bottom w:val="single" w:color="auto" w:sz="4" w:space="0"/>
              <w:right w:val="single" w:color="auto" w:sz="4" w:space="0"/>
            </w:tcBorders>
            <w:vAlign w:val="center"/>
          </w:tcPr>
          <w:p w14:paraId="20CB4443">
            <w:pPr>
              <w:spacing w:line="480" w:lineRule="exact"/>
              <w:jc w:val="center"/>
              <w:rPr>
                <w:rFonts w:ascii="宋体" w:hAnsi="宋体" w:cs="宋体"/>
              </w:rPr>
            </w:pPr>
            <w:r>
              <w:rPr>
                <w:rFonts w:hint="eastAsia" w:ascii="宋体" w:hAnsi="宋体" w:cs="宋体"/>
              </w:rPr>
              <w:t>偏离</w:t>
            </w:r>
          </w:p>
          <w:p w14:paraId="29D7FDE6">
            <w:pPr>
              <w:spacing w:line="480" w:lineRule="exact"/>
              <w:jc w:val="center"/>
              <w:rPr>
                <w:rFonts w:ascii="宋体" w:hAnsi="宋体" w:cs="宋体"/>
              </w:rPr>
            </w:pPr>
            <w:r>
              <w:rPr>
                <w:rFonts w:hint="eastAsia" w:ascii="宋体" w:hAnsi="宋体" w:cs="宋体"/>
              </w:rPr>
              <w:t>(正/负)</w:t>
            </w:r>
          </w:p>
        </w:tc>
        <w:tc>
          <w:tcPr>
            <w:tcW w:w="1129" w:type="dxa"/>
            <w:tcBorders>
              <w:top w:val="single" w:color="auto" w:sz="4" w:space="0"/>
              <w:left w:val="nil"/>
              <w:bottom w:val="single" w:color="auto" w:sz="4" w:space="0"/>
              <w:right w:val="single" w:color="auto" w:sz="4" w:space="0"/>
            </w:tcBorders>
            <w:vAlign w:val="center"/>
          </w:tcPr>
          <w:p w14:paraId="0C4C5B62">
            <w:pPr>
              <w:spacing w:line="480" w:lineRule="exact"/>
              <w:jc w:val="center"/>
              <w:rPr>
                <w:rFonts w:ascii="宋体" w:hAnsi="宋体" w:cs="宋体"/>
              </w:rPr>
            </w:pPr>
            <w:r>
              <w:rPr>
                <w:rFonts w:hint="eastAsia" w:ascii="宋体" w:hAnsi="宋体" w:cs="宋体"/>
              </w:rPr>
              <w:t>说明</w:t>
            </w:r>
          </w:p>
        </w:tc>
      </w:tr>
      <w:tr w14:paraId="0BF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309CD6D">
            <w:pPr>
              <w:spacing w:line="480" w:lineRule="exact"/>
              <w:jc w:val="center"/>
              <w:rPr>
                <w:rFonts w:ascii="宋体" w:hAnsi="宋体" w:cs="宋体"/>
              </w:rPr>
            </w:pPr>
            <w:r>
              <w:rPr>
                <w:rFonts w:hint="eastAsia" w:ascii="宋体" w:hAnsi="宋体" w:cs="宋体"/>
              </w:rPr>
              <w:t>1</w:t>
            </w:r>
          </w:p>
        </w:tc>
        <w:tc>
          <w:tcPr>
            <w:tcW w:w="2582" w:type="dxa"/>
            <w:tcBorders>
              <w:top w:val="single" w:color="auto" w:sz="4" w:space="0"/>
              <w:left w:val="nil"/>
              <w:bottom w:val="single" w:color="auto" w:sz="4" w:space="0"/>
              <w:right w:val="single" w:color="auto" w:sz="4" w:space="0"/>
            </w:tcBorders>
            <w:vAlign w:val="center"/>
          </w:tcPr>
          <w:p w14:paraId="70EBE76E">
            <w:pPr>
              <w:spacing w:line="480" w:lineRule="exact"/>
              <w:jc w:val="center"/>
              <w:rPr>
                <w:rFonts w:ascii="宋体" w:hAnsi="宋体" w:cs="宋体"/>
              </w:rPr>
            </w:pPr>
            <w:r>
              <w:rPr>
                <w:rFonts w:hint="eastAsia" w:ascii="宋体" w:hAnsi="宋体" w:cs="宋体"/>
              </w:rPr>
              <w:t>质量要求</w:t>
            </w:r>
          </w:p>
        </w:tc>
        <w:tc>
          <w:tcPr>
            <w:tcW w:w="2583" w:type="dxa"/>
            <w:tcBorders>
              <w:top w:val="single" w:color="auto" w:sz="4" w:space="0"/>
              <w:left w:val="nil"/>
              <w:bottom w:val="single" w:color="auto" w:sz="4" w:space="0"/>
              <w:right w:val="single" w:color="auto" w:sz="4" w:space="0"/>
            </w:tcBorders>
            <w:vAlign w:val="center"/>
          </w:tcPr>
          <w:p w14:paraId="12843A1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4493976">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761CC3BE">
            <w:pPr>
              <w:spacing w:line="480" w:lineRule="exact"/>
              <w:jc w:val="center"/>
              <w:rPr>
                <w:rFonts w:ascii="宋体" w:hAnsi="宋体" w:cs="宋体"/>
              </w:rPr>
            </w:pPr>
          </w:p>
        </w:tc>
      </w:tr>
      <w:tr w14:paraId="7F2E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67D69CF3">
            <w:pPr>
              <w:spacing w:line="480" w:lineRule="exact"/>
              <w:jc w:val="center"/>
              <w:rPr>
                <w:rFonts w:ascii="宋体" w:hAnsi="宋体" w:cs="宋体"/>
              </w:rPr>
            </w:pPr>
            <w:r>
              <w:rPr>
                <w:rFonts w:hint="eastAsia" w:ascii="宋体" w:hAnsi="宋体" w:cs="宋体"/>
              </w:rPr>
              <w:t>2</w:t>
            </w:r>
          </w:p>
        </w:tc>
        <w:tc>
          <w:tcPr>
            <w:tcW w:w="2582" w:type="dxa"/>
            <w:tcBorders>
              <w:top w:val="single" w:color="auto" w:sz="4" w:space="0"/>
              <w:left w:val="nil"/>
              <w:bottom w:val="single" w:color="auto" w:sz="4" w:space="0"/>
              <w:right w:val="single" w:color="auto" w:sz="4" w:space="0"/>
            </w:tcBorders>
            <w:vAlign w:val="center"/>
          </w:tcPr>
          <w:p w14:paraId="206C9252">
            <w:pPr>
              <w:spacing w:line="480" w:lineRule="exact"/>
              <w:jc w:val="center"/>
              <w:rPr>
                <w:rFonts w:ascii="宋体" w:hAnsi="宋体" w:cs="宋体"/>
              </w:rPr>
            </w:pPr>
            <w:r>
              <w:rPr>
                <w:rFonts w:hint="eastAsia" w:ascii="宋体" w:hAnsi="宋体" w:cs="宋体"/>
              </w:rPr>
              <w:t>供货期限</w:t>
            </w:r>
          </w:p>
        </w:tc>
        <w:tc>
          <w:tcPr>
            <w:tcW w:w="2583" w:type="dxa"/>
            <w:tcBorders>
              <w:top w:val="single" w:color="auto" w:sz="4" w:space="0"/>
              <w:left w:val="nil"/>
              <w:bottom w:val="single" w:color="auto" w:sz="4" w:space="0"/>
              <w:right w:val="single" w:color="auto" w:sz="4" w:space="0"/>
            </w:tcBorders>
            <w:vAlign w:val="center"/>
          </w:tcPr>
          <w:p w14:paraId="130009F4">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666FF258">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00559126">
            <w:pPr>
              <w:spacing w:line="480" w:lineRule="exact"/>
              <w:jc w:val="center"/>
              <w:rPr>
                <w:rFonts w:ascii="宋体" w:hAnsi="宋体" w:cs="宋体"/>
              </w:rPr>
            </w:pPr>
          </w:p>
        </w:tc>
      </w:tr>
      <w:tr w14:paraId="504B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5C63990">
            <w:pPr>
              <w:spacing w:line="480" w:lineRule="exact"/>
              <w:jc w:val="center"/>
              <w:rPr>
                <w:rFonts w:ascii="宋体" w:hAnsi="宋体" w:cs="宋体"/>
              </w:rPr>
            </w:pPr>
            <w:r>
              <w:rPr>
                <w:rFonts w:hint="eastAsia" w:ascii="宋体" w:hAnsi="宋体" w:cs="宋体"/>
              </w:rPr>
              <w:t>3</w:t>
            </w:r>
          </w:p>
        </w:tc>
        <w:tc>
          <w:tcPr>
            <w:tcW w:w="2582" w:type="dxa"/>
            <w:tcBorders>
              <w:top w:val="single" w:color="auto" w:sz="4" w:space="0"/>
              <w:left w:val="nil"/>
              <w:bottom w:val="single" w:color="auto" w:sz="4" w:space="0"/>
              <w:right w:val="single" w:color="auto" w:sz="4" w:space="0"/>
            </w:tcBorders>
            <w:vAlign w:val="center"/>
          </w:tcPr>
          <w:p w14:paraId="717BD80E">
            <w:pPr>
              <w:spacing w:line="480" w:lineRule="exact"/>
              <w:jc w:val="center"/>
              <w:rPr>
                <w:rFonts w:ascii="宋体" w:hAnsi="宋体" w:cs="宋体"/>
              </w:rPr>
            </w:pPr>
            <w:r>
              <w:rPr>
                <w:rFonts w:hint="eastAsia" w:ascii="宋体" w:hAnsi="宋体" w:cs="宋体"/>
              </w:rPr>
              <w:t>质保期</w:t>
            </w:r>
          </w:p>
        </w:tc>
        <w:tc>
          <w:tcPr>
            <w:tcW w:w="2583" w:type="dxa"/>
            <w:tcBorders>
              <w:top w:val="single" w:color="auto" w:sz="4" w:space="0"/>
              <w:left w:val="nil"/>
              <w:bottom w:val="single" w:color="auto" w:sz="4" w:space="0"/>
              <w:right w:val="single" w:color="auto" w:sz="4" w:space="0"/>
            </w:tcBorders>
            <w:vAlign w:val="center"/>
          </w:tcPr>
          <w:p w14:paraId="037B255B">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1AE2FBA0">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1B35A888">
            <w:pPr>
              <w:spacing w:line="480" w:lineRule="exact"/>
              <w:jc w:val="center"/>
              <w:rPr>
                <w:rFonts w:ascii="宋体" w:hAnsi="宋体" w:cs="宋体"/>
              </w:rPr>
            </w:pPr>
          </w:p>
        </w:tc>
      </w:tr>
      <w:tr w14:paraId="29A7D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03D1F7C6">
            <w:pPr>
              <w:spacing w:line="480" w:lineRule="exact"/>
              <w:jc w:val="center"/>
              <w:rPr>
                <w:rFonts w:ascii="宋体" w:hAnsi="宋体" w:cs="宋体"/>
              </w:rPr>
            </w:pPr>
            <w:r>
              <w:rPr>
                <w:rFonts w:hint="eastAsia" w:ascii="宋体" w:hAnsi="宋体" w:cs="宋体"/>
              </w:rPr>
              <w:t>4</w:t>
            </w:r>
          </w:p>
        </w:tc>
        <w:tc>
          <w:tcPr>
            <w:tcW w:w="2582" w:type="dxa"/>
            <w:tcBorders>
              <w:top w:val="single" w:color="auto" w:sz="4" w:space="0"/>
              <w:left w:val="nil"/>
              <w:bottom w:val="single" w:color="auto" w:sz="4" w:space="0"/>
              <w:right w:val="single" w:color="auto" w:sz="4" w:space="0"/>
            </w:tcBorders>
            <w:vAlign w:val="center"/>
          </w:tcPr>
          <w:p w14:paraId="11AF9E57">
            <w:pPr>
              <w:spacing w:line="480" w:lineRule="exact"/>
              <w:jc w:val="center"/>
              <w:rPr>
                <w:rFonts w:ascii="宋体" w:hAnsi="宋体" w:cs="宋体"/>
              </w:rPr>
            </w:pPr>
            <w:r>
              <w:rPr>
                <w:rFonts w:hint="eastAsia" w:ascii="宋体" w:hAnsi="宋体" w:cs="宋体"/>
              </w:rPr>
              <w:t>投标有效期</w:t>
            </w:r>
          </w:p>
        </w:tc>
        <w:tc>
          <w:tcPr>
            <w:tcW w:w="2583" w:type="dxa"/>
            <w:tcBorders>
              <w:top w:val="single" w:color="auto" w:sz="4" w:space="0"/>
              <w:left w:val="nil"/>
              <w:bottom w:val="single" w:color="auto" w:sz="4" w:space="0"/>
              <w:right w:val="single" w:color="auto" w:sz="4" w:space="0"/>
            </w:tcBorders>
            <w:vAlign w:val="center"/>
          </w:tcPr>
          <w:p w14:paraId="6BB79E90">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52867B15">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5CF6EDD">
            <w:pPr>
              <w:spacing w:line="480" w:lineRule="exact"/>
              <w:jc w:val="center"/>
              <w:rPr>
                <w:rFonts w:ascii="宋体" w:hAnsi="宋体" w:cs="宋体"/>
              </w:rPr>
            </w:pPr>
          </w:p>
        </w:tc>
      </w:tr>
      <w:tr w14:paraId="4E9F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3B87140A">
            <w:pPr>
              <w:spacing w:line="480" w:lineRule="exact"/>
              <w:jc w:val="center"/>
              <w:rPr>
                <w:rFonts w:ascii="宋体" w:hAnsi="宋体" w:cs="宋体"/>
              </w:rPr>
            </w:pPr>
            <w:r>
              <w:rPr>
                <w:rFonts w:hint="eastAsia" w:ascii="宋体" w:hAnsi="宋体" w:cs="宋体"/>
              </w:rPr>
              <w:t>.....</w:t>
            </w:r>
          </w:p>
        </w:tc>
        <w:tc>
          <w:tcPr>
            <w:tcW w:w="2582" w:type="dxa"/>
            <w:tcBorders>
              <w:top w:val="single" w:color="auto" w:sz="4" w:space="0"/>
              <w:left w:val="nil"/>
              <w:bottom w:val="single" w:color="auto" w:sz="4" w:space="0"/>
              <w:right w:val="single" w:color="auto" w:sz="4" w:space="0"/>
            </w:tcBorders>
            <w:vAlign w:val="center"/>
          </w:tcPr>
          <w:p w14:paraId="3DDA9F69">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3B0B153">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32A29C2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4E1F71B4">
            <w:pPr>
              <w:spacing w:line="480" w:lineRule="exact"/>
              <w:jc w:val="center"/>
              <w:rPr>
                <w:rFonts w:ascii="宋体" w:hAnsi="宋体" w:cs="宋体"/>
              </w:rPr>
            </w:pPr>
          </w:p>
        </w:tc>
      </w:tr>
      <w:tr w14:paraId="5F555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6995805">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41C49A3C">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169E7542">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036445B7">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1EA5C43">
            <w:pPr>
              <w:spacing w:line="480" w:lineRule="exact"/>
              <w:jc w:val="center"/>
              <w:rPr>
                <w:rFonts w:ascii="宋体" w:hAnsi="宋体" w:cs="宋体"/>
              </w:rPr>
            </w:pPr>
          </w:p>
        </w:tc>
      </w:tr>
      <w:tr w14:paraId="522B0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3"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1A7FF87D">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1ABA73A">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01475E41">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643C4B2">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66D86B7A">
            <w:pPr>
              <w:spacing w:line="480" w:lineRule="exact"/>
              <w:jc w:val="center"/>
              <w:rPr>
                <w:rFonts w:ascii="宋体" w:hAnsi="宋体" w:cs="宋体"/>
              </w:rPr>
            </w:pPr>
          </w:p>
        </w:tc>
      </w:tr>
      <w:tr w14:paraId="4E6BF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021" w:type="dxa"/>
            <w:tcBorders>
              <w:top w:val="single" w:color="auto" w:sz="4" w:space="0"/>
              <w:left w:val="single" w:color="auto" w:sz="4" w:space="0"/>
              <w:bottom w:val="single" w:color="auto" w:sz="4" w:space="0"/>
              <w:right w:val="single" w:color="auto" w:sz="4" w:space="0"/>
            </w:tcBorders>
            <w:vAlign w:val="center"/>
          </w:tcPr>
          <w:p w14:paraId="48155DA4">
            <w:pPr>
              <w:spacing w:line="480" w:lineRule="exact"/>
              <w:jc w:val="center"/>
              <w:rPr>
                <w:rFonts w:ascii="宋体" w:hAnsi="宋体" w:cs="宋体"/>
              </w:rPr>
            </w:pPr>
          </w:p>
        </w:tc>
        <w:tc>
          <w:tcPr>
            <w:tcW w:w="2582" w:type="dxa"/>
            <w:tcBorders>
              <w:top w:val="single" w:color="auto" w:sz="4" w:space="0"/>
              <w:left w:val="nil"/>
              <w:bottom w:val="single" w:color="auto" w:sz="4" w:space="0"/>
              <w:right w:val="single" w:color="auto" w:sz="4" w:space="0"/>
            </w:tcBorders>
            <w:vAlign w:val="center"/>
          </w:tcPr>
          <w:p w14:paraId="18C28B44">
            <w:pPr>
              <w:spacing w:line="480" w:lineRule="exact"/>
              <w:jc w:val="center"/>
              <w:rPr>
                <w:rFonts w:ascii="宋体" w:hAnsi="宋体" w:cs="宋体"/>
              </w:rPr>
            </w:pPr>
          </w:p>
        </w:tc>
        <w:tc>
          <w:tcPr>
            <w:tcW w:w="2583" w:type="dxa"/>
            <w:tcBorders>
              <w:top w:val="single" w:color="auto" w:sz="4" w:space="0"/>
              <w:left w:val="nil"/>
              <w:bottom w:val="single" w:color="auto" w:sz="4" w:space="0"/>
              <w:right w:val="single" w:color="auto" w:sz="4" w:space="0"/>
            </w:tcBorders>
            <w:vAlign w:val="center"/>
          </w:tcPr>
          <w:p w14:paraId="21F4701A">
            <w:pPr>
              <w:spacing w:line="480" w:lineRule="exact"/>
              <w:jc w:val="center"/>
              <w:rPr>
                <w:rFonts w:ascii="宋体" w:hAnsi="宋体" w:cs="宋体"/>
              </w:rPr>
            </w:pPr>
          </w:p>
        </w:tc>
        <w:tc>
          <w:tcPr>
            <w:tcW w:w="1565" w:type="dxa"/>
            <w:tcBorders>
              <w:top w:val="single" w:color="auto" w:sz="4" w:space="0"/>
              <w:left w:val="nil"/>
              <w:bottom w:val="single" w:color="auto" w:sz="4" w:space="0"/>
              <w:right w:val="single" w:color="auto" w:sz="4" w:space="0"/>
            </w:tcBorders>
            <w:vAlign w:val="center"/>
          </w:tcPr>
          <w:p w14:paraId="29D69D8E">
            <w:pPr>
              <w:spacing w:line="480" w:lineRule="exact"/>
              <w:jc w:val="center"/>
              <w:rPr>
                <w:rFonts w:ascii="宋体" w:hAnsi="宋体" w:cs="宋体"/>
              </w:rPr>
            </w:pPr>
          </w:p>
        </w:tc>
        <w:tc>
          <w:tcPr>
            <w:tcW w:w="1129" w:type="dxa"/>
            <w:tcBorders>
              <w:top w:val="single" w:color="auto" w:sz="4" w:space="0"/>
              <w:left w:val="nil"/>
              <w:bottom w:val="single" w:color="auto" w:sz="4" w:space="0"/>
              <w:right w:val="single" w:color="auto" w:sz="4" w:space="0"/>
            </w:tcBorders>
            <w:vAlign w:val="center"/>
          </w:tcPr>
          <w:p w14:paraId="2BB4E034">
            <w:pPr>
              <w:spacing w:line="480" w:lineRule="exact"/>
              <w:jc w:val="center"/>
              <w:rPr>
                <w:rFonts w:ascii="宋体" w:hAnsi="宋体" w:cs="宋体"/>
              </w:rPr>
            </w:pPr>
          </w:p>
        </w:tc>
      </w:tr>
    </w:tbl>
    <w:p w14:paraId="69F18D97">
      <w:pPr>
        <w:spacing w:line="360" w:lineRule="auto"/>
        <w:jc w:val="right"/>
        <w:rPr>
          <w:rFonts w:ascii="宋体" w:hAnsi="宋体" w:cs="宋体"/>
          <w:bCs/>
          <w:szCs w:val="21"/>
        </w:rPr>
      </w:pPr>
    </w:p>
    <w:p w14:paraId="709E7C04">
      <w:pPr>
        <w:spacing w:line="360" w:lineRule="auto"/>
        <w:jc w:val="right"/>
        <w:rPr>
          <w:rFonts w:ascii="宋体" w:hAnsi="宋体" w:cs="宋体"/>
          <w:bCs/>
          <w:szCs w:val="21"/>
        </w:rPr>
      </w:pPr>
    </w:p>
    <w:p w14:paraId="42D57035">
      <w:pPr>
        <w:spacing w:line="360" w:lineRule="auto"/>
        <w:jc w:val="right"/>
        <w:rPr>
          <w:rFonts w:ascii="宋体" w:hAnsi="宋体" w:cs="宋体"/>
          <w:bCs/>
          <w:szCs w:val="21"/>
        </w:rPr>
      </w:pPr>
    </w:p>
    <w:p w14:paraId="7E0BDDC0">
      <w:pPr>
        <w:spacing w:line="360" w:lineRule="auto"/>
        <w:jc w:val="right"/>
        <w:rPr>
          <w:rFonts w:ascii="宋体" w:hAnsi="宋体" w:cs="宋体"/>
          <w:bCs/>
          <w:szCs w:val="21"/>
        </w:rPr>
      </w:pPr>
      <w:r>
        <w:rPr>
          <w:rFonts w:hint="eastAsia" w:ascii="宋体" w:hAnsi="宋体" w:cs="宋体"/>
          <w:bCs/>
          <w:szCs w:val="21"/>
        </w:rPr>
        <w:t>投标人：                      （电子签章）</w:t>
      </w:r>
    </w:p>
    <w:p w14:paraId="7E0FDA8B">
      <w:pPr>
        <w:spacing w:line="360" w:lineRule="auto"/>
        <w:jc w:val="right"/>
        <w:rPr>
          <w:rFonts w:ascii="宋体" w:hAnsi="宋体" w:cs="宋体"/>
          <w:bCs/>
          <w:szCs w:val="21"/>
        </w:rPr>
      </w:pPr>
      <w:r>
        <w:rPr>
          <w:rFonts w:hint="eastAsia" w:ascii="宋体" w:hAnsi="宋体" w:cs="宋体"/>
          <w:bCs/>
          <w:szCs w:val="21"/>
        </w:rPr>
        <w:t>法定代表人</w:t>
      </w:r>
      <w:r>
        <w:rPr>
          <w:rFonts w:hint="eastAsia" w:ascii="宋体" w:hAnsi="宋体" w:cs="宋体" w:eastAsiaTheme="minorEastAsia"/>
          <w:kern w:val="2"/>
          <w:sz w:val="24"/>
          <w:szCs w:val="24"/>
          <w:lang w:val="en-US" w:eastAsia="zh-CN" w:bidi="ar-SA"/>
        </w:rPr>
        <w:t>（或负责人）</w:t>
      </w:r>
      <w:r>
        <w:rPr>
          <w:rFonts w:hint="eastAsia" w:ascii="宋体" w:hAnsi="宋体" w:cs="宋体"/>
          <w:bCs/>
          <w:szCs w:val="21"/>
        </w:rPr>
        <w:t>：            （电子签章或签字）</w:t>
      </w:r>
    </w:p>
    <w:p w14:paraId="53E645F7">
      <w:pPr>
        <w:spacing w:line="360" w:lineRule="auto"/>
        <w:jc w:val="right"/>
        <w:rPr>
          <w:rFonts w:ascii="宋体" w:hAnsi="宋体" w:cs="宋体"/>
          <w:bCs/>
          <w:szCs w:val="21"/>
        </w:rPr>
      </w:pPr>
      <w:r>
        <w:rPr>
          <w:rFonts w:hint="eastAsia" w:ascii="宋体" w:hAnsi="宋体" w:cs="宋体"/>
          <w:bCs/>
          <w:szCs w:val="21"/>
        </w:rPr>
        <w:t>日期：</w:t>
      </w:r>
    </w:p>
    <w:p w14:paraId="0DCC4C4C">
      <w:pPr>
        <w:spacing w:line="480" w:lineRule="exact"/>
        <w:rPr>
          <w:rFonts w:ascii="宋体" w:hAnsi="宋体" w:cs="宋体"/>
          <w:kern w:val="0"/>
          <w:sz w:val="28"/>
          <w:szCs w:val="28"/>
        </w:rPr>
      </w:pPr>
      <w:bookmarkStart w:id="93" w:name="_Toc70398875"/>
      <w:bookmarkStart w:id="94" w:name="_Toc71269881"/>
    </w:p>
    <w:p w14:paraId="4497A8CA">
      <w:pPr>
        <w:spacing w:line="480" w:lineRule="exact"/>
        <w:jc w:val="center"/>
        <w:rPr>
          <w:rFonts w:ascii="宋体" w:hAnsi="宋体" w:cs="宋体"/>
          <w:kern w:val="0"/>
          <w:sz w:val="28"/>
          <w:szCs w:val="28"/>
        </w:rPr>
      </w:pPr>
    </w:p>
    <w:p w14:paraId="7A061CB4">
      <w:pPr>
        <w:spacing w:line="480" w:lineRule="exact"/>
        <w:jc w:val="center"/>
        <w:rPr>
          <w:rFonts w:hint="eastAsia" w:ascii="宋体" w:hAnsi="宋体" w:cs="宋体"/>
          <w:kern w:val="0"/>
          <w:sz w:val="28"/>
          <w:szCs w:val="28"/>
        </w:rPr>
      </w:pPr>
    </w:p>
    <w:p w14:paraId="762BEA8A">
      <w:pPr>
        <w:spacing w:line="480" w:lineRule="exact"/>
        <w:jc w:val="center"/>
        <w:rPr>
          <w:rFonts w:ascii="宋体" w:hAnsi="宋体" w:cs="宋体"/>
          <w:kern w:val="0"/>
          <w:sz w:val="28"/>
          <w:szCs w:val="28"/>
        </w:rPr>
      </w:pPr>
    </w:p>
    <w:p w14:paraId="14571DE7">
      <w:pPr>
        <w:spacing w:line="480" w:lineRule="exact"/>
        <w:jc w:val="center"/>
        <w:rPr>
          <w:rFonts w:ascii="宋体" w:hAnsi="宋体" w:cs="宋体"/>
          <w:kern w:val="0"/>
          <w:sz w:val="28"/>
          <w:szCs w:val="28"/>
        </w:rPr>
      </w:pPr>
    </w:p>
    <w:bookmarkEnd w:id="93"/>
    <w:bookmarkEnd w:id="94"/>
    <w:p w14:paraId="7333DAB8">
      <w:pPr>
        <w:spacing w:line="480" w:lineRule="atLeast"/>
        <w:jc w:val="center"/>
        <w:outlineLvl w:val="0"/>
        <w:rPr>
          <w:rFonts w:ascii="宋体" w:hAnsi="宋体" w:cs="宋体"/>
          <w:b/>
          <w:sz w:val="28"/>
          <w:szCs w:val="28"/>
        </w:rPr>
      </w:pPr>
      <w:bookmarkStart w:id="95" w:name="_Toc31308"/>
      <w:bookmarkStart w:id="96" w:name="_Toc97816699"/>
      <w:bookmarkStart w:id="97" w:name="_Toc70398876"/>
      <w:bookmarkStart w:id="98" w:name="_Toc6992"/>
      <w:bookmarkStart w:id="99" w:name="_Toc16736"/>
      <w:bookmarkStart w:id="100" w:name="_Toc97815877"/>
      <w:bookmarkStart w:id="101" w:name="_Toc71269882"/>
      <w:r>
        <w:rPr>
          <w:rFonts w:hint="eastAsia" w:ascii="宋体" w:hAnsi="宋体" w:cs="宋体"/>
          <w:b/>
          <w:sz w:val="28"/>
          <w:szCs w:val="28"/>
        </w:rPr>
        <w:t>六、</w:t>
      </w:r>
      <w:bookmarkEnd w:id="76"/>
      <w:bookmarkEnd w:id="95"/>
      <w:r>
        <w:rPr>
          <w:rFonts w:hint="eastAsia" w:ascii="宋体" w:hAnsi="宋体" w:cs="宋体"/>
          <w:b/>
          <w:sz w:val="28"/>
          <w:szCs w:val="28"/>
        </w:rPr>
        <w:t>企业基本情况表</w:t>
      </w:r>
      <w:bookmarkEnd w:id="96"/>
      <w:bookmarkEnd w:id="97"/>
      <w:bookmarkEnd w:id="98"/>
      <w:bookmarkEnd w:id="99"/>
      <w:bookmarkEnd w:id="100"/>
      <w:bookmarkEnd w:id="101"/>
      <w:bookmarkStart w:id="102" w:name="_Toc21109_WPSOffice_Level1"/>
    </w:p>
    <w:p w14:paraId="0ABA0C31">
      <w:pPr>
        <w:spacing w:line="480" w:lineRule="atLeast"/>
        <w:jc w:val="center"/>
        <w:outlineLvl w:val="0"/>
        <w:rPr>
          <w:rFonts w:ascii="宋体" w:hAnsi="宋体" w:cs="宋体"/>
          <w:sz w:val="24"/>
        </w:rPr>
      </w:pPr>
      <w:bookmarkStart w:id="103" w:name="_Toc26825"/>
      <w:bookmarkStart w:id="104" w:name="_Toc97816700"/>
      <w:bookmarkStart w:id="105" w:name="_Toc97815878"/>
      <w:bookmarkStart w:id="106" w:name="_Toc1330"/>
      <w:r>
        <w:rPr>
          <w:rFonts w:hint="eastAsia" w:ascii="宋体" w:hAnsi="宋体" w:cs="宋体"/>
          <w:sz w:val="24"/>
        </w:rPr>
        <w:t>（一）投标人基本情况表</w:t>
      </w:r>
      <w:bookmarkEnd w:id="103"/>
      <w:bookmarkEnd w:id="104"/>
      <w:bookmarkEnd w:id="105"/>
      <w:bookmarkEnd w:id="106"/>
    </w:p>
    <w:tbl>
      <w:tblPr>
        <w:tblStyle w:val="19"/>
        <w:tblW w:w="9059" w:type="dxa"/>
        <w:jc w:val="center"/>
        <w:tblLayout w:type="fixed"/>
        <w:tblCellMar>
          <w:top w:w="0" w:type="dxa"/>
          <w:left w:w="84" w:type="dxa"/>
          <w:bottom w:w="0" w:type="dxa"/>
          <w:right w:w="0" w:type="dxa"/>
        </w:tblCellMar>
      </w:tblPr>
      <w:tblGrid>
        <w:gridCol w:w="2060"/>
        <w:gridCol w:w="1143"/>
        <w:gridCol w:w="2115"/>
        <w:gridCol w:w="1408"/>
        <w:gridCol w:w="2333"/>
      </w:tblGrid>
      <w:tr w14:paraId="239B3516">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5DF8C03B">
            <w:pPr>
              <w:widowControl/>
              <w:spacing w:line="360" w:lineRule="auto"/>
              <w:jc w:val="center"/>
              <w:rPr>
                <w:rFonts w:ascii="宋体" w:hAnsi="宋体" w:cs="宋体"/>
                <w:sz w:val="24"/>
              </w:rPr>
            </w:pPr>
            <w:r>
              <w:rPr>
                <w:rFonts w:hint="eastAsia" w:ascii="宋体" w:hAnsi="宋体" w:cs="宋体"/>
                <w:sz w:val="24"/>
              </w:rPr>
              <w:t>投标人名称</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692AF63B">
            <w:pPr>
              <w:widowControl/>
              <w:spacing w:line="360" w:lineRule="auto"/>
              <w:jc w:val="center"/>
              <w:rPr>
                <w:rFonts w:ascii="宋体" w:hAnsi="宋体" w:cs="宋体"/>
                <w:sz w:val="24"/>
              </w:rPr>
            </w:pPr>
          </w:p>
        </w:tc>
      </w:tr>
      <w:tr w14:paraId="78FCFC01">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43AA1220">
            <w:pPr>
              <w:widowControl/>
              <w:spacing w:line="360" w:lineRule="auto"/>
              <w:jc w:val="center"/>
              <w:rPr>
                <w:rFonts w:ascii="宋体" w:hAnsi="宋体" w:cs="宋体"/>
                <w:sz w:val="24"/>
              </w:rPr>
            </w:pPr>
            <w:r>
              <w:rPr>
                <w:rFonts w:hint="eastAsia" w:ascii="宋体" w:hAnsi="宋体" w:cs="宋体"/>
                <w:sz w:val="24"/>
              </w:rPr>
              <w:t>注册地址</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6B335742">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B56FB3F">
            <w:pPr>
              <w:widowControl/>
              <w:spacing w:line="360" w:lineRule="auto"/>
              <w:jc w:val="center"/>
              <w:rPr>
                <w:rFonts w:ascii="宋体" w:hAnsi="宋体" w:cs="宋体"/>
                <w:sz w:val="24"/>
              </w:rPr>
            </w:pPr>
            <w:r>
              <w:rPr>
                <w:rFonts w:hint="eastAsia" w:ascii="宋体" w:hAnsi="宋体" w:cs="宋体"/>
                <w:sz w:val="24"/>
              </w:rPr>
              <w:t>邮政编码</w:t>
            </w:r>
          </w:p>
        </w:tc>
        <w:tc>
          <w:tcPr>
            <w:tcW w:w="2333" w:type="dxa"/>
            <w:tcBorders>
              <w:top w:val="single" w:color="auto" w:sz="4" w:space="0"/>
              <w:left w:val="single" w:color="auto" w:sz="4" w:space="0"/>
              <w:bottom w:val="single" w:color="auto" w:sz="4" w:space="0"/>
              <w:right w:val="single" w:color="auto" w:sz="4" w:space="0"/>
            </w:tcBorders>
            <w:vAlign w:val="center"/>
          </w:tcPr>
          <w:p w14:paraId="3E9601A6">
            <w:pPr>
              <w:widowControl/>
              <w:spacing w:line="360" w:lineRule="auto"/>
              <w:jc w:val="center"/>
              <w:rPr>
                <w:rFonts w:ascii="宋体" w:hAnsi="宋体" w:cs="宋体"/>
                <w:sz w:val="24"/>
              </w:rPr>
            </w:pPr>
          </w:p>
        </w:tc>
      </w:tr>
      <w:tr w14:paraId="464A93C4">
        <w:tblPrEx>
          <w:tblCellMar>
            <w:top w:w="0" w:type="dxa"/>
            <w:left w:w="84" w:type="dxa"/>
            <w:bottom w:w="0" w:type="dxa"/>
            <w:right w:w="0" w:type="dxa"/>
          </w:tblCellMar>
        </w:tblPrEx>
        <w:trPr>
          <w:trHeight w:val="638" w:hRule="atLeast"/>
          <w:jc w:val="center"/>
        </w:trPr>
        <w:tc>
          <w:tcPr>
            <w:tcW w:w="2060" w:type="dxa"/>
            <w:vMerge w:val="restart"/>
            <w:tcBorders>
              <w:top w:val="single" w:color="auto" w:sz="4" w:space="0"/>
              <w:left w:val="single" w:color="auto" w:sz="4" w:space="0"/>
              <w:right w:val="single" w:color="auto" w:sz="4" w:space="0"/>
            </w:tcBorders>
            <w:vAlign w:val="center"/>
          </w:tcPr>
          <w:p w14:paraId="4E676FBB">
            <w:pPr>
              <w:widowControl/>
              <w:spacing w:line="360" w:lineRule="auto"/>
              <w:jc w:val="center"/>
              <w:rPr>
                <w:rFonts w:ascii="宋体" w:hAnsi="宋体" w:cs="宋体"/>
                <w:sz w:val="24"/>
              </w:rPr>
            </w:pPr>
            <w:r>
              <w:rPr>
                <w:rFonts w:hint="eastAsia" w:ascii="宋体" w:hAnsi="宋体" w:cs="宋体"/>
                <w:sz w:val="24"/>
              </w:rPr>
              <w:t>联系方式</w:t>
            </w:r>
          </w:p>
        </w:tc>
        <w:tc>
          <w:tcPr>
            <w:tcW w:w="1143" w:type="dxa"/>
            <w:tcBorders>
              <w:top w:val="single" w:color="auto" w:sz="4" w:space="0"/>
              <w:left w:val="single" w:color="auto" w:sz="4" w:space="0"/>
              <w:bottom w:val="single" w:color="auto" w:sz="4" w:space="0"/>
              <w:right w:val="single" w:color="auto" w:sz="4" w:space="0"/>
            </w:tcBorders>
            <w:vAlign w:val="center"/>
          </w:tcPr>
          <w:p w14:paraId="57566EA7">
            <w:pPr>
              <w:widowControl/>
              <w:spacing w:line="360" w:lineRule="auto"/>
              <w:jc w:val="center"/>
              <w:rPr>
                <w:rFonts w:ascii="宋体" w:hAnsi="宋体" w:cs="宋体"/>
                <w:sz w:val="24"/>
              </w:rPr>
            </w:pPr>
            <w:r>
              <w:rPr>
                <w:rFonts w:hint="eastAsia" w:ascii="宋体" w:hAnsi="宋体" w:cs="宋体"/>
                <w:sz w:val="24"/>
              </w:rPr>
              <w:t>联系人</w:t>
            </w:r>
          </w:p>
        </w:tc>
        <w:tc>
          <w:tcPr>
            <w:tcW w:w="2115" w:type="dxa"/>
            <w:tcBorders>
              <w:top w:val="single" w:color="auto" w:sz="4" w:space="0"/>
              <w:left w:val="single" w:color="auto" w:sz="4" w:space="0"/>
              <w:bottom w:val="single" w:color="auto" w:sz="4" w:space="0"/>
              <w:right w:val="single" w:color="auto" w:sz="4" w:space="0"/>
            </w:tcBorders>
            <w:vAlign w:val="center"/>
          </w:tcPr>
          <w:p w14:paraId="06A3F69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0AD1FEF5">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44FACE78">
            <w:pPr>
              <w:widowControl/>
              <w:spacing w:line="360" w:lineRule="auto"/>
              <w:jc w:val="center"/>
              <w:rPr>
                <w:rFonts w:ascii="宋体" w:hAnsi="宋体" w:cs="宋体"/>
                <w:sz w:val="24"/>
              </w:rPr>
            </w:pPr>
          </w:p>
        </w:tc>
      </w:tr>
      <w:tr w14:paraId="18D8AC70">
        <w:tblPrEx>
          <w:tblCellMar>
            <w:top w:w="0" w:type="dxa"/>
            <w:left w:w="84" w:type="dxa"/>
            <w:bottom w:w="0" w:type="dxa"/>
            <w:right w:w="0" w:type="dxa"/>
          </w:tblCellMar>
        </w:tblPrEx>
        <w:trPr>
          <w:trHeight w:val="638" w:hRule="atLeast"/>
          <w:jc w:val="center"/>
        </w:trPr>
        <w:tc>
          <w:tcPr>
            <w:tcW w:w="2060" w:type="dxa"/>
            <w:vMerge w:val="continue"/>
            <w:tcBorders>
              <w:left w:val="single" w:color="auto" w:sz="4" w:space="0"/>
              <w:bottom w:val="single" w:color="auto" w:sz="4" w:space="0"/>
              <w:right w:val="single" w:color="auto" w:sz="4" w:space="0"/>
            </w:tcBorders>
            <w:vAlign w:val="center"/>
          </w:tcPr>
          <w:p w14:paraId="055A918D">
            <w:pPr>
              <w:widowControl/>
              <w:spacing w:line="360" w:lineRule="auto"/>
              <w:jc w:val="center"/>
              <w:rPr>
                <w:rFonts w:ascii="宋体" w:hAnsi="宋体" w:cs="宋体"/>
                <w:sz w:val="24"/>
              </w:rPr>
            </w:pPr>
          </w:p>
        </w:tc>
        <w:tc>
          <w:tcPr>
            <w:tcW w:w="1143" w:type="dxa"/>
            <w:tcBorders>
              <w:top w:val="single" w:color="auto" w:sz="4" w:space="0"/>
              <w:left w:val="single" w:color="auto" w:sz="4" w:space="0"/>
              <w:bottom w:val="single" w:color="auto" w:sz="4" w:space="0"/>
              <w:right w:val="single" w:color="auto" w:sz="4" w:space="0"/>
            </w:tcBorders>
            <w:vAlign w:val="center"/>
          </w:tcPr>
          <w:p w14:paraId="18219493">
            <w:pPr>
              <w:widowControl/>
              <w:spacing w:line="360" w:lineRule="auto"/>
              <w:jc w:val="center"/>
              <w:rPr>
                <w:rFonts w:ascii="宋体" w:hAnsi="宋体" w:cs="宋体"/>
                <w:sz w:val="24"/>
              </w:rPr>
            </w:pPr>
            <w:r>
              <w:rPr>
                <w:rFonts w:hint="eastAsia" w:ascii="宋体" w:hAnsi="宋体" w:cs="宋体"/>
                <w:sz w:val="24"/>
              </w:rPr>
              <w:t>传真</w:t>
            </w:r>
          </w:p>
        </w:tc>
        <w:tc>
          <w:tcPr>
            <w:tcW w:w="2115" w:type="dxa"/>
            <w:tcBorders>
              <w:top w:val="single" w:color="auto" w:sz="4" w:space="0"/>
              <w:left w:val="single" w:color="auto" w:sz="4" w:space="0"/>
              <w:bottom w:val="single" w:color="auto" w:sz="4" w:space="0"/>
              <w:right w:val="single" w:color="auto" w:sz="4" w:space="0"/>
            </w:tcBorders>
            <w:vAlign w:val="center"/>
          </w:tcPr>
          <w:p w14:paraId="142BBD5F">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6E422BE1">
            <w:pPr>
              <w:widowControl/>
              <w:spacing w:line="360" w:lineRule="auto"/>
              <w:jc w:val="center"/>
              <w:rPr>
                <w:rFonts w:ascii="宋体" w:hAnsi="宋体" w:cs="宋体"/>
                <w:sz w:val="24"/>
              </w:rPr>
            </w:pPr>
            <w:r>
              <w:rPr>
                <w:rFonts w:hint="eastAsia" w:ascii="宋体" w:hAnsi="宋体" w:cs="宋体"/>
                <w:sz w:val="24"/>
              </w:rPr>
              <w:t>网址</w:t>
            </w:r>
          </w:p>
        </w:tc>
        <w:tc>
          <w:tcPr>
            <w:tcW w:w="2333" w:type="dxa"/>
            <w:tcBorders>
              <w:top w:val="single" w:color="auto" w:sz="4" w:space="0"/>
              <w:left w:val="single" w:color="auto" w:sz="4" w:space="0"/>
              <w:bottom w:val="single" w:color="auto" w:sz="4" w:space="0"/>
              <w:right w:val="single" w:color="auto" w:sz="4" w:space="0"/>
            </w:tcBorders>
            <w:vAlign w:val="center"/>
          </w:tcPr>
          <w:p w14:paraId="4B4DCAC7">
            <w:pPr>
              <w:widowControl/>
              <w:spacing w:line="360" w:lineRule="auto"/>
              <w:jc w:val="center"/>
              <w:rPr>
                <w:rFonts w:ascii="宋体" w:hAnsi="宋体" w:cs="宋体"/>
                <w:sz w:val="24"/>
              </w:rPr>
            </w:pPr>
          </w:p>
        </w:tc>
      </w:tr>
      <w:tr w14:paraId="6C6AA57C">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ABA4F72">
            <w:pPr>
              <w:widowControl/>
              <w:spacing w:line="360" w:lineRule="auto"/>
              <w:jc w:val="center"/>
              <w:rPr>
                <w:rFonts w:ascii="宋体" w:hAnsi="宋体" w:cs="宋体"/>
                <w:sz w:val="24"/>
              </w:rPr>
            </w:pPr>
            <w:r>
              <w:rPr>
                <w:rFonts w:hint="eastAsia" w:ascii="宋体" w:hAnsi="宋体" w:cs="宋体"/>
                <w:sz w:val="24"/>
              </w:rPr>
              <w:t>组织结构</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3AF246BB">
            <w:pPr>
              <w:widowControl/>
              <w:spacing w:line="360" w:lineRule="auto"/>
              <w:jc w:val="center"/>
              <w:rPr>
                <w:rFonts w:ascii="宋体" w:hAnsi="宋体" w:cs="宋体"/>
                <w:sz w:val="24"/>
              </w:rPr>
            </w:pPr>
          </w:p>
        </w:tc>
      </w:tr>
      <w:tr w14:paraId="00A56444">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E475591">
            <w:pPr>
              <w:widowControl/>
              <w:spacing w:line="360" w:lineRule="auto"/>
              <w:jc w:val="center"/>
              <w:rPr>
                <w:rFonts w:ascii="宋体" w:hAnsi="宋体" w:cs="宋体"/>
                <w:sz w:val="24"/>
              </w:rPr>
            </w:pPr>
            <w:r>
              <w:rPr>
                <w:rFonts w:hint="eastAsia" w:ascii="宋体" w:hAnsi="宋体" w:cs="宋体"/>
                <w:sz w:val="24"/>
              </w:rPr>
              <w:t>法定代表人</w:t>
            </w:r>
          </w:p>
        </w:tc>
        <w:tc>
          <w:tcPr>
            <w:tcW w:w="1143" w:type="dxa"/>
            <w:tcBorders>
              <w:top w:val="single" w:color="auto" w:sz="4" w:space="0"/>
              <w:left w:val="single" w:color="auto" w:sz="4" w:space="0"/>
              <w:bottom w:val="single" w:color="auto" w:sz="4" w:space="0"/>
              <w:right w:val="single" w:color="auto" w:sz="4" w:space="0"/>
            </w:tcBorders>
            <w:vAlign w:val="center"/>
          </w:tcPr>
          <w:p w14:paraId="69F5B670">
            <w:pPr>
              <w:widowControl/>
              <w:spacing w:line="360" w:lineRule="auto"/>
              <w:jc w:val="center"/>
              <w:rPr>
                <w:rFonts w:ascii="宋体" w:hAnsi="宋体" w:cs="宋体"/>
                <w:sz w:val="24"/>
              </w:rPr>
            </w:pPr>
            <w:r>
              <w:rPr>
                <w:rFonts w:hint="eastAsia" w:ascii="宋体" w:hAnsi="宋体" w:cs="宋体"/>
                <w:sz w:val="24"/>
              </w:rPr>
              <w:t>姓名</w:t>
            </w:r>
          </w:p>
        </w:tc>
        <w:tc>
          <w:tcPr>
            <w:tcW w:w="2115" w:type="dxa"/>
            <w:tcBorders>
              <w:top w:val="single" w:color="auto" w:sz="4" w:space="0"/>
              <w:left w:val="single" w:color="auto" w:sz="4" w:space="0"/>
              <w:bottom w:val="single" w:color="auto" w:sz="4" w:space="0"/>
              <w:right w:val="single" w:color="auto" w:sz="4" w:space="0"/>
            </w:tcBorders>
            <w:vAlign w:val="center"/>
          </w:tcPr>
          <w:p w14:paraId="1C27F921">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197F76BF">
            <w:pPr>
              <w:widowControl/>
              <w:spacing w:line="360" w:lineRule="auto"/>
              <w:jc w:val="center"/>
              <w:rPr>
                <w:rFonts w:ascii="宋体" w:hAnsi="宋体" w:cs="宋体"/>
                <w:sz w:val="24"/>
              </w:rPr>
            </w:pPr>
            <w:r>
              <w:rPr>
                <w:rFonts w:hint="eastAsia" w:ascii="宋体" w:hAnsi="宋体" w:cs="宋体"/>
                <w:sz w:val="24"/>
              </w:rPr>
              <w:t>电话</w:t>
            </w:r>
          </w:p>
        </w:tc>
        <w:tc>
          <w:tcPr>
            <w:tcW w:w="2333" w:type="dxa"/>
            <w:tcBorders>
              <w:top w:val="single" w:color="auto" w:sz="4" w:space="0"/>
              <w:left w:val="single" w:color="auto" w:sz="4" w:space="0"/>
              <w:bottom w:val="single" w:color="auto" w:sz="4" w:space="0"/>
              <w:right w:val="single" w:color="auto" w:sz="4" w:space="0"/>
            </w:tcBorders>
            <w:vAlign w:val="center"/>
          </w:tcPr>
          <w:p w14:paraId="3B00E70D">
            <w:pPr>
              <w:widowControl/>
              <w:spacing w:line="360" w:lineRule="auto"/>
              <w:jc w:val="center"/>
              <w:rPr>
                <w:rFonts w:ascii="宋体" w:hAnsi="宋体" w:cs="宋体"/>
                <w:sz w:val="24"/>
              </w:rPr>
            </w:pPr>
          </w:p>
        </w:tc>
      </w:tr>
      <w:tr w14:paraId="0C170BEF">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753161FC">
            <w:pPr>
              <w:widowControl/>
              <w:spacing w:line="360" w:lineRule="auto"/>
              <w:jc w:val="center"/>
              <w:rPr>
                <w:rFonts w:ascii="宋体" w:hAnsi="宋体" w:cs="宋体"/>
                <w:sz w:val="24"/>
              </w:rPr>
            </w:pPr>
            <w:r>
              <w:rPr>
                <w:rFonts w:hint="eastAsia" w:ascii="宋体" w:hAnsi="宋体" w:cs="宋体"/>
                <w:sz w:val="24"/>
              </w:rPr>
              <w:t>成立时间</w:t>
            </w:r>
          </w:p>
        </w:tc>
        <w:tc>
          <w:tcPr>
            <w:tcW w:w="3258" w:type="dxa"/>
            <w:gridSpan w:val="2"/>
            <w:tcBorders>
              <w:top w:val="single" w:color="auto" w:sz="4" w:space="0"/>
              <w:left w:val="single" w:color="auto" w:sz="4" w:space="0"/>
              <w:bottom w:val="single" w:color="auto" w:sz="4" w:space="0"/>
              <w:right w:val="single" w:color="auto" w:sz="4" w:space="0"/>
            </w:tcBorders>
            <w:vAlign w:val="center"/>
          </w:tcPr>
          <w:p w14:paraId="227D3565">
            <w:pPr>
              <w:widowControl/>
              <w:spacing w:line="360" w:lineRule="auto"/>
              <w:jc w:val="center"/>
              <w:rPr>
                <w:rFonts w:ascii="宋体" w:hAnsi="宋体" w:cs="宋体"/>
                <w:sz w:val="24"/>
              </w:rPr>
            </w:pPr>
          </w:p>
        </w:tc>
        <w:tc>
          <w:tcPr>
            <w:tcW w:w="1408" w:type="dxa"/>
            <w:tcBorders>
              <w:top w:val="single" w:color="auto" w:sz="4" w:space="0"/>
              <w:left w:val="single" w:color="auto" w:sz="4" w:space="0"/>
              <w:bottom w:val="single" w:color="auto" w:sz="4" w:space="0"/>
              <w:right w:val="single" w:color="auto" w:sz="4" w:space="0"/>
            </w:tcBorders>
            <w:vAlign w:val="center"/>
          </w:tcPr>
          <w:p w14:paraId="3A684021">
            <w:pPr>
              <w:widowControl/>
              <w:spacing w:line="360" w:lineRule="auto"/>
              <w:jc w:val="center"/>
              <w:rPr>
                <w:rFonts w:ascii="宋体" w:hAnsi="宋体" w:cs="宋体"/>
                <w:sz w:val="24"/>
              </w:rPr>
            </w:pPr>
            <w:r>
              <w:rPr>
                <w:rFonts w:hint="eastAsia" w:ascii="宋体" w:hAnsi="宋体" w:cs="宋体"/>
                <w:sz w:val="24"/>
              </w:rPr>
              <w:t>注册资金（万元）</w:t>
            </w:r>
          </w:p>
        </w:tc>
        <w:tc>
          <w:tcPr>
            <w:tcW w:w="2333" w:type="dxa"/>
            <w:tcBorders>
              <w:top w:val="single" w:color="auto" w:sz="4" w:space="0"/>
              <w:left w:val="single" w:color="auto" w:sz="4" w:space="0"/>
              <w:bottom w:val="single" w:color="auto" w:sz="4" w:space="0"/>
              <w:right w:val="single" w:color="auto" w:sz="4" w:space="0"/>
            </w:tcBorders>
            <w:vAlign w:val="center"/>
          </w:tcPr>
          <w:p w14:paraId="51954D7B">
            <w:pPr>
              <w:widowControl/>
              <w:spacing w:line="360" w:lineRule="auto"/>
              <w:jc w:val="center"/>
              <w:rPr>
                <w:rFonts w:ascii="宋体" w:hAnsi="宋体" w:cs="宋体"/>
                <w:sz w:val="24"/>
              </w:rPr>
            </w:pPr>
          </w:p>
        </w:tc>
      </w:tr>
      <w:tr w14:paraId="6E549C68">
        <w:tblPrEx>
          <w:tblCellMar>
            <w:top w:w="0" w:type="dxa"/>
            <w:left w:w="84" w:type="dxa"/>
            <w:bottom w:w="0" w:type="dxa"/>
            <w:right w:w="0" w:type="dxa"/>
          </w:tblCellMar>
        </w:tblPrEx>
        <w:trPr>
          <w:trHeight w:val="638"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0B10207F">
            <w:pPr>
              <w:widowControl/>
              <w:spacing w:line="360" w:lineRule="auto"/>
              <w:jc w:val="center"/>
              <w:rPr>
                <w:rFonts w:ascii="宋体" w:hAnsi="宋体" w:cs="宋体"/>
                <w:sz w:val="24"/>
              </w:rPr>
            </w:pPr>
            <w:r>
              <w:rPr>
                <w:rFonts w:hint="eastAsia" w:ascii="宋体" w:hAnsi="宋体" w:cs="宋体"/>
                <w:sz w:val="24"/>
              </w:rPr>
              <w:t>营业执照号</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19066A19">
            <w:pPr>
              <w:widowControl/>
              <w:spacing w:line="360" w:lineRule="auto"/>
              <w:jc w:val="center"/>
              <w:rPr>
                <w:rFonts w:ascii="宋体" w:hAnsi="宋体" w:cs="宋体"/>
                <w:sz w:val="24"/>
              </w:rPr>
            </w:pPr>
          </w:p>
        </w:tc>
      </w:tr>
      <w:tr w14:paraId="759D6D45">
        <w:tblPrEx>
          <w:tblCellMar>
            <w:top w:w="0" w:type="dxa"/>
            <w:left w:w="84" w:type="dxa"/>
            <w:bottom w:w="0" w:type="dxa"/>
            <w:right w:w="0" w:type="dxa"/>
          </w:tblCellMar>
        </w:tblPrEx>
        <w:trPr>
          <w:trHeight w:val="3233" w:hRule="atLeast"/>
          <w:jc w:val="center"/>
        </w:trPr>
        <w:tc>
          <w:tcPr>
            <w:tcW w:w="2060" w:type="dxa"/>
            <w:tcBorders>
              <w:top w:val="single" w:color="auto" w:sz="4" w:space="0"/>
              <w:left w:val="single" w:color="auto" w:sz="4" w:space="0"/>
              <w:bottom w:val="single" w:color="auto" w:sz="4" w:space="0"/>
              <w:right w:val="single" w:color="auto" w:sz="4" w:space="0"/>
            </w:tcBorders>
            <w:vAlign w:val="center"/>
          </w:tcPr>
          <w:p w14:paraId="1954FA74">
            <w:pPr>
              <w:widowControl/>
              <w:spacing w:line="360" w:lineRule="auto"/>
              <w:jc w:val="center"/>
              <w:rPr>
                <w:rFonts w:ascii="宋体" w:hAnsi="宋体" w:cs="宋体"/>
                <w:sz w:val="24"/>
              </w:rPr>
            </w:pPr>
            <w:r>
              <w:rPr>
                <w:rFonts w:hint="eastAsia" w:ascii="宋体" w:hAnsi="宋体" w:cs="宋体"/>
                <w:sz w:val="24"/>
              </w:rPr>
              <w:t>经营范围备注</w:t>
            </w:r>
          </w:p>
        </w:tc>
        <w:tc>
          <w:tcPr>
            <w:tcW w:w="6999" w:type="dxa"/>
            <w:gridSpan w:val="4"/>
            <w:tcBorders>
              <w:top w:val="single" w:color="auto" w:sz="4" w:space="0"/>
              <w:left w:val="single" w:color="auto" w:sz="4" w:space="0"/>
              <w:bottom w:val="single" w:color="auto" w:sz="4" w:space="0"/>
              <w:right w:val="single" w:color="auto" w:sz="4" w:space="0"/>
            </w:tcBorders>
            <w:vAlign w:val="center"/>
          </w:tcPr>
          <w:p w14:paraId="7FAEF560">
            <w:pPr>
              <w:widowControl/>
              <w:spacing w:line="360" w:lineRule="auto"/>
              <w:jc w:val="center"/>
              <w:rPr>
                <w:rFonts w:ascii="宋体" w:hAnsi="宋体" w:cs="宋体"/>
                <w:sz w:val="24"/>
              </w:rPr>
            </w:pPr>
          </w:p>
        </w:tc>
      </w:tr>
    </w:tbl>
    <w:p w14:paraId="0FDEEE81">
      <w:pPr>
        <w:widowControl/>
        <w:spacing w:line="480" w:lineRule="exact"/>
        <w:rPr>
          <w:rFonts w:ascii="宋体" w:hAnsi="宋体" w:cs="宋体"/>
          <w:sz w:val="24"/>
        </w:rPr>
      </w:pPr>
      <w:bookmarkStart w:id="107" w:name="_Toc23947_WPSOffice_Level1"/>
      <w:r>
        <w:rPr>
          <w:rFonts w:hint="eastAsia" w:ascii="宋体" w:hAnsi="宋体" w:cs="宋体"/>
          <w:sz w:val="24"/>
        </w:rPr>
        <w:t>后附：资格审查评审标准中的相关证件，包括但不限于以下材料：</w:t>
      </w:r>
    </w:p>
    <w:p w14:paraId="10E9FF35">
      <w:pPr>
        <w:widowControl/>
        <w:jc w:val="left"/>
        <w:rPr>
          <w:rFonts w:ascii="宋体" w:hAnsi="宋体" w:cs="宋体"/>
          <w:sz w:val="24"/>
        </w:rPr>
      </w:pPr>
      <w:r>
        <w:rPr>
          <w:rFonts w:hint="eastAsia" w:ascii="宋体" w:hAnsi="宋体" w:cs="宋体"/>
          <w:sz w:val="24"/>
        </w:rPr>
        <w:br w:type="page"/>
      </w:r>
    </w:p>
    <w:p w14:paraId="513C45F4">
      <w:pPr>
        <w:spacing w:line="480" w:lineRule="exact"/>
        <w:rPr>
          <w:rFonts w:ascii="宋体" w:hAnsi="宋体" w:cs="宋体"/>
          <w:sz w:val="24"/>
        </w:rPr>
      </w:pPr>
      <w:r>
        <w:rPr>
          <w:rFonts w:hint="eastAsia" w:ascii="宋体" w:hAnsi="宋体" w:cs="宋体"/>
          <w:sz w:val="24"/>
        </w:rPr>
        <w:t>（二）近年完成的类似项目情况表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7"/>
        <w:gridCol w:w="7157"/>
      </w:tblGrid>
      <w:tr w14:paraId="71986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D4C32F">
            <w:pPr>
              <w:spacing w:line="360" w:lineRule="auto"/>
              <w:ind w:left="640"/>
              <w:rPr>
                <w:rFonts w:ascii="宋体" w:hAnsi="宋体" w:cs="宋体"/>
                <w:sz w:val="24"/>
              </w:rPr>
            </w:pPr>
            <w:r>
              <w:rPr>
                <w:rFonts w:hint="eastAsia" w:ascii="宋体" w:hAnsi="宋体" w:cs="宋体"/>
                <w:sz w:val="24"/>
              </w:rPr>
              <w:t>项目名称</w:t>
            </w:r>
          </w:p>
        </w:tc>
        <w:tc>
          <w:tcPr>
            <w:tcW w:w="7157" w:type="dxa"/>
            <w:vAlign w:val="center"/>
          </w:tcPr>
          <w:p w14:paraId="5AC724B0">
            <w:pPr>
              <w:spacing w:line="0" w:lineRule="atLeast"/>
              <w:jc w:val="center"/>
              <w:rPr>
                <w:rFonts w:ascii="宋体" w:hAnsi="宋体" w:cs="宋体"/>
                <w:szCs w:val="21"/>
              </w:rPr>
            </w:pPr>
          </w:p>
        </w:tc>
      </w:tr>
      <w:tr w14:paraId="6E59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7E22A84">
            <w:pPr>
              <w:spacing w:line="360" w:lineRule="auto"/>
              <w:ind w:left="640"/>
              <w:rPr>
                <w:rFonts w:ascii="宋体" w:hAnsi="宋体" w:cs="宋体"/>
                <w:sz w:val="24"/>
              </w:rPr>
            </w:pPr>
            <w:r>
              <w:rPr>
                <w:rFonts w:hint="eastAsia" w:ascii="宋体" w:hAnsi="宋体" w:cs="宋体"/>
                <w:sz w:val="24"/>
              </w:rPr>
              <w:t>采购内容</w:t>
            </w:r>
          </w:p>
        </w:tc>
        <w:tc>
          <w:tcPr>
            <w:tcW w:w="7157" w:type="dxa"/>
            <w:vAlign w:val="center"/>
          </w:tcPr>
          <w:p w14:paraId="270C90EA">
            <w:pPr>
              <w:spacing w:line="0" w:lineRule="atLeast"/>
              <w:jc w:val="center"/>
              <w:rPr>
                <w:rFonts w:ascii="宋体" w:hAnsi="宋体" w:cs="宋体"/>
                <w:szCs w:val="21"/>
              </w:rPr>
            </w:pPr>
          </w:p>
        </w:tc>
      </w:tr>
      <w:tr w14:paraId="30379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9784208">
            <w:pPr>
              <w:spacing w:line="360" w:lineRule="auto"/>
              <w:ind w:left="640"/>
              <w:rPr>
                <w:rFonts w:ascii="宋体" w:hAnsi="宋体" w:cs="宋体"/>
                <w:sz w:val="24"/>
              </w:rPr>
            </w:pPr>
            <w:r>
              <w:rPr>
                <w:rFonts w:hint="eastAsia" w:ascii="宋体" w:hAnsi="宋体" w:cs="宋体"/>
                <w:sz w:val="24"/>
              </w:rPr>
              <w:t>发包人名称</w:t>
            </w:r>
          </w:p>
        </w:tc>
        <w:tc>
          <w:tcPr>
            <w:tcW w:w="7157" w:type="dxa"/>
            <w:vAlign w:val="center"/>
          </w:tcPr>
          <w:p w14:paraId="0C2D63E1">
            <w:pPr>
              <w:spacing w:line="0" w:lineRule="atLeast"/>
              <w:jc w:val="center"/>
              <w:rPr>
                <w:rFonts w:ascii="宋体" w:hAnsi="宋体" w:cs="宋体"/>
                <w:szCs w:val="21"/>
              </w:rPr>
            </w:pPr>
          </w:p>
        </w:tc>
      </w:tr>
      <w:tr w14:paraId="6C5F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B6CBDCC">
            <w:pPr>
              <w:spacing w:line="360" w:lineRule="auto"/>
              <w:ind w:left="640"/>
              <w:rPr>
                <w:rFonts w:ascii="宋体" w:hAnsi="宋体" w:cs="宋体"/>
                <w:sz w:val="24"/>
              </w:rPr>
            </w:pPr>
            <w:r>
              <w:rPr>
                <w:rFonts w:hint="eastAsia" w:ascii="宋体" w:hAnsi="宋体" w:cs="宋体"/>
                <w:sz w:val="24"/>
              </w:rPr>
              <w:t>发包人地址</w:t>
            </w:r>
          </w:p>
        </w:tc>
        <w:tc>
          <w:tcPr>
            <w:tcW w:w="7157" w:type="dxa"/>
            <w:vAlign w:val="center"/>
          </w:tcPr>
          <w:p w14:paraId="03F9ACCE">
            <w:pPr>
              <w:spacing w:line="0" w:lineRule="atLeast"/>
              <w:jc w:val="center"/>
              <w:rPr>
                <w:rFonts w:ascii="宋体" w:hAnsi="宋体" w:cs="宋体"/>
                <w:szCs w:val="21"/>
              </w:rPr>
            </w:pPr>
          </w:p>
        </w:tc>
      </w:tr>
      <w:tr w14:paraId="192FB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AC7DADB">
            <w:pPr>
              <w:spacing w:line="360" w:lineRule="auto"/>
              <w:ind w:left="640"/>
              <w:rPr>
                <w:rFonts w:ascii="宋体" w:hAnsi="宋体" w:cs="宋体"/>
                <w:sz w:val="24"/>
              </w:rPr>
            </w:pPr>
            <w:r>
              <w:rPr>
                <w:rFonts w:hint="eastAsia" w:ascii="宋体" w:hAnsi="宋体" w:cs="宋体"/>
                <w:sz w:val="24"/>
              </w:rPr>
              <w:t>发包人联系人及电话</w:t>
            </w:r>
          </w:p>
        </w:tc>
        <w:tc>
          <w:tcPr>
            <w:tcW w:w="7157" w:type="dxa"/>
            <w:vAlign w:val="center"/>
          </w:tcPr>
          <w:p w14:paraId="03D58EE0">
            <w:pPr>
              <w:spacing w:line="0" w:lineRule="atLeast"/>
              <w:jc w:val="center"/>
              <w:rPr>
                <w:rFonts w:ascii="宋体" w:hAnsi="宋体" w:cs="宋体"/>
                <w:szCs w:val="21"/>
              </w:rPr>
            </w:pPr>
          </w:p>
        </w:tc>
      </w:tr>
      <w:tr w14:paraId="34BA4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3FDC5D8">
            <w:pPr>
              <w:spacing w:line="360" w:lineRule="auto"/>
              <w:ind w:left="640"/>
              <w:rPr>
                <w:rFonts w:ascii="宋体" w:hAnsi="宋体" w:cs="宋体"/>
                <w:sz w:val="24"/>
              </w:rPr>
            </w:pPr>
            <w:r>
              <w:rPr>
                <w:rFonts w:hint="eastAsia" w:ascii="宋体" w:hAnsi="宋体" w:cs="宋体"/>
                <w:sz w:val="24"/>
              </w:rPr>
              <w:t>合同价格</w:t>
            </w:r>
          </w:p>
        </w:tc>
        <w:tc>
          <w:tcPr>
            <w:tcW w:w="7157" w:type="dxa"/>
            <w:vAlign w:val="center"/>
          </w:tcPr>
          <w:p w14:paraId="549DFF3B">
            <w:pPr>
              <w:spacing w:line="0" w:lineRule="atLeast"/>
              <w:jc w:val="center"/>
              <w:rPr>
                <w:rFonts w:ascii="宋体" w:hAnsi="宋体" w:cs="宋体"/>
                <w:szCs w:val="21"/>
              </w:rPr>
            </w:pPr>
          </w:p>
        </w:tc>
      </w:tr>
      <w:tr w14:paraId="406E3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07694615">
            <w:pPr>
              <w:spacing w:line="360" w:lineRule="auto"/>
              <w:ind w:left="640"/>
              <w:rPr>
                <w:rFonts w:ascii="宋体" w:hAnsi="宋体" w:cs="宋体"/>
                <w:sz w:val="24"/>
              </w:rPr>
            </w:pPr>
            <w:r>
              <w:rPr>
                <w:rFonts w:hint="eastAsia" w:ascii="宋体" w:hAnsi="宋体" w:cs="宋体"/>
                <w:sz w:val="24"/>
              </w:rPr>
              <w:t>质量要求</w:t>
            </w:r>
          </w:p>
        </w:tc>
        <w:tc>
          <w:tcPr>
            <w:tcW w:w="7157" w:type="dxa"/>
            <w:vAlign w:val="center"/>
          </w:tcPr>
          <w:p w14:paraId="539D4F4F">
            <w:pPr>
              <w:spacing w:line="0" w:lineRule="atLeast"/>
              <w:jc w:val="center"/>
              <w:rPr>
                <w:rFonts w:ascii="宋体" w:hAnsi="宋体" w:cs="宋体"/>
                <w:szCs w:val="21"/>
              </w:rPr>
            </w:pPr>
          </w:p>
        </w:tc>
      </w:tr>
      <w:tr w14:paraId="2AA88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6C38D02F">
            <w:pPr>
              <w:spacing w:line="360" w:lineRule="auto"/>
              <w:ind w:left="640"/>
              <w:rPr>
                <w:rFonts w:ascii="宋体" w:hAnsi="宋体" w:cs="宋体"/>
                <w:sz w:val="24"/>
              </w:rPr>
            </w:pPr>
            <w:r>
              <w:rPr>
                <w:rFonts w:hint="eastAsia" w:ascii="宋体" w:hAnsi="宋体" w:cs="宋体"/>
                <w:sz w:val="24"/>
              </w:rPr>
              <w:t>项目实施地点</w:t>
            </w:r>
          </w:p>
        </w:tc>
        <w:tc>
          <w:tcPr>
            <w:tcW w:w="7157" w:type="dxa"/>
            <w:vAlign w:val="center"/>
          </w:tcPr>
          <w:p w14:paraId="4E2456B3">
            <w:pPr>
              <w:spacing w:line="0" w:lineRule="atLeast"/>
              <w:jc w:val="center"/>
              <w:rPr>
                <w:rFonts w:ascii="宋体" w:hAnsi="宋体" w:cs="宋体"/>
                <w:szCs w:val="21"/>
              </w:rPr>
            </w:pPr>
          </w:p>
        </w:tc>
      </w:tr>
      <w:tr w14:paraId="7C118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1781E520">
            <w:pPr>
              <w:spacing w:line="360" w:lineRule="auto"/>
              <w:ind w:left="640"/>
              <w:rPr>
                <w:rFonts w:ascii="宋体" w:hAnsi="宋体" w:cs="宋体"/>
                <w:sz w:val="24"/>
              </w:rPr>
            </w:pPr>
            <w:r>
              <w:rPr>
                <w:rFonts w:hint="eastAsia" w:ascii="宋体" w:hAnsi="宋体" w:cs="宋体"/>
                <w:sz w:val="24"/>
              </w:rPr>
              <w:t>承担的工作</w:t>
            </w:r>
          </w:p>
        </w:tc>
        <w:tc>
          <w:tcPr>
            <w:tcW w:w="7157" w:type="dxa"/>
            <w:vAlign w:val="center"/>
          </w:tcPr>
          <w:p w14:paraId="6A0316D8">
            <w:pPr>
              <w:spacing w:line="0" w:lineRule="atLeast"/>
              <w:jc w:val="center"/>
              <w:rPr>
                <w:rFonts w:ascii="宋体" w:hAnsi="宋体" w:cs="宋体"/>
                <w:szCs w:val="21"/>
              </w:rPr>
            </w:pPr>
          </w:p>
        </w:tc>
      </w:tr>
      <w:tr w14:paraId="61F40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2CA1DF68">
            <w:pPr>
              <w:spacing w:line="360" w:lineRule="auto"/>
              <w:ind w:left="640"/>
              <w:rPr>
                <w:rFonts w:ascii="宋体" w:hAnsi="宋体" w:cs="宋体"/>
                <w:sz w:val="24"/>
              </w:rPr>
            </w:pPr>
            <w:r>
              <w:rPr>
                <w:rFonts w:hint="eastAsia" w:ascii="宋体" w:hAnsi="宋体" w:cs="宋体"/>
                <w:sz w:val="24"/>
              </w:rPr>
              <w:t>项目描述</w:t>
            </w:r>
          </w:p>
        </w:tc>
        <w:tc>
          <w:tcPr>
            <w:tcW w:w="7157" w:type="dxa"/>
            <w:vAlign w:val="center"/>
          </w:tcPr>
          <w:p w14:paraId="34CCAF68">
            <w:pPr>
              <w:spacing w:line="0" w:lineRule="atLeast"/>
              <w:jc w:val="center"/>
              <w:rPr>
                <w:rFonts w:ascii="宋体" w:hAnsi="宋体" w:cs="宋体"/>
                <w:szCs w:val="21"/>
              </w:rPr>
            </w:pPr>
          </w:p>
          <w:p w14:paraId="55DB7567">
            <w:pPr>
              <w:spacing w:line="0" w:lineRule="atLeast"/>
              <w:jc w:val="center"/>
              <w:rPr>
                <w:rFonts w:ascii="宋体" w:hAnsi="宋体" w:cs="宋体"/>
                <w:szCs w:val="21"/>
              </w:rPr>
            </w:pPr>
          </w:p>
          <w:p w14:paraId="1E39C7E8">
            <w:pPr>
              <w:spacing w:line="0" w:lineRule="atLeast"/>
              <w:jc w:val="center"/>
              <w:rPr>
                <w:rFonts w:ascii="宋体" w:hAnsi="宋体" w:cs="宋体"/>
                <w:szCs w:val="21"/>
              </w:rPr>
            </w:pPr>
          </w:p>
          <w:p w14:paraId="4F0F31BE">
            <w:pPr>
              <w:spacing w:line="0" w:lineRule="atLeast"/>
              <w:jc w:val="center"/>
              <w:rPr>
                <w:rFonts w:ascii="宋体" w:hAnsi="宋体" w:cs="宋体"/>
                <w:szCs w:val="21"/>
              </w:rPr>
            </w:pPr>
          </w:p>
          <w:p w14:paraId="22215575">
            <w:pPr>
              <w:spacing w:line="0" w:lineRule="atLeast"/>
              <w:jc w:val="center"/>
              <w:rPr>
                <w:rFonts w:ascii="宋体" w:hAnsi="宋体" w:cs="宋体"/>
                <w:szCs w:val="21"/>
              </w:rPr>
            </w:pPr>
          </w:p>
          <w:p w14:paraId="39F72C56">
            <w:pPr>
              <w:spacing w:line="0" w:lineRule="atLeast"/>
              <w:jc w:val="center"/>
              <w:rPr>
                <w:rFonts w:ascii="宋体" w:hAnsi="宋体" w:cs="宋体"/>
                <w:szCs w:val="21"/>
              </w:rPr>
            </w:pPr>
          </w:p>
          <w:p w14:paraId="53C8FB81">
            <w:pPr>
              <w:spacing w:line="0" w:lineRule="atLeast"/>
              <w:jc w:val="center"/>
              <w:rPr>
                <w:rFonts w:ascii="宋体" w:hAnsi="宋体" w:cs="宋体"/>
                <w:szCs w:val="21"/>
              </w:rPr>
            </w:pPr>
          </w:p>
          <w:p w14:paraId="56E57151">
            <w:pPr>
              <w:spacing w:line="0" w:lineRule="atLeast"/>
              <w:jc w:val="center"/>
              <w:rPr>
                <w:rFonts w:ascii="宋体" w:hAnsi="宋体" w:cs="宋体"/>
                <w:szCs w:val="21"/>
              </w:rPr>
            </w:pPr>
          </w:p>
          <w:p w14:paraId="23C234F4">
            <w:pPr>
              <w:spacing w:line="0" w:lineRule="atLeast"/>
              <w:jc w:val="center"/>
              <w:rPr>
                <w:rFonts w:ascii="宋体" w:hAnsi="宋体" w:cs="宋体"/>
                <w:szCs w:val="21"/>
              </w:rPr>
            </w:pPr>
          </w:p>
          <w:p w14:paraId="167380DD">
            <w:pPr>
              <w:spacing w:line="0" w:lineRule="atLeast"/>
              <w:jc w:val="center"/>
              <w:rPr>
                <w:rFonts w:ascii="宋体" w:hAnsi="宋体" w:cs="宋体"/>
                <w:szCs w:val="21"/>
              </w:rPr>
            </w:pPr>
          </w:p>
          <w:p w14:paraId="36D370E2">
            <w:pPr>
              <w:spacing w:line="0" w:lineRule="atLeast"/>
              <w:jc w:val="center"/>
              <w:rPr>
                <w:rFonts w:ascii="宋体" w:hAnsi="宋体" w:cs="宋体"/>
                <w:szCs w:val="21"/>
              </w:rPr>
            </w:pPr>
          </w:p>
          <w:p w14:paraId="54F8675E">
            <w:pPr>
              <w:spacing w:line="0" w:lineRule="atLeast"/>
              <w:jc w:val="center"/>
              <w:rPr>
                <w:rFonts w:ascii="宋体" w:hAnsi="宋体" w:cs="宋体"/>
                <w:szCs w:val="21"/>
              </w:rPr>
            </w:pPr>
          </w:p>
          <w:p w14:paraId="62F054AA">
            <w:pPr>
              <w:spacing w:line="0" w:lineRule="atLeast"/>
              <w:jc w:val="center"/>
              <w:rPr>
                <w:rFonts w:ascii="宋体" w:hAnsi="宋体" w:cs="宋体"/>
                <w:szCs w:val="21"/>
              </w:rPr>
            </w:pPr>
          </w:p>
          <w:p w14:paraId="37ECC9ED">
            <w:pPr>
              <w:spacing w:line="0" w:lineRule="atLeast"/>
              <w:jc w:val="center"/>
              <w:rPr>
                <w:rFonts w:ascii="宋体" w:hAnsi="宋体" w:cs="宋体"/>
                <w:szCs w:val="21"/>
              </w:rPr>
            </w:pPr>
          </w:p>
          <w:p w14:paraId="5910E2D1">
            <w:pPr>
              <w:spacing w:line="0" w:lineRule="atLeast"/>
              <w:jc w:val="center"/>
              <w:rPr>
                <w:rFonts w:ascii="宋体" w:hAnsi="宋体" w:cs="宋体"/>
                <w:szCs w:val="21"/>
              </w:rPr>
            </w:pPr>
          </w:p>
          <w:p w14:paraId="3B4BD3C6">
            <w:pPr>
              <w:spacing w:line="0" w:lineRule="atLeast"/>
              <w:jc w:val="center"/>
              <w:rPr>
                <w:rFonts w:ascii="宋体" w:hAnsi="宋体" w:cs="宋体"/>
                <w:szCs w:val="21"/>
              </w:rPr>
            </w:pPr>
          </w:p>
        </w:tc>
      </w:tr>
      <w:tr w14:paraId="2682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97" w:type="dxa"/>
            <w:vAlign w:val="center"/>
          </w:tcPr>
          <w:p w14:paraId="3566F8B9">
            <w:pPr>
              <w:spacing w:line="360" w:lineRule="auto"/>
              <w:ind w:left="640"/>
              <w:rPr>
                <w:rFonts w:ascii="宋体" w:hAnsi="宋体" w:cs="宋体"/>
                <w:sz w:val="24"/>
              </w:rPr>
            </w:pPr>
            <w:r>
              <w:rPr>
                <w:rFonts w:hint="eastAsia" w:ascii="宋体" w:hAnsi="宋体" w:cs="宋体"/>
                <w:sz w:val="24"/>
              </w:rPr>
              <w:t>备注</w:t>
            </w:r>
          </w:p>
        </w:tc>
        <w:tc>
          <w:tcPr>
            <w:tcW w:w="7157" w:type="dxa"/>
            <w:vAlign w:val="center"/>
          </w:tcPr>
          <w:p w14:paraId="2DD74BB1">
            <w:pPr>
              <w:spacing w:line="0" w:lineRule="atLeast"/>
              <w:jc w:val="center"/>
              <w:rPr>
                <w:rFonts w:ascii="宋体" w:hAnsi="宋体" w:cs="宋体"/>
                <w:szCs w:val="21"/>
              </w:rPr>
            </w:pPr>
            <w:r>
              <w:rPr>
                <w:rFonts w:hint="eastAsia" w:ascii="宋体" w:hAnsi="宋体" w:cs="宋体"/>
                <w:sz w:val="24"/>
              </w:rPr>
              <w:t>获奖情况：（如有，需附荣誉证书和同级奖励文件的复印件）</w:t>
            </w:r>
          </w:p>
        </w:tc>
      </w:tr>
    </w:tbl>
    <w:p w14:paraId="27FEB276">
      <w:pPr>
        <w:spacing w:line="380" w:lineRule="exact"/>
        <w:ind w:left="723" w:hanging="723" w:hangingChars="300"/>
        <w:rPr>
          <w:rFonts w:ascii="宋体" w:hAnsi="宋体" w:cs="宋体"/>
          <w:sz w:val="24"/>
        </w:rPr>
      </w:pPr>
      <w:r>
        <w:rPr>
          <w:rFonts w:hint="eastAsia" w:ascii="宋体" w:hAnsi="宋体" w:cs="宋体"/>
          <w:b/>
          <w:sz w:val="24"/>
        </w:rPr>
        <w:t>注：</w:t>
      </w:r>
      <w:r>
        <w:rPr>
          <w:rFonts w:hint="eastAsia" w:ascii="宋体" w:hAnsi="宋体" w:cs="宋体"/>
          <w:sz w:val="24"/>
        </w:rPr>
        <w:t>1、类似项目指</w:t>
      </w:r>
      <w:r>
        <w:rPr>
          <w:rFonts w:hint="eastAsia" w:ascii="宋体" w:hAnsi="宋体" w:cs="宋体"/>
          <w:sz w:val="24"/>
          <w:u w:val="single"/>
        </w:rPr>
        <w:t xml:space="preserve">    类似本项目   </w:t>
      </w:r>
      <w:r>
        <w:rPr>
          <w:rFonts w:hint="eastAsia" w:ascii="宋体" w:hAnsi="宋体" w:cs="宋体"/>
          <w:sz w:val="24"/>
        </w:rPr>
        <w:t>的。</w:t>
      </w:r>
    </w:p>
    <w:p w14:paraId="58E9D108">
      <w:pPr>
        <w:spacing w:line="360" w:lineRule="auto"/>
        <w:ind w:firstLine="720" w:firstLineChars="300"/>
        <w:rPr>
          <w:rFonts w:ascii="宋体" w:hAnsi="宋体" w:cs="宋体"/>
          <w:sz w:val="24"/>
        </w:rPr>
      </w:pPr>
      <w:r>
        <w:rPr>
          <w:rFonts w:hint="eastAsia" w:ascii="宋体" w:hAnsi="宋体" w:cs="宋体"/>
          <w:sz w:val="24"/>
        </w:rPr>
        <w:t>2、本表后附合同</w:t>
      </w:r>
      <w:r>
        <w:rPr>
          <w:rFonts w:hint="eastAsia" w:ascii="宋体" w:hAnsi="宋体" w:cs="宋体"/>
          <w:sz w:val="24"/>
          <w:lang w:val="en-US" w:eastAsia="zh-CN"/>
        </w:rPr>
        <w:t>或</w:t>
      </w:r>
      <w:r>
        <w:rPr>
          <w:rFonts w:hint="eastAsia" w:ascii="宋体" w:hAnsi="宋体" w:cs="宋体"/>
          <w:sz w:val="24"/>
        </w:rPr>
        <w:t>中标通知书的扫描件，业绩年份要求为近三年。每张表格只填写一个项目，并标明序号。</w:t>
      </w:r>
    </w:p>
    <w:p w14:paraId="4F981489">
      <w:pPr>
        <w:widowControl/>
        <w:spacing w:line="480" w:lineRule="exact"/>
        <w:jc w:val="center"/>
        <w:rPr>
          <w:rFonts w:ascii="宋体" w:hAnsi="宋体" w:cs="宋体"/>
          <w:b/>
          <w:sz w:val="28"/>
          <w:szCs w:val="28"/>
        </w:rPr>
      </w:pPr>
      <w:r>
        <w:rPr>
          <w:rFonts w:hint="eastAsia" w:ascii="宋体" w:hAnsi="宋体" w:cs="宋体"/>
          <w:sz w:val="24"/>
          <w:szCs w:val="20"/>
        </w:rPr>
        <w:br w:type="page"/>
      </w:r>
      <w:bookmarkEnd w:id="107"/>
      <w:bookmarkStart w:id="108" w:name="_Toc17417"/>
      <w:r>
        <w:rPr>
          <w:rFonts w:hint="eastAsia" w:ascii="宋体" w:hAnsi="宋体" w:cs="宋体"/>
          <w:b/>
          <w:sz w:val="28"/>
          <w:szCs w:val="28"/>
        </w:rPr>
        <w:t>七、</w:t>
      </w:r>
      <w:bookmarkEnd w:id="108"/>
      <w:bookmarkStart w:id="109" w:name="_Toc70398877"/>
      <w:bookmarkStart w:id="110" w:name="_Toc71269883"/>
      <w:bookmarkStart w:id="111" w:name="_Toc13033"/>
      <w:r>
        <w:rPr>
          <w:rFonts w:hint="eastAsia" w:ascii="宋体" w:hAnsi="宋体" w:cs="宋体"/>
          <w:b/>
          <w:sz w:val="28"/>
          <w:szCs w:val="28"/>
        </w:rPr>
        <w:t>项目实施方案</w:t>
      </w:r>
    </w:p>
    <w:p w14:paraId="2B62A8C5">
      <w:pPr>
        <w:widowControl/>
        <w:spacing w:line="480" w:lineRule="exact"/>
        <w:jc w:val="center"/>
        <w:rPr>
          <w:rFonts w:ascii="宋体" w:hAnsi="宋体" w:cs="宋体"/>
          <w:b/>
          <w:sz w:val="28"/>
          <w:szCs w:val="28"/>
        </w:rPr>
      </w:pPr>
    </w:p>
    <w:p w14:paraId="34977A85">
      <w:pPr>
        <w:widowControl/>
        <w:spacing w:line="480" w:lineRule="exact"/>
        <w:jc w:val="center"/>
        <w:rPr>
          <w:rFonts w:ascii="宋体" w:hAnsi="宋体" w:cs="宋体"/>
          <w:b/>
          <w:sz w:val="28"/>
          <w:szCs w:val="28"/>
        </w:rPr>
      </w:pPr>
    </w:p>
    <w:p w14:paraId="71A9DC0E">
      <w:pPr>
        <w:widowControl/>
        <w:spacing w:line="480" w:lineRule="exact"/>
        <w:jc w:val="center"/>
        <w:rPr>
          <w:rFonts w:ascii="宋体" w:hAnsi="宋体" w:cs="宋体"/>
          <w:b/>
          <w:sz w:val="28"/>
          <w:szCs w:val="28"/>
        </w:rPr>
      </w:pPr>
    </w:p>
    <w:p w14:paraId="316635B3">
      <w:pPr>
        <w:widowControl/>
        <w:spacing w:line="480" w:lineRule="exact"/>
        <w:jc w:val="center"/>
        <w:rPr>
          <w:rFonts w:ascii="宋体" w:hAnsi="宋体" w:cs="宋体"/>
          <w:b/>
          <w:sz w:val="28"/>
          <w:szCs w:val="28"/>
        </w:rPr>
      </w:pPr>
    </w:p>
    <w:p w14:paraId="457925C7">
      <w:pPr>
        <w:widowControl/>
        <w:spacing w:line="480" w:lineRule="exact"/>
        <w:jc w:val="center"/>
        <w:rPr>
          <w:rFonts w:ascii="宋体" w:hAnsi="宋体" w:cs="宋体"/>
          <w:b/>
          <w:sz w:val="28"/>
          <w:szCs w:val="28"/>
        </w:rPr>
      </w:pPr>
    </w:p>
    <w:p w14:paraId="1FFE389D">
      <w:pPr>
        <w:widowControl/>
        <w:spacing w:line="480" w:lineRule="exact"/>
        <w:jc w:val="center"/>
        <w:rPr>
          <w:rFonts w:ascii="宋体" w:hAnsi="宋体" w:cs="宋体"/>
          <w:b/>
          <w:sz w:val="28"/>
          <w:szCs w:val="28"/>
        </w:rPr>
      </w:pPr>
    </w:p>
    <w:p w14:paraId="1BAE304D">
      <w:pPr>
        <w:widowControl/>
        <w:spacing w:line="480" w:lineRule="exact"/>
        <w:jc w:val="center"/>
        <w:rPr>
          <w:rFonts w:ascii="宋体" w:hAnsi="宋体" w:cs="宋体"/>
          <w:b/>
          <w:sz w:val="28"/>
          <w:szCs w:val="28"/>
        </w:rPr>
      </w:pPr>
    </w:p>
    <w:p w14:paraId="258E13D5">
      <w:pPr>
        <w:widowControl/>
        <w:spacing w:line="480" w:lineRule="exact"/>
        <w:jc w:val="center"/>
        <w:rPr>
          <w:rFonts w:ascii="宋体" w:hAnsi="宋体" w:cs="宋体"/>
          <w:b/>
          <w:sz w:val="28"/>
          <w:szCs w:val="28"/>
        </w:rPr>
      </w:pPr>
    </w:p>
    <w:p w14:paraId="557410D3">
      <w:pPr>
        <w:widowControl/>
        <w:spacing w:line="480" w:lineRule="exact"/>
        <w:jc w:val="center"/>
        <w:rPr>
          <w:rFonts w:ascii="宋体" w:hAnsi="宋体" w:cs="宋体"/>
          <w:b/>
          <w:sz w:val="28"/>
          <w:szCs w:val="28"/>
        </w:rPr>
      </w:pPr>
    </w:p>
    <w:p w14:paraId="275A9C65">
      <w:pPr>
        <w:widowControl/>
        <w:spacing w:line="480" w:lineRule="exact"/>
        <w:jc w:val="center"/>
        <w:rPr>
          <w:rFonts w:ascii="宋体" w:hAnsi="宋体" w:cs="宋体"/>
          <w:b/>
          <w:sz w:val="28"/>
          <w:szCs w:val="28"/>
        </w:rPr>
      </w:pPr>
    </w:p>
    <w:p w14:paraId="1A50A3D2">
      <w:pPr>
        <w:widowControl/>
        <w:spacing w:line="480" w:lineRule="exact"/>
        <w:jc w:val="center"/>
        <w:rPr>
          <w:rFonts w:ascii="宋体" w:hAnsi="宋体" w:cs="宋体"/>
          <w:b/>
          <w:sz w:val="28"/>
          <w:szCs w:val="28"/>
        </w:rPr>
      </w:pPr>
    </w:p>
    <w:p w14:paraId="46C9113F">
      <w:pPr>
        <w:widowControl/>
        <w:spacing w:line="480" w:lineRule="exact"/>
        <w:jc w:val="center"/>
        <w:rPr>
          <w:rFonts w:ascii="宋体" w:hAnsi="宋体" w:cs="宋体"/>
          <w:b/>
          <w:sz w:val="28"/>
          <w:szCs w:val="28"/>
        </w:rPr>
      </w:pPr>
    </w:p>
    <w:p w14:paraId="50C501C5">
      <w:pPr>
        <w:widowControl/>
        <w:spacing w:line="480" w:lineRule="exact"/>
        <w:jc w:val="center"/>
        <w:rPr>
          <w:rFonts w:ascii="宋体" w:hAnsi="宋体" w:cs="宋体"/>
          <w:b/>
          <w:sz w:val="28"/>
          <w:szCs w:val="28"/>
        </w:rPr>
      </w:pPr>
    </w:p>
    <w:p w14:paraId="0754E3B2">
      <w:pPr>
        <w:widowControl/>
        <w:spacing w:line="480" w:lineRule="exact"/>
        <w:jc w:val="center"/>
        <w:rPr>
          <w:rFonts w:ascii="宋体" w:hAnsi="宋体" w:cs="宋体"/>
          <w:b/>
          <w:sz w:val="28"/>
          <w:szCs w:val="28"/>
        </w:rPr>
      </w:pPr>
    </w:p>
    <w:p w14:paraId="5BBE26EA">
      <w:pPr>
        <w:widowControl/>
        <w:spacing w:line="480" w:lineRule="exact"/>
        <w:jc w:val="center"/>
        <w:rPr>
          <w:rFonts w:ascii="宋体" w:hAnsi="宋体" w:cs="宋体"/>
          <w:b/>
          <w:sz w:val="28"/>
          <w:szCs w:val="28"/>
        </w:rPr>
      </w:pPr>
    </w:p>
    <w:p w14:paraId="2E1C13C1">
      <w:pPr>
        <w:widowControl/>
        <w:spacing w:line="480" w:lineRule="exact"/>
        <w:jc w:val="center"/>
        <w:rPr>
          <w:rFonts w:ascii="宋体" w:hAnsi="宋体" w:cs="宋体"/>
          <w:b/>
          <w:sz w:val="28"/>
          <w:szCs w:val="28"/>
        </w:rPr>
      </w:pPr>
    </w:p>
    <w:p w14:paraId="1401513D">
      <w:pPr>
        <w:widowControl/>
        <w:spacing w:line="480" w:lineRule="exact"/>
        <w:jc w:val="center"/>
        <w:rPr>
          <w:rFonts w:ascii="宋体" w:hAnsi="宋体" w:cs="宋体"/>
          <w:b/>
          <w:sz w:val="28"/>
          <w:szCs w:val="28"/>
        </w:rPr>
      </w:pPr>
    </w:p>
    <w:p w14:paraId="69DEC7C2">
      <w:pPr>
        <w:widowControl/>
        <w:spacing w:line="480" w:lineRule="exact"/>
        <w:jc w:val="center"/>
        <w:rPr>
          <w:rFonts w:ascii="宋体" w:hAnsi="宋体" w:cs="宋体"/>
          <w:b/>
          <w:sz w:val="28"/>
          <w:szCs w:val="28"/>
        </w:rPr>
      </w:pPr>
    </w:p>
    <w:p w14:paraId="39138C34">
      <w:pPr>
        <w:widowControl/>
        <w:spacing w:line="480" w:lineRule="exact"/>
        <w:jc w:val="center"/>
        <w:rPr>
          <w:rFonts w:ascii="宋体" w:hAnsi="宋体" w:cs="宋体"/>
          <w:b/>
          <w:sz w:val="28"/>
          <w:szCs w:val="28"/>
        </w:rPr>
      </w:pPr>
    </w:p>
    <w:p w14:paraId="33F61279">
      <w:pPr>
        <w:widowControl/>
        <w:spacing w:line="480" w:lineRule="exact"/>
        <w:jc w:val="center"/>
        <w:rPr>
          <w:rFonts w:ascii="宋体" w:hAnsi="宋体" w:cs="宋体"/>
          <w:b/>
          <w:sz w:val="28"/>
          <w:szCs w:val="28"/>
        </w:rPr>
      </w:pPr>
    </w:p>
    <w:p w14:paraId="5A739523">
      <w:pPr>
        <w:widowControl/>
        <w:spacing w:line="480" w:lineRule="exact"/>
        <w:jc w:val="center"/>
        <w:rPr>
          <w:rFonts w:ascii="宋体" w:hAnsi="宋体" w:cs="宋体"/>
          <w:b/>
          <w:sz w:val="28"/>
          <w:szCs w:val="28"/>
        </w:rPr>
      </w:pPr>
    </w:p>
    <w:p w14:paraId="2187DE5E">
      <w:pPr>
        <w:widowControl/>
        <w:spacing w:line="480" w:lineRule="exact"/>
        <w:jc w:val="center"/>
        <w:rPr>
          <w:rFonts w:ascii="宋体" w:hAnsi="宋体" w:cs="宋体"/>
          <w:b/>
          <w:sz w:val="28"/>
          <w:szCs w:val="28"/>
        </w:rPr>
      </w:pPr>
    </w:p>
    <w:p w14:paraId="303879C4">
      <w:pPr>
        <w:widowControl/>
        <w:spacing w:line="480" w:lineRule="exact"/>
        <w:jc w:val="center"/>
        <w:rPr>
          <w:rFonts w:ascii="宋体" w:hAnsi="宋体" w:cs="宋体"/>
          <w:b/>
          <w:sz w:val="28"/>
          <w:szCs w:val="28"/>
        </w:rPr>
      </w:pPr>
    </w:p>
    <w:p w14:paraId="6235D5B3">
      <w:pPr>
        <w:widowControl/>
        <w:spacing w:line="480" w:lineRule="exact"/>
        <w:jc w:val="center"/>
        <w:rPr>
          <w:rFonts w:ascii="宋体" w:hAnsi="宋体" w:cs="宋体"/>
          <w:b/>
          <w:sz w:val="28"/>
          <w:szCs w:val="28"/>
        </w:rPr>
      </w:pPr>
    </w:p>
    <w:p w14:paraId="4E2FCC4E">
      <w:pPr>
        <w:widowControl/>
        <w:spacing w:line="480" w:lineRule="exact"/>
        <w:jc w:val="center"/>
        <w:rPr>
          <w:rFonts w:ascii="宋体" w:hAnsi="宋体" w:cs="宋体"/>
          <w:b/>
          <w:sz w:val="28"/>
          <w:szCs w:val="28"/>
        </w:rPr>
      </w:pPr>
    </w:p>
    <w:p w14:paraId="2BDE21DF">
      <w:pPr>
        <w:widowControl/>
        <w:spacing w:line="480" w:lineRule="exact"/>
        <w:jc w:val="center"/>
        <w:rPr>
          <w:rFonts w:ascii="宋体" w:hAnsi="宋体" w:cs="宋体"/>
          <w:b/>
          <w:sz w:val="28"/>
          <w:szCs w:val="28"/>
        </w:rPr>
      </w:pPr>
    </w:p>
    <w:p w14:paraId="025F865D">
      <w:pPr>
        <w:widowControl/>
        <w:spacing w:line="480" w:lineRule="exact"/>
        <w:jc w:val="center"/>
        <w:rPr>
          <w:rFonts w:ascii="宋体" w:hAnsi="宋体" w:cs="宋体"/>
          <w:b/>
          <w:sz w:val="28"/>
          <w:szCs w:val="28"/>
        </w:rPr>
      </w:pPr>
    </w:p>
    <w:p w14:paraId="5713F1BE">
      <w:pPr>
        <w:widowControl/>
        <w:spacing w:line="480" w:lineRule="exact"/>
        <w:jc w:val="center"/>
        <w:rPr>
          <w:rFonts w:ascii="宋体" w:hAnsi="宋体" w:cs="宋体"/>
          <w:b/>
          <w:sz w:val="28"/>
          <w:szCs w:val="28"/>
        </w:rPr>
      </w:pPr>
    </w:p>
    <w:p w14:paraId="4C81FBEF">
      <w:pPr>
        <w:widowControl/>
        <w:spacing w:line="480" w:lineRule="exact"/>
        <w:jc w:val="center"/>
        <w:rPr>
          <w:rFonts w:ascii="宋体" w:hAnsi="宋体" w:eastAsia="宋体" w:cs="宋体"/>
          <w:b/>
          <w:color w:val="FF0000"/>
          <w:sz w:val="28"/>
          <w:szCs w:val="28"/>
        </w:rPr>
      </w:pPr>
      <w:r>
        <w:rPr>
          <w:rFonts w:hint="eastAsia" w:ascii="宋体" w:hAnsi="宋体" w:cs="宋体"/>
          <w:b/>
          <w:sz w:val="28"/>
          <w:szCs w:val="28"/>
        </w:rPr>
        <w:t>八、</w:t>
      </w:r>
      <w:bookmarkEnd w:id="102"/>
      <w:r>
        <w:rPr>
          <w:rFonts w:hint="eastAsia" w:ascii="宋体" w:hAnsi="宋体" w:cs="宋体"/>
          <w:b/>
          <w:sz w:val="28"/>
          <w:szCs w:val="28"/>
        </w:rPr>
        <w:t>其他承诺等</w:t>
      </w:r>
    </w:p>
    <w:p w14:paraId="72CF3243">
      <w:pPr>
        <w:rPr>
          <w:rFonts w:ascii="宋体" w:hAnsi="宋体" w:cs="宋体"/>
          <w:b/>
          <w:sz w:val="28"/>
          <w:szCs w:val="28"/>
        </w:rPr>
      </w:pPr>
      <w:r>
        <w:rPr>
          <w:rFonts w:hint="eastAsia" w:ascii="宋体" w:hAnsi="宋体" w:cs="宋体"/>
          <w:b/>
          <w:sz w:val="28"/>
          <w:szCs w:val="28"/>
        </w:rPr>
        <w:br w:type="page"/>
      </w:r>
    </w:p>
    <w:p w14:paraId="793E3268">
      <w:pPr>
        <w:widowControl/>
        <w:autoSpaceDN w:val="0"/>
        <w:spacing w:line="480" w:lineRule="atLeast"/>
        <w:jc w:val="center"/>
        <w:outlineLvl w:val="0"/>
        <w:rPr>
          <w:rFonts w:ascii="宋体" w:hAnsi="宋体" w:cs="宋体"/>
          <w:b/>
          <w:sz w:val="28"/>
          <w:szCs w:val="28"/>
        </w:rPr>
      </w:pPr>
      <w:bookmarkStart w:id="112" w:name="_Toc23942"/>
      <w:r>
        <w:rPr>
          <w:rFonts w:hint="eastAsia" w:ascii="宋体" w:hAnsi="宋体" w:cs="宋体"/>
          <w:b/>
          <w:sz w:val="28"/>
          <w:szCs w:val="28"/>
        </w:rPr>
        <w:t>九、</w:t>
      </w:r>
      <w:bookmarkEnd w:id="109"/>
      <w:bookmarkEnd w:id="110"/>
      <w:bookmarkEnd w:id="111"/>
      <w:r>
        <w:rPr>
          <w:rFonts w:hint="eastAsia" w:ascii="宋体" w:hAnsi="宋体" w:cs="宋体"/>
          <w:b/>
          <w:sz w:val="28"/>
          <w:szCs w:val="28"/>
        </w:rPr>
        <w:t>供应商认为应该提交的其他证明材料</w:t>
      </w:r>
      <w:bookmarkEnd w:id="112"/>
      <w:r>
        <w:rPr>
          <w:rFonts w:hint="eastAsia" w:ascii="宋体" w:hAnsi="宋体" w:cs="宋体"/>
          <w:b/>
          <w:sz w:val="28"/>
          <w:szCs w:val="28"/>
        </w:rPr>
        <w:t xml:space="preserve"> </w:t>
      </w:r>
    </w:p>
    <w:p w14:paraId="5E8B52F9">
      <w:pPr>
        <w:widowControl/>
        <w:spacing w:line="480" w:lineRule="exact"/>
        <w:jc w:val="center"/>
        <w:rPr>
          <w:rFonts w:ascii="宋体" w:hAnsi="宋体" w:cs="宋体"/>
          <w:b/>
          <w:sz w:val="28"/>
          <w:szCs w:val="28"/>
        </w:rPr>
      </w:pPr>
      <w:bookmarkStart w:id="113" w:name="_Toc97815880"/>
      <w:bookmarkStart w:id="114" w:name="_Toc70398879"/>
      <w:bookmarkStart w:id="115" w:name="_Toc18453"/>
      <w:bookmarkStart w:id="116" w:name="_Toc5049"/>
      <w:bookmarkStart w:id="117" w:name="_Toc71269885"/>
      <w:bookmarkStart w:id="118" w:name="_Toc97816702"/>
      <w:r>
        <w:rPr>
          <w:rFonts w:hint="eastAsia" w:ascii="宋体" w:hAnsi="宋体" w:cs="宋体"/>
          <w:bCs/>
          <w:sz w:val="24"/>
        </w:rPr>
        <w:t>（投标人认为需要提供的对本次投标有用的其他资料）</w:t>
      </w:r>
      <w:bookmarkEnd w:id="113"/>
      <w:bookmarkEnd w:id="114"/>
      <w:bookmarkEnd w:id="115"/>
      <w:bookmarkEnd w:id="116"/>
      <w:bookmarkEnd w:id="117"/>
      <w:bookmarkEnd w:id="118"/>
    </w:p>
    <w:p w14:paraId="0C963031">
      <w:pPr>
        <w:widowControl/>
        <w:spacing w:line="480" w:lineRule="exact"/>
        <w:jc w:val="center"/>
        <w:rPr>
          <w:rFonts w:ascii="宋体" w:hAnsi="宋体" w:cs="宋体"/>
          <w:kern w:val="0"/>
          <w:sz w:val="24"/>
        </w:rPr>
      </w:pPr>
    </w:p>
    <w:p w14:paraId="248156A7">
      <w:pPr>
        <w:jc w:val="center"/>
        <w:rPr>
          <w:rFonts w:ascii="宋体" w:hAnsi="宋体" w:cs="宋体"/>
          <w:b/>
          <w:kern w:val="0"/>
          <w:sz w:val="24"/>
          <w:shd w:val="clear" w:color="auto" w:fill="FFFFFF"/>
        </w:rPr>
      </w:pPr>
      <w:bookmarkStart w:id="119" w:name="_Toc13585_WPSOffice_Level1"/>
    </w:p>
    <w:p w14:paraId="5EF8B5C4">
      <w:pPr>
        <w:rPr>
          <w:rFonts w:ascii="宋体" w:hAnsi="宋体" w:cs="宋体"/>
          <w:spacing w:val="6"/>
          <w:szCs w:val="20"/>
        </w:rPr>
      </w:pPr>
      <w:r>
        <w:rPr>
          <w:rFonts w:hint="eastAsia" w:ascii="宋体" w:hAnsi="宋体" w:cs="宋体"/>
          <w:b/>
          <w:sz w:val="28"/>
          <w:szCs w:val="28"/>
        </w:rPr>
        <w:br w:type="page"/>
      </w:r>
      <w:bookmarkEnd w:id="119"/>
    </w:p>
    <w:p w14:paraId="73986C75">
      <w:pPr>
        <w:spacing w:line="588" w:lineRule="exact"/>
        <w:rPr>
          <w:rFonts w:ascii="宋体" w:hAnsi="宋体" w:cs="宋体"/>
          <w:spacing w:val="6"/>
          <w:sz w:val="30"/>
          <w:szCs w:val="30"/>
        </w:rPr>
      </w:pPr>
      <w:r>
        <w:rPr>
          <w:rFonts w:hint="eastAsia" w:ascii="宋体" w:hAnsi="宋体" w:cs="宋体"/>
          <w:spacing w:val="6"/>
          <w:sz w:val="30"/>
          <w:szCs w:val="30"/>
        </w:rPr>
        <w:t>附件一</w:t>
      </w:r>
    </w:p>
    <w:p w14:paraId="048B57DA">
      <w:pPr>
        <w:spacing w:line="480" w:lineRule="auto"/>
        <w:jc w:val="center"/>
        <w:rPr>
          <w:rFonts w:ascii="黑体" w:hAnsi="黑体" w:eastAsia="黑体" w:cs="宋体"/>
          <w:bCs/>
          <w:kern w:val="0"/>
          <w:sz w:val="28"/>
          <w:szCs w:val="28"/>
        </w:rPr>
      </w:pPr>
      <w:r>
        <w:rPr>
          <w:rFonts w:hint="eastAsia" w:ascii="黑体" w:hAnsi="黑体" w:eastAsia="黑体" w:cs="宋体"/>
          <w:bCs/>
          <w:kern w:val="0"/>
          <w:sz w:val="28"/>
          <w:szCs w:val="28"/>
        </w:rPr>
        <w:t>中小企业声明函（货物）</w:t>
      </w:r>
    </w:p>
    <w:p w14:paraId="7F546471">
      <w:pPr>
        <w:spacing w:before="312" w:beforeLines="100" w:line="480" w:lineRule="auto"/>
        <w:ind w:firstLine="482"/>
        <w:jc w:val="left"/>
        <w:rPr>
          <w:rFonts w:ascii="宋体" w:hAnsi="宋体"/>
          <w:sz w:val="24"/>
          <w:szCs w:val="20"/>
        </w:rPr>
      </w:pPr>
      <w:r>
        <w:rPr>
          <w:rFonts w:hint="eastAsia" w:ascii="宋体" w:hAnsi="宋体"/>
          <w:sz w:val="24"/>
          <w:szCs w:val="20"/>
        </w:rPr>
        <w:t>本公司（联合体）郑重声明，根据《政府采购促进中小企业发展管理办法》（财库﹝2020﹞46 号）的规定，本公司（联合体）参加</w:t>
      </w:r>
      <w:r>
        <w:rPr>
          <w:rFonts w:hint="eastAsia" w:ascii="宋体" w:hAnsi="宋体"/>
          <w:sz w:val="24"/>
          <w:szCs w:val="20"/>
          <w:u w:val="single"/>
        </w:rPr>
        <w:t>（单位名称）</w:t>
      </w:r>
      <w:r>
        <w:rPr>
          <w:rFonts w:hint="eastAsia" w:ascii="宋体" w:hAnsi="宋体"/>
          <w:sz w:val="24"/>
          <w:szCs w:val="20"/>
        </w:rPr>
        <w:t>的</w:t>
      </w:r>
      <w:r>
        <w:rPr>
          <w:rFonts w:hint="eastAsia" w:ascii="宋体" w:hAnsi="宋体"/>
          <w:sz w:val="24"/>
          <w:szCs w:val="20"/>
          <w:u w:val="single"/>
        </w:rPr>
        <w:t>（项目名称）</w:t>
      </w:r>
      <w:r>
        <w:rPr>
          <w:rFonts w:hint="eastAsia" w:ascii="宋体" w:hAnsi="宋体"/>
          <w:sz w:val="24"/>
          <w:szCs w:val="20"/>
        </w:rPr>
        <w:t xml:space="preserve">采购活动，提供的货物全部由符合政策要求的中小企业制造。相关企业（含联合体中的中小企业、签订分包意向协议的中小企业）的具体情况如下： </w:t>
      </w:r>
    </w:p>
    <w:p w14:paraId="1C1B7AEA">
      <w:pPr>
        <w:spacing w:line="480" w:lineRule="auto"/>
        <w:ind w:firstLine="480"/>
        <w:jc w:val="left"/>
        <w:rPr>
          <w:rFonts w:ascii="宋体" w:hAnsi="宋体"/>
          <w:sz w:val="24"/>
          <w:szCs w:val="20"/>
        </w:rPr>
      </w:pPr>
      <w:r>
        <w:rPr>
          <w:rFonts w:hint="eastAsia" w:ascii="宋体" w:hAnsi="宋体"/>
          <w:sz w:val="24"/>
          <w:szCs w:val="20"/>
        </w:rPr>
        <w:t xml:space="preserve">1.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w:t>
      </w:r>
      <w:r>
        <w:rPr>
          <w:rFonts w:hint="eastAsia" w:ascii="宋体" w:hAnsi="宋体"/>
          <w:sz w:val="24"/>
          <w:szCs w:val="20"/>
          <w:vertAlign w:val="subscript"/>
        </w:rPr>
        <w:t>1</w:t>
      </w:r>
      <w:r>
        <w:rPr>
          <w:rFonts w:hint="eastAsia" w:ascii="宋体" w:hAnsi="宋体"/>
          <w:sz w:val="24"/>
          <w:szCs w:val="20"/>
        </w:rPr>
        <w:t>，属于（中型企业、小型企业、微型企业）；</w:t>
      </w:r>
    </w:p>
    <w:p w14:paraId="53CB83EB">
      <w:pPr>
        <w:spacing w:line="480" w:lineRule="auto"/>
        <w:ind w:firstLine="480"/>
        <w:jc w:val="left"/>
        <w:rPr>
          <w:rFonts w:ascii="宋体" w:hAnsi="宋体"/>
          <w:sz w:val="24"/>
          <w:szCs w:val="20"/>
        </w:rPr>
      </w:pPr>
      <w:r>
        <w:rPr>
          <w:rFonts w:hint="eastAsia" w:ascii="宋体" w:hAnsi="宋体"/>
          <w:sz w:val="24"/>
          <w:szCs w:val="20"/>
        </w:rPr>
        <w:t xml:space="preserve">2. </w:t>
      </w:r>
      <w:r>
        <w:rPr>
          <w:rFonts w:hint="eastAsia" w:ascii="宋体" w:hAnsi="宋体"/>
          <w:sz w:val="24"/>
          <w:szCs w:val="20"/>
          <w:u w:val="single"/>
        </w:rPr>
        <w:t xml:space="preserve">（标的名称） </w:t>
      </w:r>
      <w:r>
        <w:rPr>
          <w:rFonts w:hint="eastAsia" w:ascii="宋体" w:hAnsi="宋体"/>
          <w:sz w:val="24"/>
          <w:szCs w:val="20"/>
        </w:rPr>
        <w:t>，属于</w:t>
      </w:r>
      <w:r>
        <w:rPr>
          <w:rFonts w:hint="eastAsia" w:ascii="宋体" w:hAnsi="宋体"/>
          <w:sz w:val="24"/>
          <w:szCs w:val="20"/>
          <w:u w:val="single"/>
        </w:rPr>
        <w:t>（采购文件中明确的所属行业）</w:t>
      </w:r>
      <w:r>
        <w:rPr>
          <w:rFonts w:hint="eastAsia" w:ascii="宋体" w:hAnsi="宋体"/>
          <w:sz w:val="24"/>
          <w:szCs w:val="20"/>
        </w:rPr>
        <w:t>；制造商为</w:t>
      </w:r>
      <w:r>
        <w:rPr>
          <w:rFonts w:hint="eastAsia" w:ascii="宋体" w:hAnsi="宋体"/>
          <w:sz w:val="24"/>
          <w:szCs w:val="20"/>
          <w:u w:val="single"/>
        </w:rPr>
        <w:t>（企业名称）</w:t>
      </w:r>
      <w:r>
        <w:rPr>
          <w:rFonts w:hint="eastAsia" w:ascii="宋体" w:hAnsi="宋体"/>
          <w:sz w:val="24"/>
          <w:szCs w:val="20"/>
        </w:rPr>
        <w:t>，从业人员</w:t>
      </w:r>
      <w:r>
        <w:rPr>
          <w:rFonts w:hint="eastAsia" w:ascii="宋体" w:hAnsi="宋体"/>
          <w:sz w:val="24"/>
          <w:szCs w:val="20"/>
          <w:u w:val="single"/>
        </w:rPr>
        <w:t xml:space="preserve">   </w:t>
      </w:r>
      <w:r>
        <w:rPr>
          <w:rFonts w:hint="eastAsia" w:ascii="宋体" w:hAnsi="宋体"/>
          <w:sz w:val="24"/>
          <w:szCs w:val="20"/>
        </w:rPr>
        <w:t>人，营业收入为</w:t>
      </w:r>
      <w:r>
        <w:rPr>
          <w:rFonts w:hint="eastAsia" w:ascii="宋体" w:hAnsi="宋体"/>
          <w:sz w:val="24"/>
          <w:szCs w:val="20"/>
          <w:u w:val="single"/>
        </w:rPr>
        <w:t xml:space="preserve">   </w:t>
      </w:r>
      <w:r>
        <w:rPr>
          <w:rFonts w:hint="eastAsia" w:ascii="宋体" w:hAnsi="宋体"/>
          <w:sz w:val="24"/>
          <w:szCs w:val="20"/>
        </w:rPr>
        <w:t>万元，资产总额为</w:t>
      </w:r>
      <w:r>
        <w:rPr>
          <w:rFonts w:hint="eastAsia" w:ascii="宋体" w:hAnsi="宋体"/>
          <w:sz w:val="24"/>
          <w:szCs w:val="20"/>
          <w:u w:val="single"/>
        </w:rPr>
        <w:t xml:space="preserve">   </w:t>
      </w:r>
      <w:r>
        <w:rPr>
          <w:rFonts w:hint="eastAsia" w:ascii="宋体" w:hAnsi="宋体"/>
          <w:sz w:val="24"/>
          <w:szCs w:val="20"/>
        </w:rPr>
        <w:t>万元，属于</w:t>
      </w:r>
      <w:r>
        <w:rPr>
          <w:rFonts w:hint="eastAsia" w:ascii="宋体" w:hAnsi="宋体"/>
          <w:sz w:val="24"/>
          <w:szCs w:val="20"/>
          <w:u w:val="single"/>
        </w:rPr>
        <w:t>（中型企业、小型企业、微型企业）</w:t>
      </w:r>
      <w:r>
        <w:rPr>
          <w:rFonts w:hint="eastAsia" w:ascii="宋体" w:hAnsi="宋体"/>
          <w:sz w:val="24"/>
          <w:szCs w:val="20"/>
        </w:rPr>
        <w:t>；</w:t>
      </w:r>
    </w:p>
    <w:p w14:paraId="7FEE04BD">
      <w:pPr>
        <w:spacing w:line="480" w:lineRule="auto"/>
        <w:ind w:firstLine="480"/>
        <w:jc w:val="left"/>
        <w:rPr>
          <w:rFonts w:ascii="宋体" w:hAnsi="宋体"/>
          <w:sz w:val="24"/>
          <w:szCs w:val="20"/>
        </w:rPr>
      </w:pPr>
      <w:r>
        <w:rPr>
          <w:rFonts w:hint="eastAsia" w:ascii="宋体" w:hAnsi="宋体"/>
          <w:sz w:val="24"/>
          <w:szCs w:val="20"/>
        </w:rPr>
        <w:t>……</w:t>
      </w:r>
    </w:p>
    <w:p w14:paraId="2B60D915">
      <w:pPr>
        <w:spacing w:line="480" w:lineRule="auto"/>
        <w:ind w:firstLine="480"/>
        <w:jc w:val="left"/>
        <w:rPr>
          <w:rFonts w:ascii="宋体" w:hAnsi="宋体"/>
          <w:sz w:val="24"/>
          <w:szCs w:val="20"/>
        </w:rPr>
      </w:pPr>
      <w:r>
        <w:rPr>
          <w:rFonts w:hint="eastAsia" w:ascii="宋体" w:hAnsi="宋体"/>
          <w:sz w:val="24"/>
          <w:szCs w:val="20"/>
        </w:rPr>
        <w:t>以上企业，不属于大企业的分支机构，不存在控股股东为大企业的情形，也不存在与大企业的负责人为同一人的情形。</w:t>
      </w:r>
    </w:p>
    <w:p w14:paraId="0EAC3B9D">
      <w:pPr>
        <w:spacing w:line="480" w:lineRule="auto"/>
        <w:ind w:firstLine="480"/>
        <w:jc w:val="left"/>
        <w:rPr>
          <w:rFonts w:ascii="宋体" w:hAnsi="宋体"/>
          <w:sz w:val="24"/>
          <w:szCs w:val="20"/>
        </w:rPr>
      </w:pPr>
      <w:r>
        <w:rPr>
          <w:rFonts w:hint="eastAsia" w:ascii="宋体" w:hAnsi="宋体"/>
          <w:sz w:val="24"/>
          <w:szCs w:val="20"/>
        </w:rPr>
        <w:t>本企业对上述声明内容的真实性负责。如有虚假，将依法承担相应责任。</w:t>
      </w:r>
    </w:p>
    <w:p w14:paraId="618A90A9">
      <w:pPr>
        <w:spacing w:line="480" w:lineRule="auto"/>
        <w:ind w:firstLine="5954"/>
        <w:jc w:val="left"/>
        <w:rPr>
          <w:rFonts w:ascii="宋体" w:hAnsi="宋体"/>
          <w:sz w:val="24"/>
          <w:szCs w:val="20"/>
        </w:rPr>
      </w:pPr>
    </w:p>
    <w:p w14:paraId="4A3CF8B3">
      <w:pPr>
        <w:spacing w:line="480" w:lineRule="auto"/>
        <w:ind w:firstLine="5954"/>
        <w:jc w:val="left"/>
        <w:rPr>
          <w:rFonts w:ascii="宋体" w:hAnsi="宋体"/>
          <w:sz w:val="24"/>
          <w:szCs w:val="20"/>
        </w:rPr>
      </w:pPr>
      <w:r>
        <w:rPr>
          <w:rFonts w:hint="eastAsia" w:ascii="宋体" w:hAnsi="宋体"/>
          <w:sz w:val="24"/>
          <w:szCs w:val="20"/>
        </w:rPr>
        <w:t>企业名称（盖章）：</w:t>
      </w:r>
    </w:p>
    <w:p w14:paraId="216B1F5F">
      <w:pPr>
        <w:spacing w:line="480" w:lineRule="auto"/>
        <w:ind w:firstLine="5954"/>
        <w:jc w:val="left"/>
        <w:rPr>
          <w:rFonts w:ascii="宋体" w:hAnsi="宋体"/>
          <w:sz w:val="24"/>
          <w:szCs w:val="20"/>
        </w:rPr>
      </w:pPr>
      <w:r>
        <w:rPr>
          <w:rFonts w:hint="eastAsia" w:ascii="宋体" w:hAnsi="宋体"/>
          <w:sz w:val="24"/>
          <w:szCs w:val="20"/>
        </w:rPr>
        <w:t>日期：</w:t>
      </w:r>
    </w:p>
    <w:p w14:paraId="286A2F25">
      <w:pPr>
        <w:spacing w:line="360" w:lineRule="auto"/>
        <w:ind w:firstLine="361" w:firstLineChars="150"/>
        <w:jc w:val="left"/>
        <w:rPr>
          <w:rFonts w:ascii="宋体" w:hAnsi="宋体" w:cs="宋体"/>
          <w:b/>
          <w:bCs/>
          <w:sz w:val="24"/>
          <w:szCs w:val="20"/>
        </w:rPr>
      </w:pPr>
      <w:r>
        <w:rPr>
          <w:rFonts w:hint="eastAsia" w:ascii="宋体" w:hAnsi="宋体" w:cs="宋体"/>
          <w:b/>
          <w:bCs/>
          <w:sz w:val="24"/>
          <w:szCs w:val="20"/>
        </w:rPr>
        <w:t>注：1、从业人员、营业收入、资产总额填报上一年度数据，无上一年度数据的新成立企业可不填报。</w:t>
      </w:r>
    </w:p>
    <w:p w14:paraId="017BD599">
      <w:pPr>
        <w:spacing w:line="360" w:lineRule="auto"/>
        <w:ind w:firstLine="361" w:firstLineChars="150"/>
        <w:jc w:val="left"/>
      </w:pPr>
      <w:r>
        <w:rPr>
          <w:rFonts w:hint="eastAsia" w:ascii="宋体" w:hAnsi="宋体" w:cs="宋体"/>
          <w:b/>
          <w:bCs/>
          <w:sz w:val="24"/>
          <w:szCs w:val="20"/>
        </w:rPr>
        <w:t>2、中小企业划分标准见工业和信息化部国家统计局国家发展和改革委员财政部《关于印发中小企业划型标准规定的通知》（工信部联企业【2011】300号）。</w:t>
      </w:r>
      <w:r>
        <w:t xml:space="preserve"> </w:t>
      </w:r>
    </w:p>
    <w:p w14:paraId="5455A61B"/>
    <w:p w14:paraId="68C0A1DE">
      <w:pPr>
        <w:spacing w:after="120" w:line="480" w:lineRule="auto"/>
        <w:ind w:left="420" w:leftChars="200"/>
        <w:jc w:val="center"/>
        <w:rPr>
          <w:rFonts w:ascii="黑体" w:hAnsi="黑体" w:eastAsia="黑体" w:cs="宋体"/>
          <w:bCs/>
          <w:sz w:val="32"/>
          <w:szCs w:val="32"/>
        </w:rPr>
      </w:pPr>
      <w:bookmarkStart w:id="120" w:name="OLE_LINK5"/>
      <w:r>
        <w:rPr>
          <w:rFonts w:ascii="黑体" w:hAnsi="黑体" w:eastAsia="黑体" w:cs="宋体"/>
          <w:bCs/>
          <w:sz w:val="32"/>
          <w:szCs w:val="32"/>
        </w:rPr>
        <w:t>附</w:t>
      </w:r>
      <w:r>
        <w:rPr>
          <w:rFonts w:hint="eastAsia" w:ascii="黑体" w:hAnsi="黑体" w:eastAsia="黑体" w:cs="宋体"/>
          <w:bCs/>
          <w:sz w:val="32"/>
          <w:szCs w:val="32"/>
        </w:rPr>
        <w:t>2：</w:t>
      </w:r>
      <w:r>
        <w:rPr>
          <w:rFonts w:ascii="黑体" w:hAnsi="黑体" w:eastAsia="黑体" w:cs="宋体"/>
          <w:bCs/>
          <w:sz w:val="32"/>
          <w:szCs w:val="32"/>
        </w:rPr>
        <w:t>残疾人福利性单位声明函</w:t>
      </w:r>
    </w:p>
    <w:p w14:paraId="572FC56D">
      <w:pPr>
        <w:spacing w:after="120" w:line="480" w:lineRule="auto"/>
        <w:ind w:firstLine="480" w:firstLineChars="200"/>
        <w:jc w:val="left"/>
        <w:rPr>
          <w:sz w:val="24"/>
          <w:szCs w:val="20"/>
        </w:rPr>
      </w:pPr>
    </w:p>
    <w:p w14:paraId="6B2D03E3">
      <w:pPr>
        <w:spacing w:after="120" w:line="480" w:lineRule="auto"/>
        <w:ind w:firstLine="480" w:firstLineChars="200"/>
        <w:jc w:val="left"/>
        <w:rPr>
          <w:rFonts w:ascii="宋体" w:hAnsi="宋体"/>
          <w:sz w:val="24"/>
        </w:rPr>
      </w:pPr>
      <w:r>
        <w:rPr>
          <w:rFonts w:hint="eastAsia" w:ascii="宋体" w:hAnsi="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或者提供其他残疾人福利性单位制造的货物（不包括使用非残疾人福利性单位注册商标的货物）。</w:t>
      </w:r>
    </w:p>
    <w:p w14:paraId="0C14B70C">
      <w:pPr>
        <w:spacing w:after="120" w:line="480" w:lineRule="auto"/>
        <w:ind w:firstLine="480" w:firstLineChars="200"/>
        <w:jc w:val="left"/>
        <w:rPr>
          <w:rFonts w:ascii="宋体" w:hAnsi="宋体"/>
          <w:sz w:val="24"/>
        </w:rPr>
      </w:pPr>
      <w:r>
        <w:rPr>
          <w:rFonts w:hint="eastAsia" w:ascii="宋体" w:hAnsi="宋体"/>
          <w:sz w:val="24"/>
        </w:rPr>
        <w:t>本单位对上述声明的真实性负责。如有虚假，将依法承担相应责任。</w:t>
      </w:r>
    </w:p>
    <w:p w14:paraId="532BF98B">
      <w:pPr>
        <w:spacing w:after="120" w:line="480" w:lineRule="auto"/>
        <w:ind w:firstLine="480" w:firstLineChars="200"/>
        <w:jc w:val="left"/>
        <w:rPr>
          <w:rFonts w:ascii="宋体" w:hAnsi="宋体"/>
          <w:sz w:val="24"/>
        </w:rPr>
      </w:pPr>
    </w:p>
    <w:p w14:paraId="3B0A479D">
      <w:pPr>
        <w:spacing w:after="120" w:line="480" w:lineRule="auto"/>
        <w:ind w:firstLine="3840" w:firstLineChars="1600"/>
        <w:jc w:val="left"/>
        <w:rPr>
          <w:rFonts w:ascii="宋体" w:hAnsi="宋体"/>
          <w:sz w:val="24"/>
        </w:rPr>
      </w:pPr>
      <w:r>
        <w:rPr>
          <w:rFonts w:hint="eastAsia" w:ascii="宋体" w:hAnsi="宋体"/>
          <w:sz w:val="24"/>
        </w:rPr>
        <w:t>单位名称（盖章）：</w:t>
      </w:r>
    </w:p>
    <w:p w14:paraId="62D9C61E">
      <w:pPr>
        <w:spacing w:after="120" w:line="480" w:lineRule="auto"/>
        <w:ind w:firstLine="3840" w:firstLineChars="1600"/>
        <w:jc w:val="left"/>
        <w:rPr>
          <w:rFonts w:ascii="宋体" w:hAnsi="宋体"/>
          <w:sz w:val="24"/>
        </w:rPr>
      </w:pPr>
      <w:r>
        <w:rPr>
          <w:rFonts w:hint="eastAsia" w:ascii="宋体" w:hAnsi="宋体"/>
          <w:sz w:val="24"/>
        </w:rPr>
        <w:t>日期：</w:t>
      </w:r>
    </w:p>
    <w:p w14:paraId="409D00F0">
      <w:pPr>
        <w:widowControl/>
        <w:jc w:val="left"/>
        <w:rPr>
          <w:sz w:val="24"/>
          <w:szCs w:val="20"/>
        </w:rPr>
      </w:pPr>
      <w:r>
        <w:rPr>
          <w:sz w:val="24"/>
          <w:szCs w:val="20"/>
        </w:rPr>
        <w:br w:type="page"/>
      </w:r>
    </w:p>
    <w:p w14:paraId="500C8655">
      <w:pPr>
        <w:spacing w:after="120" w:line="480" w:lineRule="auto"/>
        <w:ind w:left="420"/>
        <w:jc w:val="center"/>
        <w:rPr>
          <w:rFonts w:ascii="黑体" w:hAnsi="黑体" w:eastAsia="黑体"/>
          <w:sz w:val="30"/>
          <w:szCs w:val="30"/>
        </w:rPr>
      </w:pPr>
      <w:r>
        <w:rPr>
          <w:rFonts w:hint="eastAsia" w:ascii="黑体" w:hAnsi="黑体" w:eastAsia="黑体"/>
          <w:sz w:val="30"/>
          <w:szCs w:val="30"/>
        </w:rPr>
        <w:t>附3：监狱企业证明文件</w:t>
      </w:r>
    </w:p>
    <w:p w14:paraId="75C0AD65">
      <w:pPr>
        <w:spacing w:after="120" w:line="480" w:lineRule="auto"/>
        <w:ind w:firstLine="566" w:firstLineChars="236"/>
        <w:jc w:val="left"/>
        <w:rPr>
          <w:rFonts w:ascii="宋体" w:hAnsi="宋体"/>
          <w:sz w:val="24"/>
        </w:rPr>
      </w:pPr>
      <w:r>
        <w:rPr>
          <w:rFonts w:hint="eastAsia" w:ascii="宋体" w:hAnsi="宋体"/>
          <w:sz w:val="24"/>
        </w:rPr>
        <w:t>（监狱企业参加政府采购活动时，应当提供由省级以上监狱管理局、戒毒管理局（含新疆生产建设兵团）出具的属于监狱企业的证明文件。在响应文件中提供原件扫描件。）</w:t>
      </w:r>
    </w:p>
    <w:p w14:paraId="1CFE5B2B">
      <w:pPr>
        <w:spacing w:after="120" w:line="480" w:lineRule="auto"/>
        <w:jc w:val="left"/>
      </w:pPr>
    </w:p>
    <w:bookmarkEnd w:id="120"/>
    <w:p w14:paraId="5BF93A90">
      <w:pPr>
        <w:jc w:val="center"/>
        <w:rPr>
          <w:rFonts w:ascii="宋体" w:hAnsi="宋体"/>
          <w:sz w:val="24"/>
        </w:rPr>
      </w:pPr>
    </w:p>
    <w:p w14:paraId="5AFDEE1D">
      <w:pPr>
        <w:jc w:val="center"/>
        <w:rPr>
          <w:rFonts w:ascii="宋体" w:hAnsi="宋体"/>
          <w:sz w:val="24"/>
        </w:rPr>
      </w:pPr>
    </w:p>
    <w:p w14:paraId="7876691E">
      <w:r>
        <w:rPr>
          <w:rFonts w:hint="eastAsia"/>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DB6A8">
    <w:pPr>
      <w:pStyle w:val="12"/>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6164F">
    <w:pPr>
      <w:pStyle w:val="13"/>
      <w:pBdr>
        <w:bottom w:val="none" w:color="000000" w:sz="0" w:space="0"/>
      </w:pBdr>
      <w:tabs>
        <w:tab w:val="left" w:pos="9180"/>
      </w:tabs>
      <w:ind w:left="-473" w:leftChars="-225" w:right="357" w:firstLine="810" w:firstLineChars="450"/>
      <w:jc w:val="left"/>
      <w:rPr>
        <w:rFonts w:ascii="宋体" w:hAnsi="宋体" w:cs="宋体"/>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7A7F7B"/>
    <w:multiLevelType w:val="singleLevel"/>
    <w:tmpl w:val="AA7A7F7B"/>
    <w:lvl w:ilvl="0" w:tentative="0">
      <w:start w:val="11"/>
      <w:numFmt w:val="decimal"/>
      <w:suff w:val="nothing"/>
      <w:lvlText w:val="%1、"/>
      <w:lvlJc w:val="left"/>
    </w:lvl>
  </w:abstractNum>
  <w:abstractNum w:abstractNumId="1">
    <w:nsid w:val="D2359D7F"/>
    <w:multiLevelType w:val="singleLevel"/>
    <w:tmpl w:val="D2359D7F"/>
    <w:lvl w:ilvl="0" w:tentative="0">
      <w:start w:val="5"/>
      <w:numFmt w:val="decimal"/>
      <w:suff w:val="nothing"/>
      <w:lvlText w:val="%1、"/>
      <w:lvlJc w:val="left"/>
    </w:lvl>
  </w:abstractNum>
  <w:abstractNum w:abstractNumId="2">
    <w:nsid w:val="E65FCBE2"/>
    <w:multiLevelType w:val="singleLevel"/>
    <w:tmpl w:val="E65FCBE2"/>
    <w:lvl w:ilvl="0" w:tentative="0">
      <w:start w:val="7"/>
      <w:numFmt w:val="decimal"/>
      <w:suff w:val="space"/>
      <w:lvlText w:val="%1."/>
      <w:lvlJc w:val="left"/>
    </w:lvl>
  </w:abstractNum>
  <w:abstractNum w:abstractNumId="3">
    <w:nsid w:val="00000001"/>
    <w:multiLevelType w:val="multilevel"/>
    <w:tmpl w:val="00000001"/>
    <w:lvl w:ilvl="0" w:tentative="0">
      <w:start w:val="1"/>
      <w:numFmt w:val="none"/>
      <w:pStyle w:val="3"/>
      <w:suff w:val="nothing"/>
      <w:lvlText w:val=""/>
      <w:lvlJc w:val="left"/>
      <w:pPr>
        <w:tabs>
          <w:tab w:val="left" w:pos="432"/>
        </w:tabs>
        <w:ind w:left="432" w:hanging="432"/>
      </w:pPr>
    </w:lvl>
    <w:lvl w:ilvl="1" w:tentative="0">
      <w:start w:val="1"/>
      <w:numFmt w:val="none"/>
      <w:suff w:val="nothing"/>
      <w:lvlText w:val=""/>
      <w:lvlJc w:val="left"/>
      <w:pPr>
        <w:tabs>
          <w:tab w:val="left" w:pos="576"/>
        </w:tabs>
        <w:ind w:left="576" w:hanging="576"/>
      </w:pPr>
    </w:lvl>
    <w:lvl w:ilvl="2" w:tentative="0">
      <w:start w:val="1"/>
      <w:numFmt w:val="none"/>
      <w:pStyle w:val="2"/>
      <w:suff w:val="nothing"/>
      <w:lvlText w:val=""/>
      <w:lvlJc w:val="left"/>
      <w:pPr>
        <w:tabs>
          <w:tab w:val="left" w:pos="720"/>
        </w:tabs>
        <w:ind w:left="720" w:hanging="720"/>
      </w:pPr>
    </w:lvl>
    <w:lvl w:ilvl="3" w:tentative="0">
      <w:start w:val="1"/>
      <w:numFmt w:val="none"/>
      <w:pStyle w:val="5"/>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4">
    <w:nsid w:val="176E8458"/>
    <w:multiLevelType w:val="singleLevel"/>
    <w:tmpl w:val="176E8458"/>
    <w:lvl w:ilvl="0" w:tentative="0">
      <w:start w:val="2"/>
      <w:numFmt w:val="decimal"/>
      <w:suff w:val="nothing"/>
      <w:lvlText w:val="%1、"/>
      <w:lvlJc w:val="left"/>
    </w:lvl>
  </w:abstractNum>
  <w:abstractNum w:abstractNumId="5">
    <w:nsid w:val="1D955762"/>
    <w:multiLevelType w:val="singleLevel"/>
    <w:tmpl w:val="1D955762"/>
    <w:lvl w:ilvl="0" w:tentative="0">
      <w:start w:val="1"/>
      <w:numFmt w:val="chineseCounting"/>
      <w:suff w:val="nothing"/>
      <w:lvlText w:val="%1、"/>
      <w:lvlJc w:val="left"/>
      <w:rPr>
        <w:rFonts w:hint="eastAsia"/>
      </w:rPr>
    </w:lvl>
  </w:abstractNum>
  <w:abstractNum w:abstractNumId="6">
    <w:nsid w:val="1F6B0F53"/>
    <w:multiLevelType w:val="multilevel"/>
    <w:tmpl w:val="1F6B0F53"/>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8020941"/>
    <w:multiLevelType w:val="multilevel"/>
    <w:tmpl w:val="28020941"/>
    <w:lvl w:ilvl="0" w:tentative="0">
      <w:start w:val="1"/>
      <w:numFmt w:val="chineseCountingThousand"/>
      <w:suff w:val="nothing"/>
      <w:lvlText w:val="第%1部分"/>
      <w:lvlJc w:val="left"/>
      <w:pPr>
        <w:ind w:left="852"/>
      </w:pPr>
      <w:rPr>
        <w:rFonts w:hint="eastAsia" w:ascii="黑体" w:hAnsi="Times New Roman" w:eastAsia="黑体" w:cs="Times New Roman"/>
        <w:sz w:val="32"/>
      </w:rPr>
    </w:lvl>
    <w:lvl w:ilvl="1" w:tentative="0">
      <w:start w:val="1"/>
      <w:numFmt w:val="upperLetter"/>
      <w:pStyle w:val="4"/>
      <w:suff w:val="nothing"/>
      <w:lvlText w:val="%2"/>
      <w:lvlJc w:val="left"/>
      <w:pPr>
        <w:ind w:left="3119"/>
      </w:pPr>
      <w:rPr>
        <w:rFonts w:hint="default" w:ascii="CG Times" w:hAnsi="CG Times" w:cs="Times New Roman"/>
        <w:b/>
        <w:i w:val="0"/>
        <w:sz w:val="28"/>
      </w:rPr>
    </w:lvl>
    <w:lvl w:ilvl="2" w:tentative="0">
      <w:start w:val="1"/>
      <w:numFmt w:val="decimal"/>
      <w:lvlRestart w:val="0"/>
      <w:suff w:val="nothing"/>
      <w:lvlText w:val="%3"/>
      <w:lvlJc w:val="left"/>
      <w:pPr>
        <w:ind w:left="852"/>
      </w:pPr>
      <w:rPr>
        <w:rFonts w:hint="eastAsia" w:ascii="宋体" w:hAnsi="Times New Roman" w:eastAsia="宋体" w:cs="Times New Roman"/>
        <w:b/>
        <w:i w:val="0"/>
        <w:sz w:val="28"/>
      </w:rPr>
    </w:lvl>
    <w:lvl w:ilvl="3" w:tentative="0">
      <w:start w:val="1"/>
      <w:numFmt w:val="none"/>
      <w:suff w:val="nothing"/>
      <w:lvlText w:val=""/>
      <w:lvlJc w:val="left"/>
      <w:pPr>
        <w:ind w:left="852"/>
      </w:pPr>
      <w:rPr>
        <w:rFonts w:cs="Times New Roman"/>
      </w:rPr>
    </w:lvl>
    <w:lvl w:ilvl="4" w:tentative="0">
      <w:start w:val="1"/>
      <w:numFmt w:val="none"/>
      <w:suff w:val="nothing"/>
      <w:lvlText w:val=""/>
      <w:lvlJc w:val="left"/>
      <w:pPr>
        <w:ind w:left="852"/>
      </w:pPr>
      <w:rPr>
        <w:rFonts w:cs="Times New Roman"/>
      </w:rPr>
    </w:lvl>
    <w:lvl w:ilvl="5" w:tentative="0">
      <w:start w:val="1"/>
      <w:numFmt w:val="none"/>
      <w:suff w:val="nothing"/>
      <w:lvlText w:val=""/>
      <w:lvlJc w:val="left"/>
      <w:pPr>
        <w:ind w:left="852"/>
      </w:pPr>
      <w:rPr>
        <w:rFonts w:cs="Times New Roman"/>
      </w:rPr>
    </w:lvl>
    <w:lvl w:ilvl="6" w:tentative="0">
      <w:start w:val="1"/>
      <w:numFmt w:val="none"/>
      <w:suff w:val="nothing"/>
      <w:lvlText w:val=""/>
      <w:lvlJc w:val="left"/>
      <w:pPr>
        <w:ind w:left="852"/>
      </w:pPr>
      <w:rPr>
        <w:rFonts w:cs="Times New Roman"/>
      </w:rPr>
    </w:lvl>
    <w:lvl w:ilvl="7" w:tentative="0">
      <w:start w:val="1"/>
      <w:numFmt w:val="none"/>
      <w:suff w:val="nothing"/>
      <w:lvlText w:val=""/>
      <w:lvlJc w:val="left"/>
      <w:pPr>
        <w:ind w:left="852"/>
      </w:pPr>
      <w:rPr>
        <w:rFonts w:cs="Times New Roman"/>
      </w:rPr>
    </w:lvl>
    <w:lvl w:ilvl="8" w:tentative="0">
      <w:start w:val="1"/>
      <w:numFmt w:val="none"/>
      <w:suff w:val="nothing"/>
      <w:lvlText w:val=""/>
      <w:lvlJc w:val="left"/>
      <w:pPr>
        <w:ind w:left="852"/>
      </w:pPr>
      <w:rPr>
        <w:rFonts w:cs="Times New Roman"/>
      </w:rPr>
    </w:lvl>
  </w:abstractNum>
  <w:num w:numId="1">
    <w:abstractNumId w:val="3"/>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hYWY3NDVlYzg1Y2RmN2EzZWVhNDk3YjA1M2NjNWEifQ=="/>
  </w:docVars>
  <w:rsids>
    <w:rsidRoot w:val="00CC2D11"/>
    <w:rsid w:val="00044924"/>
    <w:rsid w:val="001101CD"/>
    <w:rsid w:val="005267D1"/>
    <w:rsid w:val="005345AB"/>
    <w:rsid w:val="00657CC6"/>
    <w:rsid w:val="00BA66B4"/>
    <w:rsid w:val="00CC2D11"/>
    <w:rsid w:val="01211AD4"/>
    <w:rsid w:val="01537400"/>
    <w:rsid w:val="01CC7C92"/>
    <w:rsid w:val="021D673F"/>
    <w:rsid w:val="028F4DD9"/>
    <w:rsid w:val="037E6D6A"/>
    <w:rsid w:val="0427141A"/>
    <w:rsid w:val="052D6C99"/>
    <w:rsid w:val="0547634E"/>
    <w:rsid w:val="06693D01"/>
    <w:rsid w:val="07026A9C"/>
    <w:rsid w:val="078A25D6"/>
    <w:rsid w:val="089B03BE"/>
    <w:rsid w:val="0A8530D4"/>
    <w:rsid w:val="0A9D041D"/>
    <w:rsid w:val="0AA17496"/>
    <w:rsid w:val="0AEA2E88"/>
    <w:rsid w:val="0B7373D0"/>
    <w:rsid w:val="0C040028"/>
    <w:rsid w:val="0C1E733C"/>
    <w:rsid w:val="0C1F4E62"/>
    <w:rsid w:val="0C2753C0"/>
    <w:rsid w:val="0CBF662D"/>
    <w:rsid w:val="0CC53C5B"/>
    <w:rsid w:val="0D044784"/>
    <w:rsid w:val="0D556D8D"/>
    <w:rsid w:val="0D906017"/>
    <w:rsid w:val="0DE31F63"/>
    <w:rsid w:val="0DF20A80"/>
    <w:rsid w:val="0F25629C"/>
    <w:rsid w:val="0F6B591C"/>
    <w:rsid w:val="10093E5F"/>
    <w:rsid w:val="10AF0FDC"/>
    <w:rsid w:val="11AF1006"/>
    <w:rsid w:val="133036C6"/>
    <w:rsid w:val="13D34EB0"/>
    <w:rsid w:val="13FA068E"/>
    <w:rsid w:val="157F529E"/>
    <w:rsid w:val="15F80BFE"/>
    <w:rsid w:val="1602066E"/>
    <w:rsid w:val="176D73C9"/>
    <w:rsid w:val="183028D1"/>
    <w:rsid w:val="18C33745"/>
    <w:rsid w:val="18CD0120"/>
    <w:rsid w:val="19126C59"/>
    <w:rsid w:val="19FE0276"/>
    <w:rsid w:val="1B972C67"/>
    <w:rsid w:val="1CFC5477"/>
    <w:rsid w:val="1DA137F2"/>
    <w:rsid w:val="1E3708C4"/>
    <w:rsid w:val="1E6F1C79"/>
    <w:rsid w:val="1F325180"/>
    <w:rsid w:val="1F5B5BD5"/>
    <w:rsid w:val="1F5F584A"/>
    <w:rsid w:val="1FBE4C66"/>
    <w:rsid w:val="20FA1CCE"/>
    <w:rsid w:val="213A031C"/>
    <w:rsid w:val="21A625F6"/>
    <w:rsid w:val="221F5A73"/>
    <w:rsid w:val="23570B9C"/>
    <w:rsid w:val="244E38FE"/>
    <w:rsid w:val="25714529"/>
    <w:rsid w:val="270B403C"/>
    <w:rsid w:val="27651E6B"/>
    <w:rsid w:val="27A06FAC"/>
    <w:rsid w:val="2828314B"/>
    <w:rsid w:val="286640ED"/>
    <w:rsid w:val="28C72DDD"/>
    <w:rsid w:val="290D5CDF"/>
    <w:rsid w:val="29B1731D"/>
    <w:rsid w:val="2A905451"/>
    <w:rsid w:val="2ABC1DA2"/>
    <w:rsid w:val="2BFA5278"/>
    <w:rsid w:val="2CE3696D"/>
    <w:rsid w:val="2D0955CF"/>
    <w:rsid w:val="2D287BC3"/>
    <w:rsid w:val="2D7B5F44"/>
    <w:rsid w:val="2DA962A8"/>
    <w:rsid w:val="2DB72CF5"/>
    <w:rsid w:val="2EC64B5C"/>
    <w:rsid w:val="2EF31F3F"/>
    <w:rsid w:val="2EFA558F"/>
    <w:rsid w:val="2F402B51"/>
    <w:rsid w:val="308B0B94"/>
    <w:rsid w:val="309537C1"/>
    <w:rsid w:val="30DC319E"/>
    <w:rsid w:val="32911D66"/>
    <w:rsid w:val="330426F8"/>
    <w:rsid w:val="332E3A59"/>
    <w:rsid w:val="336B3C15"/>
    <w:rsid w:val="34620BF5"/>
    <w:rsid w:val="34703709"/>
    <w:rsid w:val="34943D90"/>
    <w:rsid w:val="35B74D8A"/>
    <w:rsid w:val="35C10BB4"/>
    <w:rsid w:val="35CD7559"/>
    <w:rsid w:val="36140094"/>
    <w:rsid w:val="368B585E"/>
    <w:rsid w:val="36C22E36"/>
    <w:rsid w:val="385465C1"/>
    <w:rsid w:val="38883C0B"/>
    <w:rsid w:val="38FD63A7"/>
    <w:rsid w:val="3A296D28"/>
    <w:rsid w:val="3A4B4EF0"/>
    <w:rsid w:val="3A654204"/>
    <w:rsid w:val="3A675976"/>
    <w:rsid w:val="3B4A33FA"/>
    <w:rsid w:val="3B4E689C"/>
    <w:rsid w:val="3BA1695C"/>
    <w:rsid w:val="3C0B0DDB"/>
    <w:rsid w:val="3D711112"/>
    <w:rsid w:val="3D8175A7"/>
    <w:rsid w:val="3DBA60C7"/>
    <w:rsid w:val="3DFC4E7F"/>
    <w:rsid w:val="3EAE6DA0"/>
    <w:rsid w:val="3F3D74FE"/>
    <w:rsid w:val="3F806179"/>
    <w:rsid w:val="3F9D1B05"/>
    <w:rsid w:val="3FC01078"/>
    <w:rsid w:val="40EE65D6"/>
    <w:rsid w:val="41243297"/>
    <w:rsid w:val="412C782A"/>
    <w:rsid w:val="41614A9F"/>
    <w:rsid w:val="41CA7043"/>
    <w:rsid w:val="426B140C"/>
    <w:rsid w:val="43525542"/>
    <w:rsid w:val="44CB77A7"/>
    <w:rsid w:val="452B429C"/>
    <w:rsid w:val="45381DE2"/>
    <w:rsid w:val="45806396"/>
    <w:rsid w:val="45850386"/>
    <w:rsid w:val="45E14AD9"/>
    <w:rsid w:val="466B7B6D"/>
    <w:rsid w:val="46E110B6"/>
    <w:rsid w:val="4A155B8C"/>
    <w:rsid w:val="4A961B80"/>
    <w:rsid w:val="4B6422B6"/>
    <w:rsid w:val="4CAE1E4F"/>
    <w:rsid w:val="4D297313"/>
    <w:rsid w:val="4E797E26"/>
    <w:rsid w:val="4F1B7FA7"/>
    <w:rsid w:val="4FAC6A35"/>
    <w:rsid w:val="4FC82E13"/>
    <w:rsid w:val="50281B04"/>
    <w:rsid w:val="51FA127E"/>
    <w:rsid w:val="526E10DB"/>
    <w:rsid w:val="52A336C4"/>
    <w:rsid w:val="531A57E9"/>
    <w:rsid w:val="55F04E72"/>
    <w:rsid w:val="561C5C67"/>
    <w:rsid w:val="562768A9"/>
    <w:rsid w:val="58847AF3"/>
    <w:rsid w:val="59213594"/>
    <w:rsid w:val="59245B38"/>
    <w:rsid w:val="5940302E"/>
    <w:rsid w:val="5AA12BDF"/>
    <w:rsid w:val="5AD6313F"/>
    <w:rsid w:val="5AD76600"/>
    <w:rsid w:val="5BF84A80"/>
    <w:rsid w:val="5C9B365E"/>
    <w:rsid w:val="5E36363E"/>
    <w:rsid w:val="5FFC31E6"/>
    <w:rsid w:val="60824919"/>
    <w:rsid w:val="608A5EC3"/>
    <w:rsid w:val="623E6F65"/>
    <w:rsid w:val="627666FF"/>
    <w:rsid w:val="635051A2"/>
    <w:rsid w:val="63584057"/>
    <w:rsid w:val="63715118"/>
    <w:rsid w:val="63CD05A1"/>
    <w:rsid w:val="64436AB5"/>
    <w:rsid w:val="64572560"/>
    <w:rsid w:val="647C58A9"/>
    <w:rsid w:val="64A62BA0"/>
    <w:rsid w:val="64DE03A4"/>
    <w:rsid w:val="64FB113D"/>
    <w:rsid w:val="653F727C"/>
    <w:rsid w:val="6549634D"/>
    <w:rsid w:val="65647191"/>
    <w:rsid w:val="65DF280D"/>
    <w:rsid w:val="65E47E23"/>
    <w:rsid w:val="66415276"/>
    <w:rsid w:val="666D7E19"/>
    <w:rsid w:val="6680683A"/>
    <w:rsid w:val="67825B46"/>
    <w:rsid w:val="67B64772"/>
    <w:rsid w:val="69AE677E"/>
    <w:rsid w:val="6B4D0219"/>
    <w:rsid w:val="6B517D09"/>
    <w:rsid w:val="6B87197D"/>
    <w:rsid w:val="6BA75B7B"/>
    <w:rsid w:val="6BE50451"/>
    <w:rsid w:val="6C0D1578"/>
    <w:rsid w:val="6C1801AD"/>
    <w:rsid w:val="6C861C34"/>
    <w:rsid w:val="6D314B42"/>
    <w:rsid w:val="6E0E0133"/>
    <w:rsid w:val="6E315BD0"/>
    <w:rsid w:val="6E4829F8"/>
    <w:rsid w:val="6EDA1DC4"/>
    <w:rsid w:val="6EF235B1"/>
    <w:rsid w:val="6F7F4719"/>
    <w:rsid w:val="7012558D"/>
    <w:rsid w:val="70440616"/>
    <w:rsid w:val="710475CC"/>
    <w:rsid w:val="71107458"/>
    <w:rsid w:val="71193077"/>
    <w:rsid w:val="726E2F4F"/>
    <w:rsid w:val="72C75577"/>
    <w:rsid w:val="73732EBB"/>
    <w:rsid w:val="74D406E1"/>
    <w:rsid w:val="753F4228"/>
    <w:rsid w:val="75610B49"/>
    <w:rsid w:val="75F53987"/>
    <w:rsid w:val="766D79C1"/>
    <w:rsid w:val="76D4359C"/>
    <w:rsid w:val="776D5ECB"/>
    <w:rsid w:val="779416A9"/>
    <w:rsid w:val="77E67A2B"/>
    <w:rsid w:val="783D222D"/>
    <w:rsid w:val="784529A4"/>
    <w:rsid w:val="7A344A7E"/>
    <w:rsid w:val="7A595D34"/>
    <w:rsid w:val="7A854023"/>
    <w:rsid w:val="7AA31C03"/>
    <w:rsid w:val="7AE53FCA"/>
    <w:rsid w:val="7AEA7832"/>
    <w:rsid w:val="7AFC7FCE"/>
    <w:rsid w:val="7B915F00"/>
    <w:rsid w:val="7BC41E31"/>
    <w:rsid w:val="7BF00E78"/>
    <w:rsid w:val="7C21662D"/>
    <w:rsid w:val="7C7B2E38"/>
    <w:rsid w:val="7C9006A7"/>
    <w:rsid w:val="7C9C690A"/>
    <w:rsid w:val="7D23702C"/>
    <w:rsid w:val="7DFB203D"/>
    <w:rsid w:val="7EE2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ind w:firstLine="0"/>
      <w:jc w:val="center"/>
      <w:outlineLvl w:val="0"/>
    </w:pPr>
    <w:rPr>
      <w:b/>
      <w:bCs/>
      <w:sz w:val="32"/>
      <w:szCs w:val="44"/>
    </w:rPr>
  </w:style>
  <w:style w:type="paragraph" w:styleId="4">
    <w:name w:val="heading 2"/>
    <w:basedOn w:val="1"/>
    <w:next w:val="1"/>
    <w:qFormat/>
    <w:uiPriority w:val="0"/>
    <w:pPr>
      <w:keepNext/>
      <w:keepLines/>
      <w:numPr>
        <w:ilvl w:val="1"/>
        <w:numId w:val="2"/>
      </w:numPr>
      <w:spacing w:before="260" w:after="260" w:line="412" w:lineRule="auto"/>
      <w:ind w:left="852"/>
      <w:jc w:val="center"/>
      <w:outlineLvl w:val="1"/>
    </w:pPr>
    <w:rPr>
      <w:rFonts w:ascii="CG Times" w:hAnsi="CG Times"/>
      <w:b/>
      <w:kern w:val="0"/>
      <w:sz w:val="30"/>
      <w:szCs w:val="20"/>
    </w:rPr>
  </w:style>
  <w:style w:type="paragraph" w:styleId="2">
    <w:name w:val="heading 3"/>
    <w:basedOn w:val="1"/>
    <w:next w:val="1"/>
    <w:qFormat/>
    <w:uiPriority w:val="0"/>
    <w:pPr>
      <w:keepNext/>
      <w:keepLines/>
      <w:numPr>
        <w:ilvl w:val="2"/>
        <w:numId w:val="1"/>
      </w:numPr>
      <w:ind w:left="0" w:firstLine="880"/>
      <w:outlineLvl w:val="2"/>
    </w:pPr>
    <w:rPr>
      <w:b/>
      <w:bCs/>
      <w:szCs w:val="32"/>
    </w:rPr>
  </w:style>
  <w:style w:type="paragraph" w:styleId="5">
    <w:name w:val="heading 4"/>
    <w:basedOn w:val="1"/>
    <w:next w:val="1"/>
    <w:qFormat/>
    <w:uiPriority w:val="0"/>
    <w:pPr>
      <w:keepNext/>
      <w:keepLines/>
      <w:numPr>
        <w:ilvl w:val="3"/>
        <w:numId w:val="1"/>
      </w:numPr>
      <w:outlineLvl w:val="3"/>
    </w:pPr>
    <w:rPr>
      <w:rFonts w:ascii="Arial" w:hAnsi="Arial"/>
      <w:b/>
      <w:bCs/>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Body Text"/>
    <w:basedOn w:val="1"/>
    <w:next w:val="7"/>
    <w:qFormat/>
    <w:uiPriority w:val="0"/>
  </w:style>
  <w:style w:type="paragraph" w:styleId="7">
    <w:name w:val="Body Text 2"/>
    <w:basedOn w:val="1"/>
    <w:next w:val="6"/>
    <w:qFormat/>
    <w:uiPriority w:val="0"/>
    <w:pPr>
      <w:spacing w:line="400" w:lineRule="exact"/>
      <w:jc w:val="center"/>
    </w:pPr>
    <w:rPr>
      <w:rFonts w:ascii="宋体" w:hAnsi="宋体" w:eastAsia="宋体" w:cs="Times New Roman"/>
      <w:w w:val="66"/>
      <w:sz w:val="24"/>
    </w:rPr>
  </w:style>
  <w:style w:type="paragraph" w:styleId="8">
    <w:name w:val="Body Text Indent"/>
    <w:basedOn w:val="1"/>
    <w:next w:val="9"/>
    <w:qFormat/>
    <w:uiPriority w:val="0"/>
    <w:pPr>
      <w:spacing w:line="360" w:lineRule="atLeast"/>
      <w:ind w:firstLine="420"/>
    </w:pPr>
    <w:rPr>
      <w:szCs w:val="20"/>
    </w:r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宋体"/>
      <w:sz w:val="20"/>
    </w:r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99"/>
    <w:pPr>
      <w:pBdr>
        <w:top w:val="none" w:color="000000" w:sz="0" w:space="0"/>
        <w:left w:val="none" w:color="000000" w:sz="0" w:space="0"/>
        <w:bottom w:val="single" w:color="000000" w:sz="6" w:space="1"/>
        <w:right w:val="none" w:color="000000" w:sz="0" w:space="0"/>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footnote text"/>
    <w:basedOn w:val="1"/>
    <w:qFormat/>
    <w:uiPriority w:val="0"/>
    <w:rPr>
      <w:sz w:val="20"/>
      <w:szCs w:val="20"/>
    </w:rPr>
  </w:style>
  <w:style w:type="paragraph" w:styleId="16">
    <w:name w:val="Normal (Web)"/>
    <w:basedOn w:val="1"/>
    <w:qFormat/>
    <w:uiPriority w:val="0"/>
    <w:pPr>
      <w:jc w:val="left"/>
    </w:pPr>
    <w:rPr>
      <w:rFonts w:cs="Times New Roman"/>
      <w:kern w:val="0"/>
      <w:sz w:val="24"/>
    </w:rPr>
  </w:style>
  <w:style w:type="paragraph" w:styleId="17">
    <w:name w:val="Body Text First Indent"/>
    <w:basedOn w:val="6"/>
    <w:next w:val="18"/>
    <w:qFormat/>
    <w:uiPriority w:val="0"/>
    <w:pPr>
      <w:ind w:firstLine="420" w:firstLineChars="100"/>
    </w:pPr>
    <w:rPr>
      <w:rFonts w:ascii="Calibri" w:hAnsi="Calibri" w:eastAsia="宋体" w:cs="Times New Roman"/>
    </w:rPr>
  </w:style>
  <w:style w:type="paragraph" w:styleId="18">
    <w:name w:val="Body Text First Indent 2"/>
    <w:basedOn w:val="8"/>
    <w:next w:val="1"/>
    <w:unhideWhenUsed/>
    <w:qFormat/>
    <w:uiPriority w:val="99"/>
    <w:pPr>
      <w:spacing w:after="120"/>
      <w:ind w:left="420" w:leftChars="200" w:firstLine="200" w:firstLineChars="200"/>
    </w:pPr>
    <w:rPr>
      <w:rFonts w:ascii="Calibri" w:eastAsia="宋体"/>
    </w:rPr>
  </w:style>
  <w:style w:type="character" w:styleId="21">
    <w:name w:val="Hyperlink"/>
    <w:qFormat/>
    <w:uiPriority w:val="99"/>
    <w:rPr>
      <w:rFonts w:cs="Times New Roman"/>
      <w:color w:val="000000"/>
      <w:sz w:val="18"/>
      <w:szCs w:val="18"/>
      <w:u w:val="none"/>
    </w:r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24">
    <w:name w:val="p0"/>
    <w:basedOn w:val="1"/>
    <w:qFormat/>
    <w:uiPriority w:val="0"/>
    <w:pPr>
      <w:widowControl/>
      <w:spacing w:before="280" w:after="280"/>
      <w:jc w:val="left"/>
    </w:pPr>
    <w:rPr>
      <w:rFonts w:ascii="宋体" w:hAnsi="宋体" w:cs="宋体"/>
    </w:rPr>
  </w:style>
  <w:style w:type="paragraph" w:customStyle="1" w:styleId="25">
    <w:name w:val="样式1"/>
    <w:basedOn w:val="1"/>
    <w:next w:val="5"/>
    <w:qFormat/>
    <w:uiPriority w:val="0"/>
    <w:pPr>
      <w:suppressAutoHyphens/>
      <w:spacing w:line="360" w:lineRule="auto"/>
      <w:ind w:firstLine="420" w:firstLineChars="200"/>
    </w:pPr>
    <w:rPr>
      <w:rFonts w:ascii="宋体" w:hAnsi="宋体" w:cs="宋体"/>
      <w:kern w:val="1"/>
      <w:sz w:val="24"/>
      <w:szCs w:val="21"/>
    </w:rPr>
  </w:style>
  <w:style w:type="character" w:customStyle="1" w:styleId="26">
    <w:name w:val="批注框文本 Char"/>
    <w:basedOn w:val="20"/>
    <w:link w:val="11"/>
    <w:qFormat/>
    <w:uiPriority w:val="0"/>
    <w:rPr>
      <w:kern w:val="2"/>
      <w:sz w:val="18"/>
      <w:szCs w:val="18"/>
    </w:rPr>
  </w:style>
  <w:style w:type="character" w:customStyle="1" w:styleId="27">
    <w:name w:val="font31"/>
    <w:basedOn w:val="20"/>
    <w:qFormat/>
    <w:uiPriority w:val="0"/>
    <w:rPr>
      <w:rFonts w:hint="default" w:ascii="幼圆" w:hAnsi="幼圆" w:eastAsia="幼圆" w:cs="幼圆"/>
      <w:color w:val="000000"/>
      <w:sz w:val="21"/>
      <w:szCs w:val="21"/>
      <w:u w:val="none"/>
    </w:rPr>
  </w:style>
  <w:style w:type="character" w:customStyle="1" w:styleId="28">
    <w:name w:val="font112"/>
    <w:basedOn w:val="20"/>
    <w:qFormat/>
    <w:uiPriority w:val="0"/>
    <w:rPr>
      <w:rFonts w:ascii="等线" w:hAnsi="等线" w:eastAsia="等线" w:cs="等线"/>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94</Pages>
  <Words>20142</Words>
  <Characters>21912</Characters>
  <Lines>1506</Lines>
  <Paragraphs>1847</Paragraphs>
  <TotalTime>3</TotalTime>
  <ScaleCrop>false</ScaleCrop>
  <LinksUpToDate>false</LinksUpToDate>
  <CharactersWithSpaces>23021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2024-06-21T08:01:00Z</dcterms:created>
  <dc:creator>admin</dc:creator>
  <cp:lastModifiedBy>admin</cp:lastModifiedBy>
  <cp:lastPrinted>2025-11-17T03:33:00Z</cp:lastPrinted>
  <dcterms:modified xsi:type="dcterms:W3CDTF">2025-11-19T10:18:00Z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C85C99EDD9DE41CCB3D1FC1C45F52A14_12</vt:lpwstr>
  </property>
  <property fmtid="{D5CDD505-2E9C-101B-9397-08002B2CF9AE}" pid="4" name="KSOTemplateDocerSaveRecord">
    <vt:lpwstr>eyJoZGlkIjoiZmNkZGZlZDQzYmE0NmFmMWU0ZjBmOTY3ODY3OGU3MDAiLCJ1c2VySWQiOiI0MTc4NzgyODIifQ==</vt:lpwstr>
  </property>
</Properties>
</file>