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after="100" w:afterLines="0"/>
        <w:ind w:firstLine="0" w:firstLineChars="0"/>
        <w:jc w:val="center"/>
        <w:rPr>
          <w:rFonts w:hint="eastAsia" w:ascii="宋体" w:hAnsi="宋体" w:eastAsia="宋体" w:cs="宋体"/>
          <w:color w:val="auto"/>
          <w:kern w:val="0"/>
          <w:sz w:val="24"/>
          <w:szCs w:val="22"/>
          <w:lang w:val="zh-CN" w:eastAsia="zh-CN" w:bidi="zh-CN"/>
        </w:rPr>
      </w:pPr>
      <w:bookmarkStart w:id="0" w:name="_Toc490667779"/>
      <w:bookmarkStart w:id="1" w:name="_Toc152042287"/>
      <w:bookmarkStart w:id="2" w:name="_Toc144974479"/>
      <w:bookmarkStart w:id="3" w:name="_Toc152045511"/>
      <w:r>
        <w:rPr>
          <w:rFonts w:hint="eastAsia" w:ascii="宋体" w:hAnsi="宋体" w:cs="宋体"/>
          <w:b/>
          <w:bCs/>
          <w:color w:val="auto"/>
          <w:kern w:val="0"/>
          <w:sz w:val="52"/>
          <w:szCs w:val="52"/>
          <w:lang w:val="en-US" w:eastAsia="zh-CN" w:bidi="zh-CN"/>
        </w:rPr>
        <w:t>信阳农林学院餐饮服务商项目</w:t>
      </w:r>
    </w:p>
    <w:p>
      <w:pPr>
        <w:widowControl w:val="0"/>
        <w:autoSpaceDE w:val="0"/>
        <w:autoSpaceDN w:val="0"/>
        <w:spacing w:after="100" w:afterLines="100"/>
        <w:rPr>
          <w:rFonts w:hint="eastAsia" w:ascii="宋体" w:hAnsi="宋体" w:eastAsia="宋体" w:cs="宋体"/>
          <w:color w:val="auto"/>
          <w:sz w:val="24"/>
          <w:szCs w:val="22"/>
          <w:lang w:val="zh-CN" w:eastAsia="zh-CN" w:bidi="zh-CN"/>
        </w:rPr>
      </w:pPr>
    </w:p>
    <w:p>
      <w:pPr>
        <w:autoSpaceDE w:val="0"/>
        <w:autoSpaceDN w:val="0"/>
        <w:spacing w:after="100" w:afterLines="100"/>
        <w:jc w:val="left"/>
        <w:rPr>
          <w:rFonts w:hint="eastAsia" w:ascii="宋体" w:hAnsi="宋体" w:eastAsia="宋体" w:cs="宋体"/>
          <w:color w:val="auto"/>
          <w:kern w:val="0"/>
          <w:sz w:val="24"/>
          <w:szCs w:val="22"/>
          <w:lang w:val="zh-CN" w:eastAsia="zh-CN" w:bidi="zh-CN"/>
        </w:rPr>
      </w:pPr>
    </w:p>
    <w:p>
      <w:pPr>
        <w:autoSpaceDE w:val="0"/>
        <w:autoSpaceDN w:val="0"/>
        <w:spacing w:after="100" w:afterLines="0"/>
        <w:ind w:firstLine="0" w:firstLineChars="0"/>
        <w:jc w:val="center"/>
        <w:rPr>
          <w:rFonts w:hint="eastAsia" w:ascii="宋体" w:hAnsi="宋体" w:eastAsia="宋体" w:cs="宋体"/>
          <w:color w:val="auto"/>
          <w:kern w:val="0"/>
          <w:sz w:val="21"/>
          <w:szCs w:val="20"/>
          <w:lang w:val="zh-CN" w:eastAsia="zh-CN" w:bidi="zh-CN"/>
        </w:rPr>
      </w:pPr>
      <w:r>
        <w:rPr>
          <w:rFonts w:hint="eastAsia" w:ascii="宋体" w:hAnsi="宋体" w:eastAsia="宋体" w:cs="宋体"/>
          <w:b/>
          <w:bCs/>
          <w:color w:val="auto"/>
          <w:kern w:val="0"/>
          <w:sz w:val="56"/>
          <w:szCs w:val="56"/>
          <w:lang w:val="zh-CN" w:bidi="zh-CN"/>
        </w:rPr>
        <w:t>竞争性磋商文件</w:t>
      </w:r>
    </w:p>
    <w:p>
      <w:pPr>
        <w:autoSpaceDE w:val="0"/>
        <w:autoSpaceDN w:val="0"/>
        <w:spacing w:after="100" w:afterLines="0"/>
        <w:ind w:firstLine="0" w:firstLineChars="0"/>
        <w:jc w:val="center"/>
        <w:rPr>
          <w:rFonts w:hint="default" w:ascii="宋体" w:hAnsi="宋体" w:cs="宋体"/>
          <w:b/>
          <w:bCs/>
          <w:color w:val="auto"/>
          <w:kern w:val="0"/>
          <w:sz w:val="32"/>
          <w:szCs w:val="28"/>
          <w:lang w:val="en-US" w:bidi="zh-CN"/>
        </w:rPr>
      </w:pPr>
      <w:r>
        <w:rPr>
          <w:rFonts w:hint="eastAsia" w:ascii="宋体" w:hAnsi="宋体" w:eastAsia="宋体" w:cs="宋体"/>
          <w:b/>
          <w:bCs/>
          <w:color w:val="auto"/>
          <w:kern w:val="0"/>
          <w:sz w:val="32"/>
          <w:szCs w:val="28"/>
          <w:lang w:val="zh-CN" w:eastAsia="zh-CN" w:bidi="zh-CN"/>
        </w:rPr>
        <w:t>项目</w:t>
      </w:r>
      <w:r>
        <w:rPr>
          <w:rFonts w:hint="eastAsia" w:ascii="宋体" w:hAnsi="宋体" w:eastAsia="宋体" w:cs="宋体"/>
          <w:b/>
          <w:bCs/>
          <w:color w:val="auto"/>
          <w:kern w:val="0"/>
          <w:sz w:val="32"/>
          <w:szCs w:val="28"/>
          <w:lang w:val="zh-CN" w:bidi="zh-CN"/>
        </w:rPr>
        <w:t>编号：</w:t>
      </w:r>
      <w:r>
        <w:rPr>
          <w:rFonts w:hint="eastAsia" w:ascii="宋体" w:hAnsi="宋体" w:cs="宋体"/>
          <w:b/>
          <w:bCs/>
          <w:color w:val="auto"/>
          <w:kern w:val="0"/>
          <w:sz w:val="32"/>
          <w:szCs w:val="28"/>
          <w:lang w:val="zh-CN" w:bidi="zh-CN"/>
        </w:rPr>
        <w:t>信财磋商采购</w:t>
      </w:r>
      <w:r>
        <w:rPr>
          <w:rFonts w:hint="eastAsia" w:ascii="宋体" w:hAnsi="宋体" w:cs="宋体"/>
          <w:b/>
          <w:bCs/>
          <w:color w:val="auto"/>
          <w:kern w:val="0"/>
          <w:sz w:val="32"/>
          <w:szCs w:val="28"/>
          <w:lang w:val="en-US" w:bidi="zh-CN"/>
        </w:rPr>
        <w:t>-2023-140</w:t>
      </w:r>
    </w:p>
    <w:p>
      <w:pPr>
        <w:pStyle w:val="2"/>
        <w:rPr>
          <w:rFonts w:hint="default"/>
          <w:lang w:val="en-US" w:eastAsia="zh-CN"/>
        </w:rPr>
      </w:pPr>
    </w:p>
    <w:p>
      <w:pPr>
        <w:autoSpaceDE w:val="0"/>
        <w:autoSpaceDN w:val="0"/>
        <w:spacing w:after="100" w:afterLines="0"/>
        <w:ind w:firstLine="0" w:firstLineChars="0"/>
        <w:jc w:val="left"/>
        <w:rPr>
          <w:rFonts w:hint="eastAsia" w:ascii="宋体" w:hAnsi="宋体" w:eastAsia="宋体" w:cs="宋体"/>
          <w:color w:val="auto"/>
          <w:kern w:val="0"/>
          <w:sz w:val="24"/>
          <w:szCs w:val="22"/>
          <w:lang w:val="zh-CN" w:bidi="zh-CN"/>
        </w:rPr>
      </w:pPr>
    </w:p>
    <w:p>
      <w:pPr>
        <w:autoSpaceDE w:val="0"/>
        <w:autoSpaceDN w:val="0"/>
        <w:spacing w:after="100" w:afterLines="0"/>
        <w:ind w:firstLine="0" w:firstLineChars="0"/>
        <w:jc w:val="center"/>
        <w:rPr>
          <w:rFonts w:hint="eastAsia" w:ascii="宋体" w:hAnsi="宋体" w:eastAsia="宋体" w:cs="宋体"/>
          <w:color w:val="auto"/>
          <w:kern w:val="0"/>
          <w:sz w:val="24"/>
          <w:szCs w:val="22"/>
          <w:lang w:val="zh-CN" w:bidi="zh-CN"/>
        </w:rPr>
      </w:pPr>
      <w:r>
        <w:rPr>
          <w:rFonts w:hint="eastAsia" w:ascii="宋体" w:hAnsi="宋体" w:cs="宋体"/>
          <w:kern w:val="0"/>
          <w:sz w:val="24"/>
          <w:szCs w:val="24"/>
          <w:lang w:bidi="ar"/>
        </w:rPr>
        <w:fldChar w:fldCharType="begin"/>
      </w:r>
      <w:r>
        <w:rPr>
          <w:rFonts w:hint="eastAsia" w:ascii="宋体" w:hAnsi="宋体" w:cs="宋体"/>
          <w:kern w:val="0"/>
          <w:sz w:val="24"/>
          <w:szCs w:val="24"/>
          <w:lang w:bidi="ar"/>
        </w:rPr>
        <w:instrText xml:space="preserve">INCLUDEPICTURE \d "C:\\Users\\Administrator\\Documents\\Tencent Files\\3437585957\\Image\\C2C\\~D`93(T1FMT}QEY]V)[0FXQ.png" \* MERGEFORMATINET </w:instrText>
      </w:r>
      <w:r>
        <w:rPr>
          <w:rFonts w:hint="eastAsia" w:ascii="宋体" w:hAnsi="宋体" w:cs="宋体"/>
          <w:kern w:val="0"/>
          <w:sz w:val="24"/>
          <w:szCs w:val="24"/>
          <w:lang w:bidi="ar"/>
        </w:rPr>
        <w:fldChar w:fldCharType="separate"/>
      </w:r>
      <w:r>
        <w:rPr>
          <w:rFonts w:hint="eastAsia" w:ascii="宋体" w:hAnsi="宋体" w:cs="宋体"/>
          <w:kern w:val="0"/>
          <w:sz w:val="24"/>
          <w:szCs w:val="24"/>
          <w:lang w:bidi="ar"/>
        </w:rPr>
        <w:drawing>
          <wp:inline distT="0" distB="0" distL="114300" distR="114300">
            <wp:extent cx="1743075" cy="1495425"/>
            <wp:effectExtent l="0" t="0" r="9525"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1"/>
                    <a:stretch>
                      <a:fillRect/>
                    </a:stretch>
                  </pic:blipFill>
                  <pic:spPr>
                    <a:xfrm>
                      <a:off x="0" y="0"/>
                      <a:ext cx="1743075" cy="1495425"/>
                    </a:xfrm>
                    <a:prstGeom prst="rect">
                      <a:avLst/>
                    </a:prstGeom>
                    <a:noFill/>
                    <a:ln>
                      <a:noFill/>
                    </a:ln>
                  </pic:spPr>
                </pic:pic>
              </a:graphicData>
            </a:graphic>
          </wp:inline>
        </w:drawing>
      </w:r>
      <w:r>
        <w:rPr>
          <w:rFonts w:hint="eastAsia" w:ascii="宋体" w:hAnsi="宋体" w:cs="宋体"/>
          <w:kern w:val="0"/>
          <w:sz w:val="24"/>
          <w:szCs w:val="24"/>
          <w:lang w:bidi="ar"/>
        </w:rPr>
        <w:fldChar w:fldCharType="end"/>
      </w:r>
    </w:p>
    <w:p>
      <w:pPr>
        <w:autoSpaceDE w:val="0"/>
        <w:autoSpaceDN w:val="0"/>
        <w:spacing w:after="100" w:afterLines="100"/>
        <w:jc w:val="left"/>
        <w:rPr>
          <w:rFonts w:hint="eastAsia" w:ascii="宋体" w:hAnsi="宋体" w:eastAsia="宋体" w:cs="宋体"/>
          <w:color w:val="auto"/>
          <w:kern w:val="0"/>
          <w:sz w:val="24"/>
          <w:szCs w:val="22"/>
          <w:lang w:val="zh-CN" w:bidi="zh-CN"/>
        </w:rPr>
      </w:pPr>
    </w:p>
    <w:p>
      <w:pPr>
        <w:widowControl w:val="0"/>
        <w:autoSpaceDE w:val="0"/>
        <w:autoSpaceDN w:val="0"/>
        <w:spacing w:after="100" w:afterLines="100"/>
        <w:rPr>
          <w:rFonts w:hint="eastAsia" w:ascii="宋体" w:hAnsi="宋体" w:eastAsia="宋体" w:cs="宋体"/>
          <w:color w:val="auto"/>
          <w:sz w:val="24"/>
          <w:szCs w:val="24"/>
          <w:lang w:val="zh-CN" w:eastAsia="zh-CN" w:bidi="zh-CN"/>
        </w:rPr>
      </w:pPr>
    </w:p>
    <w:p>
      <w:pPr>
        <w:widowControl w:val="0"/>
        <w:autoSpaceDE w:val="0"/>
        <w:autoSpaceDN w:val="0"/>
        <w:spacing w:after="100" w:afterLines="100"/>
        <w:rPr>
          <w:rFonts w:hint="eastAsia" w:ascii="宋体" w:hAnsi="宋体" w:eastAsia="宋体" w:cs="宋体"/>
          <w:color w:val="auto"/>
          <w:sz w:val="24"/>
          <w:szCs w:val="24"/>
          <w:lang w:val="zh-CN" w:eastAsia="zh-CN" w:bidi="zh-CN"/>
        </w:rPr>
      </w:pPr>
    </w:p>
    <w:p>
      <w:pPr>
        <w:widowControl w:val="0"/>
        <w:autoSpaceDE w:val="0"/>
        <w:autoSpaceDN w:val="0"/>
        <w:spacing w:after="100" w:afterLines="0"/>
        <w:ind w:firstLine="0" w:firstLineChars="0"/>
        <w:rPr>
          <w:rFonts w:hint="eastAsia" w:ascii="宋体" w:hAnsi="宋体" w:eastAsia="宋体" w:cs="宋体"/>
          <w:color w:val="auto"/>
          <w:sz w:val="24"/>
          <w:szCs w:val="24"/>
          <w:lang w:val="zh-CN" w:eastAsia="zh-CN" w:bidi="zh-CN"/>
        </w:rPr>
      </w:pPr>
    </w:p>
    <w:p>
      <w:pPr>
        <w:rPr>
          <w:rFonts w:hint="eastAsia"/>
          <w:color w:val="auto"/>
          <w:lang w:val="zh-CN"/>
        </w:rPr>
      </w:pPr>
    </w:p>
    <w:p>
      <w:pPr>
        <w:pStyle w:val="2"/>
        <w:rPr>
          <w:rFonts w:hint="eastAsia"/>
          <w:color w:val="auto"/>
          <w:lang w:val="zh-CN"/>
        </w:rPr>
      </w:pPr>
    </w:p>
    <w:p>
      <w:pPr>
        <w:rPr>
          <w:rFonts w:hint="eastAsia"/>
          <w:color w:val="auto"/>
          <w:lang w:val="zh-CN"/>
        </w:rPr>
      </w:pPr>
    </w:p>
    <w:p>
      <w:pPr>
        <w:autoSpaceDE w:val="0"/>
        <w:autoSpaceDN w:val="0"/>
        <w:spacing w:after="100" w:afterLines="0"/>
        <w:jc w:val="center"/>
        <w:rPr>
          <w:rFonts w:hint="eastAsia" w:ascii="宋体" w:hAnsi="宋体" w:eastAsia="宋体" w:cs="宋体"/>
          <w:b/>
          <w:bCs/>
          <w:color w:val="auto"/>
          <w:kern w:val="0"/>
          <w:sz w:val="32"/>
          <w:szCs w:val="32"/>
          <w:lang w:val="en-US" w:eastAsia="zh-CN" w:bidi="zh-CN"/>
        </w:rPr>
      </w:pPr>
      <w:r>
        <w:rPr>
          <w:rFonts w:hint="eastAsia" w:ascii="宋体" w:hAnsi="宋体" w:eastAsia="宋体" w:cs="宋体"/>
          <w:b/>
          <w:bCs/>
          <w:color w:val="auto"/>
          <w:kern w:val="0"/>
          <w:sz w:val="32"/>
          <w:szCs w:val="32"/>
          <w:lang w:val="zh-CN" w:eastAsia="zh-CN" w:bidi="zh-CN"/>
        </w:rPr>
        <w:t>采</w:t>
      </w:r>
      <w:r>
        <w:rPr>
          <w:rFonts w:hint="eastAsia" w:ascii="宋体" w:hAnsi="宋体" w:eastAsia="宋体" w:cs="宋体"/>
          <w:b/>
          <w:bCs/>
          <w:color w:val="auto"/>
          <w:kern w:val="0"/>
          <w:sz w:val="32"/>
          <w:szCs w:val="32"/>
          <w:lang w:val="en-US" w:eastAsia="zh-CN" w:bidi="zh-CN"/>
        </w:rPr>
        <w:t xml:space="preserve">  </w:t>
      </w:r>
      <w:r>
        <w:rPr>
          <w:rFonts w:hint="eastAsia" w:ascii="宋体" w:hAnsi="宋体" w:eastAsia="宋体" w:cs="宋体"/>
          <w:b/>
          <w:bCs/>
          <w:color w:val="auto"/>
          <w:kern w:val="0"/>
          <w:sz w:val="32"/>
          <w:szCs w:val="32"/>
          <w:lang w:val="zh-CN" w:eastAsia="zh-CN" w:bidi="zh-CN"/>
        </w:rPr>
        <w:t xml:space="preserve"> 购 </w:t>
      </w:r>
      <w:r>
        <w:rPr>
          <w:rFonts w:hint="eastAsia" w:ascii="宋体" w:hAnsi="宋体" w:eastAsia="宋体" w:cs="宋体"/>
          <w:b/>
          <w:bCs/>
          <w:color w:val="auto"/>
          <w:kern w:val="0"/>
          <w:sz w:val="32"/>
          <w:szCs w:val="32"/>
          <w:lang w:val="en-US" w:eastAsia="zh-CN" w:bidi="zh-CN"/>
        </w:rPr>
        <w:t xml:space="preserve">  </w:t>
      </w:r>
      <w:r>
        <w:rPr>
          <w:rFonts w:hint="eastAsia" w:ascii="宋体" w:hAnsi="宋体" w:eastAsia="宋体" w:cs="宋体"/>
          <w:b/>
          <w:bCs/>
          <w:color w:val="auto"/>
          <w:kern w:val="0"/>
          <w:sz w:val="32"/>
          <w:szCs w:val="32"/>
          <w:lang w:val="zh-CN" w:eastAsia="zh-CN" w:bidi="zh-CN"/>
        </w:rPr>
        <w:t>人</w:t>
      </w:r>
      <w:r>
        <w:rPr>
          <w:rFonts w:hint="eastAsia" w:ascii="宋体" w:hAnsi="宋体" w:eastAsia="宋体" w:cs="宋体"/>
          <w:b/>
          <w:bCs/>
          <w:color w:val="auto"/>
          <w:kern w:val="0"/>
          <w:sz w:val="32"/>
          <w:szCs w:val="32"/>
          <w:lang w:val="zh-CN" w:bidi="zh-CN"/>
        </w:rPr>
        <w:t>：</w:t>
      </w:r>
      <w:r>
        <w:rPr>
          <w:rFonts w:hint="eastAsia" w:ascii="宋体" w:hAnsi="宋体" w:cs="宋体"/>
          <w:b/>
          <w:bCs/>
          <w:color w:val="auto"/>
          <w:kern w:val="0"/>
          <w:sz w:val="32"/>
          <w:szCs w:val="32"/>
          <w:lang w:val="en-US" w:eastAsia="zh-CN" w:bidi="zh-CN"/>
        </w:rPr>
        <w:t>信阳农林学院</w:t>
      </w:r>
    </w:p>
    <w:p>
      <w:pPr>
        <w:autoSpaceDE w:val="0"/>
        <w:autoSpaceDN w:val="0"/>
        <w:spacing w:after="100" w:afterLines="0"/>
        <w:jc w:val="center"/>
        <w:rPr>
          <w:rFonts w:hint="eastAsia" w:ascii="宋体" w:hAnsi="宋体" w:eastAsia="宋体" w:cs="宋体"/>
          <w:b/>
          <w:bCs/>
          <w:color w:val="auto"/>
          <w:kern w:val="0"/>
          <w:sz w:val="32"/>
          <w:szCs w:val="32"/>
          <w:lang w:val="zh-CN" w:eastAsia="zh-CN" w:bidi="zh-CN"/>
        </w:rPr>
      </w:pPr>
      <w:r>
        <w:rPr>
          <w:rFonts w:hint="eastAsia" w:ascii="宋体" w:hAnsi="宋体" w:eastAsia="宋体" w:cs="宋体"/>
          <w:b/>
          <w:bCs/>
          <w:color w:val="auto"/>
          <w:kern w:val="0"/>
          <w:sz w:val="32"/>
          <w:szCs w:val="32"/>
          <w:lang w:val="zh-CN" w:eastAsia="zh-CN" w:bidi="zh-CN"/>
        </w:rPr>
        <w:t>采购</w:t>
      </w:r>
      <w:r>
        <w:rPr>
          <w:rFonts w:hint="eastAsia" w:ascii="宋体" w:hAnsi="宋体" w:eastAsia="宋体" w:cs="宋体"/>
          <w:b/>
          <w:bCs/>
          <w:color w:val="auto"/>
          <w:kern w:val="0"/>
          <w:sz w:val="32"/>
          <w:szCs w:val="32"/>
          <w:lang w:val="zh-CN" w:bidi="zh-CN"/>
        </w:rPr>
        <w:t>代理机构：</w:t>
      </w:r>
      <w:r>
        <w:rPr>
          <w:rFonts w:hint="eastAsia" w:ascii="宋体" w:hAnsi="宋体" w:cs="宋体"/>
          <w:b/>
          <w:bCs/>
          <w:color w:val="auto"/>
          <w:kern w:val="0"/>
          <w:sz w:val="32"/>
          <w:szCs w:val="32"/>
          <w:lang w:val="zh-CN" w:eastAsia="zh-CN" w:bidi="zh-CN"/>
        </w:rPr>
        <w:t>河南英华咨询有限公司</w:t>
      </w:r>
    </w:p>
    <w:p>
      <w:pPr>
        <w:pStyle w:val="17"/>
        <w:jc w:val="center"/>
        <w:rPr>
          <w:rFonts w:hint="eastAsia" w:ascii="宋体" w:hAnsi="宋体" w:cs="宋体"/>
          <w:b/>
          <w:color w:val="auto"/>
          <w:sz w:val="32"/>
        </w:rPr>
        <w:sectPr>
          <w:pgSz w:w="11905" w:h="16838"/>
          <w:pgMar w:top="1440" w:right="1803" w:bottom="1440" w:left="1803" w:header="850" w:footer="850" w:gutter="0"/>
          <w:pgBorders>
            <w:top w:val="none" w:sz="0" w:space="0"/>
            <w:left w:val="none" w:sz="0" w:space="0"/>
            <w:bottom w:val="none" w:sz="0" w:space="0"/>
            <w:right w:val="none" w:sz="0" w:space="0"/>
          </w:pgBorders>
          <w:pgNumType w:fmt="decimal"/>
          <w:cols w:space="720" w:num="1"/>
          <w:rtlGutter w:val="0"/>
          <w:docGrid w:type="lines" w:linePitch="349" w:charSpace="0"/>
        </w:sectPr>
      </w:pPr>
      <w:r>
        <w:rPr>
          <w:rFonts w:hint="eastAsia" w:ascii="宋体" w:hAnsi="宋体" w:eastAsia="宋体" w:cs="宋体"/>
          <w:b/>
          <w:bCs/>
          <w:color w:val="auto"/>
          <w:kern w:val="0"/>
          <w:sz w:val="32"/>
          <w:szCs w:val="32"/>
          <w:lang w:val="zh-CN" w:bidi="zh-CN"/>
        </w:rPr>
        <w:t>日</w:t>
      </w:r>
      <w:r>
        <w:rPr>
          <w:rFonts w:hint="eastAsia" w:ascii="宋体" w:hAnsi="宋体" w:eastAsia="宋体" w:cs="宋体"/>
          <w:b/>
          <w:bCs/>
          <w:color w:val="auto"/>
          <w:kern w:val="0"/>
          <w:sz w:val="32"/>
          <w:szCs w:val="32"/>
          <w:lang w:val="en-US" w:eastAsia="zh-CN" w:bidi="zh-CN"/>
        </w:rPr>
        <w:t xml:space="preserve">       </w:t>
      </w:r>
      <w:r>
        <w:rPr>
          <w:rFonts w:hint="eastAsia" w:ascii="宋体" w:hAnsi="宋体" w:eastAsia="宋体" w:cs="宋体"/>
          <w:b/>
          <w:bCs/>
          <w:color w:val="auto"/>
          <w:kern w:val="0"/>
          <w:sz w:val="32"/>
          <w:szCs w:val="32"/>
          <w:lang w:val="zh-CN" w:bidi="zh-CN"/>
        </w:rPr>
        <w:t>期：二〇二</w:t>
      </w:r>
      <w:r>
        <w:rPr>
          <w:rFonts w:hint="eastAsia" w:ascii="宋体" w:hAnsi="宋体" w:eastAsia="宋体" w:cs="宋体"/>
          <w:b/>
          <w:bCs/>
          <w:color w:val="auto"/>
          <w:kern w:val="0"/>
          <w:sz w:val="32"/>
          <w:szCs w:val="32"/>
          <w:lang w:val="zh-CN" w:eastAsia="zh-CN" w:bidi="zh-CN"/>
        </w:rPr>
        <w:t>三</w:t>
      </w:r>
      <w:r>
        <w:rPr>
          <w:rFonts w:hint="eastAsia" w:ascii="宋体" w:hAnsi="宋体" w:eastAsia="宋体" w:cs="宋体"/>
          <w:b/>
          <w:bCs/>
          <w:color w:val="auto"/>
          <w:kern w:val="0"/>
          <w:sz w:val="32"/>
          <w:szCs w:val="32"/>
          <w:lang w:val="zh-CN" w:bidi="zh-CN"/>
        </w:rPr>
        <w:t>年</w:t>
      </w:r>
      <w:r>
        <w:rPr>
          <w:rFonts w:hint="eastAsia" w:ascii="宋体" w:hAnsi="宋体" w:eastAsia="宋体" w:cs="宋体"/>
          <w:b/>
          <w:bCs/>
          <w:color w:val="auto"/>
          <w:kern w:val="0"/>
          <w:sz w:val="32"/>
          <w:szCs w:val="32"/>
          <w:lang w:val="zh-CN" w:eastAsia="zh-CN" w:bidi="zh-CN"/>
        </w:rPr>
        <w:t>十</w:t>
      </w:r>
      <w:r>
        <w:rPr>
          <w:rFonts w:hint="eastAsia" w:ascii="宋体" w:hAnsi="宋体" w:cs="宋体"/>
          <w:b/>
          <w:bCs/>
          <w:color w:val="auto"/>
          <w:kern w:val="0"/>
          <w:sz w:val="32"/>
          <w:szCs w:val="32"/>
          <w:lang w:val="zh-CN" w:eastAsia="zh-CN" w:bidi="zh-CN"/>
        </w:rPr>
        <w:t>二</w:t>
      </w:r>
      <w:r>
        <w:rPr>
          <w:rFonts w:hint="eastAsia" w:ascii="宋体" w:hAnsi="宋体" w:eastAsia="宋体" w:cs="宋体"/>
          <w:b/>
          <w:bCs/>
          <w:color w:val="auto"/>
          <w:kern w:val="0"/>
          <w:sz w:val="32"/>
          <w:szCs w:val="32"/>
          <w:lang w:val="zh-CN" w:eastAsia="zh-CN" w:bidi="zh-CN"/>
        </w:rPr>
        <w:t>月</w:t>
      </w:r>
    </w:p>
    <w:p>
      <w:pPr>
        <w:pStyle w:val="17"/>
        <w:jc w:val="center"/>
        <w:rPr>
          <w:rFonts w:hint="eastAsia" w:ascii="宋体" w:hAnsi="宋体" w:cs="宋体"/>
          <w:b/>
          <w:color w:val="auto"/>
          <w:sz w:val="32"/>
        </w:rPr>
      </w:pPr>
      <w:r>
        <w:rPr>
          <w:rFonts w:hint="eastAsia" w:ascii="宋体" w:hAnsi="宋体" w:cs="宋体"/>
          <w:b/>
          <w:color w:val="auto"/>
          <w:sz w:val="32"/>
        </w:rPr>
        <w:t>目     录</w:t>
      </w:r>
    </w:p>
    <w:p>
      <w:pPr>
        <w:pStyle w:val="32"/>
        <w:tabs>
          <w:tab w:val="right" w:leader="dot" w:pos="8299"/>
        </w:tabs>
        <w:spacing w:line="360" w:lineRule="auto"/>
        <w:rPr>
          <w:rFonts w:hint="default" w:ascii="Times New Roman" w:hAnsi="Times New Roman" w:cs="Times New Roman"/>
          <w:color w:val="auto"/>
          <w:sz w:val="24"/>
          <w:szCs w:val="24"/>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TOC \o "1-3" \h \z \u </w:instrText>
      </w:r>
      <w:r>
        <w:rPr>
          <w:rFonts w:hint="eastAsia" w:ascii="宋体" w:hAnsi="宋体" w:eastAsia="宋体" w:cs="宋体"/>
          <w:color w:val="auto"/>
          <w:sz w:val="21"/>
          <w:szCs w:val="21"/>
        </w:rPr>
        <w:fldChar w:fldCharType="separate"/>
      </w:r>
      <w:r>
        <w:rPr>
          <w:rFonts w:hint="default" w:ascii="Times New Roman" w:hAnsi="Times New Roman" w:eastAsia="宋体" w:cs="Times New Roman"/>
          <w:color w:val="auto"/>
          <w:sz w:val="24"/>
          <w:szCs w:val="22"/>
        </w:rPr>
        <w:fldChar w:fldCharType="begin"/>
      </w:r>
      <w:r>
        <w:rPr>
          <w:rFonts w:hint="default" w:ascii="Times New Roman" w:hAnsi="Times New Roman" w:eastAsia="宋体" w:cs="Times New Roman"/>
          <w:color w:val="auto"/>
          <w:sz w:val="24"/>
          <w:szCs w:val="22"/>
        </w:rPr>
        <w:instrText xml:space="preserve"> HYPERLINK \l _Toc25710 </w:instrText>
      </w:r>
      <w:r>
        <w:rPr>
          <w:rFonts w:hint="default" w:ascii="Times New Roman" w:hAnsi="Times New Roman" w:eastAsia="宋体" w:cs="Times New Roman"/>
          <w:color w:val="auto"/>
          <w:sz w:val="24"/>
          <w:szCs w:val="22"/>
        </w:rPr>
        <w:fldChar w:fldCharType="separate"/>
      </w:r>
      <w:r>
        <w:rPr>
          <w:rFonts w:hint="default" w:ascii="Times New Roman" w:hAnsi="Times New Roman" w:cs="Times New Roman"/>
          <w:bCs/>
          <w:color w:val="auto"/>
          <w:sz w:val="24"/>
          <w:szCs w:val="36"/>
        </w:rPr>
        <w:t xml:space="preserve">第一章 </w:t>
      </w:r>
      <w:r>
        <w:rPr>
          <w:rFonts w:hint="default" w:ascii="Times New Roman" w:hAnsi="Times New Roman" w:cs="Times New Roman"/>
          <w:bCs/>
          <w:color w:val="auto"/>
          <w:sz w:val="24"/>
          <w:szCs w:val="36"/>
          <w:lang w:eastAsia="zh-CN"/>
        </w:rPr>
        <w:t>竞争性</w:t>
      </w:r>
      <w:r>
        <w:rPr>
          <w:rFonts w:hint="default" w:ascii="Times New Roman" w:hAnsi="Times New Roman" w:cs="Times New Roman"/>
          <w:bCs/>
          <w:color w:val="auto"/>
          <w:sz w:val="24"/>
          <w:szCs w:val="36"/>
        </w:rPr>
        <w:t>磋商公告</w:t>
      </w:r>
      <w:r>
        <w:rPr>
          <w:rFonts w:hint="default" w:ascii="Times New Roman" w:hAnsi="Times New Roman" w:cs="Times New Roman"/>
          <w:color w:val="auto"/>
          <w:sz w:val="24"/>
          <w:szCs w:val="24"/>
        </w:rPr>
        <w:tab/>
      </w:r>
      <w:r>
        <w:rPr>
          <w:rFonts w:hint="eastAsia" w:ascii="Times New Roman" w:hAnsi="Times New Roman" w:cs="Times New Roman"/>
          <w:color w:val="auto"/>
          <w:sz w:val="24"/>
          <w:szCs w:val="24"/>
          <w:lang w:val="en-US" w:eastAsia="zh-CN"/>
        </w:rPr>
        <w:t>5</w:t>
      </w:r>
      <w:r>
        <w:rPr>
          <w:rFonts w:hint="default" w:ascii="Times New Roman" w:hAnsi="Times New Roman" w:eastAsia="宋体" w:cs="Times New Roman"/>
          <w:color w:val="auto"/>
          <w:sz w:val="24"/>
          <w:szCs w:val="22"/>
        </w:rPr>
        <w:fldChar w:fldCharType="end"/>
      </w:r>
    </w:p>
    <w:p>
      <w:pPr>
        <w:pStyle w:val="38"/>
        <w:tabs>
          <w:tab w:val="right" w:leader="dot" w:pos="8299"/>
        </w:tabs>
        <w:spacing w:line="360" w:lineRule="auto"/>
        <w:ind w:left="0" w:leftChars="0" w:firstLine="0" w:firstLineChars="0"/>
        <w:rPr>
          <w:rFonts w:hint="eastAsia"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rPr>
        <w:t>第二章 供应商须知</w:t>
      </w:r>
      <w:r>
        <w:rPr>
          <w:rFonts w:hint="default" w:ascii="Times New Roman" w:hAnsi="Times New Roman" w:cs="Times New Roman"/>
          <w:color w:val="auto"/>
          <w:sz w:val="24"/>
          <w:szCs w:val="24"/>
        </w:rPr>
        <w:tab/>
      </w:r>
      <w:r>
        <w:rPr>
          <w:rFonts w:hint="eastAsia" w:ascii="Times New Roman" w:hAnsi="Times New Roman" w:cs="Times New Roman"/>
          <w:color w:val="auto"/>
          <w:sz w:val="24"/>
          <w:szCs w:val="24"/>
          <w:lang w:val="en-US" w:eastAsia="zh-CN"/>
        </w:rPr>
        <w:t>9</w:t>
      </w:r>
    </w:p>
    <w:p>
      <w:pPr>
        <w:pStyle w:val="32"/>
        <w:tabs>
          <w:tab w:val="right" w:leader="dot" w:pos="8299"/>
        </w:tabs>
        <w:spacing w:line="360" w:lineRule="auto"/>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2"/>
        </w:rPr>
        <w:fldChar w:fldCharType="begin"/>
      </w:r>
      <w:r>
        <w:rPr>
          <w:rFonts w:hint="default" w:ascii="Times New Roman" w:hAnsi="Times New Roman" w:eastAsia="宋体" w:cs="Times New Roman"/>
          <w:color w:val="auto"/>
          <w:sz w:val="24"/>
          <w:szCs w:val="22"/>
        </w:rPr>
        <w:instrText xml:space="preserve"> HYPERLINK \l _Toc3134 </w:instrText>
      </w:r>
      <w:r>
        <w:rPr>
          <w:rFonts w:hint="default" w:ascii="Times New Roman" w:hAnsi="Times New Roman" w:eastAsia="宋体" w:cs="Times New Roman"/>
          <w:color w:val="auto"/>
          <w:sz w:val="24"/>
          <w:szCs w:val="22"/>
        </w:rPr>
        <w:fldChar w:fldCharType="separate"/>
      </w:r>
      <w:r>
        <w:rPr>
          <w:rFonts w:hint="default" w:ascii="Times New Roman" w:hAnsi="Times New Roman" w:cs="Times New Roman"/>
          <w:color w:val="auto"/>
          <w:kern w:val="44"/>
          <w:sz w:val="24"/>
          <w:szCs w:val="36"/>
        </w:rPr>
        <w:t>第三章 评审办法（综合评分法）</w:t>
      </w:r>
      <w:r>
        <w:rPr>
          <w:rFonts w:hint="default" w:ascii="Times New Roman" w:hAnsi="Times New Roman" w:cs="Times New Roman"/>
          <w:color w:val="auto"/>
          <w:sz w:val="24"/>
          <w:szCs w:val="24"/>
        </w:rPr>
        <w:tab/>
      </w:r>
      <w:r>
        <w:rPr>
          <w:rFonts w:hint="eastAsia" w:ascii="Times New Roman" w:hAnsi="Times New Roman" w:cs="Times New Roman"/>
          <w:color w:val="auto"/>
          <w:sz w:val="24"/>
          <w:szCs w:val="24"/>
          <w:lang w:val="en-US" w:eastAsia="zh-CN"/>
        </w:rPr>
        <w:t>2</w:t>
      </w:r>
      <w:r>
        <w:rPr>
          <w:rFonts w:hint="default" w:ascii="Times New Roman" w:hAnsi="Times New Roman" w:eastAsia="宋体" w:cs="Times New Roman"/>
          <w:color w:val="auto"/>
          <w:sz w:val="24"/>
          <w:szCs w:val="22"/>
        </w:rPr>
        <w:fldChar w:fldCharType="end"/>
      </w:r>
      <w:r>
        <w:rPr>
          <w:rFonts w:hint="eastAsia" w:ascii="Times New Roman" w:hAnsi="Times New Roman" w:cs="Times New Roman"/>
          <w:color w:val="auto"/>
          <w:sz w:val="24"/>
          <w:szCs w:val="22"/>
          <w:lang w:val="en-US" w:eastAsia="zh-CN"/>
        </w:rPr>
        <w:t>1</w:t>
      </w:r>
    </w:p>
    <w:p>
      <w:pPr>
        <w:pStyle w:val="38"/>
        <w:tabs>
          <w:tab w:val="right" w:leader="dot" w:pos="8299"/>
        </w:tabs>
        <w:spacing w:line="360" w:lineRule="auto"/>
        <w:ind w:left="0" w:leftChars="0" w:firstLine="0" w:firstLineChars="0"/>
        <w:rPr>
          <w:rFonts w:hint="default" w:ascii="Times New Roman" w:hAnsi="Times New Roman" w:cs="Times New Roman"/>
          <w:color w:val="auto"/>
          <w:sz w:val="24"/>
          <w:szCs w:val="24"/>
        </w:rPr>
      </w:pPr>
      <w:r>
        <w:rPr>
          <w:rFonts w:hint="default" w:ascii="Times New Roman" w:hAnsi="Times New Roman" w:eastAsia="宋体" w:cs="Times New Roman"/>
          <w:color w:val="auto"/>
          <w:sz w:val="24"/>
          <w:szCs w:val="22"/>
        </w:rPr>
        <w:fldChar w:fldCharType="begin"/>
      </w:r>
      <w:r>
        <w:rPr>
          <w:rFonts w:hint="default" w:ascii="Times New Roman" w:hAnsi="Times New Roman" w:eastAsia="宋体" w:cs="Times New Roman"/>
          <w:color w:val="auto"/>
          <w:sz w:val="24"/>
          <w:szCs w:val="22"/>
        </w:rPr>
        <w:instrText xml:space="preserve"> HYPERLINK \l _Toc15537 </w:instrText>
      </w:r>
      <w:r>
        <w:rPr>
          <w:rFonts w:hint="default" w:ascii="Times New Roman" w:hAnsi="Times New Roman" w:eastAsia="宋体" w:cs="Times New Roman"/>
          <w:color w:val="auto"/>
          <w:sz w:val="24"/>
          <w:szCs w:val="22"/>
        </w:rPr>
        <w:fldChar w:fldCharType="separate"/>
      </w:r>
      <w:r>
        <w:rPr>
          <w:rFonts w:hint="default" w:ascii="Times New Roman" w:hAnsi="Times New Roman" w:eastAsia="宋体" w:cs="Times New Roman"/>
          <w:bCs w:val="0"/>
          <w:color w:val="auto"/>
          <w:sz w:val="24"/>
          <w:szCs w:val="32"/>
          <w:lang w:eastAsia="zh-CN"/>
        </w:rPr>
        <w:t xml:space="preserve">第四章 </w:t>
      </w:r>
      <w:r>
        <w:rPr>
          <w:rFonts w:hint="default" w:ascii="Times New Roman" w:hAnsi="Times New Roman" w:eastAsia="宋体" w:cs="Times New Roman"/>
          <w:bCs w:val="0"/>
          <w:color w:val="auto"/>
          <w:sz w:val="24"/>
          <w:szCs w:val="32"/>
        </w:rPr>
        <w:t>合同文本</w:t>
      </w:r>
      <w:r>
        <w:rPr>
          <w:rFonts w:hint="default" w:ascii="Times New Roman" w:hAnsi="Times New Roman" w:eastAsia="宋体" w:cs="Times New Roman"/>
          <w:bCs w:val="0"/>
          <w:color w:val="auto"/>
          <w:sz w:val="24"/>
          <w:szCs w:val="32"/>
          <w:lang w:eastAsia="zh-CN"/>
        </w:rPr>
        <w:t>（仅供参考）</w:t>
      </w:r>
      <w:r>
        <w:rPr>
          <w:rFonts w:hint="default" w:ascii="Times New Roman" w:hAnsi="Times New Roman" w:cs="Times New Roman"/>
          <w:color w:val="auto"/>
          <w:sz w:val="24"/>
          <w:szCs w:val="24"/>
        </w:rPr>
        <w:tab/>
      </w:r>
      <w:r>
        <w:rPr>
          <w:rFonts w:hint="default" w:ascii="Times New Roman" w:hAnsi="Times New Roman" w:cs="Times New Roman"/>
          <w:color w:val="auto"/>
          <w:sz w:val="24"/>
          <w:szCs w:val="24"/>
        </w:rPr>
        <w:fldChar w:fldCharType="begin"/>
      </w:r>
      <w:r>
        <w:rPr>
          <w:rFonts w:hint="default" w:ascii="Times New Roman" w:hAnsi="Times New Roman" w:cs="Times New Roman"/>
          <w:color w:val="auto"/>
          <w:sz w:val="24"/>
          <w:szCs w:val="24"/>
        </w:rPr>
        <w:instrText xml:space="preserve"> PAGEREF _Toc15537 \h </w:instrText>
      </w:r>
      <w:r>
        <w:rPr>
          <w:rFonts w:hint="default" w:ascii="Times New Roman" w:hAnsi="Times New Roman" w:cs="Times New Roman"/>
          <w:color w:val="auto"/>
          <w:sz w:val="24"/>
          <w:szCs w:val="24"/>
        </w:rPr>
        <w:fldChar w:fldCharType="separate"/>
      </w:r>
      <w:r>
        <w:rPr>
          <w:rFonts w:hint="default" w:ascii="Times New Roman" w:hAnsi="Times New Roman" w:cs="Times New Roman"/>
          <w:color w:val="auto"/>
          <w:sz w:val="24"/>
          <w:szCs w:val="24"/>
        </w:rPr>
        <w:t>2</w:t>
      </w:r>
      <w:r>
        <w:rPr>
          <w:rFonts w:hint="eastAsia" w:ascii="Times New Roman" w:hAnsi="Times New Roman" w:cs="Times New Roman"/>
          <w:color w:val="auto"/>
          <w:sz w:val="24"/>
          <w:szCs w:val="24"/>
          <w:lang w:val="en-US" w:eastAsia="zh-CN"/>
        </w:rPr>
        <w:t>6</w:t>
      </w:r>
      <w:r>
        <w:rPr>
          <w:rFonts w:hint="default" w:ascii="Times New Roman" w:hAnsi="Times New Roman" w:cs="Times New Roman"/>
          <w:color w:val="auto"/>
          <w:sz w:val="24"/>
          <w:szCs w:val="24"/>
        </w:rPr>
        <w:fldChar w:fldCharType="end"/>
      </w:r>
      <w:r>
        <w:rPr>
          <w:rFonts w:hint="default" w:ascii="Times New Roman" w:hAnsi="Times New Roman" w:eastAsia="宋体" w:cs="Times New Roman"/>
          <w:color w:val="auto"/>
          <w:sz w:val="24"/>
          <w:szCs w:val="22"/>
        </w:rPr>
        <w:fldChar w:fldCharType="end"/>
      </w:r>
    </w:p>
    <w:p>
      <w:pPr>
        <w:pStyle w:val="32"/>
        <w:tabs>
          <w:tab w:val="right" w:leader="dot" w:pos="8299"/>
        </w:tabs>
        <w:spacing w:line="360" w:lineRule="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2"/>
        </w:rPr>
        <w:fldChar w:fldCharType="begin"/>
      </w:r>
      <w:r>
        <w:rPr>
          <w:rFonts w:hint="default" w:ascii="Times New Roman" w:hAnsi="Times New Roman" w:eastAsia="宋体" w:cs="Times New Roman"/>
          <w:color w:val="auto"/>
          <w:sz w:val="24"/>
          <w:szCs w:val="22"/>
        </w:rPr>
        <w:instrText xml:space="preserve"> HYPERLINK \l _Toc24050 </w:instrText>
      </w:r>
      <w:r>
        <w:rPr>
          <w:rFonts w:hint="default" w:ascii="Times New Roman" w:hAnsi="Times New Roman" w:eastAsia="宋体" w:cs="Times New Roman"/>
          <w:color w:val="auto"/>
          <w:sz w:val="24"/>
          <w:szCs w:val="22"/>
        </w:rPr>
        <w:fldChar w:fldCharType="separate"/>
      </w:r>
      <w:r>
        <w:rPr>
          <w:rFonts w:hint="default" w:ascii="Times New Roman" w:hAnsi="Times New Roman" w:cs="Times New Roman"/>
          <w:color w:val="auto"/>
          <w:sz w:val="24"/>
          <w:szCs w:val="32"/>
          <w:lang w:eastAsia="zh-CN"/>
        </w:rPr>
        <w:t>第五章</w:t>
      </w:r>
      <w:r>
        <w:rPr>
          <w:rFonts w:hint="default" w:ascii="Times New Roman" w:hAnsi="Times New Roman" w:cs="Times New Roman"/>
          <w:color w:val="auto"/>
          <w:sz w:val="24"/>
          <w:szCs w:val="32"/>
          <w:lang w:val="en-US" w:eastAsia="zh-CN"/>
        </w:rPr>
        <w:t xml:space="preserve"> </w:t>
      </w:r>
      <w:r>
        <w:rPr>
          <w:rFonts w:hint="default" w:ascii="Times New Roman" w:hAnsi="Times New Roman" w:cs="Times New Roman"/>
          <w:color w:val="auto"/>
          <w:sz w:val="24"/>
          <w:szCs w:val="32"/>
          <w:lang w:eastAsia="zh-CN"/>
        </w:rPr>
        <w:t>采购需求</w:t>
      </w:r>
      <w:r>
        <w:rPr>
          <w:rFonts w:hint="default" w:ascii="Times New Roman" w:hAnsi="Times New Roman" w:cs="Times New Roman"/>
          <w:color w:val="auto"/>
          <w:sz w:val="24"/>
          <w:szCs w:val="24"/>
        </w:rPr>
        <w:tab/>
      </w:r>
      <w:r>
        <w:rPr>
          <w:rFonts w:hint="eastAsia" w:ascii="Times New Roman" w:hAnsi="Times New Roman" w:cs="Times New Roman"/>
          <w:color w:val="auto"/>
          <w:sz w:val="24"/>
          <w:szCs w:val="24"/>
          <w:lang w:val="en-US" w:eastAsia="zh-CN"/>
        </w:rPr>
        <w:t>3</w:t>
      </w:r>
      <w:r>
        <w:rPr>
          <w:rFonts w:hint="default" w:ascii="Times New Roman" w:hAnsi="Times New Roman" w:eastAsia="宋体" w:cs="Times New Roman"/>
          <w:color w:val="auto"/>
          <w:sz w:val="24"/>
          <w:szCs w:val="22"/>
        </w:rPr>
        <w:fldChar w:fldCharType="end"/>
      </w:r>
      <w:r>
        <w:rPr>
          <w:rFonts w:hint="eastAsia" w:ascii="Times New Roman" w:hAnsi="Times New Roman" w:cs="Times New Roman"/>
          <w:color w:val="auto"/>
          <w:sz w:val="24"/>
          <w:szCs w:val="22"/>
          <w:lang w:val="en-US" w:eastAsia="zh-CN"/>
        </w:rPr>
        <w:t>1</w:t>
      </w:r>
    </w:p>
    <w:p>
      <w:pPr>
        <w:pStyle w:val="32"/>
        <w:tabs>
          <w:tab w:val="right" w:leader="dot" w:pos="8299"/>
        </w:tabs>
        <w:spacing w:line="360" w:lineRule="auto"/>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2"/>
        </w:rPr>
        <w:fldChar w:fldCharType="begin"/>
      </w:r>
      <w:r>
        <w:rPr>
          <w:rFonts w:hint="default" w:ascii="Times New Roman" w:hAnsi="Times New Roman" w:eastAsia="宋体" w:cs="Times New Roman"/>
          <w:color w:val="auto"/>
          <w:sz w:val="24"/>
          <w:szCs w:val="22"/>
        </w:rPr>
        <w:instrText xml:space="preserve"> HYPERLINK \l _Toc28130 </w:instrText>
      </w:r>
      <w:r>
        <w:rPr>
          <w:rFonts w:hint="default" w:ascii="Times New Roman" w:hAnsi="Times New Roman" w:eastAsia="宋体" w:cs="Times New Roman"/>
          <w:color w:val="auto"/>
          <w:sz w:val="24"/>
          <w:szCs w:val="22"/>
        </w:rPr>
        <w:fldChar w:fldCharType="separate"/>
      </w:r>
      <w:r>
        <w:rPr>
          <w:rFonts w:hint="default" w:ascii="Times New Roman" w:hAnsi="Times New Roman" w:cs="Times New Roman"/>
          <w:bCs w:val="0"/>
          <w:color w:val="auto"/>
          <w:sz w:val="24"/>
          <w:szCs w:val="32"/>
        </w:rPr>
        <w:t>第六章 竞争性磋商响应文件格式</w:t>
      </w:r>
      <w:r>
        <w:rPr>
          <w:rFonts w:hint="default" w:ascii="Times New Roman" w:hAnsi="Times New Roman" w:cs="Times New Roman"/>
          <w:color w:val="auto"/>
          <w:sz w:val="24"/>
          <w:szCs w:val="24"/>
        </w:rPr>
        <w:tab/>
      </w:r>
      <w:r>
        <w:rPr>
          <w:rFonts w:hint="eastAsia" w:ascii="Times New Roman" w:hAnsi="Times New Roman" w:cs="Times New Roman"/>
          <w:color w:val="auto"/>
          <w:sz w:val="24"/>
          <w:szCs w:val="24"/>
          <w:lang w:val="en-US" w:eastAsia="zh-CN"/>
        </w:rPr>
        <w:t>3</w:t>
      </w:r>
      <w:r>
        <w:rPr>
          <w:rFonts w:hint="default" w:ascii="Times New Roman" w:hAnsi="Times New Roman" w:eastAsia="宋体" w:cs="Times New Roman"/>
          <w:color w:val="auto"/>
          <w:sz w:val="24"/>
          <w:szCs w:val="22"/>
        </w:rPr>
        <w:fldChar w:fldCharType="end"/>
      </w:r>
      <w:r>
        <w:rPr>
          <w:rFonts w:hint="eastAsia" w:ascii="Times New Roman" w:hAnsi="Times New Roman" w:cs="Times New Roman"/>
          <w:color w:val="auto"/>
          <w:sz w:val="24"/>
          <w:szCs w:val="22"/>
          <w:lang w:val="en-US" w:eastAsia="zh-CN"/>
        </w:rPr>
        <w:t>2</w:t>
      </w:r>
    </w:p>
    <w:p>
      <w:pPr>
        <w:pStyle w:val="38"/>
        <w:tabs>
          <w:tab w:val="right" w:leader="dot" w:pos="8299"/>
        </w:tabs>
        <w:rPr>
          <w:color w:val="auto"/>
        </w:rPr>
      </w:pPr>
    </w:p>
    <w:p>
      <w:pPr>
        <w:pStyle w:val="195"/>
        <w:ind w:left="0" w:leftChars="0" w:firstLine="0" w:firstLineChars="0"/>
        <w:jc w:val="center"/>
        <w:rPr>
          <w:rFonts w:hint="eastAsia" w:ascii="宋体" w:hAnsi="宋体" w:eastAsia="宋体" w:cs="宋体"/>
          <w:color w:val="auto"/>
          <w:szCs w:val="21"/>
        </w:rPr>
      </w:pPr>
      <w:r>
        <w:rPr>
          <w:rFonts w:hint="eastAsia" w:ascii="宋体" w:hAnsi="宋体" w:eastAsia="宋体" w:cs="宋体"/>
          <w:color w:val="auto"/>
          <w:szCs w:val="21"/>
        </w:rPr>
        <w:fldChar w:fldCharType="end"/>
      </w:r>
    </w:p>
    <w:p>
      <w:pPr>
        <w:pStyle w:val="195"/>
        <w:ind w:left="0" w:leftChars="0" w:firstLine="0" w:firstLineChars="0"/>
        <w:jc w:val="center"/>
        <w:rPr>
          <w:rFonts w:hint="eastAsia" w:ascii="宋体" w:hAnsi="宋体" w:eastAsia="宋体" w:cs="宋体"/>
          <w:color w:val="auto"/>
          <w:szCs w:val="21"/>
        </w:rPr>
      </w:pPr>
    </w:p>
    <w:p>
      <w:pPr>
        <w:rPr>
          <w:rFonts w:hint="eastAsia"/>
          <w:color w:val="auto"/>
        </w:rPr>
      </w:pPr>
    </w:p>
    <w:p>
      <w:pPr>
        <w:pStyle w:val="195"/>
        <w:ind w:left="0" w:leftChars="0" w:firstLine="0" w:firstLineChars="0"/>
        <w:jc w:val="center"/>
        <w:rPr>
          <w:rFonts w:hint="eastAsia" w:ascii="宋体" w:hAnsi="宋体" w:eastAsia="宋体" w:cs="宋体"/>
          <w:color w:val="auto"/>
          <w:szCs w:val="21"/>
        </w:rPr>
      </w:pPr>
    </w:p>
    <w:p>
      <w:pPr>
        <w:pStyle w:val="195"/>
        <w:ind w:left="0" w:leftChars="0" w:firstLine="0" w:firstLineChars="0"/>
        <w:jc w:val="center"/>
        <w:rPr>
          <w:rFonts w:hint="eastAsia" w:ascii="宋体" w:hAnsi="宋体" w:eastAsia="宋体" w:cs="宋体"/>
          <w:b/>
          <w:color w:val="auto"/>
          <w:spacing w:val="14"/>
          <w:sz w:val="44"/>
          <w:szCs w:val="44"/>
        </w:rPr>
        <w:sectPr>
          <w:headerReference r:id="rId3" w:type="default"/>
          <w:footerReference r:id="rId4" w:type="default"/>
          <w:pgSz w:w="11905" w:h="16838"/>
          <w:pgMar w:top="1440" w:right="1803" w:bottom="1440" w:left="1803" w:header="850" w:footer="850" w:gutter="0"/>
          <w:pgBorders>
            <w:top w:val="none" w:sz="0" w:space="0"/>
            <w:left w:val="none" w:sz="0" w:space="0"/>
            <w:bottom w:val="none" w:sz="0" w:space="0"/>
            <w:right w:val="none" w:sz="0" w:space="0"/>
          </w:pgBorders>
          <w:pgNumType w:fmt="decimal"/>
          <w:cols w:space="720" w:num="1"/>
          <w:rtlGutter w:val="0"/>
          <w:docGrid w:type="lines" w:linePitch="317" w:charSpace="0"/>
        </w:sectPr>
      </w:pPr>
    </w:p>
    <w:p>
      <w:pPr>
        <w:pStyle w:val="195"/>
        <w:ind w:left="0" w:leftChars="0" w:firstLine="0" w:firstLineChars="0"/>
        <w:jc w:val="center"/>
        <w:rPr>
          <w:rFonts w:hint="eastAsia" w:ascii="宋体" w:hAnsi="宋体" w:eastAsia="宋体" w:cs="宋体"/>
          <w:b/>
          <w:color w:val="auto"/>
          <w:spacing w:val="14"/>
          <w:sz w:val="44"/>
          <w:szCs w:val="44"/>
        </w:rPr>
      </w:pPr>
      <w:r>
        <w:rPr>
          <w:rFonts w:hint="eastAsia" w:ascii="宋体" w:hAnsi="宋体" w:eastAsia="宋体" w:cs="宋体"/>
          <w:b/>
          <w:color w:val="auto"/>
          <w:spacing w:val="14"/>
          <w:sz w:val="44"/>
          <w:szCs w:val="44"/>
        </w:rPr>
        <w:t>电子招投标特别提示</w:t>
      </w:r>
    </w:p>
    <w:p>
      <w:pPr>
        <w:spacing w:line="400" w:lineRule="exact"/>
        <w:rPr>
          <w:rFonts w:hint="eastAsia" w:ascii="宋体" w:hAnsi="宋体" w:cs="宋体"/>
          <w:b/>
          <w:bCs/>
          <w:color w:val="auto"/>
          <w:sz w:val="24"/>
        </w:rPr>
      </w:pPr>
    </w:p>
    <w:p>
      <w:pPr>
        <w:spacing w:line="360" w:lineRule="exact"/>
        <w:rPr>
          <w:rFonts w:hint="eastAsia" w:ascii="宋体" w:hAnsi="宋体" w:eastAsia="宋体" w:cs="宋体"/>
          <w:b/>
          <w:bCs/>
          <w:color w:val="auto"/>
          <w:sz w:val="21"/>
          <w:szCs w:val="21"/>
          <w:u w:val="double"/>
        </w:rPr>
      </w:pPr>
      <w:r>
        <w:rPr>
          <w:rFonts w:hint="eastAsia" w:ascii="宋体" w:hAnsi="宋体" w:eastAsia="宋体" w:cs="宋体"/>
          <w:b/>
          <w:bCs/>
          <w:color w:val="auto"/>
          <w:sz w:val="21"/>
          <w:szCs w:val="21"/>
          <w:u w:val="double"/>
        </w:rPr>
        <w:t>一、</w:t>
      </w:r>
      <w:r>
        <w:rPr>
          <w:rFonts w:hint="eastAsia" w:ascii="宋体" w:hAnsi="宋体" w:cs="宋体"/>
          <w:b/>
          <w:bCs/>
          <w:color w:val="auto"/>
          <w:sz w:val="21"/>
          <w:szCs w:val="21"/>
          <w:u w:val="double"/>
          <w:lang w:eastAsia="zh-CN"/>
        </w:rPr>
        <w:t>投标人</w:t>
      </w:r>
      <w:r>
        <w:rPr>
          <w:rFonts w:hint="eastAsia" w:ascii="宋体" w:hAnsi="宋体" w:eastAsia="宋体" w:cs="宋体"/>
          <w:b/>
          <w:bCs/>
          <w:color w:val="auto"/>
          <w:sz w:val="21"/>
          <w:szCs w:val="21"/>
          <w:u w:val="double"/>
          <w:lang w:eastAsia="zh-CN"/>
        </w:rPr>
        <w:t>（供应商）</w:t>
      </w:r>
      <w:r>
        <w:rPr>
          <w:rFonts w:hint="eastAsia" w:ascii="宋体" w:hAnsi="宋体" w:eastAsia="宋体" w:cs="宋体"/>
          <w:b/>
          <w:bCs/>
          <w:color w:val="auto"/>
          <w:sz w:val="21"/>
          <w:szCs w:val="21"/>
          <w:u w:val="double"/>
        </w:rPr>
        <w:t>注册</w:t>
      </w:r>
    </w:p>
    <w:p>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凡有意参加本项目的</w:t>
      </w:r>
      <w:r>
        <w:rPr>
          <w:rFonts w:hint="eastAsia" w:ascii="宋体" w:hAnsi="宋体" w:cs="宋体"/>
          <w:color w:val="auto"/>
          <w:sz w:val="21"/>
          <w:szCs w:val="21"/>
          <w:lang w:eastAsia="zh-CN"/>
        </w:rPr>
        <w:t>投标人</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，请</w:t>
      </w:r>
      <w:r>
        <w:rPr>
          <w:rFonts w:hint="eastAsia" w:ascii="宋体" w:hAnsi="宋体" w:cs="宋体"/>
          <w:color w:val="auto"/>
          <w:sz w:val="21"/>
          <w:szCs w:val="21"/>
          <w:lang w:eastAsia="zh-CN"/>
        </w:rPr>
        <w:t>登录</w:t>
      </w:r>
      <w:r>
        <w:rPr>
          <w:rFonts w:hint="eastAsia" w:ascii="宋体" w:hAnsi="宋体" w:eastAsia="宋体" w:cs="宋体"/>
          <w:color w:val="auto"/>
          <w:sz w:val="21"/>
          <w:szCs w:val="21"/>
        </w:rPr>
        <w:t>“全国公共资源交易平台（河南省·信阳市）（https://ggzyjy.xinyang.gov.cn）”网站进行交易主体自主注册，按网站公告通知有关要求填报企业信息并上传有关原件扫描件至诚信库，不需携带原件到信阳市公共资源交易中心进行审核。</w:t>
      </w:r>
      <w:r>
        <w:rPr>
          <w:rFonts w:hint="eastAsia" w:ascii="宋体" w:hAnsi="宋体" w:cs="宋体"/>
          <w:color w:val="auto"/>
          <w:sz w:val="21"/>
          <w:szCs w:val="21"/>
          <w:lang w:eastAsia="zh-CN"/>
        </w:rPr>
        <w:t>投标人</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应对所上传材料的真实性、合法性、有效性负责，其上传的信息将全部对外公示，接受社会监督。</w:t>
      </w:r>
    </w:p>
    <w:p>
      <w:pPr>
        <w:spacing w:line="360" w:lineRule="exact"/>
        <w:rPr>
          <w:rFonts w:hint="eastAsia" w:ascii="宋体" w:hAnsi="宋体" w:eastAsia="宋体" w:cs="宋体"/>
          <w:b/>
          <w:bCs/>
          <w:color w:val="auto"/>
          <w:sz w:val="21"/>
          <w:szCs w:val="21"/>
          <w:u w:val="double"/>
        </w:rPr>
      </w:pPr>
      <w:r>
        <w:rPr>
          <w:rFonts w:hint="eastAsia" w:ascii="宋体" w:hAnsi="宋体" w:eastAsia="宋体" w:cs="宋体"/>
          <w:b/>
          <w:bCs/>
          <w:color w:val="auto"/>
          <w:sz w:val="21"/>
          <w:szCs w:val="21"/>
          <w:u w:val="double"/>
        </w:rPr>
        <w:t>二、办理CA数字证书</w:t>
      </w:r>
    </w:p>
    <w:p>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完成企业诚信库注册后，必须办理CA数字证书方可在网上办理招投标相关业务。投标人根据信阳市公共资源交易网通知公告栏目中《关于信阳市公共资源交易平台数字证书（CA）互认系统正式上线运行的通知》要求，自行选择CA数字证书服务商，线上、线下办理CA数字证书。</w:t>
      </w:r>
    </w:p>
    <w:p>
      <w:pPr>
        <w:spacing w:line="360" w:lineRule="exact"/>
        <w:rPr>
          <w:rFonts w:hint="eastAsia" w:ascii="宋体" w:hAnsi="宋体" w:eastAsia="宋体" w:cs="宋体"/>
          <w:b/>
          <w:bCs/>
          <w:color w:val="auto"/>
          <w:sz w:val="21"/>
          <w:szCs w:val="21"/>
          <w:u w:val="double"/>
        </w:rPr>
      </w:pPr>
      <w:r>
        <w:rPr>
          <w:rFonts w:hint="eastAsia" w:ascii="宋体" w:hAnsi="宋体" w:eastAsia="宋体" w:cs="宋体"/>
          <w:b/>
          <w:bCs/>
          <w:color w:val="auto"/>
          <w:sz w:val="21"/>
          <w:szCs w:val="21"/>
          <w:u w:val="double"/>
        </w:rPr>
        <w:t>三、招标（采购）文件获取方式</w:t>
      </w:r>
    </w:p>
    <w:p>
      <w:pPr>
        <w:spacing w:line="36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eastAsia="zh-CN"/>
        </w:rPr>
        <w:t>投标人</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凭CA数字证书</w:t>
      </w:r>
      <w:r>
        <w:rPr>
          <w:rFonts w:hint="eastAsia" w:ascii="宋体" w:hAnsi="宋体" w:cs="宋体"/>
          <w:color w:val="auto"/>
          <w:sz w:val="21"/>
          <w:szCs w:val="21"/>
          <w:lang w:eastAsia="zh-CN"/>
        </w:rPr>
        <w:t>登录</w:t>
      </w:r>
      <w:r>
        <w:rPr>
          <w:rFonts w:hint="eastAsia" w:ascii="宋体" w:hAnsi="宋体" w:eastAsia="宋体" w:cs="宋体"/>
          <w:color w:val="auto"/>
          <w:sz w:val="21"/>
          <w:szCs w:val="21"/>
        </w:rPr>
        <w:t>会员系统后，即可按网上提示免费下载招标（采购）文件及资料（操作程序详见信阳市公共资源交易中心网站下载中心栏目里</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操作手册）。</w:t>
      </w:r>
      <w:r>
        <w:rPr>
          <w:rFonts w:hint="eastAsia" w:ascii="宋体" w:hAnsi="宋体" w:eastAsia="宋体" w:cs="宋体"/>
          <w:color w:val="auto"/>
          <w:sz w:val="21"/>
          <w:szCs w:val="21"/>
          <w:lang w:eastAsia="zh-CN"/>
        </w:rPr>
        <w:t>磋商文件</w:t>
      </w:r>
      <w:r>
        <w:rPr>
          <w:rFonts w:hint="eastAsia" w:ascii="宋体" w:hAnsi="宋体" w:eastAsia="宋体" w:cs="宋体"/>
          <w:color w:val="auto"/>
          <w:sz w:val="21"/>
          <w:szCs w:val="21"/>
        </w:rPr>
        <w:t>(*.XYZF格式)下载后需使用“</w:t>
      </w:r>
      <w:r>
        <w:rPr>
          <w:rFonts w:hint="eastAsia" w:ascii="宋体" w:hAnsi="宋体" w:eastAsia="宋体" w:cs="宋体"/>
          <w:color w:val="auto"/>
          <w:sz w:val="21"/>
          <w:szCs w:val="21"/>
          <w:lang w:eastAsia="zh-CN"/>
        </w:rPr>
        <w:t>信阳市响应文件制作工具软件</w:t>
      </w:r>
      <w:r>
        <w:rPr>
          <w:rFonts w:hint="eastAsia" w:ascii="宋体" w:hAnsi="宋体" w:eastAsia="宋体" w:cs="宋体"/>
          <w:color w:val="auto"/>
          <w:sz w:val="21"/>
          <w:szCs w:val="21"/>
        </w:rPr>
        <w:t>”打开（该工具软件可在“全国公共资源交易平台（河南省·信阳市）（https://ggzyjy.xinyang.gov.cn）”网站下载中心栏目内下载或在</w:t>
      </w:r>
      <w:r>
        <w:rPr>
          <w:rFonts w:hint="eastAsia" w:ascii="宋体" w:hAnsi="宋体" w:eastAsia="宋体" w:cs="宋体"/>
          <w:color w:val="auto"/>
          <w:sz w:val="21"/>
          <w:szCs w:val="21"/>
          <w:lang w:eastAsia="zh-CN"/>
        </w:rPr>
        <w:t>磋商文件</w:t>
      </w:r>
      <w:r>
        <w:rPr>
          <w:rFonts w:hint="eastAsia" w:ascii="宋体" w:hAnsi="宋体" w:eastAsia="宋体" w:cs="宋体"/>
          <w:color w:val="auto"/>
          <w:sz w:val="21"/>
          <w:szCs w:val="21"/>
        </w:rPr>
        <w:t>领取页面下载）。</w:t>
      </w:r>
    </w:p>
    <w:p>
      <w:pPr>
        <w:tabs>
          <w:tab w:val="left" w:pos="0"/>
        </w:tabs>
        <w:spacing w:line="360" w:lineRule="exact"/>
        <w:rPr>
          <w:rFonts w:hint="eastAsia" w:ascii="宋体" w:hAnsi="宋体" w:eastAsia="宋体" w:cs="宋体"/>
          <w:b/>
          <w:bCs/>
          <w:color w:val="auto"/>
          <w:sz w:val="21"/>
          <w:szCs w:val="21"/>
          <w:u w:val="double"/>
        </w:rPr>
      </w:pPr>
      <w:r>
        <w:rPr>
          <w:rFonts w:hint="eastAsia" w:ascii="宋体" w:hAnsi="宋体" w:eastAsia="宋体" w:cs="宋体"/>
          <w:b/>
          <w:bCs/>
          <w:color w:val="auto"/>
          <w:sz w:val="21"/>
          <w:szCs w:val="21"/>
          <w:u w:val="double"/>
        </w:rPr>
        <w:t>四、投标（响应）文件制作</w:t>
      </w:r>
    </w:p>
    <w:p>
      <w:pPr>
        <w:tabs>
          <w:tab w:val="left" w:pos="0"/>
        </w:tabs>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投标（响应）文件应使用信阳市公共资源交易系统</w:t>
      </w:r>
      <w:r>
        <w:rPr>
          <w:rFonts w:hint="eastAsia" w:ascii="宋体" w:hAnsi="宋体" w:eastAsia="宋体" w:cs="宋体"/>
          <w:color w:val="auto"/>
          <w:sz w:val="21"/>
          <w:szCs w:val="21"/>
          <w:lang w:eastAsia="zh-CN"/>
        </w:rPr>
        <w:t>响应文件</w:t>
      </w:r>
      <w:r>
        <w:rPr>
          <w:rFonts w:hint="eastAsia" w:ascii="宋体" w:hAnsi="宋体" w:eastAsia="宋体" w:cs="宋体"/>
          <w:color w:val="auto"/>
          <w:sz w:val="21"/>
          <w:szCs w:val="21"/>
        </w:rPr>
        <w:t>制作专用工具软件编制，投标（响应）文件格式为“*.XYTF”。</w:t>
      </w:r>
    </w:p>
    <w:p>
      <w:pPr>
        <w:tabs>
          <w:tab w:val="left" w:pos="0"/>
        </w:tabs>
        <w:spacing w:line="360" w:lineRule="exact"/>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eastAsia="zh-CN"/>
        </w:rPr>
        <w:t>投标人</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须在投标（响应）文件递交截止时间前制作并提交。</w:t>
      </w:r>
    </w:p>
    <w:p>
      <w:pPr>
        <w:pStyle w:val="2"/>
        <w:spacing w:line="360" w:lineRule="exact"/>
        <w:rPr>
          <w:rFonts w:hint="eastAsia" w:ascii="宋体" w:hAnsi="宋体" w:eastAsia="宋体" w:cs="宋体"/>
          <w:b/>
          <w:bCs/>
          <w:color w:val="auto"/>
          <w:sz w:val="21"/>
          <w:szCs w:val="21"/>
        </w:rPr>
      </w:pPr>
      <w:r>
        <w:rPr>
          <w:rFonts w:hint="eastAsia" w:ascii="宋体" w:hAnsi="宋体" w:eastAsia="宋体" w:cs="宋体"/>
          <w:b/>
          <w:bCs/>
          <w:color w:val="auto"/>
          <w:sz w:val="21"/>
          <w:szCs w:val="21"/>
          <w:u w:val="double"/>
        </w:rPr>
        <w:t>五、投标（响应）文件的签字和盖章要求</w:t>
      </w:r>
    </w:p>
    <w:p>
      <w:pPr>
        <w:adjustRightInd w:val="0"/>
        <w:snapToGrid w:val="0"/>
        <w:spacing w:line="36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eastAsia="zh-CN"/>
        </w:rPr>
        <w:t>投标（响应）文件</w:t>
      </w:r>
      <w:r>
        <w:rPr>
          <w:rFonts w:hint="eastAsia" w:ascii="宋体" w:hAnsi="宋体" w:eastAsia="宋体" w:cs="宋体"/>
          <w:color w:val="auto"/>
          <w:sz w:val="21"/>
          <w:szCs w:val="21"/>
        </w:rPr>
        <w:t>格式中所有要求</w:t>
      </w:r>
      <w:r>
        <w:rPr>
          <w:rFonts w:hint="eastAsia" w:ascii="宋体" w:hAnsi="宋体" w:cs="宋体"/>
          <w:color w:val="auto"/>
          <w:sz w:val="21"/>
          <w:szCs w:val="21"/>
          <w:lang w:eastAsia="zh-CN"/>
        </w:rPr>
        <w:t>投标人</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加盖公章的地方都须加盖</w:t>
      </w:r>
      <w:r>
        <w:rPr>
          <w:rFonts w:hint="eastAsia" w:ascii="宋体" w:hAnsi="宋体" w:eastAsia="宋体" w:cs="宋体"/>
          <w:color w:val="auto"/>
          <w:sz w:val="21"/>
          <w:szCs w:val="21"/>
          <w:lang w:eastAsia="zh-CN"/>
        </w:rPr>
        <w:t>供应商（供应商）</w:t>
      </w:r>
      <w:r>
        <w:rPr>
          <w:rFonts w:hint="eastAsia" w:ascii="宋体" w:hAnsi="宋体" w:eastAsia="宋体" w:cs="宋体"/>
          <w:color w:val="auto"/>
          <w:sz w:val="21"/>
          <w:szCs w:val="21"/>
        </w:rPr>
        <w:t>的 CA 印章。</w:t>
      </w:r>
    </w:p>
    <w:p>
      <w:pPr>
        <w:adjustRightInd w:val="0"/>
        <w:snapToGrid w:val="0"/>
        <w:spacing w:line="360" w:lineRule="exact"/>
        <w:ind w:left="-126" w:leftChars="-60" w:firstLine="525" w:firstLineChars="250"/>
        <w:jc w:val="left"/>
        <w:rPr>
          <w:rFonts w:hint="eastAsia" w:ascii="宋体" w:hAnsi="宋体" w:eastAsia="宋体" w:cs="宋体"/>
          <w:b/>
          <w:bCs/>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eastAsia="zh-CN"/>
        </w:rPr>
        <w:t>投标（响应）文件</w:t>
      </w:r>
      <w:r>
        <w:rPr>
          <w:rFonts w:hint="eastAsia" w:ascii="宋体" w:hAnsi="宋体" w:eastAsia="宋体" w:cs="宋体"/>
          <w:color w:val="auto"/>
          <w:sz w:val="21"/>
          <w:szCs w:val="21"/>
        </w:rPr>
        <w:t>格式中所有要求法定代表人或其委托代理人签字或盖章的地方</w:t>
      </w:r>
      <w:r>
        <w:rPr>
          <w:rFonts w:hint="eastAsia" w:ascii="宋体" w:hAnsi="宋体" w:eastAsia="宋体" w:cs="宋体"/>
          <w:b/>
          <w:bCs/>
          <w:color w:val="auto"/>
          <w:sz w:val="21"/>
          <w:szCs w:val="21"/>
        </w:rPr>
        <w:t>（不含授权委托书委托人签字）</w:t>
      </w:r>
      <w:r>
        <w:rPr>
          <w:rFonts w:hint="eastAsia" w:ascii="宋体" w:hAnsi="宋体" w:eastAsia="宋体" w:cs="宋体"/>
          <w:color w:val="auto"/>
          <w:sz w:val="21"/>
          <w:szCs w:val="21"/>
        </w:rPr>
        <w:t>都须加盖法定代表人</w:t>
      </w:r>
      <w:r>
        <w:rPr>
          <w:rFonts w:hint="eastAsia" w:ascii="宋体" w:hAnsi="宋体" w:eastAsia="宋体" w:cs="宋体"/>
          <w:b/>
          <w:bCs/>
          <w:color w:val="auto"/>
          <w:sz w:val="21"/>
          <w:szCs w:val="21"/>
        </w:rPr>
        <w:t>CA 印章。</w:t>
      </w:r>
    </w:p>
    <w:p>
      <w:pPr>
        <w:pStyle w:val="2"/>
        <w:spacing w:line="360" w:lineRule="exact"/>
        <w:rPr>
          <w:rFonts w:hint="eastAsia" w:ascii="宋体" w:hAnsi="宋体" w:eastAsia="宋体" w:cs="宋体"/>
          <w:b/>
          <w:bCs/>
          <w:color w:val="auto"/>
          <w:sz w:val="21"/>
          <w:szCs w:val="21"/>
          <w:u w:val="double"/>
        </w:rPr>
      </w:pPr>
      <w:r>
        <w:rPr>
          <w:rFonts w:hint="eastAsia" w:ascii="宋体" w:hAnsi="宋体" w:eastAsia="宋体" w:cs="宋体"/>
          <w:b/>
          <w:bCs/>
          <w:color w:val="auto"/>
          <w:sz w:val="21"/>
          <w:szCs w:val="21"/>
          <w:u w:val="double"/>
        </w:rPr>
        <w:t>六、</w:t>
      </w:r>
      <w:r>
        <w:rPr>
          <w:rFonts w:hint="eastAsia" w:ascii="宋体" w:hAnsi="宋体" w:eastAsia="宋体" w:cs="宋体"/>
          <w:b/>
          <w:bCs/>
          <w:color w:val="auto"/>
          <w:sz w:val="21"/>
          <w:szCs w:val="21"/>
          <w:u w:val="double"/>
          <w:lang w:eastAsia="zh-CN"/>
        </w:rPr>
        <w:t>响应文件</w:t>
      </w:r>
      <w:r>
        <w:rPr>
          <w:rFonts w:hint="eastAsia" w:ascii="宋体" w:hAnsi="宋体" w:eastAsia="宋体" w:cs="宋体"/>
          <w:b/>
          <w:bCs/>
          <w:color w:val="auto"/>
          <w:sz w:val="21"/>
          <w:szCs w:val="21"/>
          <w:u w:val="double"/>
        </w:rPr>
        <w:t>份数</w:t>
      </w:r>
    </w:p>
    <w:p>
      <w:pPr>
        <w:adjustRightInd w:val="0"/>
        <w:snapToGrid w:val="0"/>
        <w:spacing w:line="36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加密的电子投标（响应）文件壹份（*.XYTF 格式，在会员系统指定位置上传</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w:t>
      </w:r>
    </w:p>
    <w:p>
      <w:pPr>
        <w:pStyle w:val="2"/>
        <w:spacing w:line="360" w:lineRule="exact"/>
        <w:rPr>
          <w:rFonts w:hint="eastAsia" w:ascii="宋体" w:hAnsi="宋体" w:eastAsia="宋体" w:cs="宋体"/>
          <w:b/>
          <w:bCs/>
          <w:color w:val="auto"/>
          <w:sz w:val="21"/>
          <w:szCs w:val="21"/>
          <w:u w:val="double"/>
        </w:rPr>
      </w:pPr>
      <w:r>
        <w:rPr>
          <w:rFonts w:hint="eastAsia" w:ascii="宋体" w:hAnsi="宋体" w:eastAsia="宋体" w:cs="宋体"/>
          <w:b/>
          <w:bCs/>
          <w:color w:val="auto"/>
          <w:sz w:val="21"/>
          <w:szCs w:val="21"/>
          <w:u w:val="double"/>
        </w:rPr>
        <w:t>七、投标（响应）文件的递交</w:t>
      </w:r>
    </w:p>
    <w:p>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1、电子投标（响应）文件的递交</w:t>
      </w:r>
    </w:p>
    <w:p>
      <w:pPr>
        <w:keepNext w:val="0"/>
        <w:keepLines w:val="0"/>
        <w:pageBreakBefore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各投标人（供应商）应在投标截止时间前上传加密的电子投标（响应）文件（*.XYTF）到会员系统的指定位置。上传的电子投标（响应）文件应使用</w:t>
      </w:r>
      <w:r>
        <w:rPr>
          <w:rFonts w:hint="eastAsia" w:ascii="宋体" w:hAnsi="宋体" w:eastAsia="宋体" w:cs="宋体"/>
          <w:color w:val="000000"/>
          <w:sz w:val="21"/>
          <w:szCs w:val="21"/>
          <w:lang w:eastAsia="zh-CN"/>
        </w:rPr>
        <w:t>供应商</w:t>
      </w:r>
      <w:r>
        <w:rPr>
          <w:rFonts w:hint="eastAsia" w:ascii="宋体" w:hAnsi="宋体" w:eastAsia="宋体" w:cs="宋体"/>
          <w:color w:val="000000"/>
          <w:sz w:val="21"/>
          <w:szCs w:val="21"/>
        </w:rPr>
        <w:t>CA数字证书认证并加密。上传时必须得到交易系统“上传成功”的确认回复后方为上传成功。请</w:t>
      </w: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（供应商）在上传前务必认真检查上传投标（响应）文件是否完整、正确。</w:t>
      </w:r>
    </w:p>
    <w:p>
      <w:pPr>
        <w:keepNext w:val="0"/>
        <w:keepLines w:val="0"/>
        <w:pageBreakBefore w:val="0"/>
        <w:kinsoku/>
        <w:wordWrap/>
        <w:overflowPunct/>
        <w:topLinePunct w:val="0"/>
        <w:autoSpaceDE/>
        <w:autoSpaceDN/>
        <w:bidi w:val="0"/>
        <w:spacing w:line="400" w:lineRule="exact"/>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、除电子投标（响应）文件外，不再接受任何纸质文件、资料原件等。</w:t>
      </w:r>
    </w:p>
    <w:p>
      <w:pPr>
        <w:spacing w:line="360" w:lineRule="exact"/>
        <w:rPr>
          <w:rFonts w:hint="eastAsia" w:ascii="宋体" w:hAnsi="宋体" w:eastAsia="宋体" w:cs="宋体"/>
          <w:b/>
          <w:bCs/>
          <w:color w:val="auto"/>
          <w:sz w:val="21"/>
          <w:szCs w:val="21"/>
          <w:u w:val="double"/>
        </w:rPr>
      </w:pPr>
      <w:r>
        <w:rPr>
          <w:rFonts w:hint="eastAsia" w:ascii="宋体" w:hAnsi="宋体" w:eastAsia="宋体" w:cs="宋体"/>
          <w:b/>
          <w:bCs/>
          <w:color w:val="auto"/>
          <w:sz w:val="21"/>
          <w:szCs w:val="21"/>
          <w:u w:val="double"/>
        </w:rPr>
        <w:t>八、澄清与变更</w:t>
      </w:r>
    </w:p>
    <w:p>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如有疑问，以书面形式（包括信函、电报、传真等可以有形表现所载内容的形式），要求招标人（采购人）对招标（采购）文件予以澄清。澄清或修改的内容在信阳市公共资源交易系统“变更公告”或“答疑文件”菜单进行发布，</w:t>
      </w:r>
      <w:r>
        <w:rPr>
          <w:rFonts w:hint="eastAsia" w:ascii="宋体" w:hAnsi="宋体" w:cs="宋体"/>
          <w:color w:val="auto"/>
          <w:sz w:val="21"/>
          <w:szCs w:val="21"/>
          <w:lang w:eastAsia="zh-CN"/>
        </w:rPr>
        <w:t>投标人</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应在投标（响应）文件递交截止时间前及时查看澄清或修改内容，因</w:t>
      </w:r>
      <w:r>
        <w:rPr>
          <w:rFonts w:hint="eastAsia" w:ascii="宋体" w:hAnsi="宋体" w:cs="宋体"/>
          <w:color w:val="auto"/>
          <w:sz w:val="21"/>
          <w:szCs w:val="21"/>
          <w:lang w:eastAsia="zh-CN"/>
        </w:rPr>
        <w:t>投标人</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未及时查看而造成的后果自负。</w:t>
      </w:r>
    </w:p>
    <w:p>
      <w:pPr>
        <w:widowControl/>
        <w:spacing w:line="360" w:lineRule="exact"/>
        <w:jc w:val="left"/>
        <w:rPr>
          <w:rFonts w:hint="eastAsia" w:ascii="宋体" w:hAnsi="宋体" w:eastAsia="宋体" w:cs="宋体"/>
          <w:b/>
          <w:bCs/>
          <w:color w:val="auto"/>
          <w:szCs w:val="21"/>
          <w:u w:val="double"/>
        </w:rPr>
      </w:pPr>
      <w:r>
        <w:rPr>
          <w:rFonts w:hint="eastAsia" w:ascii="宋体" w:hAnsi="宋体" w:eastAsia="宋体" w:cs="宋体"/>
          <w:b/>
          <w:bCs/>
          <w:color w:val="auto"/>
          <w:szCs w:val="21"/>
          <w:u w:val="double"/>
        </w:rPr>
        <w:t xml:space="preserve">九、其他注意事项 </w:t>
      </w:r>
    </w:p>
    <w:p>
      <w:pPr>
        <w:widowControl/>
        <w:spacing w:line="360" w:lineRule="exact"/>
        <w:jc w:val="left"/>
        <w:rPr>
          <w:rFonts w:hint="eastAsia" w:ascii="宋体" w:hAnsi="宋体" w:eastAsia="宋体" w:cs="宋体"/>
          <w:color w:val="auto"/>
        </w:rPr>
      </w:pPr>
      <w:r>
        <w:rPr>
          <w:rFonts w:hint="eastAsia" w:ascii="宋体" w:hAnsi="宋体" w:eastAsia="宋体" w:cs="宋体"/>
          <w:b/>
          <w:bCs/>
          <w:color w:val="auto"/>
          <w:szCs w:val="21"/>
          <w:u w:val="double"/>
        </w:rPr>
        <w:t>1、供应商编制</w:t>
      </w:r>
      <w:r>
        <w:rPr>
          <w:rFonts w:hint="eastAsia" w:ascii="宋体" w:hAnsi="宋体" w:eastAsia="宋体" w:cs="宋体"/>
          <w:b/>
          <w:bCs/>
          <w:color w:val="auto"/>
          <w:szCs w:val="21"/>
          <w:u w:val="double"/>
          <w:lang w:eastAsia="zh-CN"/>
        </w:rPr>
        <w:t>响应文件</w:t>
      </w:r>
      <w:r>
        <w:rPr>
          <w:rFonts w:hint="eastAsia" w:ascii="宋体" w:hAnsi="宋体" w:eastAsia="宋体" w:cs="宋体"/>
          <w:b/>
          <w:bCs/>
          <w:color w:val="auto"/>
          <w:szCs w:val="21"/>
          <w:u w:val="double"/>
        </w:rPr>
        <w:t xml:space="preserve">时，涉及的营业执照、资质、获奖、社保、纳税等固定内容可在交易中心主体信用信息中录入。 </w:t>
      </w:r>
    </w:p>
    <w:p>
      <w:pPr>
        <w:widowControl/>
        <w:spacing w:line="360" w:lineRule="exact"/>
        <w:jc w:val="left"/>
        <w:rPr>
          <w:rFonts w:hint="eastAsia" w:ascii="宋体" w:hAnsi="宋体" w:eastAsia="宋体" w:cs="宋体"/>
          <w:b/>
          <w:bCs/>
          <w:color w:val="auto"/>
          <w:szCs w:val="21"/>
          <w:u w:val="double"/>
        </w:rPr>
      </w:pPr>
      <w:r>
        <w:rPr>
          <w:rFonts w:hint="eastAsia" w:ascii="宋体" w:hAnsi="宋体" w:eastAsia="宋体" w:cs="宋体"/>
          <w:b/>
          <w:bCs/>
          <w:color w:val="auto"/>
          <w:szCs w:val="21"/>
          <w:u w:val="double"/>
        </w:rPr>
        <w:t>2、供应商编制</w:t>
      </w:r>
      <w:r>
        <w:rPr>
          <w:rFonts w:hint="eastAsia" w:ascii="宋体" w:hAnsi="宋体" w:eastAsia="宋体" w:cs="宋体"/>
          <w:b/>
          <w:bCs/>
          <w:color w:val="auto"/>
          <w:szCs w:val="21"/>
          <w:u w:val="double"/>
          <w:lang w:eastAsia="zh-CN"/>
        </w:rPr>
        <w:t>响应文件</w:t>
      </w:r>
      <w:r>
        <w:rPr>
          <w:rFonts w:hint="eastAsia" w:ascii="宋体" w:hAnsi="宋体" w:eastAsia="宋体" w:cs="宋体"/>
          <w:b/>
          <w:bCs/>
          <w:color w:val="auto"/>
          <w:szCs w:val="21"/>
          <w:u w:val="double"/>
        </w:rPr>
        <w:t>时，涉及营业执照、资质、业绩、获奖、人员、财务、社保、纳税、各类证书等内容，须扫描编制在</w:t>
      </w:r>
      <w:r>
        <w:rPr>
          <w:rFonts w:hint="eastAsia" w:ascii="宋体" w:hAnsi="宋体" w:eastAsia="宋体" w:cs="宋体"/>
          <w:b/>
          <w:bCs/>
          <w:color w:val="auto"/>
          <w:szCs w:val="21"/>
          <w:u w:val="double"/>
          <w:lang w:eastAsia="zh-CN"/>
        </w:rPr>
        <w:t>响应文件</w:t>
      </w:r>
      <w:r>
        <w:rPr>
          <w:rFonts w:hint="eastAsia" w:ascii="宋体" w:hAnsi="宋体" w:eastAsia="宋体" w:cs="宋体"/>
          <w:b/>
          <w:bCs/>
          <w:color w:val="auto"/>
          <w:szCs w:val="21"/>
          <w:u w:val="double"/>
        </w:rPr>
        <w:t>内。评委评审只需依法对</w:t>
      </w:r>
      <w:r>
        <w:rPr>
          <w:rFonts w:hint="eastAsia" w:ascii="宋体" w:hAnsi="宋体" w:eastAsia="宋体" w:cs="宋体"/>
          <w:b/>
          <w:bCs/>
          <w:color w:val="auto"/>
          <w:szCs w:val="21"/>
          <w:u w:val="double"/>
          <w:lang w:eastAsia="zh-CN"/>
        </w:rPr>
        <w:t>响应文件</w:t>
      </w:r>
      <w:r>
        <w:rPr>
          <w:rFonts w:hint="eastAsia" w:ascii="宋体" w:hAnsi="宋体" w:eastAsia="宋体" w:cs="宋体"/>
          <w:b/>
          <w:bCs/>
          <w:color w:val="auto"/>
          <w:szCs w:val="21"/>
          <w:u w:val="double"/>
        </w:rPr>
        <w:t>进行评审，并以</w:t>
      </w:r>
      <w:r>
        <w:rPr>
          <w:rFonts w:hint="eastAsia" w:ascii="宋体" w:hAnsi="宋体" w:eastAsia="宋体" w:cs="宋体"/>
          <w:b/>
          <w:bCs/>
          <w:color w:val="auto"/>
          <w:szCs w:val="21"/>
          <w:u w:val="double"/>
          <w:lang w:eastAsia="zh-CN"/>
        </w:rPr>
        <w:t>响应文件</w:t>
      </w:r>
      <w:r>
        <w:rPr>
          <w:rFonts w:hint="eastAsia" w:ascii="宋体" w:hAnsi="宋体" w:eastAsia="宋体" w:cs="宋体"/>
          <w:b/>
          <w:bCs/>
          <w:color w:val="auto"/>
          <w:szCs w:val="21"/>
          <w:u w:val="double"/>
        </w:rPr>
        <w:t>的响应为唯一评审依据，不再比对主体信用信息。</w:t>
      </w:r>
    </w:p>
    <w:p>
      <w:pPr>
        <w:widowControl/>
        <w:spacing w:line="360" w:lineRule="exact"/>
        <w:jc w:val="left"/>
        <w:rPr>
          <w:rFonts w:hint="eastAsia" w:ascii="宋体" w:hAnsi="宋体" w:eastAsia="宋体" w:cs="宋体"/>
          <w:b/>
          <w:bCs/>
          <w:color w:val="auto"/>
          <w:szCs w:val="21"/>
          <w:u w:val="double"/>
        </w:rPr>
      </w:pPr>
      <w:r>
        <w:rPr>
          <w:rFonts w:hint="eastAsia" w:ascii="宋体" w:hAnsi="宋体" w:eastAsia="宋体" w:cs="宋体"/>
          <w:b/>
          <w:bCs/>
          <w:color w:val="auto"/>
          <w:szCs w:val="21"/>
          <w:u w:val="double"/>
        </w:rPr>
        <w:t>3、采购人或代理机构在发布中标公告或候选人公示时需同时将</w:t>
      </w:r>
      <w:r>
        <w:rPr>
          <w:rFonts w:hint="eastAsia" w:ascii="宋体" w:hAnsi="宋体" w:cs="宋体"/>
          <w:b/>
          <w:bCs/>
          <w:color w:val="auto"/>
          <w:szCs w:val="21"/>
          <w:u w:val="double"/>
          <w:lang w:val="en-US" w:eastAsia="zh-CN"/>
        </w:rPr>
        <w:t>成交</w:t>
      </w:r>
      <w:r>
        <w:rPr>
          <w:rFonts w:hint="eastAsia" w:ascii="宋体" w:hAnsi="宋体" w:eastAsia="宋体" w:cs="宋体"/>
          <w:b/>
          <w:bCs/>
          <w:color w:val="auto"/>
          <w:szCs w:val="21"/>
          <w:u w:val="double"/>
        </w:rPr>
        <w:t>人或第一</w:t>
      </w:r>
      <w:r>
        <w:rPr>
          <w:rFonts w:hint="eastAsia" w:ascii="宋体" w:hAnsi="宋体" w:cs="宋体"/>
          <w:b/>
          <w:bCs/>
          <w:color w:val="auto"/>
          <w:szCs w:val="21"/>
          <w:u w:val="double"/>
          <w:lang w:val="en-US" w:eastAsia="zh-CN"/>
        </w:rPr>
        <w:t>成交</w:t>
      </w:r>
      <w:r>
        <w:rPr>
          <w:rFonts w:hint="eastAsia" w:ascii="宋体" w:hAnsi="宋体" w:eastAsia="宋体" w:cs="宋体"/>
          <w:b/>
          <w:bCs/>
          <w:color w:val="auto"/>
          <w:szCs w:val="21"/>
          <w:u w:val="double"/>
        </w:rPr>
        <w:t>候选人</w:t>
      </w:r>
      <w:r>
        <w:rPr>
          <w:rFonts w:hint="eastAsia" w:ascii="宋体" w:hAnsi="宋体" w:eastAsia="宋体" w:cs="宋体"/>
          <w:b/>
          <w:bCs/>
          <w:color w:val="auto"/>
          <w:szCs w:val="21"/>
          <w:u w:val="double"/>
          <w:lang w:eastAsia="zh-CN"/>
        </w:rPr>
        <w:t>响应文件</w:t>
      </w:r>
      <w:r>
        <w:rPr>
          <w:rFonts w:hint="eastAsia" w:ascii="宋体" w:hAnsi="宋体" w:eastAsia="宋体" w:cs="宋体"/>
          <w:b/>
          <w:bCs/>
          <w:color w:val="auto"/>
          <w:szCs w:val="21"/>
          <w:u w:val="double"/>
        </w:rPr>
        <w:t>中的营业执照、资质、业绩、获奖、人员、财务、社保、纳税、各类证书、标的名称、规格型号同时公告（涉及供应商商业机密除外），强化社会监督。</w:t>
      </w:r>
    </w:p>
    <w:p>
      <w:pPr>
        <w:widowControl/>
        <w:spacing w:line="360" w:lineRule="exact"/>
        <w:jc w:val="left"/>
        <w:rPr>
          <w:rFonts w:hint="eastAsia" w:ascii="宋体" w:hAnsi="宋体" w:eastAsia="宋体" w:cs="宋体"/>
          <w:b/>
          <w:bCs/>
          <w:color w:val="auto"/>
          <w:szCs w:val="21"/>
          <w:u w:val="double"/>
        </w:rPr>
      </w:pPr>
      <w:r>
        <w:rPr>
          <w:rFonts w:hint="eastAsia" w:ascii="宋体" w:hAnsi="宋体" w:eastAsia="宋体" w:cs="宋体"/>
          <w:b/>
          <w:bCs/>
          <w:color w:val="auto"/>
          <w:szCs w:val="21"/>
          <w:u w:val="double"/>
        </w:rPr>
        <w:t>4、潜在供应商有异议的，可以在公告发布之日起七个工作日内，以书面形式同时向采购人与招标代理机构提交质疑函和必要的证明材料。质疑函应当包括下列内容：（一）供应商的姓名或者名称、地址、邮编、联系人及联系电话；（二）质疑项目的名称、编号；（三）具体、明确的质疑事项和与质疑事项相关的请求；（四）事实依据；（五）必要的法律依据；（六）提出质疑的日期。供应商为自然人的，应当由本人签字；供应商为法人或者其他组织的，应当由法定代表人、主要负责人，或者其授权代表签字或者盖章，并加盖公章。（企业营业执照复印件及本人身份证复印件（加盖单位公章）一并提交），以质疑函接收确认日期作为受理时间；逾期未提交或未按照要求提交的质疑函将不予受理。</w:t>
      </w:r>
    </w:p>
    <w:p>
      <w:pPr>
        <w:widowControl/>
        <w:spacing w:line="360" w:lineRule="exact"/>
        <w:jc w:val="left"/>
        <w:rPr>
          <w:rFonts w:hint="eastAsia" w:ascii="宋体" w:hAnsi="宋体" w:eastAsia="宋体" w:cs="宋体"/>
          <w:b/>
          <w:bCs/>
          <w:color w:val="auto"/>
          <w:szCs w:val="21"/>
          <w:u w:val="double"/>
        </w:rPr>
      </w:pPr>
      <w:r>
        <w:rPr>
          <w:rFonts w:hint="eastAsia" w:ascii="宋体" w:hAnsi="宋体" w:eastAsia="宋体" w:cs="宋体"/>
          <w:b/>
          <w:bCs/>
          <w:color w:val="auto"/>
          <w:szCs w:val="21"/>
          <w:u w:val="double"/>
        </w:rPr>
        <w:t>十、特别提醒</w:t>
      </w:r>
    </w:p>
    <w:p>
      <w:pPr>
        <w:widowControl/>
        <w:spacing w:line="360" w:lineRule="exact"/>
        <w:jc w:val="left"/>
        <w:rPr>
          <w:rFonts w:hint="eastAsia" w:ascii="宋体" w:hAnsi="宋体" w:eastAsia="宋体" w:cs="宋体"/>
          <w:b/>
          <w:bCs/>
          <w:color w:val="auto"/>
          <w:szCs w:val="21"/>
          <w:u w:val="double"/>
        </w:rPr>
      </w:pPr>
      <w:r>
        <w:rPr>
          <w:rFonts w:hint="eastAsia" w:ascii="宋体" w:hAnsi="宋体" w:eastAsia="宋体" w:cs="宋体"/>
          <w:b/>
          <w:bCs/>
          <w:color w:val="auto"/>
          <w:szCs w:val="21"/>
          <w:u w:val="double"/>
          <w:lang w:eastAsia="zh-CN"/>
        </w:rPr>
        <w:t>响应文件</w:t>
      </w:r>
      <w:r>
        <w:rPr>
          <w:rFonts w:hint="eastAsia" w:ascii="宋体" w:hAnsi="宋体" w:eastAsia="宋体" w:cs="宋体"/>
          <w:b/>
          <w:bCs/>
          <w:color w:val="auto"/>
          <w:szCs w:val="21"/>
          <w:u w:val="double"/>
        </w:rPr>
        <w:t>中的扫描件，在确保清晰的前提下，每张最好控制在 500kb 内，生成的加密电子</w:t>
      </w:r>
      <w:r>
        <w:rPr>
          <w:rFonts w:hint="eastAsia" w:ascii="宋体" w:hAnsi="宋体" w:eastAsia="宋体" w:cs="宋体"/>
          <w:b/>
          <w:bCs/>
          <w:color w:val="auto"/>
          <w:szCs w:val="21"/>
          <w:u w:val="double"/>
          <w:lang w:eastAsia="zh-CN"/>
        </w:rPr>
        <w:t>响应文件</w:t>
      </w:r>
      <w:r>
        <w:rPr>
          <w:rFonts w:hint="eastAsia" w:ascii="宋体" w:hAnsi="宋体" w:eastAsia="宋体" w:cs="宋体"/>
          <w:b/>
          <w:bCs/>
          <w:color w:val="auto"/>
          <w:szCs w:val="21"/>
          <w:u w:val="double"/>
        </w:rPr>
        <w:t>最好不要超过50MB。</w:t>
      </w:r>
    </w:p>
    <w:p>
      <w:pPr>
        <w:pStyle w:val="38"/>
        <w:keepNext w:val="0"/>
        <w:keepLines w:val="0"/>
        <w:pageBreakBefore w:val="0"/>
        <w:tabs>
          <w:tab w:val="right" w:leader="underscore" w:pos="8296"/>
        </w:tabs>
        <w:kinsoku/>
        <w:overflowPunct/>
        <w:topLinePunct w:val="0"/>
        <w:autoSpaceDE/>
        <w:autoSpaceDN/>
        <w:bidi w:val="0"/>
        <w:spacing w:after="0" w:afterLines="0" w:line="400" w:lineRule="exact"/>
        <w:ind w:left="0"/>
        <w:jc w:val="center"/>
        <w:textAlignment w:val="auto"/>
        <w:outlineLvl w:val="0"/>
        <w:rPr>
          <w:rFonts w:hint="eastAsia" w:ascii="宋体" w:hAnsi="宋体" w:cs="宋体"/>
          <w:b/>
          <w:bCs/>
          <w:color w:val="auto"/>
          <w:sz w:val="32"/>
          <w:szCs w:val="32"/>
        </w:rPr>
        <w:sectPr>
          <w:footerReference r:id="rId5" w:type="default"/>
          <w:pgSz w:w="11905" w:h="16838"/>
          <w:pgMar w:top="1440" w:right="1803" w:bottom="1440" w:left="1803" w:header="850" w:footer="850" w:gutter="0"/>
          <w:pgBorders>
            <w:top w:val="none" w:sz="0" w:space="0"/>
            <w:left w:val="none" w:sz="0" w:space="0"/>
            <w:bottom w:val="none" w:sz="0" w:space="0"/>
            <w:right w:val="none" w:sz="0" w:space="0"/>
          </w:pgBorders>
          <w:pgNumType w:fmt="decimal"/>
          <w:cols w:space="720" w:num="1"/>
          <w:rtlGutter w:val="0"/>
          <w:docGrid w:type="lines" w:linePitch="317" w:charSpace="0"/>
        </w:sectPr>
      </w:pPr>
      <w:bookmarkStart w:id="4" w:name="_Toc25710"/>
      <w:bookmarkStart w:id="5" w:name="_Toc30363"/>
    </w:p>
    <w:p>
      <w:pPr>
        <w:pStyle w:val="38"/>
        <w:keepNext w:val="0"/>
        <w:keepLines w:val="0"/>
        <w:pageBreakBefore w:val="0"/>
        <w:tabs>
          <w:tab w:val="right" w:leader="underscore" w:pos="8296"/>
        </w:tabs>
        <w:kinsoku/>
        <w:overflowPunct/>
        <w:topLinePunct w:val="0"/>
        <w:autoSpaceDE/>
        <w:autoSpaceDN/>
        <w:bidi w:val="0"/>
        <w:spacing w:after="0" w:afterLines="0" w:line="400" w:lineRule="exact"/>
        <w:ind w:left="0"/>
        <w:jc w:val="center"/>
        <w:textAlignment w:val="auto"/>
        <w:outlineLvl w:val="0"/>
        <w:rPr>
          <w:rFonts w:hint="eastAsia" w:ascii="宋体" w:hAnsi="宋体" w:cs="宋体"/>
          <w:b/>
          <w:bCs/>
          <w:color w:val="auto"/>
          <w:sz w:val="32"/>
          <w:szCs w:val="32"/>
        </w:rPr>
      </w:pPr>
      <w:r>
        <w:rPr>
          <w:rFonts w:hint="eastAsia" w:ascii="宋体" w:hAnsi="宋体" w:cs="宋体"/>
          <w:b/>
          <w:bCs/>
          <w:color w:val="auto"/>
          <w:sz w:val="32"/>
          <w:szCs w:val="32"/>
        </w:rPr>
        <w:t xml:space="preserve">第一章 </w:t>
      </w:r>
      <w:r>
        <w:rPr>
          <w:rFonts w:hint="eastAsia" w:ascii="宋体" w:hAnsi="宋体" w:cs="宋体"/>
          <w:b/>
          <w:bCs/>
          <w:color w:val="auto"/>
          <w:sz w:val="32"/>
          <w:szCs w:val="32"/>
          <w:lang w:eastAsia="zh-CN"/>
        </w:rPr>
        <w:t>竞争性</w:t>
      </w:r>
      <w:r>
        <w:rPr>
          <w:rFonts w:hint="eastAsia" w:ascii="宋体" w:hAnsi="宋体" w:cs="宋体"/>
          <w:b/>
          <w:bCs/>
          <w:color w:val="auto"/>
          <w:sz w:val="32"/>
          <w:szCs w:val="32"/>
        </w:rPr>
        <w:t>磋商公告</w:t>
      </w:r>
      <w:bookmarkEnd w:id="0"/>
      <w:bookmarkEnd w:id="1"/>
      <w:bookmarkEnd w:id="2"/>
      <w:bookmarkEnd w:id="3"/>
      <w:bookmarkEnd w:id="4"/>
      <w:bookmarkEnd w:id="5"/>
    </w:p>
    <w:p>
      <w:pPr>
        <w:pStyle w:val="41"/>
        <w:keepNext w:val="0"/>
        <w:keepLines w:val="0"/>
        <w:pageBreakBefore w:val="0"/>
        <w:widowControl w:val="0"/>
        <w:kinsoku/>
        <w:overflowPunct/>
        <w:topLinePunct w:val="0"/>
        <w:autoSpaceDE/>
        <w:autoSpaceDN/>
        <w:bidi w:val="0"/>
        <w:spacing w:before="0" w:beforeLines="0" w:beforeAutospacing="0" w:after="0" w:afterLines="0" w:afterAutospacing="0" w:line="360" w:lineRule="auto"/>
        <w:ind w:firstLine="422" w:firstLineChars="200"/>
        <w:textAlignment w:val="auto"/>
        <w:rPr>
          <w:rFonts w:hint="eastAsia" w:ascii="宋体" w:hAnsi="宋体" w:eastAsia="宋体" w:cs="宋体"/>
          <w:b/>
          <w:color w:val="auto"/>
          <w:sz w:val="21"/>
          <w:szCs w:val="21"/>
          <w:highlight w:val="none"/>
        </w:rPr>
      </w:pPr>
      <w:bookmarkStart w:id="6" w:name="OLE_LINK1"/>
      <w:bookmarkStart w:id="7" w:name="_Toc8890"/>
      <w:bookmarkStart w:id="8" w:name="_Toc144974495"/>
      <w:bookmarkStart w:id="9" w:name="_Toc152042303"/>
      <w:bookmarkStart w:id="10" w:name="_Toc152045527"/>
      <w:r>
        <w:rPr>
          <w:rFonts w:hint="eastAsia" w:ascii="宋体" w:hAnsi="宋体" w:eastAsia="宋体" w:cs="宋体"/>
          <w:b/>
          <w:color w:val="auto"/>
          <w:sz w:val="21"/>
          <w:szCs w:val="21"/>
          <w:highlight w:val="none"/>
        </w:rPr>
        <w:t>项目概况</w:t>
      </w:r>
    </w:p>
    <w:p>
      <w:pPr>
        <w:pStyle w:val="41"/>
        <w:keepNext w:val="0"/>
        <w:keepLines w:val="0"/>
        <w:pageBreakBefore w:val="0"/>
        <w:widowControl w:val="0"/>
        <w:kinsoku/>
        <w:overflowPunct/>
        <w:topLinePunct w:val="0"/>
        <w:autoSpaceDE/>
        <w:autoSpaceDN/>
        <w:bidi w:val="0"/>
        <w:spacing w:before="0" w:beforeLines="0" w:beforeAutospacing="0" w:after="0" w:afterLines="0" w:afterAutospacing="0"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信阳农林学院餐饮服务商项目</w:t>
      </w:r>
      <w:r>
        <w:rPr>
          <w:rFonts w:hint="eastAsia" w:ascii="宋体" w:hAnsi="宋体" w:eastAsia="宋体" w:cs="宋体"/>
          <w:bCs/>
          <w:color w:val="auto"/>
          <w:sz w:val="21"/>
          <w:szCs w:val="21"/>
          <w:highlight w:val="none"/>
        </w:rPr>
        <w:t>的潜在供应商应</w:t>
      </w:r>
      <w:r>
        <w:rPr>
          <w:rFonts w:hint="eastAsia" w:ascii="宋体" w:hAnsi="宋体" w:eastAsia="宋体" w:cs="宋体"/>
          <w:bCs/>
          <w:color w:val="auto"/>
          <w:sz w:val="21"/>
          <w:szCs w:val="21"/>
          <w:highlight w:val="none"/>
          <w:lang w:eastAsia="zh-CN"/>
        </w:rPr>
        <w:t>登录</w:t>
      </w:r>
      <w:r>
        <w:rPr>
          <w:rFonts w:hint="eastAsia" w:ascii="宋体" w:hAnsi="宋体" w:eastAsia="宋体" w:cs="宋体"/>
          <w:bCs/>
          <w:color w:val="auto"/>
          <w:sz w:val="21"/>
          <w:szCs w:val="21"/>
          <w:highlight w:val="none"/>
        </w:rPr>
        <w:t>“全国公共资源交易平台（河南省·信阳市）（https://ggzyjy.xinyang.gov.cn）</w:t>
      </w:r>
      <w:bookmarkStart w:id="1000" w:name="_GoBack"/>
      <w:bookmarkEnd w:id="1000"/>
      <w:r>
        <w:rPr>
          <w:rFonts w:hint="eastAsia" w:ascii="宋体" w:hAnsi="宋体" w:eastAsia="宋体" w:cs="宋体"/>
          <w:bCs/>
          <w:color w:val="auto"/>
          <w:sz w:val="21"/>
          <w:szCs w:val="21"/>
          <w:highlight w:val="none"/>
        </w:rPr>
        <w:t>网站，凭办理的企业身份认证锁（CA数字证书）</w:t>
      </w:r>
      <w:r>
        <w:rPr>
          <w:rFonts w:hint="eastAsia" w:ascii="宋体" w:hAnsi="宋体" w:eastAsia="宋体" w:cs="宋体"/>
          <w:bCs/>
          <w:color w:val="auto"/>
          <w:sz w:val="21"/>
          <w:szCs w:val="21"/>
          <w:highlight w:val="none"/>
          <w:lang w:eastAsia="zh-CN"/>
        </w:rPr>
        <w:t>登录</w:t>
      </w:r>
      <w:r>
        <w:rPr>
          <w:rFonts w:hint="eastAsia" w:ascii="宋体" w:hAnsi="宋体" w:eastAsia="宋体" w:cs="宋体"/>
          <w:bCs/>
          <w:color w:val="auto"/>
          <w:sz w:val="21"/>
          <w:szCs w:val="21"/>
          <w:highlight w:val="none"/>
        </w:rPr>
        <w:t>会员系统进行网上投标”</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获取磋商文件，并于</w:t>
      </w:r>
      <w:r>
        <w:rPr>
          <w:rFonts w:hint="eastAsia" w:ascii="宋体" w:hAnsi="宋体" w:eastAsia="宋体" w:cs="宋体"/>
          <w:bCs/>
          <w:color w:val="FF0000"/>
          <w:sz w:val="21"/>
          <w:szCs w:val="21"/>
          <w:highlight w:val="none"/>
          <w:lang w:val="en-US" w:eastAsia="zh-CN"/>
        </w:rPr>
        <w:t>2024</w:t>
      </w:r>
      <w:r>
        <w:rPr>
          <w:rFonts w:hint="eastAsia" w:ascii="宋体" w:hAnsi="宋体" w:eastAsia="宋体" w:cs="宋体"/>
          <w:bCs/>
          <w:color w:val="FF0000"/>
          <w:sz w:val="21"/>
          <w:szCs w:val="21"/>
          <w:highlight w:val="none"/>
        </w:rPr>
        <w:t>年</w:t>
      </w:r>
      <w:r>
        <w:rPr>
          <w:rFonts w:hint="eastAsia" w:ascii="宋体" w:hAnsi="宋体" w:eastAsia="宋体" w:cs="宋体"/>
          <w:bCs/>
          <w:color w:val="FF0000"/>
          <w:sz w:val="21"/>
          <w:szCs w:val="21"/>
          <w:highlight w:val="none"/>
          <w:lang w:val="en-US" w:eastAsia="zh-CN"/>
        </w:rPr>
        <w:t>01</w:t>
      </w:r>
      <w:r>
        <w:rPr>
          <w:rFonts w:hint="eastAsia" w:ascii="宋体" w:hAnsi="宋体" w:eastAsia="宋体" w:cs="宋体"/>
          <w:bCs/>
          <w:color w:val="FF0000"/>
          <w:sz w:val="21"/>
          <w:szCs w:val="21"/>
          <w:highlight w:val="none"/>
        </w:rPr>
        <w:t>月</w:t>
      </w:r>
      <w:r>
        <w:rPr>
          <w:rFonts w:hint="eastAsia" w:ascii="宋体" w:hAnsi="宋体" w:eastAsia="宋体" w:cs="宋体"/>
          <w:bCs/>
          <w:color w:val="FF0000"/>
          <w:sz w:val="21"/>
          <w:szCs w:val="21"/>
          <w:highlight w:val="none"/>
          <w:lang w:val="en-US" w:eastAsia="zh-CN"/>
        </w:rPr>
        <w:t>02</w:t>
      </w:r>
      <w:r>
        <w:rPr>
          <w:rFonts w:hint="eastAsia" w:ascii="宋体" w:hAnsi="宋体" w:eastAsia="宋体" w:cs="宋体"/>
          <w:bCs/>
          <w:color w:val="FF0000"/>
          <w:sz w:val="21"/>
          <w:szCs w:val="21"/>
          <w:highlight w:val="none"/>
        </w:rPr>
        <w:t>日</w:t>
      </w:r>
      <w:r>
        <w:rPr>
          <w:rFonts w:hint="eastAsia" w:ascii="宋体" w:hAnsi="宋体" w:eastAsia="宋体" w:cs="宋体"/>
          <w:bCs/>
          <w:color w:val="FF0000"/>
          <w:sz w:val="21"/>
          <w:szCs w:val="21"/>
          <w:highlight w:val="none"/>
          <w:lang w:val="en-US" w:eastAsia="zh-CN"/>
        </w:rPr>
        <w:t>9</w:t>
      </w:r>
      <w:r>
        <w:rPr>
          <w:rFonts w:hint="eastAsia" w:ascii="宋体" w:hAnsi="宋体" w:eastAsia="宋体" w:cs="宋体"/>
          <w:bCs/>
          <w:color w:val="FF0000"/>
          <w:sz w:val="21"/>
          <w:szCs w:val="21"/>
          <w:highlight w:val="none"/>
        </w:rPr>
        <w:t>时</w:t>
      </w:r>
      <w:r>
        <w:rPr>
          <w:rFonts w:hint="eastAsia" w:ascii="宋体" w:hAnsi="宋体" w:eastAsia="宋体" w:cs="宋体"/>
          <w:bCs/>
          <w:color w:val="FF0000"/>
          <w:sz w:val="21"/>
          <w:szCs w:val="21"/>
          <w:highlight w:val="none"/>
          <w:lang w:val="en-US" w:eastAsia="zh-CN"/>
        </w:rPr>
        <w:t>30</w:t>
      </w:r>
      <w:r>
        <w:rPr>
          <w:rFonts w:hint="eastAsia" w:ascii="宋体" w:hAnsi="宋体" w:eastAsia="宋体" w:cs="宋体"/>
          <w:bCs/>
          <w:color w:val="FF0000"/>
          <w:sz w:val="21"/>
          <w:szCs w:val="21"/>
          <w:highlight w:val="none"/>
        </w:rPr>
        <w:t>分</w:t>
      </w:r>
      <w:r>
        <w:rPr>
          <w:rFonts w:hint="eastAsia" w:ascii="宋体" w:hAnsi="宋体" w:eastAsia="宋体" w:cs="宋体"/>
          <w:bCs/>
          <w:color w:val="auto"/>
          <w:sz w:val="21"/>
          <w:szCs w:val="21"/>
          <w:highlight w:val="none"/>
        </w:rPr>
        <w:t>（北京时间）前递交响应文件。</w:t>
      </w:r>
    </w:p>
    <w:p>
      <w:pPr>
        <w:pStyle w:val="41"/>
        <w:keepNext w:val="0"/>
        <w:keepLines w:val="0"/>
        <w:pageBreakBefore w:val="0"/>
        <w:widowControl w:val="0"/>
        <w:kinsoku/>
        <w:overflowPunct/>
        <w:topLinePunct w:val="0"/>
        <w:autoSpaceDE/>
        <w:autoSpaceDN/>
        <w:bidi w:val="0"/>
        <w:spacing w:before="0" w:beforeLines="0" w:beforeAutospacing="0" w:after="0" w:afterLines="0" w:afterAutospacing="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一、项目基本情况</w:t>
      </w:r>
    </w:p>
    <w:p>
      <w:pPr>
        <w:pStyle w:val="41"/>
        <w:keepNext w:val="0"/>
        <w:keepLines w:val="0"/>
        <w:pageBreakBefore w:val="0"/>
        <w:widowControl w:val="0"/>
        <w:kinsoku/>
        <w:overflowPunct/>
        <w:topLinePunct w:val="0"/>
        <w:autoSpaceDE/>
        <w:autoSpaceDN/>
        <w:bidi w:val="0"/>
        <w:spacing w:before="0" w:beforeLines="0" w:beforeAutospacing="0" w:after="0" w:afterLines="0" w:afterAutospacing="0" w:line="360" w:lineRule="auto"/>
        <w:ind w:firstLine="420" w:firstLineChars="200"/>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1、项目编号：</w:t>
      </w:r>
      <w:r>
        <w:rPr>
          <w:rFonts w:hint="eastAsia" w:ascii="宋体" w:hAnsi="宋体" w:eastAsia="宋体" w:cs="宋体"/>
          <w:bCs/>
          <w:color w:val="auto"/>
          <w:sz w:val="21"/>
          <w:szCs w:val="21"/>
          <w:highlight w:val="none"/>
          <w:lang w:val="zh-CN"/>
        </w:rPr>
        <w:t>信财磋商采购</w:t>
      </w:r>
      <w:r>
        <w:rPr>
          <w:rFonts w:hint="eastAsia" w:ascii="宋体" w:hAnsi="宋体" w:eastAsia="宋体" w:cs="宋体"/>
          <w:bCs/>
          <w:color w:val="auto"/>
          <w:sz w:val="21"/>
          <w:szCs w:val="21"/>
          <w:highlight w:val="none"/>
          <w:lang w:val="en-US"/>
        </w:rPr>
        <w:t>-2023-</w:t>
      </w:r>
      <w:r>
        <w:rPr>
          <w:rFonts w:hint="eastAsia" w:ascii="宋体" w:hAnsi="宋体" w:eastAsia="宋体" w:cs="宋体"/>
          <w:bCs/>
          <w:color w:val="auto"/>
          <w:sz w:val="21"/>
          <w:szCs w:val="21"/>
          <w:highlight w:val="none"/>
          <w:lang w:val="en-US" w:eastAsia="zh-CN"/>
        </w:rPr>
        <w:t>140</w:t>
      </w:r>
    </w:p>
    <w:p>
      <w:pPr>
        <w:pStyle w:val="41"/>
        <w:keepNext w:val="0"/>
        <w:keepLines w:val="0"/>
        <w:pageBreakBefore w:val="0"/>
        <w:widowControl w:val="0"/>
        <w:kinsoku/>
        <w:overflowPunct/>
        <w:topLinePunct w:val="0"/>
        <w:autoSpaceDE/>
        <w:autoSpaceDN/>
        <w:bidi w:val="0"/>
        <w:spacing w:before="0" w:beforeLines="0" w:beforeAutospacing="0" w:after="0" w:afterLines="0" w:afterAutospacing="0" w:line="360" w:lineRule="auto"/>
        <w:ind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2、项目名称：</w:t>
      </w:r>
      <w:r>
        <w:rPr>
          <w:rFonts w:hint="eastAsia" w:ascii="宋体" w:hAnsi="宋体" w:eastAsia="宋体" w:cs="宋体"/>
          <w:bCs/>
          <w:color w:val="auto"/>
          <w:sz w:val="21"/>
          <w:szCs w:val="21"/>
          <w:highlight w:val="none"/>
          <w:lang w:eastAsia="zh-CN"/>
        </w:rPr>
        <w:t>信阳农林学院餐饮服务商项目</w:t>
      </w:r>
    </w:p>
    <w:p>
      <w:pPr>
        <w:pStyle w:val="41"/>
        <w:keepNext w:val="0"/>
        <w:keepLines w:val="0"/>
        <w:pageBreakBefore w:val="0"/>
        <w:widowControl w:val="0"/>
        <w:kinsoku/>
        <w:overflowPunct/>
        <w:topLinePunct w:val="0"/>
        <w:autoSpaceDE/>
        <w:autoSpaceDN/>
        <w:bidi w:val="0"/>
        <w:spacing w:before="0" w:beforeLines="0" w:beforeAutospacing="0" w:after="0" w:afterLines="0" w:afterAutospacing="0"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3、采购方式：竞争性磋商</w:t>
      </w:r>
    </w:p>
    <w:p>
      <w:pPr>
        <w:pStyle w:val="41"/>
        <w:keepNext w:val="0"/>
        <w:keepLines w:val="0"/>
        <w:pageBreakBefore w:val="0"/>
        <w:widowControl w:val="0"/>
        <w:kinsoku/>
        <w:overflowPunct/>
        <w:topLinePunct w:val="0"/>
        <w:autoSpaceDE/>
        <w:autoSpaceDN/>
        <w:bidi w:val="0"/>
        <w:spacing w:before="0" w:beforeLines="0" w:beforeAutospacing="0" w:after="0" w:afterLines="0" w:afterAutospacing="0"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4、预算金额：</w:t>
      </w:r>
      <w:r>
        <w:rPr>
          <w:rFonts w:hint="eastAsia" w:ascii="宋体" w:hAnsi="宋体" w:eastAsia="宋体" w:cs="宋体"/>
          <w:bCs/>
          <w:color w:val="auto"/>
          <w:sz w:val="21"/>
          <w:szCs w:val="21"/>
          <w:highlight w:val="none"/>
          <w:lang w:val="en-US" w:eastAsia="zh-CN"/>
        </w:rPr>
        <w:t>0</w:t>
      </w:r>
      <w:r>
        <w:rPr>
          <w:rFonts w:hint="eastAsia" w:ascii="宋体" w:hAnsi="宋体" w:eastAsia="宋体" w:cs="宋体"/>
          <w:color w:val="auto"/>
          <w:sz w:val="21"/>
          <w:szCs w:val="21"/>
          <w:highlight w:val="none"/>
          <w:lang w:eastAsia="zh-CN"/>
        </w:rPr>
        <w:t>元</w:t>
      </w:r>
    </w:p>
    <w:p>
      <w:pPr>
        <w:pStyle w:val="41"/>
        <w:keepNext w:val="0"/>
        <w:keepLines w:val="0"/>
        <w:pageBreakBefore w:val="0"/>
        <w:widowControl w:val="0"/>
        <w:kinsoku/>
        <w:overflowPunct/>
        <w:topLinePunct w:val="0"/>
        <w:autoSpaceDE/>
        <w:autoSpaceDN/>
        <w:bidi w:val="0"/>
        <w:spacing w:before="0" w:beforeLines="0" w:beforeAutospacing="0" w:after="0" w:afterLines="0" w:afterAutospacing="0" w:line="360" w:lineRule="auto"/>
        <w:ind w:firstLine="840" w:firstLineChars="4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w:t>
      </w:r>
      <w:r>
        <w:rPr>
          <w:rFonts w:hint="eastAsia" w:ascii="宋体" w:hAnsi="宋体" w:eastAsia="宋体" w:cs="宋体"/>
          <w:color w:val="auto"/>
          <w:sz w:val="21"/>
          <w:szCs w:val="21"/>
          <w:highlight w:val="none"/>
          <w:lang w:eastAsia="zh-CN"/>
        </w:rPr>
        <w:t>：</w:t>
      </w:r>
      <w:r>
        <w:rPr>
          <w:rFonts w:hint="eastAsia" w:ascii="宋体" w:hAnsi="宋体" w:eastAsia="宋体" w:cs="宋体"/>
          <w:bCs/>
          <w:color w:val="auto"/>
          <w:sz w:val="21"/>
          <w:szCs w:val="21"/>
          <w:highlight w:val="none"/>
          <w:lang w:val="en-US" w:eastAsia="zh-CN"/>
        </w:rPr>
        <w:t>0</w:t>
      </w:r>
      <w:r>
        <w:rPr>
          <w:rFonts w:hint="eastAsia" w:ascii="宋体" w:hAnsi="宋体" w:eastAsia="宋体" w:cs="宋体"/>
          <w:color w:val="auto"/>
          <w:sz w:val="21"/>
          <w:szCs w:val="21"/>
          <w:highlight w:val="none"/>
          <w:lang w:eastAsia="zh-CN"/>
        </w:rPr>
        <w:t>元</w:t>
      </w:r>
    </w:p>
    <w:tbl>
      <w:tblPr>
        <w:tblStyle w:val="49"/>
        <w:tblW w:w="85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
        <w:gridCol w:w="1575"/>
        <w:gridCol w:w="1588"/>
        <w:gridCol w:w="1216"/>
        <w:gridCol w:w="1216"/>
        <w:gridCol w:w="1216"/>
        <w:gridCol w:w="1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dxa"/>
            <w:noWrap w:val="0"/>
            <w:vAlign w:val="top"/>
          </w:tcPr>
          <w:p>
            <w:pPr>
              <w:pStyle w:val="41"/>
              <w:keepNext w:val="0"/>
              <w:keepLines w:val="0"/>
              <w:pageBreakBefore w:val="0"/>
              <w:widowControl w:val="0"/>
              <w:kinsoku/>
              <w:overflowPunct/>
              <w:topLinePunct w:val="0"/>
              <w:autoSpaceDE/>
              <w:autoSpaceDN/>
              <w:bidi w:val="0"/>
              <w:spacing w:before="0" w:beforeLines="0" w:beforeAutospacing="0" w:after="0" w:afterLines="0" w:afterAutospacing="0" w:line="240" w:lineRule="auto"/>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序号</w:t>
            </w:r>
          </w:p>
        </w:tc>
        <w:tc>
          <w:tcPr>
            <w:tcW w:w="1575" w:type="dxa"/>
            <w:noWrap w:val="0"/>
            <w:vAlign w:val="top"/>
          </w:tcPr>
          <w:p>
            <w:pPr>
              <w:pStyle w:val="41"/>
              <w:keepNext w:val="0"/>
              <w:keepLines w:val="0"/>
              <w:pageBreakBefore w:val="0"/>
              <w:widowControl w:val="0"/>
              <w:kinsoku/>
              <w:overflowPunct/>
              <w:topLinePunct w:val="0"/>
              <w:autoSpaceDE/>
              <w:autoSpaceDN/>
              <w:bidi w:val="0"/>
              <w:spacing w:before="0" w:beforeLines="0" w:beforeAutospacing="0" w:after="0" w:afterLines="0" w:afterAutospacing="0" w:line="240" w:lineRule="auto"/>
              <w:jc w:val="center"/>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包号</w:t>
            </w:r>
          </w:p>
        </w:tc>
        <w:tc>
          <w:tcPr>
            <w:tcW w:w="1588" w:type="dxa"/>
            <w:noWrap w:val="0"/>
            <w:vAlign w:val="top"/>
          </w:tcPr>
          <w:p>
            <w:pPr>
              <w:pStyle w:val="41"/>
              <w:keepNext w:val="0"/>
              <w:keepLines w:val="0"/>
              <w:pageBreakBefore w:val="0"/>
              <w:widowControl w:val="0"/>
              <w:kinsoku/>
              <w:overflowPunct/>
              <w:topLinePunct w:val="0"/>
              <w:autoSpaceDE/>
              <w:autoSpaceDN/>
              <w:bidi w:val="0"/>
              <w:spacing w:before="0" w:beforeLines="0" w:beforeAutospacing="0" w:after="0" w:afterLines="0" w:afterAutospacing="0" w:line="240" w:lineRule="auto"/>
              <w:jc w:val="center"/>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包名称</w:t>
            </w:r>
          </w:p>
        </w:tc>
        <w:tc>
          <w:tcPr>
            <w:tcW w:w="1216" w:type="dxa"/>
            <w:noWrap w:val="0"/>
            <w:vAlign w:val="top"/>
          </w:tcPr>
          <w:p>
            <w:pPr>
              <w:pStyle w:val="41"/>
              <w:keepNext w:val="0"/>
              <w:keepLines w:val="0"/>
              <w:pageBreakBefore w:val="0"/>
              <w:widowControl w:val="0"/>
              <w:kinsoku/>
              <w:overflowPunct/>
              <w:topLinePunct w:val="0"/>
              <w:autoSpaceDE/>
              <w:autoSpaceDN/>
              <w:bidi w:val="0"/>
              <w:spacing w:before="0" w:beforeLines="0" w:beforeAutospacing="0" w:after="0" w:afterLines="0" w:afterAutospacing="0" w:line="240" w:lineRule="auto"/>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bCs/>
                <w:color w:val="auto"/>
                <w:kern w:val="0"/>
                <w:sz w:val="21"/>
                <w:szCs w:val="21"/>
                <w:highlight w:val="none"/>
                <w:lang w:val="en-US" w:eastAsia="zh-CN" w:bidi="ar-SA"/>
              </w:rPr>
              <w:t>包预算（元）</w:t>
            </w:r>
          </w:p>
        </w:tc>
        <w:tc>
          <w:tcPr>
            <w:tcW w:w="1216" w:type="dxa"/>
            <w:noWrap w:val="0"/>
            <w:vAlign w:val="top"/>
          </w:tcPr>
          <w:p>
            <w:pPr>
              <w:pStyle w:val="41"/>
              <w:keepNext w:val="0"/>
              <w:keepLines w:val="0"/>
              <w:pageBreakBefore w:val="0"/>
              <w:widowControl w:val="0"/>
              <w:kinsoku/>
              <w:overflowPunct/>
              <w:topLinePunct w:val="0"/>
              <w:autoSpaceDE/>
              <w:autoSpaceDN/>
              <w:bidi w:val="0"/>
              <w:spacing w:before="0" w:beforeLines="0" w:beforeAutospacing="0" w:after="0" w:afterLines="0" w:afterAutospacing="0" w:line="240" w:lineRule="auto"/>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bCs/>
                <w:color w:val="auto"/>
                <w:kern w:val="0"/>
                <w:sz w:val="21"/>
                <w:szCs w:val="21"/>
                <w:highlight w:val="none"/>
                <w:lang w:val="en-US" w:eastAsia="zh-CN" w:bidi="ar-SA"/>
              </w:rPr>
              <w:t>包最高限价（元）</w:t>
            </w:r>
          </w:p>
        </w:tc>
        <w:tc>
          <w:tcPr>
            <w:tcW w:w="12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color w:val="auto"/>
                <w:sz w:val="21"/>
                <w:szCs w:val="21"/>
              </w:rPr>
              <w:t>是否专门面向中小企业</w:t>
            </w:r>
          </w:p>
        </w:tc>
        <w:tc>
          <w:tcPr>
            <w:tcW w:w="12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cs="宋体"/>
                <w:color w:val="auto"/>
                <w:sz w:val="21"/>
                <w:szCs w:val="21"/>
              </w:rPr>
              <w:t>采购预留金额（元）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dxa"/>
            <w:noWrap w:val="0"/>
            <w:vAlign w:val="center"/>
          </w:tcPr>
          <w:p>
            <w:pPr>
              <w:pStyle w:val="41"/>
              <w:keepNext w:val="0"/>
              <w:keepLines w:val="0"/>
              <w:pageBreakBefore w:val="0"/>
              <w:widowControl w:val="0"/>
              <w:kinsoku/>
              <w:overflowPunct/>
              <w:topLinePunct w:val="0"/>
              <w:autoSpaceDE/>
              <w:autoSpaceDN/>
              <w:bidi w:val="0"/>
              <w:spacing w:before="0" w:beforeLines="0" w:beforeAutospacing="0" w:after="0" w:afterLines="0" w:afterAutospacing="0" w:line="24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1575" w:type="dxa"/>
            <w:noWrap w:val="0"/>
            <w:vAlign w:val="center"/>
          </w:tcPr>
          <w:p>
            <w:pPr>
              <w:pStyle w:val="41"/>
              <w:keepNext w:val="0"/>
              <w:keepLines w:val="0"/>
              <w:pageBreakBefore w:val="0"/>
              <w:widowControl w:val="0"/>
              <w:kinsoku/>
              <w:overflowPunct/>
              <w:topLinePunct w:val="0"/>
              <w:autoSpaceDE/>
              <w:autoSpaceDN/>
              <w:bidi w:val="0"/>
              <w:spacing w:before="0" w:beforeLines="0" w:beforeAutospacing="0" w:after="0" w:afterLines="0" w:afterAutospacing="0" w:line="240" w:lineRule="auto"/>
              <w:textAlignment w:val="auto"/>
              <w:rPr>
                <w:rFonts w:hint="default" w:ascii="宋体" w:hAnsi="宋体" w:eastAsia="宋体" w:cs="宋体"/>
                <w:color w:val="auto"/>
                <w:sz w:val="21"/>
                <w:szCs w:val="21"/>
                <w:highlight w:val="none"/>
                <w:vertAlign w:val="baseline"/>
                <w:lang w:val="en-US" w:eastAsia="zh-CN"/>
              </w:rPr>
            </w:pPr>
            <w:r>
              <w:rPr>
                <w:rFonts w:hint="default" w:ascii="宋体" w:hAnsi="宋体" w:eastAsia="宋体" w:cs="宋体"/>
                <w:color w:val="auto"/>
                <w:sz w:val="21"/>
                <w:szCs w:val="21"/>
                <w:highlight w:val="none"/>
                <w:vertAlign w:val="baseline"/>
                <w:lang w:val="en-US" w:eastAsia="zh-CN"/>
              </w:rPr>
              <w:t>信财磋商采购-2023-</w:t>
            </w:r>
            <w:r>
              <w:rPr>
                <w:rFonts w:hint="eastAsia" w:ascii="宋体" w:hAnsi="宋体" w:eastAsia="宋体" w:cs="宋体"/>
                <w:color w:val="auto"/>
                <w:sz w:val="21"/>
                <w:szCs w:val="21"/>
                <w:highlight w:val="none"/>
                <w:vertAlign w:val="baseline"/>
                <w:lang w:val="en-US" w:eastAsia="zh-CN"/>
              </w:rPr>
              <w:t>140-1</w:t>
            </w:r>
          </w:p>
        </w:tc>
        <w:tc>
          <w:tcPr>
            <w:tcW w:w="1588" w:type="dxa"/>
            <w:noWrap w:val="0"/>
            <w:vAlign w:val="center"/>
          </w:tcPr>
          <w:p>
            <w:pPr>
              <w:pStyle w:val="41"/>
              <w:keepNext w:val="0"/>
              <w:keepLines w:val="0"/>
              <w:pageBreakBefore w:val="0"/>
              <w:widowControl w:val="0"/>
              <w:kinsoku/>
              <w:overflowPunct/>
              <w:topLinePunct w:val="0"/>
              <w:autoSpaceDE/>
              <w:autoSpaceDN/>
              <w:bidi w:val="0"/>
              <w:spacing w:before="0" w:beforeLines="0" w:beforeAutospacing="0" w:after="0" w:afterLines="0" w:afterAutospacing="0" w:line="240" w:lineRule="auto"/>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bCs/>
                <w:color w:val="auto"/>
                <w:sz w:val="21"/>
                <w:szCs w:val="21"/>
                <w:highlight w:val="none"/>
                <w:lang w:eastAsia="zh-CN"/>
              </w:rPr>
              <w:t>信阳农林学院餐饮服务商项目</w:t>
            </w:r>
            <w:r>
              <w:rPr>
                <w:rFonts w:hint="eastAsia" w:ascii="宋体" w:hAnsi="宋体" w:eastAsia="宋体" w:cs="宋体"/>
                <w:bCs/>
                <w:color w:val="auto"/>
                <w:sz w:val="21"/>
                <w:szCs w:val="21"/>
                <w:highlight w:val="none"/>
                <w:lang w:val="en-US" w:eastAsia="zh-CN"/>
              </w:rPr>
              <w:t>1包</w:t>
            </w:r>
          </w:p>
        </w:tc>
        <w:tc>
          <w:tcPr>
            <w:tcW w:w="1216" w:type="dxa"/>
            <w:noWrap w:val="0"/>
            <w:vAlign w:val="center"/>
          </w:tcPr>
          <w:p>
            <w:pPr>
              <w:keepNext w:val="0"/>
              <w:keepLines w:val="0"/>
              <w:pageBreakBefore w:val="0"/>
              <w:widowControl w:val="0"/>
              <w:kinsoku/>
              <w:overflowPunct/>
              <w:topLinePunct w:val="0"/>
              <w:autoSpaceDE/>
              <w:autoSpaceDN/>
              <w:bidi w:val="0"/>
              <w:spacing w:before="0" w:beforeLines="0" w:beforeAutospacing="0" w:after="0" w:afterLines="0" w:afterAutospacing="0" w:line="24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0</w:t>
            </w:r>
          </w:p>
        </w:tc>
        <w:tc>
          <w:tcPr>
            <w:tcW w:w="1216" w:type="dxa"/>
            <w:noWrap w:val="0"/>
            <w:vAlign w:val="center"/>
          </w:tcPr>
          <w:p>
            <w:pPr>
              <w:keepNext w:val="0"/>
              <w:keepLines w:val="0"/>
              <w:pageBreakBefore w:val="0"/>
              <w:widowControl w:val="0"/>
              <w:kinsoku/>
              <w:overflowPunct/>
              <w:topLinePunct w:val="0"/>
              <w:autoSpaceDE/>
              <w:autoSpaceDN/>
              <w:bidi w:val="0"/>
              <w:spacing w:before="0" w:beforeLines="0" w:beforeAutospacing="0" w:after="0" w:afterLines="0" w:afterAutospacing="0" w:line="240" w:lineRule="auto"/>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0</w:t>
            </w:r>
          </w:p>
        </w:tc>
        <w:tc>
          <w:tcPr>
            <w:tcW w:w="12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eastAsia" w:ascii="宋体" w:hAnsi="宋体" w:cs="宋体"/>
                <w:bCs/>
                <w:color w:val="auto"/>
                <w:sz w:val="21"/>
                <w:szCs w:val="21"/>
                <w:highlight w:val="none"/>
                <w:lang w:val="en-US" w:eastAsia="zh-CN"/>
              </w:rPr>
            </w:pPr>
            <w:r>
              <w:rPr>
                <w:rFonts w:hint="eastAsia" w:ascii="宋体" w:hAnsi="宋体" w:eastAsia="宋体" w:cs="宋体"/>
                <w:bCs/>
                <w:color w:val="auto"/>
                <w:sz w:val="21"/>
                <w:szCs w:val="21"/>
                <w:lang w:val="en-US" w:eastAsia="zh-CN"/>
              </w:rPr>
              <w:t>是</w:t>
            </w:r>
          </w:p>
        </w:tc>
        <w:tc>
          <w:tcPr>
            <w:tcW w:w="12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dxa"/>
            <w:noWrap w:val="0"/>
            <w:vAlign w:val="center"/>
          </w:tcPr>
          <w:p>
            <w:pPr>
              <w:pStyle w:val="41"/>
              <w:keepNext w:val="0"/>
              <w:keepLines w:val="0"/>
              <w:pageBreakBefore w:val="0"/>
              <w:widowControl w:val="0"/>
              <w:kinsoku/>
              <w:overflowPunct/>
              <w:topLinePunct w:val="0"/>
              <w:autoSpaceDE/>
              <w:autoSpaceDN/>
              <w:bidi w:val="0"/>
              <w:spacing w:before="0" w:beforeLines="0" w:beforeAutospacing="0" w:after="0" w:afterLines="0" w:afterAutospacing="0" w:line="240" w:lineRule="auto"/>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c>
          <w:tcPr>
            <w:tcW w:w="1575" w:type="dxa"/>
            <w:noWrap w:val="0"/>
            <w:vAlign w:val="center"/>
          </w:tcPr>
          <w:p>
            <w:pPr>
              <w:pStyle w:val="41"/>
              <w:keepNext w:val="0"/>
              <w:keepLines w:val="0"/>
              <w:pageBreakBefore w:val="0"/>
              <w:widowControl w:val="0"/>
              <w:kinsoku/>
              <w:overflowPunct/>
              <w:topLinePunct w:val="0"/>
              <w:autoSpaceDE/>
              <w:autoSpaceDN/>
              <w:bidi w:val="0"/>
              <w:spacing w:before="0" w:beforeLines="0" w:beforeAutospacing="0" w:after="0" w:afterLines="0" w:afterAutospacing="0" w:line="240" w:lineRule="auto"/>
              <w:textAlignment w:val="auto"/>
              <w:rPr>
                <w:rFonts w:hint="default" w:ascii="宋体" w:hAnsi="宋体" w:eastAsia="宋体" w:cs="宋体"/>
                <w:color w:val="auto"/>
                <w:sz w:val="21"/>
                <w:szCs w:val="21"/>
                <w:highlight w:val="none"/>
                <w:vertAlign w:val="baseline"/>
                <w:lang w:val="en-US" w:eastAsia="zh-CN"/>
              </w:rPr>
            </w:pPr>
            <w:r>
              <w:rPr>
                <w:rFonts w:hint="default" w:ascii="宋体" w:hAnsi="宋体" w:eastAsia="宋体" w:cs="宋体"/>
                <w:color w:val="auto"/>
                <w:sz w:val="21"/>
                <w:szCs w:val="21"/>
                <w:highlight w:val="none"/>
                <w:vertAlign w:val="baseline"/>
                <w:lang w:val="en-US" w:eastAsia="zh-CN"/>
              </w:rPr>
              <w:t>信财磋商采购-2023-</w:t>
            </w:r>
            <w:r>
              <w:rPr>
                <w:rFonts w:hint="eastAsia" w:ascii="宋体" w:hAnsi="宋体" w:eastAsia="宋体" w:cs="宋体"/>
                <w:color w:val="auto"/>
                <w:sz w:val="21"/>
                <w:szCs w:val="21"/>
                <w:highlight w:val="none"/>
                <w:vertAlign w:val="baseline"/>
                <w:lang w:val="en-US" w:eastAsia="zh-CN"/>
              </w:rPr>
              <w:t>140-2</w:t>
            </w:r>
          </w:p>
        </w:tc>
        <w:tc>
          <w:tcPr>
            <w:tcW w:w="1588" w:type="dxa"/>
            <w:noWrap w:val="0"/>
            <w:vAlign w:val="center"/>
          </w:tcPr>
          <w:p>
            <w:pPr>
              <w:pStyle w:val="41"/>
              <w:keepNext w:val="0"/>
              <w:keepLines w:val="0"/>
              <w:pageBreakBefore w:val="0"/>
              <w:widowControl w:val="0"/>
              <w:kinsoku/>
              <w:overflowPunct/>
              <w:topLinePunct w:val="0"/>
              <w:autoSpaceDE/>
              <w:autoSpaceDN/>
              <w:bidi w:val="0"/>
              <w:spacing w:before="0" w:beforeLines="0" w:beforeAutospacing="0" w:after="0" w:afterLines="0" w:afterAutospacing="0" w:line="240" w:lineRule="auto"/>
              <w:jc w:val="center"/>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信阳农林学院餐饮服务商项目</w:t>
            </w:r>
            <w:r>
              <w:rPr>
                <w:rFonts w:hint="eastAsia" w:ascii="宋体" w:hAnsi="宋体" w:eastAsia="宋体" w:cs="宋体"/>
                <w:bCs/>
                <w:color w:val="auto"/>
                <w:sz w:val="21"/>
                <w:szCs w:val="21"/>
                <w:highlight w:val="none"/>
                <w:lang w:val="en-US" w:eastAsia="zh-CN"/>
              </w:rPr>
              <w:t>2包</w:t>
            </w:r>
          </w:p>
        </w:tc>
        <w:tc>
          <w:tcPr>
            <w:tcW w:w="1216" w:type="dxa"/>
            <w:noWrap w:val="0"/>
            <w:vAlign w:val="center"/>
          </w:tcPr>
          <w:p>
            <w:pPr>
              <w:keepNext w:val="0"/>
              <w:keepLines w:val="0"/>
              <w:pageBreakBefore w:val="0"/>
              <w:widowControl w:val="0"/>
              <w:kinsoku/>
              <w:overflowPunct/>
              <w:topLinePunct w:val="0"/>
              <w:autoSpaceDE/>
              <w:autoSpaceDN/>
              <w:bidi w:val="0"/>
              <w:spacing w:before="0" w:beforeLines="0" w:beforeAutospacing="0" w:after="0" w:afterLines="0" w:afterAutospacing="0" w:line="240" w:lineRule="auto"/>
              <w:jc w:val="center"/>
              <w:textAlignment w:val="auto"/>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0</w:t>
            </w:r>
          </w:p>
        </w:tc>
        <w:tc>
          <w:tcPr>
            <w:tcW w:w="1216" w:type="dxa"/>
            <w:noWrap w:val="0"/>
            <w:vAlign w:val="center"/>
          </w:tcPr>
          <w:p>
            <w:pPr>
              <w:keepNext w:val="0"/>
              <w:keepLines w:val="0"/>
              <w:pageBreakBefore w:val="0"/>
              <w:widowControl w:val="0"/>
              <w:kinsoku/>
              <w:overflowPunct/>
              <w:topLinePunct w:val="0"/>
              <w:autoSpaceDE/>
              <w:autoSpaceDN/>
              <w:bidi w:val="0"/>
              <w:spacing w:before="0" w:beforeLines="0" w:beforeAutospacing="0" w:after="0" w:afterLines="0" w:afterAutospacing="0" w:line="240" w:lineRule="auto"/>
              <w:jc w:val="center"/>
              <w:textAlignment w:val="auto"/>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0</w:t>
            </w:r>
          </w:p>
        </w:tc>
        <w:tc>
          <w:tcPr>
            <w:tcW w:w="1216" w:type="dxa"/>
            <w:noWrap w:val="0"/>
            <w:vAlign w:val="center"/>
          </w:tcPr>
          <w:p>
            <w:pPr>
              <w:keepNext w:val="0"/>
              <w:keepLines w:val="0"/>
              <w:pageBreakBefore w:val="0"/>
              <w:widowControl w:val="0"/>
              <w:kinsoku/>
              <w:overflowPunct/>
              <w:topLinePunct w:val="0"/>
              <w:autoSpaceDE/>
              <w:autoSpaceDN/>
              <w:bidi w:val="0"/>
              <w:spacing w:before="0" w:beforeLines="0" w:beforeAutospacing="0" w:after="0" w:afterLines="0" w:afterAutospacing="0" w:line="240" w:lineRule="auto"/>
              <w:jc w:val="center"/>
              <w:textAlignment w:val="auto"/>
              <w:rPr>
                <w:rFonts w:hint="eastAsia" w:ascii="宋体" w:hAnsi="宋体" w:cs="宋体"/>
                <w:bCs/>
                <w:color w:val="auto"/>
                <w:sz w:val="21"/>
                <w:szCs w:val="21"/>
                <w:highlight w:val="none"/>
                <w:lang w:val="en-US" w:eastAsia="zh-CN"/>
              </w:rPr>
            </w:pPr>
            <w:r>
              <w:rPr>
                <w:rFonts w:hint="eastAsia" w:ascii="宋体" w:hAnsi="宋体" w:eastAsia="宋体" w:cs="宋体"/>
                <w:bCs/>
                <w:color w:val="auto"/>
                <w:sz w:val="21"/>
                <w:szCs w:val="21"/>
                <w:lang w:val="en-US" w:eastAsia="zh-CN"/>
              </w:rPr>
              <w:t>是</w:t>
            </w:r>
          </w:p>
        </w:tc>
        <w:tc>
          <w:tcPr>
            <w:tcW w:w="1216" w:type="dxa"/>
            <w:noWrap w:val="0"/>
            <w:vAlign w:val="center"/>
          </w:tcPr>
          <w:p>
            <w:pPr>
              <w:keepNext w:val="0"/>
              <w:keepLines w:val="0"/>
              <w:pageBreakBefore w:val="0"/>
              <w:widowControl w:val="0"/>
              <w:kinsoku/>
              <w:overflowPunct/>
              <w:topLinePunct w:val="0"/>
              <w:autoSpaceDE/>
              <w:autoSpaceDN/>
              <w:bidi w:val="0"/>
              <w:spacing w:before="0" w:beforeLines="0" w:beforeAutospacing="0" w:after="0" w:afterLines="0" w:afterAutospacing="0" w:line="240" w:lineRule="auto"/>
              <w:jc w:val="center"/>
              <w:textAlignment w:val="auto"/>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dxa"/>
            <w:noWrap w:val="0"/>
            <w:vAlign w:val="center"/>
          </w:tcPr>
          <w:p>
            <w:pPr>
              <w:pStyle w:val="41"/>
              <w:keepNext w:val="0"/>
              <w:keepLines w:val="0"/>
              <w:pageBreakBefore w:val="0"/>
              <w:widowControl w:val="0"/>
              <w:kinsoku/>
              <w:overflowPunct/>
              <w:topLinePunct w:val="0"/>
              <w:autoSpaceDE/>
              <w:autoSpaceDN/>
              <w:bidi w:val="0"/>
              <w:spacing w:before="0" w:beforeLines="0" w:beforeAutospacing="0" w:after="0" w:afterLines="0" w:afterAutospacing="0" w:line="240" w:lineRule="auto"/>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w:t>
            </w:r>
          </w:p>
        </w:tc>
        <w:tc>
          <w:tcPr>
            <w:tcW w:w="1575" w:type="dxa"/>
            <w:noWrap w:val="0"/>
            <w:vAlign w:val="center"/>
          </w:tcPr>
          <w:p>
            <w:pPr>
              <w:pStyle w:val="41"/>
              <w:keepNext w:val="0"/>
              <w:keepLines w:val="0"/>
              <w:pageBreakBefore w:val="0"/>
              <w:widowControl w:val="0"/>
              <w:kinsoku/>
              <w:overflowPunct/>
              <w:topLinePunct w:val="0"/>
              <w:autoSpaceDE/>
              <w:autoSpaceDN/>
              <w:bidi w:val="0"/>
              <w:spacing w:before="0" w:beforeLines="0" w:beforeAutospacing="0" w:after="0" w:afterLines="0" w:afterAutospacing="0" w:line="240" w:lineRule="auto"/>
              <w:textAlignment w:val="auto"/>
              <w:rPr>
                <w:rFonts w:hint="default" w:ascii="宋体" w:hAnsi="宋体" w:eastAsia="宋体" w:cs="宋体"/>
                <w:color w:val="auto"/>
                <w:sz w:val="21"/>
                <w:szCs w:val="21"/>
                <w:highlight w:val="none"/>
                <w:vertAlign w:val="baseline"/>
                <w:lang w:val="en-US" w:eastAsia="zh-CN"/>
              </w:rPr>
            </w:pPr>
            <w:r>
              <w:rPr>
                <w:rFonts w:hint="default" w:ascii="宋体" w:hAnsi="宋体" w:eastAsia="宋体" w:cs="宋体"/>
                <w:color w:val="auto"/>
                <w:sz w:val="21"/>
                <w:szCs w:val="21"/>
                <w:highlight w:val="none"/>
                <w:vertAlign w:val="baseline"/>
                <w:lang w:val="en-US" w:eastAsia="zh-CN"/>
              </w:rPr>
              <w:t>信财磋商采购-2023-</w:t>
            </w:r>
            <w:r>
              <w:rPr>
                <w:rFonts w:hint="eastAsia" w:ascii="宋体" w:hAnsi="宋体" w:eastAsia="宋体" w:cs="宋体"/>
                <w:color w:val="auto"/>
                <w:sz w:val="21"/>
                <w:szCs w:val="21"/>
                <w:highlight w:val="none"/>
                <w:vertAlign w:val="baseline"/>
                <w:lang w:val="en-US" w:eastAsia="zh-CN"/>
              </w:rPr>
              <w:t>140-3</w:t>
            </w:r>
          </w:p>
        </w:tc>
        <w:tc>
          <w:tcPr>
            <w:tcW w:w="1588" w:type="dxa"/>
            <w:noWrap w:val="0"/>
            <w:vAlign w:val="center"/>
          </w:tcPr>
          <w:p>
            <w:pPr>
              <w:pStyle w:val="41"/>
              <w:keepNext w:val="0"/>
              <w:keepLines w:val="0"/>
              <w:pageBreakBefore w:val="0"/>
              <w:widowControl w:val="0"/>
              <w:kinsoku/>
              <w:overflowPunct/>
              <w:topLinePunct w:val="0"/>
              <w:autoSpaceDE/>
              <w:autoSpaceDN/>
              <w:bidi w:val="0"/>
              <w:spacing w:before="0" w:beforeLines="0" w:beforeAutospacing="0" w:after="0" w:afterLines="0" w:afterAutospacing="0" w:line="240" w:lineRule="auto"/>
              <w:jc w:val="center"/>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信阳农林学院餐饮服务商项目</w:t>
            </w:r>
            <w:r>
              <w:rPr>
                <w:rFonts w:hint="eastAsia" w:ascii="宋体" w:hAnsi="宋体" w:eastAsia="宋体" w:cs="宋体"/>
                <w:bCs/>
                <w:color w:val="auto"/>
                <w:sz w:val="21"/>
                <w:szCs w:val="21"/>
                <w:highlight w:val="none"/>
                <w:lang w:val="en-US" w:eastAsia="zh-CN"/>
              </w:rPr>
              <w:t>3包</w:t>
            </w:r>
          </w:p>
        </w:tc>
        <w:tc>
          <w:tcPr>
            <w:tcW w:w="1216" w:type="dxa"/>
            <w:noWrap w:val="0"/>
            <w:vAlign w:val="center"/>
          </w:tcPr>
          <w:p>
            <w:pPr>
              <w:keepNext w:val="0"/>
              <w:keepLines w:val="0"/>
              <w:pageBreakBefore w:val="0"/>
              <w:widowControl w:val="0"/>
              <w:kinsoku/>
              <w:overflowPunct/>
              <w:topLinePunct w:val="0"/>
              <w:autoSpaceDE/>
              <w:autoSpaceDN/>
              <w:bidi w:val="0"/>
              <w:spacing w:before="0" w:beforeLines="0" w:beforeAutospacing="0" w:after="0" w:afterLines="0" w:afterAutospacing="0" w:line="240" w:lineRule="auto"/>
              <w:jc w:val="center"/>
              <w:textAlignment w:val="auto"/>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0</w:t>
            </w:r>
          </w:p>
        </w:tc>
        <w:tc>
          <w:tcPr>
            <w:tcW w:w="1216" w:type="dxa"/>
            <w:noWrap w:val="0"/>
            <w:vAlign w:val="center"/>
          </w:tcPr>
          <w:p>
            <w:pPr>
              <w:keepNext w:val="0"/>
              <w:keepLines w:val="0"/>
              <w:pageBreakBefore w:val="0"/>
              <w:widowControl w:val="0"/>
              <w:kinsoku/>
              <w:overflowPunct/>
              <w:topLinePunct w:val="0"/>
              <w:autoSpaceDE/>
              <w:autoSpaceDN/>
              <w:bidi w:val="0"/>
              <w:spacing w:before="0" w:beforeLines="0" w:beforeAutospacing="0" w:after="0" w:afterLines="0" w:afterAutospacing="0" w:line="240" w:lineRule="auto"/>
              <w:jc w:val="center"/>
              <w:textAlignment w:val="auto"/>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0</w:t>
            </w:r>
          </w:p>
        </w:tc>
        <w:tc>
          <w:tcPr>
            <w:tcW w:w="1216" w:type="dxa"/>
            <w:noWrap w:val="0"/>
            <w:vAlign w:val="center"/>
          </w:tcPr>
          <w:p>
            <w:pPr>
              <w:keepNext w:val="0"/>
              <w:keepLines w:val="0"/>
              <w:pageBreakBefore w:val="0"/>
              <w:widowControl w:val="0"/>
              <w:kinsoku/>
              <w:overflowPunct/>
              <w:topLinePunct w:val="0"/>
              <w:autoSpaceDE/>
              <w:autoSpaceDN/>
              <w:bidi w:val="0"/>
              <w:spacing w:before="0" w:beforeLines="0" w:beforeAutospacing="0" w:after="0" w:afterLines="0" w:afterAutospacing="0" w:line="240" w:lineRule="auto"/>
              <w:jc w:val="center"/>
              <w:textAlignment w:val="auto"/>
              <w:rPr>
                <w:rFonts w:hint="eastAsia" w:ascii="宋体" w:hAnsi="宋体" w:cs="宋体"/>
                <w:bCs/>
                <w:color w:val="auto"/>
                <w:sz w:val="21"/>
                <w:szCs w:val="21"/>
                <w:highlight w:val="none"/>
                <w:lang w:val="en-US" w:eastAsia="zh-CN"/>
              </w:rPr>
            </w:pPr>
            <w:r>
              <w:rPr>
                <w:rFonts w:hint="eastAsia" w:ascii="宋体" w:hAnsi="宋体" w:eastAsia="宋体" w:cs="宋体"/>
                <w:bCs/>
                <w:color w:val="auto"/>
                <w:sz w:val="21"/>
                <w:szCs w:val="21"/>
                <w:lang w:val="en-US" w:eastAsia="zh-CN"/>
              </w:rPr>
              <w:t>是</w:t>
            </w:r>
          </w:p>
        </w:tc>
        <w:tc>
          <w:tcPr>
            <w:tcW w:w="1216" w:type="dxa"/>
            <w:noWrap w:val="0"/>
            <w:vAlign w:val="center"/>
          </w:tcPr>
          <w:p>
            <w:pPr>
              <w:keepNext w:val="0"/>
              <w:keepLines w:val="0"/>
              <w:pageBreakBefore w:val="0"/>
              <w:widowControl w:val="0"/>
              <w:kinsoku/>
              <w:overflowPunct/>
              <w:topLinePunct w:val="0"/>
              <w:autoSpaceDE/>
              <w:autoSpaceDN/>
              <w:bidi w:val="0"/>
              <w:spacing w:before="0" w:beforeLines="0" w:beforeAutospacing="0" w:after="0" w:afterLines="0" w:afterAutospacing="0" w:line="240" w:lineRule="auto"/>
              <w:jc w:val="center"/>
              <w:textAlignment w:val="auto"/>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dxa"/>
            <w:noWrap w:val="0"/>
            <w:vAlign w:val="center"/>
          </w:tcPr>
          <w:p>
            <w:pPr>
              <w:pStyle w:val="41"/>
              <w:keepNext w:val="0"/>
              <w:keepLines w:val="0"/>
              <w:pageBreakBefore w:val="0"/>
              <w:widowControl w:val="0"/>
              <w:kinsoku/>
              <w:overflowPunct/>
              <w:topLinePunct w:val="0"/>
              <w:autoSpaceDE/>
              <w:autoSpaceDN/>
              <w:bidi w:val="0"/>
              <w:spacing w:before="0" w:beforeLines="0" w:beforeAutospacing="0" w:after="0" w:afterLines="0" w:afterAutospacing="0" w:line="240" w:lineRule="auto"/>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w:t>
            </w:r>
          </w:p>
        </w:tc>
        <w:tc>
          <w:tcPr>
            <w:tcW w:w="1575" w:type="dxa"/>
            <w:noWrap w:val="0"/>
            <w:vAlign w:val="center"/>
          </w:tcPr>
          <w:p>
            <w:pPr>
              <w:pStyle w:val="41"/>
              <w:keepNext w:val="0"/>
              <w:keepLines w:val="0"/>
              <w:pageBreakBefore w:val="0"/>
              <w:widowControl w:val="0"/>
              <w:kinsoku/>
              <w:overflowPunct/>
              <w:topLinePunct w:val="0"/>
              <w:autoSpaceDE/>
              <w:autoSpaceDN/>
              <w:bidi w:val="0"/>
              <w:spacing w:before="0" w:beforeLines="0" w:beforeAutospacing="0" w:after="0" w:afterLines="0" w:afterAutospacing="0" w:line="240" w:lineRule="auto"/>
              <w:textAlignment w:val="auto"/>
              <w:rPr>
                <w:rFonts w:hint="default" w:ascii="宋体" w:hAnsi="宋体" w:eastAsia="宋体" w:cs="宋体"/>
                <w:color w:val="auto"/>
                <w:sz w:val="21"/>
                <w:szCs w:val="21"/>
                <w:highlight w:val="none"/>
                <w:vertAlign w:val="baseline"/>
                <w:lang w:val="en-US" w:eastAsia="zh-CN"/>
              </w:rPr>
            </w:pPr>
            <w:r>
              <w:rPr>
                <w:rFonts w:hint="default" w:ascii="宋体" w:hAnsi="宋体" w:eastAsia="宋体" w:cs="宋体"/>
                <w:color w:val="auto"/>
                <w:sz w:val="21"/>
                <w:szCs w:val="21"/>
                <w:highlight w:val="none"/>
                <w:vertAlign w:val="baseline"/>
                <w:lang w:val="en-US" w:eastAsia="zh-CN"/>
              </w:rPr>
              <w:t>信财磋商采购-2023-</w:t>
            </w:r>
            <w:r>
              <w:rPr>
                <w:rFonts w:hint="eastAsia" w:ascii="宋体" w:hAnsi="宋体" w:eastAsia="宋体" w:cs="宋体"/>
                <w:color w:val="auto"/>
                <w:sz w:val="21"/>
                <w:szCs w:val="21"/>
                <w:highlight w:val="none"/>
                <w:vertAlign w:val="baseline"/>
                <w:lang w:val="en-US" w:eastAsia="zh-CN"/>
              </w:rPr>
              <w:t>140-4</w:t>
            </w:r>
          </w:p>
        </w:tc>
        <w:tc>
          <w:tcPr>
            <w:tcW w:w="1588" w:type="dxa"/>
            <w:noWrap w:val="0"/>
            <w:vAlign w:val="center"/>
          </w:tcPr>
          <w:p>
            <w:pPr>
              <w:pStyle w:val="41"/>
              <w:keepNext w:val="0"/>
              <w:keepLines w:val="0"/>
              <w:pageBreakBefore w:val="0"/>
              <w:widowControl w:val="0"/>
              <w:kinsoku/>
              <w:overflowPunct/>
              <w:topLinePunct w:val="0"/>
              <w:autoSpaceDE/>
              <w:autoSpaceDN/>
              <w:bidi w:val="0"/>
              <w:spacing w:before="0" w:beforeLines="0" w:beforeAutospacing="0" w:after="0" w:afterLines="0" w:afterAutospacing="0" w:line="240" w:lineRule="auto"/>
              <w:jc w:val="center"/>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信阳农林学院餐饮服务商项目</w:t>
            </w:r>
            <w:r>
              <w:rPr>
                <w:rFonts w:hint="eastAsia" w:ascii="宋体" w:hAnsi="宋体" w:eastAsia="宋体" w:cs="宋体"/>
                <w:bCs/>
                <w:color w:val="auto"/>
                <w:sz w:val="21"/>
                <w:szCs w:val="21"/>
                <w:highlight w:val="none"/>
                <w:lang w:val="en-US" w:eastAsia="zh-CN"/>
              </w:rPr>
              <w:t>4包</w:t>
            </w:r>
          </w:p>
        </w:tc>
        <w:tc>
          <w:tcPr>
            <w:tcW w:w="1216" w:type="dxa"/>
            <w:noWrap w:val="0"/>
            <w:vAlign w:val="center"/>
          </w:tcPr>
          <w:p>
            <w:pPr>
              <w:keepNext w:val="0"/>
              <w:keepLines w:val="0"/>
              <w:pageBreakBefore w:val="0"/>
              <w:widowControl w:val="0"/>
              <w:kinsoku/>
              <w:overflowPunct/>
              <w:topLinePunct w:val="0"/>
              <w:autoSpaceDE/>
              <w:autoSpaceDN/>
              <w:bidi w:val="0"/>
              <w:spacing w:before="0" w:beforeLines="0" w:beforeAutospacing="0" w:after="0" w:afterLines="0" w:afterAutospacing="0" w:line="240" w:lineRule="auto"/>
              <w:jc w:val="center"/>
              <w:textAlignment w:val="auto"/>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0</w:t>
            </w:r>
          </w:p>
        </w:tc>
        <w:tc>
          <w:tcPr>
            <w:tcW w:w="1216" w:type="dxa"/>
            <w:noWrap w:val="0"/>
            <w:vAlign w:val="center"/>
          </w:tcPr>
          <w:p>
            <w:pPr>
              <w:keepNext w:val="0"/>
              <w:keepLines w:val="0"/>
              <w:pageBreakBefore w:val="0"/>
              <w:widowControl w:val="0"/>
              <w:kinsoku/>
              <w:overflowPunct/>
              <w:topLinePunct w:val="0"/>
              <w:autoSpaceDE/>
              <w:autoSpaceDN/>
              <w:bidi w:val="0"/>
              <w:spacing w:before="0" w:beforeLines="0" w:beforeAutospacing="0" w:after="0" w:afterLines="0" w:afterAutospacing="0" w:line="240" w:lineRule="auto"/>
              <w:jc w:val="center"/>
              <w:textAlignment w:val="auto"/>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0</w:t>
            </w:r>
          </w:p>
        </w:tc>
        <w:tc>
          <w:tcPr>
            <w:tcW w:w="1216" w:type="dxa"/>
            <w:noWrap w:val="0"/>
            <w:vAlign w:val="center"/>
          </w:tcPr>
          <w:p>
            <w:pPr>
              <w:keepNext w:val="0"/>
              <w:keepLines w:val="0"/>
              <w:pageBreakBefore w:val="0"/>
              <w:widowControl w:val="0"/>
              <w:kinsoku/>
              <w:overflowPunct/>
              <w:topLinePunct w:val="0"/>
              <w:autoSpaceDE/>
              <w:autoSpaceDN/>
              <w:bidi w:val="0"/>
              <w:spacing w:before="0" w:beforeLines="0" w:beforeAutospacing="0" w:after="0" w:afterLines="0" w:afterAutospacing="0" w:line="240" w:lineRule="auto"/>
              <w:jc w:val="center"/>
              <w:textAlignment w:val="auto"/>
              <w:rPr>
                <w:rFonts w:hint="eastAsia" w:ascii="宋体" w:hAnsi="宋体" w:cs="宋体"/>
                <w:bCs/>
                <w:color w:val="auto"/>
                <w:sz w:val="21"/>
                <w:szCs w:val="21"/>
                <w:highlight w:val="none"/>
                <w:lang w:val="en-US" w:eastAsia="zh-CN"/>
              </w:rPr>
            </w:pPr>
            <w:r>
              <w:rPr>
                <w:rFonts w:hint="eastAsia" w:ascii="宋体" w:hAnsi="宋体" w:eastAsia="宋体" w:cs="宋体"/>
                <w:bCs/>
                <w:color w:val="auto"/>
                <w:sz w:val="21"/>
                <w:szCs w:val="21"/>
                <w:lang w:val="en-US" w:eastAsia="zh-CN"/>
              </w:rPr>
              <w:t>是</w:t>
            </w:r>
          </w:p>
        </w:tc>
        <w:tc>
          <w:tcPr>
            <w:tcW w:w="1216" w:type="dxa"/>
            <w:noWrap w:val="0"/>
            <w:vAlign w:val="center"/>
          </w:tcPr>
          <w:p>
            <w:pPr>
              <w:keepNext w:val="0"/>
              <w:keepLines w:val="0"/>
              <w:pageBreakBefore w:val="0"/>
              <w:widowControl w:val="0"/>
              <w:kinsoku/>
              <w:overflowPunct/>
              <w:topLinePunct w:val="0"/>
              <w:autoSpaceDE/>
              <w:autoSpaceDN/>
              <w:bidi w:val="0"/>
              <w:spacing w:before="0" w:beforeLines="0" w:beforeAutospacing="0" w:after="0" w:afterLines="0" w:afterAutospacing="0" w:line="240" w:lineRule="auto"/>
              <w:jc w:val="center"/>
              <w:textAlignment w:val="auto"/>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0</w:t>
            </w:r>
          </w:p>
        </w:tc>
      </w:tr>
    </w:tbl>
    <w:p>
      <w:pPr>
        <w:pStyle w:val="41"/>
        <w:keepNext w:val="0"/>
        <w:keepLines w:val="0"/>
        <w:pageBreakBefore w:val="0"/>
        <w:widowControl w:val="0"/>
        <w:numPr>
          <w:ilvl w:val="0"/>
          <w:numId w:val="2"/>
        </w:numPr>
        <w:kinsoku/>
        <w:overflowPunct/>
        <w:topLinePunct w:val="0"/>
        <w:autoSpaceDE/>
        <w:autoSpaceDN/>
        <w:bidi w:val="0"/>
        <w:spacing w:before="0" w:beforeLines="0" w:beforeAutospacing="0" w:after="0" w:afterLines="0" w:afterAutospacing="0"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采购需求（包括但不限于标的的名称、数量、简要技术需求或服务要求等）</w:t>
      </w:r>
    </w:p>
    <w:p>
      <w:pPr>
        <w:pStyle w:val="41"/>
        <w:keepNext w:val="0"/>
        <w:keepLines w:val="0"/>
        <w:pageBreakBefore w:val="0"/>
        <w:widowControl w:val="0"/>
        <w:numPr>
          <w:ilvl w:val="0"/>
          <w:numId w:val="0"/>
        </w:numPr>
        <w:kinsoku/>
        <w:overflowPunct/>
        <w:topLinePunct w:val="0"/>
        <w:autoSpaceDE/>
        <w:autoSpaceDN/>
        <w:bidi w:val="0"/>
        <w:spacing w:before="0" w:beforeLines="0" w:beforeAutospacing="0" w:after="0" w:afterLines="0" w:afterAutospacing="0" w:line="360" w:lineRule="auto"/>
        <w:ind w:firstLine="630" w:firstLineChars="300"/>
        <w:textAlignment w:val="auto"/>
        <w:rPr>
          <w:rFonts w:hint="eastAsia"/>
          <w:lang w:val="en-US" w:eastAsia="zh-CN"/>
        </w:rPr>
      </w:pPr>
      <w:r>
        <w:rPr>
          <w:rFonts w:hint="eastAsia" w:ascii="宋体" w:hAnsi="宋体" w:eastAsia="宋体" w:cs="宋体"/>
          <w:bCs/>
          <w:color w:val="auto"/>
          <w:sz w:val="21"/>
          <w:szCs w:val="21"/>
          <w:highlight w:val="none"/>
        </w:rPr>
        <w:t>5.1采购内容：本项目招标</w:t>
      </w:r>
      <w:r>
        <w:rPr>
          <w:rFonts w:hint="eastAsia" w:ascii="宋体" w:hAnsi="宋体" w:eastAsia="宋体" w:cs="宋体"/>
          <w:bCs/>
          <w:color w:val="auto"/>
          <w:sz w:val="21"/>
          <w:szCs w:val="21"/>
          <w:highlight w:val="none"/>
          <w:lang w:val="en-US" w:eastAsia="zh-CN"/>
        </w:rPr>
        <w:t>为</w:t>
      </w:r>
      <w:r>
        <w:rPr>
          <w:rFonts w:hint="eastAsia" w:ascii="宋体" w:hAnsi="宋体" w:eastAsia="宋体" w:cs="宋体"/>
          <w:bCs/>
          <w:color w:val="auto"/>
          <w:sz w:val="21"/>
          <w:szCs w:val="21"/>
          <w:highlight w:val="none"/>
        </w:rPr>
        <w:t>四个</w:t>
      </w:r>
      <w:r>
        <w:rPr>
          <w:rFonts w:hint="eastAsia" w:ascii="宋体" w:hAnsi="宋体" w:eastAsia="宋体" w:cs="宋体"/>
          <w:bCs/>
          <w:color w:val="auto"/>
          <w:sz w:val="21"/>
          <w:szCs w:val="21"/>
          <w:highlight w:val="none"/>
          <w:lang w:val="en-US" w:eastAsia="zh-CN"/>
        </w:rPr>
        <w:t>学生</w:t>
      </w:r>
      <w:r>
        <w:rPr>
          <w:rFonts w:hint="eastAsia" w:ascii="宋体" w:hAnsi="宋体" w:eastAsia="宋体" w:cs="宋体"/>
          <w:bCs/>
          <w:color w:val="auto"/>
          <w:sz w:val="21"/>
          <w:szCs w:val="21"/>
          <w:highlight w:val="none"/>
        </w:rPr>
        <w:t>餐厅</w:t>
      </w:r>
      <w:r>
        <w:rPr>
          <w:rFonts w:hint="eastAsia" w:ascii="宋体" w:hAnsi="宋体" w:eastAsia="宋体" w:cs="宋体"/>
          <w:bCs/>
          <w:color w:val="auto"/>
          <w:sz w:val="21"/>
          <w:szCs w:val="21"/>
          <w:highlight w:val="none"/>
          <w:lang w:eastAsia="zh-CN"/>
        </w:rPr>
        <w:t>的承包经营权，</w:t>
      </w:r>
      <w:r>
        <w:rPr>
          <w:rFonts w:hint="eastAsia" w:ascii="宋体" w:hAnsi="宋体" w:eastAsia="宋体" w:cs="宋体"/>
          <w:bCs/>
          <w:color w:val="auto"/>
          <w:sz w:val="21"/>
          <w:szCs w:val="21"/>
          <w:highlight w:val="none"/>
          <w:lang w:val="en-US" w:eastAsia="zh-CN"/>
        </w:rPr>
        <w:t>共分为4个包段；</w:t>
      </w:r>
    </w:p>
    <w:p>
      <w:pPr>
        <w:pStyle w:val="41"/>
        <w:keepNext w:val="0"/>
        <w:keepLines w:val="0"/>
        <w:pageBreakBefore w:val="0"/>
        <w:widowControl w:val="0"/>
        <w:numPr>
          <w:ilvl w:val="0"/>
          <w:numId w:val="0"/>
        </w:numPr>
        <w:kinsoku/>
        <w:overflowPunct/>
        <w:topLinePunct w:val="0"/>
        <w:autoSpaceDE/>
        <w:autoSpaceDN/>
        <w:bidi w:val="0"/>
        <w:spacing w:before="0" w:beforeLines="0" w:beforeAutospacing="0" w:after="0" w:afterLines="0" w:afterAutospacing="0" w:line="360" w:lineRule="auto"/>
        <w:ind w:firstLine="630" w:firstLineChars="3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1包</w:t>
      </w:r>
      <w:r>
        <w:rPr>
          <w:rFonts w:hint="eastAsia" w:ascii="宋体" w:hAnsi="宋体" w:eastAsia="宋体" w:cs="宋体"/>
          <w:bCs/>
          <w:color w:val="auto"/>
          <w:sz w:val="21"/>
          <w:szCs w:val="21"/>
          <w:highlight w:val="none"/>
        </w:rPr>
        <w:t>为竹香苑餐厅一楼，建筑面积约2800</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rPr>
        <w:t>；</w:t>
      </w:r>
    </w:p>
    <w:p>
      <w:pPr>
        <w:pStyle w:val="41"/>
        <w:keepNext w:val="0"/>
        <w:keepLines w:val="0"/>
        <w:pageBreakBefore w:val="0"/>
        <w:widowControl w:val="0"/>
        <w:numPr>
          <w:ilvl w:val="0"/>
          <w:numId w:val="0"/>
        </w:numPr>
        <w:kinsoku/>
        <w:overflowPunct/>
        <w:topLinePunct w:val="0"/>
        <w:autoSpaceDE/>
        <w:autoSpaceDN/>
        <w:bidi w:val="0"/>
        <w:spacing w:before="0" w:beforeLines="0" w:beforeAutospacing="0" w:after="0" w:afterLines="0" w:afterAutospacing="0" w:line="360" w:lineRule="auto"/>
        <w:ind w:firstLine="630" w:firstLineChars="3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2包</w:t>
      </w:r>
      <w:r>
        <w:rPr>
          <w:rFonts w:hint="eastAsia" w:ascii="宋体" w:hAnsi="宋体" w:eastAsia="宋体" w:cs="宋体"/>
          <w:bCs/>
          <w:color w:val="auto"/>
          <w:sz w:val="21"/>
          <w:szCs w:val="21"/>
          <w:highlight w:val="none"/>
        </w:rPr>
        <w:t>为竹香苑餐厅二楼，建筑面积约2800</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lang w:eastAsia="zh-CN"/>
        </w:rPr>
        <w:t>；</w:t>
      </w:r>
    </w:p>
    <w:p>
      <w:pPr>
        <w:pStyle w:val="41"/>
        <w:keepNext w:val="0"/>
        <w:keepLines w:val="0"/>
        <w:pageBreakBefore w:val="0"/>
        <w:widowControl w:val="0"/>
        <w:numPr>
          <w:ilvl w:val="0"/>
          <w:numId w:val="0"/>
        </w:numPr>
        <w:kinsoku/>
        <w:overflowPunct/>
        <w:topLinePunct w:val="0"/>
        <w:autoSpaceDE/>
        <w:autoSpaceDN/>
        <w:bidi w:val="0"/>
        <w:spacing w:before="0" w:beforeLines="0" w:beforeAutospacing="0" w:after="0" w:afterLines="0" w:afterAutospacing="0" w:line="360" w:lineRule="auto"/>
        <w:ind w:firstLine="630" w:firstLineChars="3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3包</w:t>
      </w:r>
      <w:r>
        <w:rPr>
          <w:rFonts w:hint="eastAsia" w:ascii="宋体" w:hAnsi="宋体" w:eastAsia="宋体" w:cs="宋体"/>
          <w:bCs/>
          <w:color w:val="auto"/>
          <w:sz w:val="21"/>
          <w:szCs w:val="21"/>
          <w:highlight w:val="none"/>
        </w:rPr>
        <w:t>为银杏食苑餐厅一楼，建筑面积约2300</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rPr>
        <w:t>；</w:t>
      </w:r>
    </w:p>
    <w:p>
      <w:pPr>
        <w:pStyle w:val="41"/>
        <w:keepNext w:val="0"/>
        <w:keepLines w:val="0"/>
        <w:pageBreakBefore w:val="0"/>
        <w:widowControl w:val="0"/>
        <w:numPr>
          <w:ilvl w:val="0"/>
          <w:numId w:val="0"/>
        </w:numPr>
        <w:kinsoku/>
        <w:overflowPunct/>
        <w:topLinePunct w:val="0"/>
        <w:autoSpaceDE/>
        <w:autoSpaceDN/>
        <w:bidi w:val="0"/>
        <w:spacing w:before="0" w:beforeLines="0" w:beforeAutospacing="0" w:after="0" w:afterLines="0" w:afterAutospacing="0" w:line="360" w:lineRule="auto"/>
        <w:ind w:firstLine="630" w:firstLineChars="300"/>
        <w:textAlignment w:val="auto"/>
        <w:rPr>
          <w:rFonts w:hint="default"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lang w:val="en-US" w:eastAsia="zh-CN"/>
        </w:rPr>
        <w:t>4包</w:t>
      </w:r>
      <w:r>
        <w:rPr>
          <w:rFonts w:hint="eastAsia" w:ascii="宋体" w:hAnsi="宋体" w:eastAsia="宋体" w:cs="宋体"/>
          <w:bCs/>
          <w:color w:val="auto"/>
          <w:sz w:val="21"/>
          <w:szCs w:val="21"/>
          <w:highlight w:val="none"/>
        </w:rPr>
        <w:t>为银杏食苑餐厅二楼，建筑面积约2300</w:t>
      </w:r>
      <w:r>
        <w:rPr>
          <w:rFonts w:hint="eastAsia" w:ascii="宋体" w:hAnsi="宋体" w:eastAsia="宋体" w:cs="宋体"/>
          <w:bCs/>
          <w:color w:val="auto"/>
          <w:sz w:val="21"/>
          <w:szCs w:val="21"/>
          <w:highlight w:val="none"/>
          <w:lang w:val="en-US" w:eastAsia="zh-CN"/>
        </w:rPr>
        <w:t>㎡。</w:t>
      </w:r>
    </w:p>
    <w:p>
      <w:pPr>
        <w:pStyle w:val="41"/>
        <w:keepNext w:val="0"/>
        <w:keepLines w:val="0"/>
        <w:pageBreakBefore w:val="0"/>
        <w:widowControl w:val="0"/>
        <w:numPr>
          <w:ilvl w:val="0"/>
          <w:numId w:val="0"/>
        </w:numPr>
        <w:kinsoku/>
        <w:overflowPunct/>
        <w:topLinePunct w:val="0"/>
        <w:autoSpaceDE/>
        <w:autoSpaceDN/>
        <w:bidi w:val="0"/>
        <w:spacing w:before="0" w:beforeLines="0" w:beforeAutospacing="0" w:after="0" w:afterLines="0" w:afterAutospacing="0" w:line="360" w:lineRule="auto"/>
        <w:ind w:firstLine="630" w:firstLineChars="300"/>
        <w:textAlignment w:val="auto"/>
        <w:rPr>
          <w:rFonts w:hint="default" w:ascii="宋体" w:hAnsi="宋体" w:eastAsia="Arial Unicode MS" w:cs="宋体"/>
          <w:bCs/>
          <w:color w:val="auto"/>
          <w:sz w:val="21"/>
          <w:szCs w:val="21"/>
          <w:highlight w:val="none"/>
          <w:lang w:val="en-US" w:eastAsia="zh-CN"/>
        </w:rPr>
      </w:pPr>
    </w:p>
    <w:p>
      <w:pPr>
        <w:pStyle w:val="41"/>
        <w:keepNext w:val="0"/>
        <w:keepLines w:val="0"/>
        <w:pageBreakBefore w:val="0"/>
        <w:widowControl w:val="0"/>
        <w:numPr>
          <w:ilvl w:val="0"/>
          <w:numId w:val="0"/>
        </w:numPr>
        <w:kinsoku/>
        <w:overflowPunct/>
        <w:topLinePunct w:val="0"/>
        <w:autoSpaceDE/>
        <w:autoSpaceDN/>
        <w:bidi w:val="0"/>
        <w:spacing w:before="0" w:beforeLines="0" w:beforeAutospacing="0" w:after="0" w:afterLines="0" w:afterAutospacing="0" w:line="360" w:lineRule="auto"/>
        <w:ind w:firstLine="630" w:firstLineChars="3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w:t>
      </w:r>
      <w:r>
        <w:rPr>
          <w:rFonts w:hint="eastAsia" w:ascii="宋体" w:hAnsi="宋体" w:eastAsia="宋体" w:cs="宋体"/>
          <w:bCs/>
          <w:color w:val="auto"/>
          <w:sz w:val="21"/>
          <w:szCs w:val="21"/>
          <w:highlight w:val="none"/>
          <w:lang w:val="en-US" w:eastAsia="zh-CN"/>
        </w:rPr>
        <w:t>2服务质量</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符合国家相关行业合格标准。</w:t>
      </w:r>
    </w:p>
    <w:p>
      <w:pPr>
        <w:pStyle w:val="41"/>
        <w:keepNext w:val="0"/>
        <w:keepLines w:val="0"/>
        <w:pageBreakBefore w:val="0"/>
        <w:widowControl w:val="0"/>
        <w:numPr>
          <w:ilvl w:val="0"/>
          <w:numId w:val="0"/>
        </w:numPr>
        <w:kinsoku/>
        <w:overflowPunct/>
        <w:topLinePunct w:val="0"/>
        <w:autoSpaceDE/>
        <w:autoSpaceDN/>
        <w:bidi w:val="0"/>
        <w:spacing w:before="0" w:beforeLines="0" w:beforeAutospacing="0" w:after="0" w:afterLines="0" w:afterAutospacing="0" w:line="360" w:lineRule="auto"/>
        <w:ind w:firstLine="630" w:firstLineChars="300"/>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5.3承包经营期限</w:t>
      </w:r>
      <w:r>
        <w:rPr>
          <w:rFonts w:hint="eastAsia" w:ascii="宋体" w:hAnsi="宋体" w:eastAsia="宋体" w:cs="宋体"/>
          <w:bCs/>
          <w:color w:val="auto"/>
          <w:sz w:val="21"/>
          <w:szCs w:val="21"/>
          <w:highlight w:val="none"/>
          <w:lang w:val="en-US" w:eastAsia="zh-CN"/>
        </w:rPr>
        <w:t>：半年。</w:t>
      </w:r>
    </w:p>
    <w:p>
      <w:pPr>
        <w:pStyle w:val="41"/>
        <w:keepNext w:val="0"/>
        <w:keepLines w:val="0"/>
        <w:pageBreakBefore w:val="0"/>
        <w:widowControl w:val="0"/>
        <w:numPr>
          <w:ilvl w:val="0"/>
          <w:numId w:val="0"/>
        </w:numPr>
        <w:kinsoku/>
        <w:overflowPunct/>
        <w:topLinePunct w:val="0"/>
        <w:autoSpaceDE/>
        <w:autoSpaceDN/>
        <w:bidi w:val="0"/>
        <w:spacing w:before="0" w:beforeLines="0" w:beforeAutospacing="0" w:after="0" w:afterLines="0" w:afterAutospacing="0"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6、合同履行期限：半年。</w:t>
      </w:r>
    </w:p>
    <w:p>
      <w:pPr>
        <w:pStyle w:val="41"/>
        <w:keepNext w:val="0"/>
        <w:keepLines w:val="0"/>
        <w:pageBreakBefore w:val="0"/>
        <w:widowControl w:val="0"/>
        <w:kinsoku/>
        <w:overflowPunct/>
        <w:topLinePunct w:val="0"/>
        <w:autoSpaceDE/>
        <w:autoSpaceDN/>
        <w:bidi w:val="0"/>
        <w:spacing w:before="0" w:beforeLines="0" w:beforeAutospacing="0" w:after="0" w:afterLines="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7、本项目是否接受联合体投标：否。</w:t>
      </w:r>
    </w:p>
    <w:p>
      <w:pPr>
        <w:pStyle w:val="41"/>
        <w:keepNext w:val="0"/>
        <w:keepLines w:val="0"/>
        <w:pageBreakBefore w:val="0"/>
        <w:widowControl w:val="0"/>
        <w:kinsoku/>
        <w:overflowPunct/>
        <w:topLinePunct w:val="0"/>
        <w:autoSpaceDE/>
        <w:autoSpaceDN/>
        <w:bidi w:val="0"/>
        <w:spacing w:before="0" w:beforeLines="0" w:beforeAutospacing="0" w:after="0" w:afterLines="0" w:afterAutospacing="0"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8、是否接受进口产品：否</w:t>
      </w:r>
      <w:r>
        <w:rPr>
          <w:rFonts w:hint="eastAsia" w:ascii="宋体" w:hAnsi="宋体" w:eastAsia="宋体" w:cs="宋体"/>
          <w:color w:val="auto"/>
          <w:sz w:val="21"/>
          <w:szCs w:val="21"/>
          <w:highlight w:val="none"/>
          <w:lang w:eastAsia="zh-CN"/>
        </w:rPr>
        <w:t>。</w:t>
      </w:r>
    </w:p>
    <w:p>
      <w:pPr>
        <w:pStyle w:val="41"/>
        <w:keepNext w:val="0"/>
        <w:keepLines w:val="0"/>
        <w:pageBreakBefore w:val="0"/>
        <w:widowControl w:val="0"/>
        <w:kinsoku/>
        <w:overflowPunct/>
        <w:topLinePunct w:val="0"/>
        <w:autoSpaceDE/>
        <w:autoSpaceDN/>
        <w:bidi w:val="0"/>
        <w:spacing w:before="0" w:beforeLines="0" w:beforeAutospacing="0" w:after="0" w:afterLines="0" w:afterAutospacing="0"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9、是否专门面向中小企业：是</w:t>
      </w:r>
      <w:r>
        <w:rPr>
          <w:rFonts w:hint="eastAsia" w:ascii="宋体" w:hAnsi="宋体" w:eastAsia="宋体" w:cs="宋体"/>
          <w:color w:val="auto"/>
          <w:sz w:val="21"/>
          <w:szCs w:val="21"/>
          <w:highlight w:val="none"/>
          <w:lang w:eastAsia="zh-CN"/>
        </w:rPr>
        <w:t>。</w:t>
      </w:r>
    </w:p>
    <w:p>
      <w:pPr>
        <w:pStyle w:val="41"/>
        <w:keepNext w:val="0"/>
        <w:keepLines w:val="0"/>
        <w:pageBreakBefore w:val="0"/>
        <w:widowControl w:val="0"/>
        <w:kinsoku/>
        <w:overflowPunct/>
        <w:topLinePunct w:val="0"/>
        <w:autoSpaceDE/>
        <w:autoSpaceDN/>
        <w:bidi w:val="0"/>
        <w:spacing w:before="0" w:beforeLines="0" w:beforeAutospacing="0" w:after="0" w:afterLines="0" w:afterAutospacing="0"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二、申请人资格要求：</w:t>
      </w:r>
    </w:p>
    <w:p>
      <w:pPr>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1.满足《中华人民共和国政府采购法》第二十二条规定</w:t>
      </w:r>
      <w:r>
        <w:rPr>
          <w:rFonts w:hint="eastAsia" w:ascii="宋体" w:hAnsi="宋体" w:cs="宋体"/>
          <w:sz w:val="21"/>
          <w:szCs w:val="21"/>
          <w:lang w:eastAsia="zh-CN"/>
        </w:rPr>
        <w:t>：</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（1）具有独立承担民事责任的能力（提供法人或者其他组织的营业执照等证明文件，自然人的身份证明）</w:t>
      </w:r>
      <w:r>
        <w:rPr>
          <w:rFonts w:hint="eastAsia" w:ascii="宋体" w:hAnsi="宋体" w:cs="宋体"/>
          <w:sz w:val="21"/>
          <w:szCs w:val="21"/>
          <w:lang w:val="en-US" w:eastAsia="zh-CN"/>
        </w:rPr>
        <w:t>；</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（2）具有良好的商业信誉和健全的财务会计制度（提供2021年度或2022年度经审计的财务审计报告，成立不足一年提供开户行出具的资信证明）；</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（3）具有履行合同所必需的设备和专业技术能力（提供书面声明，格式自拟）；</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有依法缴纳税收和社会保障资金的良好记录（提供企业2023年1月以来任意3个月依法缴纳税收证明和2023年1月以来任意3个月依法缴纳社会保障资金的证明（如依法免税或不需要缴纳社会保障资金的供应商，应提供相应文件证明其依法免税或不需要缴纳社会保障资金）</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（5）参加政府采购活动前三年内，在经营活动中没有重大违法记录（提供书面声明，格式自拟）；</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（6）法律法规规定的其他要求（提供书面声明，格式自拟）；</w:t>
      </w:r>
    </w:p>
    <w:p>
      <w:pPr>
        <w:keepNext w:val="0"/>
        <w:keepLines w:val="0"/>
        <w:pageBreakBefore w:val="0"/>
        <w:widowControl w:val="0"/>
        <w:kinsoku/>
        <w:wordWrap/>
        <w:overflowPunct/>
        <w:topLinePunct w:val="0"/>
        <w:autoSpaceDE/>
        <w:autoSpaceDN/>
        <w:bidi w:val="0"/>
        <w:adjustRightInd w:val="0"/>
        <w:snapToGrid/>
        <w:spacing w:line="360" w:lineRule="auto"/>
        <w:ind w:left="0" w:leftChars="0" w:right="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sz w:val="21"/>
          <w:szCs w:val="21"/>
        </w:rPr>
        <w:t>2.落实政府采购政策满足的资格要求：</w:t>
      </w:r>
      <w:r>
        <w:rPr>
          <w:rFonts w:hint="eastAsia" w:ascii="宋体" w:hAnsi="宋体" w:eastAsia="宋体" w:cs="宋体"/>
          <w:color w:val="000000"/>
          <w:sz w:val="21"/>
          <w:szCs w:val="21"/>
        </w:rPr>
        <w:t>本项目</w:t>
      </w:r>
      <w:r>
        <w:rPr>
          <w:rFonts w:hint="eastAsia" w:ascii="宋体" w:hAnsi="宋体" w:eastAsia="宋体" w:cs="宋体"/>
          <w:color w:val="000000"/>
          <w:sz w:val="21"/>
          <w:szCs w:val="21"/>
          <w:lang w:val="en-US" w:eastAsia="zh-CN"/>
        </w:rPr>
        <w:t>为</w:t>
      </w:r>
      <w:r>
        <w:rPr>
          <w:rFonts w:hint="eastAsia" w:ascii="宋体" w:hAnsi="宋体" w:cs="宋体"/>
          <w:color w:val="000000"/>
          <w:sz w:val="21"/>
          <w:szCs w:val="21"/>
          <w:lang w:val="en-US" w:eastAsia="zh-CN"/>
        </w:rPr>
        <w:t>服务类项目，</w:t>
      </w:r>
      <w:r>
        <w:rPr>
          <w:rFonts w:hint="eastAsia" w:ascii="宋体" w:hAnsi="宋体" w:eastAsia="宋体" w:cs="宋体"/>
          <w:color w:val="000000"/>
          <w:sz w:val="21"/>
          <w:szCs w:val="21"/>
          <w:lang w:val="en-US" w:eastAsia="zh-CN"/>
        </w:rPr>
        <w:t>专门面向中小微企业采购。</w:t>
      </w:r>
    </w:p>
    <w:p>
      <w:pPr>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eastAsia="宋体" w:cs="宋体"/>
          <w:sz w:val="21"/>
          <w:szCs w:val="21"/>
        </w:rPr>
      </w:pPr>
      <w:r>
        <w:rPr>
          <w:rFonts w:hint="eastAsia" w:ascii="宋体" w:hAnsi="宋体" w:eastAsia="宋体" w:cs="宋体"/>
          <w:sz w:val="21"/>
          <w:szCs w:val="21"/>
        </w:rPr>
        <w:t>3.本项目的特定资格要求：</w:t>
      </w:r>
    </w:p>
    <w:p>
      <w:pPr>
        <w:keepLines w:val="0"/>
        <w:pageBreakBefore w:val="0"/>
        <w:widowControl/>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（1）</w:t>
      </w:r>
      <w:r>
        <w:rPr>
          <w:rFonts w:hint="eastAsia" w:ascii="宋体" w:hAnsi="宋体" w:eastAsia="宋体" w:cs="宋体"/>
          <w:sz w:val="21"/>
          <w:szCs w:val="21"/>
          <w:lang w:val="en-US" w:eastAsia="zh-CN"/>
        </w:rPr>
        <w:t>供应商应具有国家规定的从事餐饮行业经营活动的相关证明，具有《食品经营许可证》或《餐饮服务许可证》，食品经营许可证或餐饮服务许可证中的经营者名称需与</w:t>
      </w:r>
      <w:r>
        <w:rPr>
          <w:rFonts w:hint="eastAsia" w:ascii="宋体" w:hAnsi="宋体" w:cs="宋体"/>
          <w:sz w:val="21"/>
          <w:szCs w:val="21"/>
          <w:lang w:val="en-US" w:eastAsia="zh-CN"/>
        </w:rPr>
        <w:t>供应商</w:t>
      </w:r>
      <w:r>
        <w:rPr>
          <w:rFonts w:hint="eastAsia" w:ascii="宋体" w:hAnsi="宋体" w:eastAsia="宋体" w:cs="宋体"/>
          <w:sz w:val="21"/>
          <w:szCs w:val="21"/>
          <w:lang w:val="en-US" w:eastAsia="zh-CN"/>
        </w:rPr>
        <w:t>名称一致</w:t>
      </w:r>
      <w:r>
        <w:rPr>
          <w:rFonts w:hint="eastAsia" w:ascii="宋体" w:hAnsi="宋体" w:cs="宋体"/>
          <w:sz w:val="21"/>
          <w:szCs w:val="21"/>
          <w:lang w:val="en-US" w:eastAsia="zh-CN"/>
        </w:rPr>
        <w:t>；</w:t>
      </w:r>
    </w:p>
    <w:p>
      <w:pPr>
        <w:keepLines w:val="0"/>
        <w:pageBreakBefore w:val="0"/>
        <w:widowControl/>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（2）</w:t>
      </w:r>
      <w:r>
        <w:rPr>
          <w:rFonts w:hint="eastAsia" w:ascii="宋体" w:hAnsi="宋体" w:eastAsia="宋体" w:cs="宋体"/>
          <w:sz w:val="21"/>
          <w:szCs w:val="21"/>
          <w:lang w:val="en-US" w:eastAsia="zh-CN"/>
        </w:rPr>
        <w:t xml:space="preserve">根据《关于在政府采购活动中查询及使用信用记录有关问题的通知》(财库[2016]125 号)的规定，对列入失信被执行人、重大税收违法失信主体、政府采购严重违法失信行为记录名单的供应商，拒绝参与本项目政府采购活动〔查询渠道：“中国执行信息公开网”（http://zxgk.court.gov.cn/）、“信用中国”网站（www.creditchina.gov.cn）、中国政府采购网（www.ccgp.gov.cn〕；提供查询网页截图加单位公章，查询时间需在本招标公告发布之后； </w:t>
      </w:r>
    </w:p>
    <w:p>
      <w:pPr>
        <w:keepLines w:val="0"/>
        <w:pageBreakBefore w:val="0"/>
        <w:widowControl/>
        <w:kinsoku/>
        <w:wordWrap/>
        <w:overflowPunct/>
        <w:topLinePunct w:val="0"/>
        <w:bidi w:val="0"/>
        <w:adjustRightInd/>
        <w:snapToGrid/>
        <w:spacing w:line="360" w:lineRule="auto"/>
        <w:ind w:firstLine="420" w:firstLineChars="200"/>
        <w:jc w:val="left"/>
        <w:textAlignment w:val="auto"/>
        <w:rPr>
          <w:rFonts w:hint="eastAsia" w:ascii="宋体" w:hAnsi="宋体" w:cs="宋体"/>
          <w:sz w:val="21"/>
          <w:szCs w:val="21"/>
          <w:lang w:val="en-US" w:eastAsia="zh-CN"/>
        </w:rPr>
      </w:pPr>
      <w:r>
        <w:rPr>
          <w:rFonts w:hint="eastAsia" w:ascii="宋体" w:hAnsi="宋体" w:cs="宋体"/>
          <w:sz w:val="21"/>
          <w:szCs w:val="21"/>
          <w:lang w:val="en-US" w:eastAsia="zh-CN"/>
        </w:rPr>
        <w:t>（</w:t>
      </w:r>
      <w:r>
        <w:rPr>
          <w:rFonts w:hint="eastAsia" w:ascii="宋体" w:hAnsi="宋体" w:eastAsia="宋体" w:cs="宋体"/>
          <w:sz w:val="21"/>
          <w:szCs w:val="21"/>
          <w:lang w:val="en-US" w:eastAsia="zh-CN"/>
        </w:rPr>
        <w:t>3）单位负责人为同一人或者存在控股、管理关系的不同单位，不得参加同一招标项目投标。同属于同一母公司的子公司，同一合同项目最多有一家子公司参加投标</w:t>
      </w:r>
      <w:r>
        <w:rPr>
          <w:rFonts w:hint="eastAsia" w:ascii="宋体" w:hAnsi="宋体" w:cs="宋体"/>
          <w:sz w:val="21"/>
          <w:szCs w:val="21"/>
          <w:lang w:val="en-US" w:eastAsia="zh-CN"/>
        </w:rPr>
        <w:t>；</w:t>
      </w:r>
    </w:p>
    <w:p>
      <w:pPr>
        <w:keepLines w:val="0"/>
        <w:pageBreakBefore w:val="0"/>
        <w:widowControl/>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（4）本次招标不接受联合体投标。</w:t>
      </w:r>
    </w:p>
    <w:p>
      <w:pPr>
        <w:keepLines w:val="0"/>
        <w:pageBreakBefore w:val="0"/>
        <w:widowControl/>
        <w:kinsoku/>
        <w:wordWrap/>
        <w:overflowPunct/>
        <w:topLinePunct w:val="0"/>
        <w:bidi w:val="0"/>
        <w:adjustRightInd/>
        <w:snapToGrid/>
        <w:spacing w:line="360" w:lineRule="auto"/>
        <w:ind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注：供应商可同时投报项目的4个包，但只能成交一个包，成交顺序按包顺序，如在前一个包成交则自动放弃下一个包的成交候选人资格，成交候选人按顺序递增。</w:t>
      </w:r>
    </w:p>
    <w:p>
      <w:pPr>
        <w:pStyle w:val="172"/>
        <w:keepNext w:val="0"/>
        <w:keepLines w:val="0"/>
        <w:pageBreakBefore w:val="0"/>
        <w:kinsoku/>
        <w:overflowPunct/>
        <w:topLinePunct w:val="0"/>
        <w:autoSpaceDE/>
        <w:autoSpaceDN/>
        <w:bidi w:val="0"/>
        <w:spacing w:line="360" w:lineRule="auto"/>
        <w:ind w:left="0" w:leftChars="0" w:firstLine="422"/>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rPr>
        <w:t>三、获取采购文件</w:t>
      </w:r>
    </w:p>
    <w:p>
      <w:pPr>
        <w:keepNext w:val="0"/>
        <w:keepLines w:val="0"/>
        <w:pageBreakBefore w:val="0"/>
        <w:kinsoku/>
        <w:overflowPunct/>
        <w:topLinePunct w:val="0"/>
        <w:autoSpaceDE/>
        <w:autoSpaceDN/>
        <w:bidi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1.时间：</w:t>
      </w:r>
      <w:r>
        <w:rPr>
          <w:rFonts w:hint="eastAsia" w:ascii="宋体" w:hAnsi="宋体" w:eastAsia="宋体" w:cs="宋体"/>
          <w:color w:val="FF0000"/>
          <w:kern w:val="0"/>
          <w:szCs w:val="21"/>
          <w:highlight w:val="none"/>
          <w:lang w:val="en-US" w:eastAsia="zh-CN"/>
        </w:rPr>
        <w:t>2023</w:t>
      </w:r>
      <w:r>
        <w:rPr>
          <w:rFonts w:hint="eastAsia" w:ascii="宋体" w:hAnsi="宋体" w:eastAsia="宋体" w:cs="宋体"/>
          <w:color w:val="FF0000"/>
          <w:kern w:val="0"/>
          <w:szCs w:val="21"/>
          <w:highlight w:val="none"/>
        </w:rPr>
        <w:t>年</w:t>
      </w:r>
      <w:r>
        <w:rPr>
          <w:rFonts w:hint="eastAsia" w:ascii="宋体" w:hAnsi="宋体" w:cs="宋体"/>
          <w:color w:val="FF0000"/>
          <w:kern w:val="0"/>
          <w:szCs w:val="21"/>
          <w:highlight w:val="none"/>
          <w:lang w:val="en-US" w:eastAsia="zh-CN"/>
        </w:rPr>
        <w:t>12</w:t>
      </w:r>
      <w:r>
        <w:rPr>
          <w:rFonts w:hint="eastAsia" w:ascii="宋体" w:hAnsi="宋体" w:eastAsia="宋体" w:cs="宋体"/>
          <w:color w:val="FF0000"/>
          <w:kern w:val="0"/>
          <w:szCs w:val="21"/>
          <w:highlight w:val="none"/>
        </w:rPr>
        <w:t>月</w:t>
      </w:r>
      <w:r>
        <w:rPr>
          <w:rFonts w:hint="eastAsia" w:ascii="宋体" w:hAnsi="宋体" w:cs="宋体"/>
          <w:color w:val="FF0000"/>
          <w:kern w:val="0"/>
          <w:szCs w:val="21"/>
          <w:highlight w:val="none"/>
          <w:lang w:val="en-US" w:eastAsia="zh-CN"/>
        </w:rPr>
        <w:t>18</w:t>
      </w:r>
      <w:r>
        <w:rPr>
          <w:rFonts w:hint="eastAsia" w:ascii="宋体" w:hAnsi="宋体" w:eastAsia="宋体" w:cs="宋体"/>
          <w:color w:val="FF0000"/>
          <w:kern w:val="0"/>
          <w:szCs w:val="21"/>
          <w:highlight w:val="none"/>
        </w:rPr>
        <w:t>日00时00分至</w:t>
      </w:r>
      <w:r>
        <w:rPr>
          <w:rFonts w:hint="eastAsia" w:ascii="宋体" w:hAnsi="宋体" w:eastAsia="宋体" w:cs="宋体"/>
          <w:color w:val="FF0000"/>
          <w:kern w:val="0"/>
          <w:szCs w:val="21"/>
          <w:highlight w:val="none"/>
          <w:lang w:val="en-US" w:eastAsia="zh-CN"/>
        </w:rPr>
        <w:t>2023</w:t>
      </w:r>
      <w:r>
        <w:rPr>
          <w:rFonts w:hint="eastAsia" w:ascii="宋体" w:hAnsi="宋体" w:eastAsia="宋体" w:cs="宋体"/>
          <w:color w:val="FF0000"/>
          <w:kern w:val="0"/>
          <w:szCs w:val="21"/>
          <w:highlight w:val="none"/>
        </w:rPr>
        <w:t>年</w:t>
      </w:r>
      <w:r>
        <w:rPr>
          <w:rFonts w:hint="eastAsia" w:ascii="宋体" w:hAnsi="宋体" w:cs="宋体"/>
          <w:color w:val="FF0000"/>
          <w:kern w:val="0"/>
          <w:szCs w:val="21"/>
          <w:highlight w:val="none"/>
          <w:lang w:val="en-US" w:eastAsia="zh-CN"/>
        </w:rPr>
        <w:t>12</w:t>
      </w:r>
      <w:r>
        <w:rPr>
          <w:rFonts w:hint="eastAsia" w:ascii="宋体" w:hAnsi="宋体" w:eastAsia="宋体" w:cs="宋体"/>
          <w:color w:val="FF0000"/>
          <w:kern w:val="0"/>
          <w:szCs w:val="21"/>
          <w:highlight w:val="none"/>
        </w:rPr>
        <w:t>月</w:t>
      </w:r>
      <w:r>
        <w:rPr>
          <w:rFonts w:hint="eastAsia" w:ascii="宋体" w:hAnsi="宋体" w:cs="宋体"/>
          <w:color w:val="FF0000"/>
          <w:kern w:val="0"/>
          <w:szCs w:val="21"/>
          <w:highlight w:val="none"/>
          <w:lang w:val="en-US" w:eastAsia="zh-CN"/>
        </w:rPr>
        <w:t>22</w:t>
      </w:r>
      <w:r>
        <w:rPr>
          <w:rFonts w:hint="eastAsia" w:ascii="宋体" w:hAnsi="宋体" w:eastAsia="宋体" w:cs="宋体"/>
          <w:color w:val="FF0000"/>
          <w:kern w:val="0"/>
          <w:szCs w:val="21"/>
          <w:highlight w:val="none"/>
        </w:rPr>
        <w:t>日23时59分</w:t>
      </w:r>
      <w:r>
        <w:rPr>
          <w:rFonts w:hint="eastAsia" w:ascii="宋体" w:hAnsi="宋体" w:eastAsia="宋体" w:cs="宋体"/>
          <w:color w:val="auto"/>
          <w:kern w:val="0"/>
          <w:szCs w:val="21"/>
          <w:highlight w:val="none"/>
        </w:rPr>
        <w:t>（北京时间）。</w:t>
      </w:r>
    </w:p>
    <w:p>
      <w:pPr>
        <w:keepNext w:val="0"/>
        <w:keepLines w:val="0"/>
        <w:pageBreakBefore w:val="0"/>
        <w:kinsoku/>
        <w:overflowPunct/>
        <w:topLinePunct w:val="0"/>
        <w:autoSpaceDE/>
        <w:autoSpaceDN/>
        <w:bidi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2.地点：</w:t>
      </w:r>
      <w:r>
        <w:rPr>
          <w:rFonts w:hint="eastAsia" w:ascii="宋体" w:hAnsi="宋体" w:cs="宋体"/>
          <w:color w:val="auto"/>
          <w:kern w:val="0"/>
          <w:szCs w:val="21"/>
          <w:highlight w:val="none"/>
          <w:lang w:eastAsia="zh-CN"/>
        </w:rPr>
        <w:t>登录</w:t>
      </w:r>
      <w:r>
        <w:rPr>
          <w:rFonts w:hint="eastAsia" w:ascii="宋体" w:hAnsi="宋体" w:eastAsia="宋体" w:cs="宋体"/>
          <w:color w:val="auto"/>
          <w:kern w:val="0"/>
          <w:szCs w:val="21"/>
          <w:highlight w:val="none"/>
        </w:rPr>
        <w:t>“全国公共资源交易平台（河南省·信阳市）（https://ggzyjy.xinyang.gov.cn）”网站，凭办理的企业身份认证锁（CA数字证书）</w:t>
      </w:r>
      <w:r>
        <w:rPr>
          <w:rFonts w:hint="eastAsia" w:ascii="宋体" w:hAnsi="宋体" w:cs="宋体"/>
          <w:color w:val="auto"/>
          <w:kern w:val="0"/>
          <w:szCs w:val="21"/>
          <w:highlight w:val="none"/>
          <w:lang w:eastAsia="zh-CN"/>
        </w:rPr>
        <w:t>登录</w:t>
      </w:r>
      <w:r>
        <w:rPr>
          <w:rFonts w:hint="eastAsia" w:ascii="宋体" w:hAnsi="宋体" w:eastAsia="宋体" w:cs="宋体"/>
          <w:color w:val="auto"/>
          <w:kern w:val="0"/>
          <w:szCs w:val="21"/>
          <w:highlight w:val="none"/>
        </w:rPr>
        <w:t>会员系统进行网上投标。</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auto"/>
          <w:sz w:val="21"/>
          <w:szCs w:val="21"/>
        </w:rPr>
      </w:pPr>
      <w:r>
        <w:rPr>
          <w:rFonts w:hint="eastAsia" w:ascii="宋体" w:hAnsi="宋体" w:eastAsia="宋体" w:cs="宋体"/>
          <w:color w:val="auto"/>
          <w:kern w:val="0"/>
          <w:szCs w:val="21"/>
          <w:highlight w:val="none"/>
        </w:rPr>
        <w:t>3.方式：</w:t>
      </w:r>
      <w:r>
        <w:rPr>
          <w:rFonts w:hint="eastAsia" w:ascii="宋体" w:hAnsi="宋体" w:eastAsia="宋体" w:cs="宋体"/>
          <w:b w:val="0"/>
          <w:bCs w:val="0"/>
          <w:color w:val="auto"/>
          <w:sz w:val="21"/>
          <w:szCs w:val="21"/>
        </w:rPr>
        <w:t>3.1潜在供应商凭 CA 数字证书登陆会员系统后，即可按网上提示免费下载</w:t>
      </w:r>
      <w:r>
        <w:rPr>
          <w:rFonts w:hint="eastAsia" w:ascii="宋体" w:hAnsi="宋体" w:eastAsia="宋体" w:cs="宋体"/>
          <w:b w:val="0"/>
          <w:bCs w:val="0"/>
          <w:color w:val="auto"/>
          <w:sz w:val="21"/>
          <w:szCs w:val="21"/>
          <w:lang w:val="en-US" w:eastAsia="zh-CN"/>
        </w:rPr>
        <w:t>磋商</w:t>
      </w:r>
      <w:r>
        <w:rPr>
          <w:rFonts w:hint="eastAsia" w:ascii="宋体" w:hAnsi="宋体" w:eastAsia="宋体" w:cs="宋体"/>
          <w:b w:val="0"/>
          <w:bCs w:val="0"/>
          <w:color w:val="auto"/>
          <w:sz w:val="21"/>
          <w:szCs w:val="21"/>
        </w:rPr>
        <w:t>（采购）文件及资料（操作程序详见信阳市公共资源交易中心网站下载中心栏目里投标人操作手册）。投标人根据信阳市公共资源交易网通知公告栏目中《关于信阳市公共资源交易平台数字证书（CA）互认系统正式上线运行的通知》要求，自行选择CA数字证书服务商，线上、线下办理CA数字证书。</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b w:val="0"/>
          <w:bCs w:val="0"/>
          <w:color w:val="auto"/>
          <w:sz w:val="21"/>
          <w:szCs w:val="21"/>
        </w:rPr>
        <w:t>3.2请供应商下载</w:t>
      </w:r>
      <w:r>
        <w:rPr>
          <w:rFonts w:hint="eastAsia" w:ascii="宋体" w:hAnsi="宋体" w:eastAsia="宋体" w:cs="宋体"/>
          <w:b w:val="0"/>
          <w:bCs w:val="0"/>
          <w:color w:val="auto"/>
          <w:sz w:val="21"/>
          <w:szCs w:val="21"/>
          <w:lang w:val="en-US" w:eastAsia="zh-CN"/>
        </w:rPr>
        <w:t>磋商</w:t>
      </w:r>
      <w:r>
        <w:rPr>
          <w:rFonts w:hint="eastAsia" w:ascii="宋体" w:hAnsi="宋体" w:eastAsia="宋体" w:cs="宋体"/>
          <w:b w:val="0"/>
          <w:bCs w:val="0"/>
          <w:color w:val="auto"/>
          <w:sz w:val="21"/>
          <w:szCs w:val="21"/>
        </w:rPr>
        <w:t xml:space="preserve">文件后及时关注系统业务菜单（“答疑澄清文件领取”，“控制价文件领取”）内该项目是否有新的答疑澄清文件或控制价文件。如有请直接下载，不再另行通知。 </w:t>
      </w:r>
    </w:p>
    <w:p>
      <w:pPr>
        <w:keepNext w:val="0"/>
        <w:keepLines w:val="0"/>
        <w:pageBreakBefore w:val="0"/>
        <w:kinsoku/>
        <w:overflowPunct/>
        <w:topLinePunct w:val="0"/>
        <w:autoSpaceDE/>
        <w:autoSpaceDN/>
        <w:bidi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4.售价：磋商文件售价0元。</w:t>
      </w:r>
    </w:p>
    <w:p>
      <w:pPr>
        <w:keepNext w:val="0"/>
        <w:keepLines w:val="0"/>
        <w:pageBreakBefore w:val="0"/>
        <w:widowControl/>
        <w:kinsoku/>
        <w:overflowPunct/>
        <w:topLinePunct w:val="0"/>
        <w:autoSpaceDE/>
        <w:autoSpaceDN/>
        <w:bidi w:val="0"/>
        <w:spacing w:line="360" w:lineRule="auto"/>
        <w:ind w:firstLine="422" w:firstLineChars="200"/>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四、响应文件提交：</w:t>
      </w:r>
    </w:p>
    <w:p>
      <w:pPr>
        <w:pStyle w:val="41"/>
        <w:keepNext w:val="0"/>
        <w:keepLines w:val="0"/>
        <w:pageBreakBefore w:val="0"/>
        <w:widowControl w:val="0"/>
        <w:tabs>
          <w:tab w:val="left" w:pos="2400"/>
          <w:tab w:val="left" w:pos="3460"/>
          <w:tab w:val="left" w:pos="7689"/>
          <w:tab w:val="left" w:pos="7737"/>
        </w:tabs>
        <w:kinsoku/>
        <w:wordWrap w:val="0"/>
        <w:overflowPunct/>
        <w:topLinePunct w:val="0"/>
        <w:autoSpaceDE/>
        <w:autoSpaceDN/>
        <w:bidi w:val="0"/>
        <w:spacing w:before="0" w:beforeLines="0" w:beforeAutospacing="0" w:after="0" w:afterLines="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1、时间</w:t>
      </w:r>
      <w:r>
        <w:rPr>
          <w:rFonts w:hint="eastAsia" w:ascii="宋体" w:hAnsi="宋体" w:eastAsia="宋体" w:cs="宋体"/>
          <w:color w:val="auto"/>
          <w:kern w:val="0"/>
          <w:sz w:val="21"/>
          <w:szCs w:val="21"/>
          <w:highlight w:val="none"/>
          <w:lang w:val="en-US" w:eastAsia="zh-CN" w:bidi="ar-SA"/>
        </w:rPr>
        <w:t>：</w:t>
      </w:r>
      <w:r>
        <w:rPr>
          <w:rFonts w:hint="eastAsia" w:ascii="宋体" w:hAnsi="宋体" w:eastAsia="宋体" w:cs="宋体"/>
          <w:color w:val="FF0000"/>
          <w:kern w:val="0"/>
          <w:sz w:val="21"/>
          <w:szCs w:val="21"/>
          <w:highlight w:val="none"/>
          <w:lang w:val="en-US" w:eastAsia="zh-CN" w:bidi="ar-SA"/>
        </w:rPr>
        <w:t>2024年01月02日9时3</w:t>
      </w:r>
      <w:r>
        <w:rPr>
          <w:rFonts w:hint="eastAsia" w:ascii="宋体" w:hAnsi="宋体" w:eastAsia="宋体" w:cs="宋体"/>
          <w:bCs/>
          <w:color w:val="FF0000"/>
          <w:sz w:val="21"/>
          <w:szCs w:val="21"/>
          <w:highlight w:val="none"/>
          <w:lang w:val="en-US" w:eastAsia="zh-CN"/>
        </w:rPr>
        <w:t>0</w:t>
      </w:r>
      <w:r>
        <w:rPr>
          <w:rFonts w:hint="eastAsia" w:ascii="宋体" w:hAnsi="宋体" w:eastAsia="宋体" w:cs="宋体"/>
          <w:bCs/>
          <w:color w:val="FF0000"/>
          <w:sz w:val="21"/>
          <w:szCs w:val="21"/>
          <w:highlight w:val="none"/>
        </w:rPr>
        <w:t>分</w:t>
      </w:r>
      <w:r>
        <w:rPr>
          <w:rFonts w:hint="eastAsia" w:ascii="宋体" w:hAnsi="宋体" w:eastAsia="宋体" w:cs="宋体"/>
          <w:color w:val="FF0000"/>
          <w:sz w:val="21"/>
          <w:szCs w:val="21"/>
          <w:highlight w:val="none"/>
        </w:rPr>
        <w:t>（北京时间）；</w:t>
      </w:r>
    </w:p>
    <w:p>
      <w:pPr>
        <w:keepNext w:val="0"/>
        <w:keepLines w:val="0"/>
        <w:pageBreakBefore w:val="0"/>
        <w:kinsoku/>
        <w:overflowPunct/>
        <w:topLinePunct w:val="0"/>
        <w:autoSpaceDE/>
        <w:autoSpaceDN/>
        <w:bidi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bCs/>
          <w:color w:val="auto"/>
          <w:kern w:val="2"/>
          <w:sz w:val="21"/>
          <w:szCs w:val="21"/>
        </w:rPr>
        <w:t>地点：本项目为不见面开标项目，</w:t>
      </w:r>
      <w:r>
        <w:rPr>
          <w:rFonts w:hint="eastAsia" w:ascii="宋体" w:hAnsi="宋体" w:cs="宋体"/>
          <w:bCs/>
          <w:color w:val="auto"/>
          <w:kern w:val="2"/>
          <w:sz w:val="21"/>
          <w:szCs w:val="21"/>
          <w:lang w:val="en-US" w:eastAsia="zh-CN"/>
        </w:rPr>
        <w:t>响应</w:t>
      </w:r>
      <w:r>
        <w:rPr>
          <w:rFonts w:hint="eastAsia" w:ascii="宋体" w:hAnsi="宋体" w:eastAsia="宋体" w:cs="宋体"/>
          <w:bCs/>
          <w:color w:val="auto"/>
          <w:kern w:val="2"/>
          <w:sz w:val="21"/>
          <w:szCs w:val="21"/>
        </w:rPr>
        <w:t>文件递交地点为</w:t>
      </w:r>
      <w:r>
        <w:rPr>
          <w:rFonts w:hint="eastAsia" w:ascii="宋体" w:hAnsi="宋体" w:eastAsia="宋体" w:cs="宋体"/>
          <w:bCs/>
          <w:color w:val="auto"/>
          <w:kern w:val="2"/>
          <w:sz w:val="21"/>
          <w:szCs w:val="21"/>
          <w:lang w:val="zh-CN"/>
        </w:rPr>
        <w:t>《全国公共资源交易平台（河南省</w:t>
      </w:r>
      <w:r>
        <w:rPr>
          <w:rFonts w:hint="eastAsia" w:ascii="宋体" w:hAnsi="宋体" w:eastAsia="宋体" w:cs="宋体"/>
          <w:color w:val="auto"/>
          <w:sz w:val="21"/>
          <w:szCs w:val="21"/>
        </w:rPr>
        <w:t>·</w:t>
      </w:r>
      <w:r>
        <w:rPr>
          <w:rFonts w:hint="eastAsia" w:ascii="宋体" w:hAnsi="宋体" w:eastAsia="宋体" w:cs="宋体"/>
          <w:bCs/>
          <w:color w:val="auto"/>
          <w:kern w:val="2"/>
          <w:sz w:val="21"/>
          <w:szCs w:val="21"/>
          <w:lang w:val="en-US" w:eastAsia="zh-CN"/>
        </w:rPr>
        <w:t>信阳市</w:t>
      </w:r>
      <w:r>
        <w:rPr>
          <w:rFonts w:hint="eastAsia" w:ascii="宋体" w:hAnsi="宋体" w:eastAsia="宋体" w:cs="宋体"/>
          <w:bCs/>
          <w:color w:val="auto"/>
          <w:kern w:val="2"/>
          <w:sz w:val="21"/>
          <w:szCs w:val="21"/>
          <w:lang w:val="zh-CN"/>
        </w:rPr>
        <w:t>）》</w:t>
      </w:r>
      <w:r>
        <w:rPr>
          <w:rFonts w:hint="eastAsia" w:ascii="宋体" w:hAnsi="宋体" w:eastAsia="宋体" w:cs="宋体"/>
          <w:bCs/>
          <w:color w:val="auto"/>
          <w:kern w:val="2"/>
          <w:sz w:val="21"/>
          <w:szCs w:val="21"/>
        </w:rPr>
        <w:t>（</w:t>
      </w:r>
      <w:r>
        <w:rPr>
          <w:rFonts w:hint="eastAsia" w:hAnsi="宋体" w:eastAsia="宋体" w:cs="宋体"/>
          <w:bCs/>
          <w:color w:val="auto"/>
          <w:kern w:val="2"/>
          <w:sz w:val="21"/>
          <w:szCs w:val="21"/>
          <w:lang w:eastAsia="zh-CN"/>
        </w:rPr>
        <w:t>https://ggzyjy.xinyang.gov.cn/</w:t>
      </w:r>
      <w:r>
        <w:rPr>
          <w:rFonts w:hint="eastAsia" w:ascii="宋体" w:hAnsi="宋体" w:eastAsia="宋体" w:cs="宋体"/>
          <w:bCs/>
          <w:color w:val="auto"/>
          <w:kern w:val="2"/>
          <w:sz w:val="21"/>
          <w:szCs w:val="21"/>
        </w:rPr>
        <w:t>）电子招投标平台会员系统指定位置。</w:t>
      </w:r>
    </w:p>
    <w:p>
      <w:pPr>
        <w:keepNext w:val="0"/>
        <w:keepLines w:val="0"/>
        <w:pageBreakBefore w:val="0"/>
        <w:widowControl/>
        <w:kinsoku/>
        <w:overflowPunct/>
        <w:topLinePunct w:val="0"/>
        <w:autoSpaceDE/>
        <w:autoSpaceDN/>
        <w:bidi w:val="0"/>
        <w:spacing w:line="360" w:lineRule="auto"/>
        <w:ind w:firstLine="422" w:firstLineChars="200"/>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五、响应文件的开启：</w:t>
      </w:r>
    </w:p>
    <w:p>
      <w:pPr>
        <w:pStyle w:val="41"/>
        <w:keepNext w:val="0"/>
        <w:keepLines w:val="0"/>
        <w:pageBreakBefore w:val="0"/>
        <w:widowControl w:val="0"/>
        <w:tabs>
          <w:tab w:val="left" w:pos="2400"/>
          <w:tab w:val="left" w:pos="3460"/>
          <w:tab w:val="left" w:pos="7689"/>
          <w:tab w:val="left" w:pos="7737"/>
        </w:tabs>
        <w:kinsoku/>
        <w:wordWrap w:val="0"/>
        <w:overflowPunct/>
        <w:topLinePunct w:val="0"/>
        <w:autoSpaceDE/>
        <w:autoSpaceDN/>
        <w:bidi w:val="0"/>
        <w:spacing w:before="0" w:beforeLines="0" w:beforeAutospacing="0" w:after="0" w:afterLines="0" w:afterAutospacing="0" w:line="360" w:lineRule="auto"/>
        <w:ind w:firstLine="420" w:firstLineChars="200"/>
        <w:textAlignment w:val="auto"/>
        <w:rPr>
          <w:rFonts w:hint="eastAsia" w:ascii="宋体" w:hAnsi="宋体" w:eastAsia="宋体" w:cs="宋体"/>
          <w:color w:val="FF0000"/>
          <w:sz w:val="21"/>
          <w:szCs w:val="21"/>
          <w:highlight w:val="none"/>
        </w:rPr>
      </w:pPr>
      <w:r>
        <w:rPr>
          <w:rFonts w:hint="eastAsia" w:ascii="宋体" w:hAnsi="宋体" w:eastAsia="宋体" w:cs="宋体"/>
          <w:color w:val="FF0000"/>
          <w:sz w:val="21"/>
          <w:szCs w:val="21"/>
          <w:highlight w:val="none"/>
        </w:rPr>
        <w:t>1、时间：</w:t>
      </w:r>
      <w:r>
        <w:rPr>
          <w:rFonts w:hint="eastAsia" w:ascii="宋体" w:hAnsi="宋体" w:eastAsia="宋体" w:cs="宋体"/>
          <w:color w:val="FF0000"/>
          <w:kern w:val="0"/>
          <w:sz w:val="21"/>
          <w:szCs w:val="21"/>
          <w:highlight w:val="none"/>
          <w:lang w:val="en-US" w:eastAsia="zh-CN" w:bidi="ar-SA"/>
        </w:rPr>
        <w:t>2024年01月02日 9 时30分（</w:t>
      </w:r>
      <w:r>
        <w:rPr>
          <w:rFonts w:hint="eastAsia" w:ascii="宋体" w:hAnsi="宋体" w:eastAsia="宋体" w:cs="宋体"/>
          <w:color w:val="FF0000"/>
          <w:sz w:val="21"/>
          <w:szCs w:val="21"/>
          <w:highlight w:val="none"/>
        </w:rPr>
        <w:t>北京时间）；</w:t>
      </w:r>
    </w:p>
    <w:p>
      <w:pPr>
        <w:keepNext w:val="0"/>
        <w:keepLines w:val="0"/>
        <w:pageBreakBefore w:val="0"/>
        <w:widowControl/>
        <w:kinsoku/>
        <w:overflowPunct/>
        <w:topLinePunct w:val="0"/>
        <w:autoSpaceDE/>
        <w:autoSpaceDN/>
        <w:bidi w:val="0"/>
        <w:spacing w:line="360" w:lineRule="auto"/>
        <w:ind w:firstLine="420" w:firstLineChars="200"/>
        <w:jc w:val="left"/>
        <w:textAlignment w:val="auto"/>
        <w:rPr>
          <w:rFonts w:hint="eastAsia" w:ascii="宋体" w:hAnsi="宋体" w:eastAsia="宋体" w:cs="宋体"/>
          <w:color w:val="FF0000"/>
          <w:kern w:val="0"/>
          <w:szCs w:val="21"/>
          <w:highlight w:val="none"/>
        </w:rPr>
      </w:pPr>
      <w:r>
        <w:rPr>
          <w:rFonts w:hint="eastAsia" w:ascii="宋体" w:hAnsi="宋体" w:eastAsia="宋体" w:cs="宋体"/>
          <w:color w:val="FF0000"/>
          <w:kern w:val="0"/>
          <w:szCs w:val="21"/>
          <w:highlight w:val="none"/>
        </w:rPr>
        <w:t>2、地点：信阳市公共资源交易中心第</w:t>
      </w:r>
      <w:r>
        <w:rPr>
          <w:rFonts w:hint="eastAsia" w:ascii="宋体" w:hAnsi="宋体" w:eastAsia="宋体" w:cs="宋体"/>
          <w:color w:val="FF0000"/>
          <w:kern w:val="0"/>
          <w:szCs w:val="21"/>
          <w:highlight w:val="none"/>
          <w:u w:val="single"/>
        </w:rPr>
        <w:t xml:space="preserve"> </w:t>
      </w:r>
      <w:r>
        <w:rPr>
          <w:rFonts w:hint="eastAsia" w:ascii="宋体" w:hAnsi="宋体" w:cs="宋体"/>
          <w:color w:val="FF0000"/>
          <w:kern w:val="0"/>
          <w:szCs w:val="21"/>
          <w:highlight w:val="none"/>
          <w:u w:val="single"/>
          <w:lang w:val="en-US" w:eastAsia="zh-CN"/>
        </w:rPr>
        <w:t xml:space="preserve"> 六</w:t>
      </w:r>
      <w:r>
        <w:rPr>
          <w:rFonts w:hint="eastAsia" w:ascii="宋体" w:hAnsi="宋体" w:eastAsia="宋体" w:cs="宋体"/>
          <w:color w:val="FF0000"/>
          <w:kern w:val="0"/>
          <w:szCs w:val="21"/>
          <w:highlight w:val="none"/>
          <w:u w:val="single"/>
          <w:lang w:val="en-US" w:eastAsia="zh-CN"/>
        </w:rPr>
        <w:t xml:space="preserve"> </w:t>
      </w:r>
      <w:r>
        <w:rPr>
          <w:rFonts w:hint="eastAsia" w:ascii="宋体" w:hAnsi="宋体" w:eastAsia="宋体" w:cs="宋体"/>
          <w:color w:val="FF0000"/>
          <w:kern w:val="0"/>
          <w:szCs w:val="21"/>
          <w:highlight w:val="none"/>
        </w:rPr>
        <w:t xml:space="preserve">开标厅  </w:t>
      </w:r>
    </w:p>
    <w:p>
      <w:pPr>
        <w:keepNext w:val="0"/>
        <w:keepLines w:val="0"/>
        <w:pageBreakBefore w:val="0"/>
        <w:widowControl/>
        <w:kinsoku/>
        <w:overflowPunct/>
        <w:topLinePunct w:val="0"/>
        <w:autoSpaceDE/>
        <w:autoSpaceDN/>
        <w:bidi w:val="0"/>
        <w:spacing w:line="360" w:lineRule="auto"/>
        <w:ind w:firstLine="422" w:firstLineChars="200"/>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六、发布公告的媒介及招标公告期限：</w:t>
      </w:r>
    </w:p>
    <w:p>
      <w:pPr>
        <w:keepNext w:val="0"/>
        <w:keepLines w:val="0"/>
        <w:pageBreakBefore w:val="0"/>
        <w:widowControl/>
        <w:kinsoku/>
        <w:overflowPunct/>
        <w:topLinePunct w:val="0"/>
        <w:autoSpaceDE/>
        <w:autoSpaceDN/>
        <w:bidi w:val="0"/>
        <w:spacing w:line="360" w:lineRule="auto"/>
        <w:ind w:firstLine="420" w:firstLineChars="200"/>
        <w:jc w:val="lef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kern w:val="0"/>
          <w:szCs w:val="21"/>
          <w:highlight w:val="none"/>
        </w:rPr>
        <w:t>本次招标公告在《河南省政府采购网》、《全国公共资源交易平台（河南省·信阳市）》上发布</w:t>
      </w:r>
      <w:r>
        <w:rPr>
          <w:rFonts w:hint="eastAsia" w:ascii="宋体" w:hAnsi="宋体" w:eastAsia="宋体" w:cs="宋体"/>
          <w:color w:val="auto"/>
          <w:kern w:val="0"/>
          <w:szCs w:val="21"/>
          <w:highlight w:val="none"/>
          <w:lang w:eastAsia="zh-CN"/>
        </w:rPr>
        <w:t>，招标公告期限为</w:t>
      </w: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p>
    <w:p>
      <w:pPr>
        <w:pStyle w:val="2"/>
        <w:keepNext w:val="0"/>
        <w:keepLines w:val="0"/>
        <w:pageBreakBefore w:val="0"/>
        <w:kinsoku/>
        <w:overflowPunct/>
        <w:topLinePunct w:val="0"/>
        <w:autoSpaceDE/>
        <w:autoSpaceDN/>
        <w:bidi w:val="0"/>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七、其他补充事宜：</w:t>
      </w:r>
    </w:p>
    <w:p>
      <w:pPr>
        <w:keepNext w:val="0"/>
        <w:keepLines w:val="0"/>
        <w:pageBreakBefore w:val="0"/>
        <w:widowControl/>
        <w:kinsoku/>
        <w:overflowPunct/>
        <w:topLinePunct w:val="0"/>
        <w:autoSpaceDE/>
        <w:autoSpaceDN/>
        <w:bidi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本项目采用“不见面开标”交易方式，不见面开标大厅网址为https://ggzyjy.xinyang.gov.cn/BidOpening</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供应商无需寄送和递交非加密的电子响应文件，无需到现场参加开标会议，无需到达现场提交原件资料。</w:t>
      </w:r>
    </w:p>
    <w:p>
      <w:pPr>
        <w:keepNext w:val="0"/>
        <w:keepLines w:val="0"/>
        <w:pageBreakBefore w:val="0"/>
        <w:widowControl/>
        <w:kinsoku/>
        <w:overflowPunct/>
        <w:topLinePunct w:val="0"/>
        <w:autoSpaceDE/>
        <w:autoSpaceDN/>
        <w:bidi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2、投标人应当在投标截止时间前，使用投标人CA数字证书登录不见面开标大厅，在线签到并准时参加开标活动，并在规定时间内完成</w:t>
      </w:r>
      <w:r>
        <w:rPr>
          <w:rFonts w:hint="eastAsia" w:ascii="宋体" w:hAnsi="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文件解密、答疑澄清等。</w:t>
      </w:r>
    </w:p>
    <w:p>
      <w:pPr>
        <w:keepNext w:val="0"/>
        <w:keepLines w:val="0"/>
        <w:pageBreakBefore w:val="0"/>
        <w:widowControl/>
        <w:kinsoku/>
        <w:overflowPunct/>
        <w:topLinePunct w:val="0"/>
        <w:autoSpaceDE/>
        <w:autoSpaceDN/>
        <w:bidi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3、逾期解密或者没有准时在线参加开标活动导致的一切后果投标人自行承担。</w:t>
      </w:r>
    </w:p>
    <w:p>
      <w:pPr>
        <w:keepNext w:val="0"/>
        <w:keepLines w:val="0"/>
        <w:pageBreakBefore w:val="0"/>
        <w:widowControl/>
        <w:kinsoku/>
        <w:overflowPunct/>
        <w:topLinePunct w:val="0"/>
        <w:autoSpaceDE/>
        <w:autoSpaceDN/>
        <w:bidi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4、不见面开标服务的具体事宜，请查阅信阳市公共资源交易中心网站首页—下载中心—信阳市不见面开标大厅系统操作手册 。</w:t>
      </w:r>
    </w:p>
    <w:p>
      <w:pPr>
        <w:keepLines w:val="0"/>
        <w:pageBreakBefore w:val="0"/>
        <w:widowControl/>
        <w:numPr>
          <w:ilvl w:val="0"/>
          <w:numId w:val="0"/>
        </w:numPr>
        <w:kinsoku/>
        <w:wordWrap/>
        <w:overflowPunct/>
        <w:topLinePunct w:val="0"/>
        <w:bidi w:val="0"/>
        <w:adjustRightInd/>
        <w:snapToGrid/>
        <w:spacing w:line="360" w:lineRule="auto"/>
        <w:ind w:left="418" w:leftChars="0"/>
        <w:jc w:val="left"/>
        <w:textAlignment w:val="auto"/>
        <w:rPr>
          <w:rFonts w:hint="eastAsia" w:ascii="宋体" w:hAnsi="宋体" w:eastAsia="宋体" w:cs="宋体"/>
          <w:sz w:val="21"/>
          <w:szCs w:val="21"/>
          <w:shd w:val="clear" w:color="auto" w:fill="FFFFFF"/>
          <w:lang w:val="en-US" w:eastAsia="zh-CN"/>
        </w:rPr>
      </w:pPr>
      <w:r>
        <w:rPr>
          <w:rFonts w:hint="eastAsia" w:ascii="宋体" w:hAnsi="宋体" w:eastAsia="宋体" w:cs="宋体"/>
          <w:color w:val="auto"/>
          <w:kern w:val="0"/>
          <w:szCs w:val="21"/>
          <w:highlight w:val="none"/>
        </w:rPr>
        <w:t>5、</w:t>
      </w:r>
      <w:r>
        <w:rPr>
          <w:rFonts w:hint="eastAsia" w:ascii="宋体" w:hAnsi="宋体" w:eastAsia="宋体" w:cs="宋体"/>
          <w:sz w:val="21"/>
          <w:szCs w:val="21"/>
          <w:shd w:val="clear" w:color="auto" w:fill="FFFFFF"/>
          <w:lang w:val="en-US" w:eastAsia="zh-CN"/>
        </w:rPr>
        <w:t>由于交易中心系统升级，请各供应商在新系统中重新入库，再下载磋商文件。</w:t>
      </w:r>
    </w:p>
    <w:p>
      <w:pPr>
        <w:keepLines w:val="0"/>
        <w:pageBreakBefore w:val="0"/>
        <w:widowControl/>
        <w:numPr>
          <w:ilvl w:val="0"/>
          <w:numId w:val="0"/>
        </w:numPr>
        <w:kinsoku/>
        <w:wordWrap/>
        <w:overflowPunct/>
        <w:topLinePunct w:val="0"/>
        <w:bidi w:val="0"/>
        <w:adjustRightInd/>
        <w:snapToGrid/>
        <w:spacing w:line="360" w:lineRule="auto"/>
        <w:ind w:left="418" w:leftChars="0"/>
        <w:jc w:val="left"/>
        <w:textAlignment w:val="auto"/>
        <w:rPr>
          <w:rFonts w:hint="eastAsia" w:ascii="宋体" w:hAnsi="宋体" w:eastAsia="宋体" w:cs="宋体"/>
          <w:color w:val="auto"/>
          <w:kern w:val="0"/>
          <w:szCs w:val="21"/>
          <w:highlight w:val="none"/>
        </w:rPr>
      </w:pPr>
      <w:r>
        <w:rPr>
          <w:rFonts w:hint="eastAsia" w:ascii="宋体" w:hAnsi="宋体" w:eastAsia="宋体" w:cs="宋体"/>
          <w:sz w:val="21"/>
          <w:szCs w:val="21"/>
          <w:shd w:val="clear" w:color="auto" w:fill="FFFFFF"/>
          <w:lang w:val="en-US" w:eastAsia="zh-CN"/>
        </w:rPr>
        <w:t>6、</w:t>
      </w:r>
      <w:r>
        <w:rPr>
          <w:rFonts w:hint="eastAsia" w:ascii="宋体" w:hAnsi="宋体" w:eastAsia="宋体" w:cs="宋体"/>
          <w:sz w:val="21"/>
          <w:szCs w:val="21"/>
          <w:shd w:val="clear" w:color="auto" w:fill="FFFFFF"/>
        </w:rPr>
        <w:t>特别提示：</w:t>
      </w:r>
      <w:r>
        <w:rPr>
          <w:rFonts w:hint="eastAsia" w:ascii="宋体" w:hAnsi="宋体" w:eastAsia="宋体" w:cs="宋体"/>
          <w:sz w:val="21"/>
          <w:szCs w:val="21"/>
          <w:shd w:val="clear" w:color="auto" w:fill="FFFFFF"/>
          <w:lang w:eastAsia="zh-CN"/>
        </w:rPr>
        <w:t>供应商</w:t>
      </w:r>
      <w:r>
        <w:rPr>
          <w:rFonts w:hint="eastAsia" w:ascii="宋体" w:hAnsi="宋体" w:eastAsia="宋体" w:cs="宋体"/>
          <w:sz w:val="21"/>
          <w:szCs w:val="21"/>
          <w:shd w:val="clear" w:color="auto" w:fill="FFFFFF"/>
        </w:rPr>
        <w:t>在线签到时，应如实准确的填写授权委托人的联系电话，开标当天请务必保证电话保持畅通。</w:t>
      </w:r>
    </w:p>
    <w:p>
      <w:pPr>
        <w:keepNext w:val="0"/>
        <w:keepLines w:val="0"/>
        <w:pageBreakBefore w:val="0"/>
        <w:widowControl/>
        <w:kinsoku/>
        <w:overflowPunct/>
        <w:topLinePunct w:val="0"/>
        <w:autoSpaceDE/>
        <w:autoSpaceDN/>
        <w:bidi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7、</w:t>
      </w:r>
      <w:r>
        <w:rPr>
          <w:rFonts w:hint="eastAsia" w:ascii="宋体" w:hAnsi="宋体" w:eastAsia="宋体" w:cs="宋体"/>
          <w:color w:val="auto"/>
          <w:kern w:val="0"/>
          <w:szCs w:val="21"/>
          <w:highlight w:val="none"/>
        </w:rPr>
        <w:t>监督部门：</w:t>
      </w:r>
    </w:p>
    <w:p>
      <w:pPr>
        <w:keepNext w:val="0"/>
        <w:keepLines w:val="0"/>
        <w:pageBreakBefore w:val="0"/>
        <w:widowControl/>
        <w:kinsoku/>
        <w:overflowPunct/>
        <w:topLinePunct w:val="0"/>
        <w:autoSpaceDE/>
        <w:autoSpaceDN/>
        <w:bidi w:val="0"/>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联系人：信阳市财政局政府采购监督管理科</w:t>
      </w:r>
    </w:p>
    <w:p>
      <w:pPr>
        <w:keepNext w:val="0"/>
        <w:keepLines w:val="0"/>
        <w:pageBreakBefore w:val="0"/>
        <w:widowControl/>
        <w:kinsoku/>
        <w:overflowPunct/>
        <w:topLinePunct w:val="0"/>
        <w:autoSpaceDE/>
        <w:autoSpaceDN/>
        <w:bidi w:val="0"/>
        <w:spacing w:line="360" w:lineRule="auto"/>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监督电话：0376-6699188</w:t>
      </w:r>
    </w:p>
    <w:p>
      <w:pPr>
        <w:keepNext w:val="0"/>
        <w:keepLines w:val="0"/>
        <w:pageBreakBefore w:val="0"/>
        <w:widowControl/>
        <w:kinsoku/>
        <w:overflowPunct/>
        <w:topLinePunct w:val="0"/>
        <w:autoSpaceDE/>
        <w:autoSpaceDN/>
        <w:bidi w:val="0"/>
        <w:spacing w:line="360" w:lineRule="auto"/>
        <w:ind w:firstLine="422" w:firstLineChars="200"/>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八、凡对本次招标提出询问，请按照以下方式联系：</w:t>
      </w:r>
    </w:p>
    <w:bookmarkEnd w:id="6"/>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kern w:val="0"/>
          <w:highlight w:val="none"/>
        </w:rPr>
      </w:pPr>
      <w:r>
        <w:rPr>
          <w:rFonts w:hint="eastAsia" w:ascii="宋体" w:hAnsi="宋体" w:eastAsia="宋体" w:cs="宋体"/>
          <w:bCs/>
          <w:color w:val="auto"/>
          <w:kern w:val="0"/>
          <w:highlight w:val="none"/>
        </w:rPr>
        <w:t xml:space="preserve">1.采购人信息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kern w:val="0"/>
          <w:highlight w:val="none"/>
          <w:lang w:eastAsia="zh-CN"/>
        </w:rPr>
      </w:pPr>
      <w:r>
        <w:rPr>
          <w:rFonts w:hint="eastAsia" w:ascii="宋体" w:hAnsi="宋体" w:eastAsia="宋体" w:cs="宋体"/>
          <w:bCs/>
          <w:color w:val="auto"/>
          <w:kern w:val="0"/>
          <w:highlight w:val="none"/>
        </w:rPr>
        <w:t>采 购 人：</w:t>
      </w:r>
      <w:r>
        <w:rPr>
          <w:rFonts w:hint="eastAsia" w:ascii="宋体" w:hAnsi="宋体" w:cs="宋体"/>
          <w:bCs/>
          <w:color w:val="auto"/>
          <w:kern w:val="0"/>
          <w:highlight w:val="none"/>
          <w:lang w:eastAsia="zh-CN"/>
        </w:rPr>
        <w:t>信阳农林学院</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kern w:val="0"/>
          <w:highlight w:val="none"/>
          <w:lang w:eastAsia="zh-CN"/>
        </w:rPr>
      </w:pPr>
      <w:r>
        <w:rPr>
          <w:rFonts w:hint="eastAsia" w:ascii="宋体" w:hAnsi="宋体" w:eastAsia="宋体" w:cs="宋体"/>
          <w:bCs/>
          <w:color w:val="auto"/>
          <w:kern w:val="0"/>
          <w:highlight w:val="none"/>
        </w:rPr>
        <w:t>地    址：</w:t>
      </w:r>
      <w:r>
        <w:rPr>
          <w:rFonts w:hint="eastAsia" w:ascii="宋体" w:hAnsi="宋体" w:cs="宋体"/>
          <w:bCs/>
          <w:color w:val="auto"/>
          <w:kern w:val="0"/>
          <w:highlight w:val="none"/>
          <w:lang w:eastAsia="zh-CN"/>
        </w:rPr>
        <w:t>信阳市平桥区北环路1号</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kern w:val="0"/>
          <w:highlight w:val="none"/>
          <w:lang w:eastAsia="zh-CN"/>
        </w:rPr>
      </w:pPr>
      <w:r>
        <w:rPr>
          <w:rFonts w:hint="eastAsia" w:ascii="宋体" w:hAnsi="宋体" w:eastAsia="宋体" w:cs="宋体"/>
          <w:bCs/>
          <w:color w:val="auto"/>
          <w:kern w:val="0"/>
          <w:highlight w:val="none"/>
        </w:rPr>
        <w:t>联 系 人：</w:t>
      </w:r>
      <w:r>
        <w:rPr>
          <w:rFonts w:hint="eastAsia" w:ascii="宋体" w:hAnsi="宋体" w:cs="宋体"/>
          <w:bCs/>
          <w:color w:val="auto"/>
          <w:kern w:val="0"/>
          <w:highlight w:val="none"/>
          <w:lang w:eastAsia="zh-CN"/>
        </w:rPr>
        <w:t>尚先生</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ascii="宋体" w:hAnsi="宋体" w:eastAsia="宋体" w:cs="宋体"/>
          <w:bCs/>
          <w:color w:val="auto"/>
          <w:kern w:val="0"/>
          <w:highlight w:val="none"/>
        </w:rPr>
        <w:t>联系电话：</w:t>
      </w:r>
      <w:r>
        <w:rPr>
          <w:rFonts w:hint="eastAsia" w:ascii="宋体" w:hAnsi="宋体" w:cs="宋体"/>
          <w:bCs/>
          <w:color w:val="auto"/>
          <w:kern w:val="0"/>
          <w:highlight w:val="none"/>
          <w:lang w:val="en-US" w:eastAsia="zh-CN"/>
        </w:rPr>
        <w:t>0376-6698756</w:t>
      </w:r>
    </w:p>
    <w:p>
      <w:pPr>
        <w:keepNext w:val="0"/>
        <w:keepLines w:val="0"/>
        <w:pageBreakBefore w:val="0"/>
        <w:widowControl/>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szCs w:val="21"/>
          <w:lang w:eastAsia="zh-CN"/>
        </w:rPr>
      </w:pPr>
      <w:r>
        <w:rPr>
          <w:rFonts w:hint="eastAsia" w:ascii="宋体" w:hAnsi="宋体" w:cs="宋体"/>
          <w:szCs w:val="21"/>
        </w:rPr>
        <w:t>2、采购代理机构信息</w:t>
      </w:r>
      <w:r>
        <w:rPr>
          <w:rFonts w:hint="eastAsia" w:ascii="宋体" w:hAnsi="宋体" w:cs="宋体"/>
          <w:szCs w:val="21"/>
          <w:lang w:eastAsia="zh-CN"/>
        </w:rPr>
        <w:t>（如有）</w:t>
      </w:r>
    </w:p>
    <w:p>
      <w:pPr>
        <w:keepNext w:val="0"/>
        <w:keepLines w:val="0"/>
        <w:pageBreakBefore w:val="0"/>
        <w:widowControl/>
        <w:kinsoku/>
        <w:wordWrap/>
        <w:overflowPunct/>
        <w:topLinePunct w:val="0"/>
        <w:autoSpaceDE/>
        <w:autoSpaceDN/>
        <w:bidi w:val="0"/>
        <w:adjustRightInd/>
        <w:snapToGrid/>
        <w:spacing w:line="360" w:lineRule="auto"/>
        <w:ind w:firstLine="420"/>
        <w:jc w:val="left"/>
        <w:textAlignment w:val="auto"/>
        <w:rPr>
          <w:rFonts w:hint="eastAsia" w:ascii="宋体" w:hAnsi="宋体" w:cs="宋体"/>
          <w:szCs w:val="21"/>
        </w:rPr>
      </w:pPr>
      <w:r>
        <w:rPr>
          <w:rFonts w:hint="eastAsia" w:ascii="宋体" w:hAnsi="宋体" w:cs="宋体"/>
          <w:szCs w:val="21"/>
        </w:rPr>
        <w:t>名称：河南英华咨询有限公司</w:t>
      </w:r>
    </w:p>
    <w:p>
      <w:pPr>
        <w:keepNext w:val="0"/>
        <w:keepLines w:val="0"/>
        <w:pageBreakBefore w:val="0"/>
        <w:widowControl/>
        <w:kinsoku/>
        <w:wordWrap/>
        <w:overflowPunct/>
        <w:topLinePunct w:val="0"/>
        <w:autoSpaceDE/>
        <w:autoSpaceDN/>
        <w:bidi w:val="0"/>
        <w:adjustRightInd/>
        <w:snapToGrid/>
        <w:spacing w:line="360" w:lineRule="auto"/>
        <w:ind w:firstLine="420"/>
        <w:jc w:val="left"/>
        <w:textAlignment w:val="auto"/>
        <w:rPr>
          <w:rFonts w:hint="eastAsia" w:ascii="宋体" w:hAnsi="宋体" w:cs="宋体"/>
          <w:szCs w:val="21"/>
        </w:rPr>
      </w:pPr>
      <w:r>
        <w:rPr>
          <w:rFonts w:hint="eastAsia" w:ascii="宋体" w:hAnsi="宋体" w:cs="宋体"/>
          <w:szCs w:val="21"/>
        </w:rPr>
        <w:t>地址：信阳市羊山新区政和花园A区23号楼</w:t>
      </w:r>
    </w:p>
    <w:p>
      <w:pPr>
        <w:keepNext w:val="0"/>
        <w:keepLines w:val="0"/>
        <w:pageBreakBefore w:val="0"/>
        <w:widowControl/>
        <w:kinsoku/>
        <w:wordWrap/>
        <w:overflowPunct/>
        <w:topLinePunct w:val="0"/>
        <w:autoSpaceDE/>
        <w:autoSpaceDN/>
        <w:bidi w:val="0"/>
        <w:adjustRightInd/>
        <w:snapToGrid/>
        <w:spacing w:line="360" w:lineRule="auto"/>
        <w:ind w:firstLine="420"/>
        <w:jc w:val="left"/>
        <w:textAlignment w:val="auto"/>
        <w:rPr>
          <w:rFonts w:hint="eastAsia" w:ascii="宋体" w:hAnsi="宋体" w:eastAsia="宋体" w:cs="宋体"/>
          <w:szCs w:val="21"/>
          <w:lang w:eastAsia="zh-CN"/>
        </w:rPr>
      </w:pPr>
      <w:r>
        <w:rPr>
          <w:rFonts w:hint="eastAsia" w:ascii="宋体" w:hAnsi="宋体" w:cs="宋体"/>
          <w:szCs w:val="21"/>
        </w:rPr>
        <w:t>联系人：</w:t>
      </w:r>
      <w:r>
        <w:rPr>
          <w:rFonts w:hint="eastAsia" w:ascii="宋体" w:hAnsi="宋体" w:cs="宋体"/>
          <w:szCs w:val="21"/>
          <w:lang w:val="en-US" w:eastAsia="zh-CN"/>
        </w:rPr>
        <w:t>娄利杰</w:t>
      </w:r>
    </w:p>
    <w:p>
      <w:pPr>
        <w:keepNext w:val="0"/>
        <w:keepLines w:val="0"/>
        <w:pageBreakBefore w:val="0"/>
        <w:widowControl/>
        <w:kinsoku/>
        <w:wordWrap/>
        <w:overflowPunct/>
        <w:topLinePunct w:val="0"/>
        <w:autoSpaceDE/>
        <w:autoSpaceDN/>
        <w:bidi w:val="0"/>
        <w:adjustRightInd/>
        <w:snapToGrid/>
        <w:spacing w:line="360" w:lineRule="auto"/>
        <w:ind w:firstLine="420"/>
        <w:jc w:val="left"/>
        <w:textAlignment w:val="auto"/>
        <w:rPr>
          <w:rFonts w:hint="eastAsia" w:ascii="宋体" w:hAnsi="宋体" w:cs="宋体"/>
          <w:szCs w:val="21"/>
        </w:rPr>
      </w:pPr>
      <w:r>
        <w:rPr>
          <w:rFonts w:hint="eastAsia" w:ascii="宋体" w:hAnsi="宋体" w:cs="宋体"/>
          <w:szCs w:val="21"/>
        </w:rPr>
        <w:t>联系方式：0376-6781701、17637601701</w:t>
      </w:r>
    </w:p>
    <w:p>
      <w:pPr>
        <w:keepNext w:val="0"/>
        <w:keepLines w:val="0"/>
        <w:pageBreakBefore w:val="0"/>
        <w:widowControl/>
        <w:kinsoku/>
        <w:wordWrap/>
        <w:overflowPunct/>
        <w:topLinePunct w:val="0"/>
        <w:autoSpaceDE/>
        <w:autoSpaceDN/>
        <w:bidi w:val="0"/>
        <w:adjustRightInd/>
        <w:snapToGrid/>
        <w:spacing w:line="360" w:lineRule="auto"/>
        <w:ind w:firstLine="420"/>
        <w:jc w:val="left"/>
        <w:textAlignment w:val="auto"/>
        <w:rPr>
          <w:rFonts w:hint="eastAsia" w:ascii="宋体" w:hAnsi="宋体" w:cs="宋体"/>
          <w:szCs w:val="21"/>
        </w:rPr>
      </w:pPr>
      <w:r>
        <w:rPr>
          <w:rFonts w:hint="eastAsia" w:ascii="宋体" w:hAnsi="宋体" w:cs="宋体"/>
          <w:szCs w:val="21"/>
        </w:rPr>
        <w:t>3.项目联系方式：</w:t>
      </w:r>
    </w:p>
    <w:p>
      <w:pPr>
        <w:keepNext w:val="0"/>
        <w:keepLines w:val="0"/>
        <w:pageBreakBefore w:val="0"/>
        <w:widowControl/>
        <w:kinsoku/>
        <w:wordWrap/>
        <w:overflowPunct/>
        <w:topLinePunct w:val="0"/>
        <w:autoSpaceDE/>
        <w:autoSpaceDN/>
        <w:bidi w:val="0"/>
        <w:adjustRightInd/>
        <w:snapToGrid/>
        <w:spacing w:line="360" w:lineRule="auto"/>
        <w:ind w:firstLine="420"/>
        <w:jc w:val="left"/>
        <w:textAlignment w:val="auto"/>
        <w:rPr>
          <w:rFonts w:hint="eastAsia" w:ascii="宋体" w:hAnsi="宋体" w:cs="宋体"/>
          <w:szCs w:val="21"/>
          <w:lang w:eastAsia="zh-CN"/>
        </w:rPr>
      </w:pPr>
      <w:r>
        <w:rPr>
          <w:rFonts w:hint="eastAsia" w:ascii="宋体" w:hAnsi="宋体" w:cs="宋体"/>
          <w:szCs w:val="21"/>
        </w:rPr>
        <w:t>联系人：</w:t>
      </w:r>
      <w:r>
        <w:rPr>
          <w:rFonts w:hint="eastAsia" w:ascii="宋体" w:hAnsi="宋体" w:cs="宋体"/>
          <w:szCs w:val="21"/>
          <w:lang w:eastAsia="zh-CN"/>
        </w:rPr>
        <w:t>娄利杰</w:t>
      </w:r>
    </w:p>
    <w:p>
      <w:pPr>
        <w:keepNext w:val="0"/>
        <w:keepLines w:val="0"/>
        <w:pageBreakBefore w:val="0"/>
        <w:widowControl/>
        <w:kinsoku/>
        <w:wordWrap/>
        <w:overflowPunct/>
        <w:topLinePunct w:val="0"/>
        <w:autoSpaceDE/>
        <w:autoSpaceDN/>
        <w:bidi w:val="0"/>
        <w:adjustRightInd/>
        <w:snapToGrid/>
        <w:spacing w:line="360" w:lineRule="auto"/>
        <w:ind w:firstLine="420"/>
        <w:jc w:val="both"/>
        <w:textAlignment w:val="auto"/>
        <w:rPr>
          <w:rFonts w:hint="eastAsia" w:ascii="宋体" w:hAnsi="宋体" w:cs="宋体"/>
          <w:szCs w:val="21"/>
        </w:rPr>
      </w:pPr>
      <w:r>
        <w:rPr>
          <w:rFonts w:hint="eastAsia" w:ascii="宋体" w:hAnsi="宋体" w:cs="宋体"/>
          <w:szCs w:val="21"/>
        </w:rPr>
        <w:t>联系方式：0376-6781701、17637601701</w:t>
      </w:r>
    </w:p>
    <w:p>
      <w:pPr>
        <w:keepNext w:val="0"/>
        <w:keepLines w:val="0"/>
        <w:pageBreakBefore w:val="0"/>
        <w:widowControl/>
        <w:kinsoku/>
        <w:wordWrap/>
        <w:overflowPunct/>
        <w:topLinePunct w:val="0"/>
        <w:autoSpaceDE/>
        <w:autoSpaceDN/>
        <w:bidi w:val="0"/>
        <w:adjustRightInd/>
        <w:snapToGrid/>
        <w:spacing w:line="360" w:lineRule="auto"/>
        <w:ind w:firstLine="420"/>
        <w:jc w:val="center"/>
        <w:textAlignment w:val="auto"/>
        <w:rPr>
          <w:rFonts w:hint="eastAsia" w:ascii="宋体" w:hAnsi="宋体" w:cs="宋体"/>
          <w:b/>
          <w:bCs w:val="0"/>
          <w:color w:val="auto"/>
          <w:sz w:val="32"/>
        </w:rPr>
      </w:pPr>
      <w:r>
        <w:rPr>
          <w:rFonts w:hint="eastAsia" w:ascii="宋体" w:hAnsi="宋体" w:cs="宋体"/>
          <w:b/>
          <w:bCs w:val="0"/>
          <w:color w:val="auto"/>
          <w:sz w:val="32"/>
        </w:rPr>
        <w:br w:type="page"/>
      </w:r>
      <w:r>
        <w:rPr>
          <w:rFonts w:hint="eastAsia" w:ascii="宋体" w:hAnsi="宋体" w:cs="宋体"/>
          <w:b/>
          <w:bCs w:val="0"/>
          <w:color w:val="auto"/>
          <w:sz w:val="32"/>
        </w:rPr>
        <w:t>第二章 供应商须知</w:t>
      </w:r>
      <w:bookmarkEnd w:id="7"/>
      <w:bookmarkEnd w:id="8"/>
      <w:bookmarkEnd w:id="9"/>
      <w:bookmarkEnd w:id="10"/>
    </w:p>
    <w:p>
      <w:pPr>
        <w:pStyle w:val="177"/>
        <w:ind w:firstLine="3092" w:firstLineChars="1100"/>
        <w:jc w:val="left"/>
        <w:rPr>
          <w:rFonts w:hint="eastAsia" w:ascii="宋体" w:hAnsi="宋体" w:eastAsia="宋体"/>
          <w:b/>
          <w:bCs/>
          <w:color w:val="auto"/>
        </w:rPr>
      </w:pPr>
      <w:bookmarkStart w:id="11" w:name="_Toc152042304"/>
      <w:bookmarkStart w:id="12" w:name="_Toc471"/>
      <w:bookmarkStart w:id="13" w:name="_Toc30755"/>
      <w:bookmarkStart w:id="14" w:name="_Toc27072"/>
      <w:bookmarkStart w:id="15" w:name="_Toc144974496"/>
      <w:bookmarkStart w:id="16" w:name="_Toc466298090"/>
      <w:bookmarkStart w:id="17" w:name="_Toc152045528"/>
      <w:bookmarkStart w:id="18" w:name="_Toc455080107"/>
      <w:r>
        <w:rPr>
          <w:rFonts w:hint="eastAsia" w:ascii="宋体" w:hAnsi="宋体" w:eastAsia="宋体"/>
          <w:b/>
          <w:bCs/>
          <w:color w:val="auto"/>
        </w:rPr>
        <w:t>供应商须知前附表</w:t>
      </w:r>
      <w:bookmarkEnd w:id="11"/>
      <w:bookmarkEnd w:id="12"/>
      <w:bookmarkEnd w:id="13"/>
      <w:bookmarkEnd w:id="14"/>
      <w:bookmarkEnd w:id="15"/>
      <w:bookmarkEnd w:id="16"/>
      <w:bookmarkEnd w:id="17"/>
      <w:bookmarkEnd w:id="18"/>
    </w:p>
    <w:tbl>
      <w:tblPr>
        <w:tblStyle w:val="48"/>
        <w:tblW w:w="8870" w:type="dxa"/>
        <w:tblInd w:w="108" w:type="dxa"/>
        <w:tblLayout w:type="fixed"/>
        <w:tblCellMar>
          <w:top w:w="0" w:type="dxa"/>
          <w:left w:w="108" w:type="dxa"/>
          <w:bottom w:w="0" w:type="dxa"/>
          <w:right w:w="108" w:type="dxa"/>
        </w:tblCellMar>
      </w:tblPr>
      <w:tblGrid>
        <w:gridCol w:w="993"/>
        <w:gridCol w:w="2158"/>
        <w:gridCol w:w="5719"/>
      </w:tblGrid>
      <w:tr>
        <w:tblPrEx>
          <w:tblCellMar>
            <w:top w:w="0" w:type="dxa"/>
            <w:left w:w="108" w:type="dxa"/>
            <w:bottom w:w="0" w:type="dxa"/>
            <w:right w:w="108" w:type="dxa"/>
          </w:tblCellMar>
        </w:tblPrEx>
        <w:trPr>
          <w:trHeight w:val="397"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textAlignment w:val="baseline"/>
              <w:rPr>
                <w:rFonts w:hint="eastAsia" w:ascii="宋体" w:hAnsi="宋体" w:cs="宋体"/>
                <w:color w:val="auto"/>
                <w:szCs w:val="21"/>
              </w:rPr>
            </w:pPr>
            <w:r>
              <w:rPr>
                <w:rFonts w:hint="eastAsia" w:ascii="宋体" w:hAnsi="宋体" w:cs="宋体"/>
                <w:color w:val="auto"/>
                <w:szCs w:val="21"/>
              </w:rPr>
              <w:t>条款号</w:t>
            </w:r>
          </w:p>
        </w:tc>
        <w:tc>
          <w:tcPr>
            <w:tcW w:w="215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textAlignment w:val="baseline"/>
              <w:rPr>
                <w:rFonts w:hint="eastAsia" w:ascii="宋体" w:hAnsi="宋体" w:cs="宋体"/>
                <w:color w:val="auto"/>
                <w:szCs w:val="21"/>
              </w:rPr>
            </w:pPr>
            <w:r>
              <w:rPr>
                <w:rFonts w:hint="eastAsia" w:ascii="宋体" w:hAnsi="宋体" w:cs="宋体"/>
                <w:color w:val="auto"/>
                <w:szCs w:val="21"/>
              </w:rPr>
              <w:t>条款名称</w:t>
            </w:r>
          </w:p>
        </w:tc>
        <w:tc>
          <w:tcPr>
            <w:tcW w:w="5719"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textAlignment w:val="baseline"/>
              <w:rPr>
                <w:rFonts w:hint="eastAsia" w:ascii="宋体" w:hAnsi="宋体" w:cs="宋体"/>
                <w:color w:val="auto"/>
                <w:szCs w:val="21"/>
              </w:rPr>
            </w:pPr>
            <w:r>
              <w:rPr>
                <w:rFonts w:hint="eastAsia" w:ascii="宋体" w:hAnsi="宋体" w:cs="宋体"/>
                <w:color w:val="auto"/>
                <w:szCs w:val="21"/>
              </w:rPr>
              <w:t>编  列  内  容</w:t>
            </w:r>
          </w:p>
        </w:tc>
      </w:tr>
      <w:tr>
        <w:tblPrEx>
          <w:tblCellMar>
            <w:top w:w="0" w:type="dxa"/>
            <w:left w:w="108" w:type="dxa"/>
            <w:bottom w:w="0" w:type="dxa"/>
            <w:right w:w="108" w:type="dxa"/>
          </w:tblCellMar>
        </w:tblPrEx>
        <w:trPr>
          <w:trHeight w:val="1322"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textAlignment w:val="baseline"/>
              <w:rPr>
                <w:rFonts w:hint="eastAsia" w:ascii="宋体" w:hAnsi="宋体" w:cs="宋体"/>
                <w:color w:val="auto"/>
                <w:szCs w:val="21"/>
              </w:rPr>
            </w:pPr>
            <w:r>
              <w:rPr>
                <w:rFonts w:hint="eastAsia" w:ascii="宋体" w:hAnsi="宋体" w:cs="宋体"/>
                <w:color w:val="auto"/>
                <w:szCs w:val="21"/>
              </w:rPr>
              <w:t>1.2.1</w:t>
            </w:r>
          </w:p>
        </w:tc>
        <w:tc>
          <w:tcPr>
            <w:tcW w:w="21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pacing w:line="288" w:lineRule="auto"/>
              <w:jc w:val="center"/>
              <w:textAlignment w:val="baseline"/>
              <w:rPr>
                <w:rFonts w:hint="eastAsia" w:ascii="宋体" w:hAnsi="宋体" w:cs="宋体"/>
                <w:color w:val="auto"/>
                <w:szCs w:val="21"/>
              </w:rPr>
            </w:pPr>
            <w:r>
              <w:rPr>
                <w:rFonts w:hint="eastAsia" w:ascii="宋体" w:hAnsi="宋体" w:cs="宋体"/>
                <w:color w:val="auto"/>
                <w:szCs w:val="21"/>
              </w:rPr>
              <w:t>采购人</w:t>
            </w:r>
          </w:p>
        </w:tc>
        <w:tc>
          <w:tcPr>
            <w:tcW w:w="57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E/>
              <w:autoSpaceDN/>
              <w:bidi w:val="0"/>
              <w:spacing w:line="240" w:lineRule="auto"/>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名称</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信阳农林学院</w:t>
            </w:r>
          </w:p>
          <w:p>
            <w:pPr>
              <w:keepNext w:val="0"/>
              <w:keepLines w:val="0"/>
              <w:pageBreakBefore w:val="0"/>
              <w:kinsoku/>
              <w:overflowPunct/>
              <w:topLinePunct w:val="0"/>
              <w:autoSpaceDE/>
              <w:autoSpaceDN/>
              <w:bidi w:val="0"/>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地址：</w:t>
            </w:r>
            <w:r>
              <w:rPr>
                <w:rFonts w:hint="eastAsia" w:ascii="宋体" w:hAnsi="宋体" w:cs="宋体"/>
                <w:color w:val="auto"/>
                <w:sz w:val="21"/>
                <w:szCs w:val="21"/>
                <w:lang w:val="en-US" w:eastAsia="zh-CN"/>
              </w:rPr>
              <w:t>信阳市平桥区北环路1号</w:t>
            </w:r>
          </w:p>
          <w:p>
            <w:pPr>
              <w:keepNext w:val="0"/>
              <w:keepLines w:val="0"/>
              <w:pageBreakBefore w:val="0"/>
              <w:kinsoku/>
              <w:overflowPunct/>
              <w:topLinePunct w:val="0"/>
              <w:autoSpaceDE/>
              <w:autoSpaceDN/>
              <w:bidi w:val="0"/>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联系人：</w:t>
            </w:r>
            <w:r>
              <w:rPr>
                <w:rFonts w:hint="eastAsia" w:ascii="宋体" w:hAnsi="宋体" w:cs="宋体"/>
                <w:color w:val="auto"/>
                <w:sz w:val="21"/>
                <w:szCs w:val="21"/>
                <w:lang w:val="en-US" w:eastAsia="zh-CN"/>
              </w:rPr>
              <w:t>尚先生</w:t>
            </w:r>
          </w:p>
          <w:p>
            <w:pPr>
              <w:keepNext w:val="0"/>
              <w:keepLines w:val="0"/>
              <w:pageBreakBefore w:val="0"/>
              <w:kinsoku/>
              <w:overflowPunct/>
              <w:topLinePunct w:val="0"/>
              <w:autoSpaceDE/>
              <w:autoSpaceDN/>
              <w:bidi w:val="0"/>
              <w:spacing w:line="240" w:lineRule="auto"/>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联系电话：</w:t>
            </w:r>
            <w:r>
              <w:rPr>
                <w:rFonts w:hint="eastAsia" w:ascii="宋体" w:hAnsi="宋体" w:cs="宋体"/>
                <w:color w:val="auto"/>
                <w:sz w:val="21"/>
                <w:szCs w:val="21"/>
                <w:lang w:val="en-US" w:eastAsia="zh-CN"/>
              </w:rPr>
              <w:t>0376-6698756</w:t>
            </w:r>
          </w:p>
        </w:tc>
      </w:tr>
      <w:tr>
        <w:tblPrEx>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textAlignment w:val="baseline"/>
              <w:rPr>
                <w:rFonts w:hint="eastAsia" w:ascii="宋体" w:hAnsi="宋体" w:cs="宋体"/>
                <w:color w:val="auto"/>
                <w:szCs w:val="21"/>
              </w:rPr>
            </w:pPr>
            <w:r>
              <w:rPr>
                <w:rFonts w:hint="eastAsia" w:ascii="宋体" w:hAnsi="宋体" w:cs="宋体"/>
                <w:color w:val="auto"/>
                <w:szCs w:val="21"/>
              </w:rPr>
              <w:t>1.2.2</w:t>
            </w:r>
          </w:p>
        </w:tc>
        <w:tc>
          <w:tcPr>
            <w:tcW w:w="21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pacing w:line="288" w:lineRule="auto"/>
              <w:jc w:val="center"/>
              <w:textAlignment w:val="baseline"/>
              <w:rPr>
                <w:rFonts w:hint="eastAsia" w:ascii="宋体" w:hAnsi="宋体" w:cs="宋体"/>
                <w:color w:val="auto"/>
                <w:szCs w:val="21"/>
              </w:rPr>
            </w:pPr>
            <w:r>
              <w:rPr>
                <w:rFonts w:hint="eastAsia" w:ascii="宋体" w:hAnsi="宋体" w:cs="宋体"/>
                <w:color w:val="auto"/>
                <w:szCs w:val="21"/>
              </w:rPr>
              <w:t>采购代理机构</w:t>
            </w:r>
          </w:p>
        </w:tc>
        <w:tc>
          <w:tcPr>
            <w:tcW w:w="57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spacing w:line="288"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名称：河南英华咨询有限公司</w:t>
            </w:r>
          </w:p>
          <w:p>
            <w:pPr>
              <w:keepNext w:val="0"/>
              <w:keepLines w:val="0"/>
              <w:pageBreakBefore w:val="0"/>
              <w:widowControl/>
              <w:suppressLineNumbers w:val="0"/>
              <w:kinsoku/>
              <w:wordWrap/>
              <w:overflowPunct/>
              <w:topLinePunct w:val="0"/>
              <w:autoSpaceDE/>
              <w:autoSpaceDN/>
              <w:bidi w:val="0"/>
              <w:spacing w:line="288"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地址：信阳市羊山新区政和花园A区23号楼</w:t>
            </w:r>
          </w:p>
          <w:p>
            <w:pPr>
              <w:keepNext w:val="0"/>
              <w:keepLines w:val="0"/>
              <w:pageBreakBefore w:val="0"/>
              <w:widowControl/>
              <w:suppressLineNumbers w:val="0"/>
              <w:kinsoku/>
              <w:wordWrap/>
              <w:overflowPunct/>
              <w:topLinePunct w:val="0"/>
              <w:autoSpaceDE/>
              <w:autoSpaceDN/>
              <w:bidi w:val="0"/>
              <w:spacing w:line="288"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联系人：娄利杰</w:t>
            </w:r>
          </w:p>
          <w:p>
            <w:pPr>
              <w:keepNext w:val="0"/>
              <w:keepLines w:val="0"/>
              <w:pageBreakBefore w:val="0"/>
              <w:widowControl/>
              <w:suppressLineNumbers w:val="0"/>
              <w:kinsoku/>
              <w:wordWrap/>
              <w:overflowPunct/>
              <w:topLinePunct w:val="0"/>
              <w:autoSpaceDE/>
              <w:autoSpaceDN/>
              <w:bidi w:val="0"/>
              <w:spacing w:line="288"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联系方式：0376-6781701、17637601701</w:t>
            </w:r>
          </w:p>
        </w:tc>
      </w:tr>
      <w:tr>
        <w:tblPrEx>
          <w:tblCellMar>
            <w:top w:w="0" w:type="dxa"/>
            <w:left w:w="108" w:type="dxa"/>
            <w:bottom w:w="0" w:type="dxa"/>
            <w:right w:w="108" w:type="dxa"/>
          </w:tblCellMar>
        </w:tblPrEx>
        <w:trPr>
          <w:trHeight w:val="597"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textAlignment w:val="baseline"/>
              <w:rPr>
                <w:rFonts w:hint="eastAsia" w:ascii="宋体" w:hAnsi="宋体" w:cs="宋体"/>
                <w:color w:val="auto"/>
                <w:szCs w:val="21"/>
              </w:rPr>
            </w:pPr>
            <w:r>
              <w:rPr>
                <w:rFonts w:hint="eastAsia" w:ascii="宋体" w:hAnsi="宋体" w:cs="宋体"/>
                <w:color w:val="auto"/>
                <w:szCs w:val="21"/>
              </w:rPr>
              <w:t>1.2.3</w:t>
            </w:r>
          </w:p>
        </w:tc>
        <w:tc>
          <w:tcPr>
            <w:tcW w:w="21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pacing w:line="288" w:lineRule="auto"/>
              <w:jc w:val="center"/>
              <w:textAlignment w:val="baseline"/>
              <w:rPr>
                <w:rFonts w:hint="eastAsia" w:ascii="宋体" w:hAnsi="宋体" w:cs="宋体"/>
                <w:color w:val="auto"/>
                <w:szCs w:val="21"/>
              </w:rPr>
            </w:pPr>
            <w:r>
              <w:rPr>
                <w:rFonts w:hint="eastAsia" w:ascii="宋体" w:hAnsi="宋体" w:cs="宋体"/>
                <w:color w:val="auto"/>
                <w:szCs w:val="21"/>
              </w:rPr>
              <w:t>项目名称</w:t>
            </w:r>
          </w:p>
        </w:tc>
        <w:tc>
          <w:tcPr>
            <w:tcW w:w="57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288" w:lineRule="auto"/>
              <w:rPr>
                <w:rFonts w:hint="eastAsia" w:ascii="宋体" w:hAnsi="宋体" w:eastAsia="宋体" w:cs="宋体"/>
                <w:color w:val="auto"/>
                <w:szCs w:val="21"/>
                <w:lang w:eastAsia="zh-CN"/>
              </w:rPr>
            </w:pPr>
            <w:r>
              <w:rPr>
                <w:rFonts w:hint="eastAsia" w:ascii="宋体" w:hAnsi="宋体" w:cs="宋体"/>
                <w:bCs/>
                <w:color w:val="auto"/>
                <w:sz w:val="21"/>
                <w:szCs w:val="21"/>
                <w:highlight w:val="none"/>
                <w:lang w:eastAsia="zh-CN"/>
              </w:rPr>
              <w:t>信阳农林学院餐饮服务商项目</w:t>
            </w:r>
          </w:p>
        </w:tc>
      </w:tr>
      <w:tr>
        <w:tblPrEx>
          <w:tblCellMar>
            <w:top w:w="0" w:type="dxa"/>
            <w:left w:w="108" w:type="dxa"/>
            <w:bottom w:w="0" w:type="dxa"/>
            <w:right w:w="108" w:type="dxa"/>
          </w:tblCellMar>
        </w:tblPrEx>
        <w:trPr>
          <w:trHeight w:val="597"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textAlignment w:val="baseline"/>
              <w:rPr>
                <w:rFonts w:hint="eastAsia" w:ascii="宋体" w:hAnsi="宋体" w:cs="宋体"/>
                <w:color w:val="auto"/>
                <w:szCs w:val="21"/>
              </w:rPr>
            </w:pPr>
            <w:r>
              <w:rPr>
                <w:rFonts w:hint="eastAsia" w:ascii="宋体" w:hAnsi="宋体" w:cs="宋体"/>
                <w:color w:val="auto"/>
                <w:szCs w:val="21"/>
              </w:rPr>
              <w:t>1.4.1</w:t>
            </w:r>
          </w:p>
        </w:tc>
        <w:tc>
          <w:tcPr>
            <w:tcW w:w="21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pacing w:line="288" w:lineRule="auto"/>
              <w:jc w:val="center"/>
              <w:textAlignment w:val="baseline"/>
              <w:rPr>
                <w:rFonts w:hint="eastAsia" w:ascii="宋体" w:hAnsi="宋体" w:eastAsia="宋体" w:cs="宋体"/>
                <w:color w:val="auto"/>
                <w:szCs w:val="21"/>
                <w:lang w:eastAsia="zh-CN"/>
              </w:rPr>
            </w:pPr>
            <w:r>
              <w:rPr>
                <w:rFonts w:hint="eastAsia" w:ascii="宋体" w:hAnsi="宋体" w:cs="宋体"/>
                <w:color w:val="auto"/>
                <w:szCs w:val="21"/>
                <w:lang w:eastAsia="zh-CN"/>
              </w:rPr>
              <w:t>采购内容</w:t>
            </w:r>
          </w:p>
        </w:tc>
        <w:tc>
          <w:tcPr>
            <w:tcW w:w="57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288" w:lineRule="auto"/>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1包</w:t>
            </w:r>
            <w:r>
              <w:rPr>
                <w:rFonts w:hint="eastAsia" w:ascii="宋体" w:hAnsi="宋体" w:eastAsia="宋体" w:cs="宋体"/>
                <w:color w:val="auto"/>
                <w:szCs w:val="21"/>
                <w:lang w:eastAsia="zh-CN"/>
              </w:rPr>
              <w:t>为竹香苑餐厅一楼，建筑面积约2800</w:t>
            </w:r>
            <w:r>
              <w:rPr>
                <w:rFonts w:hint="eastAsia" w:ascii="宋体" w:hAnsi="宋体" w:eastAsia="宋体" w:cs="宋体"/>
                <w:color w:val="auto"/>
                <w:szCs w:val="21"/>
                <w:lang w:val="en-US" w:eastAsia="zh-CN"/>
              </w:rPr>
              <w:t>㎡</w:t>
            </w:r>
            <w:r>
              <w:rPr>
                <w:rFonts w:hint="eastAsia" w:ascii="宋体" w:hAnsi="宋体" w:eastAsia="宋体" w:cs="宋体"/>
                <w:color w:val="auto"/>
                <w:szCs w:val="21"/>
                <w:lang w:eastAsia="zh-CN"/>
              </w:rPr>
              <w:t>；</w:t>
            </w:r>
          </w:p>
          <w:p>
            <w:pPr>
              <w:keepNext w:val="0"/>
              <w:keepLines w:val="0"/>
              <w:pageBreakBefore w:val="0"/>
              <w:kinsoku/>
              <w:wordWrap/>
              <w:overflowPunct/>
              <w:topLinePunct w:val="0"/>
              <w:autoSpaceDE/>
              <w:autoSpaceDN/>
              <w:bidi w:val="0"/>
              <w:spacing w:line="288" w:lineRule="auto"/>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2包</w:t>
            </w:r>
            <w:r>
              <w:rPr>
                <w:rFonts w:hint="eastAsia" w:ascii="宋体" w:hAnsi="宋体" w:eastAsia="宋体" w:cs="宋体"/>
                <w:color w:val="auto"/>
                <w:szCs w:val="21"/>
                <w:lang w:eastAsia="zh-CN"/>
              </w:rPr>
              <w:t>为竹香苑餐厅二楼，建筑面积约2800</w:t>
            </w:r>
            <w:r>
              <w:rPr>
                <w:rFonts w:hint="eastAsia" w:ascii="宋体" w:hAnsi="宋体" w:eastAsia="宋体" w:cs="宋体"/>
                <w:color w:val="auto"/>
                <w:szCs w:val="21"/>
                <w:lang w:val="en-US" w:eastAsia="zh-CN"/>
              </w:rPr>
              <w:t>㎡</w:t>
            </w:r>
            <w:r>
              <w:rPr>
                <w:rFonts w:hint="eastAsia" w:ascii="宋体" w:hAnsi="宋体" w:eastAsia="宋体" w:cs="宋体"/>
                <w:color w:val="auto"/>
                <w:szCs w:val="21"/>
                <w:lang w:eastAsia="zh-CN"/>
              </w:rPr>
              <w:t>；</w:t>
            </w:r>
          </w:p>
          <w:p>
            <w:pPr>
              <w:keepNext w:val="0"/>
              <w:keepLines w:val="0"/>
              <w:pageBreakBefore w:val="0"/>
              <w:kinsoku/>
              <w:wordWrap/>
              <w:overflowPunct/>
              <w:topLinePunct w:val="0"/>
              <w:autoSpaceDE/>
              <w:autoSpaceDN/>
              <w:bidi w:val="0"/>
              <w:spacing w:line="288" w:lineRule="auto"/>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3包</w:t>
            </w:r>
            <w:r>
              <w:rPr>
                <w:rFonts w:hint="eastAsia" w:ascii="宋体" w:hAnsi="宋体" w:eastAsia="宋体" w:cs="宋体"/>
                <w:color w:val="auto"/>
                <w:szCs w:val="21"/>
                <w:lang w:eastAsia="zh-CN"/>
              </w:rPr>
              <w:t>为银杏食苑餐厅一楼，建筑面积约2300</w:t>
            </w:r>
            <w:r>
              <w:rPr>
                <w:rFonts w:hint="eastAsia" w:ascii="宋体" w:hAnsi="宋体" w:eastAsia="宋体" w:cs="宋体"/>
                <w:color w:val="auto"/>
                <w:szCs w:val="21"/>
                <w:lang w:val="en-US" w:eastAsia="zh-CN"/>
              </w:rPr>
              <w:t>㎡</w:t>
            </w:r>
            <w:r>
              <w:rPr>
                <w:rFonts w:hint="eastAsia" w:ascii="宋体" w:hAnsi="宋体" w:eastAsia="宋体" w:cs="宋体"/>
                <w:color w:val="auto"/>
                <w:szCs w:val="21"/>
                <w:lang w:eastAsia="zh-CN"/>
              </w:rPr>
              <w:t>；</w:t>
            </w:r>
          </w:p>
          <w:p>
            <w:pPr>
              <w:keepNext w:val="0"/>
              <w:keepLines w:val="0"/>
              <w:pageBreakBefore w:val="0"/>
              <w:kinsoku/>
              <w:wordWrap/>
              <w:overflowPunct/>
              <w:topLinePunct w:val="0"/>
              <w:autoSpaceDE/>
              <w:autoSpaceDN/>
              <w:bidi w:val="0"/>
              <w:spacing w:line="288" w:lineRule="auto"/>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4包</w:t>
            </w:r>
            <w:r>
              <w:rPr>
                <w:rFonts w:hint="eastAsia" w:ascii="宋体" w:hAnsi="宋体" w:eastAsia="宋体" w:cs="宋体"/>
                <w:color w:val="auto"/>
                <w:szCs w:val="21"/>
                <w:lang w:eastAsia="zh-CN"/>
              </w:rPr>
              <w:t>为银杏食苑餐厅二楼，建筑面积约2300</w:t>
            </w:r>
            <w:r>
              <w:rPr>
                <w:rFonts w:hint="eastAsia" w:ascii="宋体" w:hAnsi="宋体" w:eastAsia="宋体" w:cs="宋体"/>
                <w:color w:val="auto"/>
                <w:szCs w:val="21"/>
                <w:lang w:val="en-US" w:eastAsia="zh-CN"/>
              </w:rPr>
              <w:t>㎡</w:t>
            </w:r>
            <w:r>
              <w:rPr>
                <w:rFonts w:hint="eastAsia" w:ascii="宋体" w:hAnsi="宋体" w:eastAsia="宋体" w:cs="宋体"/>
                <w:color w:val="auto"/>
                <w:szCs w:val="21"/>
                <w:lang w:eastAsia="zh-CN"/>
              </w:rPr>
              <w:t>；</w:t>
            </w:r>
          </w:p>
        </w:tc>
      </w:tr>
      <w:tr>
        <w:tblPrEx>
          <w:tblCellMar>
            <w:top w:w="0" w:type="dxa"/>
            <w:left w:w="108" w:type="dxa"/>
            <w:bottom w:w="0" w:type="dxa"/>
            <w:right w:w="108" w:type="dxa"/>
          </w:tblCellMar>
        </w:tblPrEx>
        <w:trPr>
          <w:trHeight w:val="597"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1.4.2</w:t>
            </w:r>
          </w:p>
        </w:tc>
        <w:tc>
          <w:tcPr>
            <w:tcW w:w="21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288" w:lineRule="auto"/>
              <w:jc w:val="center"/>
              <w:rPr>
                <w:rFonts w:hint="eastAsia" w:ascii="宋体" w:hAnsi="宋体" w:eastAsia="宋体"/>
                <w:color w:val="auto"/>
                <w:szCs w:val="21"/>
                <w:highlight w:val="none"/>
                <w:lang w:eastAsia="zh-CN"/>
              </w:rPr>
            </w:pPr>
            <w:r>
              <w:rPr>
                <w:rFonts w:hint="eastAsia" w:ascii="宋体" w:hAnsi="宋体" w:eastAsia="宋体"/>
                <w:color w:val="auto"/>
                <w:szCs w:val="21"/>
                <w:highlight w:val="none"/>
                <w:lang w:val="en-US" w:eastAsia="zh-CN"/>
              </w:rPr>
              <w:t>承包经营期限</w:t>
            </w:r>
          </w:p>
        </w:tc>
        <w:tc>
          <w:tcPr>
            <w:tcW w:w="57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288" w:lineRule="auto"/>
              <w:jc w:val="left"/>
              <w:rPr>
                <w:rFonts w:hint="eastAsia" w:ascii="宋体" w:hAnsi="宋体"/>
                <w:color w:val="auto"/>
                <w:szCs w:val="21"/>
                <w:highlight w:val="none"/>
              </w:rPr>
            </w:pPr>
            <w:r>
              <w:rPr>
                <w:rFonts w:hint="eastAsia" w:ascii="宋体" w:hAnsi="宋体" w:eastAsia="宋体"/>
                <w:color w:val="auto"/>
                <w:szCs w:val="21"/>
                <w:highlight w:val="none"/>
                <w:lang w:val="en-US" w:eastAsia="zh-CN"/>
              </w:rPr>
              <w:t>半年</w:t>
            </w:r>
          </w:p>
        </w:tc>
      </w:tr>
      <w:tr>
        <w:tblPrEx>
          <w:tblCellMar>
            <w:top w:w="0" w:type="dxa"/>
            <w:left w:w="108" w:type="dxa"/>
            <w:bottom w:w="0" w:type="dxa"/>
            <w:right w:w="108" w:type="dxa"/>
          </w:tblCellMar>
        </w:tblPrEx>
        <w:trPr>
          <w:trHeight w:val="597"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t>1.4.3</w:t>
            </w:r>
          </w:p>
        </w:tc>
        <w:tc>
          <w:tcPr>
            <w:tcW w:w="21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288" w:lineRule="auto"/>
              <w:jc w:val="center"/>
              <w:rPr>
                <w:rFonts w:hint="eastAsia" w:ascii="宋体" w:hAnsi="宋体"/>
                <w:color w:val="auto"/>
                <w:szCs w:val="21"/>
                <w:highlight w:val="none"/>
              </w:rPr>
            </w:pPr>
            <w:r>
              <w:rPr>
                <w:rFonts w:hint="eastAsia" w:ascii="宋体" w:hAnsi="宋体"/>
                <w:color w:val="auto"/>
                <w:szCs w:val="21"/>
                <w:highlight w:val="none"/>
                <w:lang w:val="en-US" w:eastAsia="zh-CN"/>
              </w:rPr>
              <w:t>服务</w:t>
            </w:r>
            <w:r>
              <w:rPr>
                <w:rFonts w:hint="eastAsia" w:ascii="宋体" w:hAnsi="宋体"/>
                <w:color w:val="auto"/>
                <w:szCs w:val="21"/>
                <w:highlight w:val="none"/>
              </w:rPr>
              <w:t>质量</w:t>
            </w:r>
          </w:p>
        </w:tc>
        <w:tc>
          <w:tcPr>
            <w:tcW w:w="57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288" w:lineRule="auto"/>
              <w:jc w:val="left"/>
              <w:rPr>
                <w:rFonts w:hint="eastAsia" w:ascii="宋体" w:hAnsi="宋体"/>
                <w:color w:val="auto"/>
                <w:szCs w:val="21"/>
                <w:highlight w:val="none"/>
              </w:rPr>
            </w:pPr>
            <w:r>
              <w:rPr>
                <w:rFonts w:hint="eastAsia" w:ascii="宋体" w:hAnsi="宋体"/>
                <w:color w:val="auto"/>
                <w:szCs w:val="21"/>
                <w:highlight w:val="none"/>
                <w:lang w:val="en-US" w:eastAsia="zh-CN"/>
              </w:rPr>
              <w:t>符合国家相关行业合格标准</w:t>
            </w:r>
          </w:p>
        </w:tc>
      </w:tr>
      <w:tr>
        <w:tblPrEx>
          <w:tblCellMar>
            <w:top w:w="0" w:type="dxa"/>
            <w:left w:w="108" w:type="dxa"/>
            <w:bottom w:w="0" w:type="dxa"/>
            <w:right w:w="108" w:type="dxa"/>
          </w:tblCellMar>
        </w:tblPrEx>
        <w:trPr>
          <w:trHeight w:val="597"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textAlignment w:val="baseline"/>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1.4.4</w:t>
            </w:r>
          </w:p>
        </w:tc>
        <w:tc>
          <w:tcPr>
            <w:tcW w:w="21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288" w:lineRule="auto"/>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付款方式</w:t>
            </w:r>
          </w:p>
        </w:tc>
        <w:tc>
          <w:tcPr>
            <w:tcW w:w="57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288" w:lineRule="auto"/>
              <w:jc w:val="left"/>
              <w:rPr>
                <w:rFonts w:hint="default" w:ascii="宋体" w:hAnsi="宋体" w:eastAsia="宋体"/>
                <w:color w:val="auto"/>
                <w:szCs w:val="21"/>
                <w:highlight w:val="none"/>
                <w:lang w:val="en-US" w:eastAsia="zh-CN"/>
              </w:rPr>
            </w:pPr>
            <w:r>
              <w:rPr>
                <w:rFonts w:hint="default" w:ascii="宋体" w:hAnsi="宋体" w:eastAsia="宋体"/>
                <w:color w:val="auto"/>
                <w:szCs w:val="21"/>
                <w:highlight w:val="none"/>
                <w:lang w:val="en-US" w:eastAsia="zh-CN"/>
              </w:rPr>
              <w:t>按合同约定执行</w:t>
            </w:r>
          </w:p>
        </w:tc>
      </w:tr>
      <w:tr>
        <w:tblPrEx>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textAlignment w:val="baseline"/>
              <w:rPr>
                <w:rFonts w:hint="eastAsia" w:ascii="宋体" w:hAnsi="宋体" w:cs="宋体"/>
                <w:color w:val="auto"/>
                <w:szCs w:val="21"/>
              </w:rPr>
            </w:pPr>
            <w:r>
              <w:rPr>
                <w:rFonts w:hint="eastAsia" w:ascii="宋体" w:hAnsi="宋体" w:cs="宋体"/>
                <w:color w:val="auto"/>
                <w:szCs w:val="21"/>
              </w:rPr>
              <w:t>1.5.1</w:t>
            </w:r>
          </w:p>
        </w:tc>
        <w:tc>
          <w:tcPr>
            <w:tcW w:w="21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pacing w:line="288" w:lineRule="auto"/>
              <w:jc w:val="center"/>
              <w:textAlignment w:val="baseline"/>
              <w:rPr>
                <w:rFonts w:hint="eastAsia" w:ascii="宋体" w:hAnsi="宋体" w:cs="宋体"/>
                <w:color w:val="auto"/>
                <w:szCs w:val="21"/>
              </w:rPr>
            </w:pPr>
            <w:r>
              <w:rPr>
                <w:rFonts w:hint="eastAsia" w:ascii="宋体" w:hAnsi="宋体" w:cs="宋体"/>
                <w:color w:val="auto"/>
                <w:szCs w:val="21"/>
              </w:rPr>
              <w:t>供应商资质条件及能力要求</w:t>
            </w:r>
          </w:p>
        </w:tc>
        <w:tc>
          <w:tcPr>
            <w:tcW w:w="57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spacing w:line="400" w:lineRule="exact"/>
              <w:ind w:right="0"/>
              <w:jc w:val="left"/>
              <w:textAlignment w:val="auto"/>
              <w:rPr>
                <w:rFonts w:hint="eastAsia" w:ascii="宋体" w:hAnsi="宋体" w:eastAsia="宋体" w:cs="宋体"/>
                <w:b/>
                <w:bCs/>
                <w:color w:val="000000"/>
                <w:sz w:val="21"/>
                <w:szCs w:val="21"/>
              </w:rPr>
            </w:pPr>
            <w:r>
              <w:rPr>
                <w:rFonts w:hint="eastAsia" w:ascii="宋体" w:hAnsi="宋体" w:eastAsia="宋体" w:cs="宋体"/>
                <w:b/>
                <w:bCs/>
                <w:sz w:val="21"/>
                <w:szCs w:val="21"/>
                <w:lang w:val="en-US" w:eastAsia="zh-CN"/>
              </w:rPr>
              <w:t>1</w:t>
            </w:r>
            <w:r>
              <w:rPr>
                <w:rFonts w:hint="eastAsia" w:ascii="宋体" w:hAnsi="宋体" w:eastAsia="宋体" w:cs="宋体"/>
                <w:b/>
                <w:bCs/>
                <w:sz w:val="21"/>
                <w:szCs w:val="21"/>
                <w:lang w:eastAsia="zh-CN"/>
              </w:rPr>
              <w:t>、</w:t>
            </w:r>
            <w:r>
              <w:rPr>
                <w:rFonts w:hint="eastAsia" w:ascii="宋体" w:hAnsi="宋体" w:eastAsia="宋体" w:cs="宋体"/>
                <w:b/>
                <w:bCs/>
                <w:sz w:val="21"/>
                <w:szCs w:val="21"/>
              </w:rPr>
              <w:t>落实政府采购政策满足的资格要求：</w:t>
            </w:r>
            <w:r>
              <w:rPr>
                <w:rFonts w:hint="eastAsia" w:ascii="宋体" w:hAnsi="宋体" w:eastAsia="宋体" w:cs="宋体"/>
                <w:b w:val="0"/>
                <w:bCs w:val="0"/>
                <w:color w:val="auto"/>
                <w:sz w:val="21"/>
                <w:szCs w:val="21"/>
                <w:shd w:val="clear"/>
              </w:rPr>
              <w:t>本项目</w:t>
            </w:r>
            <w:r>
              <w:rPr>
                <w:rFonts w:hint="eastAsia" w:ascii="宋体" w:hAnsi="宋体" w:eastAsia="宋体" w:cs="宋体"/>
                <w:b w:val="0"/>
                <w:bCs w:val="0"/>
                <w:color w:val="auto"/>
                <w:sz w:val="21"/>
                <w:szCs w:val="21"/>
                <w:shd w:val="clear"/>
                <w:lang w:val="en-US" w:eastAsia="zh-CN"/>
              </w:rPr>
              <w:t>为服务类项目，专门面向中小微企业采购。</w:t>
            </w:r>
          </w:p>
          <w:p>
            <w:pPr>
              <w:pStyle w:val="18"/>
              <w:keepNext w:val="0"/>
              <w:keepLines w:val="0"/>
              <w:pageBreakBefore w:val="0"/>
              <w:kinsoku/>
              <w:overflowPunct/>
              <w:topLinePunct/>
              <w:bidi w:val="0"/>
              <w:adjustRightInd w:val="0"/>
              <w:spacing w:line="400" w:lineRule="exact"/>
              <w:jc w:val="left"/>
              <w:textAlignment w:val="baseline"/>
              <w:rPr>
                <w:rFonts w:hint="eastAsia" w:ascii="宋体" w:hAnsi="宋体" w:eastAsia="宋体" w:cs="宋体"/>
                <w:b/>
                <w:bCs/>
                <w:sz w:val="21"/>
                <w:szCs w:val="21"/>
                <w:lang w:val="en-US" w:eastAsia="zh-CN"/>
              </w:rPr>
            </w:pPr>
            <w:r>
              <w:rPr>
                <w:rFonts w:hint="eastAsia" w:hAnsi="宋体" w:eastAsia="宋体" w:cs="宋体"/>
                <w:b/>
                <w:bCs/>
                <w:sz w:val="21"/>
                <w:szCs w:val="21"/>
                <w:lang w:val="en-US" w:eastAsia="zh-CN"/>
              </w:rPr>
              <w:t>2、</w:t>
            </w:r>
            <w:r>
              <w:rPr>
                <w:rFonts w:hint="eastAsia" w:ascii="宋体" w:hAnsi="宋体" w:eastAsia="宋体" w:cs="宋体"/>
                <w:b/>
                <w:bCs/>
                <w:sz w:val="21"/>
                <w:szCs w:val="21"/>
                <w:lang w:val="en-US" w:eastAsia="zh-CN"/>
              </w:rPr>
              <w:t>符合《中华人民共和国政府采购法》第22条规定（需提供下列证明材料）：</w:t>
            </w:r>
          </w:p>
          <w:p>
            <w:pPr>
              <w:keepNext w:val="0"/>
              <w:keepLines w:val="0"/>
              <w:pageBreakBefore w:val="0"/>
              <w:numPr>
                <w:ilvl w:val="0"/>
                <w:numId w:val="0"/>
              </w:numPr>
              <w:kinsoku/>
              <w:overflowPunct/>
              <w:bidi w:val="0"/>
              <w:spacing w:line="40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（1）具有独立承担民事责任的能力（提供法人或者其他组织的营业执照等证明文件，自然人的身份证明）</w:t>
            </w:r>
            <w:r>
              <w:rPr>
                <w:rFonts w:hint="eastAsia" w:ascii="宋体" w:hAnsi="宋体" w:cs="宋体"/>
                <w:b w:val="0"/>
                <w:bCs w:val="0"/>
                <w:sz w:val="21"/>
                <w:szCs w:val="21"/>
                <w:lang w:val="en-US" w:eastAsia="zh-CN"/>
              </w:rPr>
              <w:t>；</w:t>
            </w:r>
          </w:p>
          <w:p>
            <w:pPr>
              <w:keepNext w:val="0"/>
              <w:keepLines w:val="0"/>
              <w:pageBreakBefore w:val="0"/>
              <w:numPr>
                <w:ilvl w:val="0"/>
                <w:numId w:val="0"/>
              </w:numPr>
              <w:kinsoku/>
              <w:overflowPunct/>
              <w:bidi w:val="0"/>
              <w:spacing w:line="40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（2）具有良好的商业信誉和健全的财务会计制度（提供2021年度或2022年度经审计的财务审计报告，成立不足一年提供开户行出具的资信证明）；</w:t>
            </w:r>
          </w:p>
          <w:p>
            <w:pPr>
              <w:keepNext w:val="0"/>
              <w:keepLines w:val="0"/>
              <w:pageBreakBefore w:val="0"/>
              <w:numPr>
                <w:ilvl w:val="0"/>
                <w:numId w:val="0"/>
              </w:numPr>
              <w:kinsoku/>
              <w:overflowPunct/>
              <w:bidi w:val="0"/>
              <w:spacing w:line="40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（3）具有履行合同所必需的设备和专业技术能力（提供书面声明，格式自拟）；</w:t>
            </w:r>
          </w:p>
          <w:p>
            <w:pPr>
              <w:keepNext w:val="0"/>
              <w:keepLines w:val="0"/>
              <w:pageBreakBefore w:val="0"/>
              <w:numPr>
                <w:ilvl w:val="0"/>
                <w:numId w:val="0"/>
              </w:numPr>
              <w:kinsoku/>
              <w:overflowPunct/>
              <w:bidi w:val="0"/>
              <w:spacing w:line="40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（4）有依法缴纳税收和社会保障资金的良好记录（提供企业2023年1月以来任意3个月依法缴纳税收证明和2023年1月以来任意3个月依法缴纳社会保障资金的证明（</w:t>
            </w:r>
            <w:r>
              <w:rPr>
                <w:rFonts w:hint="eastAsia" w:ascii="宋体" w:hAnsi="宋体" w:eastAsia="宋体" w:cs="宋体"/>
                <w:color w:val="auto"/>
                <w:sz w:val="21"/>
                <w:szCs w:val="21"/>
                <w:highlight w:val="none"/>
                <w:lang w:val="en-US" w:eastAsia="zh-CN"/>
              </w:rPr>
              <w:t>如依法免税或不需要缴纳社会保障资金的供应商，应提供相应文件证明其依法免税或不需要缴纳社会保障资金</w:t>
            </w:r>
            <w:r>
              <w:rPr>
                <w:rFonts w:hint="eastAsia" w:ascii="宋体" w:hAnsi="宋体" w:eastAsia="宋体" w:cs="宋体"/>
                <w:b w:val="0"/>
                <w:bCs w:val="0"/>
                <w:sz w:val="21"/>
                <w:szCs w:val="21"/>
                <w:lang w:val="en-US" w:eastAsia="zh-CN"/>
              </w:rPr>
              <w:t>）；</w:t>
            </w:r>
          </w:p>
          <w:p>
            <w:pPr>
              <w:keepNext w:val="0"/>
              <w:keepLines w:val="0"/>
              <w:pageBreakBefore w:val="0"/>
              <w:numPr>
                <w:ilvl w:val="0"/>
                <w:numId w:val="0"/>
              </w:numPr>
              <w:kinsoku/>
              <w:overflowPunct/>
              <w:bidi w:val="0"/>
              <w:spacing w:line="400" w:lineRule="exac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（5）参加政府采购活动前三年内，在经营活动中没有重大违法记录（提供书面声明，格式自拟）；</w:t>
            </w:r>
          </w:p>
          <w:p>
            <w:pPr>
              <w:keepNext w:val="0"/>
              <w:keepLines w:val="0"/>
              <w:pageBreakBefore w:val="0"/>
              <w:numPr>
                <w:ilvl w:val="0"/>
                <w:numId w:val="0"/>
              </w:numPr>
              <w:kinsoku/>
              <w:overflowPunct/>
              <w:bidi w:val="0"/>
              <w:spacing w:line="400" w:lineRule="exact"/>
              <w:rPr>
                <w:rFonts w:hint="eastAsia"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（6）法律法规规定的其他要求</w:t>
            </w:r>
            <w:r>
              <w:rPr>
                <w:rFonts w:hint="eastAsia" w:ascii="宋体" w:hAnsi="宋体" w:eastAsia="宋体" w:cs="宋体"/>
                <w:b w:val="0"/>
                <w:bCs w:val="0"/>
                <w:sz w:val="21"/>
                <w:szCs w:val="21"/>
                <w:lang w:val="en-US" w:eastAsia="zh-CN"/>
              </w:rPr>
              <w:t>（提供书面声明，格式自拟）；</w:t>
            </w:r>
          </w:p>
          <w:p>
            <w:pPr>
              <w:keepNext w:val="0"/>
              <w:keepLines w:val="0"/>
              <w:pageBreakBefore w:val="0"/>
              <w:numPr>
                <w:ilvl w:val="0"/>
                <w:numId w:val="0"/>
              </w:numPr>
              <w:kinsoku/>
              <w:overflowPunct/>
              <w:bidi w:val="0"/>
              <w:spacing w:line="400" w:lineRule="exact"/>
              <w:rPr>
                <w:rFonts w:hint="eastAsia" w:ascii="宋体" w:hAnsi="宋体" w:eastAsia="宋体" w:cs="宋体"/>
                <w:b/>
                <w:bCs/>
                <w:sz w:val="21"/>
                <w:szCs w:val="21"/>
                <w:lang w:eastAsia="zh-CN"/>
              </w:rPr>
            </w:pPr>
            <w:r>
              <w:rPr>
                <w:rFonts w:hint="eastAsia" w:ascii="宋体" w:hAnsi="宋体" w:eastAsia="宋体" w:cs="宋体"/>
                <w:b/>
                <w:bCs/>
                <w:sz w:val="21"/>
                <w:szCs w:val="21"/>
                <w:lang w:val="en-US" w:eastAsia="zh-CN"/>
              </w:rPr>
              <w:t>3、</w:t>
            </w:r>
            <w:r>
              <w:rPr>
                <w:rFonts w:hint="eastAsia" w:ascii="宋体" w:hAnsi="宋体" w:eastAsia="宋体" w:cs="宋体"/>
                <w:b/>
                <w:bCs/>
                <w:sz w:val="21"/>
                <w:szCs w:val="21"/>
                <w:lang w:eastAsia="zh-CN"/>
              </w:rPr>
              <w:t>特定资格要求：</w:t>
            </w:r>
          </w:p>
          <w:p>
            <w:pPr>
              <w:keepLines w:val="0"/>
              <w:pageBreakBefore w:val="0"/>
              <w:widowControl/>
              <w:kinsoku/>
              <w:wordWrap/>
              <w:overflowPunct/>
              <w:topLinePunct w:val="0"/>
              <w:bidi w:val="0"/>
              <w:adjustRightInd/>
              <w:snapToGrid/>
              <w:spacing w:line="400" w:lineRule="exact"/>
              <w:jc w:val="left"/>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（1）供应商应具有国家规定的从事餐饮行业经营活动的相关证明，具有《食品经营许可证》或《餐饮服务许可证》，食品经营许可证或餐饮服务许可证中的经营者名称需与供应商名称一致；</w:t>
            </w:r>
          </w:p>
          <w:p>
            <w:pPr>
              <w:keepLines w:val="0"/>
              <w:pageBreakBefore w:val="0"/>
              <w:widowControl/>
              <w:kinsoku/>
              <w:wordWrap/>
              <w:overflowPunct/>
              <w:topLinePunct w:val="0"/>
              <w:bidi w:val="0"/>
              <w:adjustRightInd/>
              <w:snapToGrid/>
              <w:spacing w:line="400" w:lineRule="exact"/>
              <w:jc w:val="left"/>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（2）</w:t>
            </w:r>
            <w:r>
              <w:rPr>
                <w:rFonts w:hint="eastAsia" w:ascii="宋体" w:hAnsi="宋体" w:eastAsia="宋体" w:cs="宋体"/>
                <w:sz w:val="21"/>
                <w:szCs w:val="21"/>
                <w:lang w:val="en-US" w:eastAsia="zh-CN"/>
              </w:rPr>
              <w:t>根据《关于在政府采购活动中查询及使用信用记录有关问题的通知》(财库[2016]125 号)的规定，对列入失信被执行人、重大税收违法失信主体、政府采购严重违法失信行为记录名单的供应商，拒绝参与本项目政府采购活动〔查询渠道：”中国执行信息公开网”（http://zxgk.court.gov.cn/）、“信用中国”网站（www.creditchina.gov.cn）、中国政府采购网（www.ccgp.gov.cn〕；提供查询网页截图加单位公章，查询时间需在本招标公告发布之后</w:t>
            </w:r>
            <w:r>
              <w:rPr>
                <w:rFonts w:hint="eastAsia" w:ascii="宋体" w:hAnsi="宋体" w:cs="宋体"/>
                <w:sz w:val="21"/>
                <w:szCs w:val="21"/>
                <w:lang w:val="en-US" w:eastAsia="zh-CN"/>
              </w:rPr>
              <w:t>；</w:t>
            </w:r>
          </w:p>
          <w:p>
            <w:pPr>
              <w:keepLines w:val="0"/>
              <w:pageBreakBefore w:val="0"/>
              <w:widowControl/>
              <w:kinsoku/>
              <w:wordWrap/>
              <w:overflowPunct/>
              <w:topLinePunct w:val="0"/>
              <w:bidi w:val="0"/>
              <w:adjustRightInd/>
              <w:snapToGrid/>
              <w:spacing w:line="400" w:lineRule="exact"/>
              <w:jc w:val="left"/>
              <w:textAlignment w:val="auto"/>
              <w:rPr>
                <w:rFonts w:hint="eastAsia" w:ascii="宋体" w:hAnsi="宋体" w:cs="宋体"/>
                <w:color w:val="auto"/>
                <w:sz w:val="21"/>
                <w:szCs w:val="21"/>
                <w:lang w:val="en-US" w:eastAsia="zh-CN"/>
              </w:rPr>
            </w:pPr>
            <w:r>
              <w:rPr>
                <w:rFonts w:hint="eastAsia" w:ascii="宋体" w:hAnsi="宋体" w:cs="宋体"/>
                <w:sz w:val="21"/>
                <w:szCs w:val="21"/>
                <w:lang w:val="en-US" w:eastAsia="zh-CN"/>
              </w:rPr>
              <w:t>（3）</w:t>
            </w:r>
            <w:r>
              <w:rPr>
                <w:rFonts w:hint="eastAsia" w:ascii="宋体" w:hAnsi="宋体" w:eastAsia="宋体" w:cs="宋体"/>
                <w:sz w:val="21"/>
                <w:szCs w:val="21"/>
                <w:lang w:val="en-US" w:eastAsia="zh-CN"/>
              </w:rPr>
              <w:t>单位负责人为同一人或者存在控股、管理关系的不同单位，不得参加同一招标项目投标。同属于同一母公司的子公司，同一合同项目最多有一家子公司参加投标</w:t>
            </w:r>
            <w:r>
              <w:rPr>
                <w:rFonts w:hint="eastAsia" w:ascii="宋体" w:hAnsi="宋体" w:cs="宋体"/>
                <w:sz w:val="21"/>
                <w:szCs w:val="21"/>
                <w:lang w:val="en-US" w:eastAsia="zh-CN"/>
              </w:rPr>
              <w:t>；</w:t>
            </w:r>
            <w:r>
              <w:rPr>
                <w:rFonts w:hint="eastAsia" w:ascii="宋体" w:hAnsi="宋体" w:eastAsia="宋体" w:cs="宋体"/>
                <w:sz w:val="21"/>
                <w:szCs w:val="21"/>
                <w:lang w:val="en-US" w:eastAsia="zh-CN"/>
              </w:rPr>
              <w:br w:type="textWrapping"/>
            </w:r>
            <w:r>
              <w:rPr>
                <w:rFonts w:hint="eastAsia" w:ascii="宋体" w:hAnsi="宋体" w:cs="宋体"/>
                <w:sz w:val="21"/>
                <w:szCs w:val="21"/>
                <w:lang w:val="en-US" w:eastAsia="zh-CN"/>
              </w:rPr>
              <w:t>（4）</w:t>
            </w:r>
            <w:r>
              <w:rPr>
                <w:rFonts w:hint="eastAsia" w:ascii="宋体" w:hAnsi="宋体" w:eastAsia="宋体" w:cs="宋体"/>
                <w:sz w:val="21"/>
                <w:szCs w:val="21"/>
                <w:lang w:val="en-US" w:eastAsia="zh-CN"/>
              </w:rPr>
              <w:t>本次招标不接受联合体投标。</w:t>
            </w:r>
          </w:p>
        </w:tc>
      </w:tr>
      <w:tr>
        <w:tblPrEx>
          <w:tblCellMar>
            <w:top w:w="0" w:type="dxa"/>
            <w:left w:w="108" w:type="dxa"/>
            <w:bottom w:w="0" w:type="dxa"/>
            <w:right w:w="108" w:type="dxa"/>
          </w:tblCellMar>
        </w:tblPrEx>
        <w:trPr>
          <w:trHeight w:val="397"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textAlignment w:val="baseline"/>
              <w:rPr>
                <w:rFonts w:hint="eastAsia" w:ascii="宋体" w:hAnsi="宋体" w:cs="宋体"/>
                <w:color w:val="auto"/>
                <w:szCs w:val="21"/>
              </w:rPr>
            </w:pPr>
            <w:r>
              <w:rPr>
                <w:rFonts w:hint="eastAsia" w:ascii="宋体" w:hAnsi="宋体" w:cs="宋体"/>
                <w:color w:val="auto"/>
                <w:szCs w:val="21"/>
              </w:rPr>
              <w:t>1.5.2</w:t>
            </w:r>
          </w:p>
        </w:tc>
        <w:tc>
          <w:tcPr>
            <w:tcW w:w="21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288" w:lineRule="auto"/>
              <w:jc w:val="center"/>
              <w:rPr>
                <w:rFonts w:hint="eastAsia" w:ascii="宋体" w:hAnsi="宋体" w:cs="宋体"/>
                <w:color w:val="auto"/>
                <w:szCs w:val="21"/>
              </w:rPr>
            </w:pPr>
            <w:r>
              <w:rPr>
                <w:rFonts w:hint="eastAsia" w:ascii="宋体" w:hAnsi="宋体" w:cs="宋体"/>
                <w:color w:val="auto"/>
                <w:szCs w:val="21"/>
              </w:rPr>
              <w:t>是否接受联合体</w:t>
            </w:r>
          </w:p>
        </w:tc>
        <w:tc>
          <w:tcPr>
            <w:tcW w:w="5719" w:type="dxa"/>
            <w:tcBorders>
              <w:top w:val="single" w:color="auto" w:sz="4" w:space="0"/>
              <w:left w:val="single" w:color="auto" w:sz="4" w:space="0"/>
              <w:bottom w:val="single" w:color="auto" w:sz="4" w:space="0"/>
              <w:right w:val="single" w:color="auto" w:sz="4" w:space="0"/>
            </w:tcBorders>
            <w:noWrap w:val="0"/>
            <w:vAlign w:val="center"/>
          </w:tcPr>
          <w:p>
            <w:pPr>
              <w:pStyle w:val="18"/>
              <w:keepNext w:val="0"/>
              <w:keepLines w:val="0"/>
              <w:pageBreakBefore w:val="0"/>
              <w:kinsoku/>
              <w:wordWrap/>
              <w:overflowPunct/>
              <w:topLinePunct w:val="0"/>
              <w:autoSpaceDE/>
              <w:autoSpaceDN/>
              <w:bidi w:val="0"/>
              <w:adjustRightInd w:val="0"/>
              <w:spacing w:line="288" w:lineRule="auto"/>
              <w:jc w:val="left"/>
              <w:textAlignment w:val="baseline"/>
              <w:rPr>
                <w:rFonts w:hint="eastAsia" w:ascii="宋体" w:hAnsi="宋体" w:cs="宋体"/>
                <w:color w:val="auto"/>
                <w:kern w:val="2"/>
                <w:sz w:val="21"/>
                <w:szCs w:val="21"/>
                <w:lang w:val="en-US" w:eastAsia="zh-CN"/>
              </w:rPr>
            </w:pPr>
            <w:r>
              <w:rPr>
                <w:rFonts w:hint="eastAsia" w:ascii="宋体" w:hAnsi="宋体" w:cs="宋体"/>
                <w:color w:val="auto"/>
                <w:kern w:val="2"/>
                <w:sz w:val="21"/>
                <w:szCs w:val="21"/>
                <w:lang w:val="en-US" w:eastAsia="zh-CN"/>
              </w:rPr>
              <w:t>不接受</w:t>
            </w:r>
          </w:p>
        </w:tc>
      </w:tr>
      <w:tr>
        <w:tblPrEx>
          <w:tblCellMar>
            <w:top w:w="0" w:type="dxa"/>
            <w:left w:w="108" w:type="dxa"/>
            <w:bottom w:w="0" w:type="dxa"/>
            <w:right w:w="108" w:type="dxa"/>
          </w:tblCellMar>
        </w:tblPrEx>
        <w:trPr>
          <w:trHeight w:val="567"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textAlignment w:val="baseline"/>
              <w:rPr>
                <w:rFonts w:hint="eastAsia" w:ascii="宋体" w:hAnsi="宋体" w:cs="宋体"/>
                <w:color w:val="auto"/>
                <w:szCs w:val="21"/>
              </w:rPr>
            </w:pPr>
            <w:r>
              <w:rPr>
                <w:rFonts w:hint="eastAsia" w:ascii="宋体" w:hAnsi="宋体" w:cs="宋体"/>
                <w:color w:val="auto"/>
                <w:szCs w:val="21"/>
              </w:rPr>
              <w:t>1.10.1</w:t>
            </w:r>
          </w:p>
        </w:tc>
        <w:tc>
          <w:tcPr>
            <w:tcW w:w="21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pacing w:line="288" w:lineRule="auto"/>
              <w:jc w:val="center"/>
              <w:textAlignment w:val="baseline"/>
              <w:rPr>
                <w:rFonts w:hint="eastAsia" w:ascii="宋体" w:hAnsi="宋体" w:cs="宋体"/>
                <w:color w:val="auto"/>
                <w:szCs w:val="21"/>
              </w:rPr>
            </w:pPr>
            <w:r>
              <w:rPr>
                <w:rFonts w:hint="eastAsia" w:ascii="宋体" w:hAnsi="宋体" w:cs="宋体"/>
                <w:color w:val="auto"/>
                <w:szCs w:val="21"/>
                <w:lang w:eastAsia="zh-CN"/>
              </w:rPr>
              <w:t>现场踏勘</w:t>
            </w:r>
          </w:p>
        </w:tc>
        <w:tc>
          <w:tcPr>
            <w:tcW w:w="5719" w:type="dxa"/>
            <w:tcBorders>
              <w:top w:val="single" w:color="auto" w:sz="4" w:space="0"/>
              <w:left w:val="single" w:color="auto" w:sz="4" w:space="0"/>
              <w:bottom w:val="single" w:color="auto" w:sz="4" w:space="0"/>
              <w:right w:val="single" w:color="auto" w:sz="4" w:space="0"/>
            </w:tcBorders>
            <w:noWrap w:val="0"/>
            <w:vAlign w:val="center"/>
          </w:tcPr>
          <w:p>
            <w:pPr>
              <w:pStyle w:val="18"/>
              <w:keepNext w:val="0"/>
              <w:keepLines w:val="0"/>
              <w:pageBreakBefore w:val="0"/>
              <w:kinsoku/>
              <w:wordWrap/>
              <w:overflowPunct/>
              <w:topLinePunct w:val="0"/>
              <w:autoSpaceDE/>
              <w:autoSpaceDN/>
              <w:bidi w:val="0"/>
              <w:adjustRightInd w:val="0"/>
              <w:spacing w:line="288" w:lineRule="auto"/>
              <w:jc w:val="left"/>
              <w:textAlignment w:val="baseline"/>
              <w:rPr>
                <w:rFonts w:hint="eastAsia" w:ascii="宋体" w:hAnsi="宋体" w:cs="宋体"/>
                <w:color w:val="auto"/>
                <w:kern w:val="2"/>
                <w:sz w:val="21"/>
                <w:szCs w:val="21"/>
                <w:lang w:val="en-US" w:eastAsia="zh-CN"/>
              </w:rPr>
            </w:pPr>
            <w:r>
              <w:rPr>
                <w:rFonts w:hint="eastAsia" w:ascii="宋体" w:hAnsi="宋体" w:cs="宋体"/>
                <w:color w:val="auto"/>
                <w:kern w:val="2"/>
                <w:sz w:val="21"/>
                <w:szCs w:val="21"/>
                <w:lang w:val="en-US" w:eastAsia="zh-CN"/>
              </w:rPr>
              <w:t>不</w:t>
            </w:r>
            <w:r>
              <w:rPr>
                <w:rFonts w:hint="eastAsia" w:ascii="宋体" w:hAnsi="宋体" w:eastAsia="宋体" w:cs="宋体"/>
                <w:color w:val="auto"/>
                <w:sz w:val="21"/>
                <w:szCs w:val="21"/>
                <w:lang w:val="en-US" w:eastAsia="zh-CN"/>
              </w:rPr>
              <w:t>组织，潜在供应商自行踏勘</w:t>
            </w:r>
          </w:p>
        </w:tc>
      </w:tr>
      <w:tr>
        <w:tblPrEx>
          <w:tblCellMar>
            <w:top w:w="0" w:type="dxa"/>
            <w:left w:w="108" w:type="dxa"/>
            <w:bottom w:w="0" w:type="dxa"/>
            <w:right w:w="108" w:type="dxa"/>
          </w:tblCellMar>
        </w:tblPrEx>
        <w:trPr>
          <w:trHeight w:val="564"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textAlignment w:val="baseline"/>
              <w:rPr>
                <w:rFonts w:hint="eastAsia" w:ascii="宋体" w:hAnsi="宋体" w:cs="宋体"/>
                <w:color w:val="auto"/>
                <w:szCs w:val="21"/>
              </w:rPr>
            </w:pPr>
            <w:r>
              <w:rPr>
                <w:rFonts w:hint="eastAsia" w:ascii="宋体" w:hAnsi="宋体" w:cs="宋体"/>
                <w:color w:val="auto"/>
                <w:szCs w:val="21"/>
              </w:rPr>
              <w:t>1.11</w:t>
            </w:r>
          </w:p>
        </w:tc>
        <w:tc>
          <w:tcPr>
            <w:tcW w:w="21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pacing w:line="288" w:lineRule="auto"/>
              <w:jc w:val="center"/>
              <w:textAlignment w:val="baseline"/>
              <w:rPr>
                <w:rFonts w:hint="eastAsia" w:ascii="宋体" w:hAnsi="宋体" w:cs="宋体"/>
                <w:color w:val="auto"/>
                <w:szCs w:val="21"/>
              </w:rPr>
            </w:pPr>
            <w:r>
              <w:rPr>
                <w:rFonts w:hint="eastAsia" w:ascii="宋体" w:hAnsi="宋体" w:cs="宋体"/>
                <w:color w:val="auto"/>
                <w:szCs w:val="21"/>
              </w:rPr>
              <w:t>分包</w:t>
            </w:r>
          </w:p>
        </w:tc>
        <w:tc>
          <w:tcPr>
            <w:tcW w:w="5719" w:type="dxa"/>
            <w:tcBorders>
              <w:top w:val="single" w:color="auto" w:sz="4" w:space="0"/>
              <w:left w:val="single" w:color="auto" w:sz="4" w:space="0"/>
              <w:bottom w:val="single" w:color="auto" w:sz="4" w:space="0"/>
              <w:right w:val="single" w:color="auto" w:sz="4" w:space="0"/>
            </w:tcBorders>
            <w:noWrap w:val="0"/>
            <w:vAlign w:val="center"/>
          </w:tcPr>
          <w:p>
            <w:pPr>
              <w:pStyle w:val="18"/>
              <w:keepNext w:val="0"/>
              <w:keepLines w:val="0"/>
              <w:pageBreakBefore w:val="0"/>
              <w:kinsoku/>
              <w:wordWrap/>
              <w:overflowPunct/>
              <w:topLinePunct w:val="0"/>
              <w:autoSpaceDE/>
              <w:autoSpaceDN/>
              <w:bidi w:val="0"/>
              <w:adjustRightInd w:val="0"/>
              <w:spacing w:line="288" w:lineRule="auto"/>
              <w:jc w:val="left"/>
              <w:textAlignment w:val="baseline"/>
              <w:rPr>
                <w:rFonts w:hint="eastAsia" w:ascii="宋体" w:hAnsi="宋体" w:cs="宋体"/>
                <w:color w:val="auto"/>
                <w:kern w:val="2"/>
                <w:sz w:val="21"/>
                <w:szCs w:val="21"/>
                <w:lang w:val="en-US" w:eastAsia="zh-CN"/>
              </w:rPr>
            </w:pPr>
            <w:r>
              <w:rPr>
                <w:rFonts w:hint="eastAsia" w:ascii="宋体" w:hAnsi="宋体" w:cs="宋体"/>
                <w:color w:val="auto"/>
                <w:kern w:val="2"/>
                <w:sz w:val="21"/>
                <w:szCs w:val="21"/>
                <w:lang w:val="en-US" w:eastAsia="zh-CN"/>
              </w:rPr>
              <w:t>不允许</w:t>
            </w:r>
          </w:p>
        </w:tc>
      </w:tr>
      <w:tr>
        <w:tblPrEx>
          <w:tblCellMar>
            <w:top w:w="0" w:type="dxa"/>
            <w:left w:w="108" w:type="dxa"/>
            <w:bottom w:w="0" w:type="dxa"/>
            <w:right w:w="108" w:type="dxa"/>
          </w:tblCellMar>
        </w:tblPrEx>
        <w:trPr>
          <w:trHeight w:val="928"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textAlignment w:val="baseline"/>
              <w:rPr>
                <w:rFonts w:hint="eastAsia" w:ascii="宋体" w:hAnsi="宋体" w:cs="宋体"/>
                <w:color w:val="auto"/>
                <w:szCs w:val="21"/>
              </w:rPr>
            </w:pPr>
            <w:r>
              <w:rPr>
                <w:rFonts w:hint="eastAsia" w:ascii="宋体" w:hAnsi="宋体" w:cs="宋体"/>
                <w:color w:val="auto"/>
                <w:szCs w:val="21"/>
              </w:rPr>
              <w:t>2.1</w:t>
            </w:r>
          </w:p>
        </w:tc>
        <w:tc>
          <w:tcPr>
            <w:tcW w:w="21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pacing w:line="288" w:lineRule="auto"/>
              <w:jc w:val="center"/>
              <w:textAlignment w:val="baseline"/>
              <w:rPr>
                <w:rFonts w:hint="eastAsia" w:ascii="宋体" w:hAnsi="宋体" w:cs="宋体"/>
                <w:color w:val="auto"/>
                <w:szCs w:val="21"/>
              </w:rPr>
            </w:pPr>
            <w:r>
              <w:rPr>
                <w:rFonts w:hint="eastAsia" w:ascii="宋体" w:hAnsi="宋体" w:cs="宋体"/>
                <w:color w:val="auto"/>
                <w:szCs w:val="21"/>
              </w:rPr>
              <w:t>构成磋商文件</w:t>
            </w:r>
          </w:p>
          <w:p>
            <w:pPr>
              <w:keepNext w:val="0"/>
              <w:keepLines w:val="0"/>
              <w:pageBreakBefore w:val="0"/>
              <w:kinsoku/>
              <w:wordWrap/>
              <w:overflowPunct/>
              <w:topLinePunct w:val="0"/>
              <w:autoSpaceDE/>
              <w:autoSpaceDN/>
              <w:bidi w:val="0"/>
              <w:adjustRightInd w:val="0"/>
              <w:spacing w:line="288" w:lineRule="auto"/>
              <w:jc w:val="center"/>
              <w:textAlignment w:val="baseline"/>
              <w:rPr>
                <w:rFonts w:hint="eastAsia" w:ascii="宋体" w:hAnsi="宋体" w:cs="宋体"/>
                <w:color w:val="auto"/>
                <w:szCs w:val="21"/>
              </w:rPr>
            </w:pPr>
            <w:r>
              <w:rPr>
                <w:rFonts w:hint="eastAsia" w:ascii="宋体" w:hAnsi="宋体" w:cs="宋体"/>
                <w:color w:val="auto"/>
                <w:szCs w:val="21"/>
              </w:rPr>
              <w:t>的其他材料</w:t>
            </w:r>
          </w:p>
        </w:tc>
        <w:tc>
          <w:tcPr>
            <w:tcW w:w="57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pacing w:line="288" w:lineRule="auto"/>
              <w:jc w:val="left"/>
              <w:textAlignment w:val="baseline"/>
              <w:rPr>
                <w:rFonts w:hint="eastAsia" w:ascii="宋体" w:hAnsi="宋体" w:cs="宋体"/>
                <w:color w:val="auto"/>
                <w:szCs w:val="21"/>
              </w:rPr>
            </w:pPr>
            <w:r>
              <w:rPr>
                <w:rFonts w:hint="eastAsia" w:ascii="宋体" w:hAnsi="宋体" w:cs="宋体"/>
                <w:color w:val="auto"/>
                <w:szCs w:val="21"/>
              </w:rPr>
              <w:t>除磋商文件外，采购人在磋商期间发出的澄清、修改、补充、补遗和其它有效正式函件等内容均是磋商文件的组成部分</w:t>
            </w:r>
          </w:p>
        </w:tc>
      </w:tr>
      <w:tr>
        <w:tblPrEx>
          <w:tblCellMar>
            <w:top w:w="0" w:type="dxa"/>
            <w:left w:w="108" w:type="dxa"/>
            <w:bottom w:w="0" w:type="dxa"/>
            <w:right w:w="108" w:type="dxa"/>
          </w:tblCellMar>
        </w:tblPrEx>
        <w:trPr>
          <w:trHeight w:val="816"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40" w:lineRule="exact"/>
              <w:jc w:val="center"/>
              <w:textAlignment w:val="baseline"/>
              <w:rPr>
                <w:rFonts w:hint="eastAsia" w:ascii="宋体" w:hAnsi="宋体" w:cs="宋体"/>
                <w:color w:val="auto"/>
                <w:szCs w:val="21"/>
              </w:rPr>
            </w:pPr>
            <w:r>
              <w:rPr>
                <w:rFonts w:hint="eastAsia" w:ascii="宋体" w:hAnsi="宋体" w:cs="宋体"/>
                <w:color w:val="auto"/>
                <w:szCs w:val="21"/>
              </w:rPr>
              <w:t>2.2.1</w:t>
            </w:r>
          </w:p>
        </w:tc>
        <w:tc>
          <w:tcPr>
            <w:tcW w:w="21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288" w:lineRule="auto"/>
              <w:jc w:val="center"/>
              <w:rPr>
                <w:rFonts w:hint="eastAsia" w:ascii="宋体" w:hAnsi="宋体" w:cs="宋体"/>
                <w:color w:val="auto"/>
                <w:szCs w:val="21"/>
              </w:rPr>
            </w:pPr>
            <w:r>
              <w:rPr>
                <w:rFonts w:hint="eastAsia" w:ascii="宋体" w:hAnsi="宋体" w:cs="宋体"/>
                <w:color w:val="auto"/>
                <w:szCs w:val="21"/>
              </w:rPr>
              <w:t>供应商要求澄清磋商文件的截止时间</w:t>
            </w:r>
          </w:p>
        </w:tc>
        <w:tc>
          <w:tcPr>
            <w:tcW w:w="57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pacing w:line="288" w:lineRule="auto"/>
              <w:jc w:val="left"/>
              <w:textAlignment w:val="baseline"/>
              <w:rPr>
                <w:rFonts w:hint="eastAsia" w:ascii="宋体" w:hAnsi="宋体" w:cs="宋体"/>
                <w:color w:val="auto"/>
                <w:szCs w:val="21"/>
              </w:rPr>
            </w:pPr>
            <w:r>
              <w:rPr>
                <w:rFonts w:hint="eastAsia" w:ascii="宋体" w:hAnsi="宋体" w:cs="宋体"/>
                <w:color w:val="auto"/>
                <w:szCs w:val="21"/>
              </w:rPr>
              <w:t>递交响应文件截止之日</w:t>
            </w:r>
            <w:r>
              <w:rPr>
                <w:rFonts w:hint="eastAsia" w:ascii="宋体" w:hAnsi="宋体" w:cs="宋体"/>
                <w:color w:val="auto"/>
                <w:szCs w:val="21"/>
                <w:u w:val="single"/>
                <w:lang w:val="en-US" w:eastAsia="zh-CN"/>
              </w:rPr>
              <w:t>5</w:t>
            </w:r>
            <w:r>
              <w:rPr>
                <w:rFonts w:hint="eastAsia" w:ascii="宋体" w:hAnsi="宋体" w:cs="宋体"/>
                <w:color w:val="auto"/>
                <w:szCs w:val="21"/>
              </w:rPr>
              <w:t>天前</w:t>
            </w:r>
          </w:p>
        </w:tc>
      </w:tr>
      <w:tr>
        <w:tblPrEx>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textAlignment w:val="baseline"/>
              <w:rPr>
                <w:rFonts w:hint="eastAsia" w:ascii="宋体" w:hAnsi="宋体" w:cs="宋体"/>
                <w:color w:val="auto"/>
                <w:szCs w:val="21"/>
              </w:rPr>
            </w:pPr>
            <w:r>
              <w:rPr>
                <w:rFonts w:hint="eastAsia" w:ascii="宋体" w:hAnsi="宋体" w:cs="宋体"/>
                <w:color w:val="auto"/>
                <w:szCs w:val="21"/>
              </w:rPr>
              <w:t>2.2.2</w:t>
            </w:r>
          </w:p>
        </w:tc>
        <w:tc>
          <w:tcPr>
            <w:tcW w:w="21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288" w:lineRule="auto"/>
              <w:jc w:val="center"/>
              <w:rPr>
                <w:rFonts w:hint="eastAsia" w:ascii="宋体" w:hAnsi="宋体" w:cs="宋体"/>
                <w:color w:val="auto"/>
                <w:szCs w:val="21"/>
              </w:rPr>
            </w:pPr>
            <w:r>
              <w:rPr>
                <w:rFonts w:hint="eastAsia" w:ascii="宋体" w:hAnsi="宋体" w:cs="宋体"/>
                <w:color w:val="auto"/>
                <w:szCs w:val="21"/>
              </w:rPr>
              <w:t>采购人澄清磋商文件的截止时间</w:t>
            </w:r>
          </w:p>
        </w:tc>
        <w:tc>
          <w:tcPr>
            <w:tcW w:w="57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pacing w:line="288" w:lineRule="auto"/>
              <w:jc w:val="left"/>
              <w:textAlignment w:val="baseline"/>
              <w:rPr>
                <w:rFonts w:hint="eastAsia" w:ascii="宋体" w:hAnsi="宋体" w:cs="宋体"/>
                <w:color w:val="auto"/>
                <w:szCs w:val="21"/>
              </w:rPr>
            </w:pPr>
            <w:r>
              <w:rPr>
                <w:rFonts w:hint="eastAsia" w:ascii="宋体" w:hAnsi="宋体" w:cs="宋体"/>
                <w:color w:val="auto"/>
                <w:szCs w:val="21"/>
              </w:rPr>
              <w:t>递交响应文件截止之日</w:t>
            </w:r>
            <w:r>
              <w:rPr>
                <w:rFonts w:hint="eastAsia" w:ascii="宋体" w:hAnsi="宋体" w:cs="宋体"/>
                <w:color w:val="auto"/>
                <w:szCs w:val="21"/>
                <w:u w:val="single"/>
              </w:rPr>
              <w:t>5</w:t>
            </w:r>
            <w:r>
              <w:rPr>
                <w:rFonts w:hint="eastAsia" w:ascii="宋体" w:hAnsi="宋体" w:cs="宋体"/>
                <w:color w:val="auto"/>
                <w:szCs w:val="21"/>
              </w:rPr>
              <w:t>天前</w:t>
            </w:r>
          </w:p>
        </w:tc>
      </w:tr>
      <w:tr>
        <w:tblPrEx>
          <w:tblCellMar>
            <w:top w:w="0" w:type="dxa"/>
            <w:left w:w="108" w:type="dxa"/>
            <w:bottom w:w="0" w:type="dxa"/>
            <w:right w:w="108" w:type="dxa"/>
          </w:tblCellMar>
        </w:tblPrEx>
        <w:trPr>
          <w:trHeight w:val="1142"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textAlignment w:val="baseline"/>
              <w:rPr>
                <w:rFonts w:hint="eastAsia" w:ascii="宋体" w:hAnsi="宋体" w:cs="宋体"/>
                <w:color w:val="auto"/>
                <w:szCs w:val="21"/>
              </w:rPr>
            </w:pPr>
            <w:r>
              <w:rPr>
                <w:rFonts w:hint="eastAsia" w:ascii="宋体" w:hAnsi="宋体" w:cs="宋体"/>
                <w:color w:val="auto"/>
                <w:szCs w:val="21"/>
              </w:rPr>
              <w:t>2.2.3</w:t>
            </w:r>
          </w:p>
        </w:tc>
        <w:tc>
          <w:tcPr>
            <w:tcW w:w="21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288" w:lineRule="auto"/>
              <w:jc w:val="center"/>
              <w:rPr>
                <w:rFonts w:hint="eastAsia" w:ascii="宋体" w:hAnsi="宋体" w:cs="宋体"/>
                <w:color w:val="auto"/>
                <w:szCs w:val="21"/>
              </w:rPr>
            </w:pPr>
            <w:r>
              <w:rPr>
                <w:rFonts w:hint="eastAsia" w:ascii="宋体" w:hAnsi="宋体" w:cs="宋体"/>
                <w:color w:val="auto"/>
                <w:szCs w:val="21"/>
              </w:rPr>
              <w:t>供应商确认收到磋商文件澄清的时间</w:t>
            </w:r>
          </w:p>
        </w:tc>
        <w:tc>
          <w:tcPr>
            <w:tcW w:w="57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pacing w:line="288" w:lineRule="auto"/>
              <w:jc w:val="left"/>
              <w:textAlignment w:val="baseline"/>
              <w:rPr>
                <w:rFonts w:hint="eastAsia" w:ascii="宋体" w:hAnsi="宋体" w:cs="宋体"/>
                <w:color w:val="auto"/>
                <w:szCs w:val="21"/>
              </w:rPr>
            </w:pPr>
            <w:r>
              <w:rPr>
                <w:rFonts w:hint="eastAsia" w:ascii="宋体" w:hAnsi="宋体" w:cs="宋体"/>
                <w:color w:val="auto"/>
                <w:szCs w:val="21"/>
              </w:rPr>
              <w:t>在收到相应澄清文件后</w:t>
            </w:r>
            <w:r>
              <w:rPr>
                <w:rFonts w:hint="eastAsia" w:ascii="宋体" w:hAnsi="宋体" w:cs="宋体"/>
                <w:color w:val="auto"/>
                <w:szCs w:val="21"/>
                <w:u w:val="single"/>
              </w:rPr>
              <w:t xml:space="preserve"> 24 </w:t>
            </w:r>
            <w:r>
              <w:rPr>
                <w:rFonts w:hint="eastAsia" w:ascii="宋体" w:hAnsi="宋体" w:cs="宋体"/>
                <w:color w:val="auto"/>
                <w:szCs w:val="21"/>
              </w:rPr>
              <w:t>小时内</w:t>
            </w:r>
          </w:p>
        </w:tc>
      </w:tr>
      <w:tr>
        <w:tblPrEx>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textAlignment w:val="baseline"/>
              <w:rPr>
                <w:rFonts w:hint="eastAsia" w:ascii="宋体" w:hAnsi="宋体" w:cs="宋体"/>
                <w:color w:val="auto"/>
                <w:szCs w:val="21"/>
              </w:rPr>
            </w:pPr>
            <w:r>
              <w:rPr>
                <w:rFonts w:hint="eastAsia" w:ascii="宋体" w:hAnsi="宋体" w:cs="宋体"/>
                <w:color w:val="auto"/>
                <w:szCs w:val="21"/>
              </w:rPr>
              <w:t>2.3.2</w:t>
            </w:r>
          </w:p>
        </w:tc>
        <w:tc>
          <w:tcPr>
            <w:tcW w:w="21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288" w:lineRule="auto"/>
              <w:jc w:val="center"/>
              <w:rPr>
                <w:rFonts w:hint="eastAsia" w:ascii="宋体" w:hAnsi="宋体" w:cs="宋体"/>
                <w:color w:val="auto"/>
                <w:szCs w:val="21"/>
              </w:rPr>
            </w:pPr>
            <w:r>
              <w:rPr>
                <w:rFonts w:hint="eastAsia" w:ascii="宋体" w:hAnsi="宋体" w:cs="宋体"/>
                <w:color w:val="auto"/>
                <w:szCs w:val="21"/>
              </w:rPr>
              <w:t>供应商确认收到磋商文件修改的时间</w:t>
            </w:r>
          </w:p>
        </w:tc>
        <w:tc>
          <w:tcPr>
            <w:tcW w:w="57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pacing w:line="288" w:lineRule="auto"/>
              <w:jc w:val="left"/>
              <w:textAlignment w:val="baseline"/>
              <w:rPr>
                <w:rFonts w:hint="eastAsia" w:ascii="宋体" w:hAnsi="宋体" w:cs="宋体"/>
                <w:color w:val="auto"/>
                <w:szCs w:val="21"/>
              </w:rPr>
            </w:pPr>
            <w:r>
              <w:rPr>
                <w:rFonts w:hint="eastAsia" w:ascii="宋体" w:hAnsi="宋体" w:cs="宋体"/>
                <w:color w:val="auto"/>
                <w:szCs w:val="21"/>
              </w:rPr>
              <w:t>在收到相应修改文件后</w:t>
            </w:r>
            <w:r>
              <w:rPr>
                <w:rFonts w:hint="eastAsia" w:ascii="宋体" w:hAnsi="宋体" w:cs="宋体"/>
                <w:color w:val="auto"/>
                <w:szCs w:val="21"/>
                <w:u w:val="single"/>
              </w:rPr>
              <w:t xml:space="preserve"> 24 </w:t>
            </w:r>
            <w:r>
              <w:rPr>
                <w:rFonts w:hint="eastAsia" w:ascii="宋体" w:hAnsi="宋体" w:cs="宋体"/>
                <w:color w:val="auto"/>
                <w:szCs w:val="21"/>
              </w:rPr>
              <w:t>小时内</w:t>
            </w:r>
          </w:p>
        </w:tc>
      </w:tr>
      <w:tr>
        <w:tblPrEx>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textAlignment w:val="baseline"/>
              <w:rPr>
                <w:rFonts w:hint="eastAsia" w:ascii="宋体" w:hAnsi="宋体" w:cs="宋体"/>
                <w:color w:val="auto"/>
                <w:szCs w:val="21"/>
              </w:rPr>
            </w:pPr>
            <w:r>
              <w:rPr>
                <w:rFonts w:hint="eastAsia" w:ascii="宋体" w:hAnsi="宋体" w:cs="宋体"/>
                <w:color w:val="auto"/>
                <w:szCs w:val="21"/>
              </w:rPr>
              <w:t>3.1</w:t>
            </w:r>
          </w:p>
        </w:tc>
        <w:tc>
          <w:tcPr>
            <w:tcW w:w="21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288" w:lineRule="auto"/>
              <w:jc w:val="center"/>
              <w:rPr>
                <w:rFonts w:hint="eastAsia" w:ascii="宋体" w:hAnsi="宋体" w:cs="宋体"/>
                <w:color w:val="auto"/>
                <w:szCs w:val="21"/>
              </w:rPr>
            </w:pPr>
            <w:r>
              <w:rPr>
                <w:rFonts w:hint="eastAsia" w:ascii="宋体" w:hAnsi="宋体" w:cs="宋体"/>
                <w:color w:val="auto"/>
                <w:szCs w:val="21"/>
              </w:rPr>
              <w:t>构成响应文件</w:t>
            </w:r>
          </w:p>
          <w:p>
            <w:pPr>
              <w:keepNext w:val="0"/>
              <w:keepLines w:val="0"/>
              <w:pageBreakBefore w:val="0"/>
              <w:kinsoku/>
              <w:wordWrap/>
              <w:overflowPunct/>
              <w:topLinePunct w:val="0"/>
              <w:autoSpaceDE/>
              <w:autoSpaceDN/>
              <w:bidi w:val="0"/>
              <w:spacing w:line="288" w:lineRule="auto"/>
              <w:jc w:val="center"/>
              <w:rPr>
                <w:rFonts w:hint="eastAsia" w:ascii="宋体" w:hAnsi="宋体" w:cs="宋体"/>
                <w:color w:val="auto"/>
                <w:szCs w:val="21"/>
              </w:rPr>
            </w:pPr>
            <w:r>
              <w:rPr>
                <w:rFonts w:hint="eastAsia" w:ascii="宋体" w:hAnsi="宋体" w:cs="宋体"/>
                <w:color w:val="auto"/>
                <w:szCs w:val="21"/>
              </w:rPr>
              <w:t>的其他材料</w:t>
            </w:r>
          </w:p>
        </w:tc>
        <w:tc>
          <w:tcPr>
            <w:tcW w:w="57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pacing w:line="288" w:lineRule="auto"/>
              <w:jc w:val="left"/>
              <w:textAlignment w:val="baseline"/>
              <w:rPr>
                <w:rFonts w:hint="eastAsia" w:ascii="宋体" w:hAnsi="宋体" w:cs="宋体"/>
                <w:color w:val="auto"/>
                <w:szCs w:val="21"/>
              </w:rPr>
            </w:pPr>
            <w:r>
              <w:rPr>
                <w:rFonts w:hint="eastAsia" w:ascii="宋体" w:hAnsi="宋体" w:cs="宋体"/>
                <w:color w:val="auto"/>
                <w:szCs w:val="21"/>
              </w:rPr>
              <w:t>供应商认为需要提交的其他证明材料</w:t>
            </w:r>
          </w:p>
        </w:tc>
      </w:tr>
      <w:tr>
        <w:tblPrEx>
          <w:tblCellMar>
            <w:top w:w="0" w:type="dxa"/>
            <w:left w:w="108" w:type="dxa"/>
            <w:bottom w:w="0" w:type="dxa"/>
            <w:right w:w="108" w:type="dxa"/>
          </w:tblCellMar>
        </w:tblPrEx>
        <w:trPr>
          <w:trHeight w:val="397"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textAlignment w:val="baseline"/>
              <w:rPr>
                <w:rFonts w:hint="eastAsia" w:ascii="宋体" w:hAnsi="宋体" w:cs="宋体"/>
                <w:color w:val="auto"/>
                <w:szCs w:val="21"/>
              </w:rPr>
            </w:pPr>
            <w:r>
              <w:rPr>
                <w:rFonts w:hint="eastAsia" w:ascii="宋体" w:hAnsi="宋体" w:cs="宋体"/>
                <w:color w:val="auto"/>
                <w:szCs w:val="21"/>
              </w:rPr>
              <w:t>3.3.1</w:t>
            </w:r>
          </w:p>
        </w:tc>
        <w:tc>
          <w:tcPr>
            <w:tcW w:w="21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pacing w:line="288" w:lineRule="auto"/>
              <w:jc w:val="center"/>
              <w:textAlignment w:val="baseline"/>
              <w:rPr>
                <w:rFonts w:hint="eastAsia" w:ascii="宋体" w:hAnsi="宋体" w:cs="宋体"/>
                <w:color w:val="auto"/>
                <w:szCs w:val="21"/>
              </w:rPr>
            </w:pPr>
            <w:r>
              <w:rPr>
                <w:rFonts w:hint="eastAsia" w:ascii="宋体" w:hAnsi="宋体" w:cs="宋体"/>
                <w:color w:val="auto"/>
                <w:szCs w:val="21"/>
              </w:rPr>
              <w:t>磋商有效期</w:t>
            </w:r>
          </w:p>
        </w:tc>
        <w:tc>
          <w:tcPr>
            <w:tcW w:w="57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pacing w:line="288" w:lineRule="auto"/>
              <w:jc w:val="left"/>
              <w:textAlignment w:val="baseline"/>
              <w:rPr>
                <w:rFonts w:hint="eastAsia" w:ascii="宋体" w:hAnsi="宋体" w:cs="宋体"/>
                <w:color w:val="auto"/>
                <w:szCs w:val="21"/>
              </w:rPr>
            </w:pPr>
            <w:r>
              <w:rPr>
                <w:rFonts w:hint="eastAsia" w:ascii="宋体" w:hAnsi="宋体" w:cs="宋体"/>
                <w:color w:val="auto"/>
                <w:szCs w:val="21"/>
              </w:rPr>
              <w:t>响应文件</w:t>
            </w:r>
            <w:r>
              <w:rPr>
                <w:rFonts w:hint="eastAsia" w:ascii="宋体" w:hAnsi="宋体" w:cs="宋体"/>
                <w:color w:val="auto"/>
                <w:szCs w:val="21"/>
                <w:lang w:eastAsia="zh-CN"/>
              </w:rPr>
              <w:t>提交</w:t>
            </w:r>
            <w:r>
              <w:rPr>
                <w:rFonts w:hint="eastAsia" w:ascii="宋体" w:hAnsi="宋体" w:cs="宋体"/>
                <w:color w:val="auto"/>
                <w:szCs w:val="21"/>
              </w:rPr>
              <w:t>截止之日起</w:t>
            </w:r>
            <w:r>
              <w:rPr>
                <w:rFonts w:hint="eastAsia" w:ascii="宋体" w:hAnsi="宋体"/>
                <w:color w:val="auto"/>
                <w:szCs w:val="21"/>
              </w:rPr>
              <w:t>60日历天</w:t>
            </w:r>
          </w:p>
        </w:tc>
      </w:tr>
      <w:tr>
        <w:tblPrEx>
          <w:tblCellMar>
            <w:top w:w="0" w:type="dxa"/>
            <w:left w:w="108" w:type="dxa"/>
            <w:bottom w:w="0" w:type="dxa"/>
            <w:right w:w="108" w:type="dxa"/>
          </w:tblCellMar>
        </w:tblPrEx>
        <w:tc>
          <w:tcPr>
            <w:tcW w:w="99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textAlignment w:val="baseline"/>
              <w:rPr>
                <w:rFonts w:hint="eastAsia" w:ascii="宋体" w:hAnsi="宋体" w:cs="宋体"/>
                <w:color w:val="auto"/>
                <w:szCs w:val="21"/>
              </w:rPr>
            </w:pPr>
            <w:r>
              <w:rPr>
                <w:rFonts w:hint="eastAsia" w:ascii="宋体" w:hAnsi="宋体" w:cs="宋体"/>
                <w:color w:val="auto"/>
                <w:szCs w:val="21"/>
              </w:rPr>
              <w:t>3.6</w:t>
            </w:r>
          </w:p>
        </w:tc>
        <w:tc>
          <w:tcPr>
            <w:tcW w:w="21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288" w:lineRule="auto"/>
              <w:jc w:val="center"/>
              <w:rPr>
                <w:rFonts w:hint="eastAsia" w:ascii="宋体" w:hAnsi="宋体" w:cs="宋体"/>
                <w:color w:val="auto"/>
                <w:szCs w:val="21"/>
              </w:rPr>
            </w:pPr>
            <w:r>
              <w:rPr>
                <w:rFonts w:hint="eastAsia" w:ascii="宋体" w:hAnsi="宋体" w:cs="宋体"/>
                <w:color w:val="auto"/>
                <w:szCs w:val="21"/>
              </w:rPr>
              <w:t>是否允许递交</w:t>
            </w:r>
          </w:p>
          <w:p>
            <w:pPr>
              <w:keepNext w:val="0"/>
              <w:keepLines w:val="0"/>
              <w:pageBreakBefore w:val="0"/>
              <w:kinsoku/>
              <w:wordWrap/>
              <w:overflowPunct/>
              <w:topLinePunct w:val="0"/>
              <w:autoSpaceDE/>
              <w:autoSpaceDN/>
              <w:bidi w:val="0"/>
              <w:spacing w:line="288" w:lineRule="auto"/>
              <w:jc w:val="center"/>
              <w:rPr>
                <w:rFonts w:hint="eastAsia" w:ascii="宋体" w:hAnsi="宋体" w:cs="宋体"/>
                <w:color w:val="auto"/>
                <w:szCs w:val="21"/>
              </w:rPr>
            </w:pPr>
            <w:r>
              <w:rPr>
                <w:rFonts w:hint="eastAsia" w:ascii="宋体" w:hAnsi="宋体" w:cs="宋体"/>
                <w:color w:val="auto"/>
                <w:szCs w:val="21"/>
              </w:rPr>
              <w:t>备选磋商方案</w:t>
            </w:r>
          </w:p>
        </w:tc>
        <w:tc>
          <w:tcPr>
            <w:tcW w:w="5719" w:type="dxa"/>
            <w:tcBorders>
              <w:top w:val="single" w:color="auto" w:sz="4" w:space="0"/>
              <w:left w:val="single" w:color="auto" w:sz="4" w:space="0"/>
              <w:bottom w:val="single" w:color="auto" w:sz="4" w:space="0"/>
              <w:right w:val="single" w:color="auto" w:sz="4" w:space="0"/>
            </w:tcBorders>
            <w:noWrap w:val="0"/>
            <w:vAlign w:val="center"/>
          </w:tcPr>
          <w:p>
            <w:pPr>
              <w:pStyle w:val="18"/>
              <w:keepNext w:val="0"/>
              <w:keepLines w:val="0"/>
              <w:pageBreakBefore w:val="0"/>
              <w:kinsoku/>
              <w:wordWrap/>
              <w:overflowPunct/>
              <w:topLinePunct w:val="0"/>
              <w:autoSpaceDE/>
              <w:autoSpaceDN/>
              <w:bidi w:val="0"/>
              <w:adjustRightInd w:val="0"/>
              <w:spacing w:line="288" w:lineRule="auto"/>
              <w:jc w:val="left"/>
              <w:textAlignment w:val="baseline"/>
              <w:rPr>
                <w:rFonts w:hint="eastAsia" w:ascii="宋体" w:hAnsi="宋体" w:cs="宋体"/>
                <w:color w:val="auto"/>
                <w:kern w:val="2"/>
                <w:sz w:val="21"/>
                <w:szCs w:val="21"/>
                <w:lang w:val="en-US" w:eastAsia="zh-CN"/>
              </w:rPr>
            </w:pPr>
            <w:r>
              <w:rPr>
                <w:rFonts w:hint="eastAsia" w:ascii="宋体" w:hAnsi="宋体" w:cs="宋体"/>
                <w:color w:val="auto"/>
                <w:kern w:val="2"/>
                <w:sz w:val="21"/>
                <w:szCs w:val="21"/>
                <w:lang w:val="en-US" w:eastAsia="zh-CN"/>
              </w:rPr>
              <w:t>不允许</w:t>
            </w:r>
          </w:p>
        </w:tc>
      </w:tr>
      <w:tr>
        <w:tblPrEx>
          <w:tblCellMar>
            <w:top w:w="0" w:type="dxa"/>
            <w:left w:w="108" w:type="dxa"/>
            <w:bottom w:w="0" w:type="dxa"/>
            <w:right w:w="108" w:type="dxa"/>
          </w:tblCellMar>
        </w:tblPrEx>
        <w:trPr>
          <w:trHeight w:val="765"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textAlignment w:val="baseline"/>
              <w:rPr>
                <w:rFonts w:hint="eastAsia" w:ascii="宋体" w:hAnsi="宋体" w:cs="宋体"/>
                <w:color w:val="auto"/>
                <w:szCs w:val="21"/>
              </w:rPr>
            </w:pPr>
            <w:r>
              <w:rPr>
                <w:rFonts w:hint="eastAsia" w:ascii="宋体" w:hAnsi="宋体" w:cs="宋体"/>
                <w:color w:val="auto"/>
                <w:szCs w:val="21"/>
              </w:rPr>
              <w:t>3.7.3</w:t>
            </w:r>
          </w:p>
        </w:tc>
        <w:tc>
          <w:tcPr>
            <w:tcW w:w="21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pacing w:line="288" w:lineRule="auto"/>
              <w:jc w:val="center"/>
              <w:textAlignment w:val="baseline"/>
              <w:rPr>
                <w:rFonts w:hint="eastAsia" w:ascii="宋体" w:hAnsi="宋体" w:cs="宋体"/>
                <w:color w:val="auto"/>
                <w:szCs w:val="21"/>
              </w:rPr>
            </w:pPr>
            <w:r>
              <w:rPr>
                <w:rFonts w:hint="eastAsia" w:ascii="宋体" w:hAnsi="宋体" w:cs="宋体"/>
                <w:color w:val="auto"/>
                <w:szCs w:val="21"/>
              </w:rPr>
              <w:t>电子响应文件</w:t>
            </w:r>
          </w:p>
          <w:p>
            <w:pPr>
              <w:keepNext w:val="0"/>
              <w:keepLines w:val="0"/>
              <w:pageBreakBefore w:val="0"/>
              <w:kinsoku/>
              <w:wordWrap/>
              <w:overflowPunct/>
              <w:topLinePunct w:val="0"/>
              <w:autoSpaceDE/>
              <w:autoSpaceDN/>
              <w:bidi w:val="0"/>
              <w:adjustRightInd w:val="0"/>
              <w:spacing w:line="288" w:lineRule="auto"/>
              <w:jc w:val="center"/>
              <w:textAlignment w:val="baseline"/>
              <w:rPr>
                <w:rFonts w:hint="eastAsia" w:ascii="宋体" w:hAnsi="宋体" w:cs="宋体"/>
                <w:color w:val="auto"/>
                <w:szCs w:val="21"/>
              </w:rPr>
            </w:pPr>
            <w:r>
              <w:rPr>
                <w:rFonts w:hint="eastAsia" w:ascii="宋体" w:hAnsi="宋体" w:cs="宋体"/>
                <w:color w:val="auto"/>
                <w:szCs w:val="21"/>
              </w:rPr>
              <w:t>签字盖章要求</w:t>
            </w:r>
          </w:p>
        </w:tc>
        <w:tc>
          <w:tcPr>
            <w:tcW w:w="57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88"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（1）所有要求供应商加盖公章的地方都须加盖供应商的 CA 印章。</w:t>
            </w:r>
          </w:p>
          <w:p>
            <w:pPr>
              <w:keepNext w:val="0"/>
              <w:keepLines w:val="0"/>
              <w:pageBreakBefore w:val="0"/>
              <w:kinsoku/>
              <w:wordWrap/>
              <w:overflowPunct/>
              <w:topLinePunct w:val="0"/>
              <w:autoSpaceDE/>
              <w:autoSpaceDN/>
              <w:bidi w:val="0"/>
              <w:adjustRightInd w:val="0"/>
              <w:snapToGrid w:val="0"/>
              <w:spacing w:line="288" w:lineRule="auto"/>
              <w:jc w:val="left"/>
              <w:rPr>
                <w:rFonts w:hint="eastAsia"/>
                <w:color w:val="auto"/>
              </w:rPr>
            </w:pPr>
            <w:r>
              <w:rPr>
                <w:rFonts w:hint="eastAsia" w:ascii="宋体" w:hAnsi="宋体" w:eastAsia="宋体" w:cs="宋体"/>
                <w:color w:val="auto"/>
                <w:sz w:val="21"/>
                <w:szCs w:val="21"/>
                <w:lang w:val="en-US" w:eastAsia="zh-CN"/>
              </w:rPr>
              <w:t>（2）所有要求法定代表人或其委托代理人签字的地方都须法定代表人或其委托代理人加盖CA印章或签字。</w:t>
            </w:r>
          </w:p>
        </w:tc>
      </w:tr>
      <w:tr>
        <w:tblPrEx>
          <w:tblCellMar>
            <w:top w:w="0" w:type="dxa"/>
            <w:left w:w="108" w:type="dxa"/>
            <w:bottom w:w="0" w:type="dxa"/>
            <w:right w:w="108" w:type="dxa"/>
          </w:tblCellMar>
        </w:tblPrEx>
        <w:trPr>
          <w:trHeight w:val="788"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color w:val="auto"/>
                <w:szCs w:val="21"/>
              </w:rPr>
            </w:pPr>
            <w:r>
              <w:rPr>
                <w:rFonts w:hint="eastAsia" w:ascii="宋体" w:hAnsi="宋体" w:cs="宋体"/>
                <w:bCs/>
                <w:color w:val="auto"/>
                <w:szCs w:val="21"/>
              </w:rPr>
              <w:t>3.7.4</w:t>
            </w:r>
          </w:p>
        </w:tc>
        <w:tc>
          <w:tcPr>
            <w:tcW w:w="21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88" w:lineRule="auto"/>
              <w:jc w:val="center"/>
              <w:rPr>
                <w:rFonts w:hint="eastAsia" w:ascii="宋体" w:hAnsi="宋体" w:cs="宋体"/>
                <w:bCs/>
                <w:color w:val="auto"/>
                <w:szCs w:val="21"/>
              </w:rPr>
            </w:pPr>
            <w:r>
              <w:rPr>
                <w:rFonts w:hint="eastAsia" w:ascii="宋体" w:hAnsi="宋体" w:cs="宋体"/>
                <w:bCs/>
                <w:color w:val="auto"/>
                <w:szCs w:val="21"/>
              </w:rPr>
              <w:t>响应文件份数</w:t>
            </w:r>
          </w:p>
        </w:tc>
        <w:tc>
          <w:tcPr>
            <w:tcW w:w="57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88" w:lineRule="auto"/>
              <w:jc w:val="left"/>
              <w:rPr>
                <w:rFonts w:hint="eastAsia" w:ascii="宋体" w:hAnsi="宋体" w:cs="宋体"/>
                <w:bCs/>
                <w:color w:val="auto"/>
                <w:szCs w:val="21"/>
              </w:rPr>
            </w:pPr>
            <w:r>
              <w:rPr>
                <w:rFonts w:hint="eastAsia" w:ascii="宋体" w:hAnsi="宋体" w:cs="宋体"/>
                <w:bCs/>
                <w:color w:val="auto"/>
                <w:szCs w:val="21"/>
              </w:rPr>
              <w:t>加密的电子响应文件壹份（*.XYTF 格式，在会员系统指定位置上传）</w:t>
            </w:r>
          </w:p>
        </w:tc>
      </w:tr>
      <w:tr>
        <w:tblPrEx>
          <w:tblCellMar>
            <w:top w:w="0" w:type="dxa"/>
            <w:left w:w="108" w:type="dxa"/>
            <w:bottom w:w="0" w:type="dxa"/>
            <w:right w:w="108" w:type="dxa"/>
          </w:tblCellMar>
        </w:tblPrEx>
        <w:trPr>
          <w:trHeight w:val="2948"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textAlignment w:val="baseline"/>
              <w:rPr>
                <w:rFonts w:hint="eastAsia" w:ascii="宋体" w:hAnsi="宋体" w:cs="宋体"/>
                <w:color w:val="auto"/>
                <w:szCs w:val="21"/>
              </w:rPr>
            </w:pPr>
            <w:r>
              <w:rPr>
                <w:rFonts w:hint="eastAsia" w:ascii="宋体" w:hAnsi="宋体" w:cs="宋体"/>
                <w:color w:val="auto"/>
                <w:szCs w:val="21"/>
              </w:rPr>
              <w:t>4.2</w:t>
            </w:r>
          </w:p>
        </w:tc>
        <w:tc>
          <w:tcPr>
            <w:tcW w:w="21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pacing w:line="288" w:lineRule="auto"/>
              <w:jc w:val="center"/>
              <w:textAlignment w:val="baseline"/>
              <w:rPr>
                <w:rFonts w:hint="eastAsia" w:ascii="宋体" w:hAnsi="宋体" w:cs="宋体"/>
                <w:color w:val="auto"/>
                <w:szCs w:val="21"/>
              </w:rPr>
            </w:pPr>
            <w:r>
              <w:rPr>
                <w:rFonts w:hint="eastAsia" w:ascii="宋体" w:hAnsi="宋体" w:cs="宋体"/>
                <w:color w:val="auto"/>
                <w:szCs w:val="21"/>
              </w:rPr>
              <w:t>响应文件的递交</w:t>
            </w:r>
          </w:p>
        </w:tc>
        <w:tc>
          <w:tcPr>
            <w:tcW w:w="57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88" w:lineRule="auto"/>
              <w:jc w:val="lef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1、电子响应文件的递交</w:t>
            </w:r>
          </w:p>
          <w:p>
            <w:pPr>
              <w:keepNext w:val="0"/>
              <w:keepLines w:val="0"/>
              <w:pageBreakBefore w:val="0"/>
              <w:kinsoku/>
              <w:wordWrap/>
              <w:overflowPunct/>
              <w:topLinePunct w:val="0"/>
              <w:autoSpaceDE/>
              <w:autoSpaceDN/>
              <w:bidi w:val="0"/>
              <w:adjustRightInd w:val="0"/>
              <w:snapToGrid w:val="0"/>
              <w:spacing w:line="360" w:lineRule="auto"/>
              <w:jc w:val="lef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各供应商应在响应文件提交时间前上传加密的电子响应文件（*.XYTF）到会员系统的指定位置。上传时必须得到交易系统“上传成功”的确认回复后方为上传成功。请供应商在上传前务必认真检查上传响应文件是否完整、正确。</w:t>
            </w:r>
          </w:p>
          <w:p>
            <w:pPr>
              <w:keepNext w:val="0"/>
              <w:keepLines w:val="0"/>
              <w:pageBreakBefore w:val="0"/>
              <w:kinsoku/>
              <w:wordWrap/>
              <w:overflowPunct/>
              <w:topLinePunct w:val="0"/>
              <w:autoSpaceDE/>
              <w:autoSpaceDN/>
              <w:bidi w:val="0"/>
              <w:adjustRightInd w:val="0"/>
              <w:snapToGrid w:val="0"/>
              <w:spacing w:line="360" w:lineRule="auto"/>
              <w:jc w:val="left"/>
              <w:rPr>
                <w:rFonts w:hint="eastAsia" w:ascii="宋体" w:hAnsi="宋体" w:cs="宋体"/>
                <w:color w:val="auto"/>
                <w:szCs w:val="21"/>
              </w:rPr>
            </w:pPr>
            <w:r>
              <w:rPr>
                <w:rFonts w:hint="eastAsia" w:ascii="宋体" w:hAnsi="宋体" w:cs="宋体"/>
                <w:color w:val="auto"/>
                <w:sz w:val="21"/>
                <w:szCs w:val="21"/>
                <w:lang w:val="en-US" w:eastAsia="zh-CN"/>
              </w:rPr>
              <w:t xml:space="preserve">2、本项目采用“不见面开标”交易方式，不见面开标大厅网址为 </w:t>
            </w:r>
            <w:r>
              <w:rPr>
                <w:rFonts w:hint="eastAsia" w:ascii="宋体" w:hAnsi="宋体" w:cs="宋体"/>
                <w:color w:val="auto"/>
                <w:sz w:val="21"/>
                <w:szCs w:val="21"/>
                <w:lang w:val="en-US" w:eastAsia="zh-CN"/>
              </w:rPr>
              <w:fldChar w:fldCharType="begin"/>
            </w:r>
            <w:r>
              <w:rPr>
                <w:rFonts w:hint="eastAsia" w:ascii="宋体" w:hAnsi="宋体" w:cs="宋体"/>
                <w:color w:val="auto"/>
                <w:sz w:val="21"/>
                <w:szCs w:val="21"/>
                <w:lang w:val="en-US" w:eastAsia="zh-CN"/>
              </w:rPr>
              <w:instrText xml:space="preserve"> HYPERLINK "http://117.158.91.68:8095/xxhy，投标人无需寄送和递交非加密的电子投标文件，无需到现场参加开标会议，无需到达现场提交原件资料。" </w:instrText>
            </w:r>
            <w:r>
              <w:rPr>
                <w:rFonts w:hint="eastAsia" w:ascii="宋体" w:hAnsi="宋体" w:cs="宋体"/>
                <w:color w:val="auto"/>
                <w:sz w:val="21"/>
                <w:szCs w:val="21"/>
                <w:lang w:val="en-US" w:eastAsia="zh-CN"/>
              </w:rPr>
              <w:fldChar w:fldCharType="separate"/>
            </w:r>
            <w:r>
              <w:rPr>
                <w:rFonts w:hint="eastAsia" w:ascii="宋体" w:hAnsi="宋体" w:cs="宋体"/>
                <w:color w:val="auto"/>
                <w:sz w:val="21"/>
                <w:szCs w:val="21"/>
                <w:lang w:val="en-US" w:eastAsia="zh-CN"/>
              </w:rPr>
              <w:t>https://ggzyjy.xinyang.gov.cn/BidOpening，供应商无需寄送和递交非加密的电子响应文件，无需到现场参加开标会议，无需到达现场提交原件资料。</w:t>
            </w:r>
            <w:r>
              <w:rPr>
                <w:rFonts w:hint="eastAsia" w:ascii="宋体" w:hAnsi="宋体" w:cs="宋体"/>
                <w:color w:val="auto"/>
                <w:sz w:val="21"/>
                <w:szCs w:val="21"/>
                <w:lang w:val="en-US" w:eastAsia="zh-CN"/>
              </w:rPr>
              <w:fldChar w:fldCharType="end"/>
            </w:r>
          </w:p>
        </w:tc>
      </w:tr>
      <w:tr>
        <w:tblPrEx>
          <w:tblCellMar>
            <w:top w:w="0" w:type="dxa"/>
            <w:left w:w="108" w:type="dxa"/>
            <w:bottom w:w="0" w:type="dxa"/>
            <w:right w:w="108" w:type="dxa"/>
          </w:tblCellMar>
        </w:tblPrEx>
        <w:trPr>
          <w:trHeight w:val="911"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textAlignment w:val="baseline"/>
              <w:rPr>
                <w:rFonts w:hint="eastAsia" w:ascii="宋体" w:hAnsi="宋体" w:cs="宋体"/>
                <w:color w:val="auto"/>
                <w:szCs w:val="21"/>
              </w:rPr>
            </w:pPr>
            <w:r>
              <w:rPr>
                <w:rFonts w:hint="eastAsia" w:ascii="宋体" w:hAnsi="宋体" w:cs="宋体"/>
                <w:color w:val="auto"/>
                <w:szCs w:val="21"/>
              </w:rPr>
              <w:t>5.1</w:t>
            </w:r>
          </w:p>
        </w:tc>
        <w:tc>
          <w:tcPr>
            <w:tcW w:w="21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pacing w:line="288" w:lineRule="auto"/>
              <w:jc w:val="center"/>
              <w:textAlignment w:val="baseline"/>
              <w:rPr>
                <w:rFonts w:hint="eastAsia" w:ascii="宋体" w:hAnsi="宋体" w:cs="宋体"/>
                <w:color w:val="auto"/>
                <w:szCs w:val="21"/>
              </w:rPr>
            </w:pPr>
            <w:r>
              <w:rPr>
                <w:rFonts w:hint="eastAsia" w:ascii="宋体" w:hAnsi="宋体" w:cs="宋体"/>
                <w:color w:val="auto"/>
                <w:szCs w:val="21"/>
              </w:rPr>
              <w:t>响应文件提交</w:t>
            </w:r>
          </w:p>
          <w:p>
            <w:pPr>
              <w:keepNext w:val="0"/>
              <w:keepLines w:val="0"/>
              <w:pageBreakBefore w:val="0"/>
              <w:kinsoku/>
              <w:wordWrap/>
              <w:overflowPunct/>
              <w:topLinePunct w:val="0"/>
              <w:autoSpaceDE/>
              <w:autoSpaceDN/>
              <w:bidi w:val="0"/>
              <w:adjustRightInd w:val="0"/>
              <w:spacing w:line="288" w:lineRule="auto"/>
              <w:jc w:val="center"/>
              <w:textAlignment w:val="baseline"/>
              <w:rPr>
                <w:rFonts w:hint="eastAsia" w:ascii="宋体" w:hAnsi="宋体" w:cs="宋体"/>
                <w:color w:val="auto"/>
                <w:szCs w:val="21"/>
              </w:rPr>
            </w:pPr>
            <w:r>
              <w:rPr>
                <w:rFonts w:hint="eastAsia" w:ascii="宋体" w:hAnsi="宋体" w:cs="宋体"/>
                <w:color w:val="auto"/>
                <w:szCs w:val="21"/>
              </w:rPr>
              <w:t>截止时间</w:t>
            </w:r>
          </w:p>
        </w:tc>
        <w:tc>
          <w:tcPr>
            <w:tcW w:w="57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88" w:lineRule="auto"/>
              <w:jc w:val="left"/>
              <w:rPr>
                <w:rFonts w:hint="eastAsia" w:ascii="宋体" w:hAnsi="宋体" w:eastAsia="宋体" w:cs="宋体"/>
                <w:color w:val="auto"/>
                <w:sz w:val="21"/>
                <w:szCs w:val="21"/>
                <w:lang w:val="en-US" w:eastAsia="zh-CN"/>
              </w:rPr>
            </w:pPr>
            <w:r>
              <w:rPr>
                <w:rFonts w:hint="eastAsia" w:ascii="宋体" w:hAnsi="宋体" w:eastAsia="宋体" w:cs="宋体"/>
                <w:color w:val="FF0000"/>
                <w:sz w:val="21"/>
                <w:szCs w:val="21"/>
                <w:lang w:val="en-US" w:eastAsia="zh-CN"/>
              </w:rPr>
              <w:t>202</w:t>
            </w:r>
            <w:r>
              <w:rPr>
                <w:rFonts w:hint="eastAsia" w:ascii="宋体" w:hAnsi="宋体" w:cs="宋体"/>
                <w:color w:val="FF0000"/>
                <w:sz w:val="21"/>
                <w:szCs w:val="21"/>
                <w:lang w:val="en-US" w:eastAsia="zh-CN"/>
              </w:rPr>
              <w:t>4</w:t>
            </w:r>
            <w:r>
              <w:rPr>
                <w:rFonts w:hint="eastAsia" w:ascii="宋体" w:hAnsi="宋体" w:eastAsia="宋体" w:cs="宋体"/>
                <w:color w:val="FF0000"/>
                <w:sz w:val="21"/>
                <w:szCs w:val="21"/>
                <w:lang w:val="en-US" w:eastAsia="zh-CN"/>
              </w:rPr>
              <w:t>年</w:t>
            </w:r>
            <w:r>
              <w:rPr>
                <w:rFonts w:hint="eastAsia" w:ascii="宋体" w:hAnsi="宋体" w:cs="宋体"/>
                <w:color w:val="FF0000"/>
                <w:sz w:val="21"/>
                <w:szCs w:val="21"/>
                <w:lang w:val="en-US" w:eastAsia="zh-CN"/>
              </w:rPr>
              <w:t>01</w:t>
            </w:r>
            <w:r>
              <w:rPr>
                <w:rFonts w:hint="eastAsia" w:ascii="宋体" w:hAnsi="宋体" w:eastAsia="宋体" w:cs="宋体"/>
                <w:color w:val="FF0000"/>
                <w:sz w:val="21"/>
                <w:szCs w:val="21"/>
                <w:lang w:val="en-US" w:eastAsia="zh-CN"/>
              </w:rPr>
              <w:t>月</w:t>
            </w:r>
            <w:r>
              <w:rPr>
                <w:rFonts w:hint="eastAsia" w:ascii="宋体" w:hAnsi="宋体" w:cs="宋体"/>
                <w:color w:val="FF0000"/>
                <w:sz w:val="21"/>
                <w:szCs w:val="21"/>
                <w:lang w:val="en-US" w:eastAsia="zh-CN"/>
              </w:rPr>
              <w:t>02</w:t>
            </w:r>
            <w:r>
              <w:rPr>
                <w:rFonts w:hint="eastAsia" w:ascii="宋体" w:hAnsi="宋体" w:eastAsia="宋体" w:cs="宋体"/>
                <w:color w:val="FF0000"/>
                <w:sz w:val="21"/>
                <w:szCs w:val="21"/>
                <w:lang w:val="en-US" w:eastAsia="zh-CN"/>
              </w:rPr>
              <w:t>日9时30分</w:t>
            </w:r>
          </w:p>
        </w:tc>
      </w:tr>
      <w:tr>
        <w:tblPrEx>
          <w:tblCellMar>
            <w:top w:w="0" w:type="dxa"/>
            <w:left w:w="108" w:type="dxa"/>
            <w:bottom w:w="0" w:type="dxa"/>
            <w:right w:w="108" w:type="dxa"/>
          </w:tblCellMar>
        </w:tblPrEx>
        <w:trPr>
          <w:trHeight w:val="685"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textAlignment w:val="baseline"/>
              <w:rPr>
                <w:rFonts w:ascii="宋体" w:hAnsi="宋体" w:cs="宋体"/>
                <w:color w:val="auto"/>
                <w:szCs w:val="21"/>
              </w:rPr>
            </w:pPr>
            <w:r>
              <w:rPr>
                <w:rFonts w:hint="eastAsia" w:ascii="宋体" w:hAnsi="宋体" w:cs="宋体"/>
                <w:color w:val="auto"/>
                <w:szCs w:val="21"/>
              </w:rPr>
              <w:t>5.1.1</w:t>
            </w:r>
          </w:p>
        </w:tc>
        <w:tc>
          <w:tcPr>
            <w:tcW w:w="21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pacing w:line="288" w:lineRule="auto"/>
              <w:jc w:val="center"/>
              <w:textAlignment w:val="baseline"/>
              <w:rPr>
                <w:rFonts w:hint="eastAsia" w:ascii="宋体" w:hAnsi="宋体" w:cs="宋体"/>
                <w:color w:val="auto"/>
                <w:szCs w:val="21"/>
              </w:rPr>
            </w:pPr>
            <w:r>
              <w:rPr>
                <w:rFonts w:hint="eastAsia" w:ascii="宋体" w:hAnsi="宋体" w:cs="宋体"/>
                <w:color w:val="auto"/>
                <w:szCs w:val="21"/>
              </w:rPr>
              <w:t>磋商时间和地点</w:t>
            </w:r>
          </w:p>
        </w:tc>
        <w:tc>
          <w:tcPr>
            <w:tcW w:w="57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pacing w:line="288" w:lineRule="auto"/>
              <w:jc w:val="left"/>
              <w:rPr>
                <w:rFonts w:hint="eastAsia" w:ascii="宋体" w:hAnsi="宋体" w:cs="宋体"/>
                <w:color w:val="auto"/>
                <w:kern w:val="0"/>
                <w:szCs w:val="21"/>
              </w:rPr>
            </w:pPr>
            <w:r>
              <w:rPr>
                <w:rFonts w:hint="eastAsia" w:ascii="宋体" w:hAnsi="宋体" w:cs="宋体"/>
                <w:color w:val="auto"/>
                <w:szCs w:val="21"/>
              </w:rPr>
              <w:t>磋商</w:t>
            </w:r>
            <w:r>
              <w:rPr>
                <w:rFonts w:hint="eastAsia" w:ascii="宋体" w:hAnsi="宋体" w:cs="宋体"/>
                <w:color w:val="auto"/>
                <w:kern w:val="0"/>
                <w:szCs w:val="21"/>
              </w:rPr>
              <w:t>时间：同</w:t>
            </w:r>
            <w:r>
              <w:rPr>
                <w:rFonts w:hint="eastAsia" w:ascii="宋体" w:hAnsi="宋体" w:cs="宋体"/>
                <w:color w:val="auto"/>
                <w:szCs w:val="21"/>
              </w:rPr>
              <w:t>响应文件提交</w:t>
            </w:r>
            <w:r>
              <w:rPr>
                <w:rFonts w:hint="eastAsia" w:ascii="宋体" w:hAnsi="宋体" w:cs="宋体"/>
                <w:color w:val="auto"/>
                <w:kern w:val="0"/>
                <w:szCs w:val="21"/>
              </w:rPr>
              <w:t>截止时间</w:t>
            </w:r>
          </w:p>
          <w:p>
            <w:pPr>
              <w:keepNext w:val="0"/>
              <w:keepLines w:val="0"/>
              <w:pageBreakBefore w:val="0"/>
              <w:kinsoku/>
              <w:wordWrap/>
              <w:overflowPunct/>
              <w:topLinePunct w:val="0"/>
              <w:autoSpaceDE/>
              <w:autoSpaceDN/>
              <w:bidi w:val="0"/>
              <w:spacing w:line="288" w:lineRule="auto"/>
              <w:jc w:val="left"/>
              <w:rPr>
                <w:rFonts w:hint="eastAsia" w:ascii="宋体" w:hAnsi="宋体" w:cs="宋体"/>
                <w:color w:val="auto"/>
                <w:szCs w:val="21"/>
              </w:rPr>
            </w:pPr>
            <w:r>
              <w:rPr>
                <w:rFonts w:hint="eastAsia" w:ascii="宋体" w:hAnsi="宋体" w:cs="宋体"/>
                <w:color w:val="auto"/>
                <w:szCs w:val="21"/>
              </w:rPr>
              <w:t>磋商</w:t>
            </w:r>
            <w:r>
              <w:rPr>
                <w:rFonts w:hint="eastAsia" w:ascii="宋体" w:hAnsi="宋体" w:cs="宋体"/>
                <w:color w:val="auto"/>
                <w:kern w:val="0"/>
                <w:szCs w:val="21"/>
              </w:rPr>
              <w:t>地点：</w:t>
            </w:r>
            <w:r>
              <w:rPr>
                <w:rFonts w:hint="eastAsia" w:ascii="宋体" w:hAnsi="宋体" w:cs="宋体"/>
                <w:color w:val="FF0000"/>
                <w:kern w:val="0"/>
                <w:szCs w:val="21"/>
              </w:rPr>
              <w:t>信阳市公共资源交易中心第</w:t>
            </w:r>
            <w:r>
              <w:rPr>
                <w:rFonts w:hint="eastAsia" w:ascii="宋体" w:hAnsi="宋体" w:cs="宋体"/>
                <w:color w:val="FF0000"/>
                <w:kern w:val="0"/>
                <w:szCs w:val="21"/>
                <w:u w:val="single"/>
                <w:lang w:val="en-US" w:eastAsia="zh-CN"/>
              </w:rPr>
              <w:t xml:space="preserve"> 六 </w:t>
            </w:r>
            <w:r>
              <w:rPr>
                <w:rFonts w:hint="eastAsia" w:ascii="宋体" w:hAnsi="宋体" w:cs="宋体"/>
                <w:color w:val="FF0000"/>
                <w:kern w:val="0"/>
                <w:szCs w:val="21"/>
              </w:rPr>
              <w:t>开标厅</w:t>
            </w:r>
          </w:p>
        </w:tc>
      </w:tr>
      <w:tr>
        <w:tblPrEx>
          <w:tblCellMar>
            <w:top w:w="0" w:type="dxa"/>
            <w:left w:w="108" w:type="dxa"/>
            <w:bottom w:w="0" w:type="dxa"/>
            <w:right w:w="108" w:type="dxa"/>
          </w:tblCellMar>
        </w:tblPrEx>
        <w:trPr>
          <w:trHeight w:val="544"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textAlignment w:val="baseline"/>
              <w:rPr>
                <w:rFonts w:hint="eastAsia" w:ascii="宋体" w:hAnsi="宋体" w:cs="宋体"/>
                <w:color w:val="auto"/>
                <w:szCs w:val="21"/>
              </w:rPr>
            </w:pPr>
            <w:r>
              <w:rPr>
                <w:rFonts w:hint="eastAsia" w:ascii="宋体" w:hAnsi="宋体" w:cs="宋体"/>
                <w:color w:val="auto"/>
                <w:szCs w:val="21"/>
              </w:rPr>
              <w:t>6.1</w:t>
            </w:r>
          </w:p>
        </w:tc>
        <w:tc>
          <w:tcPr>
            <w:tcW w:w="21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pacing w:line="288" w:lineRule="auto"/>
              <w:jc w:val="center"/>
              <w:textAlignment w:val="baseline"/>
              <w:rPr>
                <w:rFonts w:hint="eastAsia" w:ascii="宋体" w:hAnsi="宋体" w:cs="宋体"/>
                <w:color w:val="auto"/>
                <w:szCs w:val="21"/>
              </w:rPr>
            </w:pPr>
            <w:r>
              <w:rPr>
                <w:rFonts w:hint="eastAsia" w:ascii="宋体" w:hAnsi="宋体" w:cs="宋体"/>
                <w:color w:val="auto"/>
                <w:szCs w:val="21"/>
              </w:rPr>
              <w:t>磋商小组的组建</w:t>
            </w:r>
          </w:p>
        </w:tc>
        <w:tc>
          <w:tcPr>
            <w:tcW w:w="57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pacing w:line="288" w:lineRule="auto"/>
              <w:jc w:val="left"/>
              <w:rPr>
                <w:rFonts w:hint="eastAsia" w:ascii="宋体" w:hAnsi="宋体" w:cs="宋体"/>
                <w:color w:val="auto"/>
                <w:szCs w:val="21"/>
              </w:rPr>
            </w:pPr>
            <w:r>
              <w:rPr>
                <w:rFonts w:hint="eastAsia" w:ascii="宋体" w:hAnsi="宋体" w:cs="宋体"/>
                <w:color w:val="auto"/>
                <w:szCs w:val="21"/>
              </w:rPr>
              <w:t>磋商小组构成：3人，其中业主评委1人，技术、经济类专家2人；</w:t>
            </w:r>
          </w:p>
          <w:p>
            <w:pPr>
              <w:keepNext w:val="0"/>
              <w:keepLines w:val="0"/>
              <w:pageBreakBefore w:val="0"/>
              <w:kinsoku/>
              <w:wordWrap/>
              <w:overflowPunct/>
              <w:topLinePunct w:val="0"/>
              <w:autoSpaceDE/>
              <w:autoSpaceDN/>
              <w:bidi w:val="0"/>
              <w:adjustRightInd w:val="0"/>
              <w:spacing w:line="288" w:lineRule="auto"/>
              <w:jc w:val="left"/>
              <w:textAlignment w:val="baseline"/>
              <w:rPr>
                <w:rFonts w:hint="eastAsia" w:ascii="宋体" w:hAnsi="宋体" w:cs="宋体"/>
                <w:color w:val="auto"/>
                <w:szCs w:val="21"/>
              </w:rPr>
            </w:pPr>
            <w:r>
              <w:rPr>
                <w:rFonts w:hint="eastAsia" w:ascii="宋体" w:hAnsi="宋体" w:cs="宋体"/>
                <w:color w:val="auto"/>
                <w:kern w:val="0"/>
                <w:szCs w:val="21"/>
              </w:rPr>
              <w:t>专家确定方式：磋商前从政府采购专家库中随机抽取。</w:t>
            </w:r>
          </w:p>
        </w:tc>
      </w:tr>
      <w:tr>
        <w:tblPrEx>
          <w:tblCellMar>
            <w:top w:w="0" w:type="dxa"/>
            <w:left w:w="108" w:type="dxa"/>
            <w:bottom w:w="0" w:type="dxa"/>
            <w:right w:w="108" w:type="dxa"/>
          </w:tblCellMar>
        </w:tblPrEx>
        <w:trPr>
          <w:trHeight w:val="735"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textAlignment w:val="baseline"/>
              <w:rPr>
                <w:rFonts w:hint="eastAsia" w:ascii="宋体" w:hAnsi="宋体" w:cs="宋体"/>
                <w:color w:val="auto"/>
                <w:szCs w:val="21"/>
              </w:rPr>
            </w:pPr>
            <w:r>
              <w:rPr>
                <w:rFonts w:hint="eastAsia" w:ascii="宋体" w:hAnsi="宋体" w:cs="宋体"/>
                <w:color w:val="auto"/>
                <w:szCs w:val="21"/>
              </w:rPr>
              <w:t>7.1</w:t>
            </w:r>
          </w:p>
        </w:tc>
        <w:tc>
          <w:tcPr>
            <w:tcW w:w="21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pacing w:line="288" w:lineRule="auto"/>
              <w:jc w:val="center"/>
              <w:textAlignment w:val="baseline"/>
              <w:rPr>
                <w:rFonts w:hint="eastAsia" w:ascii="宋体" w:hAnsi="宋体" w:cs="宋体"/>
                <w:color w:val="auto"/>
                <w:szCs w:val="21"/>
              </w:rPr>
            </w:pPr>
            <w:r>
              <w:rPr>
                <w:rFonts w:hint="eastAsia" w:ascii="宋体" w:hAnsi="宋体" w:cs="宋体"/>
                <w:color w:val="auto"/>
                <w:szCs w:val="21"/>
              </w:rPr>
              <w:t>是否授权磋商小组</w:t>
            </w:r>
          </w:p>
          <w:p>
            <w:pPr>
              <w:keepNext w:val="0"/>
              <w:keepLines w:val="0"/>
              <w:pageBreakBefore w:val="0"/>
              <w:kinsoku/>
              <w:wordWrap/>
              <w:overflowPunct/>
              <w:topLinePunct w:val="0"/>
              <w:autoSpaceDE/>
              <w:autoSpaceDN/>
              <w:bidi w:val="0"/>
              <w:adjustRightInd w:val="0"/>
              <w:spacing w:line="288" w:lineRule="auto"/>
              <w:jc w:val="center"/>
              <w:textAlignment w:val="baseline"/>
              <w:rPr>
                <w:rFonts w:hint="eastAsia" w:ascii="宋体" w:hAnsi="宋体" w:cs="宋体"/>
                <w:color w:val="auto"/>
                <w:szCs w:val="21"/>
              </w:rPr>
            </w:pPr>
            <w:r>
              <w:rPr>
                <w:rFonts w:hint="eastAsia" w:ascii="宋体" w:hAnsi="宋体" w:cs="宋体"/>
                <w:color w:val="auto"/>
                <w:szCs w:val="21"/>
              </w:rPr>
              <w:t>确定成交人</w:t>
            </w:r>
          </w:p>
        </w:tc>
        <w:tc>
          <w:tcPr>
            <w:tcW w:w="57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pacing w:line="288" w:lineRule="auto"/>
              <w:jc w:val="left"/>
              <w:textAlignment w:val="baseline"/>
              <w:rPr>
                <w:rFonts w:hint="eastAsia" w:ascii="宋体" w:hAnsi="宋体" w:cs="宋体"/>
                <w:color w:val="auto"/>
                <w:szCs w:val="21"/>
              </w:rPr>
            </w:pPr>
            <w:r>
              <w:rPr>
                <w:rFonts w:hint="eastAsia" w:ascii="宋体" w:hAnsi="宋体" w:cs="宋体"/>
                <w:color w:val="auto"/>
                <w:szCs w:val="21"/>
              </w:rPr>
              <w:t>否；推荐的成交候选人数：</w:t>
            </w:r>
            <w:r>
              <w:rPr>
                <w:rFonts w:hint="eastAsia" w:ascii="宋体" w:hAnsi="宋体" w:cs="宋体"/>
                <w:color w:val="auto"/>
                <w:szCs w:val="21"/>
                <w:lang w:val="en-US" w:eastAsia="zh-CN"/>
              </w:rPr>
              <w:t>1-</w:t>
            </w:r>
            <w:r>
              <w:rPr>
                <w:rFonts w:hint="eastAsia" w:ascii="宋体" w:hAnsi="宋体" w:cs="宋体"/>
                <w:color w:val="auto"/>
                <w:szCs w:val="21"/>
              </w:rPr>
              <w:t>3名</w:t>
            </w:r>
          </w:p>
        </w:tc>
      </w:tr>
      <w:tr>
        <w:tblPrEx>
          <w:tblCellMar>
            <w:top w:w="0" w:type="dxa"/>
            <w:left w:w="108" w:type="dxa"/>
            <w:bottom w:w="0" w:type="dxa"/>
            <w:right w:w="108" w:type="dxa"/>
          </w:tblCellMar>
        </w:tblPrEx>
        <w:trPr>
          <w:trHeight w:val="538" w:hRule="atLeast"/>
        </w:trPr>
        <w:tc>
          <w:tcPr>
            <w:tcW w:w="887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pacing w:line="288" w:lineRule="auto"/>
              <w:jc w:val="center"/>
              <w:textAlignment w:val="baseline"/>
              <w:rPr>
                <w:rFonts w:hint="eastAsia" w:ascii="宋体" w:hAnsi="宋体" w:cs="宋体"/>
                <w:color w:val="auto"/>
                <w:szCs w:val="21"/>
              </w:rPr>
            </w:pPr>
            <w:r>
              <w:rPr>
                <w:rFonts w:hint="eastAsia" w:ascii="宋体" w:hAnsi="宋体" w:cs="宋体"/>
                <w:color w:val="auto"/>
                <w:szCs w:val="21"/>
              </w:rPr>
              <w:t>需要补充的其他内容</w:t>
            </w:r>
          </w:p>
        </w:tc>
      </w:tr>
      <w:tr>
        <w:tblPrEx>
          <w:tblCellMar>
            <w:top w:w="0" w:type="dxa"/>
            <w:left w:w="108" w:type="dxa"/>
            <w:bottom w:w="0" w:type="dxa"/>
            <w:right w:w="108" w:type="dxa"/>
          </w:tblCellMar>
        </w:tblPrEx>
        <w:trPr>
          <w:trHeight w:val="560"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jc w:val="center"/>
              <w:textAlignment w:val="baseline"/>
              <w:rPr>
                <w:rFonts w:hint="eastAsia" w:ascii="宋体" w:hAnsi="宋体" w:cs="宋体"/>
                <w:color w:val="auto"/>
                <w:szCs w:val="21"/>
              </w:rPr>
            </w:pPr>
            <w:r>
              <w:rPr>
                <w:rFonts w:hint="eastAsia" w:ascii="宋体" w:hAnsi="宋体" w:cs="宋体"/>
                <w:color w:val="auto"/>
                <w:szCs w:val="21"/>
              </w:rPr>
              <w:t>解释权</w:t>
            </w:r>
          </w:p>
        </w:tc>
        <w:tc>
          <w:tcPr>
            <w:tcW w:w="787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pacing w:line="288" w:lineRule="auto"/>
              <w:jc w:val="left"/>
              <w:textAlignment w:val="baseline"/>
              <w:rPr>
                <w:rFonts w:hint="eastAsia" w:ascii="宋体" w:hAnsi="宋体" w:cs="宋体"/>
                <w:color w:val="auto"/>
                <w:szCs w:val="21"/>
              </w:rPr>
            </w:pPr>
            <w:r>
              <w:rPr>
                <w:rFonts w:hint="eastAsia" w:ascii="宋体" w:hAnsi="宋体" w:cs="宋体"/>
                <w:color w:val="auto"/>
                <w:szCs w:val="21"/>
              </w:rPr>
              <w:t>构成本磋商文件的各个组成文件应互为解释，互为说明；如有不明确或不一致，按磋商公告、供应商须知、评审办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tblPrEx>
          <w:tblCellMar>
            <w:top w:w="0" w:type="dxa"/>
            <w:left w:w="108" w:type="dxa"/>
            <w:bottom w:w="0" w:type="dxa"/>
            <w:right w:w="108" w:type="dxa"/>
          </w:tblCellMar>
        </w:tblPrEx>
        <w:trPr>
          <w:trHeight w:val="800"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olor w:val="auto"/>
                <w:szCs w:val="21"/>
              </w:rPr>
            </w:pPr>
            <w:r>
              <w:rPr>
                <w:rFonts w:hint="eastAsia" w:ascii="宋体" w:hAnsi="宋体"/>
                <w:color w:val="auto"/>
                <w:szCs w:val="21"/>
              </w:rPr>
              <w:t>代理服务费</w:t>
            </w:r>
          </w:p>
        </w:tc>
        <w:tc>
          <w:tcPr>
            <w:tcW w:w="787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288" w:lineRule="auto"/>
              <w:jc w:val="left"/>
              <w:rPr>
                <w:rFonts w:hint="eastAsia" w:ascii="宋体" w:hAnsi="宋体"/>
                <w:color w:val="auto"/>
                <w:szCs w:val="21"/>
              </w:rPr>
            </w:pPr>
            <w:r>
              <w:rPr>
                <w:rFonts w:hint="eastAsia" w:ascii="宋体" w:hAnsi="宋体" w:cs="宋体"/>
                <w:color w:val="auto"/>
                <w:szCs w:val="21"/>
                <w:lang w:val="en-US" w:bidi="zh-CN"/>
              </w:rPr>
              <w:t>参考河南省招标代理服务收费指导意见（豫招协【2023】002号）文件收取，向成交供应商收取 ，由成交人在成交公示期满后一日内领取成交通知书并向代理机构一次性足额支付代理服务费用。</w:t>
            </w:r>
          </w:p>
        </w:tc>
      </w:tr>
      <w:tr>
        <w:tblPrEx>
          <w:tblCellMar>
            <w:top w:w="0" w:type="dxa"/>
            <w:left w:w="108" w:type="dxa"/>
            <w:bottom w:w="0" w:type="dxa"/>
            <w:right w:w="108" w:type="dxa"/>
          </w:tblCellMar>
        </w:tblPrEx>
        <w:trPr>
          <w:trHeight w:val="800"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olor w:val="auto"/>
                <w:szCs w:val="21"/>
              </w:rPr>
            </w:pPr>
            <w:r>
              <w:rPr>
                <w:rFonts w:hint="eastAsia" w:ascii="宋体" w:hAnsi="宋体"/>
                <w:color w:val="auto"/>
                <w:szCs w:val="21"/>
              </w:rPr>
              <w:t>磋商</w:t>
            </w:r>
          </w:p>
          <w:p>
            <w:pPr>
              <w:spacing w:line="360" w:lineRule="auto"/>
              <w:jc w:val="center"/>
              <w:rPr>
                <w:rFonts w:hint="eastAsia" w:ascii="宋体" w:hAnsi="宋体"/>
                <w:color w:val="auto"/>
                <w:szCs w:val="21"/>
              </w:rPr>
            </w:pPr>
            <w:r>
              <w:rPr>
                <w:rFonts w:hint="eastAsia" w:ascii="宋体" w:hAnsi="宋体"/>
                <w:color w:val="auto"/>
                <w:szCs w:val="21"/>
              </w:rPr>
              <w:t>控制价</w:t>
            </w:r>
          </w:p>
        </w:tc>
        <w:tc>
          <w:tcPr>
            <w:tcW w:w="787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288" w:lineRule="auto"/>
              <w:jc w:val="left"/>
              <w:rPr>
                <w:rFonts w:hint="eastAsia" w:ascii="宋体" w:hAnsi="宋体" w:eastAsia="宋体" w:cs="宋体"/>
                <w:color w:val="auto"/>
                <w:szCs w:val="21"/>
              </w:rPr>
            </w:pPr>
            <w:r>
              <w:rPr>
                <w:rFonts w:hint="eastAsia" w:ascii="宋体" w:hAnsi="宋体" w:eastAsia="宋体" w:cs="宋体"/>
                <w:color w:val="auto"/>
                <w:szCs w:val="21"/>
              </w:rPr>
              <w:t>本项目采购预算为人民币</w:t>
            </w:r>
            <w:r>
              <w:rPr>
                <w:rFonts w:hint="eastAsia" w:ascii="宋体" w:hAnsi="宋体" w:cs="宋体"/>
                <w:color w:val="auto"/>
                <w:szCs w:val="21"/>
                <w:lang w:val="en-US" w:eastAsia="zh-CN"/>
              </w:rPr>
              <w:t>0</w:t>
            </w:r>
            <w:r>
              <w:rPr>
                <w:rFonts w:hint="eastAsia" w:ascii="宋体" w:hAnsi="宋体" w:eastAsia="宋体" w:cs="宋体"/>
                <w:color w:val="auto"/>
                <w:szCs w:val="21"/>
                <w:lang w:eastAsia="zh-CN"/>
              </w:rPr>
              <w:t>元</w:t>
            </w:r>
            <w:r>
              <w:rPr>
                <w:rFonts w:hint="eastAsia" w:ascii="宋体" w:hAnsi="宋体" w:cs="宋体"/>
                <w:color w:val="auto"/>
                <w:szCs w:val="21"/>
                <w:lang w:eastAsia="zh-CN"/>
              </w:rPr>
              <w:t>。</w:t>
            </w:r>
          </w:p>
          <w:p>
            <w:pPr>
              <w:keepNext w:val="0"/>
              <w:keepLines w:val="0"/>
              <w:pageBreakBefore w:val="0"/>
              <w:kinsoku/>
              <w:wordWrap/>
              <w:overflowPunct/>
              <w:topLinePunct w:val="0"/>
              <w:autoSpaceDE/>
              <w:autoSpaceDN/>
              <w:bidi w:val="0"/>
              <w:spacing w:line="288" w:lineRule="auto"/>
              <w:jc w:val="left"/>
              <w:rPr>
                <w:rFonts w:hint="eastAsia" w:ascii="宋体" w:hAnsi="宋体" w:cs="宋体"/>
                <w:color w:val="auto"/>
                <w:szCs w:val="21"/>
                <w:lang w:val="en-US" w:eastAsia="zh-CN"/>
              </w:rPr>
            </w:pPr>
            <w:r>
              <w:rPr>
                <w:rFonts w:hint="eastAsia" w:ascii="宋体" w:hAnsi="宋体" w:cs="宋体"/>
                <w:color w:val="auto"/>
                <w:szCs w:val="21"/>
                <w:lang w:val="en-US" w:eastAsia="zh-CN"/>
              </w:rPr>
              <w:t>本项目由成交单位与学校共同设立专项帮扶基金账户，成交单位</w:t>
            </w:r>
            <w:r>
              <w:rPr>
                <w:rFonts w:hint="eastAsia"/>
                <w:sz w:val="21"/>
                <w:szCs w:val="21"/>
                <w:lang w:val="en-US" w:eastAsia="zh-CN"/>
              </w:rPr>
              <w:t>按月向基金账户捐赠不低于食堂营业额的3%，</w:t>
            </w:r>
            <w:r>
              <w:rPr>
                <w:rFonts w:hint="eastAsia" w:ascii="宋体" w:hAnsi="宋体" w:cs="宋体"/>
                <w:color w:val="auto"/>
                <w:szCs w:val="21"/>
                <w:lang w:val="en-US" w:eastAsia="zh-CN"/>
              </w:rPr>
              <w:t>用于贫困生奖补及勤工助学岗位工资发放支出。</w:t>
            </w:r>
          </w:p>
          <w:p>
            <w:pPr>
              <w:keepNext w:val="0"/>
              <w:keepLines w:val="0"/>
              <w:pageBreakBefore w:val="0"/>
              <w:kinsoku/>
              <w:wordWrap/>
              <w:overflowPunct/>
              <w:topLinePunct w:val="0"/>
              <w:autoSpaceDE/>
              <w:autoSpaceDN/>
              <w:bidi w:val="0"/>
              <w:spacing w:line="288" w:lineRule="auto"/>
              <w:jc w:val="left"/>
              <w:rPr>
                <w:rFonts w:hint="default" w:ascii="宋体" w:hAnsi="宋体" w:eastAsia="宋体" w:cs="宋体"/>
                <w:b/>
                <w:bCs/>
                <w:color w:val="auto"/>
                <w:szCs w:val="21"/>
                <w:lang w:val="en-US" w:eastAsia="zh-CN"/>
              </w:rPr>
            </w:pPr>
            <w:r>
              <w:rPr>
                <w:rFonts w:hint="eastAsia" w:ascii="宋体" w:hAnsi="宋体" w:cs="宋体"/>
                <w:b/>
                <w:bCs/>
                <w:color w:val="auto"/>
                <w:szCs w:val="21"/>
                <w:lang w:val="en-US" w:eastAsia="zh-CN"/>
              </w:rPr>
              <w:t>磋商控制价为：食堂营业额的3%。</w:t>
            </w:r>
          </w:p>
          <w:p>
            <w:pPr>
              <w:keepNext w:val="0"/>
              <w:keepLines w:val="0"/>
              <w:pageBreakBefore w:val="0"/>
              <w:kinsoku/>
              <w:wordWrap/>
              <w:overflowPunct/>
              <w:topLinePunct w:val="0"/>
              <w:autoSpaceDE/>
              <w:autoSpaceDN/>
              <w:bidi w:val="0"/>
              <w:spacing w:line="288" w:lineRule="auto"/>
              <w:jc w:val="left"/>
              <w:rPr>
                <w:rFonts w:hint="eastAsia" w:ascii="宋体" w:hAnsi="宋体"/>
                <w:color w:val="auto"/>
                <w:szCs w:val="21"/>
              </w:rPr>
            </w:pPr>
            <w:r>
              <w:rPr>
                <w:rFonts w:hint="eastAsia" w:ascii="宋体" w:hAnsi="宋体" w:eastAsia="宋体" w:cs="宋体"/>
                <w:b/>
                <w:bCs/>
                <w:color w:val="auto"/>
                <w:szCs w:val="21"/>
              </w:rPr>
              <w:t>报价</w:t>
            </w:r>
            <w:r>
              <w:rPr>
                <w:rFonts w:hint="eastAsia" w:ascii="宋体" w:hAnsi="宋体"/>
                <w:b/>
                <w:bCs/>
                <w:color w:val="auto"/>
                <w:szCs w:val="21"/>
                <w:lang w:val="en-US" w:eastAsia="zh-CN"/>
              </w:rPr>
              <w:t>低于</w:t>
            </w:r>
            <w:r>
              <w:rPr>
                <w:rFonts w:hint="eastAsia" w:ascii="宋体" w:hAnsi="宋体"/>
                <w:b/>
                <w:bCs/>
                <w:color w:val="auto"/>
                <w:szCs w:val="21"/>
              </w:rPr>
              <w:t>此价格的按无效响应处理。</w:t>
            </w:r>
          </w:p>
        </w:tc>
      </w:tr>
      <w:tr>
        <w:tblPrEx>
          <w:tblCellMar>
            <w:top w:w="0" w:type="dxa"/>
            <w:left w:w="108" w:type="dxa"/>
            <w:bottom w:w="0" w:type="dxa"/>
            <w:right w:w="108" w:type="dxa"/>
          </w:tblCellMar>
        </w:tblPrEx>
        <w:trPr>
          <w:trHeight w:val="800"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autoSpaceDE w:val="0"/>
              <w:autoSpaceDN w:val="0"/>
              <w:bidi w:val="0"/>
              <w:adjustRightInd w:val="0"/>
              <w:spacing w:line="400" w:lineRule="exact"/>
              <w:jc w:val="center"/>
              <w:rPr>
                <w:rFonts w:hint="eastAsia" w:ascii="宋体" w:hAnsi="宋体"/>
                <w:color w:val="auto"/>
                <w:szCs w:val="21"/>
              </w:rPr>
            </w:pPr>
            <w:bookmarkStart w:id="19" w:name="_Toc455080108"/>
            <w:bookmarkStart w:id="20" w:name="_Toc152042305"/>
            <w:bookmarkStart w:id="21" w:name="_Toc10694"/>
            <w:bookmarkStart w:id="22" w:name="_Toc144974497"/>
            <w:bookmarkStart w:id="23" w:name="_Toc152045529"/>
            <w:bookmarkStart w:id="24" w:name="_Toc10838"/>
            <w:bookmarkStart w:id="25" w:name="_Toc466298091"/>
            <w:r>
              <w:rPr>
                <w:rFonts w:hint="eastAsia" w:ascii="宋体" w:hAnsi="宋体" w:eastAsia="宋体" w:cs="宋体"/>
                <w:kern w:val="0"/>
                <w:sz w:val="21"/>
                <w:szCs w:val="21"/>
              </w:rPr>
              <w:t>其他说明</w:t>
            </w:r>
          </w:p>
        </w:tc>
        <w:tc>
          <w:tcPr>
            <w:tcW w:w="787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3"/>
              </w:numPr>
              <w:kinsoku/>
              <w:overflowPunct/>
              <w:autoSpaceDE w:val="0"/>
              <w:autoSpaceDN w:val="0"/>
              <w:bidi w:val="0"/>
              <w:adjustRightInd w:val="0"/>
              <w:spacing w:line="400" w:lineRule="exact"/>
              <w:rPr>
                <w:rFonts w:hint="eastAsia" w:ascii="宋体" w:hAnsi="宋体" w:eastAsia="宋体" w:cs="宋体"/>
                <w:b/>
                <w:bCs/>
                <w:kern w:val="0"/>
                <w:sz w:val="21"/>
                <w:szCs w:val="21"/>
              </w:rPr>
            </w:pPr>
            <w:r>
              <w:rPr>
                <w:rFonts w:hint="eastAsia" w:ascii="宋体" w:hAnsi="宋体" w:cs="宋体"/>
                <w:b/>
                <w:bCs/>
                <w:kern w:val="0"/>
                <w:sz w:val="21"/>
                <w:szCs w:val="21"/>
                <w:u w:val="single"/>
                <w:lang w:val="en-US" w:eastAsia="zh-CN"/>
              </w:rPr>
              <w:t>投标人</w:t>
            </w:r>
            <w:r>
              <w:rPr>
                <w:rFonts w:hint="eastAsia" w:ascii="宋体" w:hAnsi="宋体" w:eastAsia="宋体" w:cs="宋体"/>
                <w:b/>
                <w:bCs/>
                <w:kern w:val="0"/>
                <w:sz w:val="21"/>
                <w:szCs w:val="21"/>
                <w:u w:val="single"/>
              </w:rPr>
              <w:t>（供应商）编制</w:t>
            </w:r>
            <w:r>
              <w:rPr>
                <w:rFonts w:hint="eastAsia" w:ascii="宋体" w:hAnsi="宋体" w:eastAsia="宋体" w:cs="宋体"/>
                <w:b/>
                <w:bCs/>
                <w:kern w:val="0"/>
                <w:sz w:val="21"/>
                <w:szCs w:val="21"/>
                <w:u w:val="single"/>
                <w:lang w:val="en-US" w:eastAsia="zh-CN"/>
              </w:rPr>
              <w:t>响应</w:t>
            </w:r>
            <w:r>
              <w:rPr>
                <w:rFonts w:hint="eastAsia" w:ascii="宋体" w:hAnsi="宋体" w:eastAsia="宋体" w:cs="宋体"/>
                <w:b/>
                <w:bCs/>
                <w:kern w:val="0"/>
                <w:sz w:val="21"/>
                <w:szCs w:val="21"/>
                <w:u w:val="single"/>
              </w:rPr>
              <w:t>文件时，涉及营业执照、资质、业绩、人员、财务、社保、纳税等各类证明材料内容，须扫描编制在</w:t>
            </w:r>
            <w:r>
              <w:rPr>
                <w:rFonts w:hint="eastAsia" w:ascii="宋体" w:hAnsi="宋体" w:eastAsia="宋体" w:cs="宋体"/>
                <w:b/>
                <w:bCs/>
                <w:kern w:val="0"/>
                <w:sz w:val="21"/>
                <w:szCs w:val="21"/>
                <w:u w:val="single"/>
                <w:lang w:val="en-US" w:eastAsia="zh-CN"/>
              </w:rPr>
              <w:t>响应</w:t>
            </w:r>
            <w:r>
              <w:rPr>
                <w:rFonts w:hint="eastAsia" w:ascii="宋体" w:hAnsi="宋体" w:eastAsia="宋体" w:cs="宋体"/>
                <w:b/>
                <w:bCs/>
                <w:kern w:val="0"/>
                <w:sz w:val="21"/>
                <w:szCs w:val="21"/>
                <w:u w:val="single"/>
              </w:rPr>
              <w:t>文件内，同时须上传至信阳市公共资源交易中心诚信库。评委评审时，只需依法对</w:t>
            </w:r>
            <w:r>
              <w:rPr>
                <w:rFonts w:hint="eastAsia" w:ascii="宋体" w:hAnsi="宋体" w:eastAsia="宋体" w:cs="宋体"/>
                <w:b/>
                <w:bCs/>
                <w:kern w:val="0"/>
                <w:sz w:val="21"/>
                <w:szCs w:val="21"/>
                <w:u w:val="single"/>
                <w:lang w:val="en-US" w:eastAsia="zh-CN"/>
              </w:rPr>
              <w:t>响应</w:t>
            </w:r>
            <w:r>
              <w:rPr>
                <w:rFonts w:hint="eastAsia" w:ascii="宋体" w:hAnsi="宋体" w:eastAsia="宋体" w:cs="宋体"/>
                <w:b/>
                <w:bCs/>
                <w:kern w:val="0"/>
                <w:sz w:val="21"/>
                <w:szCs w:val="21"/>
                <w:u w:val="single"/>
              </w:rPr>
              <w:t>文件进行评审，并以</w:t>
            </w:r>
            <w:r>
              <w:rPr>
                <w:rFonts w:hint="eastAsia" w:ascii="宋体" w:hAnsi="宋体" w:eastAsia="宋体" w:cs="宋体"/>
                <w:b/>
                <w:bCs/>
                <w:kern w:val="0"/>
                <w:sz w:val="21"/>
                <w:szCs w:val="21"/>
                <w:u w:val="single"/>
                <w:lang w:val="en-US" w:eastAsia="zh-CN"/>
              </w:rPr>
              <w:t>响应</w:t>
            </w:r>
            <w:r>
              <w:rPr>
                <w:rFonts w:hint="eastAsia" w:ascii="宋体" w:hAnsi="宋体" w:eastAsia="宋体" w:cs="宋体"/>
                <w:b/>
                <w:bCs/>
                <w:kern w:val="0"/>
                <w:sz w:val="21"/>
                <w:szCs w:val="21"/>
                <w:u w:val="single"/>
              </w:rPr>
              <w:t>文件的响应为唯一评审依据，不再比对主体信用信息</w:t>
            </w:r>
            <w:r>
              <w:rPr>
                <w:rFonts w:hint="eastAsia" w:ascii="宋体" w:hAnsi="宋体" w:eastAsia="宋体" w:cs="宋体"/>
                <w:b/>
                <w:bCs/>
                <w:kern w:val="0"/>
                <w:sz w:val="21"/>
                <w:szCs w:val="21"/>
              </w:rPr>
              <w:t>。</w:t>
            </w:r>
          </w:p>
          <w:p>
            <w:pPr>
              <w:keepNext w:val="0"/>
              <w:keepLines w:val="0"/>
              <w:pageBreakBefore w:val="0"/>
              <w:kinsoku/>
              <w:overflowPunct/>
              <w:bidi w:val="0"/>
              <w:spacing w:line="400" w:lineRule="exact"/>
              <w:rPr>
                <w:rFonts w:hint="eastAsia" w:ascii="宋体" w:hAnsi="宋体" w:eastAsia="宋体" w:cs="宋体"/>
                <w:b/>
                <w:bCs/>
                <w:sz w:val="21"/>
                <w:szCs w:val="21"/>
              </w:rPr>
            </w:pPr>
            <w:r>
              <w:rPr>
                <w:rFonts w:hint="eastAsia" w:ascii="宋体" w:hAnsi="宋体" w:eastAsia="宋体" w:cs="宋体"/>
                <w:b/>
                <w:bCs/>
                <w:sz w:val="21"/>
                <w:szCs w:val="21"/>
                <w:lang w:val="en-US" w:eastAsia="zh-CN"/>
              </w:rPr>
              <w:t>2</w:t>
            </w:r>
            <w:r>
              <w:rPr>
                <w:rFonts w:hint="eastAsia" w:ascii="宋体" w:hAnsi="宋体" w:eastAsia="宋体" w:cs="宋体"/>
                <w:b/>
                <w:bCs/>
                <w:sz w:val="21"/>
                <w:szCs w:val="21"/>
              </w:rPr>
              <w:t>、发布</w:t>
            </w:r>
            <w:r>
              <w:rPr>
                <w:rFonts w:hint="eastAsia" w:ascii="宋体" w:hAnsi="宋体" w:eastAsia="宋体" w:cs="宋体"/>
                <w:b/>
                <w:bCs/>
                <w:sz w:val="21"/>
                <w:szCs w:val="21"/>
                <w:lang w:val="en-US" w:eastAsia="zh-CN"/>
              </w:rPr>
              <w:t>成交</w:t>
            </w:r>
            <w:r>
              <w:rPr>
                <w:rFonts w:hint="eastAsia" w:ascii="宋体" w:hAnsi="宋体" w:eastAsia="宋体" w:cs="宋体"/>
                <w:b/>
                <w:bCs/>
                <w:sz w:val="21"/>
                <w:szCs w:val="21"/>
              </w:rPr>
              <w:t>公告或候选人公示时同时将</w:t>
            </w:r>
            <w:r>
              <w:rPr>
                <w:rFonts w:hint="eastAsia" w:ascii="宋体" w:hAnsi="宋体" w:eastAsia="宋体" w:cs="宋体"/>
                <w:b/>
                <w:bCs/>
                <w:sz w:val="21"/>
                <w:szCs w:val="21"/>
                <w:lang w:val="en-US" w:eastAsia="zh-CN"/>
              </w:rPr>
              <w:t>成交</w:t>
            </w:r>
            <w:r>
              <w:rPr>
                <w:rFonts w:hint="eastAsia" w:ascii="宋体" w:hAnsi="宋体" w:eastAsia="宋体" w:cs="宋体"/>
                <w:b/>
                <w:bCs/>
                <w:sz w:val="21"/>
                <w:szCs w:val="21"/>
              </w:rPr>
              <w:t>人或第一</w:t>
            </w:r>
            <w:r>
              <w:rPr>
                <w:rFonts w:hint="eastAsia" w:ascii="宋体" w:hAnsi="宋体" w:eastAsia="宋体" w:cs="宋体"/>
                <w:b/>
                <w:bCs/>
                <w:sz w:val="21"/>
                <w:szCs w:val="21"/>
                <w:lang w:val="en-US" w:eastAsia="zh-CN"/>
              </w:rPr>
              <w:t>成交</w:t>
            </w:r>
            <w:r>
              <w:rPr>
                <w:rFonts w:hint="eastAsia" w:ascii="宋体" w:hAnsi="宋体" w:eastAsia="宋体" w:cs="宋体"/>
                <w:b/>
                <w:bCs/>
                <w:sz w:val="21"/>
                <w:szCs w:val="21"/>
              </w:rPr>
              <w:t>候选人</w:t>
            </w:r>
            <w:r>
              <w:rPr>
                <w:rFonts w:hint="eastAsia" w:ascii="宋体" w:hAnsi="宋体" w:eastAsia="宋体" w:cs="宋体"/>
                <w:b/>
                <w:bCs/>
                <w:sz w:val="21"/>
                <w:szCs w:val="21"/>
                <w:lang w:val="en-US" w:eastAsia="zh-CN"/>
              </w:rPr>
              <w:t>响应</w:t>
            </w:r>
            <w:r>
              <w:rPr>
                <w:rFonts w:hint="eastAsia" w:ascii="宋体" w:hAnsi="宋体" w:eastAsia="宋体" w:cs="宋体"/>
                <w:b/>
                <w:bCs/>
                <w:sz w:val="21"/>
                <w:szCs w:val="21"/>
              </w:rPr>
              <w:t>文件中的营业执照、资质、人员、财务、社保、纳税、各类证书、标的名称、 规格型号同时公告（涉及供应商商业机密除外），强化社会监督。</w:t>
            </w:r>
          </w:p>
          <w:p>
            <w:pPr>
              <w:keepNext w:val="0"/>
              <w:keepLines w:val="0"/>
              <w:pageBreakBefore w:val="0"/>
              <w:kinsoku/>
              <w:overflowPunct/>
              <w:bidi w:val="0"/>
              <w:spacing w:line="400" w:lineRule="exact"/>
              <w:rPr>
                <w:rFonts w:hint="eastAsia" w:ascii="宋体" w:hAnsi="宋体" w:eastAsia="宋体" w:cs="宋体"/>
                <w:sz w:val="21"/>
                <w:szCs w:val="21"/>
              </w:rPr>
            </w:pPr>
            <w:r>
              <w:rPr>
                <w:rFonts w:hint="eastAsia" w:ascii="宋体" w:hAnsi="宋体" w:eastAsia="宋体" w:cs="宋体"/>
                <w:b/>
                <w:bCs/>
                <w:sz w:val="21"/>
                <w:szCs w:val="21"/>
                <w:lang w:val="en-US" w:eastAsia="zh-CN"/>
              </w:rPr>
              <w:t>3</w:t>
            </w:r>
            <w:r>
              <w:rPr>
                <w:rFonts w:hint="eastAsia" w:ascii="宋体" w:hAnsi="宋体" w:eastAsia="宋体" w:cs="宋体"/>
                <w:b/>
                <w:bCs/>
                <w:sz w:val="21"/>
                <w:szCs w:val="21"/>
              </w:rPr>
              <w:t>、</w:t>
            </w:r>
            <w:r>
              <w:rPr>
                <w:rFonts w:hint="eastAsia" w:ascii="宋体" w:hAnsi="宋体" w:eastAsia="宋体" w:cs="宋体"/>
                <w:b/>
                <w:bCs/>
                <w:sz w:val="21"/>
                <w:szCs w:val="21"/>
                <w:lang w:val="en-US" w:eastAsia="zh-CN"/>
              </w:rPr>
              <w:t>响应</w:t>
            </w:r>
            <w:r>
              <w:rPr>
                <w:rFonts w:hint="eastAsia" w:ascii="宋体" w:hAnsi="宋体" w:eastAsia="宋体" w:cs="宋体"/>
                <w:b/>
                <w:bCs/>
                <w:sz w:val="21"/>
                <w:szCs w:val="21"/>
              </w:rPr>
              <w:t>文件中的扫描件，每张最好控制在500kb内,生成的加密电子</w:t>
            </w:r>
            <w:r>
              <w:rPr>
                <w:rFonts w:hint="eastAsia" w:ascii="宋体" w:hAnsi="宋体" w:eastAsia="宋体" w:cs="宋体"/>
                <w:b/>
                <w:bCs/>
                <w:sz w:val="21"/>
                <w:szCs w:val="21"/>
                <w:lang w:val="en-US" w:eastAsia="zh-CN"/>
              </w:rPr>
              <w:t>响应</w:t>
            </w:r>
            <w:r>
              <w:rPr>
                <w:rFonts w:hint="eastAsia" w:ascii="宋体" w:hAnsi="宋体" w:eastAsia="宋体" w:cs="宋体"/>
                <w:b/>
                <w:bCs/>
                <w:sz w:val="21"/>
                <w:szCs w:val="21"/>
              </w:rPr>
              <w:t xml:space="preserve">文件最好不要超过50MB。 </w:t>
            </w:r>
            <w:r>
              <w:rPr>
                <w:rFonts w:hint="eastAsia" w:ascii="宋体" w:hAnsi="宋体" w:eastAsia="宋体" w:cs="宋体"/>
                <w:sz w:val="21"/>
                <w:szCs w:val="21"/>
              </w:rPr>
              <w:t xml:space="preserve">  </w:t>
            </w:r>
          </w:p>
          <w:p>
            <w:pPr>
              <w:keepNext w:val="0"/>
              <w:keepLines w:val="0"/>
              <w:pageBreakBefore w:val="0"/>
              <w:kinsoku/>
              <w:overflowPunct/>
              <w:bidi w:val="0"/>
              <w:spacing w:line="400" w:lineRule="exact"/>
              <w:rPr>
                <w:rFonts w:hint="eastAsia" w:ascii="宋体" w:hAnsi="宋体" w:eastAsia="宋体" w:cs="宋体"/>
                <w:color w:val="auto"/>
                <w:szCs w:val="21"/>
              </w:rPr>
            </w:pPr>
            <w:r>
              <w:rPr>
                <w:rFonts w:hint="eastAsia" w:ascii="宋体" w:hAnsi="宋体" w:eastAsia="宋体" w:cs="宋体"/>
                <w:b/>
                <w:bCs/>
                <w:sz w:val="21"/>
                <w:szCs w:val="21"/>
                <w:lang w:val="en-US" w:eastAsia="zh-CN"/>
              </w:rPr>
              <w:t>4、供应商应为中小微企业（监狱企业、残疾人福利性企业视同小微企业），须符合国务院批准的中小企业划分标准中</w:t>
            </w:r>
            <w:r>
              <w:rPr>
                <w:rFonts w:hint="eastAsia" w:ascii="宋体" w:hAnsi="宋体" w:eastAsia="宋体" w:cs="宋体"/>
                <w:b/>
                <w:bCs/>
                <w:sz w:val="21"/>
                <w:szCs w:val="21"/>
                <w:u w:val="single"/>
                <w:lang w:val="en-US" w:eastAsia="zh-CN"/>
              </w:rPr>
              <w:t xml:space="preserve"> 餐饮业 </w:t>
            </w:r>
            <w:r>
              <w:rPr>
                <w:rFonts w:hint="eastAsia" w:ascii="宋体" w:hAnsi="宋体" w:eastAsia="宋体" w:cs="宋体"/>
                <w:b/>
                <w:bCs/>
                <w:sz w:val="21"/>
                <w:szCs w:val="21"/>
                <w:lang w:val="en-US" w:eastAsia="zh-CN"/>
              </w:rPr>
              <w:t>对应的中小企业划分标准。</w:t>
            </w:r>
            <w:r>
              <w:rPr>
                <w:rFonts w:hint="eastAsia" w:ascii="宋体" w:hAnsi="宋体" w:eastAsia="宋体" w:cs="宋体"/>
                <w:sz w:val="21"/>
                <w:szCs w:val="21"/>
              </w:rPr>
              <w:t xml:space="preserve">    </w:t>
            </w:r>
          </w:p>
        </w:tc>
      </w:tr>
    </w:tbl>
    <w:p>
      <w:pPr>
        <w:pStyle w:val="177"/>
        <w:spacing w:before="0" w:beforeLines="0" w:line="360" w:lineRule="auto"/>
        <w:rPr>
          <w:rFonts w:hint="eastAsia" w:ascii="宋体" w:hAnsi="宋体" w:eastAsia="宋体"/>
          <w:color w:val="auto"/>
          <w:sz w:val="21"/>
          <w:szCs w:val="21"/>
        </w:rPr>
      </w:pPr>
      <w:r>
        <w:rPr>
          <w:rFonts w:hint="eastAsia" w:ascii="宋体" w:hAnsi="宋体" w:eastAsia="宋体"/>
          <w:b/>
          <w:bCs/>
          <w:color w:val="auto"/>
          <w:sz w:val="24"/>
          <w:szCs w:val="24"/>
        </w:rPr>
        <w:t>1</w:t>
      </w:r>
      <w:r>
        <w:rPr>
          <w:rFonts w:hint="eastAsia" w:ascii="宋体" w:hAnsi="宋体" w:eastAsia="宋体"/>
          <w:b/>
          <w:bCs/>
          <w:color w:val="auto"/>
          <w:sz w:val="21"/>
          <w:szCs w:val="21"/>
        </w:rPr>
        <w:t>. 总则</w:t>
      </w:r>
      <w:bookmarkEnd w:id="19"/>
      <w:bookmarkEnd w:id="20"/>
      <w:bookmarkEnd w:id="21"/>
      <w:bookmarkEnd w:id="22"/>
      <w:bookmarkEnd w:id="23"/>
      <w:bookmarkEnd w:id="24"/>
      <w:bookmarkEnd w:id="25"/>
    </w:p>
    <w:p>
      <w:pPr>
        <w:pStyle w:val="183"/>
        <w:spacing w:line="360" w:lineRule="auto"/>
        <w:outlineLvl w:val="0"/>
        <w:rPr>
          <w:rFonts w:hint="eastAsia" w:ascii="宋体" w:hAnsi="宋体" w:eastAsia="宋体"/>
          <w:b/>
          <w:bCs/>
          <w:color w:val="auto"/>
          <w:sz w:val="21"/>
          <w:szCs w:val="21"/>
        </w:rPr>
      </w:pPr>
      <w:bookmarkStart w:id="26" w:name="_Toc281380952"/>
      <w:bookmarkStart w:id="27" w:name="_Toc318450675"/>
      <w:bookmarkStart w:id="28" w:name="_Toc21458"/>
      <w:bookmarkStart w:id="29" w:name="_Toc658"/>
      <w:bookmarkStart w:id="30" w:name="_Toc15709"/>
      <w:bookmarkStart w:id="31" w:name="_Toc1172"/>
      <w:bookmarkStart w:id="32" w:name="_Toc29023"/>
      <w:bookmarkStart w:id="33" w:name="_Toc466298092"/>
      <w:bookmarkStart w:id="34" w:name="_Toc455867769"/>
      <w:bookmarkStart w:id="35" w:name="_Toc455080109"/>
      <w:bookmarkStart w:id="36" w:name="_Toc20827"/>
      <w:bookmarkStart w:id="37" w:name="_Toc9723"/>
      <w:bookmarkStart w:id="38" w:name="_Toc31404"/>
      <w:bookmarkStart w:id="39" w:name="_Toc10273"/>
      <w:bookmarkStart w:id="40" w:name="_Toc6747"/>
      <w:bookmarkStart w:id="41" w:name="_Toc21266"/>
      <w:bookmarkStart w:id="42" w:name="_Toc490667828"/>
      <w:bookmarkStart w:id="43" w:name="_Toc274409866"/>
      <w:bookmarkStart w:id="44" w:name="_Toc152042307"/>
      <w:bookmarkStart w:id="45" w:name="_Toc152045531"/>
      <w:bookmarkStart w:id="46" w:name="_Toc144974499"/>
      <w:r>
        <w:rPr>
          <w:rFonts w:hint="eastAsia" w:ascii="宋体" w:hAnsi="宋体" w:eastAsia="宋体"/>
          <w:b/>
          <w:bCs/>
          <w:color w:val="auto"/>
          <w:sz w:val="21"/>
          <w:szCs w:val="21"/>
        </w:rPr>
        <w:t>1.1 适用范围</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1.1.1根据《中华人民共和国政府采购法》等有关法律、法规和规章的规定，编制本项目磋商文件。</w:t>
      </w:r>
    </w:p>
    <w:p>
      <w:pPr>
        <w:pStyle w:val="183"/>
        <w:tabs>
          <w:tab w:val="left" w:pos="7410"/>
        </w:tabs>
        <w:spacing w:line="360" w:lineRule="auto"/>
        <w:outlineLvl w:val="0"/>
        <w:rPr>
          <w:rFonts w:hint="eastAsia" w:ascii="宋体" w:hAnsi="宋体" w:eastAsia="宋体"/>
          <w:b/>
          <w:bCs/>
          <w:color w:val="auto"/>
          <w:sz w:val="21"/>
          <w:szCs w:val="21"/>
        </w:rPr>
      </w:pPr>
      <w:bookmarkStart w:id="47" w:name="_Toc455080110"/>
      <w:bookmarkStart w:id="48" w:name="_Toc7237"/>
      <w:bookmarkStart w:id="49" w:name="_Toc455867770"/>
      <w:bookmarkStart w:id="50" w:name="_Toc281405468"/>
      <w:bookmarkStart w:id="51" w:name="_Toc32619"/>
      <w:bookmarkStart w:id="52" w:name="_Toc25773"/>
      <w:bookmarkStart w:id="53" w:name="_Toc466298093"/>
      <w:bookmarkStart w:id="54" w:name="_Toc30891"/>
      <w:bookmarkStart w:id="55" w:name="_Toc274409867"/>
      <w:bookmarkStart w:id="56" w:name="_Toc318450676"/>
      <w:bookmarkStart w:id="57" w:name="_Toc490667829"/>
      <w:bookmarkStart w:id="58" w:name="_Toc710"/>
      <w:bookmarkStart w:id="59" w:name="_Toc11715"/>
      <w:bookmarkStart w:id="60" w:name="_Toc24852"/>
      <w:bookmarkStart w:id="61" w:name="_Toc2929"/>
      <w:bookmarkStart w:id="62" w:name="_Toc10269"/>
      <w:bookmarkStart w:id="63" w:name="_Toc10556"/>
      <w:bookmarkStart w:id="64" w:name="_Toc3336"/>
      <w:r>
        <w:rPr>
          <w:rFonts w:hint="eastAsia" w:ascii="宋体" w:hAnsi="宋体" w:eastAsia="宋体"/>
          <w:b/>
          <w:bCs/>
          <w:color w:val="auto"/>
          <w:sz w:val="21"/>
          <w:szCs w:val="21"/>
        </w:rPr>
        <w:t>1.2 招标项目说明</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1.2.1 本项目</w:t>
      </w:r>
      <w:r>
        <w:rPr>
          <w:rFonts w:hint="eastAsia" w:ascii="宋体" w:hAnsi="宋体"/>
          <w:color w:val="auto"/>
          <w:szCs w:val="21"/>
        </w:rPr>
        <w:t>采购人</w:t>
      </w:r>
      <w:r>
        <w:rPr>
          <w:rFonts w:hint="eastAsia" w:ascii="宋体" w:hAnsi="宋体" w:cs="宋体"/>
          <w:color w:val="auto"/>
          <w:szCs w:val="21"/>
        </w:rPr>
        <w:t>：见供应商须知前附表。</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1.2.2 本项目采购代理机构：见供应商须知前附表。</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1.2.3 本项目名称：见供应商须知前附表。</w:t>
      </w:r>
    </w:p>
    <w:p>
      <w:pPr>
        <w:pStyle w:val="183"/>
        <w:spacing w:line="360" w:lineRule="auto"/>
        <w:outlineLvl w:val="0"/>
        <w:rPr>
          <w:rFonts w:hint="eastAsia" w:ascii="宋体" w:hAnsi="宋体" w:eastAsia="宋体"/>
          <w:b/>
          <w:bCs/>
          <w:color w:val="auto"/>
          <w:sz w:val="21"/>
          <w:szCs w:val="21"/>
        </w:rPr>
      </w:pPr>
      <w:bookmarkStart w:id="65" w:name="_Toc16931"/>
      <w:bookmarkStart w:id="66" w:name="_Toc281405469"/>
      <w:bookmarkStart w:id="67" w:name="_Toc17016"/>
      <w:bookmarkStart w:id="68" w:name="_Toc455867771"/>
      <w:bookmarkStart w:id="69" w:name="_Toc1373"/>
      <w:bookmarkStart w:id="70" w:name="_Toc17146"/>
      <w:bookmarkStart w:id="71" w:name="_Toc4952"/>
      <w:bookmarkStart w:id="72" w:name="_Toc490667830"/>
      <w:bookmarkStart w:id="73" w:name="_Toc4122"/>
      <w:bookmarkStart w:id="74" w:name="_Toc22979"/>
      <w:bookmarkStart w:id="75" w:name="_Toc318450677"/>
      <w:bookmarkStart w:id="76" w:name="_Toc3477"/>
      <w:bookmarkStart w:id="77" w:name="_Toc18960"/>
      <w:bookmarkStart w:id="78" w:name="_Toc20981"/>
      <w:bookmarkStart w:id="79" w:name="_Toc466298094"/>
      <w:bookmarkStart w:id="80" w:name="_Toc274409868"/>
      <w:bookmarkStart w:id="81" w:name="_Toc4563"/>
      <w:bookmarkStart w:id="82" w:name="_Toc455080111"/>
      <w:r>
        <w:rPr>
          <w:rFonts w:hint="eastAsia" w:ascii="宋体" w:hAnsi="宋体" w:eastAsia="宋体"/>
          <w:b/>
          <w:bCs/>
          <w:color w:val="auto"/>
          <w:sz w:val="21"/>
          <w:szCs w:val="21"/>
        </w:rPr>
        <w:t>1.3 定义及解释</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1.3.1</w:t>
      </w:r>
      <w:r>
        <w:rPr>
          <w:rFonts w:hint="eastAsia" w:ascii="宋体" w:hAnsi="宋体"/>
          <w:color w:val="auto"/>
          <w:szCs w:val="21"/>
        </w:rPr>
        <w:t>采购人</w:t>
      </w:r>
      <w:r>
        <w:rPr>
          <w:rFonts w:hint="eastAsia" w:ascii="宋体" w:hAnsi="宋体" w:cs="宋体"/>
          <w:color w:val="auto"/>
          <w:szCs w:val="21"/>
        </w:rPr>
        <w:t>：依法进行政府采购的国家机关、事业单位、团体组织。</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1.3.2</w:t>
      </w:r>
      <w:r>
        <w:rPr>
          <w:rFonts w:hint="eastAsia" w:ascii="宋体" w:hAnsi="宋体"/>
          <w:color w:val="auto"/>
          <w:szCs w:val="21"/>
        </w:rPr>
        <w:t>采购代理机构</w:t>
      </w:r>
      <w:r>
        <w:rPr>
          <w:rFonts w:hint="eastAsia" w:ascii="宋体" w:hAnsi="宋体" w:cs="宋体"/>
          <w:color w:val="auto"/>
          <w:szCs w:val="21"/>
        </w:rPr>
        <w:t>：取得政府采购招标代理资质，受采购人委托组织招标活动的社会中介组织。</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1.3.3服务：系指根据本磋商文件规定供应商须承担的服务以及其他类似的义务等。</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1.3.4供应商：供应商是响应磋商文件、参加磋商竞争的中华人民共和国境内的法人、其它组织。</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1.3.5响应文件：指供应商根据磋商文件提交的所有文件。</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1.3.6磋商小组：依据</w:t>
      </w:r>
      <w:r>
        <w:rPr>
          <w:rFonts w:hint="eastAsia" w:ascii="宋体" w:hAnsi="宋体" w:cs="宋体"/>
          <w:color w:val="auto"/>
          <w:szCs w:val="21"/>
          <w:lang w:bidi="en-US"/>
        </w:rPr>
        <w:t>《中华人民共和国政府采购法》及有关法律、法规的规定依法组建的专门负责本次评标工作的临时机构</w:t>
      </w:r>
      <w:r>
        <w:rPr>
          <w:rFonts w:hint="eastAsia" w:ascii="宋体" w:hAnsi="宋体" w:cs="宋体"/>
          <w:color w:val="auto"/>
          <w:szCs w:val="21"/>
        </w:rPr>
        <w:t>。</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1.3.7偏离：响应文件的响应相对于磋商文件要求的偏差，该偏差优于磋商文件要求的为正偏离；劣于的，为负偏离。</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1.3.8“日期”或“天”：指日历天。</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1.3.9合同：指依据本次服务采购招标结果签订的协议或合约文件。</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1.3.10磋商文件中的标题或题名仅起引导作用，而不应视为对磋商文件内容的理解和解释。</w:t>
      </w:r>
    </w:p>
    <w:bookmarkEnd w:id="44"/>
    <w:bookmarkEnd w:id="45"/>
    <w:bookmarkEnd w:id="46"/>
    <w:p>
      <w:pPr>
        <w:pStyle w:val="183"/>
        <w:spacing w:line="360" w:lineRule="auto"/>
        <w:outlineLvl w:val="0"/>
        <w:rPr>
          <w:rFonts w:hint="eastAsia" w:ascii="宋体" w:hAnsi="宋体" w:eastAsia="宋体"/>
          <w:b/>
          <w:bCs/>
          <w:color w:val="auto"/>
          <w:sz w:val="21"/>
          <w:szCs w:val="21"/>
        </w:rPr>
      </w:pPr>
      <w:bookmarkStart w:id="83" w:name="_Toc144974500"/>
      <w:bookmarkStart w:id="84" w:name="_Toc10894"/>
      <w:bookmarkStart w:id="85" w:name="_Toc16470"/>
      <w:bookmarkStart w:id="86" w:name="_Toc14043"/>
      <w:bookmarkStart w:id="87" w:name="_Toc32236"/>
      <w:bookmarkStart w:id="88" w:name="_Toc152042308"/>
      <w:bookmarkStart w:id="89" w:name="_Toc152045532"/>
      <w:bookmarkStart w:id="90" w:name="_Toc27407"/>
      <w:bookmarkStart w:id="91" w:name="_Toc318450678"/>
      <w:bookmarkStart w:id="92" w:name="_Toc17808"/>
      <w:bookmarkStart w:id="93" w:name="_Toc19363"/>
      <w:bookmarkStart w:id="94" w:name="_Toc466298095"/>
      <w:bookmarkStart w:id="95" w:name="_Toc21766"/>
      <w:bookmarkStart w:id="96" w:name="_Toc17908"/>
      <w:bookmarkStart w:id="97" w:name="_Toc490667831"/>
      <w:bookmarkStart w:id="98" w:name="_Toc455867772"/>
      <w:bookmarkStart w:id="99" w:name="_Toc455080112"/>
      <w:bookmarkStart w:id="100" w:name="_Toc12752"/>
      <w:bookmarkStart w:id="101" w:name="_Toc28591"/>
      <w:r>
        <w:rPr>
          <w:rFonts w:hint="eastAsia" w:ascii="宋体" w:hAnsi="宋体" w:eastAsia="宋体"/>
          <w:b/>
          <w:bCs/>
          <w:color w:val="auto"/>
          <w:sz w:val="21"/>
          <w:szCs w:val="21"/>
        </w:rPr>
        <w:t xml:space="preserve">1.4 </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Pr>
          <w:rFonts w:hint="eastAsia" w:ascii="宋体" w:hAnsi="宋体" w:eastAsia="宋体"/>
          <w:b/>
          <w:bCs/>
          <w:color w:val="auto"/>
          <w:sz w:val="21"/>
          <w:szCs w:val="21"/>
          <w:lang w:eastAsia="zh-CN"/>
        </w:rPr>
        <w:t>采购内容及</w:t>
      </w:r>
      <w:r>
        <w:rPr>
          <w:rFonts w:hint="eastAsia" w:ascii="宋体" w:hAnsi="宋体" w:eastAsia="宋体"/>
          <w:b/>
          <w:bCs/>
          <w:color w:val="auto"/>
          <w:sz w:val="21"/>
          <w:szCs w:val="21"/>
          <w:lang w:val="en-US" w:eastAsia="zh-CN"/>
        </w:rPr>
        <w:t>承包经营期限</w:t>
      </w:r>
      <w:r>
        <w:rPr>
          <w:rFonts w:hint="eastAsia" w:ascii="宋体" w:hAnsi="宋体" w:eastAsia="宋体"/>
          <w:b/>
          <w:bCs/>
          <w:color w:val="auto"/>
          <w:sz w:val="21"/>
          <w:szCs w:val="21"/>
        </w:rPr>
        <w:t>和质量要求</w:t>
      </w:r>
      <w:r>
        <w:rPr>
          <w:rFonts w:hint="eastAsia" w:ascii="宋体" w:hAnsi="宋体" w:eastAsia="宋体"/>
          <w:b/>
          <w:bCs/>
          <w:color w:val="auto"/>
          <w:sz w:val="21"/>
          <w:szCs w:val="21"/>
          <w:lang w:eastAsia="zh-CN"/>
        </w:rPr>
        <w:t>、付款方式</w:t>
      </w:r>
      <w:bookmarkEnd w:id="101"/>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1.4.1 本次</w:t>
      </w:r>
      <w:r>
        <w:rPr>
          <w:rFonts w:hint="eastAsia" w:ascii="宋体" w:hAnsi="宋体" w:cs="宋体"/>
          <w:color w:val="auto"/>
          <w:szCs w:val="21"/>
          <w:lang w:eastAsia="zh-CN"/>
        </w:rPr>
        <w:t>采购内容</w:t>
      </w:r>
      <w:r>
        <w:rPr>
          <w:rFonts w:hint="eastAsia" w:ascii="宋体" w:hAnsi="宋体" w:cs="宋体"/>
          <w:color w:val="auto"/>
          <w:szCs w:val="21"/>
        </w:rPr>
        <w:t>：见供应商须知前附表。</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1.4.2 本项目的</w:t>
      </w:r>
      <w:r>
        <w:rPr>
          <w:rFonts w:hint="eastAsia" w:ascii="宋体" w:hAnsi="宋体" w:eastAsia="宋体"/>
          <w:color w:val="auto"/>
          <w:szCs w:val="21"/>
          <w:highlight w:val="none"/>
          <w:lang w:val="en-US" w:eastAsia="zh-CN"/>
        </w:rPr>
        <w:t>承包经营期限</w:t>
      </w:r>
      <w:r>
        <w:rPr>
          <w:rFonts w:hint="eastAsia" w:ascii="宋体" w:hAnsi="宋体" w:cs="宋体"/>
          <w:color w:val="auto"/>
          <w:szCs w:val="21"/>
        </w:rPr>
        <w:t>：见供应商须知前附表。</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1.4.3本项目的质量要求：见供应商须知前附表。</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1.4.</w:t>
      </w:r>
      <w:r>
        <w:rPr>
          <w:rFonts w:hint="eastAsia" w:ascii="宋体" w:hAnsi="宋体" w:eastAsia="宋体" w:cs="宋体"/>
          <w:color w:val="auto"/>
          <w:szCs w:val="21"/>
          <w:lang w:val="en-US" w:eastAsia="zh-CN"/>
        </w:rPr>
        <w:t>4</w:t>
      </w:r>
      <w:r>
        <w:rPr>
          <w:rFonts w:hint="eastAsia" w:ascii="宋体" w:hAnsi="宋体" w:eastAsia="宋体" w:cs="宋体"/>
          <w:color w:val="auto"/>
          <w:szCs w:val="21"/>
        </w:rPr>
        <w:t>本项目的</w:t>
      </w:r>
      <w:r>
        <w:rPr>
          <w:rFonts w:hint="eastAsia" w:ascii="宋体" w:hAnsi="宋体" w:eastAsia="宋体" w:cs="宋体"/>
          <w:color w:val="auto"/>
          <w:szCs w:val="21"/>
          <w:lang w:eastAsia="zh-CN"/>
        </w:rPr>
        <w:t>付款方式</w:t>
      </w:r>
      <w:r>
        <w:rPr>
          <w:rFonts w:hint="eastAsia" w:ascii="宋体" w:hAnsi="宋体" w:eastAsia="宋体" w:cs="宋体"/>
          <w:color w:val="auto"/>
          <w:szCs w:val="21"/>
        </w:rPr>
        <w:t>：见供应商须知前附表。</w:t>
      </w:r>
    </w:p>
    <w:p>
      <w:pPr>
        <w:pStyle w:val="183"/>
        <w:spacing w:line="360" w:lineRule="auto"/>
        <w:outlineLvl w:val="0"/>
        <w:rPr>
          <w:rFonts w:hint="eastAsia" w:ascii="宋体" w:hAnsi="宋体" w:eastAsia="宋体"/>
          <w:b/>
          <w:bCs/>
          <w:color w:val="auto"/>
          <w:sz w:val="21"/>
          <w:szCs w:val="21"/>
        </w:rPr>
      </w:pPr>
      <w:bookmarkStart w:id="102" w:name="_Toc152045534"/>
      <w:bookmarkStart w:id="103" w:name="_Toc318450679"/>
      <w:bookmarkStart w:id="104" w:name="_Toc152042310"/>
      <w:bookmarkStart w:id="105" w:name="_Toc144974502"/>
      <w:bookmarkStart w:id="106" w:name="_Toc455080113"/>
      <w:bookmarkStart w:id="107" w:name="_Toc22643"/>
      <w:bookmarkStart w:id="108" w:name="_Toc18004"/>
      <w:bookmarkStart w:id="109" w:name="_Toc466298096"/>
      <w:bookmarkStart w:id="110" w:name="_Toc11063"/>
      <w:bookmarkStart w:id="111" w:name="_Toc4301"/>
      <w:bookmarkStart w:id="112" w:name="_Toc455867773"/>
      <w:bookmarkStart w:id="113" w:name="_Toc7209"/>
      <w:bookmarkStart w:id="114" w:name="_Toc193"/>
      <w:bookmarkStart w:id="115" w:name="_Toc18689"/>
      <w:bookmarkStart w:id="116" w:name="_Toc490667832"/>
      <w:bookmarkStart w:id="117" w:name="_Toc4711"/>
      <w:bookmarkStart w:id="118" w:name="_Toc1602"/>
      <w:bookmarkStart w:id="119" w:name="_Toc5019"/>
      <w:bookmarkStart w:id="120" w:name="_Toc32156"/>
      <w:r>
        <w:rPr>
          <w:rFonts w:hint="eastAsia" w:ascii="宋体" w:hAnsi="宋体" w:eastAsia="宋体"/>
          <w:b/>
          <w:bCs/>
          <w:color w:val="auto"/>
          <w:sz w:val="21"/>
          <w:szCs w:val="21"/>
        </w:rPr>
        <w:t xml:space="preserve">1.5 </w:t>
      </w:r>
      <w:bookmarkEnd w:id="102"/>
      <w:bookmarkEnd w:id="103"/>
      <w:bookmarkEnd w:id="104"/>
      <w:bookmarkEnd w:id="105"/>
      <w:r>
        <w:rPr>
          <w:rFonts w:hint="eastAsia" w:ascii="宋体" w:hAnsi="宋体" w:eastAsia="宋体"/>
          <w:b/>
          <w:bCs/>
          <w:color w:val="auto"/>
          <w:sz w:val="21"/>
          <w:szCs w:val="21"/>
        </w:rPr>
        <w:t>供应商资质条件和能力</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1.5.1供应商资质及能力要求：见供应商须知前附表。</w:t>
      </w:r>
    </w:p>
    <w:p>
      <w:pPr>
        <w:spacing w:line="360" w:lineRule="auto"/>
        <w:ind w:firstLine="420" w:firstLineChars="200"/>
        <w:rPr>
          <w:rFonts w:ascii="宋体" w:hAnsi="宋体"/>
          <w:szCs w:val="21"/>
        </w:rPr>
      </w:pPr>
      <w:r>
        <w:rPr>
          <w:rFonts w:hint="eastAsia" w:ascii="宋体" w:hAnsi="宋体"/>
          <w:szCs w:val="21"/>
        </w:rPr>
        <w:t>1.</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2</w:t>
      </w:r>
      <w:r>
        <w:rPr>
          <w:rFonts w:hint="eastAsia" w:ascii="宋体" w:hAnsi="宋体"/>
          <w:szCs w:val="21"/>
        </w:rPr>
        <w:t xml:space="preserve"> </w:t>
      </w:r>
      <w:r>
        <w:rPr>
          <w:rFonts w:hint="eastAsia" w:ascii="宋体" w:hAnsi="宋体"/>
          <w:szCs w:val="21"/>
          <w:lang w:eastAsia="zh-CN"/>
        </w:rPr>
        <w:t>供应商</w:t>
      </w:r>
      <w:r>
        <w:rPr>
          <w:rFonts w:hint="eastAsia" w:ascii="宋体" w:hAnsi="宋体"/>
          <w:szCs w:val="21"/>
        </w:rPr>
        <w:t>不得存在下列情形之一：</w:t>
      </w:r>
    </w:p>
    <w:p>
      <w:pPr>
        <w:spacing w:line="360" w:lineRule="auto"/>
        <w:ind w:firstLine="420" w:firstLineChars="200"/>
        <w:rPr>
          <w:rFonts w:hint="eastAsia" w:ascii="宋体" w:hAnsi="宋体"/>
          <w:szCs w:val="21"/>
        </w:rPr>
      </w:pPr>
      <w:r>
        <w:rPr>
          <w:rFonts w:hint="eastAsia" w:ascii="宋体" w:hAnsi="宋体"/>
          <w:szCs w:val="21"/>
        </w:rPr>
        <w:t xml:space="preserve">(l）为采购人不具有独立法人资格的附属机构（单位）； </w:t>
      </w:r>
    </w:p>
    <w:p>
      <w:pPr>
        <w:spacing w:line="360" w:lineRule="auto"/>
        <w:ind w:firstLine="420" w:firstLineChars="200"/>
        <w:rPr>
          <w:rFonts w:hint="eastAsia" w:ascii="宋体" w:hAnsi="宋体"/>
          <w:szCs w:val="21"/>
        </w:rPr>
      </w:pPr>
      <w:r>
        <w:rPr>
          <w:rFonts w:hint="eastAsia" w:ascii="宋体" w:hAnsi="宋体"/>
          <w:szCs w:val="21"/>
        </w:rPr>
        <w:t>(2）为本项目前期准备提供咨询服务的；</w:t>
      </w:r>
    </w:p>
    <w:p>
      <w:pPr>
        <w:spacing w:line="360" w:lineRule="auto"/>
        <w:ind w:firstLine="420" w:firstLineChars="200"/>
        <w:rPr>
          <w:rFonts w:hint="eastAsia" w:ascii="宋体" w:hAnsi="宋体"/>
          <w:szCs w:val="21"/>
        </w:rPr>
      </w:pPr>
      <w:r>
        <w:rPr>
          <w:rFonts w:hint="eastAsia" w:ascii="宋体" w:hAnsi="宋体"/>
          <w:szCs w:val="21"/>
        </w:rPr>
        <w:t>(3）为本项目提供采购代理机构服务的；</w:t>
      </w:r>
    </w:p>
    <w:p>
      <w:pPr>
        <w:spacing w:line="360" w:lineRule="auto"/>
        <w:ind w:firstLine="420" w:firstLineChars="200"/>
        <w:rPr>
          <w:rFonts w:hint="eastAsia" w:ascii="宋体" w:hAnsi="宋体"/>
          <w:szCs w:val="21"/>
        </w:rPr>
      </w:pPr>
      <w:r>
        <w:rPr>
          <w:rFonts w:hint="eastAsia" w:ascii="宋体" w:hAnsi="宋体"/>
          <w:szCs w:val="21"/>
        </w:rPr>
        <w:t>(4）与本项目的采购代理机构机构同为一个法定代表人的；</w:t>
      </w:r>
    </w:p>
    <w:p>
      <w:pPr>
        <w:spacing w:line="360" w:lineRule="auto"/>
        <w:ind w:firstLine="420" w:firstLineChars="200"/>
        <w:rPr>
          <w:rFonts w:hint="eastAsia" w:ascii="宋体" w:hAnsi="宋体"/>
          <w:szCs w:val="21"/>
        </w:rPr>
      </w:pPr>
      <w:r>
        <w:rPr>
          <w:rFonts w:hint="eastAsia" w:ascii="宋体" w:hAnsi="宋体"/>
          <w:szCs w:val="21"/>
        </w:rPr>
        <w:t>(5）与本项目的采购代理机构机构相互控股或参股的；</w:t>
      </w:r>
    </w:p>
    <w:p>
      <w:pPr>
        <w:spacing w:line="360" w:lineRule="auto"/>
        <w:ind w:firstLine="420" w:firstLineChars="200"/>
        <w:rPr>
          <w:rFonts w:hint="eastAsia" w:ascii="宋体" w:hAnsi="宋体"/>
          <w:szCs w:val="21"/>
        </w:rPr>
      </w:pPr>
      <w:r>
        <w:rPr>
          <w:rFonts w:hint="eastAsia" w:ascii="宋体" w:hAnsi="宋体"/>
          <w:szCs w:val="21"/>
        </w:rPr>
        <w:t>(6）与本项目的采购代理机构机构相互任职或工作的；</w:t>
      </w:r>
    </w:p>
    <w:p>
      <w:pPr>
        <w:spacing w:line="360" w:lineRule="auto"/>
        <w:ind w:firstLine="420" w:firstLineChars="200"/>
        <w:rPr>
          <w:rFonts w:hint="eastAsia" w:ascii="宋体" w:hAnsi="宋体"/>
          <w:szCs w:val="21"/>
        </w:rPr>
      </w:pPr>
      <w:r>
        <w:rPr>
          <w:rFonts w:hint="eastAsia" w:ascii="宋体" w:hAnsi="宋体"/>
          <w:szCs w:val="21"/>
        </w:rPr>
        <w:t>(7）被责令停业的；</w:t>
      </w:r>
    </w:p>
    <w:p>
      <w:pPr>
        <w:spacing w:line="360" w:lineRule="auto"/>
        <w:ind w:firstLine="420" w:firstLineChars="200"/>
        <w:rPr>
          <w:rFonts w:hint="eastAsia" w:ascii="宋体" w:hAnsi="宋体"/>
          <w:szCs w:val="21"/>
        </w:rPr>
      </w:pPr>
      <w:r>
        <w:rPr>
          <w:rFonts w:hint="eastAsia" w:ascii="宋体" w:hAnsi="宋体"/>
          <w:szCs w:val="21"/>
        </w:rPr>
        <w:t>(8）被暂停或取消投标资格的；</w:t>
      </w:r>
    </w:p>
    <w:p>
      <w:pPr>
        <w:spacing w:line="360" w:lineRule="auto"/>
        <w:ind w:firstLine="420" w:firstLineChars="200"/>
        <w:rPr>
          <w:rFonts w:hint="eastAsia" w:ascii="宋体" w:hAnsi="宋体"/>
          <w:szCs w:val="21"/>
        </w:rPr>
      </w:pPr>
      <w:r>
        <w:rPr>
          <w:rFonts w:hint="eastAsia" w:ascii="宋体" w:hAnsi="宋体"/>
          <w:szCs w:val="21"/>
        </w:rPr>
        <w:t>(9）财产被接管或冻结的；</w:t>
      </w:r>
    </w:p>
    <w:p>
      <w:pPr>
        <w:pStyle w:val="183"/>
        <w:spacing w:line="360" w:lineRule="auto"/>
        <w:outlineLvl w:val="0"/>
        <w:rPr>
          <w:rFonts w:hint="eastAsia" w:ascii="宋体" w:hAnsi="宋体" w:eastAsia="宋体"/>
          <w:b/>
          <w:bCs/>
          <w:color w:val="auto"/>
          <w:sz w:val="21"/>
          <w:szCs w:val="21"/>
        </w:rPr>
      </w:pPr>
      <w:bookmarkStart w:id="121" w:name="_Toc466298097"/>
      <w:bookmarkStart w:id="122" w:name="_Toc5162"/>
      <w:bookmarkStart w:id="123" w:name="_Toc490667833"/>
      <w:bookmarkStart w:id="124" w:name="_Toc12403"/>
      <w:bookmarkStart w:id="125" w:name="_Toc318450680"/>
      <w:bookmarkStart w:id="126" w:name="_Toc11905"/>
      <w:bookmarkStart w:id="127" w:name="_Toc9505"/>
      <w:bookmarkStart w:id="128" w:name="_Toc651"/>
      <w:bookmarkStart w:id="129" w:name="_Toc13119"/>
      <w:bookmarkStart w:id="130" w:name="_Toc32446"/>
      <w:bookmarkStart w:id="131" w:name="_Toc16889"/>
      <w:bookmarkStart w:id="132" w:name="_Toc152042311"/>
      <w:bookmarkStart w:id="133" w:name="_Toc981"/>
      <w:bookmarkStart w:id="134" w:name="_Toc152045535"/>
      <w:bookmarkStart w:id="135" w:name="_Toc31854"/>
      <w:bookmarkStart w:id="136" w:name="_Toc28135"/>
      <w:bookmarkStart w:id="137" w:name="_Toc455867774"/>
      <w:bookmarkStart w:id="138" w:name="_Toc144974503"/>
      <w:bookmarkStart w:id="139" w:name="_Toc455080114"/>
      <w:r>
        <w:rPr>
          <w:rFonts w:hint="eastAsia" w:ascii="宋体" w:hAnsi="宋体" w:eastAsia="宋体"/>
          <w:b/>
          <w:bCs/>
          <w:color w:val="auto"/>
          <w:sz w:val="21"/>
          <w:szCs w:val="21"/>
        </w:rPr>
        <w:t>1.6 费用承担</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pPr>
        <w:pageBreakBefore w:val="0"/>
        <w:widowControl/>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sz w:val="21"/>
          <w:szCs w:val="21"/>
        </w:rPr>
      </w:pPr>
      <w:bookmarkStart w:id="140" w:name="_Toc22800"/>
      <w:bookmarkStart w:id="141" w:name="_Toc490667834"/>
      <w:bookmarkStart w:id="142" w:name="_Toc466298098"/>
      <w:bookmarkStart w:id="143" w:name="_Toc455080115"/>
      <w:bookmarkStart w:id="144" w:name="_Toc20145"/>
      <w:bookmarkStart w:id="145" w:name="_Toc318450681"/>
      <w:bookmarkStart w:id="146" w:name="_Toc1879"/>
      <w:bookmarkStart w:id="147" w:name="_Toc2622"/>
      <w:bookmarkStart w:id="148" w:name="_Toc455867775"/>
      <w:bookmarkStart w:id="149" w:name="_Toc24601"/>
      <w:bookmarkStart w:id="150" w:name="_Toc152045536"/>
      <w:bookmarkStart w:id="151" w:name="_Toc6014"/>
      <w:bookmarkStart w:id="152" w:name="_Toc5402"/>
      <w:bookmarkStart w:id="153" w:name="_Toc144974504"/>
      <w:bookmarkStart w:id="154" w:name="_Toc8055"/>
      <w:bookmarkStart w:id="155" w:name="_Toc152042312"/>
      <w:bookmarkStart w:id="156" w:name="_Toc32053"/>
      <w:bookmarkStart w:id="157" w:name="_Toc15701"/>
      <w:bookmarkStart w:id="158" w:name="_Toc22136"/>
      <w:r>
        <w:rPr>
          <w:rFonts w:hint="eastAsia" w:ascii="宋体" w:hAnsi="宋体" w:eastAsia="宋体" w:cs="宋体"/>
          <w:color w:val="000000"/>
          <w:sz w:val="21"/>
          <w:szCs w:val="21"/>
          <w:lang w:val="en-US" w:eastAsia="zh-CN"/>
        </w:rPr>
        <w:t>1.6.1</w:t>
      </w:r>
      <w:r>
        <w:rPr>
          <w:rFonts w:hint="eastAsia" w:ascii="宋体" w:hAnsi="宋体" w:eastAsia="宋体" w:cs="宋体"/>
          <w:color w:val="000000"/>
          <w:sz w:val="21"/>
          <w:szCs w:val="21"/>
          <w:lang w:eastAsia="zh-CN"/>
        </w:rPr>
        <w:t>投标人必须自行承担所有与参加投标有关的费用。不论投标的结果如何，</w:t>
      </w:r>
      <w:r>
        <w:rPr>
          <w:rFonts w:hint="eastAsia" w:ascii="宋体" w:hAnsi="宋体" w:eastAsia="宋体" w:cs="宋体"/>
          <w:color w:val="000000"/>
          <w:sz w:val="21"/>
          <w:szCs w:val="21"/>
          <w:lang w:val="en-US" w:eastAsia="zh-CN"/>
        </w:rPr>
        <w:t>招标人</w:t>
      </w:r>
      <w:r>
        <w:rPr>
          <w:rFonts w:hint="eastAsia" w:ascii="宋体" w:hAnsi="宋体" w:eastAsia="宋体" w:cs="宋体"/>
          <w:color w:val="000000"/>
          <w:sz w:val="21"/>
          <w:szCs w:val="21"/>
          <w:lang w:eastAsia="zh-CN"/>
        </w:rPr>
        <w:t>或</w:t>
      </w:r>
      <w:r>
        <w:rPr>
          <w:rFonts w:hint="eastAsia" w:ascii="宋体" w:hAnsi="宋体" w:eastAsia="宋体" w:cs="宋体"/>
          <w:color w:val="000000"/>
          <w:sz w:val="21"/>
          <w:szCs w:val="21"/>
          <w:lang w:val="en-US" w:eastAsia="zh-CN"/>
        </w:rPr>
        <w:t>招标代理机构</w:t>
      </w:r>
      <w:r>
        <w:rPr>
          <w:rFonts w:hint="eastAsia" w:ascii="宋体" w:hAnsi="宋体" w:eastAsia="宋体" w:cs="宋体"/>
          <w:color w:val="000000"/>
          <w:sz w:val="21"/>
          <w:szCs w:val="21"/>
          <w:lang w:eastAsia="zh-CN"/>
        </w:rPr>
        <w:t>在任何情况下均无义务和责任承担这些费用</w:t>
      </w:r>
      <w:r>
        <w:rPr>
          <w:rFonts w:hint="eastAsia" w:ascii="宋体" w:hAnsi="宋体" w:eastAsia="宋体" w:cs="宋体"/>
          <w:color w:val="000000"/>
          <w:sz w:val="21"/>
          <w:szCs w:val="21"/>
        </w:rPr>
        <w:t>。</w:t>
      </w:r>
    </w:p>
    <w:p>
      <w:pPr>
        <w:pageBreakBefore w:val="0"/>
        <w:widowControl/>
        <w:kinsoku/>
        <w:wordWrap/>
        <w:overflowPunct/>
        <w:topLinePunct w:val="0"/>
        <w:bidi w:val="0"/>
        <w:snapToGrid/>
        <w:spacing w:line="400" w:lineRule="exact"/>
        <w:ind w:firstLine="420" w:firstLineChars="200"/>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1.6.2</w:t>
      </w:r>
      <w:r>
        <w:rPr>
          <w:rFonts w:hint="eastAsia" w:ascii="宋体" w:hAnsi="宋体" w:cs="宋体"/>
          <w:color w:val="000000"/>
          <w:sz w:val="21"/>
          <w:szCs w:val="21"/>
          <w:lang w:val="en-US" w:eastAsia="zh-CN"/>
        </w:rPr>
        <w:t>成交</w:t>
      </w:r>
      <w:r>
        <w:rPr>
          <w:rFonts w:hint="eastAsia" w:ascii="宋体" w:hAnsi="宋体" w:eastAsia="宋体" w:cs="宋体"/>
          <w:color w:val="000000"/>
          <w:sz w:val="21"/>
          <w:szCs w:val="21"/>
          <w:lang w:val="en-US" w:eastAsia="zh-CN"/>
        </w:rPr>
        <w:t>人</w:t>
      </w:r>
      <w:r>
        <w:rPr>
          <w:rFonts w:hint="eastAsia" w:ascii="宋体" w:hAnsi="宋体" w:cs="宋体"/>
          <w:color w:val="000000"/>
          <w:sz w:val="21"/>
          <w:szCs w:val="21"/>
          <w:lang w:val="en-US" w:eastAsia="zh-CN"/>
        </w:rPr>
        <w:t>成交</w:t>
      </w:r>
      <w:r>
        <w:rPr>
          <w:rFonts w:hint="eastAsia" w:ascii="宋体" w:hAnsi="宋体" w:eastAsia="宋体" w:cs="宋体"/>
          <w:color w:val="000000"/>
          <w:sz w:val="21"/>
          <w:szCs w:val="21"/>
          <w:lang w:val="en-US" w:eastAsia="zh-CN"/>
        </w:rPr>
        <w:t>后需按有关规定支付代理服务费、专家劳务费及其他相关费用。</w:t>
      </w:r>
    </w:p>
    <w:p>
      <w:pPr>
        <w:pStyle w:val="183"/>
        <w:spacing w:line="360" w:lineRule="auto"/>
        <w:outlineLvl w:val="0"/>
        <w:rPr>
          <w:rFonts w:hint="eastAsia" w:ascii="宋体" w:hAnsi="宋体" w:eastAsia="宋体"/>
          <w:b/>
          <w:bCs/>
          <w:color w:val="auto"/>
          <w:sz w:val="21"/>
          <w:szCs w:val="21"/>
        </w:rPr>
      </w:pPr>
      <w:r>
        <w:rPr>
          <w:rFonts w:hint="eastAsia" w:ascii="宋体" w:hAnsi="宋体" w:eastAsia="宋体"/>
          <w:b/>
          <w:bCs/>
          <w:color w:val="auto"/>
          <w:sz w:val="21"/>
          <w:szCs w:val="21"/>
        </w:rPr>
        <w:t>1.7 保密</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参与磋商活动的各方应对磋商文件和响应文件中的商业和技术等秘密保密，违者应对由此造成的后果承担法律责任。 </w:t>
      </w:r>
    </w:p>
    <w:p>
      <w:pPr>
        <w:pStyle w:val="183"/>
        <w:spacing w:line="360" w:lineRule="auto"/>
        <w:outlineLvl w:val="0"/>
        <w:rPr>
          <w:rFonts w:hint="eastAsia" w:ascii="宋体" w:hAnsi="宋体" w:eastAsia="宋体"/>
          <w:b/>
          <w:bCs/>
          <w:color w:val="auto"/>
          <w:sz w:val="21"/>
          <w:szCs w:val="21"/>
        </w:rPr>
      </w:pPr>
      <w:bookmarkStart w:id="159" w:name="_Toc144974505"/>
      <w:bookmarkStart w:id="160" w:name="_Toc490667835"/>
      <w:bookmarkStart w:id="161" w:name="_Toc30583"/>
      <w:bookmarkStart w:id="162" w:name="_Toc591"/>
      <w:bookmarkStart w:id="163" w:name="_Toc13976"/>
      <w:bookmarkStart w:id="164" w:name="_Toc14775"/>
      <w:bookmarkStart w:id="165" w:name="_Toc318450682"/>
      <w:bookmarkStart w:id="166" w:name="_Toc466298099"/>
      <w:bookmarkStart w:id="167" w:name="_Toc7031"/>
      <w:bookmarkStart w:id="168" w:name="_Toc15673"/>
      <w:bookmarkStart w:id="169" w:name="_Toc3628"/>
      <w:bookmarkStart w:id="170" w:name="_Toc30747"/>
      <w:bookmarkStart w:id="171" w:name="_Toc6615"/>
      <w:bookmarkStart w:id="172" w:name="_Toc152045537"/>
      <w:bookmarkStart w:id="173" w:name="_Toc455867776"/>
      <w:bookmarkStart w:id="174" w:name="_Toc152042313"/>
      <w:bookmarkStart w:id="175" w:name="_Toc21089"/>
      <w:bookmarkStart w:id="176" w:name="_Toc455080116"/>
      <w:bookmarkStart w:id="177" w:name="_Toc25517"/>
      <w:r>
        <w:rPr>
          <w:rFonts w:hint="eastAsia" w:ascii="宋体" w:hAnsi="宋体" w:eastAsia="宋体"/>
          <w:b/>
          <w:bCs/>
          <w:color w:val="auto"/>
          <w:sz w:val="21"/>
          <w:szCs w:val="21"/>
        </w:rPr>
        <w:t>1.8 语言</w:t>
      </w:r>
      <w:bookmarkEnd w:id="159"/>
      <w:r>
        <w:rPr>
          <w:rFonts w:hint="eastAsia" w:ascii="宋体" w:hAnsi="宋体" w:eastAsia="宋体"/>
          <w:b/>
          <w:bCs/>
          <w:color w:val="auto"/>
          <w:sz w:val="21"/>
          <w:szCs w:val="21"/>
        </w:rPr>
        <w:t>文字</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除专用术语外，与磋商有关的语言均使用中文。必要时专用术语应附有中文注释，</w:t>
      </w:r>
      <w:r>
        <w:rPr>
          <w:rFonts w:hint="eastAsia" w:ascii="宋体" w:hAnsi="宋体" w:cs="宋体"/>
          <w:color w:val="auto"/>
          <w:szCs w:val="21"/>
          <w:lang w:bidi="en-US"/>
        </w:rPr>
        <w:t>对不同文字文本响应文件的解释发生异议的，以中文文本为准。</w:t>
      </w:r>
    </w:p>
    <w:p>
      <w:pPr>
        <w:pStyle w:val="183"/>
        <w:spacing w:line="360" w:lineRule="auto"/>
        <w:outlineLvl w:val="0"/>
        <w:rPr>
          <w:rFonts w:hint="eastAsia" w:ascii="宋体" w:hAnsi="宋体" w:eastAsia="宋体"/>
          <w:b/>
          <w:bCs/>
          <w:color w:val="auto"/>
          <w:sz w:val="21"/>
          <w:szCs w:val="21"/>
        </w:rPr>
      </w:pPr>
      <w:bookmarkStart w:id="178" w:name="_Toc22378"/>
      <w:bookmarkStart w:id="179" w:name="_Toc144974506"/>
      <w:bookmarkStart w:id="180" w:name="_Toc29149"/>
      <w:bookmarkStart w:id="181" w:name="_Toc152042314"/>
      <w:bookmarkStart w:id="182" w:name="_Toc466298100"/>
      <w:bookmarkStart w:id="183" w:name="_Toc318450683"/>
      <w:bookmarkStart w:id="184" w:name="_Toc18357"/>
      <w:bookmarkStart w:id="185" w:name="_Toc490667836"/>
      <w:bookmarkStart w:id="186" w:name="_Toc455867777"/>
      <w:bookmarkStart w:id="187" w:name="_Toc4237"/>
      <w:bookmarkStart w:id="188" w:name="_Toc152045538"/>
      <w:bookmarkStart w:id="189" w:name="_Toc2702"/>
      <w:bookmarkStart w:id="190" w:name="_Toc24337"/>
      <w:bookmarkStart w:id="191" w:name="_Toc4501"/>
      <w:bookmarkStart w:id="192" w:name="_Toc9446"/>
      <w:bookmarkStart w:id="193" w:name="_Toc14934"/>
      <w:bookmarkStart w:id="194" w:name="_Toc22415"/>
      <w:bookmarkStart w:id="195" w:name="_Toc32507"/>
      <w:bookmarkStart w:id="196" w:name="_Toc455080117"/>
      <w:r>
        <w:rPr>
          <w:rFonts w:hint="eastAsia" w:ascii="宋体" w:hAnsi="宋体" w:eastAsia="宋体"/>
          <w:b/>
          <w:bCs/>
          <w:color w:val="auto"/>
          <w:sz w:val="21"/>
          <w:szCs w:val="21"/>
        </w:rPr>
        <w:t>1.9 计量单位</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所有计量均采用中华人民共和国法定计量单位。</w:t>
      </w:r>
    </w:p>
    <w:p>
      <w:pPr>
        <w:pStyle w:val="183"/>
        <w:spacing w:line="360" w:lineRule="auto"/>
        <w:outlineLvl w:val="0"/>
        <w:rPr>
          <w:rFonts w:hint="eastAsia" w:ascii="宋体" w:hAnsi="宋体" w:eastAsia="宋体"/>
          <w:b/>
          <w:bCs/>
          <w:color w:val="auto"/>
          <w:sz w:val="21"/>
          <w:szCs w:val="21"/>
          <w:lang w:eastAsia="zh-CN"/>
        </w:rPr>
      </w:pPr>
      <w:bookmarkStart w:id="197" w:name="_Toc29845"/>
      <w:bookmarkStart w:id="198" w:name="_Toc18589"/>
      <w:bookmarkStart w:id="199" w:name="_Toc455080118"/>
      <w:bookmarkStart w:id="200" w:name="_Toc12027"/>
      <w:bookmarkStart w:id="201" w:name="_Toc318450684"/>
      <w:bookmarkStart w:id="202" w:name="_Toc466298101"/>
      <w:bookmarkStart w:id="203" w:name="_Toc2508"/>
      <w:bookmarkStart w:id="204" w:name="_Toc490667837"/>
      <w:bookmarkStart w:id="205" w:name="_Toc31195"/>
      <w:bookmarkStart w:id="206" w:name="_Toc152045540"/>
      <w:bookmarkStart w:id="207" w:name="_Toc144974508"/>
      <w:bookmarkStart w:id="208" w:name="_Toc27570"/>
      <w:bookmarkStart w:id="209" w:name="_Toc13675"/>
      <w:bookmarkStart w:id="210" w:name="_Toc455867778"/>
      <w:bookmarkStart w:id="211" w:name="_Toc19685"/>
      <w:bookmarkStart w:id="212" w:name="_Toc338"/>
      <w:bookmarkStart w:id="213" w:name="_Toc152042316"/>
      <w:bookmarkStart w:id="214" w:name="_Toc284"/>
      <w:bookmarkStart w:id="215" w:name="_Toc28466"/>
      <w:bookmarkStart w:id="216" w:name="_Toc9182"/>
      <w:bookmarkStart w:id="217" w:name="_Toc490667838"/>
      <w:bookmarkStart w:id="218" w:name="_Toc3853"/>
      <w:bookmarkStart w:id="219" w:name="_Toc12562"/>
      <w:bookmarkStart w:id="220" w:name="_Toc23678"/>
      <w:bookmarkStart w:id="221" w:name="_Toc318450685"/>
      <w:bookmarkStart w:id="222" w:name="_Toc466298102"/>
      <w:bookmarkStart w:id="223" w:name="_Toc23635"/>
      <w:bookmarkStart w:id="224" w:name="_Toc152045541"/>
      <w:bookmarkStart w:id="225" w:name="_Toc144974509"/>
      <w:bookmarkStart w:id="226" w:name="_Toc31725"/>
      <w:bookmarkStart w:id="227" w:name="_Toc24262"/>
      <w:bookmarkStart w:id="228" w:name="_Toc455080119"/>
      <w:bookmarkStart w:id="229" w:name="_Toc25208"/>
      <w:bookmarkStart w:id="230" w:name="_Toc32757"/>
      <w:bookmarkStart w:id="231" w:name="_Toc455867779"/>
      <w:bookmarkStart w:id="232" w:name="_Toc11744"/>
      <w:bookmarkStart w:id="233" w:name="_Toc152042317"/>
      <w:r>
        <w:rPr>
          <w:rFonts w:hint="eastAsia" w:ascii="宋体" w:hAnsi="宋体" w:eastAsia="宋体"/>
          <w:b/>
          <w:bCs/>
          <w:color w:val="auto"/>
          <w:sz w:val="21"/>
          <w:szCs w:val="21"/>
        </w:rPr>
        <w:t xml:space="preserve">1.10 </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r>
        <w:rPr>
          <w:rFonts w:hint="eastAsia" w:ascii="宋体" w:hAnsi="宋体" w:eastAsia="宋体"/>
          <w:b/>
          <w:bCs/>
          <w:color w:val="auto"/>
          <w:sz w:val="21"/>
          <w:szCs w:val="21"/>
          <w:lang w:eastAsia="zh-CN"/>
        </w:rPr>
        <w:t>现场踏勘</w:t>
      </w:r>
      <w:bookmarkEnd w:id="215"/>
    </w:p>
    <w:p>
      <w:pPr>
        <w:spacing w:line="360" w:lineRule="auto"/>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不组织，潜在供应商自行踏勘，与之相关的所有费用自行承担。</w:t>
      </w:r>
    </w:p>
    <w:p>
      <w:pPr>
        <w:pStyle w:val="183"/>
        <w:spacing w:line="360" w:lineRule="auto"/>
        <w:outlineLvl w:val="0"/>
        <w:rPr>
          <w:rFonts w:hint="eastAsia" w:ascii="宋体" w:hAnsi="宋体" w:eastAsia="宋体"/>
          <w:b/>
          <w:bCs/>
          <w:color w:val="auto"/>
          <w:sz w:val="21"/>
          <w:szCs w:val="21"/>
        </w:rPr>
      </w:pPr>
      <w:bookmarkStart w:id="234" w:name="_Toc15590"/>
      <w:r>
        <w:rPr>
          <w:rFonts w:hint="eastAsia" w:ascii="宋体" w:hAnsi="宋体" w:eastAsia="宋体"/>
          <w:b/>
          <w:bCs/>
          <w:color w:val="auto"/>
          <w:sz w:val="21"/>
          <w:szCs w:val="21"/>
        </w:rPr>
        <w:t>1.11分包</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pPr>
        <w:spacing w:line="360" w:lineRule="auto"/>
        <w:ind w:firstLine="567" w:firstLineChars="270"/>
        <w:rPr>
          <w:rFonts w:hint="eastAsia" w:ascii="宋体" w:hAnsi="宋体" w:cs="宋体"/>
          <w:color w:val="auto"/>
          <w:szCs w:val="21"/>
        </w:rPr>
      </w:pPr>
      <w:r>
        <w:rPr>
          <w:rFonts w:hint="eastAsia" w:ascii="宋体" w:hAnsi="宋体" w:cs="宋体"/>
          <w:color w:val="auto"/>
          <w:szCs w:val="21"/>
        </w:rPr>
        <w:t>是否允许分包：见供应商须知前附表。</w:t>
      </w:r>
      <w:bookmarkStart w:id="235" w:name="_Toc152045542"/>
      <w:bookmarkStart w:id="236" w:name="_Toc144974510"/>
      <w:bookmarkStart w:id="237" w:name="_Toc152042318"/>
      <w:bookmarkStart w:id="238" w:name="_Toc455080120"/>
    </w:p>
    <w:bookmarkEnd w:id="235"/>
    <w:bookmarkEnd w:id="236"/>
    <w:bookmarkEnd w:id="237"/>
    <w:p>
      <w:pPr>
        <w:spacing w:line="360" w:lineRule="auto"/>
        <w:outlineLvl w:val="1"/>
        <w:rPr>
          <w:rFonts w:hint="eastAsia" w:ascii="宋体" w:hAnsi="宋体"/>
          <w:b/>
          <w:bCs/>
          <w:color w:val="auto"/>
          <w:szCs w:val="21"/>
        </w:rPr>
      </w:pPr>
      <w:bookmarkStart w:id="239" w:name="_Toc12453"/>
      <w:bookmarkStart w:id="240" w:name="_Toc17824"/>
      <w:r>
        <w:rPr>
          <w:rFonts w:hint="eastAsia" w:ascii="宋体" w:hAnsi="宋体"/>
          <w:b/>
          <w:bCs/>
          <w:color w:val="auto"/>
          <w:szCs w:val="21"/>
        </w:rPr>
        <w:t>2.磋商文件</w:t>
      </w:r>
      <w:bookmarkEnd w:id="238"/>
      <w:bookmarkEnd w:id="239"/>
      <w:bookmarkEnd w:id="240"/>
    </w:p>
    <w:p>
      <w:pPr>
        <w:pStyle w:val="183"/>
        <w:spacing w:line="360" w:lineRule="auto"/>
        <w:outlineLvl w:val="0"/>
        <w:rPr>
          <w:rFonts w:hint="eastAsia" w:ascii="宋体" w:hAnsi="宋体" w:eastAsia="宋体"/>
          <w:b/>
          <w:bCs/>
          <w:color w:val="auto"/>
          <w:sz w:val="21"/>
          <w:szCs w:val="21"/>
        </w:rPr>
      </w:pPr>
      <w:bookmarkStart w:id="241" w:name="_Toc12640"/>
      <w:bookmarkStart w:id="242" w:name="_Toc1008"/>
      <w:bookmarkStart w:id="243" w:name="_Toc466298104"/>
      <w:bookmarkStart w:id="244" w:name="_Toc9780"/>
      <w:bookmarkStart w:id="245" w:name="_Toc318450687"/>
      <w:bookmarkStart w:id="246" w:name="_Toc3982"/>
      <w:bookmarkStart w:id="247" w:name="_Toc152042319"/>
      <w:bookmarkStart w:id="248" w:name="_Toc23649"/>
      <w:bookmarkStart w:id="249" w:name="_Toc12004"/>
      <w:bookmarkStart w:id="250" w:name="_Toc7999"/>
      <w:bookmarkStart w:id="251" w:name="_Toc11599"/>
      <w:bookmarkStart w:id="252" w:name="_Toc11567"/>
      <w:bookmarkStart w:id="253" w:name="_Toc490667840"/>
      <w:bookmarkStart w:id="254" w:name="_Toc455080121"/>
      <w:bookmarkStart w:id="255" w:name="_Toc32711"/>
      <w:bookmarkStart w:id="256" w:name="_Toc19750"/>
      <w:bookmarkStart w:id="257" w:name="_Toc152045543"/>
      <w:bookmarkStart w:id="258" w:name="_Toc455867781"/>
      <w:bookmarkStart w:id="259" w:name="_Toc144974511"/>
      <w:r>
        <w:rPr>
          <w:rFonts w:hint="eastAsia" w:ascii="宋体" w:hAnsi="宋体" w:eastAsia="宋体"/>
          <w:b/>
          <w:bCs/>
          <w:color w:val="auto"/>
          <w:sz w:val="21"/>
          <w:szCs w:val="21"/>
        </w:rPr>
        <w:t>2.</w:t>
      </w:r>
      <w:r>
        <w:rPr>
          <w:rFonts w:hint="eastAsia" w:ascii="宋体" w:hAnsi="宋体" w:eastAsia="宋体"/>
          <w:b/>
          <w:bCs/>
          <w:color w:val="auto"/>
          <w:sz w:val="21"/>
          <w:szCs w:val="21"/>
          <w:lang w:val="en-US" w:eastAsia="zh-CN"/>
        </w:rPr>
        <w:t>1</w:t>
      </w:r>
      <w:r>
        <w:rPr>
          <w:rFonts w:hint="eastAsia" w:ascii="宋体" w:hAnsi="宋体" w:eastAsia="宋体"/>
          <w:b/>
          <w:bCs/>
          <w:color w:val="auto"/>
          <w:sz w:val="21"/>
          <w:szCs w:val="21"/>
        </w:rPr>
        <w:t xml:space="preserve"> 磋商文件的组成</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pPr>
        <w:spacing w:line="360" w:lineRule="auto"/>
        <w:rPr>
          <w:rFonts w:hint="eastAsia" w:ascii="宋体" w:hAnsi="宋体" w:cs="宋体"/>
          <w:color w:val="auto"/>
          <w:szCs w:val="21"/>
        </w:rPr>
      </w:pPr>
      <w:r>
        <w:rPr>
          <w:rFonts w:hint="eastAsia" w:ascii="宋体" w:hAnsi="宋体" w:cs="宋体"/>
          <w:color w:val="auto"/>
          <w:szCs w:val="21"/>
        </w:rPr>
        <w:t>　　本磋商文件包括：</w:t>
      </w:r>
    </w:p>
    <w:p>
      <w:pPr>
        <w:spacing w:line="360" w:lineRule="auto"/>
        <w:ind w:firstLine="359" w:firstLineChars="171"/>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eastAsia="zh-CN"/>
        </w:rPr>
        <w:t>竞争性</w:t>
      </w:r>
      <w:r>
        <w:rPr>
          <w:rFonts w:hint="eastAsia" w:ascii="宋体" w:hAnsi="宋体" w:cs="宋体"/>
          <w:color w:val="auto"/>
          <w:szCs w:val="21"/>
        </w:rPr>
        <w:t>磋商公告；</w:t>
      </w:r>
    </w:p>
    <w:p>
      <w:pPr>
        <w:spacing w:line="360" w:lineRule="auto"/>
        <w:ind w:firstLine="359" w:firstLineChars="171"/>
        <w:rPr>
          <w:rFonts w:hint="eastAsia" w:ascii="宋体" w:hAnsi="宋体" w:cs="宋体"/>
          <w:color w:val="auto"/>
          <w:szCs w:val="21"/>
        </w:rPr>
      </w:pPr>
      <w:r>
        <w:rPr>
          <w:rFonts w:hint="eastAsia" w:ascii="宋体" w:hAnsi="宋体" w:cs="宋体"/>
          <w:color w:val="auto"/>
          <w:szCs w:val="21"/>
        </w:rPr>
        <w:t>（2）供应商须知；</w:t>
      </w:r>
    </w:p>
    <w:p>
      <w:pPr>
        <w:spacing w:line="360" w:lineRule="auto"/>
        <w:ind w:firstLine="359" w:firstLineChars="171"/>
        <w:rPr>
          <w:rFonts w:hint="eastAsia" w:ascii="宋体" w:hAnsi="宋体" w:cs="宋体"/>
          <w:color w:val="auto"/>
          <w:szCs w:val="21"/>
        </w:rPr>
      </w:pPr>
      <w:r>
        <w:rPr>
          <w:rFonts w:hint="eastAsia" w:ascii="宋体" w:hAnsi="宋体" w:cs="宋体"/>
          <w:color w:val="auto"/>
          <w:szCs w:val="21"/>
        </w:rPr>
        <w:t>（3）评审办法；</w:t>
      </w:r>
    </w:p>
    <w:p>
      <w:pPr>
        <w:spacing w:line="360" w:lineRule="auto"/>
        <w:ind w:firstLine="359" w:firstLineChars="171"/>
        <w:rPr>
          <w:rFonts w:hint="eastAsia" w:ascii="宋体" w:hAnsi="宋体" w:cs="宋体"/>
          <w:color w:val="auto"/>
          <w:szCs w:val="21"/>
        </w:rPr>
      </w:pPr>
      <w:r>
        <w:rPr>
          <w:rFonts w:hint="eastAsia" w:ascii="宋体" w:hAnsi="宋体" w:cs="宋体"/>
          <w:color w:val="auto"/>
          <w:szCs w:val="21"/>
        </w:rPr>
        <w:t>（4）合同文本；</w:t>
      </w:r>
    </w:p>
    <w:p>
      <w:pPr>
        <w:spacing w:line="360" w:lineRule="auto"/>
        <w:ind w:firstLine="359" w:firstLineChars="171"/>
        <w:rPr>
          <w:rFonts w:hint="eastAsia" w:ascii="宋体" w:hAnsi="宋体" w:cs="宋体"/>
          <w:color w:val="auto"/>
          <w:szCs w:val="21"/>
        </w:rPr>
      </w:pPr>
      <w:r>
        <w:rPr>
          <w:rFonts w:hint="eastAsia" w:ascii="宋体" w:hAnsi="宋体" w:cs="宋体"/>
          <w:color w:val="auto"/>
          <w:szCs w:val="21"/>
        </w:rPr>
        <w:t>（5）</w:t>
      </w:r>
      <w:r>
        <w:rPr>
          <w:rFonts w:hint="eastAsia" w:ascii="宋体" w:hAnsi="宋体" w:cs="宋体"/>
          <w:color w:val="auto"/>
          <w:szCs w:val="21"/>
          <w:lang w:val="en-US" w:eastAsia="zh-CN"/>
        </w:rPr>
        <w:t>采购</w:t>
      </w:r>
      <w:r>
        <w:rPr>
          <w:rFonts w:hint="eastAsia" w:ascii="宋体" w:hAnsi="宋体" w:cs="宋体"/>
          <w:color w:val="auto"/>
          <w:szCs w:val="21"/>
          <w:lang w:eastAsia="zh-CN"/>
        </w:rPr>
        <w:t>需求</w:t>
      </w:r>
      <w:r>
        <w:rPr>
          <w:rFonts w:hint="eastAsia" w:ascii="宋体" w:hAnsi="宋体" w:cs="宋体"/>
          <w:color w:val="auto"/>
          <w:szCs w:val="21"/>
        </w:rPr>
        <w:t>；</w:t>
      </w:r>
    </w:p>
    <w:p>
      <w:pPr>
        <w:spacing w:line="360" w:lineRule="auto"/>
        <w:ind w:firstLine="359" w:firstLineChars="171"/>
        <w:rPr>
          <w:rFonts w:hint="eastAsia" w:ascii="宋体" w:hAnsi="宋体" w:cs="宋体"/>
          <w:color w:val="auto"/>
          <w:szCs w:val="21"/>
        </w:rPr>
      </w:pPr>
      <w:r>
        <w:rPr>
          <w:rFonts w:hint="eastAsia" w:ascii="宋体" w:hAnsi="宋体" w:cs="宋体"/>
          <w:color w:val="auto"/>
          <w:szCs w:val="21"/>
        </w:rPr>
        <w:t>（6）竞争性磋商响应文件格式；</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根据本章第2.2款和第2.3款对磋商文件所作的澄清、修改，构成磋商文件的组成部分。</w:t>
      </w:r>
    </w:p>
    <w:p>
      <w:pPr>
        <w:pStyle w:val="183"/>
        <w:spacing w:line="360" w:lineRule="auto"/>
        <w:outlineLvl w:val="0"/>
        <w:rPr>
          <w:rFonts w:hint="eastAsia" w:ascii="宋体" w:hAnsi="宋体" w:eastAsia="宋体"/>
          <w:b/>
          <w:bCs/>
          <w:color w:val="auto"/>
          <w:sz w:val="21"/>
          <w:szCs w:val="21"/>
        </w:rPr>
      </w:pPr>
      <w:bookmarkStart w:id="260" w:name="_Toc15658"/>
      <w:bookmarkStart w:id="261" w:name="_Toc11239"/>
      <w:bookmarkStart w:id="262" w:name="_Toc152045546"/>
      <w:bookmarkStart w:id="263" w:name="_Toc144974514"/>
      <w:bookmarkStart w:id="264" w:name="_Toc152042322"/>
      <w:bookmarkStart w:id="265" w:name="_Toc455080124"/>
      <w:r>
        <w:rPr>
          <w:rFonts w:hint="eastAsia" w:ascii="宋体" w:hAnsi="宋体" w:eastAsia="宋体"/>
          <w:b/>
          <w:bCs/>
          <w:color w:val="auto"/>
          <w:sz w:val="21"/>
          <w:szCs w:val="21"/>
        </w:rPr>
        <w:t xml:space="preserve">2.2 </w:t>
      </w:r>
      <w:r>
        <w:rPr>
          <w:rFonts w:hint="eastAsia" w:ascii="宋体" w:hAnsi="宋体" w:eastAsia="宋体"/>
          <w:b/>
          <w:bCs/>
          <w:color w:val="auto"/>
          <w:sz w:val="21"/>
          <w:szCs w:val="21"/>
          <w:lang w:eastAsia="zh-CN"/>
        </w:rPr>
        <w:t>磋商</w:t>
      </w:r>
      <w:r>
        <w:rPr>
          <w:rFonts w:hint="eastAsia" w:ascii="宋体" w:hAnsi="宋体" w:eastAsia="宋体"/>
          <w:b/>
          <w:bCs/>
          <w:color w:val="auto"/>
          <w:sz w:val="21"/>
          <w:szCs w:val="21"/>
        </w:rPr>
        <w:t>文件的澄清</w:t>
      </w:r>
      <w:bookmarkEnd w:id="260"/>
      <w:bookmarkEnd w:id="261"/>
    </w:p>
    <w:p>
      <w:pPr>
        <w:spacing w:line="360" w:lineRule="auto"/>
        <w:ind w:firstLine="420" w:firstLineChars="200"/>
        <w:rPr>
          <w:rFonts w:hint="eastAsia" w:ascii="宋体" w:hAnsi="宋体" w:cs="宋体"/>
          <w:color w:val="auto"/>
        </w:rPr>
      </w:pPr>
      <w:r>
        <w:rPr>
          <w:rFonts w:hint="eastAsia" w:ascii="宋体" w:hAnsi="宋体" w:cs="宋体"/>
          <w:color w:val="auto"/>
        </w:rPr>
        <w:t>2.2.1供应商应仔细阅读和检查磋商文件的全部内容。</w:t>
      </w:r>
      <w:r>
        <w:rPr>
          <w:rFonts w:hint="eastAsia" w:ascii="宋体" w:hAnsi="宋体" w:cs="宋体"/>
          <w:color w:val="auto"/>
          <w:szCs w:val="21"/>
        </w:rPr>
        <w:t>如发现缺页或附件不全，应及时向采购人提出，以便补齐。</w:t>
      </w:r>
      <w:r>
        <w:rPr>
          <w:rFonts w:hint="eastAsia" w:ascii="宋体" w:hAnsi="宋体" w:cs="宋体"/>
          <w:color w:val="auto"/>
        </w:rPr>
        <w:t>如有疑问，应在供应商须知前附表规定的时间前</w:t>
      </w:r>
      <w:r>
        <w:rPr>
          <w:rFonts w:hint="eastAsia" w:ascii="宋体" w:hAnsi="宋体"/>
          <w:color w:val="auto"/>
          <w:szCs w:val="21"/>
        </w:rPr>
        <w:t>以书面形式（包括信函、电报、传真等可以有形表现所载内容的形式，下同），</w:t>
      </w:r>
      <w:r>
        <w:rPr>
          <w:rFonts w:hint="eastAsia" w:ascii="宋体" w:hAnsi="宋体" w:cs="宋体"/>
          <w:color w:val="auto"/>
        </w:rPr>
        <w:t>要求采购人对磋商文件予以澄清。</w:t>
      </w:r>
    </w:p>
    <w:p>
      <w:pPr>
        <w:spacing w:line="360" w:lineRule="auto"/>
        <w:ind w:firstLine="420" w:firstLineChars="200"/>
        <w:rPr>
          <w:rFonts w:hint="eastAsia" w:ascii="宋体" w:hAnsi="宋体" w:cs="宋体"/>
          <w:color w:val="auto"/>
        </w:rPr>
      </w:pPr>
      <w:r>
        <w:rPr>
          <w:rFonts w:hint="eastAsia" w:ascii="宋体" w:hAnsi="宋体" w:cs="宋体"/>
          <w:color w:val="auto"/>
        </w:rPr>
        <w:t>2.2.2 磋商文件的澄清将在供应商须知前附表规定的响应文件</w:t>
      </w:r>
      <w:r>
        <w:rPr>
          <w:rFonts w:hint="eastAsia" w:ascii="宋体" w:hAnsi="宋体" w:cs="宋体"/>
          <w:color w:val="auto"/>
          <w:lang w:eastAsia="zh-CN"/>
        </w:rPr>
        <w:t>提交</w:t>
      </w:r>
      <w:r>
        <w:rPr>
          <w:rFonts w:hint="eastAsia" w:ascii="宋体" w:hAnsi="宋体" w:cs="宋体"/>
          <w:color w:val="auto"/>
        </w:rPr>
        <w:t>截止时间5天前在信阳市公共资源交易系统“变更公告”或“答疑文件”</w:t>
      </w:r>
      <w:r>
        <w:rPr>
          <w:rFonts w:hint="eastAsia" w:ascii="宋体" w:hAnsi="宋体"/>
          <w:color w:val="auto"/>
          <w:szCs w:val="21"/>
        </w:rPr>
        <w:t>将澄清内容予以发布，</w:t>
      </w:r>
      <w:r>
        <w:rPr>
          <w:rFonts w:hint="eastAsia" w:ascii="宋体" w:hAnsi="宋体" w:cs="宋体"/>
          <w:color w:val="auto"/>
        </w:rPr>
        <w:t>但不指明澄清问题的来源。如果澄清的内容可能影响响应文件编制且发出的时间距响应文件</w:t>
      </w:r>
      <w:r>
        <w:rPr>
          <w:rFonts w:hint="eastAsia" w:ascii="宋体" w:hAnsi="宋体" w:cs="宋体"/>
          <w:color w:val="auto"/>
          <w:lang w:eastAsia="zh-CN"/>
        </w:rPr>
        <w:t>提交</w:t>
      </w:r>
      <w:r>
        <w:rPr>
          <w:rFonts w:hint="eastAsia" w:ascii="宋体" w:hAnsi="宋体" w:cs="宋体"/>
          <w:color w:val="auto"/>
        </w:rPr>
        <w:t>截止时间不足5天，相应延长</w:t>
      </w:r>
      <w:r>
        <w:rPr>
          <w:rFonts w:hint="eastAsia" w:ascii="宋体" w:hAnsi="宋体" w:cs="宋体"/>
          <w:color w:val="auto"/>
          <w:lang w:eastAsia="zh-CN"/>
        </w:rPr>
        <w:t>响应文件提交截止</w:t>
      </w:r>
      <w:r>
        <w:rPr>
          <w:rFonts w:hint="eastAsia" w:ascii="宋体" w:hAnsi="宋体" w:cs="宋体"/>
          <w:color w:val="auto"/>
        </w:rPr>
        <w:t>时间。</w:t>
      </w:r>
    </w:p>
    <w:p>
      <w:pPr>
        <w:spacing w:line="360" w:lineRule="auto"/>
        <w:ind w:firstLine="420" w:firstLineChars="200"/>
        <w:rPr>
          <w:rFonts w:hint="eastAsia"/>
          <w:color w:val="auto"/>
        </w:rPr>
      </w:pPr>
      <w:r>
        <w:rPr>
          <w:rFonts w:hint="eastAsia" w:ascii="宋体" w:hAnsi="宋体"/>
          <w:color w:val="auto"/>
          <w:szCs w:val="21"/>
        </w:rPr>
        <w:t>2.2.3供应商应在响应文件</w:t>
      </w:r>
      <w:r>
        <w:rPr>
          <w:rFonts w:hint="eastAsia" w:ascii="宋体" w:hAnsi="宋体" w:cs="宋体"/>
          <w:color w:val="auto"/>
          <w:lang w:eastAsia="zh-CN"/>
        </w:rPr>
        <w:t>提交</w:t>
      </w:r>
      <w:r>
        <w:rPr>
          <w:rFonts w:hint="eastAsia" w:ascii="宋体" w:hAnsi="宋体"/>
          <w:color w:val="auto"/>
          <w:szCs w:val="21"/>
        </w:rPr>
        <w:t>截止时间前及时查看澄清内容，因供应商未及时查看而造成的后果自负。</w:t>
      </w:r>
    </w:p>
    <w:p>
      <w:pPr>
        <w:pStyle w:val="183"/>
        <w:spacing w:line="360" w:lineRule="auto"/>
        <w:outlineLvl w:val="0"/>
        <w:rPr>
          <w:rFonts w:hint="eastAsia" w:ascii="宋体" w:hAnsi="宋体" w:eastAsia="宋体"/>
          <w:b/>
          <w:bCs/>
          <w:color w:val="auto"/>
          <w:sz w:val="21"/>
          <w:szCs w:val="21"/>
        </w:rPr>
      </w:pPr>
      <w:bookmarkStart w:id="266" w:name="_Toc8263"/>
      <w:bookmarkStart w:id="267" w:name="_Toc24663"/>
      <w:r>
        <w:rPr>
          <w:rFonts w:hint="eastAsia" w:ascii="宋体" w:hAnsi="宋体" w:eastAsia="宋体"/>
          <w:b/>
          <w:bCs/>
          <w:color w:val="auto"/>
          <w:sz w:val="21"/>
          <w:szCs w:val="21"/>
        </w:rPr>
        <w:t xml:space="preserve">2.3 </w:t>
      </w:r>
      <w:r>
        <w:rPr>
          <w:rFonts w:hint="eastAsia" w:ascii="宋体" w:hAnsi="宋体" w:eastAsia="宋体"/>
          <w:b/>
          <w:bCs/>
          <w:color w:val="auto"/>
          <w:sz w:val="21"/>
          <w:szCs w:val="21"/>
          <w:lang w:eastAsia="zh-CN"/>
        </w:rPr>
        <w:t>磋商</w:t>
      </w:r>
      <w:r>
        <w:rPr>
          <w:rFonts w:hint="eastAsia" w:ascii="宋体" w:hAnsi="宋体" w:eastAsia="宋体"/>
          <w:b/>
          <w:bCs/>
          <w:color w:val="auto"/>
          <w:sz w:val="21"/>
          <w:szCs w:val="21"/>
        </w:rPr>
        <w:t>文件的修改</w:t>
      </w:r>
      <w:bookmarkEnd w:id="266"/>
      <w:bookmarkEnd w:id="267"/>
    </w:p>
    <w:p>
      <w:pPr>
        <w:spacing w:line="360" w:lineRule="auto"/>
        <w:ind w:firstLine="420" w:firstLineChars="200"/>
        <w:rPr>
          <w:rFonts w:hint="eastAsia" w:ascii="宋体" w:hAnsi="宋体" w:cs="宋体"/>
          <w:color w:val="auto"/>
        </w:rPr>
      </w:pPr>
      <w:r>
        <w:rPr>
          <w:rFonts w:hint="eastAsia" w:ascii="宋体" w:hAnsi="宋体" w:cs="宋体"/>
          <w:color w:val="auto"/>
        </w:rPr>
        <w:t>2.3.1 在响应文件</w:t>
      </w:r>
      <w:r>
        <w:rPr>
          <w:rFonts w:hint="eastAsia" w:ascii="宋体" w:hAnsi="宋体" w:cs="宋体"/>
          <w:color w:val="auto"/>
          <w:lang w:eastAsia="zh-CN"/>
        </w:rPr>
        <w:t>提交</w:t>
      </w:r>
      <w:r>
        <w:rPr>
          <w:rFonts w:hint="eastAsia" w:ascii="宋体" w:hAnsi="宋体" w:cs="宋体"/>
          <w:color w:val="auto"/>
        </w:rPr>
        <w:t>截止时间5天前，采购人可以修改磋商文件。如有修改，应在信阳市公共资源交易系统“变更公告”或“答疑文件”</w:t>
      </w:r>
      <w:r>
        <w:rPr>
          <w:rFonts w:hint="eastAsia" w:ascii="宋体" w:hAnsi="宋体"/>
          <w:color w:val="auto"/>
          <w:szCs w:val="21"/>
        </w:rPr>
        <w:t>将修改内容予以发布</w:t>
      </w:r>
      <w:r>
        <w:rPr>
          <w:rFonts w:hint="eastAsia" w:ascii="宋体" w:hAnsi="宋体" w:cs="宋体"/>
          <w:color w:val="auto"/>
        </w:rPr>
        <w:t>。如果修改的内容可能影响响应文件编制且发出的时间距响应文件</w:t>
      </w:r>
      <w:r>
        <w:rPr>
          <w:rFonts w:hint="eastAsia" w:ascii="宋体" w:hAnsi="宋体" w:cs="宋体"/>
          <w:color w:val="auto"/>
          <w:lang w:eastAsia="zh-CN"/>
        </w:rPr>
        <w:t>提交</w:t>
      </w:r>
      <w:r>
        <w:rPr>
          <w:rFonts w:hint="eastAsia" w:ascii="宋体" w:hAnsi="宋体" w:cs="宋体"/>
          <w:color w:val="auto"/>
        </w:rPr>
        <w:t>截止时间不足5天，相应延长响应文件</w:t>
      </w:r>
      <w:r>
        <w:rPr>
          <w:rFonts w:hint="eastAsia" w:ascii="宋体" w:hAnsi="宋体" w:cs="宋体"/>
          <w:color w:val="auto"/>
          <w:lang w:eastAsia="zh-CN"/>
        </w:rPr>
        <w:t>提交</w:t>
      </w:r>
      <w:r>
        <w:rPr>
          <w:rFonts w:hint="eastAsia" w:ascii="宋体" w:hAnsi="宋体" w:cs="宋体"/>
          <w:color w:val="auto"/>
        </w:rPr>
        <w:t>截止时间。</w:t>
      </w:r>
    </w:p>
    <w:p>
      <w:pPr>
        <w:spacing w:line="360" w:lineRule="auto"/>
        <w:ind w:firstLine="420"/>
        <w:rPr>
          <w:rFonts w:hint="eastAsia" w:ascii="宋体" w:hAnsi="宋体"/>
          <w:color w:val="auto"/>
          <w:szCs w:val="21"/>
        </w:rPr>
      </w:pPr>
      <w:r>
        <w:rPr>
          <w:rFonts w:hint="eastAsia" w:ascii="宋体" w:hAnsi="宋体" w:cs="宋体"/>
          <w:color w:val="auto"/>
        </w:rPr>
        <w:t>2.3.2当磋商文件的澄清、修改、补充等在同一内容的表述上不一致时，</w:t>
      </w:r>
      <w:r>
        <w:rPr>
          <w:rFonts w:hint="eastAsia" w:ascii="宋体" w:hAnsi="宋体"/>
          <w:color w:val="auto"/>
          <w:szCs w:val="21"/>
        </w:rPr>
        <w:t>以最后在信阳市公共资源交易系统发出的文件为准。</w:t>
      </w:r>
    </w:p>
    <w:p>
      <w:pPr>
        <w:spacing w:line="360" w:lineRule="auto"/>
        <w:ind w:firstLine="420" w:firstLineChars="200"/>
        <w:rPr>
          <w:rFonts w:hint="eastAsia" w:eastAsia="宋体"/>
          <w:color w:val="auto"/>
          <w:lang w:val="en-US" w:eastAsia="zh-CN"/>
        </w:rPr>
      </w:pPr>
      <w:r>
        <w:rPr>
          <w:rFonts w:hint="eastAsia" w:ascii="宋体" w:hAnsi="宋体" w:cs="宋体"/>
          <w:color w:val="auto"/>
        </w:rPr>
        <w:t>2.3.3</w:t>
      </w:r>
      <w:r>
        <w:rPr>
          <w:rFonts w:hint="eastAsia" w:ascii="宋体" w:hAnsi="宋体"/>
          <w:color w:val="auto"/>
          <w:szCs w:val="21"/>
        </w:rPr>
        <w:t>供应商应在响应文件</w:t>
      </w:r>
      <w:r>
        <w:rPr>
          <w:rFonts w:hint="eastAsia" w:ascii="宋体" w:hAnsi="宋体"/>
          <w:color w:val="auto"/>
          <w:szCs w:val="21"/>
          <w:lang w:eastAsia="zh-CN"/>
        </w:rPr>
        <w:t>提交</w:t>
      </w:r>
      <w:r>
        <w:rPr>
          <w:rFonts w:hint="eastAsia" w:ascii="宋体" w:hAnsi="宋体"/>
          <w:color w:val="auto"/>
          <w:szCs w:val="21"/>
        </w:rPr>
        <w:t>截止时间前及时查看修改内容，因供应商未及时查看而造成的后果自负。</w:t>
      </w:r>
      <w:r>
        <w:rPr>
          <w:rFonts w:hint="eastAsia" w:ascii="宋体" w:hAnsi="宋体"/>
          <w:color w:val="auto"/>
          <w:szCs w:val="21"/>
          <w:lang w:val="en-US" w:eastAsia="zh-CN"/>
        </w:rPr>
        <w:t xml:space="preserve"> </w:t>
      </w:r>
    </w:p>
    <w:p>
      <w:pPr>
        <w:pStyle w:val="177"/>
        <w:spacing w:before="0" w:beforeLines="0" w:line="360" w:lineRule="auto"/>
        <w:rPr>
          <w:rFonts w:hint="eastAsia" w:ascii="宋体" w:hAnsi="宋体" w:eastAsia="宋体"/>
          <w:b/>
          <w:bCs/>
          <w:color w:val="auto"/>
          <w:sz w:val="21"/>
          <w:szCs w:val="21"/>
        </w:rPr>
      </w:pPr>
      <w:bookmarkStart w:id="268" w:name="_Toc32477"/>
      <w:bookmarkStart w:id="269" w:name="_Toc4666"/>
      <w:r>
        <w:rPr>
          <w:rFonts w:hint="eastAsia" w:ascii="宋体" w:hAnsi="宋体" w:eastAsia="宋体"/>
          <w:b/>
          <w:bCs/>
          <w:color w:val="auto"/>
          <w:sz w:val="21"/>
          <w:szCs w:val="21"/>
        </w:rPr>
        <w:t xml:space="preserve">3. </w:t>
      </w:r>
      <w:bookmarkEnd w:id="262"/>
      <w:bookmarkEnd w:id="263"/>
      <w:bookmarkEnd w:id="264"/>
      <w:r>
        <w:rPr>
          <w:rFonts w:hint="eastAsia" w:ascii="宋体" w:hAnsi="宋体" w:eastAsia="宋体"/>
          <w:b/>
          <w:bCs/>
          <w:color w:val="auto"/>
          <w:sz w:val="21"/>
          <w:szCs w:val="21"/>
        </w:rPr>
        <w:t>响应文件</w:t>
      </w:r>
      <w:bookmarkEnd w:id="265"/>
      <w:bookmarkEnd w:id="268"/>
      <w:bookmarkEnd w:id="269"/>
    </w:p>
    <w:p>
      <w:pPr>
        <w:pStyle w:val="183"/>
        <w:spacing w:line="360" w:lineRule="auto"/>
        <w:outlineLvl w:val="9"/>
        <w:rPr>
          <w:rFonts w:hint="eastAsia" w:ascii="宋体" w:hAnsi="宋体" w:eastAsia="宋体"/>
          <w:b/>
          <w:bCs/>
          <w:color w:val="auto"/>
          <w:sz w:val="21"/>
          <w:szCs w:val="21"/>
        </w:rPr>
      </w:pPr>
      <w:bookmarkStart w:id="270" w:name="_Toc490667844"/>
      <w:bookmarkStart w:id="271" w:name="_Toc144974515"/>
      <w:bookmarkStart w:id="272" w:name="_Toc24440"/>
      <w:bookmarkStart w:id="273" w:name="_Toc152042323"/>
      <w:bookmarkStart w:id="274" w:name="_Toc9716"/>
      <w:bookmarkStart w:id="275" w:name="_Toc152045547"/>
      <w:bookmarkStart w:id="276" w:name="_Toc9273"/>
      <w:bookmarkStart w:id="277" w:name="_Toc15810"/>
      <w:bookmarkStart w:id="278" w:name="_Toc318450691"/>
      <w:bookmarkStart w:id="279" w:name="_Toc16198"/>
      <w:bookmarkStart w:id="280" w:name="_Toc27373"/>
      <w:bookmarkStart w:id="281" w:name="_Toc10096"/>
      <w:r>
        <w:rPr>
          <w:rFonts w:hint="eastAsia" w:ascii="宋体" w:hAnsi="宋体" w:eastAsia="宋体"/>
          <w:b/>
          <w:bCs/>
          <w:color w:val="auto"/>
          <w:sz w:val="21"/>
          <w:szCs w:val="21"/>
        </w:rPr>
        <w:t>3.1 响应文件的组成</w:t>
      </w:r>
      <w:bookmarkEnd w:id="270"/>
      <w:bookmarkEnd w:id="271"/>
      <w:bookmarkEnd w:id="272"/>
      <w:bookmarkEnd w:id="273"/>
      <w:bookmarkEnd w:id="274"/>
      <w:bookmarkEnd w:id="275"/>
      <w:bookmarkEnd w:id="276"/>
      <w:bookmarkEnd w:id="277"/>
      <w:bookmarkEnd w:id="278"/>
      <w:bookmarkEnd w:id="279"/>
      <w:bookmarkEnd w:id="280"/>
      <w:bookmarkEnd w:id="281"/>
    </w:p>
    <w:p>
      <w:pPr>
        <w:pStyle w:val="183"/>
        <w:spacing w:line="360" w:lineRule="auto"/>
        <w:ind w:firstLine="480"/>
        <w:outlineLvl w:val="9"/>
        <w:rPr>
          <w:rFonts w:hint="eastAsia" w:ascii="宋体" w:hAnsi="宋体" w:eastAsia="宋体"/>
          <w:color w:val="auto"/>
          <w:sz w:val="21"/>
          <w:szCs w:val="21"/>
          <w:lang w:eastAsia="zh-CN"/>
        </w:rPr>
      </w:pPr>
      <w:bookmarkStart w:id="282" w:name="_Toc455867785"/>
      <w:bookmarkStart w:id="283" w:name="_Toc31433"/>
      <w:bookmarkStart w:id="284" w:name="_Toc22864"/>
      <w:bookmarkStart w:id="285" w:name="_Toc466298108"/>
      <w:bookmarkStart w:id="286" w:name="_Toc18750"/>
      <w:bookmarkStart w:id="287" w:name="_Toc8768"/>
      <w:bookmarkStart w:id="288" w:name="_Toc31931"/>
      <w:bookmarkStart w:id="289" w:name="_Toc13280"/>
      <w:bookmarkStart w:id="290" w:name="_Toc779"/>
      <w:bookmarkStart w:id="291" w:name="_Toc455080125"/>
      <w:bookmarkStart w:id="292" w:name="_Toc490667845"/>
      <w:bookmarkStart w:id="293" w:name="_Toc17958"/>
      <w:bookmarkStart w:id="294" w:name="_Toc12237"/>
      <w:r>
        <w:rPr>
          <w:rFonts w:hint="eastAsia" w:ascii="宋体" w:hAnsi="宋体" w:eastAsia="宋体"/>
          <w:color w:val="auto"/>
          <w:sz w:val="21"/>
          <w:szCs w:val="21"/>
        </w:rPr>
        <w:t>详见</w:t>
      </w:r>
      <w:bookmarkStart w:id="295" w:name="_Toc152042324"/>
      <w:bookmarkStart w:id="296" w:name="_Toc26291"/>
      <w:bookmarkStart w:id="297" w:name="_Toc318450692"/>
      <w:bookmarkStart w:id="298" w:name="_Toc279156232"/>
      <w:bookmarkStart w:id="299" w:name="_Toc899"/>
      <w:bookmarkStart w:id="300" w:name="_Toc144974516"/>
      <w:bookmarkStart w:id="301" w:name="_Toc152045548"/>
      <w:r>
        <w:rPr>
          <w:rFonts w:hint="eastAsia" w:ascii="宋体" w:hAnsi="宋体" w:eastAsia="宋体"/>
          <w:color w:val="auto"/>
          <w:sz w:val="21"/>
          <w:szCs w:val="21"/>
          <w:lang w:eastAsia="zh-CN"/>
        </w:rPr>
        <w:t>第六章</w:t>
      </w:r>
      <w:r>
        <w:rPr>
          <w:rFonts w:hint="eastAsia" w:ascii="宋体" w:hAnsi="宋体" w:eastAsia="宋体"/>
          <w:color w:val="auto"/>
          <w:sz w:val="21"/>
          <w:szCs w:val="21"/>
        </w:rPr>
        <w:t>“竞争性磋商响应文件格式”</w:t>
      </w:r>
      <w:bookmarkEnd w:id="282"/>
      <w:bookmarkEnd w:id="283"/>
      <w:bookmarkEnd w:id="284"/>
      <w:bookmarkEnd w:id="285"/>
      <w:bookmarkEnd w:id="286"/>
      <w:bookmarkEnd w:id="287"/>
      <w:bookmarkEnd w:id="288"/>
      <w:bookmarkEnd w:id="289"/>
      <w:bookmarkEnd w:id="290"/>
      <w:bookmarkEnd w:id="291"/>
      <w:bookmarkEnd w:id="292"/>
      <w:r>
        <w:rPr>
          <w:rFonts w:hint="eastAsia" w:ascii="宋体" w:hAnsi="宋体" w:eastAsia="宋体"/>
          <w:color w:val="auto"/>
          <w:sz w:val="21"/>
          <w:szCs w:val="21"/>
          <w:lang w:eastAsia="zh-CN"/>
        </w:rPr>
        <w:t>。</w:t>
      </w:r>
      <w:bookmarkEnd w:id="293"/>
      <w:bookmarkEnd w:id="294"/>
    </w:p>
    <w:p>
      <w:pPr>
        <w:spacing w:line="360" w:lineRule="auto"/>
        <w:rPr>
          <w:rFonts w:hint="eastAsia" w:ascii="宋体" w:hAnsi="宋体" w:cs="宋体"/>
          <w:b/>
          <w:bCs/>
          <w:color w:val="auto"/>
          <w:szCs w:val="21"/>
        </w:rPr>
      </w:pPr>
      <w:r>
        <w:rPr>
          <w:rFonts w:hint="eastAsia" w:ascii="宋体" w:hAnsi="宋体" w:cs="宋体"/>
          <w:b/>
          <w:bCs/>
          <w:color w:val="auto"/>
          <w:szCs w:val="21"/>
        </w:rPr>
        <w:t>3.2 磋商报价</w:t>
      </w:r>
      <w:bookmarkEnd w:id="295"/>
      <w:bookmarkEnd w:id="296"/>
      <w:bookmarkEnd w:id="297"/>
      <w:bookmarkEnd w:id="298"/>
      <w:bookmarkEnd w:id="299"/>
      <w:bookmarkEnd w:id="300"/>
      <w:bookmarkEnd w:id="301"/>
      <w:bookmarkStart w:id="302" w:name="_Toc12402"/>
      <w:bookmarkStart w:id="303" w:name="_Toc152045549"/>
      <w:bookmarkStart w:id="304" w:name="_Toc6105"/>
      <w:bookmarkStart w:id="305" w:name="_Toc2425"/>
      <w:bookmarkStart w:id="306" w:name="_Toc318450693"/>
      <w:bookmarkStart w:id="307" w:name="_Toc3624"/>
      <w:bookmarkStart w:id="308" w:name="_Toc455867786"/>
      <w:bookmarkStart w:id="309" w:name="_Toc11968"/>
      <w:bookmarkStart w:id="310" w:name="_Toc29133"/>
      <w:bookmarkStart w:id="311" w:name="_Toc25387"/>
      <w:bookmarkStart w:id="312" w:name="_Toc455080126"/>
      <w:bookmarkStart w:id="313" w:name="_Toc152042325"/>
      <w:bookmarkStart w:id="314" w:name="_Toc466298109"/>
      <w:bookmarkStart w:id="315" w:name="_Toc7910"/>
      <w:bookmarkStart w:id="316" w:name="_Toc21680"/>
      <w:bookmarkStart w:id="317" w:name="_Toc144974517"/>
      <w:bookmarkStart w:id="318" w:name="_Toc490667846"/>
      <w:bookmarkStart w:id="319" w:name="_Toc21600"/>
      <w:bookmarkStart w:id="320" w:name="_Toc7105"/>
    </w:p>
    <w:p>
      <w:pPr>
        <w:spacing w:line="360" w:lineRule="auto"/>
        <w:ind w:firstLine="420" w:firstLineChars="200"/>
        <w:rPr>
          <w:rFonts w:hint="eastAsia" w:ascii="宋体" w:hAnsi="宋体" w:eastAsia="宋体"/>
          <w:b w:val="0"/>
          <w:bCs w:val="0"/>
          <w:color w:val="auto"/>
          <w:sz w:val="21"/>
          <w:szCs w:val="21"/>
        </w:rPr>
      </w:pPr>
      <w:r>
        <w:rPr>
          <w:rFonts w:hint="eastAsia" w:ascii="宋体" w:hAnsi="宋体" w:eastAsia="宋体"/>
          <w:b w:val="0"/>
          <w:bCs w:val="0"/>
          <w:color w:val="auto"/>
          <w:sz w:val="21"/>
          <w:szCs w:val="21"/>
        </w:rPr>
        <w:t>3.2.1本项目的磋商报价应按照磋商文件、补充通知、答疑纪要、现场情况、承包范围，并充分考虑</w:t>
      </w:r>
      <w:r>
        <w:rPr>
          <w:rFonts w:hint="eastAsia" w:ascii="宋体" w:hAnsi="宋体"/>
          <w:b w:val="0"/>
          <w:bCs w:val="0"/>
          <w:color w:val="auto"/>
          <w:sz w:val="21"/>
          <w:szCs w:val="21"/>
          <w:lang w:val="en-US" w:eastAsia="zh-CN"/>
        </w:rPr>
        <w:t>服务</w:t>
      </w:r>
      <w:r>
        <w:rPr>
          <w:rFonts w:hint="eastAsia" w:ascii="宋体" w:hAnsi="宋体" w:eastAsia="宋体"/>
          <w:b w:val="0"/>
          <w:bCs w:val="0"/>
          <w:color w:val="auto"/>
          <w:sz w:val="21"/>
          <w:szCs w:val="21"/>
        </w:rPr>
        <w:t>期间各类材料、人工市场风险和国家政策性调整等风险系数，由各响应人根据自身情况，在合理范围内，自主考虑、优惠报价，但不得低于企业成本，分二次报价：第一次报价必须按照磋商文件的报价格式填报，第二次报价在磋商中填报，第二次报价（不得</w:t>
      </w:r>
      <w:r>
        <w:rPr>
          <w:rFonts w:hint="eastAsia" w:ascii="宋体" w:hAnsi="宋体"/>
          <w:b w:val="0"/>
          <w:bCs w:val="0"/>
          <w:color w:val="auto"/>
          <w:sz w:val="21"/>
          <w:szCs w:val="21"/>
          <w:lang w:val="en-US" w:eastAsia="zh-CN"/>
        </w:rPr>
        <w:t>低于</w:t>
      </w:r>
      <w:r>
        <w:rPr>
          <w:rFonts w:hint="eastAsia" w:ascii="宋体" w:hAnsi="宋体" w:eastAsia="宋体"/>
          <w:b w:val="0"/>
          <w:bCs w:val="0"/>
          <w:color w:val="auto"/>
          <w:sz w:val="21"/>
          <w:szCs w:val="21"/>
        </w:rPr>
        <w:t>一次报价）即为最终报价</w:t>
      </w:r>
      <w:bookmarkEnd w:id="302"/>
      <w:r>
        <w:rPr>
          <w:rFonts w:hint="eastAsia" w:ascii="宋体" w:hAnsi="宋体" w:eastAsia="宋体"/>
          <w:b w:val="0"/>
          <w:bCs w:val="0"/>
          <w:color w:val="auto"/>
          <w:sz w:val="21"/>
          <w:szCs w:val="21"/>
        </w:rPr>
        <w:t>。</w:t>
      </w:r>
    </w:p>
    <w:p>
      <w:pPr>
        <w:spacing w:line="360" w:lineRule="auto"/>
        <w:ind w:firstLine="420" w:firstLineChars="200"/>
        <w:rPr>
          <w:rFonts w:hint="eastAsia" w:ascii="宋体" w:hAnsi="宋体" w:eastAsia="宋体" w:cs="宋体"/>
          <w:b w:val="0"/>
          <w:bCs w:val="0"/>
          <w:color w:val="auto"/>
          <w:kern w:val="2"/>
          <w:sz w:val="21"/>
          <w:szCs w:val="21"/>
          <w:lang w:val="en-US" w:eastAsia="zh-CN" w:bidi="ar-SA"/>
        </w:rPr>
      </w:pPr>
      <w:r>
        <w:rPr>
          <w:rFonts w:hint="eastAsia" w:ascii="宋体" w:hAnsi="宋体" w:eastAsia="宋体"/>
          <w:b w:val="0"/>
          <w:bCs w:val="0"/>
          <w:color w:val="auto"/>
          <w:sz w:val="21"/>
          <w:szCs w:val="21"/>
        </w:rPr>
        <w:t>3.2.2</w:t>
      </w:r>
      <w:r>
        <w:rPr>
          <w:rFonts w:hint="eastAsia" w:ascii="宋体" w:hAnsi="宋体" w:eastAsia="宋体" w:cs="宋体"/>
          <w:b w:val="0"/>
          <w:bCs w:val="0"/>
          <w:color w:val="auto"/>
          <w:kern w:val="2"/>
          <w:sz w:val="21"/>
          <w:szCs w:val="21"/>
          <w:lang w:val="en-US" w:eastAsia="zh-CN" w:bidi="ar-SA"/>
        </w:rPr>
        <w:t>供应商应充分了解该项目的总体情况以及影响磋商报价的其它要素，考虑</w:t>
      </w:r>
      <w:r>
        <w:rPr>
          <w:rFonts w:hint="eastAsia" w:ascii="宋体" w:hAnsi="宋体" w:cs="宋体"/>
          <w:b w:val="0"/>
          <w:bCs w:val="0"/>
          <w:color w:val="auto"/>
          <w:kern w:val="2"/>
          <w:sz w:val="21"/>
          <w:szCs w:val="21"/>
          <w:lang w:val="en-US" w:eastAsia="zh-CN" w:bidi="ar-SA"/>
        </w:rPr>
        <w:t>服务</w:t>
      </w:r>
      <w:r>
        <w:rPr>
          <w:rFonts w:hint="eastAsia" w:ascii="宋体" w:hAnsi="宋体" w:eastAsia="宋体" w:cs="宋体"/>
          <w:b w:val="0"/>
          <w:bCs w:val="0"/>
          <w:color w:val="auto"/>
          <w:kern w:val="2"/>
          <w:sz w:val="21"/>
          <w:szCs w:val="21"/>
          <w:lang w:val="en-US" w:eastAsia="zh-CN" w:bidi="ar-SA"/>
        </w:rPr>
        <w:t>期间的价格风险因素，成交价在合同实施期内不得调整，同时也不因市场价格变动而调整。</w:t>
      </w:r>
    </w:p>
    <w:p>
      <w:pPr>
        <w:pStyle w:val="183"/>
        <w:spacing w:line="360" w:lineRule="auto"/>
        <w:ind w:firstLine="420" w:firstLineChars="200"/>
        <w:outlineLvl w:val="0"/>
        <w:rPr>
          <w:rFonts w:hint="eastAsia" w:ascii="宋体" w:hAnsi="宋体" w:eastAsia="宋体" w:cs="宋体"/>
          <w:b w:val="0"/>
          <w:bCs w:val="0"/>
          <w:color w:val="auto"/>
          <w:kern w:val="2"/>
          <w:sz w:val="21"/>
          <w:szCs w:val="21"/>
          <w:lang w:val="en-US" w:eastAsia="zh-CN" w:bidi="ar-SA"/>
        </w:rPr>
      </w:pPr>
      <w:bookmarkStart w:id="321" w:name="_Toc3293"/>
      <w:r>
        <w:rPr>
          <w:rFonts w:hint="eastAsia" w:ascii="宋体" w:hAnsi="宋体" w:eastAsia="宋体"/>
          <w:b w:val="0"/>
          <w:bCs w:val="0"/>
          <w:color w:val="auto"/>
          <w:sz w:val="21"/>
          <w:szCs w:val="21"/>
        </w:rPr>
        <w:t xml:space="preserve">3.2.3 </w:t>
      </w:r>
      <w:r>
        <w:rPr>
          <w:rFonts w:hint="eastAsia" w:ascii="宋体" w:hAnsi="宋体" w:eastAsia="宋体" w:cs="宋体"/>
          <w:b w:val="0"/>
          <w:bCs w:val="0"/>
          <w:color w:val="auto"/>
          <w:kern w:val="2"/>
          <w:sz w:val="21"/>
          <w:szCs w:val="21"/>
          <w:lang w:val="en-US" w:eastAsia="zh-CN" w:bidi="ar-SA"/>
        </w:rPr>
        <w:t>响应报价表中的大写金额和小写金额不一致的，以大写金额为准。</w:t>
      </w:r>
      <w:bookmarkEnd w:id="321"/>
    </w:p>
    <w:p>
      <w:pPr>
        <w:pStyle w:val="183"/>
        <w:spacing w:line="360" w:lineRule="auto"/>
        <w:outlineLvl w:val="0"/>
        <w:rPr>
          <w:rFonts w:hint="eastAsia" w:ascii="宋体" w:hAnsi="宋体" w:eastAsia="宋体"/>
          <w:b/>
          <w:bCs/>
          <w:color w:val="auto"/>
          <w:sz w:val="21"/>
          <w:szCs w:val="21"/>
        </w:rPr>
      </w:pPr>
      <w:bookmarkStart w:id="322" w:name="_Toc31538"/>
      <w:r>
        <w:rPr>
          <w:rFonts w:hint="eastAsia" w:ascii="宋体" w:hAnsi="宋体" w:eastAsia="宋体"/>
          <w:b/>
          <w:bCs/>
          <w:color w:val="auto"/>
          <w:sz w:val="21"/>
          <w:szCs w:val="21"/>
        </w:rPr>
        <w:t>3.3 磋商有效期</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2"/>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3.3.1 在供应商须知前附表规定的磋商有效期内，供应商不得要求撤销或修改其响应文件。</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3.3.2出现特殊情况需要延长磋商有效期的，采购人以书面形式通知所有供应商延长磋商有效期。供应商同意延长的，但不得要求或被允许修改或撤销其响应文件；供应商拒绝延长的，其响应文件失效。 </w:t>
      </w:r>
    </w:p>
    <w:p>
      <w:pPr>
        <w:pStyle w:val="183"/>
        <w:spacing w:line="360" w:lineRule="auto"/>
        <w:outlineLvl w:val="0"/>
        <w:rPr>
          <w:rFonts w:hint="eastAsia" w:ascii="宋体" w:hAnsi="宋体" w:eastAsia="宋体"/>
          <w:b/>
          <w:bCs/>
          <w:color w:val="auto"/>
          <w:sz w:val="21"/>
          <w:szCs w:val="21"/>
          <w:lang w:eastAsia="zh-CN"/>
        </w:rPr>
      </w:pPr>
      <w:bookmarkStart w:id="323" w:name="_Toc152045550"/>
      <w:bookmarkStart w:id="324" w:name="_Toc2505"/>
      <w:bookmarkStart w:id="325" w:name="_Toc7973"/>
      <w:bookmarkStart w:id="326" w:name="_Toc466298110"/>
      <w:bookmarkStart w:id="327" w:name="_Toc144974518"/>
      <w:bookmarkStart w:id="328" w:name="_Toc490667847"/>
      <w:bookmarkStart w:id="329" w:name="_Toc455080127"/>
      <w:bookmarkStart w:id="330" w:name="_Toc8406"/>
      <w:bookmarkStart w:id="331" w:name="_Toc318450694"/>
      <w:bookmarkStart w:id="332" w:name="_Toc7057"/>
      <w:bookmarkStart w:id="333" w:name="_Toc30697"/>
      <w:bookmarkStart w:id="334" w:name="_Toc455867787"/>
      <w:bookmarkStart w:id="335" w:name="_Toc10370"/>
      <w:bookmarkStart w:id="336" w:name="_Toc4165"/>
      <w:bookmarkStart w:id="337" w:name="_Toc7618"/>
      <w:bookmarkStart w:id="338" w:name="_Toc152042326"/>
      <w:bookmarkStart w:id="339" w:name="_Toc22634"/>
      <w:bookmarkStart w:id="340" w:name="_Toc30973"/>
      <w:bookmarkStart w:id="341" w:name="_Toc13921"/>
      <w:r>
        <w:rPr>
          <w:rFonts w:hint="eastAsia" w:ascii="宋体" w:hAnsi="宋体" w:eastAsia="宋体"/>
          <w:b/>
          <w:bCs/>
          <w:color w:val="auto"/>
          <w:sz w:val="21"/>
          <w:szCs w:val="21"/>
        </w:rPr>
        <w:t>3.4 磋商保证金</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Start w:id="342" w:name="_Toc318450695"/>
      <w:bookmarkStart w:id="343" w:name="_Toc152045552"/>
      <w:bookmarkStart w:id="344" w:name="_Toc144974520"/>
      <w:bookmarkStart w:id="345" w:name="_Toc152042328"/>
      <w:r>
        <w:rPr>
          <w:rFonts w:hint="eastAsia" w:ascii="宋体" w:hAnsi="宋体" w:eastAsia="宋体"/>
          <w:b/>
          <w:bCs/>
          <w:color w:val="auto"/>
          <w:sz w:val="21"/>
          <w:szCs w:val="21"/>
          <w:lang w:eastAsia="zh-CN"/>
        </w:rPr>
        <w:t>：无。</w:t>
      </w:r>
      <w:bookmarkEnd w:id="340"/>
      <w:bookmarkEnd w:id="341"/>
    </w:p>
    <w:p>
      <w:pPr>
        <w:pStyle w:val="183"/>
        <w:spacing w:line="360" w:lineRule="auto"/>
        <w:outlineLvl w:val="0"/>
        <w:rPr>
          <w:rFonts w:hint="eastAsia" w:ascii="宋体" w:hAnsi="宋体" w:eastAsia="宋体"/>
          <w:b/>
          <w:bCs/>
          <w:color w:val="auto"/>
          <w:sz w:val="21"/>
          <w:szCs w:val="21"/>
        </w:rPr>
      </w:pPr>
      <w:bookmarkStart w:id="346" w:name="_Toc20328"/>
      <w:bookmarkStart w:id="347" w:name="_Toc455080128"/>
      <w:bookmarkStart w:id="348" w:name="_Toc2794"/>
      <w:bookmarkStart w:id="349" w:name="_Toc11077"/>
      <w:bookmarkStart w:id="350" w:name="_Toc10721"/>
      <w:bookmarkStart w:id="351" w:name="_Toc455867788"/>
      <w:bookmarkStart w:id="352" w:name="_Toc22384"/>
      <w:bookmarkStart w:id="353" w:name="_Toc17153"/>
      <w:bookmarkStart w:id="354" w:name="_Toc22527"/>
      <w:bookmarkStart w:id="355" w:name="_Toc490667848"/>
      <w:bookmarkStart w:id="356" w:name="_Toc13680"/>
      <w:bookmarkStart w:id="357" w:name="_Toc466298111"/>
      <w:bookmarkStart w:id="358" w:name="_Toc15547"/>
      <w:bookmarkStart w:id="359" w:name="_Toc27579"/>
      <w:bookmarkStart w:id="360" w:name="_Toc16747"/>
      <w:r>
        <w:rPr>
          <w:rFonts w:hint="eastAsia" w:ascii="宋体" w:hAnsi="宋体" w:eastAsia="宋体"/>
          <w:b/>
          <w:bCs/>
          <w:color w:val="auto"/>
          <w:sz w:val="21"/>
          <w:szCs w:val="21"/>
        </w:rPr>
        <w:t>3.5资格审查资料</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pPr>
        <w:pStyle w:val="183"/>
        <w:spacing w:line="360" w:lineRule="auto"/>
        <w:ind w:firstLine="315" w:firstLineChars="150"/>
        <w:outlineLvl w:val="0"/>
        <w:rPr>
          <w:rFonts w:hint="eastAsia" w:ascii="宋体" w:hAnsi="宋体" w:eastAsia="宋体"/>
          <w:color w:val="auto"/>
          <w:kern w:val="2"/>
          <w:sz w:val="21"/>
          <w:szCs w:val="21"/>
          <w:lang w:val="en-US" w:eastAsia="zh-CN"/>
        </w:rPr>
      </w:pPr>
      <w:bookmarkStart w:id="361" w:name="_Toc27738"/>
      <w:bookmarkStart w:id="362" w:name="_Toc4586"/>
      <w:bookmarkStart w:id="363" w:name="_Toc30442"/>
      <w:bookmarkStart w:id="364" w:name="_Toc5132"/>
      <w:bookmarkStart w:id="365" w:name="_Toc26258"/>
      <w:bookmarkStart w:id="366" w:name="_Toc19724"/>
      <w:bookmarkStart w:id="367" w:name="_Toc9015"/>
      <w:bookmarkStart w:id="368" w:name="_Toc3286"/>
      <w:bookmarkStart w:id="369" w:name="_Toc152045553"/>
      <w:bookmarkStart w:id="370" w:name="_Toc490667849"/>
      <w:bookmarkStart w:id="371" w:name="_Toc11694"/>
      <w:bookmarkStart w:id="372" w:name="_Toc1228"/>
      <w:bookmarkStart w:id="373" w:name="_Toc318450696"/>
      <w:bookmarkStart w:id="374" w:name="_Toc455867789"/>
      <w:bookmarkStart w:id="375" w:name="_Toc455080129"/>
      <w:bookmarkStart w:id="376" w:name="_Toc18915"/>
      <w:bookmarkStart w:id="377" w:name="_Toc466298112"/>
      <w:bookmarkStart w:id="378" w:name="_Toc152042329"/>
      <w:bookmarkStart w:id="379" w:name="_Toc144974521"/>
      <w:r>
        <w:rPr>
          <w:rFonts w:hint="eastAsia" w:ascii="宋体" w:hAnsi="宋体" w:eastAsia="宋体"/>
          <w:color w:val="auto"/>
          <w:kern w:val="2"/>
          <w:sz w:val="21"/>
          <w:szCs w:val="21"/>
          <w:lang w:val="en-US" w:eastAsia="zh-CN"/>
        </w:rPr>
        <w:t>按照第二章供应商须知“供应商须知前附表”1.5.1要求，提供相关材料。</w:t>
      </w:r>
      <w:bookmarkEnd w:id="361"/>
      <w:bookmarkEnd w:id="362"/>
    </w:p>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Pr>
        <w:pStyle w:val="183"/>
        <w:spacing w:line="360" w:lineRule="auto"/>
        <w:outlineLvl w:val="0"/>
        <w:rPr>
          <w:rFonts w:hint="eastAsia" w:ascii="宋体" w:hAnsi="宋体" w:eastAsia="宋体"/>
          <w:b/>
          <w:bCs/>
          <w:color w:val="auto"/>
          <w:sz w:val="21"/>
          <w:szCs w:val="21"/>
        </w:rPr>
      </w:pPr>
      <w:bookmarkStart w:id="380" w:name="_Toc152045554"/>
      <w:bookmarkStart w:id="381" w:name="_Toc7966"/>
      <w:bookmarkStart w:id="382" w:name="_Toc455867790"/>
      <w:bookmarkStart w:id="383" w:name="_Toc5825"/>
      <w:bookmarkStart w:id="384" w:name="_Toc12275"/>
      <w:bookmarkStart w:id="385" w:name="_Toc152042330"/>
      <w:bookmarkStart w:id="386" w:name="_Toc5516"/>
      <w:bookmarkStart w:id="387" w:name="_Toc17697"/>
      <w:bookmarkStart w:id="388" w:name="_Toc18912"/>
      <w:bookmarkStart w:id="389" w:name="_Toc490667850"/>
      <w:bookmarkStart w:id="390" w:name="_Toc25620"/>
      <w:bookmarkStart w:id="391" w:name="_Toc455080130"/>
      <w:bookmarkStart w:id="392" w:name="_Toc12541"/>
      <w:bookmarkStart w:id="393" w:name="_Toc318450697"/>
      <w:bookmarkStart w:id="394" w:name="_Toc6323"/>
      <w:bookmarkStart w:id="395" w:name="_Toc466298113"/>
      <w:bookmarkStart w:id="396" w:name="_Toc28656"/>
      <w:bookmarkStart w:id="397" w:name="_Toc7626"/>
      <w:bookmarkStart w:id="398" w:name="_Toc144974522"/>
      <w:r>
        <w:rPr>
          <w:rFonts w:hint="eastAsia" w:ascii="宋体" w:hAnsi="宋体" w:eastAsia="宋体"/>
          <w:b/>
          <w:bCs/>
          <w:color w:val="auto"/>
          <w:sz w:val="21"/>
          <w:szCs w:val="21"/>
        </w:rPr>
        <w:t>3.</w:t>
      </w:r>
      <w:r>
        <w:rPr>
          <w:rFonts w:hint="eastAsia" w:ascii="宋体" w:hAnsi="宋体" w:eastAsia="宋体"/>
          <w:b/>
          <w:bCs/>
          <w:color w:val="auto"/>
          <w:sz w:val="21"/>
          <w:szCs w:val="21"/>
          <w:lang w:val="en-US" w:eastAsia="zh-CN"/>
        </w:rPr>
        <w:t>6</w:t>
      </w:r>
      <w:r>
        <w:rPr>
          <w:rFonts w:hint="eastAsia" w:ascii="宋体" w:hAnsi="宋体" w:eastAsia="宋体"/>
          <w:b/>
          <w:bCs/>
          <w:color w:val="auto"/>
          <w:sz w:val="21"/>
          <w:szCs w:val="21"/>
        </w:rPr>
        <w:t xml:space="preserve"> 响应文件的编制</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pPr>
        <w:tabs>
          <w:tab w:val="left" w:pos="420"/>
        </w:tabs>
        <w:spacing w:line="360" w:lineRule="auto"/>
        <w:ind w:firstLine="420" w:firstLineChars="200"/>
        <w:rPr>
          <w:rFonts w:hint="eastAsia" w:ascii="宋体" w:hAnsi="宋体"/>
          <w:szCs w:val="21"/>
        </w:rPr>
      </w:pPr>
      <w:bookmarkStart w:id="399" w:name="_Toc152042331"/>
      <w:bookmarkStart w:id="400" w:name="_Toc152045555"/>
      <w:bookmarkStart w:id="401" w:name="_Toc144974523"/>
      <w:bookmarkStart w:id="402" w:name="_Toc455080131"/>
      <w:bookmarkStart w:id="403" w:name="_Toc1526"/>
      <w:bookmarkStart w:id="404" w:name="_Toc19433"/>
      <w:r>
        <w:rPr>
          <w:rFonts w:hint="eastAsia" w:ascii="宋体" w:hAnsi="宋体"/>
          <w:szCs w:val="21"/>
        </w:rPr>
        <w:t>3.</w:t>
      </w:r>
      <w:r>
        <w:rPr>
          <w:rFonts w:hint="eastAsia" w:ascii="宋体" w:hAnsi="宋体"/>
          <w:szCs w:val="21"/>
          <w:lang w:val="en-US" w:eastAsia="zh-CN"/>
        </w:rPr>
        <w:t>6</w:t>
      </w:r>
      <w:r>
        <w:rPr>
          <w:rFonts w:hint="eastAsia" w:ascii="宋体" w:hAnsi="宋体"/>
          <w:szCs w:val="21"/>
        </w:rPr>
        <w:t>.1</w:t>
      </w:r>
      <w:r>
        <w:rPr>
          <w:rFonts w:hint="eastAsia" w:ascii="宋体" w:hAnsi="宋体"/>
          <w:szCs w:val="21"/>
          <w:lang w:eastAsia="zh-CN"/>
        </w:rPr>
        <w:t>供应商</w:t>
      </w:r>
      <w:r>
        <w:rPr>
          <w:rFonts w:hint="eastAsia" w:ascii="宋体" w:hAnsi="宋体"/>
          <w:szCs w:val="21"/>
        </w:rPr>
        <w:t>通过“全国公共资源交易平台（河南省·信阳市）（https://ggzyjy.xinyang.gov.cn）”网站下载中心栏目内下载或</w:t>
      </w:r>
      <w:r>
        <w:rPr>
          <w:rFonts w:hint="eastAsia" w:ascii="宋体" w:hAnsi="宋体"/>
          <w:szCs w:val="21"/>
          <w:lang w:val="en-US" w:eastAsia="zh-CN"/>
        </w:rPr>
        <w:t>磋商</w:t>
      </w:r>
      <w:r>
        <w:rPr>
          <w:rFonts w:hint="eastAsia" w:ascii="宋体" w:hAnsi="宋体"/>
          <w:szCs w:val="21"/>
        </w:rPr>
        <w:t>文件领取页面下载“信阳市投标文件制作工具软件”。</w:t>
      </w:r>
    </w:p>
    <w:p>
      <w:pPr>
        <w:tabs>
          <w:tab w:val="left" w:pos="420"/>
        </w:tabs>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6</w:t>
      </w:r>
      <w:r>
        <w:rPr>
          <w:rFonts w:hint="eastAsia" w:ascii="宋体" w:hAnsi="宋体"/>
          <w:szCs w:val="21"/>
        </w:rPr>
        <w:t>.2使用“信阳市投标文件制作工具”软件制作生成加密版的电子投标响应文件，软件操作手册可在网站下载中心下载或打开软件后在右上角菜单内领取。</w:t>
      </w:r>
    </w:p>
    <w:p>
      <w:pPr>
        <w:tabs>
          <w:tab w:val="left" w:pos="420"/>
        </w:tabs>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6</w:t>
      </w:r>
      <w:r>
        <w:rPr>
          <w:rFonts w:hint="eastAsia" w:ascii="宋体" w:hAnsi="宋体"/>
          <w:szCs w:val="21"/>
        </w:rPr>
        <w:t>.3</w:t>
      </w:r>
      <w:r>
        <w:rPr>
          <w:rFonts w:hint="eastAsia" w:ascii="宋体" w:hAnsi="宋体"/>
          <w:szCs w:val="21"/>
          <w:lang w:eastAsia="zh-CN"/>
        </w:rPr>
        <w:t>供应商</w:t>
      </w:r>
      <w:r>
        <w:rPr>
          <w:rFonts w:hint="eastAsia" w:ascii="宋体" w:hAnsi="宋体"/>
          <w:szCs w:val="21"/>
        </w:rPr>
        <w:t>在电子投标响应文件制作完成后生成响应文件时须加盖电子签章/签名。其他要求签字盖章的响应文件格式内容，如无法进行电子签章/签名，</w:t>
      </w:r>
      <w:r>
        <w:rPr>
          <w:rFonts w:hint="eastAsia" w:ascii="宋体" w:hAnsi="宋体"/>
          <w:szCs w:val="21"/>
          <w:lang w:eastAsia="zh-CN"/>
        </w:rPr>
        <w:t>供应商</w:t>
      </w:r>
      <w:r>
        <w:rPr>
          <w:rFonts w:hint="eastAsia" w:ascii="宋体" w:hAnsi="宋体"/>
          <w:szCs w:val="21"/>
        </w:rPr>
        <w:t>可将盖章/签名后的扫描件上传到电子投标响应文件中。签字盖章的其他要求详见</w:t>
      </w:r>
      <w:r>
        <w:rPr>
          <w:rFonts w:hint="eastAsia" w:ascii="宋体" w:hAnsi="宋体"/>
          <w:szCs w:val="21"/>
          <w:lang w:eastAsia="zh-CN"/>
        </w:rPr>
        <w:t>供应商</w:t>
      </w:r>
      <w:r>
        <w:rPr>
          <w:rFonts w:hint="eastAsia" w:ascii="宋体" w:hAnsi="宋体"/>
          <w:szCs w:val="21"/>
        </w:rPr>
        <w:t>须知前附表。开标一览表报价将作为电子开标的唱标依据（若开标时电子唱标的开标一览表内容与响应文件内开标一览表内容不一致的，以开标时电子唱标的开标一览表内容为准。）</w:t>
      </w:r>
    </w:p>
    <w:p>
      <w:pPr>
        <w:tabs>
          <w:tab w:val="left" w:pos="420"/>
        </w:tabs>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6</w:t>
      </w:r>
      <w:r>
        <w:rPr>
          <w:rFonts w:hint="eastAsia" w:ascii="宋体" w:hAnsi="宋体"/>
          <w:szCs w:val="21"/>
        </w:rPr>
        <w:t xml:space="preserve">.4 </w:t>
      </w:r>
      <w:r>
        <w:rPr>
          <w:rFonts w:hint="eastAsia" w:ascii="宋体" w:hAnsi="宋体"/>
          <w:szCs w:val="21"/>
          <w:lang w:val="en-US" w:eastAsia="zh-CN"/>
        </w:rPr>
        <w:t>磋商</w:t>
      </w:r>
      <w:r>
        <w:rPr>
          <w:rFonts w:hint="eastAsia" w:ascii="宋体" w:hAnsi="宋体"/>
          <w:szCs w:val="21"/>
        </w:rPr>
        <w:t>文件格式所要求包含的全部资料应全部制作在响应文件内，严格按照本项目</w:t>
      </w:r>
      <w:r>
        <w:rPr>
          <w:rFonts w:hint="eastAsia" w:ascii="宋体" w:hAnsi="宋体"/>
          <w:szCs w:val="21"/>
          <w:lang w:val="en-US" w:eastAsia="zh-CN"/>
        </w:rPr>
        <w:t>磋商</w:t>
      </w:r>
      <w:r>
        <w:rPr>
          <w:rFonts w:hint="eastAsia" w:ascii="宋体" w:hAnsi="宋体"/>
          <w:szCs w:val="21"/>
        </w:rPr>
        <w:t>文件所有格式如实填写（不涉及的内容除外），不应存在漏项或缺项，否则将存在响应文件被拒绝的风险。</w:t>
      </w:r>
    </w:p>
    <w:p>
      <w:pPr>
        <w:tabs>
          <w:tab w:val="left" w:pos="420"/>
        </w:tabs>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6</w:t>
      </w:r>
      <w:r>
        <w:rPr>
          <w:rFonts w:hint="eastAsia" w:ascii="宋体" w:hAnsi="宋体"/>
          <w:szCs w:val="21"/>
        </w:rPr>
        <w:t xml:space="preserve">.5 </w:t>
      </w:r>
      <w:r>
        <w:rPr>
          <w:rFonts w:hint="eastAsia" w:ascii="宋体" w:hAnsi="宋体"/>
          <w:szCs w:val="21"/>
          <w:lang w:eastAsia="zh-CN"/>
        </w:rPr>
        <w:t>供应商</w:t>
      </w:r>
      <w:r>
        <w:rPr>
          <w:rFonts w:hint="eastAsia" w:ascii="宋体" w:hAnsi="宋体"/>
          <w:szCs w:val="21"/>
        </w:rPr>
        <w:t>编辑电子</w:t>
      </w:r>
      <w:r>
        <w:rPr>
          <w:rFonts w:hint="eastAsia" w:ascii="宋体" w:hAnsi="宋体"/>
          <w:szCs w:val="21"/>
          <w:lang w:val="en-US" w:eastAsia="zh-CN"/>
        </w:rPr>
        <w:t>响应</w:t>
      </w:r>
      <w:r>
        <w:rPr>
          <w:rFonts w:hint="eastAsia" w:ascii="宋体" w:hAnsi="宋体"/>
          <w:szCs w:val="21"/>
        </w:rPr>
        <w:t>文件时，最后一步生成电子</w:t>
      </w:r>
      <w:r>
        <w:rPr>
          <w:rFonts w:hint="eastAsia" w:ascii="宋体" w:hAnsi="宋体"/>
          <w:szCs w:val="21"/>
          <w:lang w:val="en-US" w:eastAsia="zh-CN"/>
        </w:rPr>
        <w:t>响应</w:t>
      </w:r>
      <w:r>
        <w:rPr>
          <w:rFonts w:hint="eastAsia" w:ascii="宋体" w:hAnsi="宋体"/>
          <w:szCs w:val="21"/>
        </w:rPr>
        <w:t>文件时，请使用本单位的企业 CA 数字证书。</w:t>
      </w:r>
    </w:p>
    <w:p>
      <w:pPr>
        <w:tabs>
          <w:tab w:val="left" w:pos="420"/>
        </w:tabs>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6</w:t>
      </w:r>
      <w:r>
        <w:rPr>
          <w:rFonts w:hint="eastAsia" w:ascii="宋体" w:hAnsi="宋体"/>
          <w:szCs w:val="21"/>
        </w:rPr>
        <w:t>.6</w:t>
      </w:r>
      <w:r>
        <w:rPr>
          <w:rFonts w:hint="eastAsia" w:ascii="宋体" w:hAnsi="宋体"/>
          <w:szCs w:val="21"/>
          <w:lang w:eastAsia="zh-CN"/>
        </w:rPr>
        <w:t>供应商</w:t>
      </w:r>
      <w:r>
        <w:rPr>
          <w:rFonts w:hint="eastAsia" w:ascii="宋体" w:hAnsi="宋体"/>
          <w:szCs w:val="21"/>
        </w:rPr>
        <w:t>应按照</w:t>
      </w:r>
      <w:r>
        <w:rPr>
          <w:rFonts w:hint="eastAsia" w:ascii="宋体" w:hAnsi="宋体"/>
          <w:szCs w:val="21"/>
          <w:lang w:val="en-US" w:eastAsia="zh-CN"/>
        </w:rPr>
        <w:t>磋商</w:t>
      </w:r>
      <w:r>
        <w:rPr>
          <w:rFonts w:hint="eastAsia" w:ascii="宋体" w:hAnsi="宋体"/>
          <w:szCs w:val="21"/>
        </w:rPr>
        <w:t>文件的要求，规范、明确、准时的提交响应文件。如果没有按照</w:t>
      </w:r>
      <w:r>
        <w:rPr>
          <w:rFonts w:hint="eastAsia" w:ascii="宋体" w:hAnsi="宋体"/>
          <w:szCs w:val="21"/>
          <w:lang w:val="en-US" w:eastAsia="zh-CN"/>
        </w:rPr>
        <w:t>磋商</w:t>
      </w:r>
      <w:r>
        <w:rPr>
          <w:rFonts w:hint="eastAsia" w:ascii="宋体" w:hAnsi="宋体"/>
          <w:szCs w:val="21"/>
        </w:rPr>
        <w:t>文件的要求提交全部资料并保证所提供全部资料的真实性，或没有对</w:t>
      </w:r>
      <w:r>
        <w:rPr>
          <w:rFonts w:hint="eastAsia" w:ascii="宋体" w:hAnsi="宋体"/>
          <w:szCs w:val="21"/>
          <w:lang w:val="en-US" w:eastAsia="zh-CN"/>
        </w:rPr>
        <w:t>磋商</w:t>
      </w:r>
      <w:r>
        <w:rPr>
          <w:rFonts w:hint="eastAsia" w:ascii="宋体" w:hAnsi="宋体"/>
          <w:szCs w:val="21"/>
        </w:rPr>
        <w:t>文件做出实质性响应，其风险应由</w:t>
      </w:r>
      <w:r>
        <w:rPr>
          <w:rFonts w:hint="eastAsia" w:ascii="宋体" w:hAnsi="宋体"/>
          <w:szCs w:val="21"/>
          <w:lang w:eastAsia="zh-CN"/>
        </w:rPr>
        <w:t>供应商</w:t>
      </w:r>
      <w:r>
        <w:rPr>
          <w:rFonts w:hint="eastAsia" w:ascii="宋体" w:hAnsi="宋体"/>
          <w:szCs w:val="21"/>
        </w:rPr>
        <w:t>自行承担。</w:t>
      </w:r>
    </w:p>
    <w:p>
      <w:pPr>
        <w:pStyle w:val="177"/>
        <w:spacing w:before="0" w:beforeLines="0"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 xml:space="preserve">4. </w:t>
      </w:r>
      <w:bookmarkEnd w:id="399"/>
      <w:bookmarkEnd w:id="400"/>
      <w:bookmarkEnd w:id="401"/>
      <w:bookmarkEnd w:id="402"/>
      <w:r>
        <w:rPr>
          <w:rFonts w:hint="eastAsia" w:ascii="宋体" w:hAnsi="宋体" w:eastAsia="宋体" w:cs="宋体"/>
          <w:b/>
          <w:bCs/>
          <w:color w:val="auto"/>
          <w:sz w:val="21"/>
          <w:szCs w:val="21"/>
        </w:rPr>
        <w:t>磋商</w:t>
      </w:r>
      <w:bookmarkEnd w:id="403"/>
      <w:bookmarkEnd w:id="404"/>
      <w:bookmarkStart w:id="405" w:name="_Toc455867792"/>
      <w:bookmarkStart w:id="406" w:name="_Toc16783"/>
      <w:bookmarkStart w:id="407" w:name="_Toc152042332"/>
      <w:bookmarkStart w:id="408" w:name="_Toc455080132"/>
      <w:bookmarkStart w:id="409" w:name="_Toc16344"/>
      <w:bookmarkStart w:id="410" w:name="_Toc152045556"/>
      <w:bookmarkStart w:id="411" w:name="_Toc144974524"/>
      <w:bookmarkStart w:id="412" w:name="_Toc26550"/>
      <w:bookmarkStart w:id="413" w:name="_Toc11243"/>
      <w:bookmarkStart w:id="414" w:name="_Toc490667852"/>
      <w:bookmarkStart w:id="415" w:name="_Toc26583"/>
      <w:bookmarkStart w:id="416" w:name="_Toc18820"/>
      <w:bookmarkStart w:id="417" w:name="_Toc31492"/>
      <w:bookmarkStart w:id="418" w:name="_Toc22961"/>
      <w:bookmarkStart w:id="419" w:name="_Toc318450699"/>
      <w:bookmarkStart w:id="420" w:name="_Toc466298115"/>
      <w:bookmarkStart w:id="421" w:name="_Toc16962"/>
      <w:bookmarkStart w:id="422" w:name="_Toc21145"/>
    </w:p>
    <w:p>
      <w:pPr>
        <w:spacing w:line="360" w:lineRule="auto"/>
        <w:rPr>
          <w:rFonts w:hint="eastAsia" w:ascii="宋体" w:hAnsi="宋体" w:eastAsia="宋体"/>
          <w:b/>
          <w:bCs/>
          <w:color w:val="auto"/>
          <w:sz w:val="21"/>
          <w:szCs w:val="21"/>
          <w:lang w:eastAsia="zh-CN"/>
        </w:rPr>
      </w:pPr>
      <w:r>
        <w:rPr>
          <w:rFonts w:hint="eastAsia" w:ascii="宋体" w:hAnsi="宋体" w:eastAsia="宋体"/>
          <w:b/>
          <w:bCs/>
          <w:color w:val="auto"/>
          <w:sz w:val="21"/>
          <w:szCs w:val="21"/>
        </w:rPr>
        <w:t>4.1 响应文件的</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r>
        <w:rPr>
          <w:rFonts w:hint="eastAsia" w:ascii="宋体" w:hAnsi="宋体" w:eastAsia="宋体"/>
          <w:b/>
          <w:bCs/>
          <w:color w:val="auto"/>
          <w:sz w:val="21"/>
          <w:szCs w:val="21"/>
          <w:lang w:eastAsia="zh-CN"/>
        </w:rPr>
        <w:t>上传</w:t>
      </w:r>
      <w:bookmarkEnd w:id="422"/>
    </w:p>
    <w:p>
      <w:pPr>
        <w:spacing w:line="360" w:lineRule="auto"/>
        <w:ind w:firstLine="420" w:firstLineChars="200"/>
        <w:rPr>
          <w:rFonts w:hint="eastAsia" w:ascii="宋体" w:hAnsi="宋体"/>
          <w:color w:val="auto"/>
          <w:szCs w:val="21"/>
        </w:rPr>
      </w:pPr>
      <w:r>
        <w:rPr>
          <w:rFonts w:hint="eastAsia" w:ascii="宋体" w:hAnsi="宋体" w:cs="宋体"/>
          <w:color w:val="auto"/>
          <w:szCs w:val="21"/>
        </w:rPr>
        <w:t>4.1.1网上上传的电子响应文件应使用供应商数字证书认证并加密</w:t>
      </w:r>
      <w:r>
        <w:rPr>
          <w:rFonts w:hint="eastAsia" w:ascii="宋体" w:hAnsi="宋体"/>
          <w:color w:val="auto"/>
          <w:szCs w:val="21"/>
        </w:rPr>
        <w:t>。</w:t>
      </w:r>
    </w:p>
    <w:p>
      <w:pPr>
        <w:pStyle w:val="183"/>
        <w:spacing w:line="360" w:lineRule="auto"/>
        <w:outlineLvl w:val="0"/>
        <w:rPr>
          <w:rFonts w:hint="eastAsia" w:ascii="宋体" w:hAnsi="宋体" w:eastAsia="宋体"/>
          <w:b/>
          <w:bCs/>
          <w:color w:val="auto"/>
          <w:sz w:val="21"/>
          <w:szCs w:val="21"/>
        </w:rPr>
      </w:pPr>
      <w:bookmarkStart w:id="423" w:name="_Toc4767"/>
      <w:bookmarkStart w:id="424" w:name="_Toc152045557"/>
      <w:bookmarkStart w:id="425" w:name="_Toc16832"/>
      <w:bookmarkStart w:id="426" w:name="_Toc21897"/>
      <w:bookmarkStart w:id="427" w:name="_Toc25665"/>
      <w:bookmarkStart w:id="428" w:name="_Toc20259"/>
      <w:bookmarkStart w:id="429" w:name="_Toc490667853"/>
      <w:bookmarkStart w:id="430" w:name="_Toc27132"/>
      <w:bookmarkStart w:id="431" w:name="_Toc144974525"/>
      <w:bookmarkStart w:id="432" w:name="_Toc152042333"/>
      <w:bookmarkStart w:id="433" w:name="_Toc318450700"/>
      <w:bookmarkStart w:id="434" w:name="_Toc28272"/>
      <w:bookmarkStart w:id="435" w:name="_Toc8754"/>
      <w:bookmarkStart w:id="436" w:name="_Toc455867793"/>
      <w:bookmarkStart w:id="437" w:name="_Toc462"/>
      <w:bookmarkStart w:id="438" w:name="_Toc466298116"/>
      <w:bookmarkStart w:id="439" w:name="_Toc7663"/>
      <w:bookmarkStart w:id="440" w:name="_Toc455080133"/>
      <w:bookmarkStart w:id="441" w:name="_Toc21072"/>
      <w:r>
        <w:rPr>
          <w:rFonts w:hint="eastAsia" w:ascii="宋体" w:hAnsi="宋体" w:eastAsia="宋体"/>
          <w:b/>
          <w:bCs/>
          <w:color w:val="auto"/>
          <w:sz w:val="21"/>
          <w:szCs w:val="21"/>
        </w:rPr>
        <w:t>4.2 响应文件的递交</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p>
      <w:pPr>
        <w:spacing w:line="360" w:lineRule="auto"/>
        <w:ind w:firstLine="420" w:firstLineChars="200"/>
        <w:rPr>
          <w:rFonts w:hint="eastAsia" w:ascii="宋体" w:hAnsi="宋体" w:eastAsia="宋体" w:cs="宋体"/>
          <w:color w:val="auto"/>
          <w:szCs w:val="21"/>
        </w:rPr>
      </w:pPr>
      <w:bookmarkStart w:id="442" w:name="_Toc152042334"/>
      <w:bookmarkStart w:id="443" w:name="_Toc2952"/>
      <w:bookmarkStart w:id="444" w:name="_Toc19951"/>
      <w:bookmarkStart w:id="445" w:name="_Toc11817"/>
      <w:bookmarkStart w:id="446" w:name="_Toc144974526"/>
      <w:bookmarkStart w:id="447" w:name="_Toc5102"/>
      <w:bookmarkStart w:id="448" w:name="_Toc30860"/>
      <w:bookmarkStart w:id="449" w:name="_Toc455867794"/>
      <w:bookmarkStart w:id="450" w:name="_Toc152045558"/>
      <w:bookmarkStart w:id="451" w:name="_Toc455080134"/>
      <w:bookmarkStart w:id="452" w:name="_Toc20281"/>
      <w:bookmarkStart w:id="453" w:name="_Toc466298117"/>
      <w:bookmarkStart w:id="454" w:name="_Toc26684"/>
      <w:bookmarkStart w:id="455" w:name="_Toc490667854"/>
      <w:bookmarkStart w:id="456" w:name="_Toc318450701"/>
      <w:bookmarkStart w:id="457" w:name="_Toc21890"/>
      <w:bookmarkStart w:id="458" w:name="_Toc17161"/>
      <w:r>
        <w:rPr>
          <w:rFonts w:hint="eastAsia" w:ascii="宋体" w:hAnsi="宋体" w:eastAsia="宋体" w:cs="宋体"/>
          <w:color w:val="auto"/>
          <w:szCs w:val="21"/>
        </w:rPr>
        <w:t>4.2.1电子响应文件的递交</w:t>
      </w: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各供应商应在</w:t>
      </w:r>
      <w:r>
        <w:rPr>
          <w:rFonts w:hint="eastAsia" w:ascii="宋体" w:hAnsi="宋体" w:eastAsia="宋体" w:cs="宋体"/>
          <w:color w:val="auto"/>
          <w:szCs w:val="21"/>
          <w:lang w:eastAsia="zh-CN"/>
        </w:rPr>
        <w:t>响应文件提交</w:t>
      </w:r>
      <w:r>
        <w:rPr>
          <w:rFonts w:hint="eastAsia" w:ascii="宋体" w:hAnsi="宋体" w:eastAsia="宋体" w:cs="宋体"/>
          <w:color w:val="auto"/>
          <w:szCs w:val="21"/>
        </w:rPr>
        <w:t>时间前上传加密的电子响应文件（*.XYTF）到会员系统的指定位置。上传的电子响应文件应使用</w:t>
      </w:r>
      <w:r>
        <w:rPr>
          <w:rFonts w:hint="eastAsia" w:ascii="宋体" w:hAnsi="宋体" w:eastAsia="宋体" w:cs="宋体"/>
          <w:color w:val="auto"/>
          <w:szCs w:val="21"/>
          <w:lang w:eastAsia="zh-CN"/>
        </w:rPr>
        <w:t>供应商</w:t>
      </w:r>
      <w:r>
        <w:rPr>
          <w:rFonts w:hint="eastAsia" w:ascii="宋体" w:hAnsi="宋体" w:eastAsia="宋体" w:cs="宋体"/>
          <w:color w:val="auto"/>
          <w:szCs w:val="21"/>
        </w:rPr>
        <w:t>CA数字证书认证并加密。上传时必须得到交易系统“上传成功”的确认回复后方为上传成功。请供应商在上传前务必认真检查上传响应文件是否完整、正确。</w:t>
      </w:r>
    </w:p>
    <w:p>
      <w:pPr>
        <w:spacing w:line="360" w:lineRule="auto"/>
        <w:ind w:firstLine="420" w:firstLineChars="200"/>
        <w:rPr>
          <w:rFonts w:hint="eastAsia" w:ascii="宋体" w:hAnsi="宋体" w:eastAsia="宋体" w:cs="宋体"/>
          <w:color w:val="auto"/>
          <w:szCs w:val="21"/>
        </w:rPr>
      </w:pPr>
      <w:r>
        <w:rPr>
          <w:rFonts w:hint="eastAsia" w:ascii="宋体" w:hAnsi="宋体" w:cs="宋体"/>
          <w:color w:val="auto"/>
          <w:szCs w:val="21"/>
          <w:lang w:val="en-US" w:eastAsia="zh-CN"/>
        </w:rPr>
        <w:t>4.2.2</w:t>
      </w:r>
      <w:r>
        <w:rPr>
          <w:rFonts w:hint="eastAsia" w:ascii="宋体" w:hAnsi="宋体"/>
          <w:b/>
          <w:bCs/>
          <w:szCs w:val="21"/>
          <w:lang w:eastAsia="zh-CN"/>
        </w:rPr>
        <w:t>供应商</w:t>
      </w:r>
      <w:r>
        <w:rPr>
          <w:rFonts w:hint="eastAsia" w:ascii="宋体" w:hAnsi="宋体"/>
          <w:b/>
          <w:bCs/>
          <w:szCs w:val="21"/>
        </w:rPr>
        <w:t>因信阳市电子招投标交易平台问题无法上传电子</w:t>
      </w:r>
      <w:r>
        <w:rPr>
          <w:rFonts w:hint="eastAsia" w:ascii="宋体" w:hAnsi="宋体"/>
          <w:b/>
          <w:bCs/>
          <w:szCs w:val="21"/>
          <w:lang w:val="en-US" w:eastAsia="zh-CN"/>
        </w:rPr>
        <w:t>响应</w:t>
      </w:r>
      <w:r>
        <w:rPr>
          <w:rFonts w:hint="eastAsia" w:ascii="宋体" w:hAnsi="宋体"/>
          <w:b/>
          <w:bCs/>
          <w:szCs w:val="21"/>
        </w:rPr>
        <w:t xml:space="preserve">文件时，请在工作时间与交易中心联系（0376-6369677）。 </w:t>
      </w:r>
    </w:p>
    <w:p>
      <w:pPr>
        <w:pStyle w:val="183"/>
        <w:spacing w:line="360" w:lineRule="auto"/>
        <w:outlineLvl w:val="0"/>
        <w:rPr>
          <w:rFonts w:hint="eastAsia" w:ascii="宋体" w:hAnsi="宋体" w:eastAsia="宋体"/>
          <w:b/>
          <w:bCs/>
          <w:color w:val="auto"/>
          <w:sz w:val="21"/>
          <w:szCs w:val="21"/>
        </w:rPr>
      </w:pPr>
      <w:bookmarkStart w:id="459" w:name="_Toc1790"/>
      <w:bookmarkStart w:id="460" w:name="_Toc22732"/>
      <w:r>
        <w:rPr>
          <w:rFonts w:hint="eastAsia" w:ascii="宋体" w:hAnsi="宋体" w:eastAsia="宋体"/>
          <w:b/>
          <w:bCs/>
          <w:color w:val="auto"/>
          <w:sz w:val="21"/>
          <w:szCs w:val="21"/>
        </w:rPr>
        <w:t>4.3 响应文件的修改与撤回</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p>
    <w:p>
      <w:pPr>
        <w:spacing w:line="360" w:lineRule="auto"/>
        <w:ind w:firstLine="420" w:firstLineChars="200"/>
        <w:rPr>
          <w:rFonts w:hint="eastAsia" w:ascii="宋体" w:hAnsi="宋体" w:cs="宋体"/>
          <w:color w:val="auto"/>
          <w:szCs w:val="21"/>
        </w:rPr>
      </w:pPr>
      <w:bookmarkStart w:id="461" w:name="_Toc152042335"/>
      <w:bookmarkStart w:id="462" w:name="_Toc152045559"/>
      <w:bookmarkStart w:id="463" w:name="_Toc144974527"/>
      <w:bookmarkStart w:id="464" w:name="_Toc455080135"/>
      <w:r>
        <w:rPr>
          <w:rFonts w:hint="eastAsia" w:ascii="宋体" w:hAnsi="宋体" w:cs="宋体"/>
          <w:color w:val="auto"/>
          <w:szCs w:val="21"/>
        </w:rPr>
        <w:t>4.3.1 在第一章“</w:t>
      </w:r>
      <w:r>
        <w:rPr>
          <w:rFonts w:hint="eastAsia" w:ascii="宋体" w:hAnsi="宋体" w:cs="宋体"/>
          <w:color w:val="auto"/>
          <w:szCs w:val="21"/>
          <w:lang w:eastAsia="zh-CN"/>
        </w:rPr>
        <w:t>竞争性</w:t>
      </w:r>
      <w:r>
        <w:rPr>
          <w:rFonts w:hint="eastAsia" w:ascii="宋体" w:hAnsi="宋体" w:cs="宋体"/>
          <w:color w:val="auto"/>
          <w:szCs w:val="21"/>
        </w:rPr>
        <w:t>磋商公告”规定的</w:t>
      </w:r>
      <w:r>
        <w:rPr>
          <w:rFonts w:hint="eastAsia" w:ascii="宋体" w:hAnsi="宋体" w:cs="宋体"/>
          <w:color w:val="auto"/>
          <w:szCs w:val="21"/>
          <w:lang w:eastAsia="zh-CN"/>
        </w:rPr>
        <w:t>响应文件提交</w:t>
      </w:r>
      <w:r>
        <w:rPr>
          <w:rFonts w:hint="eastAsia" w:ascii="宋体" w:hAnsi="宋体" w:cs="宋体"/>
          <w:color w:val="auto"/>
          <w:szCs w:val="21"/>
        </w:rPr>
        <w:t>时间前，供应商可以多次修改或撤回已递交的响应文件，最终响应文件以</w:t>
      </w:r>
      <w:r>
        <w:rPr>
          <w:rFonts w:hint="eastAsia" w:ascii="宋体" w:hAnsi="宋体" w:cs="宋体"/>
          <w:color w:val="auto"/>
          <w:szCs w:val="21"/>
          <w:lang w:eastAsia="zh-CN"/>
        </w:rPr>
        <w:t>响应文件提交</w:t>
      </w:r>
      <w:r>
        <w:rPr>
          <w:rFonts w:hint="eastAsia" w:ascii="宋体" w:hAnsi="宋体" w:cs="宋体"/>
          <w:color w:val="auto"/>
          <w:szCs w:val="21"/>
        </w:rPr>
        <w:t>时间前完成上传至信阳市公共资源交易中心交易系统最后一份响应文件为准。</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4.3.2修改的响应文件应按照本章第3.</w:t>
      </w:r>
      <w:r>
        <w:rPr>
          <w:rFonts w:hint="eastAsia" w:ascii="宋体" w:hAnsi="宋体" w:cs="宋体"/>
          <w:color w:val="auto"/>
          <w:szCs w:val="21"/>
          <w:lang w:val="en-US" w:eastAsia="zh-CN"/>
        </w:rPr>
        <w:t>6</w:t>
      </w:r>
      <w:r>
        <w:rPr>
          <w:rFonts w:hint="eastAsia" w:ascii="宋体" w:hAnsi="宋体" w:cs="宋体"/>
          <w:color w:val="auto"/>
          <w:szCs w:val="21"/>
        </w:rPr>
        <w:t>条、第4.2条规定进行编制和递交。</w:t>
      </w:r>
    </w:p>
    <w:bookmarkEnd w:id="461"/>
    <w:bookmarkEnd w:id="462"/>
    <w:bookmarkEnd w:id="463"/>
    <w:p>
      <w:pPr>
        <w:spacing w:line="360" w:lineRule="auto"/>
        <w:outlineLvl w:val="1"/>
        <w:rPr>
          <w:rFonts w:hint="eastAsia" w:ascii="宋体" w:hAnsi="宋体"/>
          <w:b/>
          <w:bCs/>
          <w:color w:val="auto"/>
          <w:szCs w:val="21"/>
        </w:rPr>
      </w:pPr>
      <w:bookmarkStart w:id="465" w:name="_Toc21327"/>
      <w:bookmarkStart w:id="466" w:name="_Toc14969"/>
      <w:r>
        <w:rPr>
          <w:rFonts w:hint="eastAsia" w:ascii="宋体" w:hAnsi="宋体"/>
          <w:b/>
          <w:bCs/>
          <w:color w:val="auto"/>
          <w:szCs w:val="21"/>
        </w:rPr>
        <w:t>5.磋商开始</w:t>
      </w:r>
      <w:bookmarkEnd w:id="464"/>
      <w:bookmarkEnd w:id="465"/>
      <w:bookmarkEnd w:id="466"/>
      <w:bookmarkStart w:id="467" w:name="_Toc455867796"/>
      <w:bookmarkStart w:id="468" w:name="_Toc466298119"/>
      <w:bookmarkStart w:id="469" w:name="_Toc152045560"/>
      <w:bookmarkStart w:id="470" w:name="_Toc26426"/>
      <w:bookmarkStart w:id="471" w:name="_Toc20660"/>
      <w:bookmarkStart w:id="472" w:name="_Toc25809"/>
      <w:bookmarkStart w:id="473" w:name="_Toc144974528"/>
      <w:bookmarkStart w:id="474" w:name="_Toc455080136"/>
      <w:bookmarkStart w:id="475" w:name="_Toc490667856"/>
      <w:bookmarkStart w:id="476" w:name="_Toc16040"/>
      <w:bookmarkStart w:id="477" w:name="_Toc14"/>
      <w:bookmarkStart w:id="478" w:name="_Toc9969"/>
      <w:bookmarkStart w:id="479" w:name="_Toc6763"/>
      <w:bookmarkStart w:id="480" w:name="_Toc152042336"/>
      <w:bookmarkStart w:id="481" w:name="_Toc318450703"/>
      <w:bookmarkStart w:id="482" w:name="_Toc20333"/>
      <w:bookmarkStart w:id="483" w:name="_Toc25533"/>
    </w:p>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pPr>
        <w:spacing w:line="360" w:lineRule="auto"/>
        <w:rPr>
          <w:rFonts w:hint="eastAsia" w:ascii="宋体" w:hAnsi="宋体"/>
          <w:b/>
          <w:bCs/>
          <w:color w:val="auto"/>
          <w:sz w:val="21"/>
          <w:szCs w:val="21"/>
        </w:rPr>
      </w:pPr>
      <w:bookmarkStart w:id="484" w:name="_Toc747"/>
      <w:bookmarkStart w:id="485" w:name="_Toc152045561"/>
      <w:bookmarkStart w:id="486" w:name="_Toc17491"/>
      <w:bookmarkStart w:id="487" w:name="_Toc455080137"/>
      <w:bookmarkStart w:id="488" w:name="_Toc30074"/>
      <w:bookmarkStart w:id="489" w:name="_Toc144974529"/>
      <w:bookmarkStart w:id="490" w:name="_Toc18582"/>
      <w:bookmarkStart w:id="491" w:name="_Toc466298120"/>
      <w:bookmarkStart w:id="492" w:name="_Toc455867797"/>
      <w:bookmarkStart w:id="493" w:name="_Toc25911"/>
      <w:bookmarkStart w:id="494" w:name="_Toc30965"/>
      <w:bookmarkStart w:id="495" w:name="_Toc30792"/>
      <w:bookmarkStart w:id="496" w:name="_Toc9328"/>
      <w:bookmarkStart w:id="497" w:name="_Toc490667857"/>
      <w:bookmarkStart w:id="498" w:name="_Toc3865"/>
      <w:bookmarkStart w:id="499" w:name="_Toc11148"/>
      <w:bookmarkStart w:id="500" w:name="_Toc318450704"/>
      <w:bookmarkStart w:id="501" w:name="_Toc152042337"/>
      <w:r>
        <w:rPr>
          <w:rFonts w:hint="eastAsia" w:ascii="宋体" w:hAnsi="宋体"/>
          <w:b/>
          <w:bCs/>
          <w:color w:val="auto"/>
          <w:sz w:val="21"/>
          <w:szCs w:val="21"/>
        </w:rPr>
        <w:t>5.1 磋商时间和地点</w:t>
      </w:r>
    </w:p>
    <w:p>
      <w:pPr>
        <w:spacing w:line="360" w:lineRule="auto"/>
        <w:ind w:firstLine="420" w:firstLineChars="200"/>
        <w:rPr>
          <w:rFonts w:hint="eastAsia" w:ascii="宋体" w:hAnsi="宋体"/>
          <w:color w:val="auto"/>
          <w:sz w:val="21"/>
          <w:szCs w:val="21"/>
        </w:rPr>
      </w:pPr>
      <w:r>
        <w:rPr>
          <w:rFonts w:hint="eastAsia" w:ascii="宋体" w:hAnsi="宋体"/>
          <w:color w:val="auto"/>
          <w:sz w:val="21"/>
          <w:szCs w:val="21"/>
        </w:rPr>
        <w:t>5.1.1 采购人在本章规定的</w:t>
      </w:r>
      <w:r>
        <w:rPr>
          <w:rFonts w:hint="eastAsia" w:ascii="宋体" w:hAnsi="宋体"/>
          <w:color w:val="auto"/>
          <w:sz w:val="21"/>
          <w:szCs w:val="21"/>
          <w:lang w:eastAsia="zh-CN"/>
        </w:rPr>
        <w:t>响应文件提交</w:t>
      </w:r>
      <w:r>
        <w:rPr>
          <w:rFonts w:hint="eastAsia" w:ascii="宋体" w:hAnsi="宋体"/>
          <w:color w:val="auto"/>
          <w:sz w:val="21"/>
          <w:szCs w:val="21"/>
        </w:rPr>
        <w:t>时间（</w:t>
      </w:r>
      <w:r>
        <w:rPr>
          <w:rFonts w:hint="eastAsia" w:ascii="宋体" w:hAnsi="宋体"/>
          <w:color w:val="auto"/>
          <w:sz w:val="21"/>
          <w:szCs w:val="21"/>
          <w:lang w:eastAsia="zh-CN"/>
        </w:rPr>
        <w:t>开标</w:t>
      </w:r>
      <w:r>
        <w:rPr>
          <w:rFonts w:hint="eastAsia" w:ascii="宋体" w:hAnsi="宋体"/>
          <w:color w:val="auto"/>
          <w:sz w:val="21"/>
          <w:szCs w:val="21"/>
        </w:rPr>
        <w:t>时间）和</w:t>
      </w:r>
      <w:r>
        <w:rPr>
          <w:rFonts w:hint="eastAsia" w:ascii="宋体" w:hAnsi="宋体"/>
          <w:color w:val="auto"/>
          <w:sz w:val="21"/>
          <w:szCs w:val="21"/>
          <w:lang w:eastAsia="zh-CN"/>
        </w:rPr>
        <w:t>供应商</w:t>
      </w:r>
      <w:r>
        <w:rPr>
          <w:rFonts w:hint="eastAsia" w:ascii="宋体" w:hAnsi="宋体"/>
          <w:color w:val="auto"/>
          <w:sz w:val="21"/>
          <w:szCs w:val="21"/>
        </w:rPr>
        <w:t>须知前附表规定的地点开标。</w:t>
      </w:r>
    </w:p>
    <w:p>
      <w:pPr>
        <w:spacing w:line="360" w:lineRule="auto"/>
        <w:ind w:firstLine="399" w:firstLineChars="190"/>
        <w:rPr>
          <w:rFonts w:hint="eastAsia" w:ascii="宋体" w:hAnsi="宋体"/>
          <w:szCs w:val="21"/>
        </w:rPr>
      </w:pPr>
      <w:r>
        <w:rPr>
          <w:rFonts w:hint="eastAsia" w:ascii="宋体" w:hAnsi="宋体"/>
          <w:b w:val="0"/>
          <w:bCs w:val="0"/>
          <w:color w:val="auto"/>
          <w:sz w:val="21"/>
          <w:szCs w:val="21"/>
        </w:rPr>
        <w:t xml:space="preserve">5.1.2 </w:t>
      </w:r>
      <w:r>
        <w:rPr>
          <w:rFonts w:hint="eastAsia" w:ascii="宋体" w:hAnsi="宋体"/>
          <w:szCs w:val="21"/>
        </w:rPr>
        <w:t>本项目采用“不见面开标”交易方式，不见面开标大厅网址为</w:t>
      </w:r>
      <w:r>
        <w:rPr>
          <w:rFonts w:hint="eastAsia" w:ascii="宋体" w:hAnsi="宋体" w:eastAsia="宋体" w:cs="宋体"/>
          <w:color w:val="auto"/>
          <w:sz w:val="21"/>
          <w:szCs w:val="21"/>
          <w:shd w:val="clear" w:color="auto" w:fill="FFFFFF"/>
          <w:lang w:eastAsia="zh-CN"/>
        </w:rPr>
        <w:t>https://ggzyjy.xinyang.gov.cn/BidOpening</w:t>
      </w:r>
      <w:r>
        <w:rPr>
          <w:rFonts w:hint="eastAsia" w:ascii="宋体" w:hAnsi="宋体"/>
          <w:szCs w:val="21"/>
        </w:rPr>
        <w:t>，</w:t>
      </w:r>
      <w:r>
        <w:rPr>
          <w:rFonts w:hint="eastAsia" w:ascii="宋体" w:hAnsi="宋体"/>
          <w:szCs w:val="21"/>
          <w:lang w:eastAsia="zh-CN"/>
        </w:rPr>
        <w:t>供应商</w:t>
      </w:r>
      <w:r>
        <w:rPr>
          <w:rFonts w:hint="eastAsia" w:ascii="宋体" w:hAnsi="宋体"/>
          <w:szCs w:val="21"/>
        </w:rPr>
        <w:t>（供应商）无需寄送和递交非加密的电子</w:t>
      </w:r>
      <w:r>
        <w:rPr>
          <w:rFonts w:hint="eastAsia" w:ascii="宋体" w:hAnsi="宋体"/>
          <w:szCs w:val="21"/>
          <w:lang w:val="en-US" w:eastAsia="zh-CN"/>
        </w:rPr>
        <w:t>响应</w:t>
      </w:r>
      <w:r>
        <w:rPr>
          <w:rFonts w:hint="eastAsia" w:ascii="宋体" w:hAnsi="宋体"/>
          <w:szCs w:val="21"/>
        </w:rPr>
        <w:t xml:space="preserve">文件，无需到现场参加开标会议，无需到达现场提交原件资料。 </w:t>
      </w:r>
    </w:p>
    <w:p>
      <w:pPr>
        <w:spacing w:line="360" w:lineRule="auto"/>
        <w:ind w:firstLine="399" w:firstLineChars="190"/>
        <w:rPr>
          <w:rFonts w:hint="eastAsia" w:ascii="宋体" w:hAnsi="宋体"/>
          <w:szCs w:val="21"/>
        </w:rPr>
      </w:pPr>
      <w:r>
        <w:rPr>
          <w:rFonts w:hint="eastAsia" w:ascii="宋体" w:hAnsi="宋体"/>
          <w:szCs w:val="21"/>
          <w:lang w:eastAsia="zh-CN"/>
        </w:rPr>
        <w:t>供应商</w:t>
      </w:r>
      <w:r>
        <w:rPr>
          <w:rFonts w:hint="eastAsia" w:ascii="宋体" w:hAnsi="宋体"/>
          <w:szCs w:val="21"/>
        </w:rPr>
        <w:t>应当在投标截止时间前，使用</w:t>
      </w:r>
      <w:r>
        <w:rPr>
          <w:rFonts w:hint="eastAsia" w:ascii="宋体" w:hAnsi="宋体"/>
          <w:szCs w:val="21"/>
          <w:lang w:eastAsia="zh-CN"/>
        </w:rPr>
        <w:t>供应商</w:t>
      </w:r>
      <w:r>
        <w:rPr>
          <w:rFonts w:hint="eastAsia" w:ascii="宋体" w:hAnsi="宋体"/>
          <w:szCs w:val="21"/>
        </w:rPr>
        <w:t xml:space="preserve"> CA 数字证书登录不见面开标大厅，在线签到并准时参加开标活动，并在规定时间内完成</w:t>
      </w:r>
      <w:r>
        <w:rPr>
          <w:rFonts w:hint="eastAsia" w:ascii="宋体" w:hAnsi="宋体"/>
          <w:szCs w:val="21"/>
          <w:lang w:val="en-US" w:eastAsia="zh-CN"/>
        </w:rPr>
        <w:t>响应</w:t>
      </w:r>
      <w:r>
        <w:rPr>
          <w:rFonts w:hint="eastAsia" w:ascii="宋体" w:hAnsi="宋体"/>
          <w:szCs w:val="21"/>
        </w:rPr>
        <w:t xml:space="preserve">文件解密、答疑澄清等。 </w:t>
      </w:r>
    </w:p>
    <w:p>
      <w:pPr>
        <w:spacing w:line="360" w:lineRule="auto"/>
        <w:ind w:firstLine="399" w:firstLineChars="190"/>
        <w:rPr>
          <w:rFonts w:hint="eastAsia" w:ascii="宋体" w:hAnsi="宋体"/>
          <w:szCs w:val="21"/>
        </w:rPr>
      </w:pPr>
      <w:r>
        <w:rPr>
          <w:rFonts w:hint="eastAsia" w:ascii="宋体" w:hAnsi="宋体"/>
          <w:szCs w:val="21"/>
        </w:rPr>
        <w:t>逾期解密或者没有准时在线参加开标活动导致的一切后果</w:t>
      </w:r>
      <w:r>
        <w:rPr>
          <w:rFonts w:hint="eastAsia" w:ascii="宋体" w:hAnsi="宋体"/>
          <w:szCs w:val="21"/>
          <w:lang w:eastAsia="zh-CN"/>
        </w:rPr>
        <w:t>供应商</w:t>
      </w:r>
      <w:r>
        <w:rPr>
          <w:rFonts w:hint="eastAsia" w:ascii="宋体" w:hAnsi="宋体"/>
          <w:szCs w:val="21"/>
        </w:rPr>
        <w:t xml:space="preserve">自行承担。 </w:t>
      </w:r>
    </w:p>
    <w:p>
      <w:pPr>
        <w:spacing w:line="360" w:lineRule="auto"/>
        <w:ind w:firstLine="399" w:firstLineChars="190"/>
        <w:rPr>
          <w:rFonts w:hint="eastAsia" w:ascii="宋体" w:hAnsi="宋体"/>
          <w:szCs w:val="21"/>
        </w:rPr>
      </w:pPr>
      <w:r>
        <w:rPr>
          <w:rFonts w:hint="eastAsia" w:ascii="宋体" w:hAnsi="宋体"/>
          <w:szCs w:val="21"/>
        </w:rPr>
        <w:t xml:space="preserve">不见面开标服务的具体事宜，请查阅信阳市公共资源交易中心网站首页—下载中心—信阳市不见面开标大厅系统操作手册 。 </w:t>
      </w:r>
    </w:p>
    <w:p>
      <w:pPr>
        <w:spacing w:line="360" w:lineRule="auto"/>
        <w:ind w:firstLine="401" w:firstLineChars="190"/>
        <w:rPr>
          <w:rFonts w:hint="eastAsia" w:ascii="宋体" w:hAnsi="宋体"/>
          <w:b/>
          <w:bCs/>
          <w:color w:val="auto"/>
          <w:sz w:val="21"/>
          <w:szCs w:val="21"/>
        </w:rPr>
      </w:pPr>
      <w:r>
        <w:rPr>
          <w:rFonts w:hint="eastAsia" w:ascii="宋体" w:hAnsi="宋体"/>
          <w:b/>
          <w:bCs/>
          <w:szCs w:val="21"/>
        </w:rPr>
        <w:t>特别提示：</w:t>
      </w:r>
      <w:r>
        <w:rPr>
          <w:rFonts w:hint="eastAsia" w:ascii="宋体" w:hAnsi="宋体"/>
          <w:b/>
          <w:bCs/>
          <w:szCs w:val="21"/>
          <w:lang w:eastAsia="zh-CN"/>
        </w:rPr>
        <w:t>供应商</w:t>
      </w:r>
      <w:r>
        <w:rPr>
          <w:rFonts w:hint="eastAsia" w:ascii="宋体" w:hAnsi="宋体"/>
          <w:b/>
          <w:bCs/>
          <w:szCs w:val="21"/>
        </w:rPr>
        <w:t>在线签到时，应如实准确的填写授权委托人的联系电话，开标当天请务必保证电话保持畅通。</w:t>
      </w:r>
    </w:p>
    <w:p>
      <w:pPr>
        <w:pStyle w:val="183"/>
        <w:spacing w:line="360" w:lineRule="auto"/>
        <w:outlineLvl w:val="0"/>
        <w:rPr>
          <w:rFonts w:hint="eastAsia" w:ascii="宋体" w:hAnsi="宋体" w:eastAsia="宋体"/>
          <w:b/>
          <w:bCs/>
          <w:color w:val="auto"/>
          <w:sz w:val="21"/>
          <w:szCs w:val="21"/>
        </w:rPr>
      </w:pPr>
      <w:bookmarkStart w:id="502" w:name="_Toc2061"/>
      <w:r>
        <w:rPr>
          <w:rFonts w:hint="eastAsia" w:ascii="宋体" w:hAnsi="宋体" w:eastAsia="宋体"/>
          <w:b/>
          <w:bCs/>
          <w:color w:val="auto"/>
          <w:sz w:val="21"/>
          <w:szCs w:val="21"/>
        </w:rPr>
        <w:t>5.2 磋商程序</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p>
      <w:pPr>
        <w:pStyle w:val="183"/>
        <w:spacing w:line="360" w:lineRule="auto"/>
        <w:outlineLvl w:val="0"/>
        <w:rPr>
          <w:rFonts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 xml:space="preserve">   </w:t>
      </w:r>
      <w:r>
        <w:rPr>
          <w:rFonts w:hint="eastAsia" w:ascii="宋体" w:hAnsi="宋体" w:eastAsia="宋体"/>
          <w:color w:val="auto"/>
          <w:sz w:val="21"/>
          <w:szCs w:val="21"/>
          <w:lang w:val="en-US" w:eastAsia="zh-CN"/>
        </w:rPr>
        <w:t xml:space="preserve"> </w:t>
      </w:r>
      <w:bookmarkStart w:id="503" w:name="_Toc30403"/>
      <w:bookmarkStart w:id="504" w:name="_Toc14065"/>
      <w:bookmarkStart w:id="505" w:name="_Toc152042338"/>
      <w:bookmarkStart w:id="506" w:name="_Toc144974530"/>
      <w:bookmarkStart w:id="507" w:name="_Toc152045562"/>
      <w:r>
        <w:rPr>
          <w:rFonts w:hint="eastAsia" w:ascii="宋体" w:hAnsi="宋体" w:eastAsia="宋体"/>
          <w:color w:val="auto"/>
          <w:sz w:val="21"/>
          <w:szCs w:val="21"/>
          <w:lang w:val="en-US" w:eastAsia="zh-CN"/>
        </w:rPr>
        <w:t>5.2.1磋商小组对磋商文件进行熟悉确认。</w:t>
      </w:r>
      <w:bookmarkEnd w:id="503"/>
      <w:bookmarkEnd w:id="504"/>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5.2.2磋商小组推选组长，讨论、通过磋商工作流程和磋商要点。</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5.2.</w:t>
      </w:r>
      <w:r>
        <w:rPr>
          <w:rFonts w:hint="eastAsia" w:ascii="宋体" w:hAnsi="宋体" w:cs="宋体"/>
          <w:color w:val="auto"/>
          <w:szCs w:val="21"/>
          <w:lang w:val="en-US" w:eastAsia="zh-CN"/>
        </w:rPr>
        <w:t>3</w:t>
      </w:r>
      <w:r>
        <w:rPr>
          <w:rFonts w:hint="eastAsia" w:ascii="宋体" w:hAnsi="宋体" w:cs="宋体"/>
          <w:color w:val="auto"/>
          <w:szCs w:val="21"/>
        </w:rPr>
        <w:t>资格评审审查：磋商开始后，采购人依据磋商文件规定，对供应商进行审查，以确定磋商供应商是否具备参与磋商的资格。</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5.2.</w:t>
      </w:r>
      <w:r>
        <w:rPr>
          <w:rFonts w:hint="eastAsia" w:ascii="宋体" w:hAnsi="宋体" w:cs="宋体"/>
          <w:color w:val="auto"/>
          <w:szCs w:val="21"/>
          <w:lang w:val="en-US" w:eastAsia="zh-CN"/>
        </w:rPr>
        <w:t>4</w:t>
      </w:r>
      <w:r>
        <w:rPr>
          <w:rFonts w:hint="eastAsia" w:ascii="宋体" w:hAnsi="宋体" w:cs="宋体"/>
          <w:color w:val="auto"/>
          <w:szCs w:val="21"/>
          <w:lang w:eastAsia="zh-CN"/>
        </w:rPr>
        <w:t>符合性</w:t>
      </w:r>
      <w:r>
        <w:rPr>
          <w:rFonts w:hint="eastAsia" w:ascii="宋体" w:hAnsi="宋体" w:cs="宋体"/>
          <w:color w:val="auto"/>
          <w:szCs w:val="21"/>
        </w:rPr>
        <w:t>审审查：磋商开始后，磋商小组依据磋商文件规定，对通过</w:t>
      </w:r>
      <w:r>
        <w:rPr>
          <w:rFonts w:hint="eastAsia" w:ascii="宋体" w:hAnsi="宋体" w:cs="宋体"/>
          <w:color w:val="auto"/>
          <w:szCs w:val="21"/>
          <w:lang w:eastAsia="zh-CN"/>
        </w:rPr>
        <w:t>资格</w:t>
      </w:r>
      <w:r>
        <w:rPr>
          <w:rFonts w:hint="eastAsia" w:ascii="宋体" w:hAnsi="宋体" w:cs="宋体"/>
          <w:color w:val="auto"/>
          <w:szCs w:val="21"/>
        </w:rPr>
        <w:t>评审的供应商进行审查，以确定磋商供应商是否具备参与磋商的资格。</w:t>
      </w:r>
    </w:p>
    <w:p>
      <w:pPr>
        <w:spacing w:line="360" w:lineRule="auto"/>
        <w:ind w:firstLine="472" w:firstLineChars="225"/>
        <w:rPr>
          <w:rFonts w:hint="eastAsia" w:ascii="宋体" w:hAnsi="宋体" w:cs="宋体"/>
          <w:color w:val="auto"/>
          <w:szCs w:val="21"/>
        </w:rPr>
      </w:pPr>
      <w:r>
        <w:rPr>
          <w:rFonts w:hint="eastAsia" w:ascii="宋体" w:hAnsi="宋体" w:cs="宋体"/>
          <w:color w:val="auto"/>
          <w:szCs w:val="21"/>
        </w:rPr>
        <w:t>5.2.</w:t>
      </w:r>
      <w:r>
        <w:rPr>
          <w:rFonts w:hint="eastAsia" w:ascii="宋体" w:hAnsi="宋体" w:cs="宋体"/>
          <w:color w:val="auto"/>
          <w:szCs w:val="21"/>
          <w:lang w:val="en-US" w:eastAsia="zh-CN"/>
        </w:rPr>
        <w:t>5</w:t>
      </w:r>
      <w:r>
        <w:rPr>
          <w:rFonts w:hint="eastAsia" w:ascii="宋体" w:hAnsi="宋体" w:cs="宋体"/>
          <w:color w:val="auto"/>
          <w:szCs w:val="21"/>
        </w:rPr>
        <w:t>磋商小组对通过资格性和符合性审查的响应文件进行评估，确定与各竞标人磋商的具体内容。</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 5.2.</w:t>
      </w:r>
      <w:r>
        <w:rPr>
          <w:rFonts w:hint="eastAsia" w:ascii="宋体" w:hAnsi="宋体" w:cs="宋体"/>
          <w:color w:val="auto"/>
          <w:szCs w:val="21"/>
          <w:lang w:val="en-US" w:eastAsia="zh-CN"/>
        </w:rPr>
        <w:t>6</w:t>
      </w:r>
      <w:r>
        <w:rPr>
          <w:rFonts w:hint="eastAsia" w:ascii="宋体" w:hAnsi="宋体" w:cs="宋体"/>
          <w:color w:val="auto"/>
          <w:szCs w:val="21"/>
        </w:rPr>
        <w:t>磋商过程中，磋商小组可以根据磋商情况实质性变动招标需求中的技术、服务要求以及合同草案条款，但不得变动磋商文件中的其他内容。实质性变动的内容需经采购人(业主)代表确认。并以书面形式通知所有参加磋商的供应商，该变动是磋商文件的有效组成部分。供应商应当按照磋商文件的变动情况和磋商小组的要求重新提交响应文件并由其法定代表人或其授权代表签字或者加盖公章。由授权代表签字的应当附法定代表人授权书。供应商为自然人的应当由本人签字并附身份证。供应商应根据磋商小组的要求，以书面形式在规定时间内做出响应，未做出响应的响应文件将被视为无效竞标。若磋商小组没有实质性变动招标需求中的技术、服务要求以及合同草案条款，则供应商的最后报价不得</w:t>
      </w:r>
      <w:r>
        <w:rPr>
          <w:rFonts w:hint="eastAsia" w:ascii="宋体" w:hAnsi="宋体" w:cs="宋体"/>
          <w:color w:val="auto"/>
          <w:szCs w:val="21"/>
          <w:lang w:val="en-US" w:eastAsia="zh-CN"/>
        </w:rPr>
        <w:t>低于</w:t>
      </w:r>
      <w:r>
        <w:rPr>
          <w:rFonts w:hint="eastAsia" w:ascii="宋体" w:hAnsi="宋体" w:cs="宋体"/>
          <w:color w:val="auto"/>
          <w:szCs w:val="21"/>
        </w:rPr>
        <w:t>首次报价，否则按废标处理。</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5.2.</w:t>
      </w:r>
      <w:r>
        <w:rPr>
          <w:rFonts w:hint="eastAsia" w:ascii="宋体" w:hAnsi="宋体" w:cs="宋体"/>
          <w:color w:val="auto"/>
          <w:szCs w:val="21"/>
          <w:lang w:val="en-US" w:eastAsia="zh-CN"/>
        </w:rPr>
        <w:t>7</w:t>
      </w:r>
      <w:r>
        <w:rPr>
          <w:rFonts w:hint="eastAsia" w:ascii="宋体" w:hAnsi="宋体" w:cs="宋体"/>
          <w:color w:val="auto"/>
          <w:szCs w:val="21"/>
        </w:rPr>
        <w:t>磋商小组对符合招标需求的供应商进行两轮报价；供应商只有通过资格评审、</w:t>
      </w:r>
      <w:r>
        <w:rPr>
          <w:rFonts w:hint="eastAsia" w:ascii="宋体" w:hAnsi="宋体" w:cs="宋体"/>
          <w:color w:val="auto"/>
          <w:szCs w:val="21"/>
          <w:lang w:eastAsia="zh-CN"/>
        </w:rPr>
        <w:t>符合</w:t>
      </w:r>
      <w:r>
        <w:rPr>
          <w:rFonts w:hint="eastAsia" w:ascii="宋体" w:hAnsi="宋体" w:cs="宋体"/>
          <w:color w:val="auto"/>
          <w:szCs w:val="21"/>
        </w:rPr>
        <w:t>性评审后方可进入下一轮报价，在规定的时间内同时提交报价，最终报价不得</w:t>
      </w:r>
      <w:r>
        <w:rPr>
          <w:rFonts w:hint="eastAsia" w:ascii="宋体" w:hAnsi="宋体" w:cs="宋体"/>
          <w:color w:val="auto"/>
          <w:szCs w:val="21"/>
          <w:lang w:val="en-US" w:eastAsia="zh-CN"/>
        </w:rPr>
        <w:t>低于</w:t>
      </w:r>
      <w:r>
        <w:rPr>
          <w:rFonts w:hint="eastAsia" w:ascii="宋体" w:hAnsi="宋体" w:cs="宋体"/>
          <w:color w:val="auto"/>
          <w:szCs w:val="21"/>
        </w:rPr>
        <w:t>响应文件中报价。</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5.2.</w:t>
      </w:r>
      <w:r>
        <w:rPr>
          <w:rFonts w:hint="eastAsia" w:ascii="宋体" w:hAnsi="宋体" w:cs="宋体"/>
          <w:color w:val="auto"/>
          <w:szCs w:val="21"/>
          <w:lang w:val="en-US" w:eastAsia="zh-CN"/>
        </w:rPr>
        <w:t>8</w:t>
      </w:r>
      <w:r>
        <w:rPr>
          <w:rFonts w:hint="eastAsia" w:ascii="宋体" w:hAnsi="宋体" w:cs="宋体"/>
          <w:color w:val="auto"/>
          <w:szCs w:val="21"/>
        </w:rPr>
        <w:t>经磋商确定最终招标需求，由磋商小组采用综合评分法对通过初步评审的供应商的响应文件进行综合评分。</w:t>
      </w:r>
    </w:p>
    <w:p>
      <w:pPr>
        <w:pStyle w:val="177"/>
        <w:spacing w:before="0" w:beforeLines="0" w:line="360" w:lineRule="auto"/>
        <w:rPr>
          <w:rFonts w:hint="eastAsia" w:ascii="宋体" w:hAnsi="宋体" w:eastAsia="宋体"/>
          <w:b/>
          <w:bCs/>
          <w:color w:val="auto"/>
          <w:sz w:val="21"/>
          <w:szCs w:val="21"/>
        </w:rPr>
      </w:pPr>
      <w:bookmarkStart w:id="508" w:name="_Toc455080138"/>
      <w:bookmarkStart w:id="509" w:name="_Toc21785"/>
      <w:bookmarkStart w:id="510" w:name="_Toc14039"/>
      <w:r>
        <w:rPr>
          <w:rFonts w:hint="eastAsia" w:ascii="宋体" w:hAnsi="宋体" w:eastAsia="宋体"/>
          <w:b/>
          <w:bCs/>
          <w:color w:val="auto"/>
          <w:sz w:val="21"/>
          <w:szCs w:val="21"/>
        </w:rPr>
        <w:t xml:space="preserve">6. </w:t>
      </w:r>
      <w:bookmarkEnd w:id="505"/>
      <w:bookmarkEnd w:id="506"/>
      <w:bookmarkEnd w:id="507"/>
      <w:r>
        <w:rPr>
          <w:rFonts w:hint="eastAsia" w:ascii="宋体" w:hAnsi="宋体" w:eastAsia="宋体"/>
          <w:b/>
          <w:bCs/>
          <w:color w:val="auto"/>
          <w:sz w:val="21"/>
          <w:szCs w:val="21"/>
        </w:rPr>
        <w:t>磋商</w:t>
      </w:r>
      <w:bookmarkEnd w:id="508"/>
      <w:r>
        <w:rPr>
          <w:rFonts w:hint="eastAsia" w:ascii="宋体" w:hAnsi="宋体" w:eastAsia="宋体"/>
          <w:b/>
          <w:bCs/>
          <w:color w:val="auto"/>
          <w:sz w:val="21"/>
          <w:szCs w:val="21"/>
        </w:rPr>
        <w:t>小组</w:t>
      </w:r>
      <w:bookmarkEnd w:id="509"/>
      <w:bookmarkEnd w:id="510"/>
    </w:p>
    <w:p>
      <w:pPr>
        <w:pStyle w:val="183"/>
        <w:spacing w:line="360" w:lineRule="auto"/>
        <w:outlineLvl w:val="0"/>
        <w:rPr>
          <w:rFonts w:hint="eastAsia" w:ascii="宋体" w:hAnsi="宋体" w:eastAsia="宋体"/>
          <w:b/>
          <w:bCs/>
          <w:color w:val="auto"/>
          <w:sz w:val="21"/>
          <w:szCs w:val="21"/>
        </w:rPr>
      </w:pPr>
      <w:bookmarkStart w:id="511" w:name="_Toc9808"/>
      <w:bookmarkStart w:id="512" w:name="_Toc144974531"/>
      <w:bookmarkStart w:id="513" w:name="_Toc152042339"/>
      <w:bookmarkStart w:id="514" w:name="_Toc152045563"/>
      <w:bookmarkStart w:id="515" w:name="_Toc22250"/>
      <w:bookmarkStart w:id="516" w:name="_Toc318450706"/>
      <w:bookmarkStart w:id="517" w:name="_Toc26098"/>
      <w:bookmarkStart w:id="518" w:name="_Toc8157"/>
      <w:bookmarkStart w:id="519" w:name="_Toc455080139"/>
      <w:bookmarkStart w:id="520" w:name="_Toc455867799"/>
      <w:bookmarkStart w:id="521" w:name="_Toc8725"/>
      <w:bookmarkStart w:id="522" w:name="_Toc466298122"/>
      <w:bookmarkStart w:id="523" w:name="_Toc490667859"/>
      <w:bookmarkStart w:id="524" w:name="_Toc23138"/>
      <w:bookmarkStart w:id="525" w:name="_Toc1546"/>
      <w:bookmarkStart w:id="526" w:name="_Toc18985"/>
      <w:bookmarkStart w:id="527" w:name="_Toc1574"/>
      <w:bookmarkStart w:id="528" w:name="_Toc13978"/>
      <w:bookmarkStart w:id="529" w:name="_Toc919"/>
      <w:r>
        <w:rPr>
          <w:rFonts w:hint="eastAsia" w:ascii="宋体" w:hAnsi="宋体" w:eastAsia="宋体"/>
          <w:b/>
          <w:bCs/>
          <w:color w:val="auto"/>
          <w:sz w:val="21"/>
          <w:szCs w:val="21"/>
        </w:rPr>
        <w:t>6.1</w:t>
      </w:r>
      <w:bookmarkEnd w:id="511"/>
      <w:bookmarkEnd w:id="512"/>
      <w:bookmarkEnd w:id="513"/>
      <w:bookmarkEnd w:id="514"/>
      <w:bookmarkEnd w:id="515"/>
      <w:bookmarkEnd w:id="516"/>
      <w:bookmarkEnd w:id="517"/>
      <w:r>
        <w:rPr>
          <w:rFonts w:hint="eastAsia" w:ascii="宋体" w:hAnsi="宋体" w:eastAsia="宋体"/>
          <w:b/>
          <w:bCs/>
          <w:color w:val="auto"/>
          <w:sz w:val="21"/>
          <w:szCs w:val="21"/>
        </w:rPr>
        <w:t>磋商小组</w:t>
      </w:r>
      <w:bookmarkEnd w:id="518"/>
      <w:bookmarkEnd w:id="519"/>
      <w:bookmarkEnd w:id="520"/>
      <w:bookmarkEnd w:id="521"/>
      <w:bookmarkEnd w:id="522"/>
      <w:bookmarkEnd w:id="523"/>
      <w:bookmarkEnd w:id="524"/>
      <w:bookmarkEnd w:id="525"/>
      <w:bookmarkEnd w:id="526"/>
      <w:bookmarkEnd w:id="527"/>
      <w:bookmarkEnd w:id="528"/>
      <w:bookmarkEnd w:id="529"/>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磋商由采购人依法组建的磋商小组负责。磋商小组由采购人代表以及有关技术、经济等方面的专家组成。磋商小组成员人数以及技术、经济等方面专家的确定方式见供应商须知前附表。</w:t>
      </w:r>
    </w:p>
    <w:p>
      <w:pPr>
        <w:pStyle w:val="183"/>
        <w:tabs>
          <w:tab w:val="left" w:pos="2620"/>
        </w:tabs>
        <w:spacing w:line="360" w:lineRule="auto"/>
        <w:outlineLvl w:val="0"/>
        <w:rPr>
          <w:rFonts w:hint="eastAsia" w:ascii="宋体" w:hAnsi="宋体" w:eastAsia="宋体"/>
          <w:b/>
          <w:bCs/>
          <w:color w:val="auto"/>
          <w:sz w:val="21"/>
          <w:szCs w:val="21"/>
        </w:rPr>
      </w:pPr>
      <w:bookmarkStart w:id="530" w:name="_Toc13368"/>
      <w:bookmarkStart w:id="531" w:name="_Toc8240"/>
      <w:bookmarkStart w:id="532" w:name="_Toc4435"/>
      <w:bookmarkStart w:id="533" w:name="_Toc8248"/>
      <w:bookmarkStart w:id="534" w:name="_Toc455867800"/>
      <w:bookmarkStart w:id="535" w:name="_Toc318450707"/>
      <w:bookmarkStart w:id="536" w:name="_Toc27035"/>
      <w:bookmarkStart w:id="537" w:name="_Toc236"/>
      <w:bookmarkStart w:id="538" w:name="_Toc490667860"/>
      <w:bookmarkStart w:id="539" w:name="_Toc9532"/>
      <w:bookmarkStart w:id="540" w:name="_Toc21102"/>
      <w:bookmarkStart w:id="541" w:name="_Toc455080140"/>
      <w:bookmarkStart w:id="542" w:name="_Toc466298123"/>
      <w:bookmarkStart w:id="543" w:name="_Toc22143"/>
      <w:bookmarkStart w:id="544" w:name="_Toc7286"/>
      <w:bookmarkStart w:id="545" w:name="_Toc152045564"/>
      <w:bookmarkStart w:id="546" w:name="_Toc25721"/>
      <w:bookmarkStart w:id="547" w:name="_Toc152042340"/>
      <w:bookmarkStart w:id="548" w:name="_Toc144974532"/>
      <w:r>
        <w:rPr>
          <w:rFonts w:hint="eastAsia" w:ascii="宋体" w:hAnsi="宋体" w:eastAsia="宋体"/>
          <w:b/>
          <w:bCs/>
          <w:color w:val="auto"/>
          <w:sz w:val="21"/>
          <w:szCs w:val="21"/>
        </w:rPr>
        <w:t>6.2 磋商原则</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磋商活动遵循公平、公正、科学和择优的原则。</w:t>
      </w:r>
      <w:bookmarkStart w:id="549" w:name="_Toc15595"/>
      <w:bookmarkStart w:id="550" w:name="_Toc152045565"/>
      <w:bookmarkStart w:id="551" w:name="_Toc152042341"/>
      <w:bookmarkStart w:id="552" w:name="_Toc318450708"/>
      <w:bookmarkStart w:id="553" w:name="_Toc16725"/>
      <w:bookmarkStart w:id="554" w:name="_Toc144974533"/>
      <w:bookmarkStart w:id="555" w:name="_Toc8705"/>
      <w:bookmarkStart w:id="556" w:name="_Toc466298124"/>
      <w:bookmarkStart w:id="557" w:name="_Toc490667861"/>
      <w:bookmarkStart w:id="558" w:name="_Toc18756"/>
      <w:bookmarkStart w:id="559" w:name="_Toc24358"/>
      <w:bookmarkStart w:id="560" w:name="_Toc27036"/>
      <w:bookmarkStart w:id="561" w:name="_Toc3606"/>
      <w:bookmarkStart w:id="562" w:name="_Toc20062"/>
      <w:bookmarkStart w:id="563" w:name="_Toc455080141"/>
      <w:bookmarkStart w:id="564" w:name="_Toc455867801"/>
      <w:bookmarkStart w:id="565" w:name="_Toc28734"/>
      <w:bookmarkStart w:id="566" w:name="_Toc7890"/>
    </w:p>
    <w:p>
      <w:pPr>
        <w:spacing w:line="360" w:lineRule="auto"/>
        <w:ind w:firstLine="422" w:firstLineChars="200"/>
        <w:rPr>
          <w:rFonts w:hint="eastAsia" w:ascii="宋体" w:hAnsi="宋体" w:eastAsia="宋体"/>
          <w:color w:val="auto"/>
          <w:sz w:val="21"/>
          <w:szCs w:val="21"/>
        </w:rPr>
      </w:pPr>
      <w:r>
        <w:rPr>
          <w:rFonts w:hint="eastAsia" w:ascii="宋体" w:hAnsi="宋体" w:eastAsia="宋体"/>
          <w:b/>
          <w:bCs/>
          <w:color w:val="auto"/>
          <w:sz w:val="21"/>
          <w:szCs w:val="21"/>
        </w:rPr>
        <w:t xml:space="preserve">6.3 </w:t>
      </w:r>
      <w:bookmarkEnd w:id="549"/>
      <w:bookmarkEnd w:id="550"/>
      <w:bookmarkEnd w:id="551"/>
      <w:bookmarkEnd w:id="552"/>
      <w:bookmarkEnd w:id="553"/>
      <w:bookmarkEnd w:id="554"/>
      <w:bookmarkEnd w:id="555"/>
      <w:r>
        <w:rPr>
          <w:rFonts w:hint="eastAsia" w:ascii="宋体" w:hAnsi="宋体" w:eastAsia="宋体"/>
          <w:b/>
          <w:bCs/>
          <w:color w:val="auto"/>
          <w:sz w:val="21"/>
          <w:szCs w:val="21"/>
        </w:rPr>
        <w:t>磋商</w:t>
      </w:r>
      <w:bookmarkEnd w:id="556"/>
      <w:bookmarkEnd w:id="557"/>
      <w:bookmarkEnd w:id="558"/>
      <w:bookmarkEnd w:id="559"/>
      <w:bookmarkEnd w:id="560"/>
      <w:bookmarkEnd w:id="561"/>
      <w:bookmarkEnd w:id="562"/>
      <w:bookmarkEnd w:id="563"/>
      <w:bookmarkEnd w:id="564"/>
      <w:bookmarkEnd w:id="565"/>
      <w:bookmarkEnd w:id="566"/>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磋商小组按照第三章“评审办法”规定的方法、评审因素、标准和程序对响应文件进行评审。第三章“评审办法”没有规定的方法、评审因素和标准，不作为评标依据。</w:t>
      </w:r>
    </w:p>
    <w:p>
      <w:pPr>
        <w:pStyle w:val="177"/>
        <w:spacing w:before="0" w:beforeLines="0" w:line="360" w:lineRule="auto"/>
        <w:rPr>
          <w:rFonts w:hint="eastAsia" w:ascii="宋体" w:hAnsi="宋体" w:eastAsia="宋体"/>
          <w:b/>
          <w:bCs/>
          <w:color w:val="auto"/>
          <w:sz w:val="21"/>
          <w:szCs w:val="21"/>
        </w:rPr>
      </w:pPr>
      <w:bookmarkStart w:id="567" w:name="_Toc9522"/>
      <w:bookmarkStart w:id="568" w:name="_Toc152042342"/>
      <w:bookmarkStart w:id="569" w:name="_Toc17261"/>
      <w:bookmarkStart w:id="570" w:name="_Toc455080142"/>
      <w:bookmarkStart w:id="571" w:name="_Toc144974534"/>
      <w:bookmarkStart w:id="572" w:name="_Toc152045566"/>
      <w:r>
        <w:rPr>
          <w:rFonts w:hint="eastAsia" w:ascii="宋体" w:hAnsi="宋体" w:eastAsia="宋体"/>
          <w:b/>
          <w:bCs/>
          <w:color w:val="auto"/>
          <w:sz w:val="21"/>
          <w:szCs w:val="21"/>
        </w:rPr>
        <w:t>7. 合同授予</w:t>
      </w:r>
      <w:bookmarkEnd w:id="567"/>
      <w:bookmarkEnd w:id="568"/>
      <w:bookmarkEnd w:id="569"/>
      <w:bookmarkEnd w:id="570"/>
      <w:bookmarkEnd w:id="571"/>
      <w:bookmarkEnd w:id="572"/>
    </w:p>
    <w:p>
      <w:pPr>
        <w:pStyle w:val="183"/>
        <w:spacing w:line="360" w:lineRule="auto"/>
        <w:outlineLvl w:val="0"/>
        <w:rPr>
          <w:rFonts w:hint="eastAsia" w:ascii="宋体" w:hAnsi="宋体" w:eastAsia="宋体"/>
          <w:b/>
          <w:bCs/>
          <w:color w:val="auto"/>
          <w:sz w:val="21"/>
          <w:szCs w:val="21"/>
        </w:rPr>
      </w:pPr>
      <w:bookmarkStart w:id="573" w:name="_Toc318450710"/>
      <w:bookmarkStart w:id="574" w:name="_Toc11409"/>
      <w:bookmarkStart w:id="575" w:name="_Toc152042343"/>
      <w:bookmarkStart w:id="576" w:name="_Toc466298126"/>
      <w:bookmarkStart w:id="577" w:name="_Toc20777"/>
      <w:bookmarkStart w:id="578" w:name="_Toc144974535"/>
      <w:bookmarkStart w:id="579" w:name="_Toc29664"/>
      <w:bookmarkStart w:id="580" w:name="_Toc25316"/>
      <w:bookmarkStart w:id="581" w:name="_Toc14528"/>
      <w:bookmarkStart w:id="582" w:name="_Toc29686"/>
      <w:bookmarkStart w:id="583" w:name="_Toc28919"/>
      <w:bookmarkStart w:id="584" w:name="_Toc17660"/>
      <w:bookmarkStart w:id="585" w:name="_Toc22461"/>
      <w:bookmarkStart w:id="586" w:name="_Toc152045567"/>
      <w:bookmarkStart w:id="587" w:name="_Toc455867803"/>
      <w:bookmarkStart w:id="588" w:name="_Toc455080143"/>
      <w:bookmarkStart w:id="589" w:name="_Toc7358"/>
      <w:bookmarkStart w:id="590" w:name="_Toc3487"/>
      <w:bookmarkStart w:id="591" w:name="_Toc490667863"/>
      <w:r>
        <w:rPr>
          <w:rFonts w:hint="eastAsia" w:ascii="宋体" w:hAnsi="宋体" w:eastAsia="宋体"/>
          <w:b/>
          <w:bCs/>
          <w:color w:val="auto"/>
          <w:sz w:val="21"/>
          <w:szCs w:val="21"/>
        </w:rPr>
        <w:t>7.1 定标方式</w:t>
      </w:r>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p>
    <w:p>
      <w:pPr>
        <w:spacing w:line="360" w:lineRule="auto"/>
        <w:ind w:firstLine="420" w:firstLineChars="200"/>
        <w:rPr>
          <w:rFonts w:hint="eastAsia" w:ascii="宋体" w:hAnsi="宋体" w:cs="宋体"/>
          <w:color w:val="auto"/>
          <w:szCs w:val="21"/>
        </w:rPr>
      </w:pPr>
      <w:bookmarkStart w:id="592" w:name="_Toc318450711"/>
      <w:bookmarkStart w:id="593" w:name="_Toc10868"/>
      <w:bookmarkStart w:id="594" w:name="_Toc28254"/>
      <w:bookmarkStart w:id="595" w:name="_Toc144974536"/>
      <w:bookmarkStart w:id="596" w:name="_Toc152045568"/>
      <w:bookmarkStart w:id="597" w:name="_Toc152042344"/>
      <w:bookmarkStart w:id="598" w:name="_Toc7066"/>
      <w:r>
        <w:rPr>
          <w:rFonts w:hint="eastAsia" w:ascii="宋体" w:hAnsi="宋体" w:cs="宋体"/>
          <w:color w:val="auto"/>
          <w:szCs w:val="21"/>
        </w:rPr>
        <w:t>除供应商须知前附表规定磋商小组直接确定成交人外，采购人依据磋商小组推荐的成交候选人确定成交人，磋商小组推荐成交候选人的人数见供应商须知前附表。采购人将依序确定排名第一的供应商为成交人，若第一成交候选人放弃成交、因不可抗力不能履行合同，或者被查实存在影响成交结果的违法行为等情形，不符合成交条件的，采购人可以按照磋商小组提出的成交候选人名单排序依次确定其他成交候选人为成交人，也可以重新</w:t>
      </w:r>
      <w:r>
        <w:rPr>
          <w:rFonts w:hint="eastAsia" w:ascii="宋体" w:hAnsi="宋体" w:cs="宋体"/>
          <w:color w:val="auto"/>
          <w:szCs w:val="21"/>
          <w:lang w:val="en-US" w:eastAsia="zh-CN"/>
        </w:rPr>
        <w:t>招标</w:t>
      </w:r>
      <w:r>
        <w:rPr>
          <w:rFonts w:hint="eastAsia" w:ascii="宋体" w:hAnsi="宋体" w:cs="宋体"/>
          <w:color w:val="auto"/>
          <w:szCs w:val="21"/>
        </w:rPr>
        <w:t>。</w:t>
      </w:r>
    </w:p>
    <w:p>
      <w:pPr>
        <w:pStyle w:val="183"/>
        <w:spacing w:line="360" w:lineRule="auto"/>
        <w:outlineLvl w:val="0"/>
        <w:rPr>
          <w:rFonts w:hint="eastAsia" w:ascii="宋体" w:hAnsi="宋体" w:eastAsia="宋体"/>
          <w:b/>
          <w:bCs/>
          <w:color w:val="auto"/>
          <w:sz w:val="21"/>
          <w:szCs w:val="21"/>
        </w:rPr>
      </w:pPr>
      <w:bookmarkStart w:id="599" w:name="_Toc9897"/>
      <w:bookmarkStart w:id="600" w:name="_Toc30300"/>
      <w:bookmarkStart w:id="601" w:name="_Toc16163"/>
      <w:bookmarkStart w:id="602" w:name="_Toc28177"/>
      <w:bookmarkStart w:id="603" w:name="_Toc466298127"/>
      <w:bookmarkStart w:id="604" w:name="_Toc455080144"/>
      <w:bookmarkStart w:id="605" w:name="_Toc455867804"/>
      <w:bookmarkStart w:id="606" w:name="_Toc15825"/>
      <w:bookmarkStart w:id="607" w:name="_Toc490667864"/>
      <w:bookmarkStart w:id="608" w:name="_Toc5428"/>
      <w:bookmarkStart w:id="609" w:name="_Toc5668"/>
      <w:bookmarkStart w:id="610" w:name="_Toc9775"/>
      <w:r>
        <w:rPr>
          <w:rFonts w:hint="eastAsia" w:ascii="宋体" w:hAnsi="宋体" w:eastAsia="宋体"/>
          <w:b/>
          <w:bCs/>
          <w:color w:val="auto"/>
          <w:sz w:val="21"/>
          <w:szCs w:val="21"/>
        </w:rPr>
        <w:t>7.2 成交通知</w:t>
      </w:r>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在本章第3.3.1款规定的磋商有效期内，采购人以书面形式向成交人发出成交通知书。</w:t>
      </w:r>
    </w:p>
    <w:p>
      <w:pPr>
        <w:pStyle w:val="183"/>
        <w:spacing w:line="360" w:lineRule="auto"/>
        <w:outlineLvl w:val="0"/>
        <w:rPr>
          <w:rFonts w:hint="eastAsia" w:ascii="宋体" w:hAnsi="宋体" w:eastAsia="宋体"/>
          <w:b/>
          <w:bCs/>
          <w:color w:val="auto"/>
          <w:sz w:val="21"/>
          <w:szCs w:val="21"/>
        </w:rPr>
      </w:pPr>
      <w:bookmarkStart w:id="611" w:name="_Toc455867805"/>
      <w:bookmarkStart w:id="612" w:name="_Toc26655"/>
      <w:bookmarkStart w:id="613" w:name="_Toc152045570"/>
      <w:bookmarkStart w:id="614" w:name="_Toc10082"/>
      <w:bookmarkStart w:id="615" w:name="_Toc13147"/>
      <w:bookmarkStart w:id="616" w:name="_Toc12663"/>
      <w:bookmarkStart w:id="617" w:name="_Toc15458"/>
      <w:bookmarkStart w:id="618" w:name="_Toc455080145"/>
      <w:bookmarkStart w:id="619" w:name="_Toc8886"/>
      <w:bookmarkStart w:id="620" w:name="_Toc152042346"/>
      <w:bookmarkStart w:id="621" w:name="_Toc26915"/>
      <w:bookmarkStart w:id="622" w:name="_Toc144974538"/>
      <w:bookmarkStart w:id="623" w:name="_Toc12508"/>
      <w:bookmarkStart w:id="624" w:name="_Toc21271"/>
      <w:bookmarkStart w:id="625" w:name="_Toc466298128"/>
      <w:bookmarkStart w:id="626" w:name="_Toc24026"/>
      <w:bookmarkStart w:id="627" w:name="_Toc26760"/>
      <w:bookmarkStart w:id="628" w:name="_Toc318450712"/>
      <w:bookmarkStart w:id="629" w:name="_Toc490667865"/>
      <w:r>
        <w:rPr>
          <w:rFonts w:hint="eastAsia" w:ascii="宋体" w:hAnsi="宋体" w:eastAsia="宋体"/>
          <w:b/>
          <w:bCs/>
          <w:color w:val="auto"/>
          <w:sz w:val="21"/>
          <w:szCs w:val="21"/>
        </w:rPr>
        <w:t>7.3 签订合同</w:t>
      </w:r>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7.3.1</w:t>
      </w:r>
      <w:r>
        <w:rPr>
          <w:rFonts w:hint="eastAsia" w:ascii="宋体" w:hAnsi="宋体" w:cs="宋体"/>
          <w:color w:val="auto"/>
          <w:szCs w:val="21"/>
          <w:lang w:val="en-US" w:eastAsia="zh-CN"/>
        </w:rPr>
        <w:t>采购</w:t>
      </w:r>
      <w:r>
        <w:rPr>
          <w:rFonts w:hint="eastAsia" w:ascii="宋体" w:hAnsi="宋体" w:cs="宋体"/>
          <w:color w:val="auto"/>
          <w:szCs w:val="21"/>
        </w:rPr>
        <w:t>人和</w:t>
      </w:r>
      <w:r>
        <w:rPr>
          <w:rFonts w:hint="eastAsia" w:ascii="宋体" w:hAnsi="宋体" w:cs="宋体"/>
          <w:color w:val="auto"/>
          <w:szCs w:val="21"/>
          <w:lang w:val="en-US" w:eastAsia="zh-CN"/>
        </w:rPr>
        <w:t>成交供应商</w:t>
      </w:r>
      <w:r>
        <w:rPr>
          <w:rFonts w:hint="eastAsia" w:ascii="宋体" w:hAnsi="宋体" w:cs="宋体"/>
          <w:color w:val="auto"/>
          <w:szCs w:val="21"/>
        </w:rPr>
        <w:t>应当自</w:t>
      </w:r>
      <w:r>
        <w:rPr>
          <w:rFonts w:hint="eastAsia" w:ascii="宋体" w:hAnsi="宋体" w:cs="宋体"/>
          <w:color w:val="auto"/>
          <w:szCs w:val="21"/>
          <w:lang w:val="en-US" w:eastAsia="zh-CN"/>
        </w:rPr>
        <w:t>成交</w:t>
      </w:r>
      <w:r>
        <w:rPr>
          <w:rFonts w:hint="eastAsia" w:ascii="宋体" w:hAnsi="宋体" w:cs="宋体"/>
          <w:color w:val="auto"/>
          <w:szCs w:val="21"/>
        </w:rPr>
        <w:t>通知书发出之日起</w:t>
      </w:r>
      <w:r>
        <w:rPr>
          <w:rFonts w:hint="eastAsia" w:ascii="宋体" w:hAnsi="宋体" w:cs="宋体"/>
          <w:color w:val="auto"/>
          <w:szCs w:val="21"/>
          <w:lang w:val="en-US" w:eastAsia="zh-CN"/>
        </w:rPr>
        <w:t>2-7</w:t>
      </w:r>
      <w:r>
        <w:rPr>
          <w:rFonts w:hint="eastAsia" w:ascii="宋体" w:hAnsi="宋体" w:cs="宋体"/>
          <w:color w:val="auto"/>
          <w:szCs w:val="21"/>
        </w:rPr>
        <w:t>个工作日内，根据</w:t>
      </w:r>
      <w:r>
        <w:rPr>
          <w:rFonts w:hint="eastAsia" w:ascii="宋体" w:hAnsi="宋体" w:cs="宋体"/>
          <w:color w:val="auto"/>
          <w:szCs w:val="21"/>
          <w:lang w:val="en-US" w:eastAsia="zh-CN"/>
        </w:rPr>
        <w:t>磋商</w:t>
      </w:r>
      <w:r>
        <w:rPr>
          <w:rFonts w:hint="eastAsia" w:ascii="宋体" w:hAnsi="宋体" w:cs="宋体"/>
          <w:color w:val="auto"/>
          <w:szCs w:val="21"/>
        </w:rPr>
        <w:t>文件和</w:t>
      </w:r>
      <w:r>
        <w:rPr>
          <w:rFonts w:hint="eastAsia" w:ascii="宋体" w:hAnsi="宋体" w:cs="宋体"/>
          <w:color w:val="auto"/>
          <w:szCs w:val="21"/>
          <w:lang w:val="en-US" w:eastAsia="zh-CN"/>
        </w:rPr>
        <w:t>成交供应商</w:t>
      </w:r>
      <w:r>
        <w:rPr>
          <w:rFonts w:hint="eastAsia" w:ascii="宋体" w:hAnsi="宋体" w:cs="宋体"/>
          <w:color w:val="auto"/>
          <w:szCs w:val="21"/>
        </w:rPr>
        <w:t>的</w:t>
      </w:r>
      <w:r>
        <w:rPr>
          <w:rFonts w:hint="eastAsia" w:ascii="宋体" w:hAnsi="宋体" w:cs="宋体"/>
          <w:color w:val="auto"/>
          <w:szCs w:val="21"/>
          <w:lang w:val="en-US" w:eastAsia="zh-CN"/>
        </w:rPr>
        <w:t>响应</w:t>
      </w:r>
      <w:r>
        <w:rPr>
          <w:rFonts w:hint="eastAsia" w:ascii="宋体" w:hAnsi="宋体" w:cs="宋体"/>
          <w:color w:val="auto"/>
          <w:szCs w:val="21"/>
        </w:rPr>
        <w:t>文件订立书面合同。</w:t>
      </w:r>
      <w:r>
        <w:rPr>
          <w:rFonts w:hint="eastAsia" w:ascii="宋体" w:hAnsi="宋体" w:cs="宋体"/>
          <w:color w:val="auto"/>
          <w:szCs w:val="21"/>
          <w:lang w:val="en-US" w:eastAsia="zh-CN"/>
        </w:rPr>
        <w:t>成交供应商</w:t>
      </w:r>
      <w:r>
        <w:rPr>
          <w:rFonts w:hint="eastAsia" w:ascii="宋体" w:hAnsi="宋体" w:cs="宋体"/>
          <w:color w:val="auto"/>
          <w:szCs w:val="21"/>
        </w:rPr>
        <w:t>无正当理由拒签合同的，</w:t>
      </w:r>
      <w:r>
        <w:rPr>
          <w:rFonts w:hint="eastAsia" w:ascii="宋体" w:hAnsi="宋体" w:cs="宋体"/>
          <w:color w:val="auto"/>
          <w:szCs w:val="21"/>
          <w:lang w:val="en-US" w:eastAsia="zh-CN"/>
        </w:rPr>
        <w:t>采购人</w:t>
      </w:r>
      <w:r>
        <w:rPr>
          <w:rFonts w:hint="eastAsia" w:ascii="宋体" w:hAnsi="宋体" w:cs="宋体"/>
          <w:color w:val="auto"/>
          <w:szCs w:val="21"/>
        </w:rPr>
        <w:t>取消其</w:t>
      </w:r>
      <w:r>
        <w:rPr>
          <w:rFonts w:hint="eastAsia" w:ascii="宋体" w:hAnsi="宋体" w:cs="宋体"/>
          <w:color w:val="auto"/>
          <w:szCs w:val="21"/>
          <w:lang w:val="en-US" w:eastAsia="zh-CN"/>
        </w:rPr>
        <w:t>成交</w:t>
      </w:r>
      <w:r>
        <w:rPr>
          <w:rFonts w:hint="eastAsia" w:ascii="宋体" w:hAnsi="宋体" w:cs="宋体"/>
          <w:color w:val="auto"/>
          <w:szCs w:val="21"/>
        </w:rPr>
        <w:t>资格。</w:t>
      </w:r>
      <w:r>
        <w:rPr>
          <w:rFonts w:hint="eastAsia" w:ascii="宋体" w:hAnsi="宋体" w:cs="宋体"/>
          <w:color w:val="auto"/>
          <w:szCs w:val="21"/>
          <w:lang w:val="en-US" w:eastAsia="zh-CN"/>
        </w:rPr>
        <w:t>成交供应商</w:t>
      </w:r>
      <w:r>
        <w:rPr>
          <w:rFonts w:hint="eastAsia" w:ascii="宋体" w:hAnsi="宋体" w:cs="宋体"/>
          <w:color w:val="auto"/>
          <w:szCs w:val="21"/>
        </w:rPr>
        <w:t>无正当理由拒签合同的，采购人取消其成交资格；给采购人造成的损失的，成交</w:t>
      </w:r>
      <w:r>
        <w:rPr>
          <w:rFonts w:hint="eastAsia" w:ascii="宋体" w:hAnsi="宋体" w:cs="宋体"/>
          <w:color w:val="auto"/>
          <w:szCs w:val="21"/>
          <w:lang w:val="en-US" w:eastAsia="zh-CN"/>
        </w:rPr>
        <w:t>供应商</w:t>
      </w:r>
      <w:r>
        <w:rPr>
          <w:rFonts w:hint="eastAsia" w:ascii="宋体" w:hAnsi="宋体" w:cs="宋体"/>
          <w:color w:val="auto"/>
          <w:szCs w:val="21"/>
        </w:rPr>
        <w:t xml:space="preserve">还应当对超过部分予以赔偿。 </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7.3.2 发出成交通知书后，采购人无正当理由拒签合同的，给成交人造成损失的，还应当赔偿损失。  </w:t>
      </w:r>
      <w:bookmarkStart w:id="630" w:name="_Toc152045574"/>
      <w:bookmarkStart w:id="631" w:name="_Toc144974542"/>
      <w:bookmarkStart w:id="632" w:name="_Toc152042350"/>
    </w:p>
    <w:p>
      <w:pPr>
        <w:pStyle w:val="177"/>
        <w:spacing w:before="0" w:beforeLines="0" w:line="360" w:lineRule="auto"/>
        <w:rPr>
          <w:rFonts w:hint="eastAsia" w:ascii="宋体" w:hAnsi="宋体" w:eastAsia="宋体"/>
          <w:b/>
          <w:bCs/>
          <w:color w:val="auto"/>
          <w:sz w:val="21"/>
          <w:szCs w:val="21"/>
        </w:rPr>
      </w:pPr>
      <w:bookmarkStart w:id="633" w:name="_Toc16866"/>
      <w:bookmarkStart w:id="634" w:name="_Toc455080146"/>
      <w:bookmarkStart w:id="635" w:name="_Toc805"/>
      <w:r>
        <w:rPr>
          <w:rFonts w:hint="eastAsia" w:ascii="宋体" w:hAnsi="宋体" w:eastAsia="宋体"/>
          <w:b/>
          <w:bCs/>
          <w:color w:val="auto"/>
          <w:sz w:val="21"/>
          <w:szCs w:val="21"/>
        </w:rPr>
        <w:t>8.重新招标</w:t>
      </w:r>
      <w:bookmarkEnd w:id="633"/>
      <w:bookmarkEnd w:id="634"/>
      <w:bookmarkEnd w:id="635"/>
    </w:p>
    <w:p>
      <w:pPr>
        <w:spacing w:line="360" w:lineRule="auto"/>
        <w:rPr>
          <w:rFonts w:hint="eastAsia" w:ascii="宋体" w:hAnsi="宋体"/>
          <w:color w:val="auto"/>
          <w:szCs w:val="21"/>
        </w:rPr>
      </w:pPr>
      <w:bookmarkStart w:id="636" w:name="_Toc16556"/>
      <w:r>
        <w:rPr>
          <w:rFonts w:hint="eastAsia" w:ascii="宋体" w:hAnsi="宋体"/>
          <w:b/>
          <w:bCs/>
          <w:color w:val="auto"/>
          <w:szCs w:val="21"/>
        </w:rPr>
        <w:t>8.1 重新招标</w:t>
      </w:r>
      <w:bookmarkEnd w:id="636"/>
    </w:p>
    <w:p>
      <w:pPr>
        <w:spacing w:line="360" w:lineRule="auto"/>
        <w:ind w:firstLine="480"/>
        <w:rPr>
          <w:rFonts w:hint="eastAsia" w:ascii="宋体" w:hAnsi="宋体"/>
          <w:color w:val="auto"/>
          <w:szCs w:val="21"/>
        </w:rPr>
      </w:pPr>
      <w:bookmarkStart w:id="637" w:name="_Toc9985"/>
      <w:r>
        <w:rPr>
          <w:rFonts w:hint="eastAsia" w:ascii="宋体" w:hAnsi="宋体"/>
          <w:color w:val="auto"/>
          <w:szCs w:val="21"/>
        </w:rPr>
        <w:t>有下列情形之一的，采购人将重新招标：</w:t>
      </w:r>
      <w:bookmarkEnd w:id="637"/>
    </w:p>
    <w:p>
      <w:pPr>
        <w:spacing w:line="360" w:lineRule="auto"/>
        <w:rPr>
          <w:rFonts w:hint="eastAsia" w:ascii="宋体" w:hAnsi="宋体"/>
          <w:color w:val="auto"/>
          <w:szCs w:val="21"/>
        </w:rPr>
      </w:pPr>
      <w:bookmarkStart w:id="638" w:name="_Toc25063"/>
      <w:r>
        <w:rPr>
          <w:rFonts w:hint="eastAsia" w:ascii="宋体" w:hAnsi="宋体"/>
          <w:color w:val="auto"/>
          <w:szCs w:val="21"/>
        </w:rPr>
        <w:t xml:space="preserve">   （1）提交响应文件截止时间止，供应商少于</w:t>
      </w:r>
      <w:r>
        <w:rPr>
          <w:rFonts w:hint="eastAsia" w:ascii="宋体" w:hAnsi="宋体"/>
          <w:color w:val="auto"/>
          <w:szCs w:val="21"/>
          <w:lang w:val="en-US" w:eastAsia="zh-CN"/>
        </w:rPr>
        <w:t>3</w:t>
      </w:r>
      <w:r>
        <w:rPr>
          <w:rFonts w:hint="eastAsia" w:ascii="宋体" w:hAnsi="宋体"/>
          <w:color w:val="auto"/>
          <w:szCs w:val="21"/>
        </w:rPr>
        <w:t>个的；</w:t>
      </w:r>
      <w:bookmarkEnd w:id="638"/>
      <w:r>
        <w:rPr>
          <w:rFonts w:hint="eastAsia" w:ascii="宋体" w:hAnsi="宋体"/>
          <w:color w:val="auto"/>
          <w:szCs w:val="21"/>
        </w:rPr>
        <w:t xml:space="preserve"> </w:t>
      </w:r>
    </w:p>
    <w:p>
      <w:pPr>
        <w:spacing w:line="360" w:lineRule="auto"/>
        <w:rPr>
          <w:rFonts w:hint="eastAsia" w:ascii="宋体" w:hAnsi="宋体"/>
          <w:color w:val="auto"/>
          <w:szCs w:val="21"/>
        </w:rPr>
      </w:pPr>
      <w:r>
        <w:rPr>
          <w:rFonts w:hint="eastAsia" w:ascii="宋体" w:hAnsi="宋体"/>
          <w:color w:val="auto"/>
          <w:szCs w:val="21"/>
        </w:rPr>
        <w:t xml:space="preserve">   </w:t>
      </w:r>
      <w:bookmarkStart w:id="639" w:name="_Toc17911"/>
      <w:r>
        <w:rPr>
          <w:rFonts w:hint="eastAsia" w:ascii="宋体" w:hAnsi="宋体"/>
          <w:color w:val="auto"/>
          <w:szCs w:val="21"/>
        </w:rPr>
        <w:t>（2）经磋商小组评审后否决所有响应文件的。</w:t>
      </w:r>
      <w:bookmarkEnd w:id="639"/>
    </w:p>
    <w:p>
      <w:pPr>
        <w:pStyle w:val="177"/>
        <w:spacing w:before="0" w:beforeLines="0" w:line="360" w:lineRule="auto"/>
        <w:rPr>
          <w:rFonts w:hint="eastAsia" w:ascii="宋体" w:hAnsi="宋体" w:eastAsia="宋体"/>
          <w:b/>
          <w:bCs/>
          <w:color w:val="auto"/>
          <w:sz w:val="21"/>
          <w:szCs w:val="21"/>
        </w:rPr>
      </w:pPr>
      <w:bookmarkStart w:id="640" w:name="_Toc10011"/>
      <w:bookmarkStart w:id="641" w:name="_Toc455080147"/>
      <w:bookmarkStart w:id="642" w:name="_Toc9996"/>
      <w:r>
        <w:rPr>
          <w:rFonts w:hint="eastAsia" w:ascii="宋体" w:hAnsi="宋体" w:eastAsia="宋体"/>
          <w:b/>
          <w:bCs/>
          <w:color w:val="auto"/>
          <w:sz w:val="21"/>
          <w:szCs w:val="21"/>
        </w:rPr>
        <w:t>9.纪律和监督</w:t>
      </w:r>
      <w:bookmarkEnd w:id="630"/>
      <w:bookmarkEnd w:id="631"/>
      <w:bookmarkEnd w:id="632"/>
      <w:bookmarkEnd w:id="640"/>
      <w:bookmarkEnd w:id="641"/>
      <w:bookmarkEnd w:id="642"/>
    </w:p>
    <w:p>
      <w:pPr>
        <w:pStyle w:val="183"/>
        <w:spacing w:line="360" w:lineRule="auto"/>
        <w:outlineLvl w:val="0"/>
        <w:rPr>
          <w:rFonts w:hint="eastAsia" w:ascii="宋体" w:hAnsi="宋体" w:eastAsia="宋体"/>
          <w:b/>
          <w:bCs/>
          <w:color w:val="auto"/>
          <w:sz w:val="21"/>
          <w:szCs w:val="21"/>
        </w:rPr>
      </w:pPr>
      <w:bookmarkStart w:id="643" w:name="_Toc20009"/>
      <w:bookmarkStart w:id="644" w:name="_Toc318450714"/>
      <w:bookmarkStart w:id="645" w:name="_Toc144974543"/>
      <w:bookmarkStart w:id="646" w:name="_Toc152045575"/>
      <w:bookmarkStart w:id="647" w:name="_Toc19159"/>
      <w:bookmarkStart w:id="648" w:name="_Toc269"/>
      <w:bookmarkStart w:id="649" w:name="_Toc27836"/>
      <w:bookmarkStart w:id="650" w:name="_Toc697"/>
      <w:bookmarkStart w:id="651" w:name="_Toc1282"/>
      <w:bookmarkStart w:id="652" w:name="_Toc13970"/>
      <w:bookmarkStart w:id="653" w:name="_Toc455080148"/>
      <w:bookmarkStart w:id="654" w:name="_Toc15592"/>
      <w:bookmarkStart w:id="655" w:name="_Toc12992"/>
      <w:bookmarkStart w:id="656" w:name="_Toc466298131"/>
      <w:bookmarkStart w:id="657" w:name="_Toc15769"/>
      <w:bookmarkStart w:id="658" w:name="_Toc18997"/>
      <w:bookmarkStart w:id="659" w:name="_Toc490667868"/>
      <w:bookmarkStart w:id="660" w:name="_Toc152042351"/>
      <w:bookmarkStart w:id="661" w:name="_Toc455867808"/>
      <w:r>
        <w:rPr>
          <w:rFonts w:hint="eastAsia" w:ascii="宋体" w:hAnsi="宋体" w:eastAsia="宋体"/>
          <w:b/>
          <w:bCs/>
          <w:color w:val="auto"/>
          <w:sz w:val="21"/>
          <w:szCs w:val="21"/>
        </w:rPr>
        <w:t>9.1 对</w:t>
      </w:r>
      <w:r>
        <w:rPr>
          <w:rFonts w:hint="eastAsia" w:ascii="宋体" w:hAnsi="宋体" w:eastAsia="宋体"/>
          <w:b/>
          <w:bCs/>
          <w:color w:val="auto"/>
          <w:sz w:val="21"/>
          <w:szCs w:val="21"/>
          <w:lang w:eastAsia="zh-CN"/>
        </w:rPr>
        <w:t>采购人</w:t>
      </w:r>
      <w:r>
        <w:rPr>
          <w:rFonts w:hint="eastAsia" w:ascii="宋体" w:hAnsi="宋体" w:eastAsia="宋体"/>
          <w:b/>
          <w:bCs/>
          <w:color w:val="auto"/>
          <w:sz w:val="21"/>
          <w:szCs w:val="21"/>
        </w:rPr>
        <w:t>的纪律要求</w:t>
      </w:r>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采购人不得泄漏磋商活动中应当保密的情况和资料，不得与供应商串通损害国家利益、社会公共利益或者他人合法权益。</w:t>
      </w:r>
    </w:p>
    <w:p>
      <w:pPr>
        <w:pStyle w:val="183"/>
        <w:spacing w:line="360" w:lineRule="auto"/>
        <w:outlineLvl w:val="0"/>
        <w:rPr>
          <w:rFonts w:hint="eastAsia" w:ascii="宋体" w:hAnsi="宋体" w:eastAsia="宋体"/>
          <w:color w:val="auto"/>
          <w:sz w:val="21"/>
          <w:szCs w:val="21"/>
        </w:rPr>
      </w:pPr>
      <w:bookmarkStart w:id="662" w:name="_Toc490667869"/>
      <w:bookmarkStart w:id="663" w:name="_Toc455080149"/>
      <w:bookmarkStart w:id="664" w:name="_Toc19167"/>
      <w:bookmarkStart w:id="665" w:name="_Toc20261"/>
      <w:bookmarkStart w:id="666" w:name="_Toc3089"/>
      <w:bookmarkStart w:id="667" w:name="_Toc466298132"/>
      <w:bookmarkStart w:id="668" w:name="_Toc152045576"/>
      <w:bookmarkStart w:id="669" w:name="_Toc18204"/>
      <w:bookmarkStart w:id="670" w:name="_Toc1743"/>
      <w:bookmarkStart w:id="671" w:name="_Toc17040"/>
      <w:bookmarkStart w:id="672" w:name="_Toc21922"/>
      <w:bookmarkStart w:id="673" w:name="_Toc27698"/>
      <w:bookmarkStart w:id="674" w:name="_Toc144974544"/>
      <w:bookmarkStart w:id="675" w:name="_Toc455867809"/>
      <w:bookmarkStart w:id="676" w:name="_Toc18604"/>
      <w:bookmarkStart w:id="677" w:name="_Toc21646"/>
      <w:bookmarkStart w:id="678" w:name="_Toc7572"/>
      <w:bookmarkStart w:id="679" w:name="_Toc152042352"/>
      <w:bookmarkStart w:id="680" w:name="_Toc318450715"/>
      <w:r>
        <w:rPr>
          <w:rFonts w:hint="eastAsia" w:ascii="宋体" w:hAnsi="宋体" w:eastAsia="宋体"/>
          <w:b/>
          <w:bCs/>
          <w:color w:val="auto"/>
          <w:sz w:val="21"/>
          <w:szCs w:val="21"/>
        </w:rPr>
        <w:t>9.2 对供应商的纪律要求</w:t>
      </w:r>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供应商不得相互串通或者与采购人串通，不得向采购人或者谈判小组行贿谋取成交，不得以他人名义或者以其他方式弄虚作假骗取成交；供应商不得以任何方式干扰、影响评审工作。</w:t>
      </w:r>
    </w:p>
    <w:p>
      <w:pPr>
        <w:pStyle w:val="183"/>
        <w:spacing w:line="360" w:lineRule="auto"/>
        <w:outlineLvl w:val="0"/>
        <w:rPr>
          <w:rFonts w:hint="eastAsia" w:ascii="宋体" w:hAnsi="宋体" w:eastAsia="宋体"/>
          <w:b/>
          <w:bCs/>
          <w:color w:val="auto"/>
          <w:sz w:val="21"/>
          <w:szCs w:val="21"/>
        </w:rPr>
      </w:pPr>
      <w:bookmarkStart w:id="681" w:name="_Toc12177"/>
      <w:bookmarkStart w:id="682" w:name="_Toc7439"/>
      <w:bookmarkStart w:id="683" w:name="_Toc19965"/>
      <w:bookmarkStart w:id="684" w:name="_Toc466298133"/>
      <w:bookmarkStart w:id="685" w:name="_Toc28813"/>
      <w:bookmarkStart w:id="686" w:name="_Toc152042353"/>
      <w:bookmarkStart w:id="687" w:name="_Toc490667870"/>
      <w:bookmarkStart w:id="688" w:name="_Toc7107"/>
      <w:bookmarkStart w:id="689" w:name="_Toc12316"/>
      <w:bookmarkStart w:id="690" w:name="_Toc455867810"/>
      <w:bookmarkStart w:id="691" w:name="_Toc32320"/>
      <w:bookmarkStart w:id="692" w:name="_Toc30153"/>
      <w:bookmarkStart w:id="693" w:name="_Toc25241"/>
      <w:bookmarkStart w:id="694" w:name="_Toc455080150"/>
      <w:bookmarkStart w:id="695" w:name="_Toc25211"/>
      <w:bookmarkStart w:id="696" w:name="_Toc144974545"/>
      <w:bookmarkStart w:id="697" w:name="_Toc152045577"/>
      <w:bookmarkStart w:id="698" w:name="_Toc318450716"/>
      <w:bookmarkStart w:id="699" w:name="_Toc31001"/>
      <w:r>
        <w:rPr>
          <w:rFonts w:hint="eastAsia" w:ascii="宋体" w:hAnsi="宋体" w:eastAsia="宋体"/>
          <w:b/>
          <w:bCs/>
          <w:color w:val="auto"/>
          <w:sz w:val="21"/>
          <w:szCs w:val="21"/>
        </w:rPr>
        <w:t>9.3 对磋商小组成员的纪律要求</w:t>
      </w:r>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磋商小组成员不得收受他人的财物或者其他好处，不得向他人透漏对响应文件的评审和比较、成交候选人的推荐情况以及评标有关的其他情况。在磋商活动中，磋商小组成员不得擅离职守，影响评标程序正常进行，不得使用第三章“评审办法”没有规定的评审因素和标准进行评标。</w:t>
      </w:r>
    </w:p>
    <w:p>
      <w:pPr>
        <w:pStyle w:val="183"/>
        <w:spacing w:line="360" w:lineRule="auto"/>
        <w:outlineLvl w:val="0"/>
        <w:rPr>
          <w:rFonts w:hint="eastAsia" w:ascii="宋体" w:hAnsi="宋体" w:eastAsia="宋体"/>
          <w:color w:val="auto"/>
          <w:sz w:val="21"/>
          <w:szCs w:val="21"/>
        </w:rPr>
      </w:pPr>
      <w:bookmarkStart w:id="700" w:name="_Toc152045578"/>
      <w:bookmarkStart w:id="701" w:name="_Toc22936"/>
      <w:bookmarkStart w:id="702" w:name="_Toc152042354"/>
      <w:bookmarkStart w:id="703" w:name="_Toc455867811"/>
      <w:bookmarkStart w:id="704" w:name="_Toc466298134"/>
      <w:bookmarkStart w:id="705" w:name="_Toc19485"/>
      <w:bookmarkStart w:id="706" w:name="_Toc490667871"/>
      <w:bookmarkStart w:id="707" w:name="_Toc23717"/>
      <w:bookmarkStart w:id="708" w:name="_Toc455080151"/>
      <w:bookmarkStart w:id="709" w:name="_Toc26462"/>
      <w:bookmarkStart w:id="710" w:name="_Toc20546"/>
      <w:bookmarkStart w:id="711" w:name="_Toc7368"/>
      <w:bookmarkStart w:id="712" w:name="_Toc24"/>
      <w:bookmarkStart w:id="713" w:name="_Toc1295"/>
      <w:bookmarkStart w:id="714" w:name="_Toc27559"/>
      <w:bookmarkStart w:id="715" w:name="_Toc9063"/>
      <w:bookmarkStart w:id="716" w:name="_Toc318450717"/>
      <w:bookmarkStart w:id="717" w:name="_Toc235"/>
      <w:bookmarkStart w:id="718" w:name="_Toc144974546"/>
      <w:r>
        <w:rPr>
          <w:rFonts w:hint="eastAsia" w:ascii="宋体" w:hAnsi="宋体" w:eastAsia="宋体"/>
          <w:b/>
          <w:bCs/>
          <w:color w:val="auto"/>
          <w:sz w:val="21"/>
          <w:szCs w:val="21"/>
        </w:rPr>
        <w:t>9.4 对与评标活动有关的工作人员的纪律要求</w:t>
      </w:r>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p>
    <w:p>
      <w:pPr>
        <w:spacing w:line="360" w:lineRule="auto"/>
        <w:ind w:firstLine="420" w:firstLineChars="200"/>
        <w:rPr>
          <w:rFonts w:hint="eastAsia" w:ascii="宋体" w:hAnsi="宋体" w:cs="宋体"/>
          <w:color w:val="auto"/>
          <w:szCs w:val="21"/>
        </w:rPr>
      </w:pPr>
      <w:bookmarkStart w:id="719" w:name="_Toc152042355"/>
      <w:r>
        <w:rPr>
          <w:rFonts w:hint="eastAsia" w:ascii="宋体" w:hAnsi="宋体" w:cs="宋体"/>
          <w:color w:val="auto"/>
          <w:szCs w:val="21"/>
        </w:rPr>
        <w:t>与评标活动有关的工作人员不得收受他人的财物或者其他好处，不得向他人透漏对响应文件的评审和比较、成交候选人的推荐情况以及评标有关的其他情况。在评标活动中，与评标活动有关的工作人员不得擅离职守，影响评标程序正常进行。</w:t>
      </w:r>
      <w:bookmarkEnd w:id="719"/>
    </w:p>
    <w:p>
      <w:pPr>
        <w:pStyle w:val="183"/>
        <w:spacing w:line="360" w:lineRule="auto"/>
        <w:outlineLvl w:val="0"/>
        <w:rPr>
          <w:rFonts w:hint="eastAsia" w:ascii="宋体" w:hAnsi="宋体" w:eastAsia="宋体"/>
          <w:b/>
          <w:bCs/>
          <w:color w:val="auto"/>
          <w:sz w:val="21"/>
          <w:szCs w:val="21"/>
        </w:rPr>
      </w:pPr>
      <w:bookmarkStart w:id="720" w:name="_Toc455867812"/>
      <w:bookmarkStart w:id="721" w:name="_Toc17735"/>
      <w:bookmarkStart w:id="722" w:name="_Toc32675"/>
      <w:bookmarkStart w:id="723" w:name="_Toc1820"/>
      <w:bookmarkStart w:id="724" w:name="_Toc490667872"/>
      <w:bookmarkStart w:id="725" w:name="_Toc455080152"/>
      <w:bookmarkStart w:id="726" w:name="_Toc3617"/>
      <w:bookmarkStart w:id="727" w:name="_Toc8074"/>
      <w:bookmarkStart w:id="728" w:name="_Toc6199"/>
      <w:bookmarkStart w:id="729" w:name="_Toc152042356"/>
      <w:bookmarkStart w:id="730" w:name="_Toc25816"/>
      <w:bookmarkStart w:id="731" w:name="_Toc31010"/>
      <w:bookmarkStart w:id="732" w:name="_Toc318450718"/>
      <w:bookmarkStart w:id="733" w:name="_Toc466298135"/>
      <w:bookmarkStart w:id="734" w:name="_Toc25751"/>
      <w:bookmarkStart w:id="735" w:name="_Toc5504"/>
      <w:bookmarkStart w:id="736" w:name="_Toc3303"/>
      <w:bookmarkStart w:id="737" w:name="_Toc152045579"/>
      <w:r>
        <w:rPr>
          <w:rFonts w:hint="eastAsia" w:ascii="宋体" w:hAnsi="宋体" w:eastAsia="宋体"/>
          <w:b/>
          <w:bCs/>
          <w:color w:val="auto"/>
          <w:sz w:val="21"/>
          <w:szCs w:val="21"/>
        </w:rPr>
        <w:t>9.5 投诉</w:t>
      </w:r>
      <w:bookmarkEnd w:id="718"/>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供应商和其他利害关系人认为本次磋商活动违反法律、法规和规章规定的，有权向有关行政监督部门投诉。</w:t>
      </w:r>
    </w:p>
    <w:p>
      <w:pPr>
        <w:pStyle w:val="177"/>
        <w:spacing w:before="0" w:beforeLines="0" w:line="360" w:lineRule="auto"/>
        <w:rPr>
          <w:rFonts w:hint="eastAsia" w:ascii="宋体" w:hAnsi="宋体" w:eastAsia="宋体"/>
          <w:b/>
          <w:bCs/>
          <w:color w:val="auto"/>
          <w:sz w:val="21"/>
          <w:szCs w:val="21"/>
        </w:rPr>
      </w:pPr>
      <w:bookmarkStart w:id="738" w:name="_Toc152042357"/>
      <w:bookmarkStart w:id="739" w:name="_Toc21681"/>
      <w:bookmarkStart w:id="740" w:name="_Toc14221"/>
      <w:bookmarkStart w:id="741" w:name="_Toc152045580"/>
      <w:bookmarkStart w:id="742" w:name="_Toc144974547"/>
      <w:bookmarkStart w:id="743" w:name="_Toc455080153"/>
      <w:r>
        <w:rPr>
          <w:rFonts w:hint="eastAsia" w:ascii="宋体" w:hAnsi="宋体" w:eastAsia="宋体"/>
          <w:b/>
          <w:bCs/>
          <w:color w:val="auto"/>
          <w:sz w:val="21"/>
          <w:szCs w:val="21"/>
        </w:rPr>
        <w:t>10. 需要补充的其他内容</w:t>
      </w:r>
      <w:bookmarkEnd w:id="738"/>
      <w:bookmarkEnd w:id="739"/>
      <w:bookmarkEnd w:id="740"/>
      <w:bookmarkEnd w:id="741"/>
      <w:bookmarkEnd w:id="742"/>
      <w:bookmarkEnd w:id="743"/>
    </w:p>
    <w:p>
      <w:pPr>
        <w:spacing w:line="360" w:lineRule="auto"/>
        <w:ind w:firstLine="420" w:firstLineChars="200"/>
        <w:outlineLvl w:val="0"/>
        <w:rPr>
          <w:rFonts w:hint="eastAsia" w:ascii="宋体" w:hAnsi="宋体" w:cs="宋体"/>
          <w:color w:val="auto"/>
          <w:szCs w:val="21"/>
        </w:rPr>
      </w:pPr>
      <w:bookmarkStart w:id="744" w:name="_Toc490667874"/>
      <w:bookmarkStart w:id="745" w:name="_Toc14763"/>
      <w:bookmarkStart w:id="746" w:name="_Toc17627"/>
      <w:bookmarkStart w:id="747" w:name="_Toc5176"/>
      <w:bookmarkStart w:id="748" w:name="_Toc22486"/>
      <w:bookmarkStart w:id="749" w:name="_Toc5706"/>
      <w:bookmarkStart w:id="750" w:name="_Toc466298137"/>
      <w:bookmarkStart w:id="751" w:name="_Toc455867814"/>
      <w:bookmarkStart w:id="752" w:name="_Toc455080154"/>
      <w:r>
        <w:rPr>
          <w:rFonts w:hint="eastAsia" w:ascii="宋体" w:hAnsi="宋体" w:cs="宋体"/>
          <w:color w:val="auto"/>
          <w:szCs w:val="21"/>
        </w:rPr>
        <w:t>需要补充的其他内容：见供应商须知前附表。</w:t>
      </w:r>
      <w:bookmarkEnd w:id="744"/>
      <w:bookmarkEnd w:id="745"/>
      <w:bookmarkEnd w:id="746"/>
      <w:bookmarkEnd w:id="747"/>
      <w:bookmarkEnd w:id="748"/>
      <w:bookmarkEnd w:id="749"/>
      <w:bookmarkStart w:id="753" w:name="_Toc144974565"/>
      <w:bookmarkStart w:id="754" w:name="_Toc152042375"/>
      <w:bookmarkStart w:id="755" w:name="_Toc152045598"/>
    </w:p>
    <w:bookmarkEnd w:id="750"/>
    <w:bookmarkEnd w:id="751"/>
    <w:bookmarkEnd w:id="752"/>
    <w:bookmarkEnd w:id="753"/>
    <w:bookmarkEnd w:id="754"/>
    <w:bookmarkEnd w:id="755"/>
    <w:p>
      <w:pPr>
        <w:jc w:val="center"/>
        <w:outlineLvl w:val="0"/>
        <w:rPr>
          <w:rFonts w:hint="eastAsia" w:ascii="宋体" w:hAnsi="宋体" w:cs="宋体"/>
          <w:bCs/>
          <w:color w:val="auto"/>
          <w:sz w:val="32"/>
          <w:szCs w:val="32"/>
        </w:rPr>
      </w:pPr>
      <w:bookmarkStart w:id="756" w:name="_Toc152042387"/>
      <w:bookmarkStart w:id="757" w:name="_Toc144974577"/>
      <w:bookmarkStart w:id="758" w:name="_Toc152045609"/>
      <w:bookmarkStart w:id="759" w:name="_Toc14024"/>
      <w:r>
        <w:rPr>
          <w:rFonts w:hint="eastAsia" w:ascii="宋体" w:hAnsi="宋体" w:cs="宋体"/>
          <w:b/>
          <w:color w:val="auto"/>
          <w:kern w:val="44"/>
          <w:sz w:val="32"/>
          <w:szCs w:val="32"/>
        </w:rPr>
        <w:br w:type="page"/>
      </w:r>
      <w:bookmarkStart w:id="760" w:name="_Toc3134"/>
      <w:r>
        <w:rPr>
          <w:rFonts w:hint="eastAsia" w:ascii="宋体" w:hAnsi="宋体" w:cs="宋体"/>
          <w:b/>
          <w:color w:val="auto"/>
          <w:kern w:val="44"/>
          <w:sz w:val="32"/>
          <w:szCs w:val="32"/>
        </w:rPr>
        <w:t>第三章  评审办法（综合评分法）</w:t>
      </w:r>
      <w:bookmarkEnd w:id="760"/>
    </w:p>
    <w:p>
      <w:pPr>
        <w:jc w:val="center"/>
        <w:outlineLvl w:val="1"/>
        <w:rPr>
          <w:rFonts w:hint="eastAsia" w:ascii="宋体" w:hAnsi="宋体"/>
          <w:b/>
          <w:bCs/>
          <w:color w:val="auto"/>
          <w:sz w:val="28"/>
          <w:szCs w:val="28"/>
        </w:rPr>
      </w:pPr>
      <w:bookmarkStart w:id="761" w:name="_Toc28069"/>
      <w:bookmarkStart w:id="762" w:name="_Toc152042376"/>
      <w:bookmarkStart w:id="763" w:name="_Toc466298139"/>
      <w:bookmarkStart w:id="764" w:name="_Toc144974566"/>
      <w:bookmarkStart w:id="765" w:name="_Toc27806"/>
      <w:bookmarkStart w:id="766" w:name="_Toc281405527"/>
      <w:bookmarkStart w:id="767" w:name="_Toc455867816"/>
      <w:bookmarkStart w:id="768" w:name="_Toc455080156"/>
      <w:bookmarkStart w:id="769" w:name="_Toc28567"/>
      <w:bookmarkStart w:id="770" w:name="_Toc152045599"/>
      <w:bookmarkStart w:id="771" w:name="_Toc318450721"/>
      <w:r>
        <w:rPr>
          <w:rFonts w:hint="eastAsia" w:ascii="宋体" w:hAnsi="宋体"/>
          <w:b/>
          <w:bCs/>
          <w:color w:val="auto"/>
          <w:sz w:val="28"/>
          <w:szCs w:val="28"/>
        </w:rPr>
        <w:t>评审办法前附表</w:t>
      </w:r>
      <w:bookmarkEnd w:id="761"/>
      <w:bookmarkEnd w:id="762"/>
      <w:bookmarkEnd w:id="763"/>
      <w:bookmarkEnd w:id="764"/>
      <w:bookmarkEnd w:id="765"/>
      <w:bookmarkEnd w:id="766"/>
      <w:bookmarkEnd w:id="767"/>
      <w:bookmarkEnd w:id="768"/>
      <w:bookmarkEnd w:id="769"/>
      <w:bookmarkEnd w:id="770"/>
      <w:bookmarkEnd w:id="771"/>
    </w:p>
    <w:tbl>
      <w:tblPr>
        <w:tblStyle w:val="48"/>
        <w:tblW w:w="9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1215"/>
        <w:gridCol w:w="1951"/>
        <w:gridCol w:w="5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104" w:type="dxa"/>
            <w:gridSpan w:val="2"/>
            <w:noWrap w:val="0"/>
            <w:vAlign w:val="center"/>
          </w:tcPr>
          <w:p>
            <w:pPr>
              <w:spacing w:line="360" w:lineRule="auto"/>
              <w:jc w:val="center"/>
              <w:rPr>
                <w:rFonts w:ascii="宋体" w:hAnsi="宋体"/>
                <w:color w:val="auto"/>
                <w:szCs w:val="21"/>
              </w:rPr>
            </w:pPr>
            <w:r>
              <w:rPr>
                <w:rFonts w:hint="eastAsia" w:ascii="宋体" w:hAnsi="宋体" w:cs="宋体"/>
                <w:color w:val="auto"/>
                <w:szCs w:val="21"/>
              </w:rPr>
              <w:t>条款号</w:t>
            </w:r>
          </w:p>
        </w:tc>
        <w:tc>
          <w:tcPr>
            <w:tcW w:w="1951" w:type="dxa"/>
            <w:noWrap w:val="0"/>
            <w:vAlign w:val="center"/>
          </w:tcPr>
          <w:p>
            <w:pPr>
              <w:spacing w:line="360" w:lineRule="auto"/>
              <w:jc w:val="center"/>
              <w:rPr>
                <w:rFonts w:ascii="宋体" w:hAnsi="宋体"/>
                <w:color w:val="auto"/>
                <w:szCs w:val="21"/>
              </w:rPr>
            </w:pPr>
            <w:r>
              <w:rPr>
                <w:rFonts w:hint="eastAsia" w:ascii="宋体" w:hAnsi="宋体" w:cs="宋体"/>
                <w:color w:val="auto"/>
                <w:szCs w:val="21"/>
              </w:rPr>
              <w:t>评审因素</w:t>
            </w:r>
          </w:p>
        </w:tc>
        <w:tc>
          <w:tcPr>
            <w:tcW w:w="5104" w:type="dxa"/>
            <w:noWrap w:val="0"/>
            <w:vAlign w:val="center"/>
          </w:tcPr>
          <w:p>
            <w:pPr>
              <w:spacing w:line="360" w:lineRule="auto"/>
              <w:jc w:val="center"/>
              <w:rPr>
                <w:rFonts w:ascii="宋体" w:hAnsi="宋体"/>
                <w:color w:val="auto"/>
                <w:szCs w:val="21"/>
              </w:rPr>
            </w:pPr>
            <w:r>
              <w:rPr>
                <w:rFonts w:hint="eastAsia" w:ascii="宋体" w:hAnsi="宋体" w:cs="宋体"/>
                <w:color w:val="auto"/>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889" w:type="dxa"/>
            <w:vMerge w:val="restart"/>
            <w:noWrap w:val="0"/>
            <w:vAlign w:val="center"/>
          </w:tcPr>
          <w:p>
            <w:pPr>
              <w:spacing w:line="360" w:lineRule="auto"/>
              <w:rPr>
                <w:rFonts w:ascii="宋体" w:hAnsi="宋体" w:cs="宋体"/>
                <w:color w:val="auto"/>
                <w:szCs w:val="21"/>
              </w:rPr>
            </w:pPr>
            <w:r>
              <w:rPr>
                <w:rFonts w:ascii="宋体" w:hAnsi="宋体" w:cs="宋体"/>
                <w:color w:val="auto"/>
                <w:szCs w:val="21"/>
              </w:rPr>
              <w:t>2.1.1</w:t>
            </w:r>
          </w:p>
        </w:tc>
        <w:tc>
          <w:tcPr>
            <w:tcW w:w="1215" w:type="dxa"/>
            <w:vMerge w:val="restart"/>
            <w:noWrap w:val="0"/>
            <w:vAlign w:val="center"/>
          </w:tcPr>
          <w:p>
            <w:pPr>
              <w:spacing w:line="360" w:lineRule="auto"/>
              <w:jc w:val="center"/>
              <w:rPr>
                <w:rFonts w:ascii="宋体" w:hAnsi="宋体"/>
                <w:color w:val="auto"/>
                <w:szCs w:val="21"/>
              </w:rPr>
            </w:pPr>
            <w:r>
              <w:rPr>
                <w:rFonts w:hint="eastAsia" w:ascii="宋体" w:hAnsi="宋体" w:cs="宋体"/>
                <w:color w:val="auto"/>
                <w:szCs w:val="21"/>
                <w:lang w:eastAsia="zh-CN"/>
              </w:rPr>
              <w:t>资格</w:t>
            </w:r>
            <w:r>
              <w:rPr>
                <w:rFonts w:hint="eastAsia" w:ascii="宋体" w:hAnsi="宋体" w:cs="宋体"/>
                <w:color w:val="auto"/>
                <w:szCs w:val="21"/>
              </w:rPr>
              <w:t>评审</w:t>
            </w:r>
          </w:p>
          <w:p>
            <w:pPr>
              <w:spacing w:line="360" w:lineRule="auto"/>
              <w:jc w:val="center"/>
              <w:rPr>
                <w:rFonts w:ascii="宋体" w:hAnsi="宋体"/>
                <w:color w:val="auto"/>
                <w:szCs w:val="21"/>
              </w:rPr>
            </w:pPr>
            <w:r>
              <w:rPr>
                <w:rFonts w:hint="eastAsia" w:ascii="宋体" w:hAnsi="宋体" w:cs="宋体"/>
                <w:color w:val="auto"/>
                <w:szCs w:val="21"/>
              </w:rPr>
              <w:t>标</w:t>
            </w:r>
            <w:r>
              <w:rPr>
                <w:rFonts w:ascii="宋体" w:hAnsi="宋体" w:cs="宋体"/>
                <w:color w:val="auto"/>
                <w:szCs w:val="21"/>
              </w:rPr>
              <w:t xml:space="preserve">   </w:t>
            </w:r>
            <w:r>
              <w:rPr>
                <w:rFonts w:hint="eastAsia" w:ascii="宋体" w:hAnsi="宋体" w:cs="宋体"/>
                <w:color w:val="auto"/>
                <w:szCs w:val="21"/>
              </w:rPr>
              <w:t>准</w:t>
            </w:r>
          </w:p>
        </w:tc>
        <w:tc>
          <w:tcPr>
            <w:tcW w:w="1951" w:type="dxa"/>
            <w:noWrap w:val="0"/>
            <w:vAlign w:val="center"/>
          </w:tcPr>
          <w:p>
            <w:pPr>
              <w:keepNext w:val="0"/>
              <w:keepLines w:val="0"/>
              <w:pageBreakBefore w:val="0"/>
              <w:kinsoku/>
              <w:wordWrap/>
              <w:overflowPunct/>
              <w:topLinePunct w:val="0"/>
              <w:autoSpaceDE/>
              <w:autoSpaceDN/>
              <w:bidi w:val="0"/>
              <w:adjustRightInd/>
              <w:spacing w:line="360" w:lineRule="exact"/>
              <w:jc w:val="left"/>
              <w:textAlignment w:val="auto"/>
              <w:rPr>
                <w:rFonts w:ascii="宋体" w:hAnsi="宋体"/>
                <w:color w:val="auto"/>
                <w:szCs w:val="21"/>
              </w:rPr>
            </w:pPr>
            <w:r>
              <w:rPr>
                <w:rFonts w:hint="eastAsia" w:ascii="宋体" w:hAnsi="宋体"/>
                <w:color w:val="auto"/>
                <w:szCs w:val="21"/>
              </w:rPr>
              <w:t>落实政府采购政策满足的资格要求</w:t>
            </w:r>
          </w:p>
        </w:tc>
        <w:tc>
          <w:tcPr>
            <w:tcW w:w="5104" w:type="dxa"/>
            <w:noWrap w:val="0"/>
            <w:vAlign w:val="center"/>
          </w:tcPr>
          <w:p>
            <w:pPr>
              <w:rPr>
                <w:rFonts w:hint="eastAsia" w:ascii="宋体" w:hAnsi="宋体"/>
                <w:color w:val="auto"/>
                <w:szCs w:val="21"/>
              </w:rPr>
            </w:pPr>
            <w:r>
              <w:rPr>
                <w:rFonts w:hint="eastAsia" w:ascii="宋体" w:hAnsi="宋体"/>
                <w:color w:val="auto"/>
                <w:szCs w:val="21"/>
              </w:rPr>
              <w:t>符合第二章“供应商须知”第1.5.1项规定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889" w:type="dxa"/>
            <w:vMerge w:val="continue"/>
            <w:noWrap w:val="0"/>
            <w:vAlign w:val="center"/>
          </w:tcPr>
          <w:p>
            <w:pPr>
              <w:widowControl/>
              <w:spacing w:line="360" w:lineRule="auto"/>
              <w:jc w:val="left"/>
              <w:rPr>
                <w:rFonts w:ascii="宋体" w:hAnsi="宋体" w:cs="宋体"/>
                <w:color w:val="auto"/>
                <w:szCs w:val="21"/>
              </w:rPr>
            </w:pPr>
          </w:p>
        </w:tc>
        <w:tc>
          <w:tcPr>
            <w:tcW w:w="1215" w:type="dxa"/>
            <w:vMerge w:val="continue"/>
            <w:noWrap w:val="0"/>
            <w:vAlign w:val="center"/>
          </w:tcPr>
          <w:p>
            <w:pPr>
              <w:widowControl/>
              <w:spacing w:line="360" w:lineRule="auto"/>
              <w:jc w:val="left"/>
              <w:rPr>
                <w:rFonts w:ascii="宋体" w:hAnsi="宋体"/>
                <w:color w:val="auto"/>
                <w:szCs w:val="21"/>
              </w:rPr>
            </w:pPr>
          </w:p>
        </w:tc>
        <w:tc>
          <w:tcPr>
            <w:tcW w:w="1951" w:type="dxa"/>
            <w:noWrap w:val="0"/>
            <w:vAlign w:val="center"/>
          </w:tcPr>
          <w:p>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符合《中华人民共和国政府采购法》第22条规定</w:t>
            </w:r>
          </w:p>
        </w:tc>
        <w:tc>
          <w:tcPr>
            <w:tcW w:w="5104" w:type="dxa"/>
            <w:noWrap w:val="0"/>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kern w:val="2"/>
                <w:sz w:val="21"/>
                <w:szCs w:val="21"/>
                <w:lang w:val="en-US" w:eastAsia="zh-CN" w:bidi="ar-SA"/>
              </w:rPr>
            </w:pPr>
            <w:r>
              <w:rPr>
                <w:rFonts w:hint="eastAsia" w:ascii="宋体" w:hAnsi="宋体"/>
                <w:color w:val="auto"/>
                <w:szCs w:val="21"/>
              </w:rPr>
              <w:t>符合第二章“供应商须知”第1.5.1项规定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89" w:type="dxa"/>
            <w:vMerge w:val="continue"/>
            <w:noWrap w:val="0"/>
            <w:vAlign w:val="center"/>
          </w:tcPr>
          <w:p>
            <w:pPr>
              <w:widowControl/>
              <w:spacing w:line="360" w:lineRule="auto"/>
              <w:jc w:val="left"/>
              <w:rPr>
                <w:rFonts w:ascii="宋体" w:hAnsi="宋体" w:cs="宋体"/>
                <w:color w:val="auto"/>
                <w:szCs w:val="21"/>
              </w:rPr>
            </w:pPr>
          </w:p>
        </w:tc>
        <w:tc>
          <w:tcPr>
            <w:tcW w:w="1215" w:type="dxa"/>
            <w:vMerge w:val="continue"/>
            <w:noWrap w:val="0"/>
            <w:vAlign w:val="center"/>
          </w:tcPr>
          <w:p>
            <w:pPr>
              <w:widowControl/>
              <w:spacing w:line="360" w:lineRule="auto"/>
              <w:jc w:val="left"/>
              <w:rPr>
                <w:rFonts w:ascii="宋体" w:hAnsi="宋体"/>
                <w:color w:val="auto"/>
                <w:szCs w:val="21"/>
              </w:rPr>
            </w:pPr>
          </w:p>
        </w:tc>
        <w:tc>
          <w:tcPr>
            <w:tcW w:w="1951" w:type="dxa"/>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default" w:ascii="宋体" w:hAnsi="宋体" w:eastAsia="宋体"/>
                <w:color w:val="auto"/>
                <w:szCs w:val="21"/>
                <w:lang w:val="en-US" w:eastAsia="zh-CN"/>
              </w:rPr>
            </w:pPr>
            <w:r>
              <w:rPr>
                <w:rFonts w:hint="eastAsia" w:ascii="宋体" w:hAnsi="宋体"/>
                <w:color w:val="auto"/>
                <w:szCs w:val="21"/>
                <w:lang w:val="en-US" w:eastAsia="zh-CN"/>
              </w:rPr>
              <w:t>特定资格要求</w:t>
            </w:r>
          </w:p>
        </w:tc>
        <w:tc>
          <w:tcPr>
            <w:tcW w:w="5104" w:type="dxa"/>
            <w:noWrap w:val="0"/>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color w:val="auto"/>
                <w:szCs w:val="21"/>
              </w:rPr>
            </w:pPr>
            <w:r>
              <w:rPr>
                <w:rFonts w:hint="eastAsia" w:ascii="宋体" w:hAnsi="宋体"/>
                <w:color w:val="auto"/>
                <w:szCs w:val="21"/>
              </w:rPr>
              <w:t>符合第二章“供应商须知”第</w:t>
            </w:r>
            <w:r>
              <w:rPr>
                <w:rFonts w:ascii="宋体" w:hAnsi="宋体"/>
                <w:color w:val="auto"/>
                <w:szCs w:val="21"/>
              </w:rPr>
              <w:t>1.</w:t>
            </w:r>
            <w:r>
              <w:rPr>
                <w:rFonts w:hint="eastAsia" w:ascii="宋体" w:hAnsi="宋体"/>
                <w:color w:val="auto"/>
                <w:szCs w:val="21"/>
              </w:rPr>
              <w:t>5</w:t>
            </w:r>
            <w:r>
              <w:rPr>
                <w:rFonts w:ascii="宋体" w:hAnsi="宋体"/>
                <w:color w:val="auto"/>
                <w:szCs w:val="21"/>
              </w:rPr>
              <w:t>.1</w:t>
            </w:r>
            <w:r>
              <w:rPr>
                <w:rFonts w:hint="eastAsia" w:ascii="宋体" w:hAnsi="宋体"/>
                <w:color w:val="auto"/>
                <w:szCs w:val="21"/>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89" w:type="dxa"/>
            <w:vMerge w:val="restart"/>
            <w:noWrap w:val="0"/>
            <w:vAlign w:val="center"/>
          </w:tcPr>
          <w:p>
            <w:pPr>
              <w:widowControl/>
              <w:spacing w:line="360" w:lineRule="auto"/>
              <w:jc w:val="left"/>
              <w:rPr>
                <w:rFonts w:ascii="宋体" w:hAnsi="宋体" w:cs="宋体"/>
                <w:color w:val="auto"/>
                <w:szCs w:val="21"/>
              </w:rPr>
            </w:pPr>
            <w:r>
              <w:rPr>
                <w:rFonts w:ascii="宋体" w:hAnsi="宋体" w:cs="宋体"/>
                <w:color w:val="auto"/>
                <w:szCs w:val="21"/>
              </w:rPr>
              <w:t>2.1.2</w:t>
            </w:r>
          </w:p>
        </w:tc>
        <w:tc>
          <w:tcPr>
            <w:tcW w:w="1215" w:type="dxa"/>
            <w:vMerge w:val="restart"/>
            <w:noWrap w:val="0"/>
            <w:vAlign w:val="center"/>
          </w:tcPr>
          <w:p>
            <w:pPr>
              <w:spacing w:line="360" w:lineRule="auto"/>
              <w:jc w:val="center"/>
              <w:rPr>
                <w:rFonts w:ascii="宋体" w:hAnsi="宋体"/>
                <w:color w:val="auto"/>
                <w:szCs w:val="21"/>
              </w:rPr>
            </w:pPr>
            <w:r>
              <w:rPr>
                <w:rFonts w:hint="eastAsia" w:ascii="宋体" w:hAnsi="宋体" w:cs="宋体"/>
                <w:color w:val="auto"/>
                <w:szCs w:val="21"/>
              </w:rPr>
              <w:t>响</w:t>
            </w:r>
            <w:r>
              <w:rPr>
                <w:rFonts w:ascii="宋体" w:hAnsi="宋体" w:cs="宋体"/>
                <w:color w:val="auto"/>
                <w:szCs w:val="21"/>
              </w:rPr>
              <w:t xml:space="preserve"> </w:t>
            </w:r>
            <w:r>
              <w:rPr>
                <w:rFonts w:hint="eastAsia" w:ascii="宋体" w:hAnsi="宋体" w:cs="宋体"/>
                <w:color w:val="auto"/>
                <w:szCs w:val="21"/>
              </w:rPr>
              <w:t>应</w:t>
            </w:r>
            <w:r>
              <w:rPr>
                <w:rFonts w:ascii="宋体" w:hAnsi="宋体" w:cs="宋体"/>
                <w:color w:val="auto"/>
                <w:szCs w:val="21"/>
              </w:rPr>
              <w:t xml:space="preserve"> </w:t>
            </w:r>
            <w:r>
              <w:rPr>
                <w:rFonts w:hint="eastAsia" w:ascii="宋体" w:hAnsi="宋体" w:cs="宋体"/>
                <w:color w:val="auto"/>
                <w:szCs w:val="21"/>
              </w:rPr>
              <w:t>性</w:t>
            </w:r>
          </w:p>
          <w:p>
            <w:pPr>
              <w:widowControl/>
              <w:spacing w:line="360" w:lineRule="auto"/>
              <w:jc w:val="center"/>
              <w:rPr>
                <w:rFonts w:ascii="宋体" w:hAnsi="宋体"/>
                <w:color w:val="auto"/>
                <w:szCs w:val="21"/>
              </w:rPr>
            </w:pPr>
            <w:r>
              <w:rPr>
                <w:rFonts w:hint="eastAsia" w:ascii="宋体" w:hAnsi="宋体" w:cs="宋体"/>
                <w:color w:val="auto"/>
                <w:szCs w:val="21"/>
              </w:rPr>
              <w:t>评审标准</w:t>
            </w:r>
          </w:p>
        </w:tc>
        <w:tc>
          <w:tcPr>
            <w:tcW w:w="1951" w:type="dxa"/>
            <w:noWrap w:val="0"/>
            <w:vAlign w:val="center"/>
          </w:tcPr>
          <w:p>
            <w:pPr>
              <w:spacing w:line="360" w:lineRule="auto"/>
              <w:jc w:val="center"/>
              <w:rPr>
                <w:rFonts w:hint="eastAsia" w:ascii="宋体" w:hAnsi="宋体" w:eastAsia="宋体"/>
                <w:color w:val="auto"/>
                <w:szCs w:val="21"/>
                <w:lang w:eastAsia="zh-CN"/>
              </w:rPr>
            </w:pPr>
            <w:r>
              <w:rPr>
                <w:rFonts w:hint="eastAsia" w:ascii="宋体" w:hAnsi="宋体"/>
                <w:color w:val="auto"/>
                <w:szCs w:val="21"/>
              </w:rPr>
              <w:t>供应商名称</w:t>
            </w:r>
          </w:p>
        </w:tc>
        <w:tc>
          <w:tcPr>
            <w:tcW w:w="5104" w:type="dxa"/>
            <w:noWrap w:val="0"/>
            <w:vAlign w:val="center"/>
          </w:tcPr>
          <w:p>
            <w:pPr>
              <w:spacing w:line="360" w:lineRule="auto"/>
              <w:rPr>
                <w:rFonts w:ascii="宋体" w:hAnsi="宋体"/>
                <w:color w:val="auto"/>
                <w:szCs w:val="21"/>
              </w:rPr>
            </w:pPr>
            <w:r>
              <w:rPr>
                <w:rFonts w:hint="eastAsia" w:ascii="宋体" w:hAnsi="宋体"/>
                <w:color w:val="auto"/>
                <w:szCs w:val="21"/>
              </w:rPr>
              <w:t>与营业执照、资质证书一致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889" w:type="dxa"/>
            <w:vMerge w:val="continue"/>
            <w:noWrap w:val="0"/>
            <w:vAlign w:val="center"/>
          </w:tcPr>
          <w:p>
            <w:pPr>
              <w:widowControl/>
              <w:spacing w:line="360" w:lineRule="auto"/>
              <w:jc w:val="left"/>
              <w:rPr>
                <w:rFonts w:ascii="宋体" w:hAnsi="宋体" w:cs="宋体"/>
                <w:color w:val="auto"/>
                <w:szCs w:val="21"/>
              </w:rPr>
            </w:pPr>
          </w:p>
        </w:tc>
        <w:tc>
          <w:tcPr>
            <w:tcW w:w="1215" w:type="dxa"/>
            <w:vMerge w:val="continue"/>
            <w:noWrap w:val="0"/>
            <w:vAlign w:val="center"/>
          </w:tcPr>
          <w:p>
            <w:pPr>
              <w:widowControl/>
              <w:spacing w:line="360" w:lineRule="auto"/>
              <w:jc w:val="left"/>
              <w:rPr>
                <w:rFonts w:ascii="宋体" w:hAnsi="宋体"/>
                <w:color w:val="auto"/>
                <w:szCs w:val="21"/>
              </w:rPr>
            </w:pPr>
          </w:p>
        </w:tc>
        <w:tc>
          <w:tcPr>
            <w:tcW w:w="1951" w:type="dxa"/>
            <w:noWrap w:val="0"/>
            <w:vAlign w:val="center"/>
          </w:tcPr>
          <w:p>
            <w:pPr>
              <w:spacing w:line="360" w:lineRule="auto"/>
              <w:jc w:val="center"/>
              <w:rPr>
                <w:rFonts w:ascii="宋体" w:hAnsi="宋体" w:cs="宋体"/>
                <w:color w:val="auto"/>
                <w:szCs w:val="21"/>
              </w:rPr>
            </w:pPr>
            <w:r>
              <w:rPr>
                <w:rFonts w:hint="eastAsia" w:ascii="宋体" w:hAnsi="宋体" w:cs="宋体"/>
                <w:color w:val="auto"/>
                <w:szCs w:val="21"/>
              </w:rPr>
              <w:t>签字盖章</w:t>
            </w:r>
          </w:p>
        </w:tc>
        <w:tc>
          <w:tcPr>
            <w:tcW w:w="5104" w:type="dxa"/>
            <w:noWrap w:val="0"/>
            <w:vAlign w:val="center"/>
          </w:tcPr>
          <w:p>
            <w:pPr>
              <w:spacing w:line="360" w:lineRule="auto"/>
              <w:rPr>
                <w:rFonts w:ascii="宋体" w:hAnsi="宋体"/>
                <w:color w:val="auto"/>
                <w:szCs w:val="21"/>
              </w:rPr>
            </w:pPr>
            <w:r>
              <w:rPr>
                <w:rFonts w:hint="eastAsia" w:ascii="宋体" w:hAnsi="宋体" w:cs="宋体"/>
                <w:color w:val="auto"/>
                <w:spacing w:val="-6"/>
                <w:szCs w:val="21"/>
              </w:rPr>
              <w:t>符合</w:t>
            </w:r>
            <w:r>
              <w:rPr>
                <w:rFonts w:hint="eastAsia" w:ascii="宋体" w:hAnsi="宋体" w:cs="宋体"/>
                <w:color w:val="auto"/>
                <w:spacing w:val="-6"/>
                <w:szCs w:val="21"/>
                <w:lang w:eastAsia="zh-CN"/>
              </w:rPr>
              <w:t>第六章</w:t>
            </w:r>
            <w:r>
              <w:rPr>
                <w:rFonts w:hint="eastAsia" w:ascii="宋体" w:hAnsi="宋体" w:cs="宋体"/>
                <w:color w:val="auto"/>
                <w:spacing w:val="-6"/>
                <w:szCs w:val="21"/>
              </w:rPr>
              <w:t>“竞争性磋商响应文件格式”</w:t>
            </w:r>
            <w:r>
              <w:rPr>
                <w:rFonts w:hint="eastAsia" w:ascii="宋体" w:hAnsi="宋体" w:cs="宋体"/>
                <w:color w:val="auto"/>
                <w:spacing w:val="-6"/>
                <w:szCs w:val="21"/>
                <w:lang w:eastAsia="zh-CN"/>
              </w:rPr>
              <w:t>签字盖章</w:t>
            </w:r>
            <w:r>
              <w:rPr>
                <w:rFonts w:hint="eastAsia" w:ascii="宋体" w:hAnsi="宋体" w:cs="宋体"/>
                <w:color w:val="auto"/>
                <w:spacing w:val="-6"/>
                <w:szCs w:val="21"/>
              </w:rPr>
              <w:t>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9" w:type="dxa"/>
            <w:vMerge w:val="continue"/>
            <w:noWrap w:val="0"/>
            <w:vAlign w:val="center"/>
          </w:tcPr>
          <w:p>
            <w:pPr>
              <w:widowControl/>
              <w:spacing w:line="360" w:lineRule="auto"/>
              <w:jc w:val="left"/>
              <w:rPr>
                <w:rFonts w:ascii="宋体" w:hAnsi="宋体" w:cs="宋体"/>
                <w:color w:val="auto"/>
                <w:szCs w:val="21"/>
              </w:rPr>
            </w:pPr>
          </w:p>
        </w:tc>
        <w:tc>
          <w:tcPr>
            <w:tcW w:w="1215" w:type="dxa"/>
            <w:vMerge w:val="continue"/>
            <w:noWrap w:val="0"/>
            <w:vAlign w:val="center"/>
          </w:tcPr>
          <w:p>
            <w:pPr>
              <w:widowControl/>
              <w:spacing w:line="360" w:lineRule="auto"/>
              <w:jc w:val="left"/>
              <w:rPr>
                <w:rFonts w:ascii="宋体" w:hAnsi="宋体"/>
                <w:color w:val="auto"/>
                <w:szCs w:val="21"/>
              </w:rPr>
            </w:pPr>
          </w:p>
        </w:tc>
        <w:tc>
          <w:tcPr>
            <w:tcW w:w="1951" w:type="dxa"/>
            <w:noWrap w:val="0"/>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响应文件格式</w:t>
            </w:r>
          </w:p>
        </w:tc>
        <w:tc>
          <w:tcPr>
            <w:tcW w:w="5104" w:type="dxa"/>
            <w:noWrap w:val="0"/>
            <w:vAlign w:val="center"/>
          </w:tcPr>
          <w:p>
            <w:pPr>
              <w:spacing w:line="360" w:lineRule="auto"/>
              <w:rPr>
                <w:rFonts w:ascii="宋体" w:hAnsi="宋体"/>
                <w:color w:val="auto"/>
                <w:szCs w:val="21"/>
              </w:rPr>
            </w:pPr>
            <w:r>
              <w:rPr>
                <w:rFonts w:hint="eastAsia" w:ascii="宋体" w:hAnsi="宋体" w:cs="宋体"/>
                <w:color w:val="auto"/>
                <w:szCs w:val="21"/>
              </w:rPr>
              <w:t>符合</w:t>
            </w:r>
            <w:r>
              <w:rPr>
                <w:rFonts w:hint="eastAsia" w:ascii="宋体" w:hAnsi="宋体" w:cs="宋体"/>
                <w:color w:val="auto"/>
                <w:szCs w:val="21"/>
                <w:lang w:eastAsia="zh-CN"/>
              </w:rPr>
              <w:t>第六章</w:t>
            </w:r>
            <w:r>
              <w:rPr>
                <w:rFonts w:hint="eastAsia" w:ascii="宋体" w:hAnsi="宋体" w:cs="宋体"/>
                <w:color w:val="auto"/>
                <w:szCs w:val="21"/>
              </w:rPr>
              <w:t>“竞争性磋商响应文件格式”的要求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89" w:type="dxa"/>
            <w:vMerge w:val="continue"/>
            <w:noWrap w:val="0"/>
            <w:vAlign w:val="center"/>
          </w:tcPr>
          <w:p>
            <w:pPr>
              <w:widowControl/>
              <w:spacing w:line="360" w:lineRule="auto"/>
              <w:jc w:val="left"/>
              <w:rPr>
                <w:rFonts w:ascii="宋体" w:hAnsi="宋体" w:cs="宋体"/>
                <w:color w:val="auto"/>
                <w:szCs w:val="21"/>
              </w:rPr>
            </w:pPr>
          </w:p>
        </w:tc>
        <w:tc>
          <w:tcPr>
            <w:tcW w:w="1215" w:type="dxa"/>
            <w:vMerge w:val="continue"/>
            <w:noWrap w:val="0"/>
            <w:vAlign w:val="center"/>
          </w:tcPr>
          <w:p>
            <w:pPr>
              <w:widowControl/>
              <w:spacing w:line="360" w:lineRule="auto"/>
              <w:jc w:val="left"/>
              <w:rPr>
                <w:rFonts w:ascii="宋体" w:hAnsi="宋体"/>
                <w:color w:val="auto"/>
                <w:szCs w:val="21"/>
              </w:rPr>
            </w:pPr>
          </w:p>
        </w:tc>
        <w:tc>
          <w:tcPr>
            <w:tcW w:w="1951" w:type="dxa"/>
            <w:noWrap w:val="0"/>
            <w:vAlign w:val="center"/>
          </w:tcPr>
          <w:p>
            <w:pPr>
              <w:spacing w:line="360" w:lineRule="auto"/>
              <w:jc w:val="center"/>
              <w:rPr>
                <w:rFonts w:hint="eastAsia" w:ascii="宋体" w:hAnsi="宋体" w:cs="宋体"/>
                <w:color w:val="auto"/>
                <w:szCs w:val="21"/>
              </w:rPr>
            </w:pPr>
            <w:r>
              <w:rPr>
                <w:rFonts w:hint="eastAsia" w:ascii="宋体" w:hAnsi="宋体" w:cs="宋体"/>
                <w:color w:val="auto"/>
                <w:szCs w:val="21"/>
              </w:rPr>
              <w:t>报价唯一</w:t>
            </w:r>
          </w:p>
        </w:tc>
        <w:tc>
          <w:tcPr>
            <w:tcW w:w="5104" w:type="dxa"/>
            <w:noWrap w:val="0"/>
            <w:vAlign w:val="center"/>
          </w:tcPr>
          <w:p>
            <w:pPr>
              <w:spacing w:line="360" w:lineRule="auto"/>
              <w:rPr>
                <w:rFonts w:hint="eastAsia" w:ascii="宋体" w:hAnsi="宋体" w:cs="宋体"/>
                <w:color w:val="auto"/>
                <w:kern w:val="0"/>
                <w:szCs w:val="21"/>
              </w:rPr>
            </w:pPr>
            <w:r>
              <w:rPr>
                <w:rFonts w:hint="eastAsia" w:ascii="宋体" w:hAnsi="宋体" w:cs="宋体"/>
                <w:color w:val="auto"/>
                <w:szCs w:val="21"/>
              </w:rPr>
              <w:t>只能有一个有效报价（第一次报价）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89" w:type="dxa"/>
            <w:vMerge w:val="continue"/>
            <w:noWrap w:val="0"/>
            <w:vAlign w:val="center"/>
          </w:tcPr>
          <w:p>
            <w:pPr>
              <w:spacing w:line="360" w:lineRule="auto"/>
              <w:rPr>
                <w:rFonts w:ascii="宋体" w:hAnsi="宋体" w:cs="宋体"/>
                <w:color w:val="auto"/>
                <w:szCs w:val="21"/>
              </w:rPr>
            </w:pPr>
          </w:p>
        </w:tc>
        <w:tc>
          <w:tcPr>
            <w:tcW w:w="1215" w:type="dxa"/>
            <w:vMerge w:val="continue"/>
            <w:noWrap w:val="0"/>
            <w:vAlign w:val="center"/>
          </w:tcPr>
          <w:p>
            <w:pPr>
              <w:spacing w:line="360" w:lineRule="auto"/>
              <w:jc w:val="center"/>
              <w:rPr>
                <w:rFonts w:ascii="宋体" w:hAnsi="宋体"/>
                <w:color w:val="auto"/>
                <w:szCs w:val="21"/>
              </w:rPr>
            </w:pPr>
          </w:p>
        </w:tc>
        <w:tc>
          <w:tcPr>
            <w:tcW w:w="1951" w:type="dxa"/>
            <w:noWrap w:val="0"/>
            <w:vAlign w:val="center"/>
          </w:tcPr>
          <w:p>
            <w:pPr>
              <w:spacing w:line="360" w:lineRule="auto"/>
              <w:jc w:val="center"/>
              <w:rPr>
                <w:rFonts w:ascii="宋体" w:hAnsi="宋体"/>
                <w:color w:val="auto"/>
                <w:szCs w:val="21"/>
              </w:rPr>
            </w:pPr>
            <w:r>
              <w:rPr>
                <w:rFonts w:hint="eastAsia" w:ascii="宋体" w:hAnsi="宋体"/>
                <w:color w:val="auto"/>
                <w:szCs w:val="21"/>
              </w:rPr>
              <w:t>响应</w:t>
            </w:r>
            <w:r>
              <w:rPr>
                <w:rFonts w:ascii="宋体" w:hAnsi="宋体"/>
                <w:color w:val="auto"/>
                <w:szCs w:val="21"/>
              </w:rPr>
              <w:t>内容</w:t>
            </w:r>
          </w:p>
        </w:tc>
        <w:tc>
          <w:tcPr>
            <w:tcW w:w="5104" w:type="dxa"/>
            <w:noWrap w:val="0"/>
            <w:vAlign w:val="center"/>
          </w:tcPr>
          <w:p>
            <w:pPr>
              <w:spacing w:line="360" w:lineRule="auto"/>
              <w:rPr>
                <w:rFonts w:ascii="宋体" w:hAnsi="宋体"/>
                <w:color w:val="auto"/>
                <w:szCs w:val="21"/>
              </w:rPr>
            </w:pPr>
            <w:r>
              <w:rPr>
                <w:rFonts w:hint="eastAsia" w:ascii="宋体" w:hAnsi="宋体"/>
                <w:color w:val="auto"/>
                <w:szCs w:val="21"/>
              </w:rPr>
              <w:t>符合第二章“供应商须知”第</w:t>
            </w:r>
            <w:r>
              <w:rPr>
                <w:rFonts w:ascii="宋体" w:hAnsi="宋体"/>
                <w:color w:val="auto"/>
                <w:szCs w:val="21"/>
              </w:rPr>
              <w:t>1.</w:t>
            </w:r>
            <w:r>
              <w:rPr>
                <w:rFonts w:hint="eastAsia" w:ascii="宋体" w:hAnsi="宋体"/>
                <w:color w:val="auto"/>
                <w:szCs w:val="21"/>
              </w:rPr>
              <w:t>4</w:t>
            </w:r>
            <w:r>
              <w:rPr>
                <w:rFonts w:ascii="宋体" w:hAnsi="宋体"/>
                <w:color w:val="auto"/>
                <w:szCs w:val="21"/>
              </w:rPr>
              <w:t>.1</w:t>
            </w:r>
            <w:r>
              <w:rPr>
                <w:rFonts w:hint="eastAsia" w:ascii="宋体" w:hAnsi="宋体"/>
                <w:color w:val="auto"/>
                <w:szCs w:val="21"/>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889" w:type="dxa"/>
            <w:vMerge w:val="continue"/>
            <w:noWrap w:val="0"/>
            <w:vAlign w:val="center"/>
          </w:tcPr>
          <w:p>
            <w:pPr>
              <w:widowControl/>
              <w:spacing w:line="360" w:lineRule="auto"/>
              <w:jc w:val="left"/>
              <w:rPr>
                <w:rFonts w:ascii="宋体" w:hAnsi="宋体" w:cs="宋体"/>
                <w:color w:val="auto"/>
                <w:szCs w:val="21"/>
              </w:rPr>
            </w:pPr>
          </w:p>
        </w:tc>
        <w:tc>
          <w:tcPr>
            <w:tcW w:w="1215" w:type="dxa"/>
            <w:vMerge w:val="continue"/>
            <w:noWrap w:val="0"/>
            <w:vAlign w:val="center"/>
          </w:tcPr>
          <w:p>
            <w:pPr>
              <w:widowControl/>
              <w:spacing w:line="360" w:lineRule="auto"/>
              <w:jc w:val="left"/>
              <w:rPr>
                <w:rFonts w:ascii="宋体" w:hAnsi="宋体"/>
                <w:color w:val="auto"/>
                <w:szCs w:val="21"/>
              </w:rPr>
            </w:pPr>
          </w:p>
        </w:tc>
        <w:tc>
          <w:tcPr>
            <w:tcW w:w="1951" w:type="dxa"/>
            <w:noWrap w:val="0"/>
            <w:vAlign w:val="center"/>
          </w:tcPr>
          <w:p>
            <w:pPr>
              <w:spacing w:line="360" w:lineRule="auto"/>
              <w:jc w:val="center"/>
              <w:rPr>
                <w:rFonts w:hint="eastAsia" w:ascii="宋体" w:hAnsi="宋体" w:eastAsia="宋体"/>
                <w:color w:val="auto"/>
                <w:szCs w:val="21"/>
                <w:lang w:eastAsia="zh-CN"/>
              </w:rPr>
            </w:pPr>
            <w:r>
              <w:rPr>
                <w:rFonts w:hint="eastAsia" w:ascii="宋体" w:hAnsi="宋体" w:eastAsia="宋体"/>
                <w:color w:val="auto"/>
                <w:szCs w:val="21"/>
                <w:lang w:val="en-US" w:eastAsia="zh-CN"/>
              </w:rPr>
              <w:t>承包经营期限</w:t>
            </w:r>
          </w:p>
        </w:tc>
        <w:tc>
          <w:tcPr>
            <w:tcW w:w="5104" w:type="dxa"/>
            <w:noWrap w:val="0"/>
            <w:vAlign w:val="center"/>
          </w:tcPr>
          <w:p>
            <w:pPr>
              <w:spacing w:line="360" w:lineRule="auto"/>
              <w:rPr>
                <w:rFonts w:ascii="宋体" w:hAnsi="宋体"/>
                <w:color w:val="auto"/>
                <w:szCs w:val="21"/>
              </w:rPr>
            </w:pPr>
            <w:r>
              <w:rPr>
                <w:rFonts w:hint="eastAsia" w:ascii="宋体" w:hAnsi="宋体"/>
                <w:color w:val="auto"/>
                <w:szCs w:val="21"/>
              </w:rPr>
              <w:t>符合第二章“供应商须知”第</w:t>
            </w:r>
            <w:r>
              <w:rPr>
                <w:rFonts w:ascii="宋体" w:hAnsi="宋体"/>
                <w:color w:val="auto"/>
                <w:szCs w:val="21"/>
              </w:rPr>
              <w:t>1.</w:t>
            </w:r>
            <w:r>
              <w:rPr>
                <w:rFonts w:hint="eastAsia" w:ascii="宋体" w:hAnsi="宋体"/>
                <w:color w:val="auto"/>
                <w:szCs w:val="21"/>
              </w:rPr>
              <w:t>4</w:t>
            </w:r>
            <w:r>
              <w:rPr>
                <w:rFonts w:ascii="宋体" w:hAnsi="宋体"/>
                <w:color w:val="auto"/>
                <w:szCs w:val="21"/>
              </w:rPr>
              <w:t>.2</w:t>
            </w:r>
            <w:r>
              <w:rPr>
                <w:rFonts w:hint="eastAsia" w:ascii="宋体" w:hAnsi="宋体"/>
                <w:color w:val="auto"/>
                <w:szCs w:val="21"/>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89" w:type="dxa"/>
            <w:vMerge w:val="continue"/>
            <w:noWrap w:val="0"/>
            <w:vAlign w:val="center"/>
          </w:tcPr>
          <w:p>
            <w:pPr>
              <w:widowControl/>
              <w:spacing w:line="360" w:lineRule="auto"/>
              <w:jc w:val="left"/>
              <w:rPr>
                <w:rFonts w:ascii="宋体" w:hAnsi="宋体" w:cs="宋体"/>
                <w:color w:val="auto"/>
                <w:szCs w:val="21"/>
              </w:rPr>
            </w:pPr>
          </w:p>
        </w:tc>
        <w:tc>
          <w:tcPr>
            <w:tcW w:w="1215" w:type="dxa"/>
            <w:vMerge w:val="continue"/>
            <w:noWrap w:val="0"/>
            <w:vAlign w:val="center"/>
          </w:tcPr>
          <w:p>
            <w:pPr>
              <w:widowControl/>
              <w:spacing w:line="360" w:lineRule="auto"/>
              <w:jc w:val="left"/>
              <w:rPr>
                <w:rFonts w:ascii="宋体" w:hAnsi="宋体"/>
                <w:color w:val="auto"/>
                <w:szCs w:val="21"/>
              </w:rPr>
            </w:pPr>
          </w:p>
        </w:tc>
        <w:tc>
          <w:tcPr>
            <w:tcW w:w="1951" w:type="dxa"/>
            <w:noWrap w:val="0"/>
            <w:vAlign w:val="center"/>
          </w:tcPr>
          <w:p>
            <w:pPr>
              <w:spacing w:line="360" w:lineRule="auto"/>
              <w:jc w:val="center"/>
              <w:rPr>
                <w:rFonts w:hint="default" w:ascii="宋体" w:hAnsi="宋体" w:eastAsia="宋体"/>
                <w:color w:val="auto"/>
                <w:szCs w:val="21"/>
                <w:lang w:val="en-US" w:eastAsia="zh-CN"/>
              </w:rPr>
            </w:pPr>
            <w:r>
              <w:rPr>
                <w:rFonts w:hint="eastAsia" w:ascii="宋体" w:hAnsi="宋体"/>
                <w:color w:val="auto"/>
                <w:szCs w:val="21"/>
                <w:lang w:val="en-US" w:eastAsia="zh-CN"/>
              </w:rPr>
              <w:t>服务质量</w:t>
            </w:r>
          </w:p>
        </w:tc>
        <w:tc>
          <w:tcPr>
            <w:tcW w:w="5104" w:type="dxa"/>
            <w:noWrap w:val="0"/>
            <w:vAlign w:val="center"/>
          </w:tcPr>
          <w:p>
            <w:pPr>
              <w:spacing w:line="360" w:lineRule="auto"/>
              <w:rPr>
                <w:rFonts w:ascii="宋体" w:hAnsi="宋体"/>
                <w:color w:val="auto"/>
                <w:szCs w:val="21"/>
              </w:rPr>
            </w:pPr>
            <w:r>
              <w:rPr>
                <w:rFonts w:hint="eastAsia" w:ascii="宋体" w:hAnsi="宋体"/>
                <w:color w:val="auto"/>
                <w:szCs w:val="21"/>
              </w:rPr>
              <w:t>符合第二章“供应商须知”第</w:t>
            </w:r>
            <w:r>
              <w:rPr>
                <w:rFonts w:ascii="宋体" w:hAnsi="宋体"/>
                <w:color w:val="auto"/>
                <w:szCs w:val="21"/>
              </w:rPr>
              <w:t>1.</w:t>
            </w:r>
            <w:r>
              <w:rPr>
                <w:rFonts w:hint="eastAsia" w:ascii="宋体" w:hAnsi="宋体"/>
                <w:color w:val="auto"/>
                <w:szCs w:val="21"/>
              </w:rPr>
              <w:t>4</w:t>
            </w:r>
            <w:r>
              <w:rPr>
                <w:rFonts w:ascii="宋体" w:hAnsi="宋体"/>
                <w:color w:val="auto"/>
                <w:szCs w:val="21"/>
              </w:rPr>
              <w:t>.3</w:t>
            </w:r>
            <w:r>
              <w:rPr>
                <w:rFonts w:hint="eastAsia" w:ascii="宋体" w:hAnsi="宋体"/>
                <w:color w:val="auto"/>
                <w:szCs w:val="21"/>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889" w:type="dxa"/>
            <w:vMerge w:val="continue"/>
            <w:noWrap w:val="0"/>
            <w:vAlign w:val="center"/>
          </w:tcPr>
          <w:p>
            <w:pPr>
              <w:widowControl/>
              <w:spacing w:line="360" w:lineRule="auto"/>
              <w:jc w:val="left"/>
              <w:rPr>
                <w:rFonts w:ascii="宋体" w:hAnsi="宋体" w:cs="宋体"/>
                <w:color w:val="auto"/>
                <w:szCs w:val="21"/>
              </w:rPr>
            </w:pPr>
          </w:p>
        </w:tc>
        <w:tc>
          <w:tcPr>
            <w:tcW w:w="1215" w:type="dxa"/>
            <w:vMerge w:val="continue"/>
            <w:noWrap w:val="0"/>
            <w:vAlign w:val="center"/>
          </w:tcPr>
          <w:p>
            <w:pPr>
              <w:widowControl/>
              <w:spacing w:line="360" w:lineRule="auto"/>
              <w:jc w:val="left"/>
              <w:rPr>
                <w:rFonts w:ascii="宋体" w:hAnsi="宋体"/>
                <w:color w:val="auto"/>
                <w:szCs w:val="21"/>
              </w:rPr>
            </w:pPr>
          </w:p>
        </w:tc>
        <w:tc>
          <w:tcPr>
            <w:tcW w:w="1951" w:type="dxa"/>
            <w:noWrap w:val="0"/>
            <w:vAlign w:val="center"/>
          </w:tcPr>
          <w:p>
            <w:pPr>
              <w:spacing w:line="360" w:lineRule="auto"/>
              <w:jc w:val="center"/>
              <w:rPr>
                <w:rFonts w:ascii="宋体" w:hAnsi="宋体"/>
                <w:color w:val="auto"/>
                <w:szCs w:val="21"/>
              </w:rPr>
            </w:pPr>
            <w:r>
              <w:rPr>
                <w:rFonts w:hint="eastAsia" w:ascii="宋体" w:hAnsi="宋体"/>
                <w:color w:val="auto"/>
                <w:szCs w:val="21"/>
              </w:rPr>
              <w:t>磋商有效期</w:t>
            </w:r>
          </w:p>
        </w:tc>
        <w:tc>
          <w:tcPr>
            <w:tcW w:w="5104" w:type="dxa"/>
            <w:noWrap w:val="0"/>
            <w:vAlign w:val="center"/>
          </w:tcPr>
          <w:p>
            <w:pPr>
              <w:spacing w:line="360" w:lineRule="auto"/>
              <w:rPr>
                <w:rFonts w:ascii="宋体" w:hAnsi="宋体"/>
                <w:color w:val="auto"/>
                <w:szCs w:val="21"/>
              </w:rPr>
            </w:pPr>
            <w:r>
              <w:rPr>
                <w:rFonts w:hint="eastAsia" w:ascii="宋体" w:hAnsi="宋体" w:cs="宋体"/>
                <w:color w:val="auto"/>
                <w:szCs w:val="21"/>
              </w:rPr>
              <w:t>符合第二章“供应商须知”第</w:t>
            </w:r>
            <w:r>
              <w:rPr>
                <w:rFonts w:ascii="宋体" w:hAnsi="宋体" w:cs="宋体"/>
                <w:color w:val="auto"/>
                <w:szCs w:val="21"/>
              </w:rPr>
              <w:t>3.3.1</w:t>
            </w:r>
            <w:r>
              <w:rPr>
                <w:rFonts w:hint="eastAsia" w:ascii="宋体" w:hAnsi="宋体" w:cs="宋体"/>
                <w:color w:val="auto"/>
                <w:szCs w:val="21"/>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9" w:type="dxa"/>
            <w:vMerge w:val="continue"/>
            <w:noWrap w:val="0"/>
            <w:vAlign w:val="center"/>
          </w:tcPr>
          <w:p>
            <w:pPr>
              <w:widowControl/>
              <w:spacing w:line="360" w:lineRule="auto"/>
              <w:jc w:val="left"/>
              <w:rPr>
                <w:rFonts w:ascii="宋体" w:hAnsi="宋体" w:cs="宋体"/>
                <w:color w:val="auto"/>
                <w:szCs w:val="21"/>
              </w:rPr>
            </w:pPr>
          </w:p>
        </w:tc>
        <w:tc>
          <w:tcPr>
            <w:tcW w:w="1215" w:type="dxa"/>
            <w:vMerge w:val="continue"/>
            <w:noWrap w:val="0"/>
            <w:vAlign w:val="center"/>
          </w:tcPr>
          <w:p>
            <w:pPr>
              <w:widowControl/>
              <w:spacing w:line="360" w:lineRule="auto"/>
              <w:jc w:val="left"/>
              <w:rPr>
                <w:rFonts w:ascii="宋体" w:hAnsi="宋体"/>
                <w:color w:val="auto"/>
                <w:szCs w:val="21"/>
              </w:rPr>
            </w:pPr>
          </w:p>
        </w:tc>
        <w:tc>
          <w:tcPr>
            <w:tcW w:w="1951" w:type="dxa"/>
            <w:noWrap w:val="0"/>
            <w:vAlign w:val="center"/>
          </w:tcPr>
          <w:p>
            <w:pPr>
              <w:spacing w:line="360" w:lineRule="auto"/>
              <w:jc w:val="center"/>
              <w:rPr>
                <w:rFonts w:ascii="宋体" w:hAnsi="宋体"/>
                <w:color w:val="auto"/>
                <w:szCs w:val="21"/>
              </w:rPr>
            </w:pPr>
            <w:r>
              <w:rPr>
                <w:rFonts w:hint="eastAsia" w:ascii="宋体" w:hAnsi="宋体"/>
                <w:color w:val="auto"/>
                <w:szCs w:val="21"/>
              </w:rPr>
              <w:t>磋商报价</w:t>
            </w:r>
          </w:p>
        </w:tc>
        <w:tc>
          <w:tcPr>
            <w:tcW w:w="5104" w:type="dxa"/>
            <w:noWrap w:val="0"/>
            <w:vAlign w:val="center"/>
          </w:tcPr>
          <w:p>
            <w:pPr>
              <w:spacing w:line="360" w:lineRule="auto"/>
              <w:rPr>
                <w:rFonts w:ascii="宋体" w:hAnsi="宋体"/>
                <w:color w:val="auto"/>
                <w:szCs w:val="21"/>
              </w:rPr>
            </w:pPr>
            <w:r>
              <w:rPr>
                <w:rFonts w:hint="eastAsia" w:ascii="宋体" w:hAnsi="宋体" w:cs="宋体"/>
                <w:color w:val="auto"/>
                <w:szCs w:val="21"/>
              </w:rPr>
              <w:t>磋商报价在规定的报价要求范围之内</w:t>
            </w:r>
          </w:p>
        </w:tc>
      </w:tr>
    </w:tbl>
    <w:p>
      <w:pPr>
        <w:rPr>
          <w:color w:val="auto"/>
        </w:rPr>
      </w:pPr>
      <w:bookmarkStart w:id="772" w:name="_Toc152042377"/>
      <w:bookmarkStart w:id="773" w:name="_Toc31578"/>
      <w:bookmarkStart w:id="774" w:name="_Toc318450722"/>
      <w:bookmarkStart w:id="775" w:name="_Toc281405528"/>
      <w:bookmarkStart w:id="776" w:name="_Toc144974567"/>
      <w:bookmarkStart w:id="777" w:name="_Toc152045600"/>
    </w:p>
    <w:tbl>
      <w:tblPr>
        <w:tblStyle w:val="48"/>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095"/>
        <w:gridCol w:w="1470"/>
        <w:gridCol w:w="5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848" w:type="dxa"/>
            <w:gridSpan w:val="2"/>
            <w:noWrap/>
            <w:vAlign w:val="center"/>
          </w:tcPr>
          <w:p>
            <w:pPr>
              <w:spacing w:line="240" w:lineRule="auto"/>
              <w:jc w:val="center"/>
              <w:rPr>
                <w:rFonts w:ascii="宋体" w:hAnsi="宋体" w:eastAsia="宋体" w:cs="宋体"/>
                <w:color w:val="auto"/>
                <w:szCs w:val="21"/>
              </w:rPr>
            </w:pPr>
            <w:r>
              <w:rPr>
                <w:rFonts w:hint="eastAsia" w:ascii="宋体" w:hAnsi="宋体" w:eastAsia="宋体" w:cs="宋体"/>
                <w:color w:val="auto"/>
                <w:szCs w:val="21"/>
              </w:rPr>
              <w:t>2.2.1</w:t>
            </w:r>
          </w:p>
        </w:tc>
        <w:tc>
          <w:tcPr>
            <w:tcW w:w="1470" w:type="dxa"/>
            <w:noWrap/>
            <w:vAlign w:val="center"/>
          </w:tcPr>
          <w:p>
            <w:pPr>
              <w:spacing w:line="240" w:lineRule="auto"/>
              <w:jc w:val="center"/>
              <w:rPr>
                <w:rFonts w:ascii="宋体" w:hAnsi="宋体" w:eastAsia="宋体" w:cs="宋体"/>
                <w:color w:val="auto"/>
                <w:szCs w:val="21"/>
              </w:rPr>
            </w:pPr>
            <w:r>
              <w:rPr>
                <w:rFonts w:hint="eastAsia" w:ascii="宋体" w:hAnsi="宋体" w:eastAsia="宋体" w:cs="宋体"/>
                <w:color w:val="auto"/>
                <w:szCs w:val="21"/>
              </w:rPr>
              <w:t>分值构成</w:t>
            </w:r>
          </w:p>
          <w:p>
            <w:pPr>
              <w:spacing w:line="240" w:lineRule="auto"/>
              <w:jc w:val="center"/>
              <w:rPr>
                <w:rFonts w:ascii="宋体" w:hAnsi="宋体" w:eastAsia="宋体" w:cs="宋体"/>
                <w:color w:val="auto"/>
                <w:szCs w:val="21"/>
              </w:rPr>
            </w:pPr>
            <w:r>
              <w:rPr>
                <w:rFonts w:hint="eastAsia" w:ascii="宋体" w:hAnsi="宋体" w:eastAsia="宋体" w:cs="宋体"/>
                <w:color w:val="auto"/>
                <w:szCs w:val="21"/>
              </w:rPr>
              <w:t>(总分100分)</w:t>
            </w:r>
          </w:p>
        </w:tc>
        <w:tc>
          <w:tcPr>
            <w:tcW w:w="5971" w:type="dxa"/>
            <w:noWrap/>
            <w:vAlign w:val="center"/>
          </w:tcPr>
          <w:p>
            <w:pPr>
              <w:spacing w:line="240" w:lineRule="auto"/>
              <w:jc w:val="left"/>
              <w:rPr>
                <w:rFonts w:ascii="宋体" w:hAnsi="宋体" w:eastAsia="宋体" w:cs="宋体"/>
                <w:color w:val="auto"/>
                <w:szCs w:val="21"/>
              </w:rPr>
            </w:pPr>
            <w:r>
              <w:rPr>
                <w:rFonts w:hint="eastAsia" w:ascii="宋体" w:hAnsi="宋体" w:eastAsia="宋体" w:cs="宋体"/>
                <w:color w:val="auto"/>
                <w:szCs w:val="21"/>
              </w:rPr>
              <w:t>投标报价：</w:t>
            </w:r>
            <w:r>
              <w:rPr>
                <w:rFonts w:hint="eastAsia" w:ascii="宋体" w:hAnsi="宋体" w:cs="宋体"/>
                <w:color w:val="auto"/>
                <w:szCs w:val="21"/>
                <w:lang w:val="en-US" w:eastAsia="zh-CN"/>
              </w:rPr>
              <w:t>2</w:t>
            </w:r>
            <w:r>
              <w:rPr>
                <w:rFonts w:hint="eastAsia" w:ascii="宋体" w:hAnsi="宋体" w:eastAsia="宋体" w:cs="宋体"/>
                <w:color w:val="auto"/>
                <w:szCs w:val="21"/>
              </w:rPr>
              <w:t>0分</w:t>
            </w:r>
          </w:p>
          <w:p>
            <w:pPr>
              <w:spacing w:line="240" w:lineRule="auto"/>
              <w:jc w:val="left"/>
              <w:rPr>
                <w:rFonts w:ascii="宋体" w:hAnsi="宋体" w:eastAsia="宋体" w:cs="宋体"/>
                <w:color w:val="auto"/>
                <w:szCs w:val="21"/>
              </w:rPr>
            </w:pPr>
            <w:r>
              <w:rPr>
                <w:rFonts w:hint="eastAsia" w:ascii="宋体" w:hAnsi="宋体" w:eastAsia="宋体" w:cs="宋体"/>
                <w:color w:val="auto"/>
                <w:szCs w:val="21"/>
              </w:rPr>
              <w:t>技术部分：</w:t>
            </w:r>
            <w:r>
              <w:rPr>
                <w:rFonts w:hint="eastAsia" w:ascii="宋体" w:hAnsi="宋体" w:cs="宋体"/>
                <w:color w:val="auto"/>
                <w:szCs w:val="21"/>
                <w:lang w:val="en-US" w:eastAsia="zh-CN"/>
              </w:rPr>
              <w:t>30</w:t>
            </w:r>
            <w:r>
              <w:rPr>
                <w:rFonts w:hint="eastAsia" w:ascii="宋体" w:hAnsi="宋体" w:eastAsia="宋体" w:cs="宋体"/>
                <w:color w:val="auto"/>
                <w:szCs w:val="21"/>
              </w:rPr>
              <w:t>分</w:t>
            </w:r>
          </w:p>
          <w:p>
            <w:pPr>
              <w:spacing w:line="240" w:lineRule="auto"/>
              <w:jc w:val="left"/>
              <w:rPr>
                <w:rFonts w:ascii="宋体" w:hAnsi="宋体" w:eastAsia="宋体" w:cs="宋体"/>
                <w:color w:val="auto"/>
                <w:szCs w:val="21"/>
              </w:rPr>
            </w:pPr>
            <w:r>
              <w:rPr>
                <w:rFonts w:hint="eastAsia" w:ascii="宋体" w:hAnsi="宋体" w:eastAsia="宋体" w:cs="宋体"/>
                <w:color w:val="auto"/>
                <w:szCs w:val="21"/>
              </w:rPr>
              <w:t>综合部分：</w:t>
            </w:r>
            <w:r>
              <w:rPr>
                <w:rFonts w:hint="eastAsia" w:ascii="宋体" w:hAnsi="宋体" w:cs="宋体"/>
                <w:color w:val="auto"/>
                <w:szCs w:val="21"/>
                <w:lang w:val="en-US" w:eastAsia="zh-CN"/>
              </w:rPr>
              <w:t>50</w:t>
            </w:r>
            <w:r>
              <w:rPr>
                <w:rFonts w:hint="eastAsia" w:ascii="宋体" w:hAnsi="宋体" w:eastAsia="宋体" w:cs="宋体"/>
                <w:color w:val="auto"/>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blHeader/>
          <w:jc w:val="center"/>
        </w:trPr>
        <w:tc>
          <w:tcPr>
            <w:tcW w:w="753" w:type="dxa"/>
            <w:noWrap/>
            <w:vAlign w:val="center"/>
          </w:tcPr>
          <w:p>
            <w:pPr>
              <w:spacing w:line="240" w:lineRule="auto"/>
              <w:jc w:val="center"/>
              <w:rPr>
                <w:rFonts w:ascii="宋体" w:hAnsi="宋体" w:eastAsia="宋体" w:cs="宋体"/>
                <w:b/>
                <w:color w:val="auto"/>
                <w:szCs w:val="21"/>
              </w:rPr>
            </w:pPr>
            <w:r>
              <w:rPr>
                <w:rFonts w:hint="eastAsia" w:ascii="宋体" w:hAnsi="宋体" w:eastAsia="宋体" w:cs="宋体"/>
                <w:bCs/>
                <w:color w:val="auto"/>
                <w:szCs w:val="21"/>
              </w:rPr>
              <w:t>2.2.2</w:t>
            </w:r>
          </w:p>
        </w:tc>
        <w:tc>
          <w:tcPr>
            <w:tcW w:w="1095" w:type="dxa"/>
            <w:noWrap/>
            <w:vAlign w:val="center"/>
          </w:tcPr>
          <w:p>
            <w:pPr>
              <w:spacing w:line="240" w:lineRule="auto"/>
              <w:jc w:val="center"/>
              <w:rPr>
                <w:rFonts w:ascii="宋体" w:hAnsi="宋体" w:eastAsia="宋体" w:cs="宋体"/>
                <w:b/>
                <w:color w:val="auto"/>
                <w:szCs w:val="21"/>
              </w:rPr>
            </w:pPr>
            <w:r>
              <w:rPr>
                <w:rFonts w:hint="eastAsia" w:ascii="宋体" w:hAnsi="宋体" w:eastAsia="宋体" w:cs="宋体"/>
                <w:color w:val="auto"/>
                <w:szCs w:val="21"/>
              </w:rPr>
              <w:t>商务部分（</w:t>
            </w:r>
            <w:r>
              <w:rPr>
                <w:rFonts w:hint="eastAsia" w:ascii="宋体" w:hAnsi="宋体" w:cs="宋体"/>
                <w:color w:val="auto"/>
                <w:szCs w:val="21"/>
                <w:lang w:val="en-US" w:eastAsia="zh-CN"/>
              </w:rPr>
              <w:t>20</w:t>
            </w:r>
            <w:r>
              <w:rPr>
                <w:rFonts w:hint="eastAsia" w:ascii="宋体" w:hAnsi="宋体" w:eastAsia="宋体" w:cs="宋体"/>
                <w:color w:val="auto"/>
                <w:szCs w:val="21"/>
              </w:rPr>
              <w:t>分）</w:t>
            </w:r>
          </w:p>
        </w:tc>
        <w:tc>
          <w:tcPr>
            <w:tcW w:w="1470" w:type="dxa"/>
            <w:noWrap/>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hint="eastAsia" w:ascii="宋体" w:hAnsi="宋体" w:eastAsia="宋体" w:cs="宋体"/>
                <w:color w:val="auto"/>
                <w:szCs w:val="21"/>
              </w:rPr>
            </w:pPr>
            <w:r>
              <w:rPr>
                <w:rFonts w:hint="eastAsia" w:ascii="宋体" w:hAnsi="宋体" w:eastAsia="宋体" w:cs="宋体"/>
                <w:color w:val="auto"/>
                <w:szCs w:val="21"/>
              </w:rPr>
              <w:t>投标报价</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jc w:val="center"/>
              <w:textAlignment w:val="auto"/>
              <w:rPr>
                <w:rFonts w:ascii="宋体" w:hAnsi="宋体" w:eastAsia="宋体" w:cs="宋体"/>
                <w:color w:val="auto"/>
                <w:szCs w:val="21"/>
              </w:rPr>
            </w:pPr>
            <w:r>
              <w:rPr>
                <w:rFonts w:hint="eastAsia" w:ascii="宋体" w:hAnsi="宋体" w:eastAsia="宋体" w:cs="宋体"/>
                <w:color w:val="auto"/>
                <w:szCs w:val="21"/>
              </w:rPr>
              <w:t>（</w:t>
            </w:r>
            <w:r>
              <w:rPr>
                <w:rFonts w:hint="eastAsia" w:ascii="宋体" w:hAnsi="宋体" w:cs="宋体"/>
                <w:color w:val="auto"/>
                <w:szCs w:val="21"/>
                <w:lang w:val="en-US" w:eastAsia="zh-CN"/>
              </w:rPr>
              <w:t>20</w:t>
            </w:r>
            <w:r>
              <w:rPr>
                <w:rFonts w:hint="eastAsia" w:ascii="宋体" w:hAnsi="宋体" w:eastAsia="宋体" w:cs="宋体"/>
                <w:color w:val="auto"/>
                <w:szCs w:val="21"/>
              </w:rPr>
              <w:t>分）</w:t>
            </w:r>
          </w:p>
        </w:tc>
        <w:tc>
          <w:tcPr>
            <w:tcW w:w="5971" w:type="dxa"/>
            <w:noWrap/>
            <w:vAlign w:val="top"/>
          </w:tcPr>
          <w:p>
            <w:pPr>
              <w:keepNext w:val="0"/>
              <w:keepLines w:val="0"/>
              <w:widowControl/>
              <w:suppressLineNumbers w:val="0"/>
              <w:spacing w:line="240" w:lineRule="auto"/>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价格分统一采用高价优先法计算，最终</w:t>
            </w:r>
            <w:r>
              <w:rPr>
                <w:rFonts w:hint="eastAsia" w:ascii="宋体" w:hAnsi="宋体" w:cs="宋体"/>
                <w:color w:val="000000"/>
                <w:kern w:val="0"/>
                <w:sz w:val="21"/>
                <w:szCs w:val="21"/>
                <w:lang w:val="en-US" w:eastAsia="zh-CN" w:bidi="ar"/>
              </w:rPr>
              <w:t>磋商</w:t>
            </w:r>
            <w:r>
              <w:rPr>
                <w:rFonts w:hint="eastAsia" w:ascii="宋体" w:hAnsi="宋体" w:eastAsia="宋体" w:cs="宋体"/>
                <w:color w:val="000000"/>
                <w:kern w:val="0"/>
                <w:sz w:val="21"/>
                <w:szCs w:val="21"/>
                <w:lang w:val="en-US" w:eastAsia="zh-CN" w:bidi="ar"/>
              </w:rPr>
              <w:t>报价</w:t>
            </w:r>
            <w:r>
              <w:rPr>
                <w:rFonts w:hint="eastAsia" w:ascii="宋体" w:hAnsi="宋体" w:cs="宋体"/>
                <w:color w:val="000000"/>
                <w:kern w:val="0"/>
                <w:sz w:val="21"/>
                <w:szCs w:val="21"/>
                <w:lang w:val="en-US" w:eastAsia="zh-CN" w:bidi="ar"/>
              </w:rPr>
              <w:t>为食堂营业额的3%的</w:t>
            </w:r>
            <w:r>
              <w:rPr>
                <w:rFonts w:hint="eastAsia" w:ascii="宋体" w:hAnsi="宋体" w:eastAsia="宋体" w:cs="宋体"/>
                <w:color w:val="000000"/>
                <w:kern w:val="0"/>
                <w:sz w:val="21"/>
                <w:szCs w:val="21"/>
                <w:lang w:val="en-US" w:eastAsia="zh-CN" w:bidi="ar"/>
              </w:rPr>
              <w:t>得</w:t>
            </w:r>
            <w:r>
              <w:t>基本分</w:t>
            </w:r>
            <w:r>
              <w:rPr>
                <w:rFonts w:hint="eastAsia"/>
                <w:lang w:val="en-US" w:eastAsia="zh-CN"/>
              </w:rPr>
              <w:t>10</w:t>
            </w:r>
            <w:r>
              <w:t>分</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最终</w:t>
            </w:r>
            <w:r>
              <w:rPr>
                <w:rFonts w:hint="eastAsia" w:ascii="宋体" w:hAnsi="宋体" w:cs="宋体"/>
                <w:color w:val="000000"/>
                <w:kern w:val="0"/>
                <w:sz w:val="21"/>
                <w:szCs w:val="21"/>
                <w:lang w:val="en-US" w:eastAsia="zh-CN" w:bidi="ar"/>
              </w:rPr>
              <w:t>磋商</w:t>
            </w:r>
            <w:r>
              <w:rPr>
                <w:rFonts w:hint="eastAsia" w:ascii="宋体" w:hAnsi="宋体" w:eastAsia="宋体" w:cs="宋体"/>
                <w:color w:val="000000"/>
                <w:kern w:val="0"/>
                <w:sz w:val="21"/>
                <w:szCs w:val="21"/>
                <w:lang w:val="en-US" w:eastAsia="zh-CN" w:bidi="ar"/>
              </w:rPr>
              <w:t>报价</w:t>
            </w:r>
            <w:r>
              <w:t>每</w:t>
            </w:r>
            <w:r>
              <w:rPr>
                <w:rFonts w:hint="eastAsia"/>
                <w:lang w:val="en-US" w:eastAsia="zh-CN"/>
              </w:rPr>
              <w:t>增加</w:t>
            </w:r>
            <w:r>
              <w:t>1%在基本分</w:t>
            </w:r>
            <w:r>
              <w:rPr>
                <w:rFonts w:hint="eastAsia"/>
                <w:lang w:val="en-US" w:eastAsia="zh-CN"/>
              </w:rPr>
              <w:t>10</w:t>
            </w:r>
            <w:r>
              <w:t>分的基础上加2</w:t>
            </w:r>
            <w:r>
              <w:rPr>
                <w:rFonts w:hint="eastAsia"/>
                <w:lang w:val="en-US" w:eastAsia="zh-CN"/>
              </w:rPr>
              <w:t>.5</w:t>
            </w:r>
            <w:r>
              <w:t>分，最多加10分</w:t>
            </w:r>
            <w:r>
              <w:rPr>
                <w:rFonts w:hint="eastAsia" w:ascii="宋体" w:hAnsi="宋体" w:eastAsia="宋体" w:cs="宋体"/>
                <w:color w:val="000000"/>
                <w:kern w:val="0"/>
                <w:sz w:val="21"/>
                <w:szCs w:val="21"/>
                <w:lang w:val="en-US" w:eastAsia="zh-CN" w:bidi="ar"/>
              </w:rPr>
              <w:t>。</w:t>
            </w:r>
          </w:p>
          <w:p>
            <w:pPr>
              <w:pStyle w:val="2"/>
              <w:rPr>
                <w:rFonts w:hint="default"/>
                <w:lang w:val="en-US" w:eastAsia="zh-CN"/>
              </w:rPr>
            </w:pPr>
            <w:r>
              <w:rPr>
                <w:rFonts w:hint="eastAsia" w:ascii="宋体" w:hAnsi="宋体" w:cs="宋体"/>
                <w:color w:val="000000"/>
                <w:kern w:val="0"/>
                <w:sz w:val="21"/>
                <w:szCs w:val="21"/>
                <w:lang w:val="en-US" w:eastAsia="zh-CN" w:bidi="ar"/>
              </w:rPr>
              <w:t>注：对小型和微型企业、监狱企业、残疾人福利性等单位的投标报价给予10%的增加，用增加后的价格（即投标报价*（1+10%））参与评审。参加本项目的中小企业应当提供《中小企业声明函》 （格式详见招标文件内《中小企业声明函》样本）。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blHeader/>
          <w:jc w:val="center"/>
        </w:trPr>
        <w:tc>
          <w:tcPr>
            <w:tcW w:w="753" w:type="dxa"/>
            <w:vMerge w:val="restart"/>
            <w:noWrap/>
            <w:vAlign w:val="center"/>
          </w:tcPr>
          <w:p>
            <w:pPr>
              <w:spacing w:line="240" w:lineRule="auto"/>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2.2.3</w:t>
            </w:r>
          </w:p>
        </w:tc>
        <w:tc>
          <w:tcPr>
            <w:tcW w:w="1095" w:type="dxa"/>
            <w:vMerge w:val="restart"/>
            <w:noWrap/>
            <w:vAlign w:val="center"/>
          </w:tcPr>
          <w:p>
            <w:pPr>
              <w:keepNext w:val="0"/>
              <w:keepLines w:val="0"/>
              <w:widowControl/>
              <w:suppressLineNumbers w:val="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 xml:space="preserve">技术部分 </w:t>
            </w:r>
          </w:p>
          <w:p>
            <w:pPr>
              <w:keepNext w:val="0"/>
              <w:keepLines w:val="0"/>
              <w:widowControl/>
              <w:suppressLineNumbers w:val="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（30 分）</w:t>
            </w:r>
          </w:p>
          <w:p>
            <w:pPr>
              <w:spacing w:line="240" w:lineRule="auto"/>
              <w:jc w:val="center"/>
              <w:rPr>
                <w:rFonts w:hint="eastAsia" w:ascii="宋体" w:hAnsi="宋体" w:eastAsia="宋体" w:cs="宋体"/>
                <w:color w:val="auto"/>
                <w:szCs w:val="21"/>
              </w:rPr>
            </w:pPr>
          </w:p>
        </w:tc>
        <w:tc>
          <w:tcPr>
            <w:tcW w:w="1470" w:type="dxa"/>
            <w:noWrap/>
            <w:vAlign w:val="center"/>
          </w:tcPr>
          <w:p>
            <w:pPr>
              <w:pStyle w:val="69"/>
              <w:spacing w:line="240" w:lineRule="auto"/>
              <w:jc w:val="center"/>
              <w:rPr>
                <w:rFonts w:hint="eastAsia" w:hAnsi="宋体"/>
                <w:color w:val="auto"/>
                <w:sz w:val="21"/>
                <w:szCs w:val="21"/>
              </w:rPr>
            </w:pPr>
            <w:r>
              <w:rPr>
                <w:rFonts w:hint="eastAsia" w:hAnsi="宋体"/>
                <w:color w:val="auto"/>
                <w:sz w:val="21"/>
                <w:szCs w:val="21"/>
                <w:lang w:val="en-US" w:eastAsia="zh-CN"/>
              </w:rPr>
              <w:t>采购</w:t>
            </w:r>
            <w:r>
              <w:rPr>
                <w:rFonts w:hint="eastAsia" w:hAnsi="宋体"/>
                <w:color w:val="auto"/>
                <w:sz w:val="21"/>
                <w:szCs w:val="21"/>
              </w:rPr>
              <w:t>需求</w:t>
            </w:r>
          </w:p>
          <w:p>
            <w:pPr>
              <w:pStyle w:val="69"/>
              <w:spacing w:line="240" w:lineRule="auto"/>
              <w:jc w:val="center"/>
              <w:rPr>
                <w:rFonts w:hint="eastAsia" w:ascii="宋体" w:hAnsi="宋体" w:eastAsia="宋体" w:cs="宋体"/>
                <w:color w:val="auto"/>
                <w:sz w:val="21"/>
                <w:szCs w:val="21"/>
                <w:lang w:val="en-US" w:eastAsia="zh-CN" w:bidi="ar-SA"/>
              </w:rPr>
            </w:pPr>
            <w:r>
              <w:rPr>
                <w:rFonts w:hint="eastAsia" w:hAnsi="宋体"/>
                <w:color w:val="auto"/>
                <w:sz w:val="21"/>
                <w:szCs w:val="21"/>
              </w:rPr>
              <w:t>（</w:t>
            </w:r>
            <w:r>
              <w:rPr>
                <w:rFonts w:hint="eastAsia" w:hAnsi="宋体"/>
                <w:color w:val="auto"/>
                <w:sz w:val="21"/>
                <w:szCs w:val="21"/>
                <w:lang w:val="en-US" w:eastAsia="zh-CN"/>
              </w:rPr>
              <w:t>20</w:t>
            </w:r>
            <w:r>
              <w:rPr>
                <w:rFonts w:hint="eastAsia" w:hAnsi="宋体"/>
                <w:color w:val="auto"/>
                <w:sz w:val="21"/>
                <w:szCs w:val="21"/>
              </w:rPr>
              <w:t>分）</w:t>
            </w:r>
          </w:p>
        </w:tc>
        <w:tc>
          <w:tcPr>
            <w:tcW w:w="5971" w:type="dxa"/>
            <w:noWrap/>
            <w:vAlign w:val="center"/>
          </w:tcPr>
          <w:p>
            <w:pPr>
              <w:pStyle w:val="69"/>
              <w:spacing w:line="320" w:lineRule="exact"/>
              <w:rPr>
                <w:rFonts w:hint="eastAsia" w:ascii="宋体" w:hAnsi="宋体" w:eastAsia="宋体" w:cs="宋体"/>
                <w:color w:val="auto"/>
                <w:sz w:val="21"/>
                <w:szCs w:val="21"/>
                <w:lang w:val="en-US" w:eastAsia="zh-CN" w:bidi="ar-SA"/>
              </w:rPr>
            </w:pPr>
            <w:r>
              <w:rPr>
                <w:rFonts w:hint="eastAsia" w:hAnsi="宋体"/>
                <w:color w:val="auto"/>
                <w:sz w:val="21"/>
                <w:szCs w:val="21"/>
              </w:rPr>
              <w:t>根据供应商对磋商文件</w:t>
            </w:r>
            <w:r>
              <w:rPr>
                <w:rFonts w:hint="eastAsia" w:hAnsi="宋体"/>
                <w:color w:val="auto"/>
                <w:sz w:val="21"/>
                <w:szCs w:val="21"/>
                <w:lang w:eastAsia="zh-CN"/>
              </w:rPr>
              <w:t>“</w:t>
            </w:r>
            <w:r>
              <w:rPr>
                <w:rFonts w:hint="eastAsia" w:hAnsi="宋体"/>
                <w:color w:val="auto"/>
                <w:sz w:val="21"/>
                <w:szCs w:val="21"/>
                <w:lang w:val="en-US" w:eastAsia="zh-CN"/>
              </w:rPr>
              <w:t>第五章采购</w:t>
            </w:r>
            <w:r>
              <w:rPr>
                <w:rFonts w:hint="eastAsia" w:hAnsi="宋体"/>
                <w:color w:val="auto"/>
                <w:sz w:val="21"/>
                <w:szCs w:val="21"/>
              </w:rPr>
              <w:t>需求</w:t>
            </w:r>
            <w:r>
              <w:rPr>
                <w:rFonts w:hint="eastAsia" w:hAnsi="宋体"/>
                <w:color w:val="auto"/>
                <w:sz w:val="21"/>
                <w:szCs w:val="21"/>
                <w:lang w:eastAsia="zh-CN"/>
              </w:rPr>
              <w:t>”</w:t>
            </w:r>
            <w:r>
              <w:rPr>
                <w:rFonts w:hint="eastAsia" w:hAnsi="宋体"/>
                <w:color w:val="auto"/>
                <w:sz w:val="21"/>
                <w:szCs w:val="21"/>
              </w:rPr>
              <w:t>的响应情况，对照判断</w:t>
            </w:r>
            <w:r>
              <w:rPr>
                <w:rFonts w:hint="eastAsia" w:hAnsi="宋体"/>
                <w:color w:val="auto"/>
                <w:sz w:val="21"/>
                <w:szCs w:val="21"/>
                <w:lang w:val="en-US" w:eastAsia="zh-CN"/>
              </w:rPr>
              <w:t>响应</w:t>
            </w:r>
            <w:r>
              <w:rPr>
                <w:rFonts w:hint="eastAsia" w:hAnsi="宋体"/>
                <w:color w:val="auto"/>
                <w:sz w:val="21"/>
                <w:szCs w:val="21"/>
              </w:rPr>
              <w:t>文件内容是否满足磋商文件要求，全部满足或优于磋商文件要求的得满分</w:t>
            </w:r>
            <w:r>
              <w:rPr>
                <w:rFonts w:hint="eastAsia" w:hAnsi="宋体"/>
                <w:color w:val="auto"/>
                <w:sz w:val="21"/>
                <w:szCs w:val="21"/>
                <w:lang w:val="en-US" w:eastAsia="zh-CN"/>
              </w:rPr>
              <w:t>2</w:t>
            </w:r>
            <w:r>
              <w:rPr>
                <w:rFonts w:hint="eastAsia" w:hAnsi="宋体"/>
                <w:color w:val="auto"/>
                <w:sz w:val="21"/>
                <w:szCs w:val="21"/>
              </w:rPr>
              <w:t>0分。有一条不满足的扣</w:t>
            </w:r>
            <w:r>
              <w:rPr>
                <w:rFonts w:hint="eastAsia" w:hAnsi="宋体"/>
                <w:color w:val="auto"/>
                <w:sz w:val="21"/>
                <w:szCs w:val="21"/>
                <w:lang w:val="en-US" w:eastAsia="zh-CN"/>
              </w:rPr>
              <w:t>2</w:t>
            </w:r>
            <w:r>
              <w:rPr>
                <w:rFonts w:hint="eastAsia" w:hAnsi="宋体"/>
                <w:color w:val="auto"/>
                <w:sz w:val="21"/>
                <w:szCs w:val="21"/>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blHeader/>
          <w:jc w:val="center"/>
        </w:trPr>
        <w:tc>
          <w:tcPr>
            <w:tcW w:w="753" w:type="dxa"/>
            <w:vMerge w:val="continue"/>
            <w:noWrap/>
            <w:vAlign w:val="center"/>
          </w:tcPr>
          <w:p>
            <w:pPr>
              <w:spacing w:line="240" w:lineRule="auto"/>
              <w:jc w:val="center"/>
              <w:rPr>
                <w:rFonts w:hint="eastAsia" w:ascii="宋体" w:hAnsi="宋体" w:cs="宋体"/>
                <w:color w:val="auto"/>
                <w:szCs w:val="21"/>
                <w:lang w:val="en-US" w:eastAsia="zh-CN"/>
              </w:rPr>
            </w:pPr>
          </w:p>
        </w:tc>
        <w:tc>
          <w:tcPr>
            <w:tcW w:w="1095" w:type="dxa"/>
            <w:vMerge w:val="continue"/>
            <w:noWrap/>
            <w:vAlign w:val="center"/>
          </w:tcPr>
          <w:p>
            <w:pPr>
              <w:spacing w:line="240" w:lineRule="auto"/>
              <w:jc w:val="center"/>
              <w:rPr>
                <w:rFonts w:hint="eastAsia" w:ascii="宋体" w:hAnsi="宋体" w:eastAsia="宋体" w:cs="宋体"/>
                <w:color w:val="auto"/>
                <w:szCs w:val="21"/>
              </w:rPr>
            </w:pPr>
          </w:p>
        </w:tc>
        <w:tc>
          <w:tcPr>
            <w:tcW w:w="1470" w:type="dxa"/>
            <w:noWrap/>
            <w:vAlign w:val="center"/>
          </w:tcPr>
          <w:p>
            <w:pPr>
              <w:keepNext w:val="0"/>
              <w:keepLines w:val="0"/>
              <w:widowControl/>
              <w:suppressLineNumbers w:val="0"/>
              <w:spacing w:line="24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000000"/>
                <w:kern w:val="0"/>
                <w:sz w:val="21"/>
                <w:szCs w:val="21"/>
                <w:lang w:val="en-US" w:eastAsia="zh-CN" w:bidi="ar"/>
              </w:rPr>
              <w:t>餐厅经营方案及人员管理服务方案（</w:t>
            </w:r>
            <w:r>
              <w:rPr>
                <w:rFonts w:hint="eastAsia" w:ascii="宋体" w:hAnsi="宋体" w:cs="宋体"/>
                <w:color w:val="000000"/>
                <w:kern w:val="0"/>
                <w:sz w:val="21"/>
                <w:szCs w:val="21"/>
                <w:lang w:val="en-US" w:eastAsia="zh-CN" w:bidi="ar"/>
              </w:rPr>
              <w:t>4</w:t>
            </w:r>
            <w:r>
              <w:rPr>
                <w:rFonts w:hint="eastAsia" w:ascii="宋体" w:hAnsi="宋体" w:eastAsia="宋体" w:cs="宋体"/>
                <w:color w:val="000000"/>
                <w:kern w:val="0"/>
                <w:sz w:val="21"/>
                <w:szCs w:val="21"/>
                <w:lang w:val="en-US" w:eastAsia="zh-CN" w:bidi="ar"/>
              </w:rPr>
              <w:t>分）</w:t>
            </w:r>
          </w:p>
        </w:tc>
        <w:tc>
          <w:tcPr>
            <w:tcW w:w="5971" w:type="dxa"/>
            <w:noWrap/>
            <w:vAlign w:val="center"/>
          </w:tcPr>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提供合理的经营服务方案（应包含但不限于经营模式、明确成本核算及利润控制区间、明确餐饮服务标准）及人员管理服务方案（应包含但不限于人员职责与管理方案、人员配置方案）；</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方案内容全面完整，可操作性强，得</w:t>
            </w:r>
            <w:r>
              <w:rPr>
                <w:rFonts w:hint="eastAsia" w:ascii="宋体" w:hAnsi="宋体" w:cs="宋体"/>
                <w:color w:val="000000"/>
                <w:kern w:val="0"/>
                <w:sz w:val="21"/>
                <w:szCs w:val="21"/>
                <w:lang w:val="en-US" w:eastAsia="zh-CN" w:bidi="ar"/>
              </w:rPr>
              <w:t>4</w:t>
            </w:r>
            <w:r>
              <w:rPr>
                <w:rFonts w:hint="eastAsia" w:ascii="宋体" w:hAnsi="宋体" w:eastAsia="宋体" w:cs="宋体"/>
                <w:color w:val="000000"/>
                <w:kern w:val="0"/>
                <w:sz w:val="21"/>
                <w:szCs w:val="21"/>
                <w:lang w:val="en-US" w:eastAsia="zh-CN" w:bidi="ar"/>
              </w:rPr>
              <w:t xml:space="preserve">分。 </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方案内容基本完整，有一定的操作性，得</w:t>
            </w:r>
            <w:r>
              <w:rPr>
                <w:rFonts w:hint="eastAsia" w:ascii="宋体" w:hAnsi="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分。</w:t>
            </w:r>
          </w:p>
          <w:p>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方案内容不完整，操作性一般，得1分，缺项不得分。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blHeader/>
          <w:jc w:val="center"/>
        </w:trPr>
        <w:tc>
          <w:tcPr>
            <w:tcW w:w="753" w:type="dxa"/>
            <w:vMerge w:val="continue"/>
            <w:noWrap/>
            <w:vAlign w:val="center"/>
          </w:tcPr>
          <w:p>
            <w:pPr>
              <w:spacing w:line="240" w:lineRule="auto"/>
              <w:jc w:val="center"/>
              <w:rPr>
                <w:rFonts w:hint="eastAsia" w:ascii="宋体" w:hAnsi="宋体" w:eastAsia="宋体" w:cs="宋体"/>
                <w:color w:val="auto"/>
                <w:szCs w:val="21"/>
              </w:rPr>
            </w:pPr>
          </w:p>
        </w:tc>
        <w:tc>
          <w:tcPr>
            <w:tcW w:w="1095" w:type="dxa"/>
            <w:vMerge w:val="continue"/>
            <w:noWrap/>
            <w:vAlign w:val="center"/>
          </w:tcPr>
          <w:p>
            <w:pPr>
              <w:spacing w:line="240" w:lineRule="auto"/>
              <w:jc w:val="center"/>
              <w:rPr>
                <w:rFonts w:hint="eastAsia" w:ascii="宋体" w:hAnsi="宋体" w:eastAsia="宋体" w:cs="宋体"/>
                <w:color w:val="auto"/>
                <w:szCs w:val="21"/>
              </w:rPr>
            </w:pPr>
          </w:p>
        </w:tc>
        <w:tc>
          <w:tcPr>
            <w:tcW w:w="1470" w:type="dxa"/>
            <w:noWrap/>
            <w:vAlign w:val="center"/>
          </w:tcPr>
          <w:p>
            <w:pPr>
              <w:keepNext w:val="0"/>
              <w:keepLines w:val="0"/>
              <w:widowControl/>
              <w:suppressLineNumbers w:val="0"/>
              <w:spacing w:line="240" w:lineRule="auto"/>
              <w:jc w:val="center"/>
              <w:rPr>
                <w:rFonts w:hint="eastAsia" w:ascii="Times New Roman" w:hAnsi="Times New Roman" w:eastAsia="宋体" w:cs="宋体"/>
                <w:b w:val="0"/>
                <w:color w:val="auto"/>
                <w:kern w:val="2"/>
                <w:sz w:val="21"/>
                <w:szCs w:val="24"/>
                <w:lang w:val="en-US" w:eastAsia="zh-CN" w:bidi="ar-SA"/>
              </w:rPr>
            </w:pPr>
            <w:r>
              <w:rPr>
                <w:rFonts w:hint="eastAsia" w:ascii="宋体" w:hAnsi="宋体" w:eastAsia="宋体" w:cs="宋体"/>
                <w:color w:val="000000"/>
                <w:kern w:val="0"/>
                <w:sz w:val="21"/>
                <w:szCs w:val="21"/>
                <w:lang w:val="en-US" w:eastAsia="zh-CN" w:bidi="ar"/>
              </w:rPr>
              <w:t>卫生保障管理方案及饮食质量保障（</w:t>
            </w:r>
            <w:r>
              <w:rPr>
                <w:rFonts w:hint="eastAsia" w:ascii="宋体" w:hAnsi="宋体" w:cs="宋体"/>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分）</w:t>
            </w:r>
          </w:p>
        </w:tc>
        <w:tc>
          <w:tcPr>
            <w:tcW w:w="5971" w:type="dxa"/>
            <w:noWrap/>
            <w:vAlign w:val="center"/>
          </w:tcPr>
          <w:p>
            <w:pPr>
              <w:spacing w:line="240" w:lineRule="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卫生保障管理方案（应包含但不限于食品卫生，人员卫生，环境卫生， 垃圾处理等）；饮食质量保障方案（应包含但不限于提供食品营养与健康保障方案、食品种类及搭配方案）；</w:t>
            </w:r>
          </w:p>
          <w:p>
            <w:pPr>
              <w:spacing w:line="240" w:lineRule="auto"/>
              <w:rPr>
                <w:rFonts w:ascii="宋体" w:hAnsi="宋体" w:cs="宋体"/>
                <w:bCs/>
                <w:sz w:val="21"/>
              </w:rPr>
            </w:pPr>
            <w:r>
              <w:rPr>
                <w:rFonts w:hint="eastAsia" w:ascii="宋体" w:hAnsi="宋体" w:eastAsia="宋体" w:cs="宋体"/>
                <w:color w:val="000000"/>
                <w:kern w:val="0"/>
                <w:sz w:val="21"/>
                <w:szCs w:val="21"/>
                <w:lang w:val="en-US" w:eastAsia="zh-CN" w:bidi="ar"/>
              </w:rPr>
              <w:t>方案</w:t>
            </w:r>
            <w:r>
              <w:rPr>
                <w:rFonts w:hint="eastAsia" w:ascii="宋体" w:hAnsi="宋体" w:cs="宋体"/>
                <w:bCs/>
                <w:sz w:val="21"/>
              </w:rPr>
              <w:t>内容全面完整，可操作性强，得</w:t>
            </w:r>
            <w:r>
              <w:rPr>
                <w:rFonts w:hint="eastAsia" w:ascii="宋体" w:hAnsi="宋体" w:cs="宋体"/>
                <w:bCs/>
                <w:sz w:val="21"/>
                <w:lang w:val="en-US" w:eastAsia="zh-CN"/>
              </w:rPr>
              <w:t>3</w:t>
            </w:r>
            <w:r>
              <w:rPr>
                <w:rFonts w:hint="eastAsia" w:ascii="宋体" w:hAnsi="宋体" w:cs="宋体"/>
                <w:bCs/>
                <w:sz w:val="21"/>
              </w:rPr>
              <w:t xml:space="preserve">分。 </w:t>
            </w:r>
          </w:p>
          <w:p>
            <w:pPr>
              <w:spacing w:line="240" w:lineRule="auto"/>
              <w:rPr>
                <w:rFonts w:ascii="宋体" w:hAnsi="宋体" w:cs="宋体"/>
                <w:bCs/>
                <w:sz w:val="21"/>
              </w:rPr>
            </w:pPr>
            <w:r>
              <w:rPr>
                <w:rFonts w:hint="eastAsia" w:ascii="宋体" w:hAnsi="宋体" w:eastAsia="宋体" w:cs="宋体"/>
                <w:color w:val="000000"/>
                <w:kern w:val="0"/>
                <w:sz w:val="21"/>
                <w:szCs w:val="21"/>
                <w:lang w:val="en-US" w:eastAsia="zh-CN" w:bidi="ar"/>
              </w:rPr>
              <w:t>方案</w:t>
            </w:r>
            <w:r>
              <w:rPr>
                <w:rFonts w:hint="eastAsia" w:ascii="宋体" w:hAnsi="宋体" w:cs="宋体"/>
                <w:bCs/>
                <w:sz w:val="21"/>
              </w:rPr>
              <w:t>内容基本完整，有一定的操作性，得</w:t>
            </w:r>
            <w:r>
              <w:rPr>
                <w:rFonts w:hint="eastAsia" w:ascii="宋体" w:hAnsi="宋体" w:cs="宋体"/>
                <w:bCs/>
                <w:sz w:val="21"/>
                <w:lang w:val="en-US" w:eastAsia="zh-CN"/>
              </w:rPr>
              <w:t>2</w:t>
            </w:r>
            <w:r>
              <w:rPr>
                <w:rFonts w:hint="eastAsia" w:ascii="宋体" w:hAnsi="宋体" w:cs="宋体"/>
                <w:bCs/>
                <w:sz w:val="21"/>
              </w:rPr>
              <w:t>分。</w:t>
            </w:r>
          </w:p>
          <w:p>
            <w:pPr>
              <w:keepNext w:val="0"/>
              <w:keepLines w:val="0"/>
              <w:widowControl/>
              <w:suppressLineNumbers w:val="0"/>
              <w:spacing w:line="240" w:lineRule="auto"/>
              <w:jc w:val="left"/>
              <w:rPr>
                <w:rFonts w:hint="eastAsia" w:ascii="Times New Roman" w:hAnsi="Times New Roman" w:eastAsia="宋体" w:cs="宋体"/>
                <w:b w:val="0"/>
                <w:color w:val="auto"/>
                <w:kern w:val="2"/>
                <w:sz w:val="21"/>
                <w:szCs w:val="24"/>
                <w:lang w:val="en-US" w:eastAsia="zh-CN" w:bidi="ar-SA"/>
              </w:rPr>
            </w:pPr>
            <w:r>
              <w:rPr>
                <w:rFonts w:hint="eastAsia" w:ascii="宋体" w:hAnsi="宋体" w:eastAsia="宋体" w:cs="宋体"/>
                <w:color w:val="000000"/>
                <w:kern w:val="0"/>
                <w:sz w:val="21"/>
                <w:szCs w:val="21"/>
                <w:lang w:val="en-US" w:eastAsia="zh-CN" w:bidi="ar"/>
              </w:rPr>
              <w:t>方案</w:t>
            </w:r>
            <w:r>
              <w:rPr>
                <w:rFonts w:hint="eastAsia" w:ascii="宋体" w:hAnsi="宋体" w:cs="宋体"/>
                <w:bCs/>
                <w:sz w:val="21"/>
              </w:rPr>
              <w:t>内容不完整，操作性一般，得</w:t>
            </w:r>
            <w:r>
              <w:rPr>
                <w:rFonts w:hint="eastAsia" w:ascii="宋体" w:hAnsi="宋体" w:cs="宋体"/>
                <w:bCs/>
                <w:sz w:val="21"/>
                <w:lang w:val="en-US" w:eastAsia="zh-CN"/>
              </w:rPr>
              <w:t>1</w:t>
            </w:r>
            <w:r>
              <w:rPr>
                <w:rFonts w:hint="eastAsia" w:ascii="宋体" w:hAnsi="宋体" w:cs="宋体"/>
                <w:bCs/>
                <w:sz w:val="21"/>
              </w:rPr>
              <w:t>分，缺项不得分。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blHeader/>
          <w:jc w:val="center"/>
        </w:trPr>
        <w:tc>
          <w:tcPr>
            <w:tcW w:w="753" w:type="dxa"/>
            <w:vMerge w:val="continue"/>
            <w:noWrap/>
            <w:vAlign w:val="center"/>
          </w:tcPr>
          <w:p>
            <w:pPr>
              <w:spacing w:line="240" w:lineRule="auto"/>
              <w:rPr>
                <w:rFonts w:ascii="宋体" w:hAnsi="宋体" w:eastAsia="宋体" w:cs="宋体"/>
                <w:color w:val="auto"/>
                <w:szCs w:val="21"/>
              </w:rPr>
            </w:pPr>
          </w:p>
        </w:tc>
        <w:tc>
          <w:tcPr>
            <w:tcW w:w="1095" w:type="dxa"/>
            <w:vMerge w:val="continue"/>
            <w:noWrap/>
            <w:vAlign w:val="top"/>
          </w:tcPr>
          <w:p>
            <w:pPr>
              <w:spacing w:line="240" w:lineRule="auto"/>
              <w:rPr>
                <w:rFonts w:ascii="宋体" w:hAnsi="宋体" w:eastAsia="宋体" w:cs="宋体"/>
                <w:color w:val="auto"/>
                <w:szCs w:val="21"/>
              </w:rPr>
            </w:pPr>
          </w:p>
        </w:tc>
        <w:tc>
          <w:tcPr>
            <w:tcW w:w="1470" w:type="dxa"/>
            <w:noWrap/>
            <w:vAlign w:val="center"/>
          </w:tcPr>
          <w:p>
            <w:pPr>
              <w:keepNext w:val="0"/>
              <w:keepLines w:val="0"/>
              <w:widowControl/>
              <w:suppressLineNumbers w:val="0"/>
              <w:spacing w:line="240" w:lineRule="auto"/>
              <w:jc w:val="center"/>
            </w:pPr>
            <w:r>
              <w:rPr>
                <w:rFonts w:hint="eastAsia" w:ascii="宋体" w:hAnsi="宋体" w:eastAsia="宋体" w:cs="宋体"/>
                <w:color w:val="000000"/>
                <w:kern w:val="0"/>
                <w:sz w:val="21"/>
                <w:szCs w:val="21"/>
                <w:lang w:val="en-US" w:eastAsia="zh-CN" w:bidi="ar"/>
              </w:rPr>
              <w:t>应急预案方案及投诉处理方案</w:t>
            </w:r>
          </w:p>
          <w:p>
            <w:pPr>
              <w:keepNext w:val="0"/>
              <w:keepLines w:val="0"/>
              <w:widowControl/>
              <w:suppressLineNumbers w:val="0"/>
              <w:spacing w:line="240" w:lineRule="auto"/>
              <w:jc w:val="center"/>
              <w:rPr>
                <w:rFonts w:hint="eastAsia" w:ascii="Times New Roman" w:hAnsi="Times New Roman" w:eastAsia="宋体" w:cs="宋体"/>
                <w:b w:val="0"/>
                <w:color w:val="auto"/>
                <w:kern w:val="2"/>
                <w:sz w:val="21"/>
                <w:szCs w:val="24"/>
                <w:lang w:val="en-US" w:eastAsia="zh-CN" w:bidi="ar-SA"/>
              </w:rPr>
            </w:pPr>
            <w:r>
              <w:rPr>
                <w:rFonts w:hint="eastAsia" w:ascii="宋体" w:hAnsi="宋体" w:eastAsia="宋体" w:cs="宋体"/>
                <w:color w:val="000000"/>
                <w:kern w:val="0"/>
                <w:sz w:val="21"/>
                <w:szCs w:val="21"/>
                <w:lang w:val="en-US" w:eastAsia="zh-CN" w:bidi="ar"/>
              </w:rPr>
              <w:t>（</w:t>
            </w:r>
            <w:r>
              <w:rPr>
                <w:rFonts w:hint="eastAsia" w:ascii="宋体" w:hAnsi="宋体" w:cs="宋体"/>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分）</w:t>
            </w:r>
          </w:p>
        </w:tc>
        <w:tc>
          <w:tcPr>
            <w:tcW w:w="5971" w:type="dxa"/>
            <w:noWrap/>
            <w:vAlign w:val="center"/>
          </w:tcPr>
          <w:p>
            <w:pPr>
              <w:spacing w:line="240" w:lineRule="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突发事件（应包括但不限于食物中毒、火灾、群体事件、疑似食物中毒、疫情防控、现场安全事故、自然灾害、 </w:t>
            </w:r>
          </w:p>
          <w:p>
            <w:pPr>
              <w:spacing w:line="240" w:lineRule="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消防疏散、停水、停电、停气或临时大型供餐活动等情况）及投诉处理应急方案；</w:t>
            </w:r>
          </w:p>
          <w:p>
            <w:pPr>
              <w:spacing w:line="240" w:lineRule="auto"/>
              <w:rPr>
                <w:rFonts w:ascii="宋体" w:hAnsi="宋体" w:cs="宋体"/>
                <w:bCs/>
                <w:sz w:val="21"/>
              </w:rPr>
            </w:pPr>
            <w:r>
              <w:rPr>
                <w:rFonts w:hint="eastAsia" w:ascii="宋体" w:hAnsi="宋体" w:eastAsia="宋体" w:cs="宋体"/>
                <w:color w:val="000000"/>
                <w:kern w:val="0"/>
                <w:sz w:val="21"/>
                <w:szCs w:val="21"/>
                <w:lang w:val="en-US" w:eastAsia="zh-CN" w:bidi="ar"/>
              </w:rPr>
              <w:t>方案</w:t>
            </w:r>
            <w:r>
              <w:rPr>
                <w:rFonts w:hint="eastAsia" w:ascii="宋体" w:hAnsi="宋体" w:cs="宋体"/>
                <w:bCs/>
                <w:sz w:val="21"/>
              </w:rPr>
              <w:t>内容全面完整，可操作性强，得</w:t>
            </w:r>
            <w:r>
              <w:rPr>
                <w:rFonts w:hint="eastAsia" w:ascii="宋体" w:hAnsi="宋体" w:cs="宋体"/>
                <w:bCs/>
                <w:sz w:val="21"/>
                <w:lang w:val="en-US" w:eastAsia="zh-CN"/>
              </w:rPr>
              <w:t>3</w:t>
            </w:r>
            <w:r>
              <w:rPr>
                <w:rFonts w:hint="eastAsia" w:ascii="宋体" w:hAnsi="宋体" w:cs="宋体"/>
                <w:bCs/>
                <w:sz w:val="21"/>
              </w:rPr>
              <w:t xml:space="preserve">分。 </w:t>
            </w:r>
          </w:p>
          <w:p>
            <w:pPr>
              <w:spacing w:line="240" w:lineRule="auto"/>
              <w:rPr>
                <w:rFonts w:ascii="宋体" w:hAnsi="宋体" w:cs="宋体"/>
                <w:bCs/>
                <w:sz w:val="21"/>
              </w:rPr>
            </w:pPr>
            <w:r>
              <w:rPr>
                <w:rFonts w:hint="eastAsia" w:ascii="宋体" w:hAnsi="宋体" w:eastAsia="宋体" w:cs="宋体"/>
                <w:color w:val="000000"/>
                <w:kern w:val="0"/>
                <w:sz w:val="21"/>
                <w:szCs w:val="21"/>
                <w:lang w:val="en-US" w:eastAsia="zh-CN" w:bidi="ar"/>
              </w:rPr>
              <w:t>方案</w:t>
            </w:r>
            <w:r>
              <w:rPr>
                <w:rFonts w:hint="eastAsia" w:ascii="宋体" w:hAnsi="宋体" w:cs="宋体"/>
                <w:bCs/>
                <w:sz w:val="21"/>
              </w:rPr>
              <w:t>内容基本完整，有一定的操作性，得</w:t>
            </w:r>
            <w:r>
              <w:rPr>
                <w:rFonts w:hint="eastAsia" w:ascii="宋体" w:hAnsi="宋体" w:cs="宋体"/>
                <w:bCs/>
                <w:sz w:val="21"/>
                <w:lang w:val="en-US" w:eastAsia="zh-CN"/>
              </w:rPr>
              <w:t>2</w:t>
            </w:r>
            <w:r>
              <w:rPr>
                <w:rFonts w:hint="eastAsia" w:ascii="宋体" w:hAnsi="宋体" w:cs="宋体"/>
                <w:bCs/>
                <w:sz w:val="21"/>
              </w:rPr>
              <w:t>分。</w:t>
            </w:r>
          </w:p>
          <w:p>
            <w:pPr>
              <w:keepNext w:val="0"/>
              <w:keepLines w:val="0"/>
              <w:widowControl/>
              <w:suppressLineNumbers w:val="0"/>
              <w:spacing w:line="240" w:lineRule="auto"/>
              <w:jc w:val="left"/>
              <w:rPr>
                <w:rFonts w:hint="eastAsia" w:ascii="Times New Roman" w:hAnsi="Times New Roman" w:eastAsia="宋体" w:cs="宋体"/>
                <w:b w:val="0"/>
                <w:color w:val="auto"/>
                <w:kern w:val="2"/>
                <w:sz w:val="21"/>
                <w:szCs w:val="24"/>
                <w:lang w:val="en-US" w:eastAsia="zh-CN" w:bidi="ar-SA"/>
              </w:rPr>
            </w:pPr>
            <w:r>
              <w:rPr>
                <w:rFonts w:hint="eastAsia" w:ascii="宋体" w:hAnsi="宋体" w:eastAsia="宋体" w:cs="宋体"/>
                <w:color w:val="000000"/>
                <w:kern w:val="0"/>
                <w:sz w:val="21"/>
                <w:szCs w:val="21"/>
                <w:lang w:val="en-US" w:eastAsia="zh-CN" w:bidi="ar"/>
              </w:rPr>
              <w:t>方案</w:t>
            </w:r>
            <w:r>
              <w:rPr>
                <w:rFonts w:hint="eastAsia" w:ascii="宋体" w:hAnsi="宋体" w:cs="宋体"/>
                <w:bCs/>
                <w:sz w:val="21"/>
              </w:rPr>
              <w:t>内容不完整，操作性一般，得</w:t>
            </w:r>
            <w:r>
              <w:rPr>
                <w:rFonts w:hint="eastAsia" w:ascii="宋体" w:hAnsi="宋体" w:cs="宋体"/>
                <w:bCs/>
                <w:sz w:val="21"/>
                <w:lang w:val="en-US" w:eastAsia="zh-CN"/>
              </w:rPr>
              <w:t>1</w:t>
            </w:r>
            <w:r>
              <w:rPr>
                <w:rFonts w:hint="eastAsia" w:ascii="宋体" w:hAnsi="宋体" w:cs="宋体"/>
                <w:bCs/>
                <w:sz w:val="21"/>
              </w:rPr>
              <w:t>分，缺项不得分。</w:t>
            </w:r>
            <w:r>
              <w:rPr>
                <w:rFonts w:hint="eastAsia" w:ascii="宋体" w:hAnsi="宋体" w:eastAsia="宋体" w:cs="宋体"/>
                <w:color w:val="000000"/>
                <w:kern w:val="0"/>
                <w:sz w:val="21"/>
                <w:szCs w:val="21"/>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blHeader/>
          <w:jc w:val="center"/>
        </w:trPr>
        <w:tc>
          <w:tcPr>
            <w:tcW w:w="753" w:type="dxa"/>
            <w:vMerge w:val="restart"/>
            <w:noWrap/>
            <w:vAlign w:val="center"/>
          </w:tcPr>
          <w:p>
            <w:pPr>
              <w:spacing w:line="240" w:lineRule="auto"/>
              <w:jc w:val="center"/>
              <w:rPr>
                <w:rFonts w:ascii="宋体" w:hAnsi="宋体" w:eastAsia="宋体" w:cs="宋体"/>
                <w:color w:val="auto"/>
                <w:szCs w:val="21"/>
              </w:rPr>
            </w:pPr>
            <w:r>
              <w:rPr>
                <w:rFonts w:hint="eastAsia" w:ascii="宋体" w:hAnsi="宋体" w:eastAsia="宋体" w:cs="宋体"/>
                <w:color w:val="auto"/>
                <w:szCs w:val="21"/>
              </w:rPr>
              <w:t>2.2.4</w:t>
            </w:r>
          </w:p>
        </w:tc>
        <w:tc>
          <w:tcPr>
            <w:tcW w:w="1095" w:type="dxa"/>
            <w:vMerge w:val="restart"/>
            <w:noWrap/>
            <w:vAlign w:val="center"/>
          </w:tcPr>
          <w:p>
            <w:pPr>
              <w:spacing w:line="240" w:lineRule="auto"/>
              <w:jc w:val="center"/>
              <w:rPr>
                <w:rFonts w:ascii="宋体" w:hAnsi="宋体" w:eastAsia="宋体" w:cs="宋体"/>
                <w:color w:val="auto"/>
                <w:szCs w:val="21"/>
              </w:rPr>
            </w:pPr>
            <w:r>
              <w:rPr>
                <w:rFonts w:hint="eastAsia" w:ascii="宋体" w:hAnsi="宋体" w:eastAsia="宋体" w:cs="宋体"/>
                <w:color w:val="auto"/>
                <w:szCs w:val="21"/>
              </w:rPr>
              <w:t>综合部分（</w:t>
            </w:r>
            <w:r>
              <w:rPr>
                <w:rFonts w:hint="eastAsia" w:ascii="宋体" w:hAnsi="宋体" w:cs="宋体"/>
                <w:color w:val="auto"/>
                <w:szCs w:val="21"/>
                <w:lang w:val="en-US" w:eastAsia="zh-CN"/>
              </w:rPr>
              <w:t>50</w:t>
            </w:r>
            <w:r>
              <w:rPr>
                <w:rFonts w:hint="eastAsia" w:ascii="宋体" w:hAnsi="宋体" w:eastAsia="宋体" w:cs="宋体"/>
                <w:color w:val="auto"/>
                <w:szCs w:val="21"/>
              </w:rPr>
              <w:t>分）</w:t>
            </w:r>
          </w:p>
        </w:tc>
        <w:tc>
          <w:tcPr>
            <w:tcW w:w="1470" w:type="dxa"/>
            <w:noWrap/>
            <w:tcMar>
              <w:left w:w="57" w:type="dxa"/>
              <w:right w:w="57" w:type="dxa"/>
            </w:tcMar>
            <w:vAlign w:val="center"/>
          </w:tcPr>
          <w:p>
            <w:pPr>
              <w:spacing w:line="240" w:lineRule="auto"/>
              <w:jc w:val="center"/>
              <w:rPr>
                <w:rFonts w:hint="eastAsia" w:ascii="宋体" w:hAnsi="宋体" w:cs="宋体"/>
                <w:color w:val="auto"/>
                <w:szCs w:val="21"/>
                <w:lang w:val="en-US" w:eastAsia="zh-CN"/>
              </w:rPr>
            </w:pPr>
            <w:r>
              <w:rPr>
                <w:rFonts w:hint="eastAsia" w:ascii="宋体" w:hAnsi="宋体" w:cs="宋体"/>
                <w:color w:val="auto"/>
                <w:szCs w:val="21"/>
                <w:lang w:val="en-US" w:eastAsia="zh-CN"/>
              </w:rPr>
              <w:t>企业业绩</w:t>
            </w:r>
          </w:p>
          <w:p>
            <w:pPr>
              <w:spacing w:line="240" w:lineRule="auto"/>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（24分）</w:t>
            </w:r>
          </w:p>
        </w:tc>
        <w:tc>
          <w:tcPr>
            <w:tcW w:w="5971" w:type="dxa"/>
            <w:noWrap/>
            <w:vAlign w:val="center"/>
          </w:tcPr>
          <w:p>
            <w:pPr>
              <w:spacing w:line="240" w:lineRule="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1、供应商自2019年1月1日以来（以</w:t>
            </w:r>
            <w:r>
              <w:rPr>
                <w:rFonts w:hint="eastAsia" w:ascii="宋体" w:hAnsi="宋体" w:cs="宋体"/>
                <w:color w:val="000000"/>
                <w:kern w:val="0"/>
                <w:sz w:val="21"/>
                <w:szCs w:val="21"/>
                <w:lang w:val="en-US" w:eastAsia="zh-CN" w:bidi="ar"/>
              </w:rPr>
              <w:t>合同</w:t>
            </w:r>
            <w:r>
              <w:rPr>
                <w:rFonts w:hint="eastAsia" w:ascii="宋体" w:hAnsi="宋体" w:eastAsia="宋体" w:cs="宋体"/>
                <w:color w:val="000000"/>
                <w:kern w:val="0"/>
                <w:sz w:val="21"/>
                <w:szCs w:val="21"/>
                <w:lang w:val="en-US" w:eastAsia="zh-CN" w:bidi="ar"/>
              </w:rPr>
              <w:t>签订日期为准）承担过（或正在承担的） 类似项目业绩，每提供一份（中标合同</w:t>
            </w:r>
            <w:r>
              <w:rPr>
                <w:rFonts w:hint="eastAsia" w:ascii="宋体" w:hAnsi="宋体" w:cs="宋体"/>
                <w:color w:val="000000"/>
                <w:kern w:val="0"/>
                <w:sz w:val="21"/>
                <w:szCs w:val="21"/>
                <w:lang w:val="en-US" w:eastAsia="zh-CN" w:bidi="ar"/>
              </w:rPr>
              <w:t>原件</w:t>
            </w:r>
            <w:r>
              <w:rPr>
                <w:rFonts w:hint="eastAsia" w:ascii="宋体" w:hAnsi="宋体" w:eastAsia="宋体" w:cs="宋体"/>
                <w:color w:val="000000"/>
                <w:kern w:val="0"/>
                <w:sz w:val="21"/>
                <w:szCs w:val="21"/>
                <w:lang w:val="en-US" w:eastAsia="zh-CN" w:bidi="ar"/>
              </w:rPr>
              <w:t xml:space="preserve">扫描件）得 </w:t>
            </w:r>
            <w:r>
              <w:rPr>
                <w:rFonts w:hint="eastAsia" w:ascii="宋体" w:hAnsi="宋体" w:cs="宋体"/>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 xml:space="preserve"> 分，满分得 </w:t>
            </w:r>
            <w:r>
              <w:rPr>
                <w:rFonts w:hint="eastAsia" w:ascii="宋体" w:hAnsi="宋体" w:cs="宋体"/>
                <w:color w:val="000000"/>
                <w:kern w:val="0"/>
                <w:sz w:val="21"/>
                <w:szCs w:val="21"/>
                <w:lang w:val="en-US" w:eastAsia="zh-CN" w:bidi="ar"/>
              </w:rPr>
              <w:t>18</w:t>
            </w:r>
            <w:r>
              <w:rPr>
                <w:rFonts w:hint="eastAsia" w:ascii="宋体" w:hAnsi="宋体" w:eastAsia="宋体" w:cs="宋体"/>
                <w:color w:val="000000"/>
                <w:kern w:val="0"/>
                <w:sz w:val="21"/>
                <w:szCs w:val="21"/>
                <w:lang w:val="en-US" w:eastAsia="zh-CN" w:bidi="ar"/>
              </w:rPr>
              <w:t>分。</w:t>
            </w:r>
          </w:p>
          <w:p>
            <w:pPr>
              <w:spacing w:line="240" w:lineRule="auto"/>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2、供应商提供近两年服务过程中无食物中毒、火灾、生产事故、重大投诉等情况的书面承诺得</w:t>
            </w:r>
            <w:r>
              <w:rPr>
                <w:rFonts w:hint="eastAsia" w:ascii="宋体" w:hAnsi="宋体" w:cs="宋体"/>
                <w:color w:val="000000"/>
                <w:kern w:val="0"/>
                <w:sz w:val="21"/>
                <w:szCs w:val="21"/>
                <w:lang w:val="en-US" w:eastAsia="zh-CN" w:bidi="ar"/>
              </w:rPr>
              <w:t>6</w:t>
            </w:r>
            <w:r>
              <w:rPr>
                <w:rFonts w:hint="eastAsia" w:ascii="宋体" w:hAnsi="宋体" w:eastAsia="宋体" w:cs="宋体"/>
                <w:color w:val="000000"/>
                <w:kern w:val="0"/>
                <w:sz w:val="21"/>
                <w:szCs w:val="21"/>
                <w:lang w:val="en-US" w:eastAsia="zh-CN" w:bidi="ar"/>
              </w:rPr>
              <w:t>分，不提供不得分</w:t>
            </w:r>
            <w:r>
              <w:rPr>
                <w:rFonts w:hint="eastAsia" w:ascii="宋体" w:hAnsi="宋体" w:cs="宋体"/>
                <w:color w:val="000000"/>
                <w:kern w:val="0"/>
                <w:sz w:val="21"/>
                <w:szCs w:val="21"/>
                <w:lang w:val="en-US" w:eastAsia="zh-CN" w:bidi="ar"/>
              </w:rPr>
              <w:t>。</w:t>
            </w:r>
          </w:p>
          <w:p>
            <w:pPr>
              <w:spacing w:line="240" w:lineRule="auto"/>
              <w:rPr>
                <w:rFonts w:ascii="宋体" w:hAnsi="宋体" w:eastAsia="宋体" w:cs="宋体"/>
                <w:color w:val="auto"/>
                <w:szCs w:val="21"/>
              </w:rPr>
            </w:pPr>
            <w:r>
              <w:rPr>
                <w:rFonts w:hint="eastAsia" w:ascii="宋体" w:hAnsi="宋体" w:eastAsia="宋体" w:cs="宋体"/>
                <w:color w:val="000000"/>
                <w:kern w:val="0"/>
                <w:sz w:val="21"/>
                <w:szCs w:val="21"/>
                <w:lang w:val="en-US" w:eastAsia="zh-CN" w:bidi="ar"/>
              </w:rPr>
              <w:t>注：因证明材料不全或无法清晰辨别而无法确定是否符合磋商文件要求的业绩，</w:t>
            </w:r>
            <w:r>
              <w:rPr>
                <w:rFonts w:hint="eastAsia" w:ascii="宋体" w:hAnsi="宋体" w:cs="宋体"/>
                <w:color w:val="000000"/>
                <w:kern w:val="0"/>
                <w:sz w:val="21"/>
                <w:szCs w:val="21"/>
                <w:lang w:val="en-US" w:eastAsia="zh-CN" w:bidi="ar"/>
              </w:rPr>
              <w:t>磋商</w:t>
            </w:r>
            <w:r>
              <w:rPr>
                <w:rFonts w:hint="eastAsia" w:ascii="宋体" w:hAnsi="宋体" w:eastAsia="宋体" w:cs="宋体"/>
                <w:color w:val="000000"/>
                <w:kern w:val="0"/>
                <w:sz w:val="21"/>
                <w:szCs w:val="21"/>
                <w:lang w:val="en-US" w:eastAsia="zh-CN" w:bidi="ar"/>
              </w:rPr>
              <w:t>小组有权不予认可。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blHeader/>
          <w:jc w:val="center"/>
        </w:trPr>
        <w:tc>
          <w:tcPr>
            <w:tcW w:w="753" w:type="dxa"/>
            <w:vMerge w:val="continue"/>
            <w:noWrap/>
            <w:vAlign w:val="center"/>
          </w:tcPr>
          <w:p>
            <w:pPr>
              <w:spacing w:line="240" w:lineRule="auto"/>
              <w:jc w:val="center"/>
              <w:rPr>
                <w:rFonts w:hint="eastAsia" w:ascii="宋体" w:hAnsi="宋体" w:eastAsia="宋体" w:cs="宋体"/>
                <w:color w:val="auto"/>
                <w:szCs w:val="21"/>
              </w:rPr>
            </w:pPr>
          </w:p>
        </w:tc>
        <w:tc>
          <w:tcPr>
            <w:tcW w:w="1095" w:type="dxa"/>
            <w:vMerge w:val="continue"/>
            <w:noWrap/>
            <w:vAlign w:val="center"/>
          </w:tcPr>
          <w:p>
            <w:pPr>
              <w:spacing w:line="240" w:lineRule="auto"/>
              <w:jc w:val="center"/>
              <w:rPr>
                <w:rFonts w:hint="eastAsia" w:ascii="宋体" w:hAnsi="宋体" w:eastAsia="宋体" w:cs="宋体"/>
                <w:color w:val="auto"/>
                <w:szCs w:val="21"/>
              </w:rPr>
            </w:pPr>
          </w:p>
        </w:tc>
        <w:tc>
          <w:tcPr>
            <w:tcW w:w="1470" w:type="dxa"/>
            <w:noWrap/>
            <w:tcMar>
              <w:left w:w="57" w:type="dxa"/>
              <w:right w:w="57" w:type="dxa"/>
            </w:tcMar>
            <w:vAlign w:val="center"/>
          </w:tcPr>
          <w:p>
            <w:pPr>
              <w:spacing w:line="240" w:lineRule="auto"/>
              <w:jc w:val="center"/>
              <w:rPr>
                <w:rFonts w:hint="eastAsia" w:ascii="宋体" w:hAnsi="宋体" w:cs="宋体"/>
                <w:color w:val="auto"/>
                <w:szCs w:val="21"/>
                <w:lang w:val="en-US" w:eastAsia="zh-CN"/>
              </w:rPr>
            </w:pPr>
            <w:r>
              <w:rPr>
                <w:rFonts w:hint="eastAsia" w:ascii="宋体" w:hAnsi="宋体" w:cs="宋体"/>
                <w:color w:val="auto"/>
                <w:szCs w:val="21"/>
                <w:lang w:val="en-US" w:eastAsia="zh-CN"/>
              </w:rPr>
              <w:t>人员配备</w:t>
            </w:r>
          </w:p>
          <w:p>
            <w:pPr>
              <w:spacing w:line="240" w:lineRule="auto"/>
              <w:jc w:val="center"/>
              <w:rPr>
                <w:rFonts w:hint="default" w:ascii="宋体" w:hAnsi="宋体" w:cs="宋体"/>
                <w:color w:val="auto"/>
                <w:szCs w:val="21"/>
                <w:lang w:val="en-US" w:eastAsia="zh-CN"/>
              </w:rPr>
            </w:pPr>
            <w:r>
              <w:rPr>
                <w:rFonts w:hint="eastAsia" w:ascii="宋体" w:hAnsi="宋体" w:cs="宋体"/>
                <w:color w:val="auto"/>
                <w:szCs w:val="21"/>
                <w:lang w:val="en-US" w:eastAsia="zh-CN"/>
              </w:rPr>
              <w:t>（5分）</w:t>
            </w:r>
          </w:p>
        </w:tc>
        <w:tc>
          <w:tcPr>
            <w:tcW w:w="5971" w:type="dxa"/>
            <w:noWrap/>
            <w:vAlign w:val="center"/>
          </w:tcPr>
          <w:p>
            <w:pPr>
              <w:spacing w:line="240" w:lineRule="auto"/>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、项目经理</w:t>
            </w:r>
            <w:r>
              <w:rPr>
                <w:rFonts w:hint="eastAsia" w:ascii="宋体" w:hAnsi="宋体" w:cs="宋体"/>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人得</w:t>
            </w:r>
            <w:r>
              <w:rPr>
                <w:rFonts w:hint="eastAsia" w:ascii="宋体" w:hAnsi="宋体" w:cs="宋体"/>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分，</w:t>
            </w:r>
            <w:r>
              <w:rPr>
                <w:rFonts w:hint="eastAsia" w:ascii="宋体" w:hAnsi="宋体" w:cs="宋体"/>
                <w:color w:val="000000"/>
                <w:kern w:val="0"/>
                <w:sz w:val="21"/>
                <w:szCs w:val="21"/>
                <w:lang w:val="en-US" w:eastAsia="zh-CN" w:bidi="ar"/>
              </w:rPr>
              <w:t>需</w:t>
            </w:r>
            <w:r>
              <w:rPr>
                <w:rFonts w:hint="eastAsia" w:ascii="宋体" w:hAnsi="宋体" w:eastAsia="宋体" w:cs="宋体"/>
                <w:color w:val="000000"/>
                <w:kern w:val="0"/>
                <w:sz w:val="21"/>
                <w:szCs w:val="21"/>
                <w:lang w:val="en-US" w:eastAsia="zh-CN" w:bidi="ar"/>
              </w:rPr>
              <w:t>提供本单位劳动合同或劳务合同</w:t>
            </w:r>
            <w:r>
              <w:rPr>
                <w:rFonts w:hint="eastAsia" w:ascii="宋体" w:hAnsi="宋体" w:cs="宋体"/>
                <w:color w:val="000000"/>
                <w:kern w:val="0"/>
                <w:sz w:val="21"/>
                <w:szCs w:val="21"/>
                <w:lang w:val="en-US" w:eastAsia="zh-CN" w:bidi="ar"/>
              </w:rPr>
              <w:t>及</w:t>
            </w:r>
            <w:r>
              <w:rPr>
                <w:rFonts w:hint="eastAsia" w:ascii="宋体" w:hAnsi="宋体" w:eastAsia="宋体" w:cs="宋体"/>
                <w:color w:val="000000"/>
                <w:kern w:val="0"/>
                <w:sz w:val="21"/>
                <w:szCs w:val="21"/>
                <w:lang w:val="en-US" w:eastAsia="zh-CN" w:bidi="ar"/>
              </w:rPr>
              <w:t xml:space="preserve">近 </w:t>
            </w:r>
            <w:r>
              <w:rPr>
                <w:rFonts w:hint="default" w:ascii="宋体" w:hAnsi="宋体" w:eastAsia="宋体" w:cs="宋体"/>
                <w:color w:val="000000"/>
                <w:kern w:val="0"/>
                <w:sz w:val="21"/>
                <w:szCs w:val="21"/>
                <w:lang w:val="en-US" w:eastAsia="zh-CN" w:bidi="ar"/>
              </w:rPr>
              <w:t>6</w:t>
            </w:r>
            <w:r>
              <w:rPr>
                <w:rFonts w:hint="eastAsia" w:ascii="宋体" w:hAnsi="宋体" w:eastAsia="宋体" w:cs="宋体"/>
                <w:color w:val="000000"/>
                <w:kern w:val="0"/>
                <w:sz w:val="21"/>
                <w:szCs w:val="21"/>
                <w:lang w:val="en-US" w:eastAsia="zh-CN" w:bidi="ar"/>
              </w:rPr>
              <w:t>个月社保证明材料</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 xml:space="preserve">不提供不得分。 </w:t>
            </w:r>
          </w:p>
          <w:p>
            <w:pPr>
              <w:spacing w:line="240" w:lineRule="auto"/>
              <w:rPr>
                <w:rFonts w:hint="default"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、厨师长</w:t>
            </w:r>
            <w:r>
              <w:rPr>
                <w:rFonts w:hint="default" w:ascii="宋体" w:hAnsi="宋体" w:eastAsia="宋体" w:cs="宋体"/>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人得</w:t>
            </w:r>
            <w:r>
              <w:rPr>
                <w:rFonts w:hint="eastAsia" w:ascii="宋体" w:hAnsi="宋体" w:cs="宋体"/>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分，</w:t>
            </w:r>
            <w:r>
              <w:rPr>
                <w:rFonts w:hint="eastAsia" w:ascii="宋体" w:hAnsi="宋体" w:cs="宋体"/>
                <w:color w:val="000000"/>
                <w:kern w:val="0"/>
                <w:sz w:val="21"/>
                <w:szCs w:val="21"/>
                <w:lang w:val="en-US" w:eastAsia="zh-CN" w:bidi="ar"/>
              </w:rPr>
              <w:t>需</w:t>
            </w:r>
            <w:r>
              <w:rPr>
                <w:rFonts w:hint="eastAsia" w:ascii="宋体" w:hAnsi="宋体" w:eastAsia="宋体" w:cs="宋体"/>
                <w:color w:val="000000"/>
                <w:kern w:val="0"/>
                <w:sz w:val="21"/>
                <w:szCs w:val="21"/>
                <w:lang w:val="en-US" w:eastAsia="zh-CN" w:bidi="ar"/>
              </w:rPr>
              <w:t>提供本单位劳动合同或劳务合同</w:t>
            </w:r>
            <w:r>
              <w:rPr>
                <w:rFonts w:hint="eastAsia" w:ascii="宋体" w:hAnsi="宋体" w:cs="宋体"/>
                <w:color w:val="000000"/>
                <w:kern w:val="0"/>
                <w:sz w:val="21"/>
                <w:szCs w:val="21"/>
                <w:lang w:val="en-US" w:eastAsia="zh-CN" w:bidi="ar"/>
              </w:rPr>
              <w:t>及</w:t>
            </w:r>
            <w:r>
              <w:rPr>
                <w:rFonts w:hint="eastAsia" w:ascii="宋体" w:hAnsi="宋体" w:eastAsia="宋体" w:cs="宋体"/>
                <w:color w:val="000000"/>
                <w:kern w:val="0"/>
                <w:sz w:val="21"/>
                <w:szCs w:val="21"/>
                <w:lang w:val="en-US" w:eastAsia="zh-CN" w:bidi="ar"/>
              </w:rPr>
              <w:t xml:space="preserve">近 </w:t>
            </w:r>
            <w:r>
              <w:rPr>
                <w:rFonts w:hint="default" w:ascii="宋体" w:hAnsi="宋体" w:eastAsia="宋体" w:cs="宋体"/>
                <w:color w:val="000000"/>
                <w:kern w:val="0"/>
                <w:sz w:val="21"/>
                <w:szCs w:val="21"/>
                <w:lang w:val="en-US" w:eastAsia="zh-CN" w:bidi="ar"/>
              </w:rPr>
              <w:t>6</w:t>
            </w:r>
            <w:r>
              <w:rPr>
                <w:rFonts w:hint="eastAsia" w:ascii="宋体" w:hAnsi="宋体" w:eastAsia="宋体" w:cs="宋体"/>
                <w:color w:val="000000"/>
                <w:kern w:val="0"/>
                <w:sz w:val="21"/>
                <w:szCs w:val="21"/>
                <w:lang w:val="en-US" w:eastAsia="zh-CN" w:bidi="ar"/>
              </w:rPr>
              <w:t xml:space="preserve">个月社保证明材料，不提供不得分。 </w:t>
            </w:r>
          </w:p>
          <w:p>
            <w:pPr>
              <w:spacing w:line="240" w:lineRule="auto"/>
              <w:rPr>
                <w:rFonts w:hint="eastAsia"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、具有食品安全管理人员</w:t>
            </w:r>
            <w:r>
              <w:rPr>
                <w:rFonts w:hint="eastAsia" w:ascii="宋体" w:hAnsi="宋体" w:cs="宋体"/>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人</w:t>
            </w:r>
            <w:r>
              <w:rPr>
                <w:rFonts w:hint="eastAsia" w:ascii="宋体" w:hAnsi="宋体" w:cs="宋体"/>
                <w:color w:val="000000"/>
                <w:kern w:val="0"/>
                <w:sz w:val="21"/>
                <w:szCs w:val="21"/>
                <w:lang w:val="en-US" w:eastAsia="zh-CN" w:bidi="ar"/>
              </w:rPr>
              <w:t>得1分，每增加1人加1分，此项最高得3分，需</w:t>
            </w:r>
            <w:r>
              <w:rPr>
                <w:rFonts w:hint="eastAsia" w:ascii="宋体" w:hAnsi="宋体" w:eastAsia="宋体" w:cs="宋体"/>
                <w:color w:val="000000"/>
                <w:kern w:val="0"/>
                <w:sz w:val="21"/>
                <w:szCs w:val="21"/>
                <w:lang w:val="en-US" w:eastAsia="zh-CN" w:bidi="ar"/>
              </w:rPr>
              <w:t>提供本单位劳动合同或劳务合同</w:t>
            </w:r>
            <w:r>
              <w:rPr>
                <w:rFonts w:hint="eastAsia" w:ascii="宋体" w:hAnsi="宋体" w:cs="宋体"/>
                <w:color w:val="000000"/>
                <w:kern w:val="0"/>
                <w:sz w:val="21"/>
                <w:szCs w:val="21"/>
                <w:lang w:val="en-US" w:eastAsia="zh-CN" w:bidi="ar"/>
              </w:rPr>
              <w:t>及</w:t>
            </w:r>
            <w:r>
              <w:rPr>
                <w:rFonts w:hint="eastAsia" w:ascii="宋体" w:hAnsi="宋体" w:eastAsia="宋体" w:cs="宋体"/>
                <w:color w:val="000000"/>
                <w:kern w:val="0"/>
                <w:sz w:val="21"/>
                <w:szCs w:val="21"/>
                <w:lang w:val="en-US" w:eastAsia="zh-CN" w:bidi="ar"/>
              </w:rPr>
              <w:t xml:space="preserve">近 </w:t>
            </w:r>
            <w:r>
              <w:rPr>
                <w:rFonts w:hint="default" w:ascii="宋体" w:hAnsi="宋体" w:eastAsia="宋体" w:cs="宋体"/>
                <w:color w:val="000000"/>
                <w:kern w:val="0"/>
                <w:sz w:val="21"/>
                <w:szCs w:val="21"/>
                <w:lang w:val="en-US" w:eastAsia="zh-CN" w:bidi="ar"/>
              </w:rPr>
              <w:t>6</w:t>
            </w:r>
            <w:r>
              <w:rPr>
                <w:rFonts w:hint="eastAsia" w:ascii="宋体" w:hAnsi="宋体" w:eastAsia="宋体" w:cs="宋体"/>
                <w:color w:val="000000"/>
                <w:kern w:val="0"/>
                <w:sz w:val="21"/>
                <w:szCs w:val="21"/>
                <w:lang w:val="en-US" w:eastAsia="zh-CN" w:bidi="ar"/>
              </w:rPr>
              <w:t>个月社保证明材料</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 xml:space="preserve">不提供不得分。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53" w:type="dxa"/>
            <w:vMerge w:val="continue"/>
            <w:noWrap/>
            <w:vAlign w:val="top"/>
          </w:tcPr>
          <w:p>
            <w:pPr>
              <w:spacing w:line="240" w:lineRule="auto"/>
              <w:rPr>
                <w:rFonts w:ascii="宋体" w:hAnsi="宋体" w:eastAsia="宋体" w:cs="宋体"/>
                <w:color w:val="auto"/>
                <w:szCs w:val="21"/>
              </w:rPr>
            </w:pPr>
          </w:p>
        </w:tc>
        <w:tc>
          <w:tcPr>
            <w:tcW w:w="1095" w:type="dxa"/>
            <w:vMerge w:val="continue"/>
            <w:noWrap/>
            <w:vAlign w:val="top"/>
          </w:tcPr>
          <w:p>
            <w:pPr>
              <w:spacing w:line="240" w:lineRule="auto"/>
              <w:rPr>
                <w:rFonts w:ascii="宋体" w:hAnsi="宋体" w:eastAsia="宋体" w:cs="宋体"/>
                <w:color w:val="auto"/>
                <w:szCs w:val="21"/>
              </w:rPr>
            </w:pPr>
          </w:p>
        </w:tc>
        <w:tc>
          <w:tcPr>
            <w:tcW w:w="1470" w:type="dxa"/>
            <w:noWrap/>
            <w:tcMar>
              <w:left w:w="57" w:type="dxa"/>
              <w:right w:w="57" w:type="dxa"/>
            </w:tcMar>
            <w:vAlign w:val="center"/>
          </w:tcPr>
          <w:p>
            <w:pPr>
              <w:spacing w:line="240" w:lineRule="auto"/>
              <w:jc w:val="center"/>
              <w:rPr>
                <w:rFonts w:hint="eastAsia" w:ascii="宋体" w:hAnsi="宋体" w:eastAsia="宋体" w:cs="宋体"/>
                <w:color w:val="auto"/>
                <w:szCs w:val="21"/>
              </w:rPr>
            </w:pPr>
            <w:r>
              <w:rPr>
                <w:rFonts w:hint="eastAsia" w:ascii="宋体" w:hAnsi="宋体" w:eastAsia="宋体" w:cs="宋体"/>
                <w:color w:val="auto"/>
                <w:szCs w:val="21"/>
              </w:rPr>
              <w:t>投保金额</w:t>
            </w:r>
          </w:p>
          <w:p>
            <w:pPr>
              <w:spacing w:line="240" w:lineRule="auto"/>
              <w:jc w:val="center"/>
              <w:rPr>
                <w:rFonts w:ascii="宋体" w:hAnsi="宋体" w:eastAsia="宋体" w:cs="宋体"/>
                <w:color w:val="auto"/>
                <w:szCs w:val="21"/>
              </w:rPr>
            </w:pPr>
            <w:r>
              <w:rPr>
                <w:rFonts w:hint="eastAsia" w:ascii="宋体" w:hAnsi="宋体" w:eastAsia="宋体" w:cs="宋体"/>
                <w:color w:val="auto"/>
                <w:szCs w:val="21"/>
              </w:rPr>
              <w:t>(</w:t>
            </w:r>
            <w:r>
              <w:rPr>
                <w:rFonts w:hint="eastAsia" w:ascii="宋体" w:hAnsi="宋体" w:cs="宋体"/>
                <w:color w:val="auto"/>
                <w:szCs w:val="21"/>
                <w:lang w:val="en-US" w:eastAsia="zh-CN"/>
              </w:rPr>
              <w:t>6</w:t>
            </w:r>
            <w:r>
              <w:rPr>
                <w:rFonts w:hint="eastAsia" w:ascii="宋体" w:hAnsi="宋体" w:eastAsia="宋体" w:cs="宋体"/>
                <w:color w:val="auto"/>
                <w:szCs w:val="21"/>
              </w:rPr>
              <w:t>分)</w:t>
            </w:r>
          </w:p>
        </w:tc>
        <w:tc>
          <w:tcPr>
            <w:tcW w:w="5971" w:type="dxa"/>
            <w:noWrap/>
            <w:vAlign w:val="center"/>
          </w:tcPr>
          <w:p>
            <w:pPr>
              <w:spacing w:line="240" w:lineRule="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供应商承诺中标后为本项目食堂投保《公众责任险》，投保金额： </w:t>
            </w:r>
          </w:p>
          <w:p>
            <w:pPr>
              <w:spacing w:line="240" w:lineRule="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1.公共责任险投保在 </w:t>
            </w:r>
            <w:r>
              <w:rPr>
                <w:rFonts w:hint="default" w:ascii="宋体" w:hAnsi="宋体" w:eastAsia="宋体" w:cs="宋体"/>
                <w:color w:val="000000"/>
                <w:kern w:val="0"/>
                <w:sz w:val="21"/>
                <w:szCs w:val="21"/>
                <w:lang w:val="en-US" w:eastAsia="zh-CN" w:bidi="ar"/>
              </w:rPr>
              <w:t xml:space="preserve">2000 </w:t>
            </w:r>
            <w:r>
              <w:rPr>
                <w:rFonts w:hint="eastAsia" w:ascii="宋体" w:hAnsi="宋体" w:eastAsia="宋体" w:cs="宋体"/>
                <w:color w:val="000000"/>
                <w:kern w:val="0"/>
                <w:sz w:val="21"/>
                <w:szCs w:val="21"/>
                <w:lang w:val="en-US" w:eastAsia="zh-CN" w:bidi="ar"/>
              </w:rPr>
              <w:t xml:space="preserve">万元以上的得 6分。 </w:t>
            </w:r>
          </w:p>
          <w:p>
            <w:pPr>
              <w:spacing w:line="240" w:lineRule="auto"/>
              <w:rPr>
                <w:rFonts w:hint="eastAsia"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 xml:space="preserve">公共责任险投保在 </w:t>
            </w:r>
            <w:r>
              <w:rPr>
                <w:rFonts w:hint="default" w:ascii="宋体" w:hAnsi="宋体" w:eastAsia="宋体" w:cs="宋体"/>
                <w:color w:val="000000"/>
                <w:kern w:val="0"/>
                <w:sz w:val="21"/>
                <w:szCs w:val="21"/>
                <w:lang w:val="en-US" w:eastAsia="zh-CN" w:bidi="ar"/>
              </w:rPr>
              <w:t xml:space="preserve">1500 </w:t>
            </w:r>
            <w:r>
              <w:rPr>
                <w:rFonts w:hint="eastAsia" w:ascii="宋体" w:hAnsi="宋体" w:eastAsia="宋体" w:cs="宋体"/>
                <w:color w:val="000000"/>
                <w:kern w:val="0"/>
                <w:sz w:val="21"/>
                <w:szCs w:val="21"/>
                <w:lang w:val="en-US" w:eastAsia="zh-CN" w:bidi="ar"/>
              </w:rPr>
              <w:t xml:space="preserve">至 </w:t>
            </w:r>
            <w:r>
              <w:rPr>
                <w:rFonts w:hint="default" w:ascii="宋体" w:hAnsi="宋体" w:eastAsia="宋体" w:cs="宋体"/>
                <w:color w:val="000000"/>
                <w:kern w:val="0"/>
                <w:sz w:val="21"/>
                <w:szCs w:val="21"/>
                <w:lang w:val="en-US" w:eastAsia="zh-CN" w:bidi="ar"/>
              </w:rPr>
              <w:t xml:space="preserve">2000 </w:t>
            </w:r>
            <w:r>
              <w:rPr>
                <w:rFonts w:hint="eastAsia" w:ascii="宋体" w:hAnsi="宋体" w:eastAsia="宋体" w:cs="宋体"/>
                <w:color w:val="000000"/>
                <w:kern w:val="0"/>
                <w:sz w:val="21"/>
                <w:szCs w:val="21"/>
                <w:lang w:val="en-US" w:eastAsia="zh-CN" w:bidi="ar"/>
              </w:rPr>
              <w:t>万元的得 4</w:t>
            </w:r>
            <w:r>
              <w:rPr>
                <w:rFonts w:hint="default" w:ascii="宋体" w:hAnsi="宋体" w:eastAsia="宋体" w:cs="宋体"/>
                <w:color w:val="000000"/>
                <w:kern w:val="0"/>
                <w:sz w:val="21"/>
                <w:szCs w:val="21"/>
                <w:lang w:val="en-US" w:eastAsia="zh-CN" w:bidi="ar"/>
              </w:rPr>
              <w:t xml:space="preserve"> </w:t>
            </w:r>
            <w:r>
              <w:rPr>
                <w:rFonts w:hint="eastAsia" w:ascii="宋体" w:hAnsi="宋体" w:eastAsia="宋体" w:cs="宋体"/>
                <w:color w:val="000000"/>
                <w:kern w:val="0"/>
                <w:sz w:val="21"/>
                <w:szCs w:val="21"/>
                <w:lang w:val="en-US" w:eastAsia="zh-CN" w:bidi="ar"/>
              </w:rPr>
              <w:t xml:space="preserve">分。 </w:t>
            </w:r>
          </w:p>
          <w:p>
            <w:pPr>
              <w:spacing w:line="240" w:lineRule="auto"/>
              <w:rPr>
                <w:rFonts w:hint="eastAsia"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 xml:space="preserve">公共责任险投保在 </w:t>
            </w:r>
            <w:r>
              <w:rPr>
                <w:rFonts w:hint="default" w:ascii="宋体" w:hAnsi="宋体" w:eastAsia="宋体" w:cs="宋体"/>
                <w:color w:val="000000"/>
                <w:kern w:val="0"/>
                <w:sz w:val="21"/>
                <w:szCs w:val="21"/>
                <w:lang w:val="en-US" w:eastAsia="zh-CN" w:bidi="ar"/>
              </w:rPr>
              <w:t xml:space="preserve">1000 </w:t>
            </w:r>
            <w:r>
              <w:rPr>
                <w:rFonts w:hint="eastAsia" w:ascii="宋体" w:hAnsi="宋体" w:eastAsia="宋体" w:cs="宋体"/>
                <w:color w:val="000000"/>
                <w:kern w:val="0"/>
                <w:sz w:val="21"/>
                <w:szCs w:val="21"/>
                <w:lang w:val="en-US" w:eastAsia="zh-CN" w:bidi="ar"/>
              </w:rPr>
              <w:t xml:space="preserve">至 </w:t>
            </w:r>
            <w:r>
              <w:rPr>
                <w:rFonts w:hint="default" w:ascii="宋体" w:hAnsi="宋体" w:eastAsia="宋体" w:cs="宋体"/>
                <w:color w:val="000000"/>
                <w:kern w:val="0"/>
                <w:sz w:val="21"/>
                <w:szCs w:val="21"/>
                <w:lang w:val="en-US" w:eastAsia="zh-CN" w:bidi="ar"/>
              </w:rPr>
              <w:t xml:space="preserve">1500 </w:t>
            </w:r>
            <w:r>
              <w:rPr>
                <w:rFonts w:hint="eastAsia" w:ascii="宋体" w:hAnsi="宋体" w:eastAsia="宋体" w:cs="宋体"/>
                <w:color w:val="000000"/>
                <w:kern w:val="0"/>
                <w:sz w:val="21"/>
                <w:szCs w:val="21"/>
                <w:lang w:val="en-US" w:eastAsia="zh-CN" w:bidi="ar"/>
              </w:rPr>
              <w:t xml:space="preserve">万元的得 2分。 </w:t>
            </w:r>
          </w:p>
          <w:p>
            <w:pPr>
              <w:spacing w:line="240" w:lineRule="auto"/>
              <w:rPr>
                <w:rFonts w:hint="eastAsia" w:ascii="宋体" w:hAnsi="宋体" w:eastAsia="宋体" w:cs="宋体"/>
                <w:color w:val="000000"/>
                <w:kern w:val="0"/>
                <w:sz w:val="21"/>
                <w:szCs w:val="21"/>
                <w:lang w:val="en-US" w:eastAsia="zh-CN" w:bidi="ar"/>
              </w:rPr>
            </w:pPr>
            <w:r>
              <w:rPr>
                <w:rFonts w:hint="default" w:ascii="宋体" w:hAnsi="宋体" w:eastAsia="宋体" w:cs="宋体"/>
                <w:color w:val="000000"/>
                <w:kern w:val="0"/>
                <w:sz w:val="21"/>
                <w:szCs w:val="21"/>
                <w:lang w:val="en-US" w:eastAsia="zh-CN" w:bidi="ar"/>
              </w:rPr>
              <w:t>4.</w:t>
            </w:r>
            <w:r>
              <w:rPr>
                <w:rFonts w:hint="eastAsia" w:ascii="宋体" w:hAnsi="宋体" w:eastAsia="宋体" w:cs="宋体"/>
                <w:color w:val="000000"/>
                <w:kern w:val="0"/>
                <w:sz w:val="21"/>
                <w:szCs w:val="21"/>
                <w:lang w:val="en-US" w:eastAsia="zh-CN" w:bidi="ar"/>
              </w:rPr>
              <w:t xml:space="preserve">公共责任险投保在 </w:t>
            </w:r>
            <w:r>
              <w:rPr>
                <w:rFonts w:hint="default" w:ascii="宋体" w:hAnsi="宋体" w:eastAsia="宋体" w:cs="宋体"/>
                <w:color w:val="000000"/>
                <w:kern w:val="0"/>
                <w:sz w:val="21"/>
                <w:szCs w:val="21"/>
                <w:lang w:val="en-US" w:eastAsia="zh-CN" w:bidi="ar"/>
              </w:rPr>
              <w:t xml:space="preserve">1000 </w:t>
            </w:r>
            <w:r>
              <w:rPr>
                <w:rFonts w:hint="eastAsia" w:ascii="宋体" w:hAnsi="宋体" w:eastAsia="宋体" w:cs="宋体"/>
                <w:color w:val="000000"/>
                <w:kern w:val="0"/>
                <w:sz w:val="21"/>
                <w:szCs w:val="21"/>
                <w:lang w:val="en-US" w:eastAsia="zh-CN" w:bidi="ar"/>
              </w:rPr>
              <w:t>万元以下</w:t>
            </w:r>
            <w:r>
              <w:rPr>
                <w:rFonts w:hint="eastAsia" w:ascii="宋体" w:hAnsi="宋体" w:cs="宋体"/>
                <w:color w:val="000000"/>
                <w:kern w:val="0"/>
                <w:sz w:val="21"/>
                <w:szCs w:val="21"/>
                <w:lang w:val="en-US" w:eastAsia="zh-CN" w:bidi="ar"/>
              </w:rPr>
              <w:t>或未提供</w:t>
            </w:r>
            <w:r>
              <w:rPr>
                <w:rFonts w:hint="eastAsia" w:ascii="宋体" w:hAnsi="宋体" w:eastAsia="宋体" w:cs="宋体"/>
                <w:color w:val="000000"/>
                <w:kern w:val="0"/>
                <w:sz w:val="21"/>
                <w:szCs w:val="21"/>
                <w:lang w:val="en-US" w:eastAsia="zh-CN" w:bidi="ar"/>
              </w:rPr>
              <w:t xml:space="preserve">的不得分。 </w:t>
            </w:r>
          </w:p>
          <w:p>
            <w:pPr>
              <w:spacing w:line="240" w:lineRule="auto"/>
              <w:rPr>
                <w:rFonts w:ascii="宋体" w:hAnsi="宋体" w:cs="宋体"/>
                <w:color w:val="auto"/>
                <w:szCs w:val="21"/>
              </w:rPr>
            </w:pPr>
            <w:r>
              <w:rPr>
                <w:rFonts w:hint="eastAsia" w:ascii="宋体" w:hAnsi="宋体" w:eastAsia="宋体" w:cs="宋体"/>
                <w:color w:val="000000"/>
                <w:kern w:val="0"/>
                <w:sz w:val="21"/>
                <w:szCs w:val="21"/>
                <w:lang w:val="en-US" w:eastAsia="zh-CN" w:bidi="ar"/>
              </w:rPr>
              <w:t>注：供应商需提供加盖本单位公章的承诺书，格式自拟</w:t>
            </w:r>
            <w:r>
              <w:rPr>
                <w:rFonts w:hint="eastAsia" w:ascii="宋体" w:hAnsi="宋体" w:cs="宋体"/>
                <w:color w:val="000000"/>
                <w:kern w:val="0"/>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3" w:hRule="atLeast"/>
          <w:tblHeader/>
          <w:jc w:val="center"/>
        </w:trPr>
        <w:tc>
          <w:tcPr>
            <w:tcW w:w="753" w:type="dxa"/>
            <w:vMerge w:val="continue"/>
            <w:noWrap/>
            <w:vAlign w:val="top"/>
          </w:tcPr>
          <w:p>
            <w:pPr>
              <w:spacing w:line="240" w:lineRule="auto"/>
              <w:rPr>
                <w:rFonts w:ascii="宋体" w:hAnsi="宋体" w:eastAsia="宋体" w:cs="宋体"/>
                <w:color w:val="auto"/>
                <w:szCs w:val="21"/>
              </w:rPr>
            </w:pPr>
          </w:p>
        </w:tc>
        <w:tc>
          <w:tcPr>
            <w:tcW w:w="1095" w:type="dxa"/>
            <w:vMerge w:val="continue"/>
            <w:noWrap/>
            <w:vAlign w:val="top"/>
          </w:tcPr>
          <w:p>
            <w:pPr>
              <w:spacing w:line="240" w:lineRule="auto"/>
              <w:rPr>
                <w:rFonts w:ascii="宋体" w:hAnsi="宋体" w:eastAsia="宋体" w:cs="宋体"/>
                <w:color w:val="auto"/>
                <w:szCs w:val="21"/>
              </w:rPr>
            </w:pPr>
          </w:p>
        </w:tc>
        <w:tc>
          <w:tcPr>
            <w:tcW w:w="1470" w:type="dxa"/>
            <w:noWrap/>
            <w:tcMar>
              <w:left w:w="57" w:type="dxa"/>
              <w:right w:w="57" w:type="dxa"/>
            </w:tcMar>
            <w:vAlign w:val="center"/>
          </w:tcPr>
          <w:p>
            <w:pPr>
              <w:spacing w:line="240" w:lineRule="auto"/>
              <w:jc w:val="center"/>
              <w:rPr>
                <w:rFonts w:hint="eastAsia" w:ascii="宋体" w:hAnsi="宋体" w:eastAsia="宋体" w:cs="宋体"/>
                <w:color w:val="auto"/>
                <w:szCs w:val="21"/>
              </w:rPr>
            </w:pPr>
            <w:r>
              <w:rPr>
                <w:rFonts w:hint="eastAsia" w:ascii="宋体" w:hAnsi="宋体" w:eastAsia="宋体" w:cs="宋体"/>
                <w:color w:val="auto"/>
                <w:szCs w:val="21"/>
              </w:rPr>
              <w:t>体系认证</w:t>
            </w:r>
          </w:p>
          <w:p>
            <w:pPr>
              <w:spacing w:line="240" w:lineRule="auto"/>
              <w:jc w:val="center"/>
              <w:rPr>
                <w:rFonts w:ascii="宋体" w:hAnsi="宋体" w:eastAsia="宋体" w:cs="宋体"/>
                <w:color w:val="auto"/>
                <w:szCs w:val="21"/>
              </w:rPr>
            </w:pPr>
            <w:r>
              <w:rPr>
                <w:rFonts w:hint="eastAsia" w:ascii="宋体" w:hAnsi="宋体" w:eastAsia="宋体" w:cs="宋体"/>
                <w:color w:val="auto"/>
                <w:szCs w:val="21"/>
              </w:rPr>
              <w:t>（</w:t>
            </w:r>
            <w:r>
              <w:rPr>
                <w:rFonts w:hint="eastAsia" w:ascii="宋体" w:hAnsi="宋体" w:cs="宋体"/>
                <w:color w:val="auto"/>
                <w:szCs w:val="21"/>
                <w:lang w:val="en-US" w:eastAsia="zh-CN"/>
              </w:rPr>
              <w:t>4</w:t>
            </w:r>
            <w:r>
              <w:rPr>
                <w:rFonts w:hint="eastAsia" w:ascii="宋体" w:hAnsi="宋体" w:eastAsia="宋体" w:cs="宋体"/>
                <w:color w:val="auto"/>
                <w:szCs w:val="21"/>
              </w:rPr>
              <w:t>分）</w:t>
            </w:r>
          </w:p>
        </w:tc>
        <w:tc>
          <w:tcPr>
            <w:tcW w:w="5971" w:type="dxa"/>
            <w:noWrap/>
            <w:vAlign w:val="center"/>
          </w:tcPr>
          <w:p>
            <w:pPr>
              <w:spacing w:line="240" w:lineRule="auto"/>
              <w:jc w:val="left"/>
              <w:rPr>
                <w:rFonts w:ascii="宋体" w:hAnsi="宋体" w:eastAsia="宋体" w:cs="宋体"/>
                <w:color w:val="auto"/>
                <w:szCs w:val="21"/>
              </w:rPr>
            </w:pPr>
            <w:r>
              <w:rPr>
                <w:rFonts w:ascii="宋体" w:hAnsi="宋体" w:eastAsia="宋体" w:cs="宋体"/>
                <w:color w:val="auto"/>
                <w:szCs w:val="21"/>
                <w:lang w:val="en-US" w:eastAsia="zh-CN"/>
              </w:rPr>
              <w:t>1.</w:t>
            </w:r>
            <w:r>
              <w:rPr>
                <w:rFonts w:hint="eastAsia" w:ascii="宋体" w:hAnsi="宋体" w:eastAsia="宋体" w:cs="宋体"/>
                <w:color w:val="auto"/>
                <w:szCs w:val="21"/>
                <w:lang w:val="en-US" w:eastAsia="zh-CN"/>
              </w:rPr>
              <w:t>具有质量管理体系认证证书且在有效期内的得</w:t>
            </w:r>
            <w:r>
              <w:rPr>
                <w:rFonts w:hint="eastAsia" w:ascii="宋体" w:hAnsi="宋体" w:cs="宋体"/>
                <w:color w:val="auto"/>
                <w:szCs w:val="21"/>
                <w:lang w:val="en-US" w:eastAsia="zh-CN"/>
              </w:rPr>
              <w:t>1</w:t>
            </w:r>
            <w:r>
              <w:rPr>
                <w:rFonts w:hint="eastAsia" w:ascii="宋体" w:hAnsi="宋体" w:eastAsia="宋体" w:cs="宋体"/>
                <w:color w:val="auto"/>
                <w:szCs w:val="21"/>
                <w:lang w:val="en-US" w:eastAsia="zh-CN"/>
              </w:rPr>
              <w:t xml:space="preserve">分。 </w:t>
            </w:r>
          </w:p>
          <w:p>
            <w:pPr>
              <w:spacing w:line="240" w:lineRule="auto"/>
              <w:jc w:val="left"/>
              <w:rPr>
                <w:rFonts w:ascii="宋体" w:hAnsi="宋体" w:eastAsia="宋体" w:cs="宋体"/>
                <w:color w:val="auto"/>
                <w:szCs w:val="21"/>
              </w:rPr>
            </w:pPr>
            <w:r>
              <w:rPr>
                <w:rFonts w:hint="default" w:ascii="宋体" w:hAnsi="宋体" w:eastAsia="宋体" w:cs="宋体"/>
                <w:color w:val="auto"/>
                <w:szCs w:val="21"/>
                <w:lang w:val="en-US" w:eastAsia="zh-CN"/>
              </w:rPr>
              <w:t>2.</w:t>
            </w:r>
            <w:r>
              <w:rPr>
                <w:rFonts w:hint="eastAsia" w:ascii="宋体" w:hAnsi="宋体" w:eastAsia="宋体" w:cs="宋体"/>
                <w:color w:val="auto"/>
                <w:szCs w:val="21"/>
                <w:lang w:val="en-US" w:eastAsia="zh-CN"/>
              </w:rPr>
              <w:t>具有环境管理体系认证证书且在有效期内的得</w:t>
            </w:r>
            <w:r>
              <w:rPr>
                <w:rFonts w:hint="eastAsia" w:ascii="宋体" w:hAnsi="宋体" w:cs="宋体"/>
                <w:color w:val="auto"/>
                <w:szCs w:val="21"/>
                <w:lang w:val="en-US" w:eastAsia="zh-CN"/>
              </w:rPr>
              <w:t>1</w:t>
            </w:r>
            <w:r>
              <w:rPr>
                <w:rFonts w:hint="eastAsia" w:ascii="宋体" w:hAnsi="宋体" w:eastAsia="宋体" w:cs="宋体"/>
                <w:color w:val="auto"/>
                <w:szCs w:val="21"/>
                <w:lang w:val="en-US" w:eastAsia="zh-CN"/>
              </w:rPr>
              <w:t xml:space="preserve">分。 </w:t>
            </w:r>
          </w:p>
          <w:p>
            <w:pPr>
              <w:spacing w:line="240" w:lineRule="auto"/>
              <w:jc w:val="left"/>
              <w:rPr>
                <w:rFonts w:ascii="宋体" w:hAnsi="宋体" w:eastAsia="宋体" w:cs="宋体"/>
                <w:color w:val="auto"/>
                <w:szCs w:val="21"/>
              </w:rPr>
            </w:pPr>
            <w:r>
              <w:rPr>
                <w:rFonts w:hint="default" w:ascii="宋体" w:hAnsi="宋体" w:eastAsia="宋体" w:cs="宋体"/>
                <w:color w:val="auto"/>
                <w:szCs w:val="21"/>
                <w:lang w:val="en-US" w:eastAsia="zh-CN"/>
              </w:rPr>
              <w:t>3.</w:t>
            </w:r>
            <w:r>
              <w:rPr>
                <w:rFonts w:hint="eastAsia" w:ascii="宋体" w:hAnsi="宋体" w:eastAsia="宋体" w:cs="宋体"/>
                <w:color w:val="auto"/>
                <w:szCs w:val="21"/>
                <w:lang w:val="en-US" w:eastAsia="zh-CN"/>
              </w:rPr>
              <w:t>具有职业健康安全管理体系认证证书且在有效期内的得</w:t>
            </w:r>
            <w:r>
              <w:rPr>
                <w:rFonts w:hint="eastAsia" w:ascii="宋体" w:hAnsi="宋体" w:cs="宋体"/>
                <w:color w:val="auto"/>
                <w:szCs w:val="21"/>
                <w:lang w:val="en-US" w:eastAsia="zh-CN"/>
              </w:rPr>
              <w:t>1</w:t>
            </w:r>
            <w:r>
              <w:rPr>
                <w:rFonts w:hint="eastAsia" w:ascii="宋体" w:hAnsi="宋体" w:eastAsia="宋体" w:cs="宋体"/>
                <w:color w:val="auto"/>
                <w:szCs w:val="21"/>
                <w:lang w:val="en-US" w:eastAsia="zh-CN"/>
              </w:rPr>
              <w:t>分。</w:t>
            </w:r>
          </w:p>
          <w:p>
            <w:pPr>
              <w:spacing w:line="240" w:lineRule="auto"/>
              <w:jc w:val="left"/>
              <w:rPr>
                <w:rFonts w:ascii="宋体" w:hAnsi="宋体" w:eastAsia="宋体" w:cs="宋体"/>
                <w:color w:val="auto"/>
                <w:szCs w:val="21"/>
              </w:rPr>
            </w:pPr>
            <w:r>
              <w:rPr>
                <w:rFonts w:hint="default" w:ascii="宋体" w:hAnsi="宋体" w:eastAsia="宋体" w:cs="宋体"/>
                <w:color w:val="auto"/>
                <w:szCs w:val="21"/>
                <w:lang w:val="en-US" w:eastAsia="zh-CN"/>
              </w:rPr>
              <w:t>4.</w:t>
            </w:r>
            <w:r>
              <w:rPr>
                <w:rFonts w:hint="eastAsia" w:ascii="宋体" w:hAnsi="宋体" w:eastAsia="宋体" w:cs="宋体"/>
                <w:color w:val="auto"/>
                <w:szCs w:val="21"/>
                <w:lang w:val="en-US" w:eastAsia="zh-CN"/>
              </w:rPr>
              <w:t>具有食品安全管理体系认证证书且在有效期内的得</w:t>
            </w:r>
            <w:r>
              <w:rPr>
                <w:rFonts w:hint="eastAsia" w:ascii="宋体" w:hAnsi="宋体" w:cs="宋体"/>
                <w:color w:val="auto"/>
                <w:szCs w:val="21"/>
                <w:lang w:val="en-US" w:eastAsia="zh-CN"/>
              </w:rPr>
              <w:t>1</w:t>
            </w:r>
            <w:r>
              <w:rPr>
                <w:rFonts w:hint="eastAsia" w:ascii="宋体" w:hAnsi="宋体" w:eastAsia="宋体" w:cs="宋体"/>
                <w:color w:val="auto"/>
                <w:szCs w:val="21"/>
                <w:lang w:val="en-US" w:eastAsia="zh-CN"/>
              </w:rPr>
              <w:t xml:space="preserve">分。 </w:t>
            </w:r>
          </w:p>
          <w:p>
            <w:pPr>
              <w:spacing w:line="240" w:lineRule="auto"/>
              <w:jc w:val="left"/>
              <w:rPr>
                <w:rFonts w:ascii="宋体" w:hAnsi="宋体" w:eastAsia="宋体" w:cs="宋体"/>
                <w:color w:val="auto"/>
                <w:szCs w:val="21"/>
              </w:rPr>
            </w:pPr>
            <w:r>
              <w:rPr>
                <w:rFonts w:hint="eastAsia" w:ascii="宋体" w:hAnsi="宋体" w:eastAsia="宋体" w:cs="宋体"/>
                <w:color w:val="auto"/>
                <w:szCs w:val="21"/>
                <w:lang w:val="en-US" w:eastAsia="zh-CN"/>
              </w:rPr>
              <w:t>注：需提供上述证书原件扫描件及中国国家认证认可监督管理委员会网站证书查询截图的扫描件，不提供或提供不全均不得分。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blHeader/>
          <w:jc w:val="center"/>
        </w:trPr>
        <w:tc>
          <w:tcPr>
            <w:tcW w:w="753" w:type="dxa"/>
            <w:vMerge w:val="continue"/>
            <w:noWrap/>
            <w:vAlign w:val="top"/>
          </w:tcPr>
          <w:p>
            <w:pPr>
              <w:spacing w:line="240" w:lineRule="auto"/>
              <w:rPr>
                <w:rFonts w:ascii="宋体" w:hAnsi="宋体" w:eastAsia="宋体" w:cs="宋体"/>
                <w:color w:val="auto"/>
                <w:szCs w:val="21"/>
              </w:rPr>
            </w:pPr>
          </w:p>
        </w:tc>
        <w:tc>
          <w:tcPr>
            <w:tcW w:w="1095" w:type="dxa"/>
            <w:vMerge w:val="continue"/>
            <w:noWrap/>
            <w:vAlign w:val="top"/>
          </w:tcPr>
          <w:p>
            <w:pPr>
              <w:spacing w:line="240" w:lineRule="auto"/>
              <w:rPr>
                <w:rFonts w:ascii="宋体" w:hAnsi="宋体" w:eastAsia="宋体" w:cs="宋体"/>
                <w:color w:val="auto"/>
                <w:szCs w:val="21"/>
              </w:rPr>
            </w:pPr>
          </w:p>
        </w:tc>
        <w:tc>
          <w:tcPr>
            <w:tcW w:w="1470" w:type="dxa"/>
            <w:noWrap/>
            <w:tcMar>
              <w:left w:w="57" w:type="dxa"/>
              <w:right w:w="57" w:type="dxa"/>
            </w:tcMar>
            <w:vAlign w:val="center"/>
          </w:tcPr>
          <w:p>
            <w:pPr>
              <w:spacing w:line="240" w:lineRule="auto"/>
              <w:jc w:val="center"/>
              <w:rPr>
                <w:rFonts w:hint="default" w:ascii="宋体" w:hAnsi="宋体" w:cs="宋体"/>
                <w:color w:val="auto"/>
                <w:szCs w:val="21"/>
                <w:lang w:val="en-US" w:eastAsia="zh-CN"/>
              </w:rPr>
            </w:pPr>
            <w:r>
              <w:rPr>
                <w:rFonts w:hint="eastAsia" w:ascii="宋体" w:hAnsi="宋体" w:cs="宋体"/>
                <w:color w:val="auto"/>
                <w:szCs w:val="21"/>
                <w:lang w:val="en-US" w:eastAsia="zh-CN"/>
              </w:rPr>
              <w:t>优惠承诺</w:t>
            </w:r>
          </w:p>
          <w:p>
            <w:pPr>
              <w:spacing w:line="240" w:lineRule="auto"/>
              <w:jc w:val="center"/>
              <w:rPr>
                <w:rFonts w:hint="eastAsia" w:ascii="宋体" w:hAnsi="宋体" w:eastAsia="宋体" w:cs="宋体"/>
                <w:color w:val="auto"/>
                <w:szCs w:val="21"/>
              </w:rPr>
            </w:pPr>
            <w:r>
              <w:rPr>
                <w:rFonts w:hint="eastAsia" w:ascii="宋体" w:hAnsi="宋体" w:cs="宋体"/>
                <w:color w:val="auto"/>
                <w:szCs w:val="21"/>
                <w:lang w:val="en-US" w:eastAsia="zh-CN"/>
              </w:rPr>
              <w:t>（6分）</w:t>
            </w:r>
          </w:p>
        </w:tc>
        <w:tc>
          <w:tcPr>
            <w:tcW w:w="5971" w:type="dxa"/>
            <w:noWrap/>
            <w:vAlign w:val="center"/>
          </w:tcPr>
          <w:p>
            <w:pPr>
              <w:spacing w:line="240" w:lineRule="auto"/>
              <w:rPr>
                <w:rFonts w:hint="eastAsia" w:ascii="宋体" w:hAnsi="宋体" w:eastAsia="宋体" w:cs="宋体"/>
                <w:color w:val="auto"/>
                <w:szCs w:val="21"/>
                <w:lang w:val="en-US" w:eastAsia="zh-CN"/>
              </w:rPr>
            </w:pPr>
            <w:r>
              <w:rPr>
                <w:rFonts w:hint="eastAsia"/>
                <w:lang w:val="en-US" w:eastAsia="zh-CN"/>
              </w:rPr>
              <w:t>供应商</w:t>
            </w:r>
            <w:r>
              <w:rPr>
                <w:rFonts w:hint="eastAsia"/>
              </w:rPr>
              <w:t>向商户提点</w:t>
            </w:r>
            <w:r>
              <w:rPr>
                <w:rFonts w:hint="eastAsia"/>
                <w:lang w:val="en-US" w:eastAsia="zh-CN"/>
              </w:rPr>
              <w:t>为</w:t>
            </w:r>
            <w:r>
              <w:rPr>
                <w:rFonts w:hint="eastAsia"/>
              </w:rPr>
              <w:t>营业额的2</w:t>
            </w:r>
            <w:r>
              <w:t>2</w:t>
            </w:r>
            <w:r>
              <w:rPr>
                <w:rFonts w:hint="eastAsia"/>
              </w:rPr>
              <w:t>%</w:t>
            </w:r>
            <w:r>
              <w:rPr>
                <w:rFonts w:hint="eastAsia"/>
                <w:lang w:val="en-US" w:eastAsia="zh-CN"/>
              </w:rPr>
              <w:t>得1分，每再减少1%的加 1 分，此项最高得6分。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blHeader/>
          <w:jc w:val="center"/>
        </w:trPr>
        <w:tc>
          <w:tcPr>
            <w:tcW w:w="753" w:type="dxa"/>
            <w:vMerge w:val="continue"/>
            <w:noWrap/>
            <w:vAlign w:val="top"/>
          </w:tcPr>
          <w:p>
            <w:pPr>
              <w:spacing w:line="240" w:lineRule="auto"/>
              <w:rPr>
                <w:rFonts w:ascii="宋体" w:hAnsi="宋体" w:eastAsia="宋体" w:cs="宋体"/>
                <w:color w:val="auto"/>
                <w:szCs w:val="21"/>
              </w:rPr>
            </w:pPr>
          </w:p>
        </w:tc>
        <w:tc>
          <w:tcPr>
            <w:tcW w:w="1095" w:type="dxa"/>
            <w:vMerge w:val="continue"/>
            <w:noWrap/>
            <w:vAlign w:val="top"/>
          </w:tcPr>
          <w:p>
            <w:pPr>
              <w:spacing w:line="240" w:lineRule="auto"/>
              <w:rPr>
                <w:rFonts w:ascii="宋体" w:hAnsi="宋体" w:eastAsia="宋体" w:cs="宋体"/>
                <w:color w:val="auto"/>
                <w:szCs w:val="21"/>
              </w:rPr>
            </w:pPr>
          </w:p>
        </w:tc>
        <w:tc>
          <w:tcPr>
            <w:tcW w:w="1470" w:type="dxa"/>
            <w:noWrap/>
            <w:tcMar>
              <w:left w:w="57" w:type="dxa"/>
              <w:right w:w="57" w:type="dxa"/>
            </w:tcMar>
            <w:vAlign w:val="center"/>
          </w:tcPr>
          <w:p>
            <w:pPr>
              <w:spacing w:line="240" w:lineRule="auto"/>
              <w:jc w:val="center"/>
              <w:rPr>
                <w:rFonts w:ascii="宋体" w:hAnsi="宋体" w:eastAsia="宋体" w:cs="宋体"/>
                <w:color w:val="auto"/>
                <w:szCs w:val="21"/>
              </w:rPr>
            </w:pPr>
            <w:r>
              <w:rPr>
                <w:rFonts w:hint="eastAsia" w:ascii="宋体" w:hAnsi="宋体" w:eastAsia="宋体" w:cs="宋体"/>
                <w:color w:val="auto"/>
                <w:szCs w:val="21"/>
                <w:lang w:val="en-US" w:eastAsia="zh-CN"/>
              </w:rPr>
              <w:t xml:space="preserve">针对该项 </w:t>
            </w:r>
          </w:p>
          <w:p>
            <w:pPr>
              <w:spacing w:line="240" w:lineRule="auto"/>
              <w:jc w:val="center"/>
              <w:rPr>
                <w:rFonts w:ascii="宋体" w:hAnsi="宋体" w:eastAsia="宋体" w:cs="宋体"/>
                <w:color w:val="auto"/>
                <w:szCs w:val="21"/>
              </w:rPr>
            </w:pPr>
            <w:r>
              <w:rPr>
                <w:rFonts w:hint="eastAsia" w:ascii="宋体" w:hAnsi="宋体" w:eastAsia="宋体" w:cs="宋体"/>
                <w:color w:val="auto"/>
                <w:szCs w:val="21"/>
                <w:lang w:val="en-US" w:eastAsia="zh-CN"/>
              </w:rPr>
              <w:t xml:space="preserve">目的承诺 </w:t>
            </w:r>
          </w:p>
          <w:p>
            <w:pPr>
              <w:spacing w:line="240" w:lineRule="auto"/>
              <w:jc w:val="center"/>
              <w:rPr>
                <w:rFonts w:ascii="宋体" w:hAnsi="宋体" w:eastAsia="宋体" w:cs="宋体"/>
                <w:color w:val="auto"/>
                <w:szCs w:val="21"/>
              </w:rPr>
            </w:pPr>
            <w:r>
              <w:rPr>
                <w:rFonts w:hint="eastAsia" w:ascii="宋体" w:hAnsi="宋体" w:eastAsia="宋体" w:cs="宋体"/>
                <w:color w:val="auto"/>
                <w:szCs w:val="21"/>
                <w:lang w:val="en-US" w:eastAsia="zh-CN"/>
              </w:rPr>
              <w:t>（</w:t>
            </w:r>
            <w:r>
              <w:rPr>
                <w:rFonts w:hint="eastAsia" w:ascii="宋体" w:hAnsi="宋体" w:cs="宋体"/>
                <w:color w:val="auto"/>
                <w:szCs w:val="21"/>
                <w:lang w:val="en-US" w:eastAsia="zh-CN"/>
              </w:rPr>
              <w:t>5</w:t>
            </w:r>
            <w:r>
              <w:rPr>
                <w:rFonts w:hint="eastAsia" w:ascii="宋体" w:hAnsi="宋体" w:eastAsia="宋体" w:cs="宋体"/>
                <w:color w:val="auto"/>
                <w:szCs w:val="21"/>
                <w:lang w:val="en-US" w:eastAsia="zh-CN"/>
              </w:rPr>
              <w:t>分）</w:t>
            </w:r>
          </w:p>
          <w:p>
            <w:pPr>
              <w:spacing w:line="240" w:lineRule="auto"/>
              <w:jc w:val="center"/>
              <w:rPr>
                <w:rFonts w:ascii="宋体" w:hAnsi="宋体" w:eastAsia="宋体" w:cs="宋体"/>
                <w:color w:val="auto"/>
                <w:kern w:val="2"/>
                <w:sz w:val="21"/>
                <w:szCs w:val="21"/>
                <w:lang w:val="en-US" w:eastAsia="zh-CN" w:bidi="ar-SA"/>
              </w:rPr>
            </w:pPr>
          </w:p>
        </w:tc>
        <w:tc>
          <w:tcPr>
            <w:tcW w:w="5971" w:type="dxa"/>
            <w:noWrap/>
            <w:vAlign w:val="center"/>
          </w:tcPr>
          <w:p>
            <w:pPr>
              <w:spacing w:line="240" w:lineRule="auto"/>
              <w:jc w:val="left"/>
              <w:rPr>
                <w:rFonts w:ascii="宋体" w:hAnsi="宋体" w:eastAsia="宋体" w:cs="宋体"/>
                <w:color w:val="auto"/>
                <w:szCs w:val="21"/>
              </w:rPr>
            </w:pPr>
            <w:r>
              <w:rPr>
                <w:rFonts w:hint="eastAsia" w:ascii="宋体" w:hAnsi="宋体" w:eastAsia="宋体" w:cs="宋体"/>
                <w:color w:val="auto"/>
                <w:szCs w:val="21"/>
                <w:lang w:val="en-US" w:eastAsia="zh-CN"/>
              </w:rPr>
              <w:t>供应商应针对</w:t>
            </w:r>
            <w:r>
              <w:rPr>
                <w:rFonts w:hint="eastAsia" w:ascii="宋体" w:hAnsi="宋体" w:cs="宋体"/>
                <w:color w:val="auto"/>
                <w:szCs w:val="21"/>
                <w:lang w:val="en-US" w:eastAsia="zh-CN"/>
              </w:rPr>
              <w:t>本</w:t>
            </w:r>
            <w:r>
              <w:rPr>
                <w:rFonts w:hint="eastAsia" w:ascii="宋体" w:hAnsi="宋体" w:eastAsia="宋体" w:cs="宋体"/>
                <w:color w:val="auto"/>
                <w:szCs w:val="21"/>
                <w:lang w:val="en-US" w:eastAsia="zh-CN"/>
              </w:rPr>
              <w:t xml:space="preserve">项目做以下承诺并加盖本单位公章： </w:t>
            </w:r>
          </w:p>
          <w:p>
            <w:pPr>
              <w:spacing w:line="240" w:lineRule="auto"/>
              <w:jc w:val="left"/>
              <w:rPr>
                <w:rFonts w:ascii="宋体" w:hAnsi="宋体" w:eastAsia="宋体" w:cs="宋体"/>
                <w:color w:val="auto"/>
                <w:szCs w:val="21"/>
              </w:rPr>
            </w:pPr>
            <w:r>
              <w:rPr>
                <w:rFonts w:hint="eastAsia" w:ascii="宋体" w:hAnsi="宋体" w:eastAsia="宋体" w:cs="宋体"/>
                <w:color w:val="auto"/>
                <w:szCs w:val="21"/>
                <w:lang w:val="en-US" w:eastAsia="zh-CN"/>
              </w:rPr>
              <w:t xml:space="preserve">1.需遵守相关法律法规并服从学校相关制度及管理的承诺。 </w:t>
            </w:r>
          </w:p>
          <w:p>
            <w:pPr>
              <w:spacing w:line="240" w:lineRule="auto"/>
              <w:jc w:val="left"/>
              <w:rPr>
                <w:rFonts w:ascii="宋体" w:hAnsi="宋体" w:eastAsia="宋体" w:cs="宋体"/>
                <w:color w:val="auto"/>
                <w:szCs w:val="21"/>
              </w:rPr>
            </w:pPr>
            <w:r>
              <w:rPr>
                <w:rFonts w:hint="eastAsia" w:ascii="宋体" w:hAnsi="宋体" w:eastAsia="宋体" w:cs="宋体"/>
                <w:color w:val="auto"/>
                <w:szCs w:val="21"/>
                <w:lang w:val="en-US" w:eastAsia="zh-CN"/>
              </w:rPr>
              <w:t xml:space="preserve">2.饭菜价格不高于当地同类高校平均价格的承诺。 </w:t>
            </w:r>
          </w:p>
          <w:p>
            <w:pPr>
              <w:spacing w:line="240" w:lineRule="auto"/>
              <w:jc w:val="left"/>
              <w:rPr>
                <w:rFonts w:ascii="宋体" w:hAnsi="宋体" w:eastAsia="宋体" w:cs="宋体"/>
                <w:color w:val="auto"/>
                <w:szCs w:val="21"/>
              </w:rPr>
            </w:pPr>
            <w:r>
              <w:rPr>
                <w:rFonts w:hint="eastAsia" w:ascii="宋体" w:hAnsi="宋体" w:eastAsia="宋体" w:cs="宋体"/>
                <w:color w:val="auto"/>
                <w:szCs w:val="21"/>
                <w:lang w:val="en-US" w:eastAsia="zh-CN"/>
              </w:rPr>
              <w:t xml:space="preserve">3.严格遵守学校考核办法与准入退出机制的承诺。 </w:t>
            </w:r>
          </w:p>
          <w:p>
            <w:pPr>
              <w:spacing w:line="240" w:lineRule="auto"/>
              <w:jc w:val="left"/>
              <w:rPr>
                <w:rFonts w:ascii="宋体" w:hAnsi="宋体" w:eastAsia="宋体" w:cs="宋体"/>
                <w:color w:val="auto"/>
                <w:szCs w:val="21"/>
              </w:rPr>
            </w:pPr>
            <w:r>
              <w:rPr>
                <w:rFonts w:hint="eastAsia" w:ascii="宋体" w:hAnsi="宋体" w:eastAsia="宋体" w:cs="宋体"/>
                <w:color w:val="auto"/>
                <w:szCs w:val="21"/>
                <w:lang w:val="en-US" w:eastAsia="zh-CN"/>
              </w:rPr>
              <w:t xml:space="preserve">4.与现有经营者平稳交接到位的承诺。 </w:t>
            </w:r>
          </w:p>
          <w:p>
            <w:pPr>
              <w:spacing w:line="240" w:lineRule="auto"/>
              <w:jc w:val="left"/>
              <w:rPr>
                <w:rFonts w:ascii="宋体" w:hAnsi="宋体" w:eastAsia="宋体" w:cs="宋体"/>
                <w:color w:val="auto"/>
                <w:szCs w:val="21"/>
              </w:rPr>
            </w:pPr>
            <w:r>
              <w:rPr>
                <w:rFonts w:hint="eastAsia" w:ascii="宋体" w:hAnsi="宋体" w:eastAsia="宋体" w:cs="宋体"/>
                <w:color w:val="auto"/>
                <w:szCs w:val="21"/>
                <w:lang w:val="en-US" w:eastAsia="zh-CN"/>
              </w:rPr>
              <w:t xml:space="preserve">5.妥善安置与分流现有临时工的承诺。 </w:t>
            </w:r>
          </w:p>
          <w:p>
            <w:pPr>
              <w:spacing w:line="240" w:lineRule="auto"/>
              <w:jc w:val="left"/>
              <w:rPr>
                <w:rFonts w:ascii="宋体" w:hAnsi="宋体" w:eastAsia="宋体" w:cs="宋体"/>
                <w:color w:val="auto"/>
                <w:szCs w:val="21"/>
              </w:rPr>
            </w:pPr>
            <w:r>
              <w:rPr>
                <w:rFonts w:hint="eastAsia" w:ascii="宋体" w:hAnsi="宋体" w:eastAsia="宋体" w:cs="宋体"/>
                <w:color w:val="auto"/>
                <w:szCs w:val="21"/>
                <w:lang w:val="en-US" w:eastAsia="zh-CN"/>
              </w:rPr>
              <w:t xml:space="preserve">6.对本项目各环节安全生产的承诺。 </w:t>
            </w:r>
          </w:p>
          <w:p>
            <w:pPr>
              <w:spacing w:line="240" w:lineRule="auto"/>
              <w:jc w:val="left"/>
              <w:rPr>
                <w:rFonts w:ascii="宋体" w:hAnsi="宋体" w:eastAsia="宋体" w:cs="宋体"/>
                <w:color w:val="auto"/>
                <w:szCs w:val="21"/>
              </w:rPr>
            </w:pPr>
            <w:r>
              <w:rPr>
                <w:rFonts w:hint="eastAsia" w:ascii="宋体" w:hAnsi="宋体" w:eastAsia="宋体" w:cs="宋体"/>
                <w:color w:val="auto"/>
                <w:szCs w:val="21"/>
                <w:lang w:val="en-US" w:eastAsia="zh-CN"/>
              </w:rPr>
              <w:t xml:space="preserve">7.供应商中标后在本地设立办公场所的承诺。 </w:t>
            </w:r>
          </w:p>
          <w:p>
            <w:pPr>
              <w:spacing w:line="240" w:lineRule="auto"/>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8.供应商针对本项目提供服务计划、应急措施，包括 24 小时电话响应、服务人员1小时到达现场、解决问题时间等服务承诺。</w:t>
            </w:r>
          </w:p>
          <w:p>
            <w:pPr>
              <w:spacing w:line="240" w:lineRule="auto"/>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9</w:t>
            </w:r>
            <w:r>
              <w:rPr>
                <w:rFonts w:hint="eastAsia" w:ascii="宋体" w:hAnsi="宋体" w:cs="宋体"/>
                <w:color w:val="auto"/>
                <w:szCs w:val="21"/>
                <w:lang w:val="en-US" w:eastAsia="zh-CN"/>
              </w:rPr>
              <w:t>.</w:t>
            </w:r>
            <w:r>
              <w:rPr>
                <w:rFonts w:hint="eastAsia" w:ascii="宋体" w:hAnsi="宋体" w:eastAsia="宋体" w:cs="宋体"/>
                <w:color w:val="auto"/>
                <w:szCs w:val="21"/>
                <w:lang w:val="en-US" w:eastAsia="zh-CN"/>
              </w:rPr>
              <w:t>对本项目到期后无条件退场做好交接工作的承诺</w:t>
            </w:r>
            <w:r>
              <w:rPr>
                <w:rFonts w:hint="eastAsia" w:ascii="宋体" w:hAnsi="宋体" w:cs="宋体"/>
                <w:color w:val="auto"/>
                <w:szCs w:val="21"/>
                <w:lang w:val="en-US" w:eastAsia="zh-CN"/>
              </w:rPr>
              <w:t>。</w:t>
            </w:r>
          </w:p>
          <w:p>
            <w:pPr>
              <w:spacing w:line="240" w:lineRule="auto"/>
              <w:jc w:val="left"/>
              <w:rPr>
                <w:rFonts w:ascii="宋体" w:hAnsi="宋体" w:eastAsia="宋体" w:cs="宋体"/>
                <w:color w:val="auto"/>
                <w:kern w:val="2"/>
                <w:sz w:val="21"/>
                <w:szCs w:val="21"/>
                <w:lang w:val="en-US" w:eastAsia="zh-CN" w:bidi="ar-SA"/>
              </w:rPr>
            </w:pPr>
            <w:r>
              <w:rPr>
                <w:rFonts w:hint="eastAsia" w:ascii="宋体" w:hAnsi="宋体" w:eastAsia="宋体" w:cs="宋体"/>
                <w:color w:val="auto"/>
                <w:szCs w:val="21"/>
                <w:lang w:val="en-US" w:eastAsia="zh-CN"/>
              </w:rPr>
              <w:t>注：以上全部承诺得满分，缺任何一项不得分，格式自拟。</w:t>
            </w:r>
          </w:p>
        </w:tc>
      </w:tr>
    </w:tbl>
    <w:p>
      <w:pPr>
        <w:pStyle w:val="68"/>
        <w:rPr>
          <w:color w:val="auto"/>
        </w:rPr>
      </w:pPr>
    </w:p>
    <w:bookmarkEnd w:id="772"/>
    <w:bookmarkEnd w:id="773"/>
    <w:bookmarkEnd w:id="774"/>
    <w:bookmarkEnd w:id="775"/>
    <w:bookmarkEnd w:id="776"/>
    <w:bookmarkEnd w:id="777"/>
    <w:p>
      <w:pPr>
        <w:spacing w:line="360" w:lineRule="auto"/>
        <w:outlineLvl w:val="1"/>
        <w:rPr>
          <w:rFonts w:hint="eastAsia" w:ascii="宋体" w:hAnsi="宋体" w:cs="宋体"/>
          <w:b/>
          <w:bCs/>
          <w:color w:val="auto"/>
          <w:szCs w:val="21"/>
        </w:rPr>
      </w:pPr>
      <w:bookmarkStart w:id="778" w:name="_Toc21918"/>
      <w:r>
        <w:rPr>
          <w:rFonts w:hint="eastAsia" w:ascii="宋体" w:hAnsi="宋体" w:cs="宋体"/>
          <w:b/>
          <w:bCs/>
          <w:color w:val="auto"/>
          <w:szCs w:val="21"/>
        </w:rPr>
        <w:t>1. 评审方法</w:t>
      </w:r>
      <w:bookmarkEnd w:id="778"/>
    </w:p>
    <w:p>
      <w:pPr>
        <w:spacing w:line="360" w:lineRule="auto"/>
        <w:ind w:firstLine="420" w:firstLineChars="200"/>
        <w:rPr>
          <w:rFonts w:hint="eastAsia" w:ascii="宋体" w:hAnsi="宋体" w:cs="宋体"/>
          <w:color w:val="auto"/>
          <w:kern w:val="0"/>
          <w:szCs w:val="21"/>
        </w:rPr>
      </w:pPr>
      <w:r>
        <w:rPr>
          <w:rFonts w:hint="eastAsia" w:ascii="宋体" w:hAnsi="宋体" w:cs="宋体"/>
          <w:color w:val="auto"/>
          <w:szCs w:val="21"/>
          <w:lang w:bidi="en-US"/>
        </w:rPr>
        <w:t>本次评审采用综合评分法。磋商小组对满足磋商文件实质性要求的响应文件</w:t>
      </w:r>
      <w:r>
        <w:rPr>
          <w:rFonts w:hint="eastAsia" w:ascii="宋体" w:hAnsi="宋体" w:cs="宋体"/>
          <w:color w:val="auto"/>
          <w:szCs w:val="21"/>
        </w:rPr>
        <w:t>，按照本章规定的评分标准进行打分，并按得分由高到低顺序推荐成交候选人，</w:t>
      </w:r>
      <w:r>
        <w:rPr>
          <w:rFonts w:hint="eastAsia" w:ascii="宋体" w:hAnsi="宋体" w:cs="宋体"/>
          <w:color w:val="auto"/>
          <w:kern w:val="0"/>
          <w:szCs w:val="21"/>
        </w:rPr>
        <w:t>综合评分相等时，以报价得分高的优先；报价得分也相等的，由采购人自行确定。</w:t>
      </w:r>
      <w:bookmarkStart w:id="779" w:name="_Toc490667876"/>
      <w:bookmarkStart w:id="780" w:name="_Toc455867817"/>
      <w:bookmarkStart w:id="781" w:name="_Toc26131"/>
      <w:bookmarkStart w:id="782" w:name="_Toc281405529"/>
      <w:bookmarkStart w:id="783" w:name="_Toc152042378"/>
      <w:bookmarkStart w:id="784" w:name="_Toc466298140"/>
      <w:bookmarkStart w:id="785" w:name="_Toc152045601"/>
      <w:bookmarkStart w:id="786" w:name="_Toc318450723"/>
      <w:bookmarkStart w:id="787" w:name="_Toc455080157"/>
      <w:bookmarkStart w:id="788" w:name="_Toc144974568"/>
      <w:bookmarkStart w:id="789" w:name="_Toc6612"/>
      <w:bookmarkStart w:id="790" w:name="_Toc20837"/>
      <w:bookmarkStart w:id="791" w:name="_Toc29362"/>
      <w:bookmarkStart w:id="792" w:name="_Toc24936"/>
    </w:p>
    <w:p>
      <w:pPr>
        <w:numPr>
          <w:ilvl w:val="0"/>
          <w:numId w:val="0"/>
        </w:numPr>
        <w:spacing w:line="360" w:lineRule="auto"/>
        <w:rPr>
          <w:rFonts w:hint="eastAsia" w:ascii="宋体" w:hAnsi="宋体" w:eastAsia="宋体"/>
          <w:b/>
          <w:bCs/>
          <w:color w:val="auto"/>
          <w:sz w:val="21"/>
          <w:szCs w:val="21"/>
        </w:rPr>
      </w:pPr>
      <w:r>
        <w:rPr>
          <w:rFonts w:hint="eastAsia" w:ascii="宋体" w:hAnsi="宋体" w:eastAsia="宋体"/>
          <w:b/>
          <w:bCs/>
          <w:color w:val="auto"/>
          <w:sz w:val="21"/>
          <w:szCs w:val="21"/>
          <w:lang w:val="en-US" w:eastAsia="zh-CN"/>
        </w:rPr>
        <w:t>2.</w:t>
      </w:r>
      <w:r>
        <w:rPr>
          <w:rFonts w:hint="eastAsia" w:ascii="宋体" w:hAnsi="宋体" w:eastAsia="宋体"/>
          <w:b/>
          <w:bCs/>
          <w:color w:val="auto"/>
          <w:sz w:val="21"/>
          <w:szCs w:val="21"/>
        </w:rPr>
        <w:t>评审标准</w:t>
      </w:r>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Start w:id="793" w:name="_Toc15813"/>
      <w:bookmarkStart w:id="794" w:name="_Toc6711"/>
      <w:bookmarkStart w:id="795" w:name="_Toc144974569"/>
      <w:bookmarkStart w:id="796" w:name="_Toc281405530"/>
      <w:bookmarkStart w:id="797" w:name="_Toc455080158"/>
      <w:bookmarkStart w:id="798" w:name="_Toc455867818"/>
      <w:bookmarkStart w:id="799" w:name="_Toc318450724"/>
      <w:bookmarkStart w:id="800" w:name="_Toc11223"/>
      <w:bookmarkStart w:id="801" w:name="_Toc152045602"/>
      <w:bookmarkStart w:id="802" w:name="_Toc152042379"/>
      <w:bookmarkStart w:id="803" w:name="_Toc21120"/>
      <w:bookmarkStart w:id="804" w:name="_Toc2867"/>
      <w:bookmarkStart w:id="805" w:name="_Toc31037"/>
      <w:bookmarkStart w:id="806" w:name="_Toc25637"/>
      <w:bookmarkStart w:id="807" w:name="_Toc466298141"/>
      <w:bookmarkStart w:id="808" w:name="_Toc19934"/>
      <w:bookmarkStart w:id="809" w:name="_Toc490667877"/>
      <w:bookmarkStart w:id="810" w:name="_Toc24558"/>
    </w:p>
    <w:p>
      <w:pPr>
        <w:numPr>
          <w:ilvl w:val="0"/>
          <w:numId w:val="0"/>
        </w:numPr>
        <w:spacing w:line="360" w:lineRule="auto"/>
        <w:rPr>
          <w:rFonts w:hint="eastAsia" w:ascii="宋体" w:hAnsi="宋体" w:eastAsia="宋体"/>
          <w:b/>
          <w:bCs/>
          <w:color w:val="auto"/>
          <w:sz w:val="21"/>
          <w:szCs w:val="21"/>
        </w:rPr>
      </w:pPr>
      <w:r>
        <w:rPr>
          <w:rFonts w:hint="eastAsia" w:ascii="宋体" w:hAnsi="宋体" w:eastAsia="宋体"/>
          <w:b/>
          <w:bCs/>
          <w:color w:val="auto"/>
          <w:sz w:val="21"/>
          <w:szCs w:val="21"/>
        </w:rPr>
        <w:t>2.1 初步评审标准</w:t>
      </w:r>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2.1.1 </w:t>
      </w:r>
      <w:r>
        <w:rPr>
          <w:rFonts w:hint="eastAsia" w:ascii="宋体" w:hAnsi="宋体" w:cs="宋体"/>
          <w:color w:val="auto"/>
          <w:szCs w:val="21"/>
          <w:lang w:eastAsia="zh-CN"/>
        </w:rPr>
        <w:t>资格</w:t>
      </w:r>
      <w:r>
        <w:rPr>
          <w:rFonts w:hint="eastAsia" w:ascii="宋体" w:hAnsi="宋体" w:cs="宋体"/>
          <w:color w:val="auto"/>
          <w:szCs w:val="21"/>
        </w:rPr>
        <w:t>评审标准：见评审办法前附表。</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2.1.2</w:t>
      </w:r>
      <w:r>
        <w:rPr>
          <w:rFonts w:hint="eastAsia" w:ascii="宋体" w:hAnsi="宋体" w:cs="宋体"/>
          <w:color w:val="auto"/>
          <w:szCs w:val="21"/>
          <w:lang w:eastAsia="zh-CN"/>
        </w:rPr>
        <w:t>符合性</w:t>
      </w:r>
      <w:r>
        <w:rPr>
          <w:rFonts w:hint="eastAsia" w:ascii="宋体" w:hAnsi="宋体" w:cs="宋体"/>
          <w:color w:val="auto"/>
          <w:szCs w:val="21"/>
        </w:rPr>
        <w:t>评审标准：见评审办法前附表。</w:t>
      </w:r>
    </w:p>
    <w:p>
      <w:pPr>
        <w:pStyle w:val="183"/>
        <w:spacing w:line="360" w:lineRule="auto"/>
        <w:outlineLvl w:val="0"/>
        <w:rPr>
          <w:rFonts w:hint="eastAsia" w:ascii="宋体" w:hAnsi="宋体" w:eastAsia="宋体"/>
          <w:b/>
          <w:bCs/>
          <w:color w:val="auto"/>
          <w:sz w:val="21"/>
          <w:szCs w:val="21"/>
        </w:rPr>
      </w:pPr>
      <w:bookmarkStart w:id="811" w:name="_Toc455080159"/>
      <w:bookmarkStart w:id="812" w:name="_Toc26179"/>
      <w:bookmarkStart w:id="813" w:name="_Toc455867819"/>
      <w:bookmarkStart w:id="814" w:name="_Toc5184"/>
      <w:bookmarkStart w:id="815" w:name="_Toc144974570"/>
      <w:bookmarkStart w:id="816" w:name="_Toc490667878"/>
      <w:bookmarkStart w:id="817" w:name="_Toc24825"/>
      <w:bookmarkStart w:id="818" w:name="_Toc12013"/>
      <w:bookmarkStart w:id="819" w:name="_Toc22439"/>
      <w:bookmarkStart w:id="820" w:name="_Toc152042380"/>
      <w:bookmarkStart w:id="821" w:name="_Toc466298142"/>
      <w:bookmarkStart w:id="822" w:name="_Toc318450725"/>
      <w:bookmarkStart w:id="823" w:name="_Toc21970"/>
      <w:bookmarkStart w:id="824" w:name="_Toc11061"/>
      <w:bookmarkStart w:id="825" w:name="_Toc30189"/>
      <w:bookmarkStart w:id="826" w:name="_Toc152045603"/>
      <w:bookmarkStart w:id="827" w:name="_Toc7284"/>
      <w:bookmarkStart w:id="828" w:name="_Toc281405531"/>
      <w:bookmarkStart w:id="829" w:name="_Toc25492"/>
      <w:bookmarkStart w:id="830" w:name="_Toc455867820"/>
      <w:bookmarkStart w:id="831" w:name="_Toc318450726"/>
      <w:bookmarkStart w:id="832" w:name="_Toc281405532"/>
      <w:bookmarkStart w:id="833" w:name="_Toc490667879"/>
      <w:bookmarkStart w:id="834" w:name="_Toc18127"/>
      <w:bookmarkStart w:id="835" w:name="_Toc29297"/>
      <w:bookmarkStart w:id="836" w:name="_Toc17308"/>
      <w:bookmarkStart w:id="837" w:name="_Toc455080160"/>
      <w:bookmarkStart w:id="838" w:name="_Toc16479"/>
      <w:bookmarkStart w:id="839" w:name="_Toc466298143"/>
      <w:bookmarkStart w:id="840" w:name="_Toc32314"/>
      <w:r>
        <w:rPr>
          <w:rFonts w:hint="eastAsia" w:ascii="宋体" w:hAnsi="宋体" w:eastAsia="宋体"/>
          <w:b/>
          <w:bCs/>
          <w:color w:val="auto"/>
          <w:sz w:val="21"/>
          <w:szCs w:val="21"/>
        </w:rPr>
        <w:t>2.2 分值构成与评分标准</w:t>
      </w:r>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p>
    <w:p>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2.2.1 分值构成</w:t>
      </w:r>
    </w:p>
    <w:p>
      <w:pPr>
        <w:adjustRightInd w:val="0"/>
        <w:snapToGrid w:val="0"/>
        <w:spacing w:line="360" w:lineRule="auto"/>
        <w:ind w:firstLine="718" w:firstLineChars="342"/>
        <w:rPr>
          <w:rFonts w:hint="eastAsia" w:ascii="宋体" w:hAnsi="宋体" w:cs="宋体"/>
          <w:color w:val="auto"/>
          <w:szCs w:val="21"/>
        </w:rPr>
      </w:pPr>
      <w:r>
        <w:rPr>
          <w:rFonts w:hint="eastAsia" w:ascii="宋体" w:hAnsi="宋体" w:cs="宋体"/>
          <w:color w:val="auto"/>
          <w:szCs w:val="21"/>
        </w:rPr>
        <w:t>（1）商务</w:t>
      </w:r>
      <w:r>
        <w:rPr>
          <w:rFonts w:hint="eastAsia" w:ascii="宋体" w:hAnsi="宋体" w:cs="宋体"/>
          <w:color w:val="auto"/>
          <w:szCs w:val="21"/>
          <w:lang w:val="en-US" w:eastAsia="zh-CN"/>
        </w:rPr>
        <w:t>部分</w:t>
      </w:r>
      <w:r>
        <w:rPr>
          <w:rFonts w:hint="eastAsia" w:ascii="宋体" w:hAnsi="宋体" w:cs="宋体"/>
          <w:color w:val="auto"/>
          <w:szCs w:val="21"/>
        </w:rPr>
        <w:t>：见评标办法前附表；</w:t>
      </w:r>
    </w:p>
    <w:p>
      <w:pPr>
        <w:adjustRightInd w:val="0"/>
        <w:snapToGrid w:val="0"/>
        <w:spacing w:line="360" w:lineRule="auto"/>
        <w:ind w:firstLine="718" w:firstLineChars="342"/>
        <w:rPr>
          <w:rFonts w:hint="eastAsia" w:ascii="宋体" w:hAnsi="宋体" w:cs="宋体"/>
          <w:color w:val="auto"/>
          <w:szCs w:val="21"/>
          <w:lang w:eastAsia="zh-CN"/>
        </w:rPr>
      </w:pPr>
      <w:r>
        <w:rPr>
          <w:rFonts w:hint="eastAsia" w:ascii="宋体" w:hAnsi="宋体" w:cs="宋体"/>
          <w:color w:val="auto"/>
          <w:szCs w:val="21"/>
        </w:rPr>
        <w:t>（2）技术</w:t>
      </w:r>
      <w:r>
        <w:rPr>
          <w:rFonts w:hint="eastAsia" w:ascii="宋体" w:hAnsi="宋体" w:cs="宋体"/>
          <w:color w:val="auto"/>
          <w:szCs w:val="21"/>
          <w:lang w:val="en-US" w:eastAsia="zh-CN"/>
        </w:rPr>
        <w:t>部分</w:t>
      </w:r>
      <w:r>
        <w:rPr>
          <w:rFonts w:hint="eastAsia" w:ascii="宋体" w:hAnsi="宋体" w:cs="宋体"/>
          <w:color w:val="auto"/>
          <w:szCs w:val="21"/>
        </w:rPr>
        <w:t>：见评标办法前附表；</w:t>
      </w:r>
    </w:p>
    <w:p>
      <w:pPr>
        <w:adjustRightInd w:val="0"/>
        <w:snapToGrid w:val="0"/>
        <w:spacing w:line="360" w:lineRule="auto"/>
        <w:ind w:firstLine="718" w:firstLineChars="342"/>
        <w:rPr>
          <w:rFonts w:hint="eastAsia" w:ascii="宋体" w:hAnsi="宋体" w:cs="宋体"/>
          <w:color w:val="auto"/>
          <w:szCs w:val="21"/>
          <w:lang w:eastAsia="zh-CN"/>
        </w:rPr>
      </w:pPr>
      <w:r>
        <w:rPr>
          <w:rFonts w:hint="eastAsia" w:ascii="宋体" w:hAnsi="宋体" w:cs="宋体"/>
          <w:color w:val="auto"/>
          <w:szCs w:val="21"/>
        </w:rPr>
        <w:t>（</w:t>
      </w:r>
      <w:r>
        <w:rPr>
          <w:rFonts w:hint="eastAsia" w:ascii="宋体" w:hAnsi="宋体" w:cs="宋体"/>
          <w:color w:val="auto"/>
          <w:szCs w:val="21"/>
          <w:lang w:val="en-US" w:eastAsia="zh-CN"/>
        </w:rPr>
        <w:t>3</w:t>
      </w:r>
      <w:r>
        <w:rPr>
          <w:rFonts w:hint="eastAsia" w:ascii="宋体" w:hAnsi="宋体" w:cs="宋体"/>
          <w:color w:val="auto"/>
          <w:szCs w:val="21"/>
        </w:rPr>
        <w:t>）</w:t>
      </w:r>
      <w:r>
        <w:rPr>
          <w:rFonts w:hint="eastAsia" w:ascii="宋体" w:hAnsi="宋体" w:cs="宋体"/>
          <w:color w:val="auto"/>
          <w:szCs w:val="21"/>
          <w:lang w:eastAsia="zh-CN"/>
        </w:rPr>
        <w:t>综合</w:t>
      </w:r>
      <w:r>
        <w:rPr>
          <w:rFonts w:hint="eastAsia" w:ascii="宋体" w:hAnsi="宋体" w:cs="宋体"/>
          <w:color w:val="auto"/>
          <w:szCs w:val="21"/>
          <w:lang w:val="en-US" w:eastAsia="zh-CN"/>
        </w:rPr>
        <w:t>部分</w:t>
      </w:r>
      <w:r>
        <w:rPr>
          <w:rFonts w:hint="eastAsia" w:ascii="宋体" w:hAnsi="宋体" w:cs="宋体"/>
          <w:color w:val="auto"/>
          <w:szCs w:val="21"/>
        </w:rPr>
        <w:t>：见评标办法前附表</w:t>
      </w:r>
      <w:r>
        <w:rPr>
          <w:rFonts w:hint="eastAsia" w:ascii="宋体" w:hAnsi="宋体" w:cs="宋体"/>
          <w:color w:val="auto"/>
          <w:szCs w:val="21"/>
          <w:lang w:eastAsia="zh-CN"/>
        </w:rPr>
        <w:t>。</w:t>
      </w:r>
    </w:p>
    <w:p>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2.2.</w:t>
      </w:r>
      <w:r>
        <w:rPr>
          <w:rFonts w:hint="eastAsia" w:ascii="宋体" w:hAnsi="宋体" w:cs="宋体"/>
          <w:color w:val="auto"/>
          <w:szCs w:val="21"/>
          <w:lang w:val="en-US" w:eastAsia="zh-CN"/>
        </w:rPr>
        <w:t>2</w:t>
      </w:r>
      <w:r>
        <w:rPr>
          <w:rFonts w:hint="eastAsia" w:ascii="宋体" w:hAnsi="宋体" w:cs="宋体"/>
          <w:color w:val="auto"/>
          <w:szCs w:val="21"/>
        </w:rPr>
        <w:t xml:space="preserve"> 评分标准</w:t>
      </w:r>
    </w:p>
    <w:p>
      <w:pPr>
        <w:adjustRightInd w:val="0"/>
        <w:snapToGrid w:val="0"/>
        <w:spacing w:line="360" w:lineRule="auto"/>
        <w:ind w:firstLine="718" w:firstLineChars="342"/>
        <w:rPr>
          <w:rFonts w:hint="eastAsia" w:ascii="宋体" w:hAnsi="宋体" w:cs="宋体"/>
          <w:color w:val="auto"/>
          <w:szCs w:val="21"/>
        </w:rPr>
      </w:pPr>
      <w:r>
        <w:rPr>
          <w:rFonts w:hint="eastAsia" w:ascii="宋体" w:hAnsi="宋体" w:cs="宋体"/>
          <w:color w:val="auto"/>
          <w:szCs w:val="21"/>
        </w:rPr>
        <w:t>2.2.</w:t>
      </w:r>
      <w:r>
        <w:rPr>
          <w:rFonts w:hint="eastAsia" w:ascii="宋体" w:hAnsi="宋体" w:cs="宋体"/>
          <w:color w:val="auto"/>
          <w:szCs w:val="21"/>
          <w:lang w:val="en-US" w:eastAsia="zh-CN"/>
        </w:rPr>
        <w:t>2</w:t>
      </w:r>
      <w:r>
        <w:rPr>
          <w:rFonts w:hint="eastAsia" w:ascii="宋体" w:hAnsi="宋体" w:cs="宋体"/>
          <w:color w:val="auto"/>
          <w:szCs w:val="21"/>
        </w:rPr>
        <w:t>.1商务</w:t>
      </w:r>
      <w:r>
        <w:rPr>
          <w:rFonts w:hint="eastAsia" w:ascii="宋体" w:hAnsi="宋体" w:cs="宋体"/>
          <w:color w:val="auto"/>
          <w:szCs w:val="21"/>
          <w:lang w:val="en-US" w:eastAsia="zh-CN"/>
        </w:rPr>
        <w:t>部分</w:t>
      </w:r>
      <w:r>
        <w:rPr>
          <w:rFonts w:hint="eastAsia" w:ascii="宋体" w:hAnsi="宋体" w:cs="宋体"/>
          <w:color w:val="auto"/>
          <w:szCs w:val="21"/>
        </w:rPr>
        <w:t>评分标准：见评标办法前附表；</w:t>
      </w:r>
    </w:p>
    <w:p>
      <w:pPr>
        <w:adjustRightInd w:val="0"/>
        <w:snapToGrid w:val="0"/>
        <w:spacing w:line="360" w:lineRule="auto"/>
        <w:ind w:firstLine="718" w:firstLineChars="342"/>
        <w:rPr>
          <w:rFonts w:hint="eastAsia" w:ascii="宋体" w:hAnsi="宋体" w:cs="宋体"/>
          <w:color w:val="auto"/>
          <w:szCs w:val="21"/>
          <w:lang w:eastAsia="zh-CN"/>
        </w:rPr>
      </w:pPr>
      <w:r>
        <w:rPr>
          <w:rFonts w:hint="eastAsia" w:ascii="宋体" w:hAnsi="宋体" w:cs="宋体"/>
          <w:color w:val="auto"/>
          <w:szCs w:val="21"/>
        </w:rPr>
        <w:t>2.2</w:t>
      </w:r>
      <w:r>
        <w:rPr>
          <w:rFonts w:hint="eastAsia" w:ascii="宋体" w:hAnsi="宋体" w:cs="宋体"/>
          <w:color w:val="auto"/>
          <w:szCs w:val="21"/>
          <w:lang w:val="en-US" w:eastAsia="zh-CN"/>
        </w:rPr>
        <w:t>.2</w:t>
      </w:r>
      <w:r>
        <w:rPr>
          <w:rFonts w:hint="eastAsia" w:ascii="宋体" w:hAnsi="宋体" w:cs="宋体"/>
          <w:color w:val="auto"/>
          <w:szCs w:val="21"/>
        </w:rPr>
        <w:t>.2技术</w:t>
      </w:r>
      <w:r>
        <w:rPr>
          <w:rFonts w:hint="eastAsia" w:ascii="宋体" w:hAnsi="宋体" w:cs="宋体"/>
          <w:color w:val="auto"/>
          <w:szCs w:val="21"/>
          <w:lang w:val="en-US" w:eastAsia="zh-CN"/>
        </w:rPr>
        <w:t>部分</w:t>
      </w:r>
      <w:r>
        <w:rPr>
          <w:rFonts w:hint="eastAsia" w:ascii="宋体" w:hAnsi="宋体" w:cs="宋体"/>
          <w:color w:val="auto"/>
          <w:szCs w:val="21"/>
        </w:rPr>
        <w:t>评分标准：见评标办法前附表</w:t>
      </w:r>
      <w:r>
        <w:rPr>
          <w:rFonts w:hint="eastAsia" w:ascii="宋体" w:hAnsi="宋体" w:cs="宋体"/>
          <w:color w:val="auto"/>
          <w:szCs w:val="21"/>
          <w:lang w:eastAsia="zh-CN"/>
        </w:rPr>
        <w:t>；</w:t>
      </w:r>
    </w:p>
    <w:p>
      <w:pPr>
        <w:adjustRightInd w:val="0"/>
        <w:snapToGrid w:val="0"/>
        <w:spacing w:line="360" w:lineRule="auto"/>
        <w:ind w:firstLine="718" w:firstLineChars="342"/>
        <w:rPr>
          <w:rFonts w:hint="eastAsia" w:ascii="宋体" w:hAnsi="宋体" w:cs="宋体"/>
          <w:color w:val="auto"/>
          <w:szCs w:val="21"/>
          <w:lang w:eastAsia="zh-CN"/>
        </w:rPr>
      </w:pPr>
      <w:r>
        <w:rPr>
          <w:rFonts w:hint="eastAsia" w:ascii="宋体" w:hAnsi="宋体" w:cs="宋体"/>
          <w:color w:val="auto"/>
          <w:szCs w:val="21"/>
        </w:rPr>
        <w:t>2.2.</w:t>
      </w:r>
      <w:r>
        <w:rPr>
          <w:rFonts w:hint="eastAsia" w:ascii="宋体" w:hAnsi="宋体" w:cs="宋体"/>
          <w:color w:val="auto"/>
          <w:szCs w:val="21"/>
          <w:lang w:val="en-US" w:eastAsia="zh-CN"/>
        </w:rPr>
        <w:t>2</w:t>
      </w:r>
      <w:r>
        <w:rPr>
          <w:rFonts w:hint="eastAsia" w:ascii="宋体" w:hAnsi="宋体" w:cs="宋体"/>
          <w:color w:val="auto"/>
          <w:szCs w:val="21"/>
        </w:rPr>
        <w:t>.</w:t>
      </w:r>
      <w:r>
        <w:rPr>
          <w:rFonts w:hint="eastAsia" w:ascii="宋体" w:hAnsi="宋体" w:cs="宋体"/>
          <w:color w:val="auto"/>
          <w:szCs w:val="21"/>
          <w:lang w:val="en-US" w:eastAsia="zh-CN"/>
        </w:rPr>
        <w:t>3</w:t>
      </w:r>
      <w:r>
        <w:rPr>
          <w:rFonts w:hint="eastAsia" w:ascii="宋体" w:hAnsi="宋体" w:cs="宋体"/>
          <w:color w:val="auto"/>
          <w:szCs w:val="21"/>
          <w:lang w:eastAsia="zh-CN"/>
        </w:rPr>
        <w:t>综合</w:t>
      </w:r>
      <w:r>
        <w:rPr>
          <w:rFonts w:hint="eastAsia" w:ascii="宋体" w:hAnsi="宋体" w:cs="宋体"/>
          <w:color w:val="auto"/>
          <w:szCs w:val="21"/>
          <w:lang w:val="en-US" w:eastAsia="zh-CN"/>
        </w:rPr>
        <w:t>部分</w:t>
      </w:r>
      <w:r>
        <w:rPr>
          <w:rFonts w:hint="eastAsia" w:ascii="宋体" w:hAnsi="宋体" w:cs="宋体"/>
          <w:color w:val="auto"/>
          <w:szCs w:val="21"/>
        </w:rPr>
        <w:t>评分标准：见评标办法前附表</w:t>
      </w:r>
      <w:r>
        <w:rPr>
          <w:rFonts w:hint="eastAsia" w:ascii="宋体" w:hAnsi="宋体" w:cs="宋体"/>
          <w:color w:val="auto"/>
          <w:szCs w:val="21"/>
          <w:lang w:eastAsia="zh-CN"/>
        </w:rPr>
        <w:t>。</w:t>
      </w:r>
    </w:p>
    <w:p>
      <w:pPr>
        <w:pStyle w:val="177"/>
        <w:spacing w:before="0" w:beforeLines="0" w:line="360" w:lineRule="auto"/>
        <w:rPr>
          <w:rFonts w:hint="eastAsia" w:ascii="宋体" w:hAnsi="宋体" w:eastAsia="宋体"/>
          <w:b/>
          <w:bCs/>
          <w:color w:val="auto"/>
          <w:sz w:val="21"/>
          <w:szCs w:val="21"/>
        </w:rPr>
      </w:pPr>
      <w:bookmarkStart w:id="841" w:name="_Toc25451"/>
      <w:r>
        <w:rPr>
          <w:rFonts w:hint="eastAsia" w:ascii="宋体" w:hAnsi="宋体" w:eastAsia="宋体"/>
          <w:b/>
          <w:bCs/>
          <w:color w:val="auto"/>
          <w:sz w:val="21"/>
          <w:szCs w:val="21"/>
        </w:rPr>
        <w:t>3. 评审程序</w:t>
      </w:r>
      <w:bookmarkEnd w:id="830"/>
      <w:bookmarkEnd w:id="831"/>
      <w:bookmarkEnd w:id="832"/>
      <w:bookmarkEnd w:id="833"/>
      <w:bookmarkEnd w:id="834"/>
      <w:bookmarkEnd w:id="835"/>
      <w:bookmarkEnd w:id="836"/>
      <w:bookmarkEnd w:id="837"/>
      <w:bookmarkEnd w:id="838"/>
      <w:bookmarkEnd w:id="839"/>
      <w:bookmarkEnd w:id="840"/>
      <w:bookmarkEnd w:id="841"/>
    </w:p>
    <w:p>
      <w:pPr>
        <w:pStyle w:val="183"/>
        <w:spacing w:line="360" w:lineRule="auto"/>
        <w:outlineLvl w:val="0"/>
        <w:rPr>
          <w:rFonts w:hint="eastAsia" w:ascii="宋体" w:hAnsi="宋体" w:eastAsia="宋体"/>
          <w:b/>
          <w:bCs/>
          <w:color w:val="auto"/>
          <w:sz w:val="21"/>
          <w:szCs w:val="21"/>
        </w:rPr>
      </w:pPr>
      <w:bookmarkStart w:id="842" w:name="_Toc29614"/>
      <w:bookmarkStart w:id="843" w:name="_Toc14633"/>
      <w:bookmarkStart w:id="844" w:name="_Toc2410"/>
      <w:bookmarkStart w:id="845" w:name="_Toc5427"/>
      <w:bookmarkStart w:id="846" w:name="_Toc466298144"/>
      <w:bookmarkStart w:id="847" w:name="_Toc29092"/>
      <w:bookmarkStart w:id="848" w:name="_Toc7272"/>
      <w:bookmarkStart w:id="849" w:name="_Toc455867821"/>
      <w:bookmarkStart w:id="850" w:name="_Toc32043"/>
      <w:bookmarkStart w:id="851" w:name="_Toc490667880"/>
      <w:bookmarkStart w:id="852" w:name="_Toc281405533"/>
      <w:bookmarkStart w:id="853" w:name="_Toc318450727"/>
      <w:bookmarkStart w:id="854" w:name="_Toc18886"/>
      <w:bookmarkStart w:id="855" w:name="_Toc9433"/>
      <w:bookmarkStart w:id="856" w:name="_Toc30986"/>
      <w:bookmarkStart w:id="857" w:name="_Toc455080161"/>
      <w:bookmarkStart w:id="858" w:name="_Toc16892"/>
      <w:r>
        <w:rPr>
          <w:rFonts w:hint="eastAsia" w:ascii="宋体" w:hAnsi="宋体" w:eastAsia="宋体"/>
          <w:b/>
          <w:bCs/>
          <w:color w:val="auto"/>
          <w:sz w:val="21"/>
          <w:szCs w:val="21"/>
        </w:rPr>
        <w:t>3.1 初步评审</w:t>
      </w:r>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3.1.1 磋商小组依据本章第2.1款规定的标准对响应文件进行初步评审。有一项不符合评审标准的，作废标处理。</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3.1.2 供应商有以下情形之一的，其响应文件作无效处理：</w:t>
      </w:r>
    </w:p>
    <w:p>
      <w:pPr>
        <w:spacing w:line="360" w:lineRule="auto"/>
        <w:ind w:firstLine="718" w:firstLineChars="342"/>
        <w:rPr>
          <w:rFonts w:hint="eastAsia" w:ascii="宋体" w:hAnsi="宋体" w:cs="宋体"/>
          <w:color w:val="auto"/>
          <w:szCs w:val="21"/>
        </w:rPr>
      </w:pPr>
      <w:r>
        <w:rPr>
          <w:rFonts w:hint="eastAsia" w:ascii="宋体" w:hAnsi="宋体" w:cs="宋体"/>
          <w:color w:val="auto"/>
          <w:szCs w:val="21"/>
        </w:rPr>
        <w:t>（1）串通或弄虚作假或有其他违法行为的；</w:t>
      </w:r>
    </w:p>
    <w:p>
      <w:pPr>
        <w:spacing w:line="360" w:lineRule="auto"/>
        <w:ind w:firstLine="718" w:firstLineChars="342"/>
        <w:rPr>
          <w:rFonts w:hint="eastAsia" w:ascii="宋体" w:hAnsi="宋体" w:cs="宋体"/>
          <w:color w:val="auto"/>
          <w:szCs w:val="21"/>
        </w:rPr>
      </w:pPr>
      <w:r>
        <w:rPr>
          <w:rFonts w:hint="eastAsia" w:ascii="宋体" w:hAnsi="宋体" w:cs="宋体"/>
          <w:color w:val="auto"/>
          <w:szCs w:val="21"/>
        </w:rPr>
        <w:t>（2）不按磋商小组要求澄清、说明或补正的；</w:t>
      </w:r>
    </w:p>
    <w:p>
      <w:pPr>
        <w:spacing w:line="360" w:lineRule="auto"/>
        <w:ind w:firstLine="718" w:firstLineChars="342"/>
        <w:rPr>
          <w:rFonts w:hint="eastAsia" w:ascii="宋体" w:hAnsi="宋体" w:cs="宋体"/>
          <w:color w:val="auto"/>
          <w:szCs w:val="21"/>
        </w:rPr>
      </w:pPr>
      <w:r>
        <w:rPr>
          <w:rFonts w:hint="eastAsia" w:ascii="宋体" w:hAnsi="宋体" w:cs="宋体"/>
          <w:color w:val="auto"/>
          <w:szCs w:val="21"/>
        </w:rPr>
        <w:t>（3）未按规定格式填写、内容不全或关键字迹模糊、无法辨认的；</w:t>
      </w:r>
    </w:p>
    <w:p>
      <w:pPr>
        <w:spacing w:line="360" w:lineRule="auto"/>
        <w:ind w:firstLine="718" w:firstLineChars="342"/>
        <w:rPr>
          <w:rFonts w:hint="eastAsia" w:ascii="宋体" w:hAnsi="宋体" w:cs="宋体"/>
          <w:color w:val="auto"/>
          <w:szCs w:val="21"/>
        </w:rPr>
      </w:pPr>
      <w:r>
        <w:rPr>
          <w:rFonts w:hint="eastAsia" w:ascii="宋体" w:hAnsi="宋体" w:cs="宋体"/>
          <w:color w:val="auto"/>
          <w:szCs w:val="21"/>
        </w:rPr>
        <w:t>（4）响应文件附有采购人不能接受的条件；</w:t>
      </w:r>
    </w:p>
    <w:p>
      <w:pPr>
        <w:spacing w:line="360" w:lineRule="auto"/>
        <w:ind w:firstLine="718" w:firstLineChars="342"/>
        <w:rPr>
          <w:rFonts w:hint="eastAsia" w:ascii="宋体" w:hAnsi="宋体" w:cs="宋体"/>
          <w:color w:val="auto"/>
          <w:szCs w:val="21"/>
        </w:rPr>
      </w:pPr>
      <w:r>
        <w:rPr>
          <w:rFonts w:hint="eastAsia" w:ascii="宋体" w:hAnsi="宋体" w:cs="宋体"/>
          <w:color w:val="auto"/>
          <w:szCs w:val="21"/>
        </w:rPr>
        <w:t>（5）不符合磋商文件规定的其他实质性要求。</w:t>
      </w:r>
    </w:p>
    <w:p>
      <w:pPr>
        <w:pStyle w:val="183"/>
        <w:spacing w:line="360" w:lineRule="auto"/>
        <w:outlineLvl w:val="0"/>
        <w:rPr>
          <w:rFonts w:hint="eastAsia" w:ascii="宋体" w:hAnsi="宋体" w:eastAsia="宋体"/>
          <w:b/>
          <w:bCs/>
          <w:color w:val="auto"/>
          <w:sz w:val="21"/>
          <w:szCs w:val="21"/>
        </w:rPr>
      </w:pPr>
      <w:bookmarkStart w:id="859" w:name="_Toc13386"/>
      <w:bookmarkStart w:id="860" w:name="_Toc466298145"/>
      <w:bookmarkStart w:id="861" w:name="_Toc455080162"/>
      <w:bookmarkStart w:id="862" w:name="_Toc490667881"/>
      <w:bookmarkStart w:id="863" w:name="_Toc12406"/>
      <w:bookmarkStart w:id="864" w:name="_Toc26280"/>
      <w:bookmarkStart w:id="865" w:name="_Toc21570"/>
      <w:bookmarkStart w:id="866" w:name="_Toc16964"/>
      <w:bookmarkStart w:id="867" w:name="_Toc21032"/>
      <w:bookmarkStart w:id="868" w:name="_Toc318450728"/>
      <w:bookmarkStart w:id="869" w:name="_Toc281405534"/>
      <w:bookmarkStart w:id="870" w:name="_Toc24788"/>
      <w:bookmarkStart w:id="871" w:name="_Toc26049"/>
      <w:bookmarkStart w:id="872" w:name="_Toc455867822"/>
      <w:bookmarkStart w:id="873" w:name="_Toc10692"/>
      <w:bookmarkStart w:id="874" w:name="_Toc7121"/>
      <w:bookmarkStart w:id="875" w:name="_Toc22101"/>
      <w:r>
        <w:rPr>
          <w:rFonts w:hint="eastAsia" w:ascii="宋体" w:hAnsi="宋体" w:eastAsia="宋体"/>
          <w:b/>
          <w:bCs/>
          <w:color w:val="auto"/>
          <w:sz w:val="21"/>
          <w:szCs w:val="21"/>
        </w:rPr>
        <w:t>3.2 详细评审</w:t>
      </w:r>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3.2.1 磋商小组按本章第2.2款规定的量化因素和分值进行打分，并计算出综合评分得分。</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3.2.2 评分分值计算保留小数点后两位，小数点后第三位“四舍五入”。</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3.2.3供应商的最终得分以全部小组成员打分的算术平均值为准，作为该供应商的最终得分。</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3.2.4在磋商过程中，凡遇到磋商文件中无界定或界定不清、前后不一致使磋商小组意见有分歧且又难以协商一致的问题，均由磋商小组予以表决，获半数以上同意的即为通过，未获半数同意的即为否决。</w:t>
      </w:r>
    </w:p>
    <w:p>
      <w:pPr>
        <w:pStyle w:val="183"/>
        <w:spacing w:line="360" w:lineRule="auto"/>
        <w:outlineLvl w:val="0"/>
        <w:rPr>
          <w:rFonts w:hint="eastAsia" w:ascii="宋体" w:hAnsi="宋体" w:eastAsia="宋体"/>
          <w:b/>
          <w:bCs/>
          <w:color w:val="auto"/>
          <w:sz w:val="21"/>
          <w:szCs w:val="21"/>
        </w:rPr>
      </w:pPr>
      <w:bookmarkStart w:id="876" w:name="_Toc8342"/>
      <w:bookmarkStart w:id="877" w:name="_Toc22084"/>
      <w:bookmarkStart w:id="878" w:name="_Toc455080163"/>
      <w:bookmarkStart w:id="879" w:name="_Toc8813"/>
      <w:bookmarkStart w:id="880" w:name="_Toc318450729"/>
      <w:bookmarkStart w:id="881" w:name="_Toc455867823"/>
      <w:bookmarkStart w:id="882" w:name="_Toc281405535"/>
      <w:bookmarkStart w:id="883" w:name="_Toc490667882"/>
      <w:bookmarkStart w:id="884" w:name="_Toc331"/>
      <w:bookmarkStart w:id="885" w:name="_Toc466298146"/>
      <w:bookmarkStart w:id="886" w:name="_Toc24862"/>
      <w:bookmarkStart w:id="887" w:name="_Toc11958"/>
      <w:bookmarkStart w:id="888" w:name="_Toc10153"/>
      <w:bookmarkStart w:id="889" w:name="_Toc3850"/>
      <w:bookmarkStart w:id="890" w:name="_Toc2657"/>
      <w:bookmarkStart w:id="891" w:name="_Toc12374"/>
      <w:bookmarkStart w:id="892" w:name="_Toc28633"/>
      <w:r>
        <w:rPr>
          <w:rFonts w:hint="eastAsia" w:ascii="宋体" w:hAnsi="宋体" w:eastAsia="宋体"/>
          <w:b/>
          <w:bCs/>
          <w:color w:val="auto"/>
          <w:sz w:val="21"/>
          <w:szCs w:val="21"/>
        </w:rPr>
        <w:t>3.3 响应文件的澄清和补正</w:t>
      </w:r>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3.3.1在磋商过程中，磋商小组可以通过电子平台澄清说明要求供应商对所提交的响应文件中不明确的内容进行书面澄清或说明，或者对细微偏离进行补正。磋商小组不接受供应商主动提出的澄清、说明或补正。</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3.3.2 澄清、说明和补正不得超出响应文件的范围或者改变响应文件的实质性内容（算术性错误修正的除外）。供应商的书面澄清、说明和补正属于响应文件的组成部分。</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3.3.3 磋商小组对供应商提交的澄清、说明或补正有疑问的，可以要求供应商进一步澄清、说明或补正，直至满足磋商小组的要求。</w:t>
      </w:r>
    </w:p>
    <w:p>
      <w:pPr>
        <w:pStyle w:val="183"/>
        <w:spacing w:line="360" w:lineRule="auto"/>
        <w:outlineLvl w:val="0"/>
        <w:rPr>
          <w:rFonts w:hint="eastAsia" w:ascii="宋体" w:hAnsi="宋体" w:eastAsia="宋体"/>
          <w:color w:val="auto"/>
          <w:sz w:val="21"/>
          <w:szCs w:val="21"/>
        </w:rPr>
      </w:pPr>
      <w:bookmarkStart w:id="893" w:name="_Toc5903"/>
      <w:bookmarkStart w:id="894" w:name="_Toc22986"/>
      <w:bookmarkStart w:id="895" w:name="_Toc318450730"/>
      <w:bookmarkStart w:id="896" w:name="_Toc490667883"/>
      <w:bookmarkStart w:id="897" w:name="_Toc455867824"/>
      <w:bookmarkStart w:id="898" w:name="_Toc19453"/>
      <w:bookmarkStart w:id="899" w:name="_Toc30053"/>
      <w:bookmarkStart w:id="900" w:name="_Toc22049"/>
      <w:bookmarkStart w:id="901" w:name="_Toc281405536"/>
      <w:bookmarkStart w:id="902" w:name="_Toc19938"/>
      <w:bookmarkStart w:id="903" w:name="_Toc22682"/>
      <w:bookmarkStart w:id="904" w:name="_Toc26894"/>
      <w:bookmarkStart w:id="905" w:name="_Toc466298147"/>
      <w:bookmarkStart w:id="906" w:name="_Toc32183"/>
      <w:bookmarkStart w:id="907" w:name="_Toc1857"/>
      <w:bookmarkStart w:id="908" w:name="_Toc455080164"/>
      <w:bookmarkStart w:id="909" w:name="_Toc29957"/>
      <w:r>
        <w:rPr>
          <w:rFonts w:hint="eastAsia" w:ascii="宋体" w:hAnsi="宋体" w:eastAsia="宋体"/>
          <w:color w:val="auto"/>
          <w:sz w:val="21"/>
          <w:szCs w:val="21"/>
        </w:rPr>
        <w:t>3.4 评审结果</w:t>
      </w:r>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3.4.1除第二章“供应商须知”前附表授权直接确定成交人外，磋商小组按照得分由高到低的顺序推荐成交候选人。</w:t>
      </w:r>
    </w:p>
    <w:p>
      <w:pPr>
        <w:spacing w:line="360" w:lineRule="auto"/>
        <w:rPr>
          <w:rFonts w:hint="eastAsia" w:ascii="宋体" w:hAnsi="宋体" w:cs="宋体"/>
          <w:color w:val="auto"/>
          <w:szCs w:val="21"/>
        </w:rPr>
      </w:pPr>
      <w:r>
        <w:rPr>
          <w:rFonts w:hint="eastAsia" w:ascii="宋体" w:hAnsi="宋体" w:cs="宋体"/>
          <w:color w:val="auto"/>
          <w:szCs w:val="21"/>
        </w:rPr>
        <w:t xml:space="preserve">   3.4.2 磋商小组完成评审后，应当向采购人提交书面评审报告。</w:t>
      </w:r>
    </w:p>
    <w:p>
      <w:pPr>
        <w:keepNext/>
        <w:keepLines/>
        <w:widowControl w:val="0"/>
        <w:spacing w:after="0" w:afterLines="0" w:line="400" w:lineRule="exact"/>
        <w:jc w:val="left"/>
        <w:outlineLvl w:val="2"/>
        <w:rPr>
          <w:rFonts w:hint="eastAsia" w:ascii="宋体" w:hAnsi="宋体" w:eastAsia="宋体" w:cs="宋体"/>
          <w:b/>
          <w:color w:val="000000"/>
          <w:kern w:val="2"/>
          <w:sz w:val="21"/>
          <w:szCs w:val="21"/>
          <w:lang w:val="en-US" w:eastAsia="zh-CN" w:bidi="ar-SA"/>
        </w:rPr>
      </w:pPr>
      <w:bookmarkStart w:id="910" w:name="_Toc4000"/>
      <w:r>
        <w:rPr>
          <w:rFonts w:hint="eastAsia" w:ascii="宋体" w:hAnsi="宋体" w:eastAsia="宋体" w:cs="宋体"/>
          <w:b/>
          <w:color w:val="000000"/>
          <w:kern w:val="2"/>
          <w:sz w:val="21"/>
          <w:szCs w:val="21"/>
          <w:lang w:val="en-US" w:eastAsia="zh-CN" w:bidi="ar-SA"/>
        </w:rPr>
        <w:t>附件：废标条件</w:t>
      </w:r>
      <w:bookmarkEnd w:id="910"/>
    </w:p>
    <w:p>
      <w:pPr>
        <w:spacing w:line="400" w:lineRule="exact"/>
        <w:ind w:firstLine="422" w:firstLineChars="200"/>
        <w:rPr>
          <w:rFonts w:hint="eastAsia" w:ascii="宋体" w:hAnsi="宋体" w:eastAsia="宋体" w:cs="宋体"/>
          <w:b/>
          <w:color w:val="000000"/>
          <w:sz w:val="21"/>
          <w:szCs w:val="21"/>
        </w:rPr>
      </w:pPr>
      <w:r>
        <w:rPr>
          <w:rFonts w:hint="eastAsia" w:ascii="宋体" w:hAnsi="宋体" w:eastAsia="宋体" w:cs="宋体"/>
          <w:b/>
          <w:color w:val="000000"/>
          <w:sz w:val="21"/>
          <w:szCs w:val="21"/>
        </w:rPr>
        <w:t>本附件所集中列示的废标条件，是本章“评标办法”的组成部分，是对第二章“投标人须知”和本章正文部分所规定的废标条件的总结和补充，如果出现相互矛盾的情况，以第二章“投标人须知”和本章正文部分的规定为准。</w:t>
      </w:r>
    </w:p>
    <w:p>
      <w:pPr>
        <w:spacing w:line="400" w:lineRule="exact"/>
        <w:rPr>
          <w:rFonts w:hint="eastAsia" w:ascii="宋体" w:hAnsi="宋体" w:eastAsia="宋体" w:cs="宋体"/>
          <w:b/>
          <w:color w:val="000000"/>
          <w:sz w:val="21"/>
          <w:szCs w:val="21"/>
        </w:rPr>
      </w:pPr>
      <w:r>
        <w:rPr>
          <w:rFonts w:hint="eastAsia" w:ascii="宋体" w:hAnsi="宋体" w:eastAsia="宋体" w:cs="宋体"/>
          <w:b/>
          <w:color w:val="000000"/>
          <w:sz w:val="21"/>
          <w:szCs w:val="21"/>
        </w:rPr>
        <w:t xml:space="preserve">    1.未通过第三章评标办法资格评审、符合性评审的； </w:t>
      </w:r>
    </w:p>
    <w:p>
      <w:pPr>
        <w:spacing w:line="400" w:lineRule="exact"/>
        <w:ind w:firstLine="211" w:firstLineChars="100"/>
        <w:rPr>
          <w:rFonts w:hint="eastAsia" w:ascii="宋体" w:hAnsi="宋体" w:eastAsia="宋体" w:cs="宋体"/>
          <w:b/>
          <w:color w:val="000000"/>
          <w:sz w:val="21"/>
          <w:szCs w:val="21"/>
        </w:rPr>
      </w:pPr>
      <w:r>
        <w:rPr>
          <w:rFonts w:hint="eastAsia" w:ascii="宋体" w:hAnsi="宋体" w:eastAsia="宋体" w:cs="宋体"/>
          <w:b/>
          <w:color w:val="000000"/>
          <w:sz w:val="21"/>
          <w:szCs w:val="21"/>
        </w:rPr>
        <w:t xml:space="preserve">  2.不按评标委员会要求澄清、说明或补正的；</w:t>
      </w:r>
    </w:p>
    <w:p>
      <w:pPr>
        <w:spacing w:line="400" w:lineRule="exact"/>
        <w:rPr>
          <w:rFonts w:hint="eastAsia" w:ascii="宋体" w:hAnsi="宋体" w:eastAsia="宋体" w:cs="宋体"/>
          <w:b/>
          <w:color w:val="000000"/>
          <w:sz w:val="21"/>
          <w:szCs w:val="21"/>
        </w:rPr>
      </w:pPr>
      <w:r>
        <w:rPr>
          <w:rFonts w:hint="eastAsia" w:ascii="宋体" w:hAnsi="宋体" w:eastAsia="宋体" w:cs="宋体"/>
          <w:b/>
          <w:color w:val="000000"/>
          <w:sz w:val="21"/>
          <w:szCs w:val="21"/>
        </w:rPr>
        <w:t xml:space="preserve">    3.投标报价有算术性错误，投标人不接受修正价格的；</w:t>
      </w:r>
    </w:p>
    <w:p>
      <w:pPr>
        <w:spacing w:line="400" w:lineRule="exact"/>
        <w:ind w:firstLine="422" w:firstLineChars="200"/>
        <w:rPr>
          <w:rFonts w:hint="eastAsia" w:ascii="宋体" w:hAnsi="宋体" w:eastAsia="宋体" w:cs="宋体"/>
          <w:b/>
          <w:color w:val="000000"/>
          <w:sz w:val="21"/>
          <w:szCs w:val="21"/>
        </w:rPr>
      </w:pPr>
      <w:r>
        <w:rPr>
          <w:rFonts w:hint="eastAsia" w:ascii="宋体" w:hAnsi="宋体" w:eastAsia="宋体" w:cs="宋体"/>
          <w:b/>
          <w:color w:val="000000"/>
          <w:sz w:val="21"/>
          <w:szCs w:val="21"/>
        </w:rPr>
        <w:t>4.以他人的名义投标、以行贿手段谋取中标或者以其他弄虚作假方式投标的；</w:t>
      </w:r>
    </w:p>
    <w:p>
      <w:pPr>
        <w:spacing w:line="400" w:lineRule="exact"/>
        <w:ind w:firstLine="422" w:firstLineChars="200"/>
        <w:rPr>
          <w:rFonts w:hint="eastAsia" w:ascii="宋体" w:hAnsi="宋体" w:eastAsia="宋体" w:cs="宋体"/>
          <w:b/>
          <w:color w:val="000000"/>
          <w:sz w:val="21"/>
          <w:szCs w:val="21"/>
        </w:rPr>
      </w:pPr>
      <w:r>
        <w:rPr>
          <w:rFonts w:hint="eastAsia" w:ascii="宋体" w:hAnsi="宋体" w:eastAsia="宋体" w:cs="宋体"/>
          <w:b/>
          <w:color w:val="000000"/>
          <w:sz w:val="21"/>
          <w:szCs w:val="21"/>
        </w:rPr>
        <w:t>5.属于串（围）标行为的；</w:t>
      </w:r>
    </w:p>
    <w:p>
      <w:pPr>
        <w:spacing w:line="400" w:lineRule="exact"/>
        <w:ind w:firstLine="422" w:firstLineChars="200"/>
        <w:rPr>
          <w:rFonts w:hint="eastAsia" w:ascii="宋体" w:hAnsi="宋体" w:eastAsia="宋体" w:cs="宋体"/>
          <w:b/>
          <w:color w:val="000000"/>
          <w:sz w:val="21"/>
          <w:szCs w:val="21"/>
        </w:rPr>
      </w:pPr>
      <w:r>
        <w:rPr>
          <w:rFonts w:hint="eastAsia" w:ascii="宋体" w:hAnsi="宋体" w:eastAsia="宋体" w:cs="宋体"/>
          <w:b/>
          <w:color w:val="000000"/>
          <w:sz w:val="21"/>
          <w:szCs w:val="21"/>
          <w:lang w:val="en-US" w:eastAsia="zh-CN"/>
        </w:rPr>
        <w:t>6</w:t>
      </w:r>
      <w:r>
        <w:rPr>
          <w:rFonts w:hint="eastAsia" w:ascii="宋体" w:hAnsi="宋体" w:eastAsia="宋体" w:cs="宋体"/>
          <w:b/>
          <w:color w:val="000000"/>
          <w:sz w:val="21"/>
          <w:szCs w:val="21"/>
        </w:rPr>
        <w:t>.文件制作机器码、文件创建标识码有相同的；</w:t>
      </w:r>
    </w:p>
    <w:p>
      <w:pPr>
        <w:spacing w:line="400" w:lineRule="exact"/>
        <w:ind w:firstLine="211" w:firstLineChars="100"/>
        <w:rPr>
          <w:rFonts w:hint="eastAsia" w:ascii="宋体" w:hAnsi="宋体" w:eastAsia="宋体" w:cs="宋体"/>
          <w:b/>
          <w:color w:val="000000"/>
          <w:sz w:val="21"/>
          <w:szCs w:val="21"/>
        </w:rPr>
      </w:pPr>
      <w:r>
        <w:rPr>
          <w:rFonts w:hint="eastAsia" w:ascii="宋体" w:hAnsi="宋体" w:eastAsia="宋体" w:cs="宋体"/>
          <w:b/>
          <w:color w:val="000000"/>
          <w:sz w:val="21"/>
          <w:szCs w:val="21"/>
        </w:rPr>
        <w:t xml:space="preserve">  </w:t>
      </w:r>
      <w:r>
        <w:rPr>
          <w:rFonts w:hint="eastAsia" w:ascii="宋体" w:hAnsi="宋体" w:cs="宋体"/>
          <w:b/>
          <w:color w:val="000000"/>
          <w:sz w:val="21"/>
          <w:szCs w:val="21"/>
          <w:lang w:val="en-US" w:eastAsia="zh-CN"/>
        </w:rPr>
        <w:t>7</w:t>
      </w:r>
      <w:r>
        <w:rPr>
          <w:rFonts w:hint="eastAsia" w:ascii="宋体" w:hAnsi="宋体" w:eastAsia="宋体" w:cs="宋体"/>
          <w:b/>
          <w:color w:val="000000"/>
          <w:sz w:val="21"/>
          <w:szCs w:val="21"/>
        </w:rPr>
        <w:t>.不符合</w:t>
      </w:r>
      <w:r>
        <w:rPr>
          <w:rFonts w:hint="eastAsia" w:hAnsi="宋体" w:cs="宋体"/>
          <w:b/>
          <w:color w:val="000000"/>
          <w:sz w:val="21"/>
          <w:szCs w:val="21"/>
          <w:lang w:val="en-US" w:eastAsia="zh-CN"/>
        </w:rPr>
        <w:t>磋商</w:t>
      </w:r>
      <w:r>
        <w:rPr>
          <w:rFonts w:hint="eastAsia" w:ascii="宋体" w:hAnsi="宋体" w:eastAsia="宋体" w:cs="宋体"/>
          <w:b/>
          <w:color w:val="000000"/>
          <w:sz w:val="21"/>
          <w:szCs w:val="21"/>
        </w:rPr>
        <w:t>文件规定的其他实质性要求及相关法律、法规或规章规定可以废标的其他情形。</w:t>
      </w:r>
    </w:p>
    <w:p>
      <w:pPr>
        <w:pStyle w:val="69"/>
        <w:ind w:firstLine="422" w:firstLineChars="200"/>
        <w:rPr>
          <w:rFonts w:hint="eastAsia" w:ascii="宋体" w:hAnsi="宋体" w:cs="宋体"/>
          <w:bCs/>
          <w:color w:val="auto"/>
          <w:sz w:val="28"/>
          <w:szCs w:val="28"/>
        </w:rPr>
      </w:pPr>
      <w:r>
        <w:rPr>
          <w:rFonts w:ascii="宋体" w:hAnsi="宋体" w:eastAsia="宋体" w:cs="Times New Roman"/>
          <w:b/>
          <w:color w:val="000000"/>
          <w:sz w:val="21"/>
          <w:szCs w:val="21"/>
        </w:rPr>
        <w:br w:type="page"/>
      </w:r>
    </w:p>
    <w:bookmarkEnd w:id="756"/>
    <w:bookmarkEnd w:id="757"/>
    <w:bookmarkEnd w:id="758"/>
    <w:bookmarkEnd w:id="759"/>
    <w:p>
      <w:pPr>
        <w:pStyle w:val="2"/>
        <w:rPr>
          <w:rFonts w:hint="eastAsia"/>
          <w:color w:val="auto"/>
          <w:spacing w:val="-1"/>
          <w:sz w:val="21"/>
          <w:szCs w:val="21"/>
          <w:lang w:eastAsia="zh-CN"/>
        </w:rPr>
      </w:pPr>
      <w:bookmarkStart w:id="911" w:name="_Toc361673212"/>
      <w:bookmarkStart w:id="912" w:name="_Toc490667886"/>
      <w:bookmarkStart w:id="913" w:name="_Toc16036"/>
      <w:bookmarkStart w:id="914" w:name="_Toc367527766"/>
      <w:bookmarkStart w:id="915" w:name="_Toc475624445"/>
      <w:bookmarkStart w:id="916" w:name="_Toc9239"/>
      <w:bookmarkStart w:id="917" w:name="_Toc361673595"/>
      <w:bookmarkStart w:id="918" w:name="_Toc144974855"/>
      <w:bookmarkStart w:id="919" w:name="_Toc152045786"/>
      <w:bookmarkStart w:id="920" w:name="_Toc152042575"/>
    </w:p>
    <w:bookmarkEnd w:id="911"/>
    <w:bookmarkEnd w:id="912"/>
    <w:bookmarkEnd w:id="913"/>
    <w:bookmarkEnd w:id="914"/>
    <w:bookmarkEnd w:id="915"/>
    <w:bookmarkEnd w:id="916"/>
    <w:bookmarkEnd w:id="917"/>
    <w:p>
      <w:pPr>
        <w:pStyle w:val="5"/>
        <w:numPr>
          <w:ilvl w:val="0"/>
          <w:numId w:val="4"/>
        </w:numPr>
        <w:ind w:left="459"/>
        <w:jc w:val="center"/>
        <w:rPr>
          <w:rFonts w:hint="eastAsia" w:ascii="宋体" w:hAnsi="宋体" w:eastAsia="宋体" w:cs="宋体"/>
          <w:bCs w:val="0"/>
          <w:color w:val="auto"/>
          <w:sz w:val="28"/>
          <w:szCs w:val="28"/>
          <w:lang w:eastAsia="zh-CN"/>
        </w:rPr>
      </w:pPr>
      <w:bookmarkStart w:id="921" w:name="_Toc31782"/>
      <w:bookmarkStart w:id="922" w:name="_Toc30627"/>
      <w:r>
        <w:rPr>
          <w:rFonts w:hint="eastAsia" w:ascii="宋体" w:hAnsi="宋体" w:eastAsia="宋体" w:cs="宋体"/>
          <w:bCs w:val="0"/>
          <w:color w:val="auto"/>
          <w:sz w:val="28"/>
          <w:szCs w:val="28"/>
        </w:rPr>
        <w:t xml:space="preserve">  </w:t>
      </w:r>
      <w:bookmarkStart w:id="923" w:name="_Toc15537"/>
      <w:r>
        <w:rPr>
          <w:rFonts w:hint="eastAsia" w:ascii="宋体" w:hAnsi="宋体" w:eastAsia="宋体" w:cs="宋体"/>
          <w:bCs w:val="0"/>
          <w:color w:val="auto"/>
          <w:sz w:val="28"/>
          <w:szCs w:val="28"/>
        </w:rPr>
        <w:t>合同文本</w:t>
      </w:r>
      <w:r>
        <w:rPr>
          <w:rFonts w:hint="eastAsia" w:ascii="宋体" w:hAnsi="宋体" w:eastAsia="宋体" w:cs="宋体"/>
          <w:bCs w:val="0"/>
          <w:color w:val="auto"/>
          <w:sz w:val="28"/>
          <w:szCs w:val="28"/>
          <w:lang w:eastAsia="zh-CN"/>
        </w:rPr>
        <w:t>（仅供参考）</w:t>
      </w:r>
      <w:bookmarkEnd w:id="923"/>
    </w:p>
    <w:bookmarkEnd w:id="921"/>
    <w:bookmarkEnd w:id="922"/>
    <w:p>
      <w:pPr>
        <w:keepNext/>
        <w:spacing w:line="360" w:lineRule="auto"/>
        <w:jc w:val="center"/>
        <w:outlineLvl w:val="0"/>
        <w:rPr>
          <w:rFonts w:ascii="宋体" w:hAnsi="宋体"/>
          <w:b/>
          <w:bCs/>
          <w:sz w:val="28"/>
          <w:szCs w:val="28"/>
        </w:rPr>
      </w:pPr>
      <w:bookmarkStart w:id="924" w:name="_Toc16661"/>
      <w:bookmarkStart w:id="925" w:name="_Toc3643"/>
      <w:bookmarkStart w:id="926" w:name="_Toc11495"/>
      <w:r>
        <w:rPr>
          <w:rFonts w:hint="eastAsia" w:ascii="宋体" w:hAnsi="宋体"/>
          <w:b/>
          <w:bCs/>
          <w:sz w:val="28"/>
          <w:szCs w:val="28"/>
        </w:rPr>
        <w:t>（合同格式仅供参考）</w:t>
      </w:r>
      <w:bookmarkEnd w:id="924"/>
      <w:bookmarkEnd w:id="925"/>
      <w:bookmarkEnd w:id="926"/>
    </w:p>
    <w:p>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 xml:space="preserve"> </w:t>
      </w:r>
      <w:r>
        <w:rPr>
          <w:rFonts w:hint="eastAsia" w:ascii="宋体" w:hAnsi="宋体" w:eastAsia="宋体" w:cs="宋体"/>
          <w:color w:val="auto"/>
          <w:sz w:val="20"/>
          <w:szCs w:val="20"/>
        </w:rPr>
        <w:t xml:space="preserve"> </w:t>
      </w:r>
      <w:r>
        <w:rPr>
          <w:rFonts w:hint="eastAsia" w:ascii="宋体" w:hAnsi="宋体" w:cs="宋体"/>
          <w:b/>
          <w:bCs/>
          <w:color w:val="FF0000"/>
          <w:sz w:val="28"/>
          <w:szCs w:val="28"/>
          <w:lang w:val="en-US" w:eastAsia="zh-CN"/>
        </w:rPr>
        <w:t>服务类</w:t>
      </w:r>
    </w:p>
    <w:p>
      <w:pPr>
        <w:keepNext w:val="0"/>
        <w:keepLines w:val="0"/>
        <w:widowControl/>
        <w:suppressLineNumbers w:val="0"/>
        <w:jc w:val="center"/>
        <w:rPr>
          <w:rFonts w:hint="eastAsia" w:ascii="宋体" w:hAnsi="宋体" w:eastAsia="宋体" w:cs="宋体"/>
          <w:b/>
          <w:bCs/>
          <w:color w:val="000000"/>
          <w:kern w:val="0"/>
          <w:sz w:val="52"/>
          <w:szCs w:val="52"/>
          <w:lang w:val="en-US" w:eastAsia="zh-CN" w:bidi="ar"/>
        </w:rPr>
      </w:pPr>
      <w:bookmarkStart w:id="927" w:name="_Toc24050"/>
      <w:r>
        <w:rPr>
          <w:rFonts w:hint="eastAsia" w:ascii="宋体" w:hAnsi="宋体" w:eastAsia="宋体" w:cs="宋体"/>
          <w:b/>
          <w:bCs/>
          <w:color w:val="000000"/>
          <w:kern w:val="0"/>
          <w:sz w:val="52"/>
          <w:szCs w:val="52"/>
          <w:lang w:val="en-US" w:eastAsia="zh-CN" w:bidi="ar"/>
        </w:rPr>
        <w:t>政府采购合同</w:t>
      </w:r>
    </w:p>
    <w:p>
      <w:pPr>
        <w:pStyle w:val="2"/>
        <w:rPr>
          <w:rFonts w:hint="eastAsia" w:ascii="宋体" w:hAnsi="宋体" w:eastAsia="宋体" w:cs="宋体"/>
          <w:b/>
          <w:bCs/>
          <w:color w:val="000000"/>
          <w:kern w:val="0"/>
          <w:sz w:val="52"/>
          <w:szCs w:val="52"/>
          <w:lang w:val="en-US" w:eastAsia="zh-CN" w:bidi="ar"/>
        </w:rPr>
      </w:pPr>
    </w:p>
    <w:p>
      <w:pPr>
        <w:pStyle w:val="3"/>
      </w:pPr>
    </w:p>
    <w:p>
      <w:pPr>
        <w:keepNext w:val="0"/>
        <w:keepLines w:val="0"/>
        <w:widowControl/>
        <w:suppressLineNumbers w:val="0"/>
        <w:jc w:val="left"/>
      </w:pPr>
      <w:r>
        <w:rPr>
          <w:rFonts w:hint="eastAsia" w:ascii="宋体" w:hAnsi="宋体" w:eastAsia="宋体" w:cs="宋体"/>
          <w:b/>
          <w:bCs/>
          <w:color w:val="000000"/>
          <w:kern w:val="0"/>
          <w:sz w:val="30"/>
          <w:szCs w:val="30"/>
          <w:lang w:val="en-US" w:eastAsia="zh-CN" w:bidi="ar"/>
        </w:rPr>
        <w:t>项目名称：</w:t>
      </w:r>
    </w:p>
    <w:p>
      <w:pPr>
        <w:keepNext w:val="0"/>
        <w:keepLines w:val="0"/>
        <w:widowControl/>
        <w:suppressLineNumbers w:val="0"/>
        <w:jc w:val="left"/>
      </w:pPr>
      <w:r>
        <w:rPr>
          <w:rFonts w:hint="eastAsia" w:ascii="宋体" w:hAnsi="宋体" w:eastAsia="宋体" w:cs="宋体"/>
          <w:b/>
          <w:bCs/>
          <w:color w:val="000000"/>
          <w:kern w:val="0"/>
          <w:sz w:val="30"/>
          <w:szCs w:val="30"/>
          <w:lang w:val="en-US" w:eastAsia="zh-CN" w:bidi="ar"/>
        </w:rPr>
        <w:t>招标采购文件编号：</w:t>
      </w:r>
    </w:p>
    <w:p>
      <w:pPr>
        <w:keepNext w:val="0"/>
        <w:keepLines w:val="0"/>
        <w:widowControl/>
        <w:suppressLineNumbers w:val="0"/>
        <w:jc w:val="left"/>
      </w:pPr>
      <w:r>
        <w:rPr>
          <w:rFonts w:hint="eastAsia" w:ascii="宋体" w:hAnsi="宋体" w:eastAsia="宋体" w:cs="宋体"/>
          <w:b/>
          <w:bCs/>
          <w:color w:val="000000"/>
          <w:kern w:val="0"/>
          <w:sz w:val="30"/>
          <w:szCs w:val="30"/>
          <w:lang w:val="en-US" w:eastAsia="zh-CN" w:bidi="ar"/>
        </w:rPr>
        <w:t>甲方合同编号：</w:t>
      </w:r>
    </w:p>
    <w:p>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甲方：</w:t>
      </w:r>
    </w:p>
    <w:p>
      <w:pPr>
        <w:keepNext w:val="0"/>
        <w:keepLines w:val="0"/>
        <w:widowControl/>
        <w:suppressLineNumbers w:val="0"/>
        <w:jc w:val="left"/>
      </w:pPr>
      <w:r>
        <w:rPr>
          <w:rFonts w:hint="eastAsia" w:ascii="宋体" w:hAnsi="宋体" w:eastAsia="宋体" w:cs="宋体"/>
          <w:b/>
          <w:bCs/>
          <w:color w:val="000000"/>
          <w:kern w:val="0"/>
          <w:sz w:val="30"/>
          <w:szCs w:val="30"/>
          <w:lang w:val="en-US" w:eastAsia="zh-CN" w:bidi="ar"/>
        </w:rPr>
        <w:t>乙方：</w:t>
      </w:r>
    </w:p>
    <w:p>
      <w:pPr>
        <w:keepNext w:val="0"/>
        <w:keepLines w:val="0"/>
        <w:widowControl/>
        <w:suppressLineNumbers w:val="0"/>
        <w:jc w:val="left"/>
        <w:rPr>
          <w:rFonts w:hint="eastAsia" w:ascii="宋体" w:hAnsi="宋体" w:eastAsia="宋体" w:cs="宋体"/>
          <w:b/>
          <w:bCs/>
          <w:color w:val="000000"/>
          <w:kern w:val="0"/>
          <w:sz w:val="30"/>
          <w:szCs w:val="30"/>
          <w:lang w:val="en-US" w:eastAsia="zh-CN" w:bidi="ar"/>
        </w:rPr>
      </w:pPr>
      <w:r>
        <w:rPr>
          <w:rFonts w:hint="eastAsia" w:ascii="宋体" w:hAnsi="宋体" w:eastAsia="宋体" w:cs="宋体"/>
          <w:b/>
          <w:bCs/>
          <w:color w:val="000000"/>
          <w:kern w:val="0"/>
          <w:sz w:val="30"/>
          <w:szCs w:val="30"/>
          <w:lang w:val="en-US" w:eastAsia="zh-CN" w:bidi="ar"/>
        </w:rPr>
        <w:t>甲方合同法律审核部门：</w:t>
      </w:r>
    </w:p>
    <w:p>
      <w:pPr>
        <w:pStyle w:val="2"/>
        <w:rPr>
          <w:rFonts w:hint="eastAsia" w:ascii="宋体" w:hAnsi="宋体" w:eastAsia="宋体" w:cs="宋体"/>
          <w:b/>
          <w:bCs/>
          <w:color w:val="000000"/>
          <w:kern w:val="0"/>
          <w:sz w:val="30"/>
          <w:szCs w:val="30"/>
          <w:lang w:val="en-US" w:eastAsia="zh-CN" w:bidi="ar"/>
        </w:rPr>
      </w:pPr>
    </w:p>
    <w:p>
      <w:pPr>
        <w:pStyle w:val="3"/>
      </w:pPr>
    </w:p>
    <w:p>
      <w:pPr>
        <w:keepNext w:val="0"/>
        <w:keepLines w:val="0"/>
        <w:widowControl/>
        <w:suppressLineNumbers w:val="0"/>
        <w:jc w:val="center"/>
      </w:pPr>
      <w:r>
        <w:rPr>
          <w:rFonts w:hint="eastAsia" w:ascii="宋体" w:hAnsi="宋体" w:eastAsia="宋体" w:cs="宋体"/>
          <w:b/>
          <w:bCs/>
          <w:color w:val="000000"/>
          <w:kern w:val="0"/>
          <w:sz w:val="30"/>
          <w:szCs w:val="30"/>
          <w:lang w:val="en-US" w:eastAsia="zh-CN" w:bidi="ar"/>
        </w:rPr>
        <w:t>签订时间：  年  月  日</w:t>
      </w:r>
    </w:p>
    <w:p>
      <w:pPr>
        <w:pStyle w:val="4"/>
        <w:numPr>
          <w:ilvl w:val="0"/>
          <w:numId w:val="0"/>
        </w:numPr>
        <w:spacing w:before="120" w:beforeLines="0" w:after="120" w:afterLines="0" w:line="400" w:lineRule="exact"/>
        <w:jc w:val="center"/>
        <w:rPr>
          <w:rFonts w:hint="eastAsia" w:ascii="宋体" w:hAnsi="宋体" w:cs="宋体"/>
          <w:color w:val="auto"/>
          <w:sz w:val="28"/>
          <w:szCs w:val="28"/>
          <w:lang w:eastAsia="zh-CN"/>
        </w:rPr>
      </w:pPr>
    </w:p>
    <w:p>
      <w:pPr>
        <w:rPr>
          <w:rFonts w:hint="eastAsia" w:ascii="宋体" w:hAnsi="宋体" w:cs="宋体"/>
          <w:color w:val="auto"/>
          <w:sz w:val="28"/>
          <w:szCs w:val="28"/>
          <w:lang w:eastAsia="zh-CN"/>
        </w:rPr>
      </w:pPr>
    </w:p>
    <w:p>
      <w:pPr>
        <w:pStyle w:val="3"/>
        <w:rPr>
          <w:rFonts w:hint="eastAsia" w:ascii="宋体" w:hAnsi="宋体" w:cs="宋体"/>
          <w:color w:val="auto"/>
          <w:sz w:val="28"/>
          <w:szCs w:val="28"/>
          <w:lang w:eastAsia="zh-CN"/>
        </w:rPr>
      </w:pPr>
    </w:p>
    <w:p>
      <w:pPr>
        <w:keepNext w:val="0"/>
        <w:keepLines w:val="0"/>
        <w:widowControl/>
        <w:suppressLineNumbers w:val="0"/>
        <w:spacing w:line="360" w:lineRule="auto"/>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甲方</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xx项目名称</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 xml:space="preserve">委托(代理机构名称)进行了政府采购 。按照评委会评审推荐、甲方确定乙方为中标（成交）单位。现甲乙双方协商同意签订本合同。 </w:t>
      </w:r>
    </w:p>
    <w:p>
      <w:pPr>
        <w:keepNext w:val="0"/>
        <w:keepLines w:val="0"/>
        <w:widowControl/>
        <w:suppressLineNumbers w:val="0"/>
        <w:spacing w:line="360" w:lineRule="auto"/>
        <w:ind w:firstLine="422" w:firstLineChars="200"/>
        <w:jc w:val="left"/>
        <w:rPr>
          <w:sz w:val="21"/>
          <w:szCs w:val="21"/>
        </w:rPr>
      </w:pPr>
      <w:r>
        <w:rPr>
          <w:rFonts w:hint="eastAsia" w:ascii="宋体" w:hAnsi="宋体" w:eastAsia="宋体" w:cs="宋体"/>
          <w:b/>
          <w:bCs/>
          <w:color w:val="000000"/>
          <w:kern w:val="0"/>
          <w:sz w:val="21"/>
          <w:szCs w:val="21"/>
          <w:lang w:val="en-US" w:eastAsia="zh-CN" w:bidi="ar"/>
        </w:rPr>
        <w:t xml:space="preserve">第一条 合同文件 </w:t>
      </w:r>
    </w:p>
    <w:p>
      <w:pPr>
        <w:keepNext w:val="0"/>
        <w:keepLines w:val="0"/>
        <w:widowControl/>
        <w:suppressLineNumbers w:val="0"/>
        <w:spacing w:line="360" w:lineRule="auto"/>
        <w:ind w:firstLine="420" w:firstLineChars="200"/>
        <w:jc w:val="left"/>
        <w:rPr>
          <w:sz w:val="21"/>
          <w:szCs w:val="21"/>
        </w:rPr>
      </w:pPr>
      <w:r>
        <w:rPr>
          <w:rFonts w:hint="eastAsia" w:ascii="宋体" w:hAnsi="宋体" w:eastAsia="宋体" w:cs="宋体"/>
          <w:color w:val="000000"/>
          <w:kern w:val="0"/>
          <w:sz w:val="21"/>
          <w:szCs w:val="21"/>
          <w:lang w:val="en-US" w:eastAsia="zh-CN" w:bidi="ar"/>
        </w:rPr>
        <w:t xml:space="preserve">下列与本次采购活动有关的文件及附件是本合同不可分割的组成部分，与本合同具有同等法律效力，这些文件包括但不限于：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 xml:space="preserve">1. (xx号)招标采购文件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 xml:space="preserve">2.投标文件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 xml:space="preserve">3.乙方在投标时的书面承诺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 xml:space="preserve">4. (xx号)中标（成交）通知书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 xml:space="preserve">5.合同补充条款或说明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 xml:space="preserve">6.保密协议或条款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 xml:space="preserve">7.相关附件、图纸及电子版资料 </w:t>
      </w:r>
    </w:p>
    <w:p>
      <w:pPr>
        <w:keepNext w:val="0"/>
        <w:keepLines w:val="0"/>
        <w:widowControl/>
        <w:suppressLineNumbers w:val="0"/>
        <w:spacing w:line="360" w:lineRule="auto"/>
        <w:ind w:firstLine="422" w:firstLineChars="200"/>
        <w:jc w:val="left"/>
        <w:rPr>
          <w:sz w:val="21"/>
          <w:szCs w:val="21"/>
        </w:rPr>
      </w:pPr>
      <w:r>
        <w:rPr>
          <w:rFonts w:hint="eastAsia" w:ascii="宋体" w:hAnsi="宋体" w:eastAsia="宋体" w:cs="宋体"/>
          <w:b/>
          <w:bCs/>
          <w:color w:val="000000"/>
          <w:kern w:val="0"/>
          <w:sz w:val="21"/>
          <w:szCs w:val="21"/>
          <w:lang w:val="en-US" w:eastAsia="zh-CN" w:bidi="ar"/>
        </w:rPr>
        <w:t xml:space="preserve">第二条 合同内容 </w:t>
      </w:r>
    </w:p>
    <w:p>
      <w:pPr>
        <w:keepNext w:val="0"/>
        <w:keepLines w:val="0"/>
        <w:widowControl/>
        <w:suppressLineNumbers w:val="0"/>
        <w:spacing w:line="360" w:lineRule="auto"/>
        <w:ind w:firstLine="420" w:firstLineChars="200"/>
        <w:jc w:val="left"/>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服务名称：详见合同附件中《服务一览表》</w:t>
      </w:r>
    </w:p>
    <w:p>
      <w:pPr>
        <w:keepNext w:val="0"/>
        <w:keepLines w:val="0"/>
        <w:widowControl/>
        <w:suppressLineNumbers w:val="0"/>
        <w:spacing w:line="360" w:lineRule="auto"/>
        <w:ind w:firstLine="422" w:firstLineChars="200"/>
        <w:jc w:val="left"/>
        <w:rPr>
          <w:sz w:val="21"/>
          <w:szCs w:val="21"/>
        </w:rPr>
      </w:pPr>
      <w:r>
        <w:rPr>
          <w:rFonts w:hint="eastAsia" w:ascii="宋体" w:hAnsi="宋体" w:eastAsia="宋体" w:cs="宋体"/>
          <w:b/>
          <w:bCs/>
          <w:color w:val="000000"/>
          <w:kern w:val="0"/>
          <w:sz w:val="21"/>
          <w:szCs w:val="21"/>
          <w:lang w:val="en-US" w:eastAsia="zh-CN" w:bidi="ar"/>
        </w:rPr>
        <w:t xml:space="preserve">第三条 合同总金额 </w:t>
      </w:r>
    </w:p>
    <w:p>
      <w:pPr>
        <w:keepNext w:val="0"/>
        <w:keepLines w:val="0"/>
        <w:widowControl/>
        <w:suppressLineNumbers w:val="0"/>
        <w:spacing w:line="360" w:lineRule="auto"/>
        <w:ind w:firstLine="420" w:firstLineChars="200"/>
        <w:jc w:val="left"/>
        <w:rPr>
          <w:sz w:val="21"/>
          <w:szCs w:val="21"/>
        </w:rPr>
      </w:pPr>
      <w:r>
        <w:rPr>
          <w:rFonts w:hint="eastAsia" w:ascii="宋体" w:hAnsi="宋体" w:eastAsia="宋体" w:cs="宋体"/>
          <w:color w:val="000000"/>
          <w:kern w:val="0"/>
          <w:sz w:val="21"/>
          <w:szCs w:val="21"/>
          <w:lang w:val="en-US" w:eastAsia="zh-CN" w:bidi="ar"/>
        </w:rPr>
        <w:t>本合同服务总金额：￥</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元。 </w:t>
      </w:r>
    </w:p>
    <w:p>
      <w:pPr>
        <w:keepNext w:val="0"/>
        <w:keepLines w:val="0"/>
        <w:widowControl/>
        <w:suppressLineNumbers w:val="0"/>
        <w:spacing w:line="360" w:lineRule="auto"/>
        <w:ind w:firstLine="420" w:firstLineChars="200"/>
        <w:jc w:val="left"/>
        <w:rPr>
          <w:sz w:val="21"/>
          <w:szCs w:val="21"/>
        </w:rPr>
      </w:pPr>
      <w:r>
        <w:rPr>
          <w:rFonts w:hint="eastAsia" w:ascii="宋体" w:hAnsi="宋体" w:eastAsia="宋体" w:cs="宋体"/>
          <w:color w:val="000000"/>
          <w:kern w:val="0"/>
          <w:sz w:val="21"/>
          <w:szCs w:val="21"/>
          <w:lang w:val="en-US" w:eastAsia="zh-CN" w:bidi="ar"/>
        </w:rPr>
        <w:t>大写：</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元。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分项价款在《服务一览表》中有明确规定。</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本合同总价款包括服务期间必须的日常物料、易耗品、工具、调试费、培训费等相关费用。</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本合同执行期内因工作量变化而引起的服务费用的变动，在双方事先协商一致的前提下签订补充合同，但因此而增加的服务费用不得超过原中标金额的10%</w:t>
      </w:r>
      <w:r>
        <w:rPr>
          <w:rFonts w:hint="eastAsia" w:ascii="宋体" w:hAnsi="宋体" w:cs="宋体"/>
          <w:b w:val="0"/>
          <w:bCs w:val="0"/>
          <w:color w:val="000000"/>
          <w:kern w:val="0"/>
          <w:sz w:val="21"/>
          <w:szCs w:val="21"/>
          <w:lang w:val="en-US" w:eastAsia="zh-CN" w:bidi="ar"/>
        </w:rPr>
        <w:t>。</w:t>
      </w:r>
    </w:p>
    <w:p>
      <w:pPr>
        <w:keepNext w:val="0"/>
        <w:keepLines w:val="0"/>
        <w:widowControl/>
        <w:suppressLineNumbers w:val="0"/>
        <w:spacing w:line="360" w:lineRule="auto"/>
        <w:ind w:firstLine="422" w:firstLineChars="200"/>
        <w:jc w:val="left"/>
        <w:rPr>
          <w:sz w:val="21"/>
          <w:szCs w:val="21"/>
        </w:rPr>
      </w:pPr>
      <w:r>
        <w:rPr>
          <w:rFonts w:hint="eastAsia" w:ascii="宋体" w:hAnsi="宋体" w:eastAsia="宋体" w:cs="宋体"/>
          <w:b/>
          <w:bCs/>
          <w:color w:val="000000"/>
          <w:kern w:val="0"/>
          <w:sz w:val="21"/>
          <w:szCs w:val="21"/>
          <w:lang w:val="en-US" w:eastAsia="zh-CN" w:bidi="ar"/>
        </w:rPr>
        <w:t xml:space="preserve">第四条 权利义务及质量保证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1.甲方保证服务期间，对乙方工作给予支持，提供水、电、场地等必须的基础工作条件。如乙方有需要，还应提供履行合同所必需的有关图纸、数据、资料等。没有甲方事先同意，乙方不得将甲方资料提供给与履行本合同无关的任何其他人。即使向履行本合同有关的人员提供，也应注意保密并限于履行合同的必需范围内。</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2.乙方保证所提供的服务或其任何一部分均不会侵犯任何第三方的专利权、商标权或著作权。一旦出现侵权，索赔或诉讼，乙方应承担全部责任。乙方保证服务不存在危及人身及财产安全的隐患，不存在违反国家法规、法令、法律以及行业规范所要求的有关安全条款， 否则应承担全部法律责任。</w:t>
      </w:r>
    </w:p>
    <w:p>
      <w:pPr>
        <w:keepNext w:val="0"/>
        <w:keepLines w:val="0"/>
        <w:widowControl/>
        <w:suppressLineNumbers w:val="0"/>
        <w:spacing w:line="360" w:lineRule="auto"/>
        <w:ind w:firstLine="422" w:firstLineChars="200"/>
        <w:jc w:val="left"/>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 xml:space="preserve">第五条 付款方式 </w:t>
      </w:r>
    </w:p>
    <w:p>
      <w:pPr>
        <w:pStyle w:val="2"/>
        <w:rPr>
          <w:rFonts w:hint="default"/>
          <w:lang w:val="en-US"/>
        </w:rPr>
      </w:pPr>
      <w:r>
        <w:rPr>
          <w:rFonts w:hint="eastAsia" w:ascii="宋体" w:hAnsi="宋体" w:cs="宋体"/>
          <w:color w:val="000000"/>
          <w:kern w:val="0"/>
          <w:sz w:val="21"/>
          <w:szCs w:val="21"/>
          <w:u w:val="none"/>
          <w:lang w:val="en-US" w:eastAsia="zh-CN" w:bidi="ar"/>
        </w:rPr>
        <w:t xml:space="preserve">    </w:t>
      </w:r>
      <w:r>
        <w:rPr>
          <w:rFonts w:hint="eastAsia" w:ascii="宋体" w:hAnsi="宋体" w:cs="宋体"/>
          <w:color w:val="000000"/>
          <w:kern w:val="0"/>
          <w:sz w:val="21"/>
          <w:szCs w:val="21"/>
          <w:u w:val="single"/>
          <w:lang w:val="en-US" w:eastAsia="zh-CN" w:bidi="ar"/>
        </w:rPr>
        <w:t xml:space="preserve">                </w:t>
      </w:r>
    </w:p>
    <w:p>
      <w:pPr>
        <w:keepNext w:val="0"/>
        <w:keepLines w:val="0"/>
        <w:widowControl/>
        <w:suppressLineNumbers w:val="0"/>
        <w:spacing w:line="360" w:lineRule="auto"/>
        <w:ind w:firstLine="422" w:firstLineChars="200"/>
        <w:jc w:val="left"/>
        <w:rPr>
          <w:sz w:val="21"/>
          <w:szCs w:val="21"/>
        </w:rPr>
      </w:pPr>
      <w:r>
        <w:rPr>
          <w:rFonts w:hint="eastAsia" w:ascii="宋体" w:hAnsi="宋体" w:eastAsia="宋体" w:cs="宋体"/>
          <w:b/>
          <w:bCs/>
          <w:color w:val="000000"/>
          <w:kern w:val="0"/>
          <w:sz w:val="21"/>
          <w:szCs w:val="21"/>
          <w:lang w:val="en-US" w:eastAsia="zh-CN" w:bidi="ar"/>
        </w:rPr>
        <w:t>第六条 不得收取履约保证金</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sz w:val="21"/>
          <w:szCs w:val="21"/>
        </w:rPr>
      </w:pPr>
      <w:r>
        <w:rPr>
          <w:rFonts w:hint="eastAsia" w:ascii="宋体" w:hAnsi="宋体" w:eastAsia="宋体" w:cs="宋体"/>
          <w:b/>
          <w:bCs/>
          <w:color w:val="000000"/>
          <w:kern w:val="0"/>
          <w:sz w:val="21"/>
          <w:szCs w:val="21"/>
          <w:lang w:val="en-US" w:eastAsia="zh-CN" w:bidi="ar"/>
        </w:rPr>
        <w:t xml:space="preserve">第七条 验收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1.服务期限：</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至</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服务地点：</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验收时间：</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验收地点：</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 xml:space="preserve">2.乙方应对提供的服务成果作出全面自查和整理，并列出清单，作为甲方验收和使用的服务条件依据，清单应随提供的服务成果交给甲方。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 xml:space="preserve">3.验收时，甲乙双方必须同时在场，乙方所提供的服务不符合合同内容规定的，甲方有权拒绝验收。乙方应及时按本合同内容规定和甲方要求免费进行整改，直至验收合格，方视为乙方按本合同规定完成服务。验收合格的，由双方共同签署《验收报告》。在经过两次限期整改后，服务仍达不到合同文件规定内容的，甲方有权拒收，并可以解除合同；由此引起甲方损失及赔偿责任由乙方承担。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 xml:space="preserve">4.甲方可以视项目规模或复杂情况聘请专业人员参与验收，大型或复杂项目，以及涉及专业服务内容的应当邀请国家认可的第三方质量检测机构参与验收。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 xml:space="preserve">5.如根据项目实施情况需要分阶段验收，则双方分阶段签署《验收报告》。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 xml:space="preserve">6.如果合同双方对《验收报告》有分歧，双方须于出现分歧后天内给对方书面声明，以陈述己方的理由及要求，并附有关证据。分歧应通过协商解决。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sz w:val="21"/>
          <w:szCs w:val="21"/>
        </w:rPr>
      </w:pPr>
      <w:r>
        <w:rPr>
          <w:rFonts w:hint="eastAsia" w:ascii="宋体" w:hAnsi="宋体" w:eastAsia="宋体" w:cs="宋体"/>
          <w:b/>
          <w:bCs/>
          <w:color w:val="000000"/>
          <w:kern w:val="0"/>
          <w:sz w:val="21"/>
          <w:szCs w:val="21"/>
          <w:lang w:val="en-US" w:eastAsia="zh-CN" w:bidi="ar"/>
        </w:rPr>
        <w:t xml:space="preserve">第八条 项目管理服务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 xml:space="preserve">乙方要指定不少于一人全权全程负责本项目服务的落实， 包括服务的咨询、执行和后续工作。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项目负责人姓名：</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联系电话：</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sz w:val="21"/>
          <w:szCs w:val="21"/>
        </w:rPr>
      </w:pPr>
      <w:r>
        <w:rPr>
          <w:rFonts w:hint="eastAsia" w:ascii="宋体" w:hAnsi="宋体" w:eastAsia="宋体" w:cs="宋体"/>
          <w:b/>
          <w:bCs/>
          <w:color w:val="000000"/>
          <w:kern w:val="0"/>
          <w:sz w:val="21"/>
          <w:szCs w:val="21"/>
          <w:lang w:val="en-US" w:eastAsia="zh-CN" w:bidi="ar"/>
        </w:rPr>
        <w:t xml:space="preserve">第九条 售后服务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1.乙方提供服务的质量保证期为自服务通过最终验收之日起</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个月。若国家有明确规定的质量保证期高于此质量保证期的，执行国家规定。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2.服务期内，乙方应提供相关服务支持。对甲方所反映的任何服务问题在</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日(小时) 之内做出及时响应， 在</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日(小时) 之内赶到现场实地解决问题。若问题在工作</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日(小时) 后仍无法解决， 乙方应在</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日(小时)内免费提供服务的补偿、替换方案， 直至服务恢复正常。</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3.乙方必须遵守甲方的有关管理制度、操作规程。对于乙方违规操作造成甲方损失的， 由乙方按照本合同第十二条的约定承担赔偿责任。</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第十条 合同的生效</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1.本合同经甲乙双方授权代表签字并加盖公章或合同专用章后生效。</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2.生效后，除《政府采购法》第49条、第50条第二款规定的情形外，甲乙双方不得擅自变更、中止或终止合同。</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第十一条 违约责任</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1.乙方所交付服务成果不符合本合同规定的，甲方有权拒收，乙方在得到甲方通知之日起</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个工作日内采取补救措施， 逾期仍未采取有效措施的，甲方有权要求乙方赔偿因此造成的损失或扣留履约保证金（如有）；同时乙方应向甲方支付合同总价</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％的违约金。</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2.甲方无正当理由拒收服务，甲方应向乙方偿付拒付服务费用</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％的违约金。</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3.乙方无正当理由逾期交付服务的，每逾期 1 天，乙方向甲方偿付合同总额的</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‰的违约金。如乙方逾期达</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天，甲方有权解除合同，甲方解除合同的通知自到达乙方时生效。 在此情况下， 乙方给甲方造成的实际损失高于违约金的，对高出违约金的部分乙方应予以赔偿。</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4.甲方未按合同规定的期限向乙方支付合同款的，每逾期 1 天甲方向乙方偿付欠款总额的</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‰违约金，但累计违约金总额不超过欠款总额的</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5.其它未尽事宜，以《民法典》和《政府采购法》等有关法律法规规定为准，无相关规定的，双方协商解决。</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第十二条 不可抗力</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30" w:firstLineChars="3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甲、乙方中任何一方，因不可抗力不能按时或完全履行合同的，应及时通知对方，并在</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个工作日内提供相应证明，结算服务费用。未履行的部分是否继续履行、如何履行等问题，可由双方初步协商，并向主管部门和政府采购管理部门报告。确定为不可抗力原因造成的损失，免予承担责任。</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第十三条 争议的解决方式</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1.因服务质量问题发生争议的，应当邀请国家认可的质量检测机构对服务进行鉴定，服务符合标准的，鉴定费由甲方承担；不符合质量标准的，鉴定费由乙方承担。</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2.在解释或者执行本合同的过程中发生争议时，双方应通过协商方式解决。</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3.经协商不能解决的争议，双方可选择以下第</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b w:val="0"/>
          <w:bCs w:val="0"/>
          <w:color w:val="000000"/>
          <w:kern w:val="0"/>
          <w:sz w:val="21"/>
          <w:szCs w:val="21"/>
          <w:lang w:val="en-US" w:eastAsia="zh-CN" w:bidi="ar"/>
        </w:rPr>
        <w:t>种方式解决：</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kern w:val="0"/>
          <w:sz w:val="21"/>
          <w:szCs w:val="21"/>
          <w:lang w:val="en-US" w:eastAsia="zh-CN" w:bidi="ar"/>
        </w:rPr>
      </w:pPr>
      <w:r>
        <w:rPr>
          <w:rFonts w:hint="default" w:ascii="Calibri" w:hAnsi="Calibri" w:eastAsia="宋体" w:cs="Calibri"/>
          <w:b w:val="0"/>
          <w:bCs w:val="0"/>
          <w:color w:val="000000"/>
          <w:kern w:val="0"/>
          <w:sz w:val="21"/>
          <w:szCs w:val="21"/>
          <w:lang w:val="en-US" w:eastAsia="zh-CN" w:bidi="ar"/>
        </w:rPr>
        <w:t>①</w:t>
      </w:r>
      <w:r>
        <w:rPr>
          <w:rFonts w:hint="eastAsia" w:ascii="宋体" w:hAnsi="宋体" w:eastAsia="宋体" w:cs="宋体"/>
          <w:b w:val="0"/>
          <w:bCs w:val="0"/>
          <w:color w:val="000000"/>
          <w:kern w:val="0"/>
          <w:sz w:val="21"/>
          <w:szCs w:val="21"/>
          <w:lang w:val="en-US" w:eastAsia="zh-CN" w:bidi="ar"/>
        </w:rPr>
        <w:t>向信阳市有管辖权的法院提起诉讼；</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kern w:val="0"/>
          <w:sz w:val="21"/>
          <w:szCs w:val="21"/>
          <w:lang w:val="en-US" w:eastAsia="zh-CN" w:bidi="ar"/>
        </w:rPr>
      </w:pPr>
      <w:r>
        <w:rPr>
          <w:rFonts w:hint="default" w:ascii="Calibri" w:hAnsi="Calibri" w:eastAsia="宋体" w:cs="Calibri"/>
          <w:b w:val="0"/>
          <w:bCs w:val="0"/>
          <w:color w:val="000000"/>
          <w:kern w:val="0"/>
          <w:sz w:val="21"/>
          <w:szCs w:val="21"/>
          <w:lang w:val="en-US" w:eastAsia="zh-CN" w:bidi="ar"/>
        </w:rPr>
        <w:t>②</w:t>
      </w:r>
      <w:r>
        <w:rPr>
          <w:rFonts w:hint="eastAsia" w:ascii="宋体" w:hAnsi="宋体" w:eastAsia="宋体" w:cs="宋体"/>
          <w:b w:val="0"/>
          <w:bCs w:val="0"/>
          <w:color w:val="000000"/>
          <w:kern w:val="0"/>
          <w:sz w:val="21"/>
          <w:szCs w:val="21"/>
          <w:lang w:val="en-US" w:eastAsia="zh-CN" w:bidi="ar"/>
        </w:rPr>
        <w:t>信阳仲裁委员会提出仲裁。</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000000"/>
          <w:kern w:val="0"/>
          <w:sz w:val="21"/>
          <w:szCs w:val="21"/>
          <w:lang w:val="en-US" w:eastAsia="zh-CN" w:bidi="ar"/>
        </w:rPr>
      </w:pPr>
      <w:r>
        <w:rPr>
          <w:rFonts w:hint="eastAsia" w:ascii="宋体" w:hAnsi="宋体" w:eastAsia="宋体" w:cs="宋体"/>
          <w:b w:val="0"/>
          <w:bCs w:val="0"/>
          <w:color w:val="000000"/>
          <w:kern w:val="0"/>
          <w:sz w:val="21"/>
          <w:szCs w:val="21"/>
          <w:lang w:val="en-US" w:eastAsia="zh-CN" w:bidi="ar"/>
        </w:rPr>
        <w:t>4.在法院审理和仲裁期间，除有争议部分外，本合同其他部分可以履行的仍应按合同条款继续履行。</w:t>
      </w:r>
    </w:p>
    <w:p>
      <w:pPr>
        <w:keepNext w:val="0"/>
        <w:keepLines w:val="0"/>
        <w:widowControl/>
        <w:suppressLineNumbers w:val="0"/>
        <w:spacing w:line="360" w:lineRule="auto"/>
        <w:ind w:firstLine="402" w:firstLineChars="200"/>
        <w:jc w:val="left"/>
      </w:pPr>
      <w:r>
        <w:rPr>
          <w:rFonts w:hint="eastAsia" w:ascii="宋体" w:hAnsi="宋体" w:eastAsia="宋体" w:cs="宋体"/>
          <w:b/>
          <w:bCs/>
          <w:color w:val="000000"/>
          <w:kern w:val="0"/>
          <w:sz w:val="20"/>
          <w:szCs w:val="20"/>
          <w:lang w:val="en-US" w:eastAsia="zh-CN" w:bidi="ar"/>
        </w:rPr>
        <w:t xml:space="preserve">第十五条 其他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00" w:firstLineChars="200"/>
        <w:jc w:val="left"/>
        <w:textAlignment w:val="auto"/>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符合《政府采购法》第 49 条规定的，经双方协商，办理政府采购手续后，可签订补充合同，所签订的补充合同与本合同具有同等法律效力。 本合同一式</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0"/>
          <w:szCs w:val="20"/>
          <w:lang w:val="en-US" w:eastAsia="zh-CN" w:bidi="ar"/>
        </w:rPr>
        <w:t>份，甲、乙双方各执</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0"/>
          <w:szCs w:val="20"/>
          <w:lang w:val="en-US" w:eastAsia="zh-CN" w:bidi="ar"/>
        </w:rPr>
        <w:t xml:space="preserve">份。 </w:t>
      </w:r>
    </w:p>
    <w:p>
      <w:pPr>
        <w:keepNext w:val="0"/>
        <w:keepLines w:val="0"/>
        <w:pageBreakBefore w:val="0"/>
        <w:widowControl/>
        <w:suppressLineNumbers w:val="0"/>
        <w:kinsoku/>
        <w:wordWrap/>
        <w:overflowPunct/>
        <w:topLinePunct w:val="0"/>
        <w:autoSpaceDE/>
        <w:autoSpaceDN/>
        <w:bidi w:val="0"/>
        <w:adjustRightInd/>
        <w:snapToGrid/>
        <w:ind w:firstLine="400" w:firstLineChars="200"/>
        <w:jc w:val="left"/>
        <w:textAlignment w:val="auto"/>
        <w:rPr>
          <w:rFonts w:hint="eastAsia" w:ascii="宋体" w:hAnsi="宋体" w:eastAsia="宋体" w:cs="宋体"/>
          <w:color w:val="000000"/>
          <w:kern w:val="0"/>
          <w:sz w:val="20"/>
          <w:szCs w:val="20"/>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00" w:firstLineChars="200"/>
        <w:jc w:val="left"/>
        <w:textAlignment w:val="auto"/>
      </w:pPr>
      <w:r>
        <w:rPr>
          <w:rFonts w:hint="eastAsia" w:ascii="宋体" w:hAnsi="宋体" w:eastAsia="宋体" w:cs="宋体"/>
          <w:color w:val="000000"/>
          <w:kern w:val="0"/>
          <w:sz w:val="20"/>
          <w:szCs w:val="20"/>
          <w:lang w:val="en-US" w:eastAsia="zh-CN" w:bidi="ar"/>
        </w:rPr>
        <w:t xml:space="preserve">甲方：                               </w:t>
      </w:r>
      <w:r>
        <w:rPr>
          <w:rFonts w:hint="eastAsia" w:ascii="宋体" w:hAnsi="宋体" w:cs="宋体"/>
          <w:color w:val="000000"/>
          <w:kern w:val="0"/>
          <w:sz w:val="20"/>
          <w:szCs w:val="20"/>
          <w:lang w:val="en-US" w:eastAsia="zh-CN" w:bidi="ar"/>
        </w:rPr>
        <w:t>乙</w:t>
      </w:r>
      <w:r>
        <w:rPr>
          <w:rFonts w:hint="eastAsia" w:ascii="宋体" w:hAnsi="宋体" w:eastAsia="宋体" w:cs="宋体"/>
          <w:color w:val="000000"/>
          <w:kern w:val="0"/>
          <w:sz w:val="20"/>
          <w:szCs w:val="20"/>
          <w:lang w:val="en-US" w:eastAsia="zh-CN" w:bidi="ar"/>
        </w:rPr>
        <w:t>方：</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00" w:firstLineChars="200"/>
        <w:jc w:val="left"/>
        <w:textAlignment w:val="auto"/>
      </w:pPr>
      <w:r>
        <w:rPr>
          <w:rFonts w:hint="eastAsia" w:ascii="宋体" w:hAnsi="宋体" w:eastAsia="宋体" w:cs="宋体"/>
          <w:color w:val="000000"/>
          <w:kern w:val="0"/>
          <w:sz w:val="20"/>
          <w:szCs w:val="20"/>
          <w:lang w:val="en-US" w:eastAsia="zh-CN" w:bidi="ar"/>
        </w:rPr>
        <w:t xml:space="preserve">名称：(盖章)                         名称：(盖章)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00" w:firstLineChars="200"/>
        <w:jc w:val="left"/>
        <w:textAlignment w:val="auto"/>
      </w:pPr>
      <w:r>
        <w:rPr>
          <w:rFonts w:hint="eastAsia" w:ascii="宋体" w:hAnsi="宋体" w:eastAsia="宋体" w:cs="宋体"/>
          <w:color w:val="000000"/>
          <w:kern w:val="0"/>
          <w:sz w:val="20"/>
          <w:szCs w:val="20"/>
          <w:lang w:val="en-US" w:eastAsia="zh-CN" w:bidi="ar"/>
        </w:rPr>
        <w:t xml:space="preserve">地址：                               地址：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00" w:firstLineChars="200"/>
        <w:jc w:val="left"/>
        <w:textAlignment w:val="auto"/>
      </w:pPr>
      <w:r>
        <w:rPr>
          <w:rFonts w:hint="eastAsia" w:ascii="宋体" w:hAnsi="宋体" w:eastAsia="宋体" w:cs="宋体"/>
          <w:color w:val="000000"/>
          <w:kern w:val="0"/>
          <w:sz w:val="20"/>
          <w:szCs w:val="20"/>
          <w:lang w:val="en-US" w:eastAsia="zh-CN" w:bidi="ar"/>
        </w:rPr>
        <w:t>法定代表人(签字)：                   法定代表人(签字)：</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00" w:firstLineChars="200"/>
        <w:jc w:val="left"/>
        <w:textAlignment w:val="auto"/>
      </w:pPr>
      <w:r>
        <w:rPr>
          <w:rFonts w:hint="eastAsia" w:ascii="宋体" w:hAnsi="宋体" w:eastAsia="宋体" w:cs="宋体"/>
          <w:color w:val="000000"/>
          <w:kern w:val="0"/>
          <w:sz w:val="20"/>
          <w:szCs w:val="20"/>
          <w:lang w:val="en-US" w:eastAsia="zh-CN" w:bidi="ar"/>
        </w:rPr>
        <w:t>授权代表(签字 )：                    授权代表(签字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00" w:firstLineChars="200"/>
        <w:jc w:val="left"/>
        <w:textAlignment w:val="auto"/>
      </w:pPr>
      <w:r>
        <w:rPr>
          <w:rFonts w:hint="eastAsia" w:ascii="宋体" w:hAnsi="宋体" w:eastAsia="宋体" w:cs="宋体"/>
          <w:color w:val="000000"/>
          <w:kern w:val="0"/>
          <w:sz w:val="20"/>
          <w:szCs w:val="20"/>
          <w:lang w:val="en-US" w:eastAsia="zh-CN" w:bidi="ar"/>
        </w:rPr>
        <w:t>开户银行：                           开户银行：</w:t>
      </w:r>
    </w:p>
    <w:p>
      <w:pPr>
        <w:keepNext w:val="0"/>
        <w:keepLines w:val="0"/>
        <w:widowControl/>
        <w:suppressLineNumbers w:val="0"/>
        <w:spacing w:line="360" w:lineRule="auto"/>
        <w:ind w:firstLine="400" w:firstLineChars="200"/>
        <w:jc w:val="left"/>
        <w:rPr>
          <w:rFonts w:hint="eastAsia" w:ascii="宋体" w:hAnsi="宋体" w:cs="宋体"/>
          <w:color w:val="auto"/>
          <w:sz w:val="28"/>
          <w:szCs w:val="28"/>
          <w:lang w:eastAsia="zh-CN"/>
        </w:rPr>
      </w:pPr>
      <w:r>
        <w:rPr>
          <w:rFonts w:hint="eastAsia" w:ascii="宋体" w:hAnsi="宋体" w:eastAsia="宋体" w:cs="宋体"/>
          <w:color w:val="000000"/>
          <w:kern w:val="0"/>
          <w:sz w:val="20"/>
          <w:szCs w:val="20"/>
          <w:lang w:val="en-US" w:eastAsia="zh-CN" w:bidi="ar"/>
        </w:rPr>
        <w:t>银行帐号：                           银行帐号：</w:t>
      </w:r>
    </w:p>
    <w:p>
      <w:pPr>
        <w:keepNext w:val="0"/>
        <w:keepLines w:val="0"/>
        <w:widowControl/>
        <w:suppressLineNumbers w:val="0"/>
        <w:spacing w:line="360" w:lineRule="auto"/>
        <w:ind w:firstLine="400" w:firstLineChars="200"/>
        <w:jc w:val="left"/>
        <w:rPr>
          <w:rFonts w:hint="eastAsia"/>
          <w:lang w:eastAsia="zh-CN"/>
        </w:rPr>
      </w:pPr>
      <w:r>
        <w:rPr>
          <w:rFonts w:hint="eastAsia" w:ascii="宋体" w:hAnsi="宋体" w:eastAsia="宋体" w:cs="宋体"/>
          <w:color w:val="000000"/>
          <w:kern w:val="0"/>
          <w:sz w:val="20"/>
          <w:szCs w:val="20"/>
          <w:lang w:val="en-US" w:eastAsia="zh-CN" w:bidi="ar"/>
        </w:rPr>
        <w:t>合同法律审核(盖章)：</w:t>
      </w:r>
    </w:p>
    <w:p>
      <w:pPr>
        <w:keepNext w:val="0"/>
        <w:keepLines w:val="0"/>
        <w:widowControl/>
        <w:suppressLineNumbers w:val="0"/>
        <w:spacing w:line="360" w:lineRule="auto"/>
        <w:ind w:firstLine="400" w:firstLineChars="200"/>
        <w:jc w:val="left"/>
        <w:rPr>
          <w:rFonts w:hint="eastAsia"/>
          <w:lang w:eastAsia="zh-CN"/>
        </w:rPr>
      </w:pPr>
      <w:r>
        <w:rPr>
          <w:rFonts w:hint="eastAsia" w:ascii="宋体" w:hAnsi="宋体" w:eastAsia="宋体" w:cs="宋体"/>
          <w:color w:val="000000"/>
          <w:kern w:val="0"/>
          <w:sz w:val="20"/>
          <w:szCs w:val="20"/>
          <w:lang w:val="en-US" w:eastAsia="zh-CN" w:bidi="ar"/>
        </w:rPr>
        <w:t>时 间：   年   月   日</w:t>
      </w:r>
    </w:p>
    <w:p>
      <w:pPr>
        <w:keepNext w:val="0"/>
        <w:keepLines w:val="0"/>
        <w:widowControl/>
        <w:suppressLineNumbers w:val="0"/>
        <w:jc w:val="left"/>
        <w:rPr>
          <w:rFonts w:hint="eastAsia" w:ascii="宋体" w:hAnsi="宋体" w:eastAsia="宋体" w:cs="宋体"/>
          <w:color w:val="000000"/>
          <w:kern w:val="0"/>
          <w:sz w:val="20"/>
          <w:szCs w:val="20"/>
          <w:lang w:val="en-US" w:eastAsia="zh-CN" w:bidi="ar"/>
        </w:rPr>
      </w:pPr>
    </w:p>
    <w:p>
      <w:pPr>
        <w:keepNext w:val="0"/>
        <w:keepLines w:val="0"/>
        <w:widowControl/>
        <w:suppressLineNumbers w:val="0"/>
        <w:spacing w:line="240" w:lineRule="auto"/>
        <w:jc w:val="left"/>
        <w:rPr>
          <w:color w:val="FF0000"/>
        </w:rPr>
      </w:pPr>
      <w:r>
        <w:rPr>
          <w:rFonts w:hint="eastAsia" w:ascii="宋体" w:hAnsi="宋体" w:eastAsia="宋体" w:cs="宋体"/>
          <w:color w:val="FF0000"/>
          <w:kern w:val="0"/>
          <w:sz w:val="20"/>
          <w:szCs w:val="20"/>
          <w:lang w:val="en-US" w:eastAsia="zh-CN" w:bidi="ar"/>
        </w:rPr>
        <w:t xml:space="preserve">特别说明：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400" w:firstLineChars="200"/>
        <w:jc w:val="left"/>
        <w:textAlignment w:val="auto"/>
        <w:rPr>
          <w:color w:val="FF0000"/>
        </w:rPr>
      </w:pPr>
      <w:r>
        <w:rPr>
          <w:rFonts w:hint="eastAsia" w:ascii="宋体" w:hAnsi="宋体" w:eastAsia="宋体" w:cs="宋体"/>
          <w:color w:val="FF0000"/>
          <w:kern w:val="0"/>
          <w:sz w:val="20"/>
          <w:szCs w:val="20"/>
          <w:lang w:val="en-US" w:eastAsia="zh-CN" w:bidi="ar"/>
        </w:rPr>
        <w:t xml:space="preserve">1.本范本根据《政府采购法》、《民法典》等法律法规制定。具体项目的采购合同条款，在本范本框架内由甲乙双方协商一致签订。空格处划横线。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400" w:firstLineChars="200"/>
        <w:jc w:val="left"/>
        <w:textAlignment w:val="auto"/>
        <w:rPr>
          <w:color w:val="FF0000"/>
        </w:rPr>
      </w:pPr>
      <w:r>
        <w:rPr>
          <w:rFonts w:hint="eastAsia" w:ascii="宋体" w:hAnsi="宋体" w:eastAsia="宋体" w:cs="宋体"/>
          <w:color w:val="FF0000"/>
          <w:kern w:val="0"/>
          <w:sz w:val="20"/>
          <w:szCs w:val="20"/>
          <w:lang w:val="en-US" w:eastAsia="zh-CN" w:bidi="ar"/>
        </w:rPr>
        <w:t xml:space="preserve">2.收款单位名称应与本合同乙方单位名称、项目中标（成交）单位名称、开具发票单位名称相一致。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400" w:firstLineChars="200"/>
        <w:jc w:val="left"/>
        <w:textAlignment w:val="auto"/>
        <w:rPr>
          <w:color w:val="FF0000"/>
        </w:rPr>
      </w:pPr>
      <w:r>
        <w:rPr>
          <w:rFonts w:hint="eastAsia" w:ascii="宋体" w:hAnsi="宋体" w:eastAsia="宋体" w:cs="宋体"/>
          <w:color w:val="FF0000"/>
          <w:kern w:val="0"/>
          <w:sz w:val="20"/>
          <w:szCs w:val="20"/>
          <w:lang w:val="en-US" w:eastAsia="zh-CN" w:bidi="ar"/>
        </w:rPr>
        <w:t xml:space="preserve">3.甲方(采购单位) 应盖本单位公章(不允许盖内设科室章) ，乙方应盖单位公章或合同专用章，合同双方应盖骑缝章。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400" w:firstLineChars="200"/>
        <w:jc w:val="left"/>
        <w:textAlignment w:val="auto"/>
        <w:rPr>
          <w:color w:val="FF0000"/>
        </w:rPr>
      </w:pPr>
      <w:r>
        <w:rPr>
          <w:rFonts w:hint="eastAsia" w:ascii="宋体" w:hAnsi="宋体" w:eastAsia="宋体" w:cs="宋体"/>
          <w:color w:val="FF0000"/>
          <w:kern w:val="0"/>
          <w:sz w:val="20"/>
          <w:szCs w:val="20"/>
          <w:lang w:val="en-US" w:eastAsia="zh-CN" w:bidi="ar"/>
        </w:rPr>
        <w:t>4.除涉密项目外，根据《政府采购法实施条例》第 50 条规定：采购人应当自政府采购合同签订之日起2个工作日内，将政府采购合同在省级以上人民政府财政部门指定的媒体上公告。</w:t>
      </w:r>
    </w:p>
    <w:p>
      <w:pPr>
        <w:pStyle w:val="2"/>
        <w:rPr>
          <w:rFonts w:hint="eastAsia"/>
          <w:lang w:eastAsia="zh-CN"/>
        </w:rPr>
      </w:pPr>
    </w:p>
    <w:p>
      <w:pPr>
        <w:pStyle w:val="2"/>
        <w:rPr>
          <w:rFonts w:hint="eastAsia"/>
          <w:lang w:val="en-US" w:eastAsia="zh-CN"/>
        </w:rPr>
      </w:pPr>
    </w:p>
    <w:p>
      <w:pPr>
        <w:pStyle w:val="3"/>
        <w:rPr>
          <w:rFonts w:hint="default"/>
          <w:lang w:val="en-US" w:eastAsia="zh-CN"/>
        </w:rPr>
        <w:sectPr>
          <w:footerReference r:id="rId6" w:type="default"/>
          <w:pgSz w:w="11905" w:h="16838"/>
          <w:pgMar w:top="1440" w:right="1576" w:bottom="1440" w:left="1576" w:header="850" w:footer="850" w:gutter="0"/>
          <w:pgBorders>
            <w:top w:val="none" w:sz="0" w:space="0"/>
            <w:left w:val="none" w:sz="0" w:space="0"/>
            <w:bottom w:val="none" w:sz="0" w:space="0"/>
            <w:right w:val="none" w:sz="0" w:space="0"/>
          </w:pgBorders>
          <w:pgNumType w:fmt="decimal"/>
          <w:cols w:space="720" w:num="1"/>
          <w:rtlGutter w:val="0"/>
          <w:docGrid w:type="lines" w:linePitch="317" w:charSpace="0"/>
        </w:sectPr>
      </w:pPr>
    </w:p>
    <w:p>
      <w:pPr>
        <w:pStyle w:val="4"/>
        <w:numPr>
          <w:ilvl w:val="0"/>
          <w:numId w:val="4"/>
        </w:numPr>
        <w:spacing w:before="120" w:beforeLines="0" w:after="120" w:afterLines="0" w:line="400" w:lineRule="exact"/>
        <w:ind w:left="459" w:leftChars="0" w:firstLine="0" w:firstLineChars="0"/>
        <w:jc w:val="center"/>
        <w:rPr>
          <w:rFonts w:hint="eastAsia" w:ascii="宋体" w:hAnsi="宋体" w:cs="宋体"/>
          <w:color w:val="auto"/>
          <w:sz w:val="28"/>
          <w:szCs w:val="28"/>
          <w:lang w:eastAsia="zh-CN"/>
        </w:rPr>
      </w:pPr>
      <w:r>
        <w:rPr>
          <w:rFonts w:hint="eastAsia" w:ascii="宋体" w:hAnsi="宋体" w:cs="宋体"/>
          <w:color w:val="auto"/>
          <w:sz w:val="28"/>
          <w:szCs w:val="28"/>
          <w:lang w:val="en-US" w:eastAsia="zh-CN"/>
        </w:rPr>
        <w:t xml:space="preserve">  </w:t>
      </w:r>
      <w:bookmarkEnd w:id="927"/>
      <w:r>
        <w:rPr>
          <w:rFonts w:hint="eastAsia" w:ascii="宋体" w:hAnsi="宋体" w:cs="宋体"/>
          <w:color w:val="auto"/>
          <w:sz w:val="28"/>
          <w:szCs w:val="28"/>
          <w:lang w:val="en-US" w:eastAsia="zh-CN"/>
        </w:rPr>
        <w:t>采购</w:t>
      </w:r>
      <w:r>
        <w:rPr>
          <w:rFonts w:hint="eastAsia" w:ascii="宋体" w:hAnsi="宋体" w:cs="宋体"/>
          <w:color w:val="auto"/>
          <w:sz w:val="28"/>
          <w:szCs w:val="28"/>
          <w:lang w:eastAsia="zh-CN"/>
        </w:rPr>
        <w:t>需求</w:t>
      </w:r>
    </w:p>
    <w:p>
      <w:pPr>
        <w:pStyle w:val="41"/>
        <w:keepNext w:val="0"/>
        <w:keepLines w:val="0"/>
        <w:pageBreakBefore w:val="0"/>
        <w:widowControl w:val="0"/>
        <w:numPr>
          <w:ilvl w:val="0"/>
          <w:numId w:val="0"/>
        </w:numPr>
        <w:kinsoku/>
        <w:overflowPunct/>
        <w:topLinePunct w:val="0"/>
        <w:autoSpaceDE/>
        <w:autoSpaceDN/>
        <w:bidi w:val="0"/>
        <w:spacing w:before="0" w:beforeLines="0" w:beforeAutospacing="0" w:after="0" w:afterLines="0" w:afterAutospacing="0" w:line="500" w:lineRule="exact"/>
        <w:ind w:firstLine="630" w:firstLineChars="300"/>
        <w:textAlignment w:val="auto"/>
        <w:rPr>
          <w:sz w:val="21"/>
          <w:szCs w:val="21"/>
        </w:rPr>
      </w:pPr>
      <w:r>
        <w:rPr>
          <w:rFonts w:hint="eastAsia"/>
          <w:sz w:val="21"/>
          <w:szCs w:val="21"/>
        </w:rPr>
        <w:t>本项目招标的学生食堂共四个餐厅</w:t>
      </w:r>
      <w:r>
        <w:rPr>
          <w:rFonts w:hint="eastAsia" w:ascii="宋体" w:hAnsi="宋体" w:eastAsia="宋体" w:cs="宋体"/>
          <w:bCs/>
          <w:color w:val="auto"/>
          <w:sz w:val="21"/>
          <w:szCs w:val="21"/>
          <w:highlight w:val="none"/>
          <w:lang w:eastAsia="zh-CN"/>
        </w:rPr>
        <w:t>的承包经营权</w:t>
      </w:r>
      <w:r>
        <w:rPr>
          <w:rFonts w:hint="eastAsia"/>
          <w:sz w:val="21"/>
          <w:szCs w:val="21"/>
          <w:lang w:eastAsia="zh-CN"/>
        </w:rPr>
        <w:t>，</w:t>
      </w:r>
      <w:r>
        <w:rPr>
          <w:rFonts w:hint="eastAsia"/>
          <w:sz w:val="21"/>
          <w:szCs w:val="21"/>
          <w:lang w:val="en-US" w:eastAsia="zh-CN"/>
        </w:rPr>
        <w:t>共分为4个包段；1包</w:t>
      </w:r>
      <w:r>
        <w:rPr>
          <w:rFonts w:hint="eastAsia"/>
          <w:sz w:val="21"/>
          <w:szCs w:val="21"/>
        </w:rPr>
        <w:t>为竹香苑餐厅一楼，建筑面积约</w:t>
      </w:r>
      <w:r>
        <w:rPr>
          <w:sz w:val="21"/>
          <w:szCs w:val="21"/>
        </w:rPr>
        <w:t>2800</w:t>
      </w:r>
      <w:r>
        <w:rPr>
          <w:rFonts w:hint="eastAsia"/>
          <w:sz w:val="21"/>
          <w:szCs w:val="21"/>
          <w:lang w:val="en-US" w:eastAsia="zh-CN"/>
        </w:rPr>
        <w:t>㎡</w:t>
      </w:r>
      <w:r>
        <w:rPr>
          <w:rFonts w:hint="eastAsia"/>
          <w:sz w:val="21"/>
          <w:szCs w:val="21"/>
        </w:rPr>
        <w:t>；</w:t>
      </w:r>
      <w:r>
        <w:rPr>
          <w:rFonts w:hint="eastAsia"/>
          <w:sz w:val="21"/>
          <w:szCs w:val="21"/>
          <w:lang w:val="en-US" w:eastAsia="zh-CN"/>
        </w:rPr>
        <w:t>2包</w:t>
      </w:r>
      <w:r>
        <w:rPr>
          <w:rFonts w:hint="eastAsia"/>
          <w:sz w:val="21"/>
          <w:szCs w:val="21"/>
        </w:rPr>
        <w:t>为竹香苑餐厅二楼，建筑面积约</w:t>
      </w:r>
      <w:r>
        <w:rPr>
          <w:sz w:val="21"/>
          <w:szCs w:val="21"/>
        </w:rPr>
        <w:t>2800</w:t>
      </w:r>
      <w:r>
        <w:rPr>
          <w:rFonts w:hint="eastAsia"/>
          <w:sz w:val="21"/>
          <w:szCs w:val="21"/>
          <w:lang w:val="en-US" w:eastAsia="zh-CN"/>
        </w:rPr>
        <w:t>㎡</w:t>
      </w:r>
      <w:r>
        <w:rPr>
          <w:rFonts w:hint="eastAsia"/>
          <w:sz w:val="21"/>
          <w:szCs w:val="21"/>
          <w:vertAlign w:val="superscript"/>
          <w:lang w:val="en-US" w:eastAsia="zh-CN"/>
        </w:rPr>
        <w:t xml:space="preserve"> </w:t>
      </w:r>
      <w:r>
        <w:rPr>
          <w:rFonts w:hint="eastAsia"/>
          <w:sz w:val="21"/>
          <w:szCs w:val="21"/>
          <w:lang w:eastAsia="zh-CN"/>
        </w:rPr>
        <w:t>；</w:t>
      </w:r>
      <w:r>
        <w:rPr>
          <w:rFonts w:hint="eastAsia"/>
          <w:sz w:val="21"/>
          <w:szCs w:val="21"/>
          <w:lang w:val="en-US" w:eastAsia="zh-CN"/>
        </w:rPr>
        <w:t>3包</w:t>
      </w:r>
      <w:r>
        <w:rPr>
          <w:rFonts w:hint="eastAsia"/>
          <w:sz w:val="21"/>
          <w:szCs w:val="21"/>
        </w:rPr>
        <w:t>为银杏食苑餐厅一楼，建筑面积约</w:t>
      </w:r>
      <w:r>
        <w:rPr>
          <w:sz w:val="21"/>
          <w:szCs w:val="21"/>
        </w:rPr>
        <w:t>2300</w:t>
      </w:r>
      <w:r>
        <w:rPr>
          <w:rFonts w:hint="eastAsia"/>
          <w:sz w:val="21"/>
          <w:szCs w:val="21"/>
          <w:lang w:val="en-US" w:eastAsia="zh-CN"/>
        </w:rPr>
        <w:t>㎡</w:t>
      </w:r>
      <w:r>
        <w:rPr>
          <w:rFonts w:hint="eastAsia"/>
          <w:sz w:val="21"/>
          <w:szCs w:val="21"/>
        </w:rPr>
        <w:t>；</w:t>
      </w:r>
      <w:r>
        <w:rPr>
          <w:rFonts w:hint="eastAsia"/>
          <w:sz w:val="21"/>
          <w:szCs w:val="21"/>
          <w:lang w:val="en-US" w:eastAsia="zh-CN"/>
        </w:rPr>
        <w:t>4包</w:t>
      </w:r>
      <w:r>
        <w:rPr>
          <w:rFonts w:hint="eastAsia"/>
          <w:sz w:val="21"/>
          <w:szCs w:val="21"/>
        </w:rPr>
        <w:t>为银杏食苑餐厅二楼，建筑面积约</w:t>
      </w:r>
      <w:r>
        <w:rPr>
          <w:sz w:val="21"/>
          <w:szCs w:val="21"/>
        </w:rPr>
        <w:t>2300</w:t>
      </w:r>
      <w:r>
        <w:rPr>
          <w:rFonts w:hint="eastAsia"/>
          <w:sz w:val="21"/>
          <w:szCs w:val="21"/>
          <w:lang w:val="en-US" w:eastAsia="zh-CN"/>
        </w:rPr>
        <w:t>㎡</w:t>
      </w:r>
      <w:r>
        <w:rPr>
          <w:rFonts w:hint="eastAsia"/>
          <w:sz w:val="21"/>
          <w:szCs w:val="21"/>
          <w:lang w:eastAsia="zh-CN"/>
        </w:rPr>
        <w:t>。</w:t>
      </w:r>
    </w:p>
    <w:p>
      <w:pPr>
        <w:spacing w:line="360" w:lineRule="auto"/>
        <w:ind w:firstLine="420" w:firstLineChars="200"/>
        <w:rPr>
          <w:sz w:val="21"/>
          <w:szCs w:val="21"/>
        </w:rPr>
      </w:pPr>
      <w:r>
        <w:rPr>
          <w:rFonts w:hint="eastAsia"/>
          <w:sz w:val="21"/>
          <w:szCs w:val="21"/>
          <w:lang w:val="en-US" w:eastAsia="zh-CN"/>
        </w:rPr>
        <w:t>1、</w:t>
      </w:r>
      <w:r>
        <w:rPr>
          <w:sz w:val="21"/>
          <w:szCs w:val="21"/>
        </w:rPr>
        <w:t>现有的经营条件：</w:t>
      </w:r>
      <w:r>
        <w:t>学生食堂水、电、天然气等基本设施完善，厨具和洗消间基本齐备。</w:t>
      </w:r>
    </w:p>
    <w:p>
      <w:pPr>
        <w:spacing w:line="360" w:lineRule="auto"/>
        <w:ind w:firstLine="420" w:firstLineChars="200"/>
        <w:rPr>
          <w:sz w:val="21"/>
          <w:szCs w:val="21"/>
        </w:rPr>
      </w:pPr>
      <w:r>
        <w:rPr>
          <w:rFonts w:hint="eastAsia"/>
          <w:sz w:val="21"/>
          <w:szCs w:val="21"/>
          <w:lang w:val="en-US" w:eastAsia="zh-CN"/>
        </w:rPr>
        <w:t>2、</w:t>
      </w:r>
      <w:r>
        <w:t>在校学生约2万人，校内食堂遵循公平竞争，自愿就餐原则。</w:t>
      </w:r>
    </w:p>
    <w:p>
      <w:pPr>
        <w:spacing w:line="360" w:lineRule="auto"/>
        <w:ind w:firstLine="420" w:firstLineChars="200"/>
        <w:rPr>
          <w:sz w:val="21"/>
          <w:szCs w:val="21"/>
        </w:rPr>
      </w:pPr>
      <w:r>
        <w:rPr>
          <w:rFonts w:hint="eastAsia"/>
          <w:sz w:val="21"/>
          <w:szCs w:val="21"/>
          <w:lang w:val="en-US" w:eastAsia="zh-CN"/>
        </w:rPr>
        <w:t>3、合作方式：在学校提供的现有经营条件基础上进行经营。</w:t>
      </w:r>
    </w:p>
    <w:p>
      <w:pPr>
        <w:spacing w:line="360" w:lineRule="auto"/>
        <w:ind w:firstLine="420" w:firstLineChars="200"/>
        <w:rPr>
          <w:sz w:val="21"/>
          <w:szCs w:val="21"/>
        </w:rPr>
      </w:pPr>
      <w:r>
        <w:rPr>
          <w:rFonts w:hint="eastAsia"/>
          <w:sz w:val="21"/>
          <w:szCs w:val="21"/>
          <w:lang w:val="en-US" w:eastAsia="zh-CN"/>
        </w:rPr>
        <w:t>4、经营服务范围：基本大伙和特色风味（包含民族窗口），满足学生不同口味具有地方特色的饮食服务；设施达到标准化食堂建设要求；饭菜价格低于校外周边市场同类价格，具有公益性、普遍性、教育性和服务性，在保证饭菜足量的情况下早餐2元/份以下的品种应达到30%以上，早餐3元/份以下的品种应达到40%以上，早餐5元/份以下的品种应达到80%以上，中晚餐10元/份以下的饭菜品种应达到70%以上、其中8元/份以下饭菜品种应达到30%以上，切实保障家庭经济困难学生的基本伙食要求，保证低价菜和免费汤供应。</w:t>
      </w:r>
    </w:p>
    <w:p>
      <w:pPr>
        <w:spacing w:line="360" w:lineRule="auto"/>
        <w:ind w:firstLine="420" w:firstLineChars="200"/>
        <w:rPr>
          <w:sz w:val="21"/>
          <w:szCs w:val="21"/>
        </w:rPr>
      </w:pPr>
      <w:r>
        <w:rPr>
          <w:rFonts w:hint="eastAsia"/>
          <w:sz w:val="21"/>
          <w:szCs w:val="21"/>
          <w:lang w:val="en-US" w:eastAsia="zh-CN"/>
        </w:rPr>
        <w:t>5、</w:t>
      </w:r>
      <w:r>
        <w:rPr>
          <w:sz w:val="21"/>
          <w:szCs w:val="21"/>
        </w:rPr>
        <w:t>承包经营期限：</w:t>
      </w:r>
      <w:r>
        <w:rPr>
          <w:rFonts w:hint="eastAsia"/>
          <w:sz w:val="21"/>
          <w:szCs w:val="21"/>
        </w:rPr>
        <w:t>半</w:t>
      </w:r>
      <w:r>
        <w:rPr>
          <w:sz w:val="21"/>
          <w:szCs w:val="21"/>
        </w:rPr>
        <w:t>年。</w:t>
      </w:r>
    </w:p>
    <w:p>
      <w:pPr>
        <w:spacing w:line="360" w:lineRule="auto"/>
        <w:ind w:firstLine="420" w:firstLineChars="200"/>
        <w:rPr>
          <w:sz w:val="21"/>
          <w:szCs w:val="21"/>
        </w:rPr>
      </w:pPr>
      <w:r>
        <w:rPr>
          <w:rFonts w:hint="eastAsia"/>
          <w:sz w:val="21"/>
          <w:szCs w:val="21"/>
          <w:lang w:val="en-US" w:eastAsia="zh-CN"/>
        </w:rPr>
        <w:t>6、由餐饮公司与学校共同设立专项帮扶基金账户，按月向基金账户捐赠不低于食堂营业额的3%，用于贫困生奖补及勤工助学岗位工资发放支出。</w:t>
      </w:r>
    </w:p>
    <w:p>
      <w:pPr>
        <w:spacing w:line="360" w:lineRule="auto"/>
        <w:ind w:firstLine="420" w:firstLineChars="200"/>
        <w:rPr>
          <w:sz w:val="21"/>
          <w:szCs w:val="21"/>
        </w:rPr>
      </w:pPr>
      <w:r>
        <w:rPr>
          <w:rFonts w:hint="eastAsia"/>
          <w:sz w:val="21"/>
          <w:szCs w:val="21"/>
          <w:lang w:val="en-US" w:eastAsia="zh-CN"/>
        </w:rPr>
        <w:t>7、</w:t>
      </w:r>
      <w:r>
        <w:t>大宗物资(米、面、油</w:t>
      </w:r>
      <w:r>
        <w:rPr>
          <w:rFonts w:hint="eastAsia"/>
        </w:rPr>
        <w:t>、调料、冻品、禽肉蛋等)按</w:t>
      </w:r>
      <w:r>
        <w:t>照上级部门要求实行大宗物质集中采购。后厨及公共餐厅水、电、天</w:t>
      </w:r>
      <w:r>
        <w:rPr>
          <w:rFonts w:hint="eastAsia"/>
        </w:rPr>
        <w:t>然气费用按表计量，收费标准按学校有关文件制定的标准执行，费用由</w:t>
      </w:r>
      <w:r>
        <w:rPr>
          <w:rFonts w:hint="eastAsia"/>
          <w:lang w:val="en-US" w:eastAsia="zh-CN"/>
        </w:rPr>
        <w:t>成交</w:t>
      </w:r>
      <w:r>
        <w:rPr>
          <w:rFonts w:hint="eastAsia"/>
        </w:rPr>
        <w:t>经营企业承担，就餐费用实行校园一卡通支付，统一结算。</w:t>
      </w:r>
    </w:p>
    <w:p>
      <w:pPr>
        <w:spacing w:line="360" w:lineRule="auto"/>
        <w:ind w:firstLine="420" w:firstLineChars="200"/>
        <w:rPr>
          <w:sz w:val="21"/>
          <w:szCs w:val="21"/>
        </w:rPr>
      </w:pPr>
      <w:r>
        <w:rPr>
          <w:rFonts w:hint="eastAsia"/>
          <w:sz w:val="21"/>
          <w:szCs w:val="21"/>
          <w:lang w:val="en-US" w:eastAsia="zh-CN"/>
        </w:rPr>
        <w:t>8</w:t>
      </w:r>
      <w:r>
        <w:rPr>
          <w:rFonts w:hint="eastAsia"/>
          <w:sz w:val="21"/>
          <w:szCs w:val="21"/>
          <w:lang w:eastAsia="zh-CN"/>
        </w:rPr>
        <w:t>、</w:t>
      </w:r>
      <w:r>
        <w:t>设备、设施和场地使用：招标方提供现有设备设施及用具（按交接清单），合同期满后完好归还，</w:t>
      </w:r>
      <w:r>
        <w:rPr>
          <w:rFonts w:hint="eastAsia"/>
        </w:rPr>
        <w:t>如有损坏或短缺，则赔偿相应费用。设施、设备及用具在承包期内的维修、审验和养护费用由</w:t>
      </w:r>
      <w:r>
        <w:rPr>
          <w:rFonts w:hint="eastAsia"/>
          <w:lang w:val="en-US" w:eastAsia="zh-CN"/>
        </w:rPr>
        <w:t>成交</w:t>
      </w:r>
      <w:r>
        <w:rPr>
          <w:rFonts w:hint="eastAsia"/>
        </w:rPr>
        <w:t>方自行承担。食堂除归属招标方提供的现有设备外，其他所需设备及餐具、易耗品由经营方自行购买，但</w:t>
      </w:r>
      <w:r>
        <w:rPr>
          <w:rFonts w:hint="eastAsia"/>
          <w:lang w:val="en-US" w:eastAsia="zh-CN"/>
        </w:rPr>
        <w:t>成交</w:t>
      </w:r>
      <w:r>
        <w:rPr>
          <w:rFonts w:hint="eastAsia"/>
        </w:rPr>
        <w:t>方在购置设备时需报招标方备案。</w:t>
      </w:r>
      <w:r>
        <w:t>所有餐厨垃圾清运及回收</w:t>
      </w:r>
      <w:r>
        <w:rPr>
          <w:rFonts w:hint="eastAsia"/>
        </w:rPr>
        <w:t>应按学校规定处置，费用</w:t>
      </w:r>
      <w:r>
        <w:t>均由</w:t>
      </w:r>
      <w:r>
        <w:rPr>
          <w:rFonts w:hint="eastAsia"/>
          <w:lang w:val="en-US" w:eastAsia="zh-CN"/>
        </w:rPr>
        <w:t>成交</w:t>
      </w:r>
      <w:r>
        <w:t>人承担。</w:t>
      </w:r>
    </w:p>
    <w:p>
      <w:pPr>
        <w:spacing w:line="360" w:lineRule="auto"/>
        <w:ind w:firstLine="420" w:firstLineChars="200"/>
        <w:rPr>
          <w:rFonts w:hint="eastAsia"/>
        </w:rPr>
      </w:pPr>
      <w:r>
        <w:rPr>
          <w:rFonts w:hint="eastAsia"/>
          <w:sz w:val="21"/>
          <w:szCs w:val="21"/>
          <w:lang w:val="en-US" w:eastAsia="zh-CN"/>
        </w:rPr>
        <w:t>9、</w:t>
      </w:r>
      <w:r>
        <w:rPr>
          <w:rFonts w:hint="eastAsia"/>
          <w:lang w:val="en-US" w:eastAsia="zh-CN"/>
        </w:rPr>
        <w:t>成交</w:t>
      </w:r>
      <w:r>
        <w:rPr>
          <w:rFonts w:hint="eastAsia"/>
        </w:rPr>
        <w:t>方经营方式：不以收取租金的方式进行经营，仅准许向商户进行提点，提点不超过营业额的2</w:t>
      </w:r>
      <w:r>
        <w:t>2</w:t>
      </w:r>
      <w:r>
        <w:rPr>
          <w:rFonts w:hint="eastAsia"/>
        </w:rPr>
        <w:t>%，提点应包含捐赠金额，招标方现有餐厅商户</w:t>
      </w:r>
      <w:r>
        <w:rPr>
          <w:rFonts w:hint="eastAsia"/>
          <w:lang w:val="en-US" w:eastAsia="zh-CN"/>
        </w:rPr>
        <w:t>成交</w:t>
      </w:r>
      <w:r>
        <w:rPr>
          <w:rFonts w:hint="eastAsia"/>
        </w:rPr>
        <w:t>方应留尽留，</w:t>
      </w:r>
      <w:r>
        <w:rPr>
          <w:rFonts w:hint="eastAsia"/>
          <w:lang w:val="en-US" w:eastAsia="zh-CN"/>
        </w:rPr>
        <w:t>成交</w:t>
      </w:r>
      <w:r>
        <w:rPr>
          <w:rFonts w:hint="eastAsia"/>
        </w:rPr>
        <w:t>方应及时向商户结算营业款，向大宗物资供应商结算货款。</w:t>
      </w:r>
    </w:p>
    <w:p>
      <w:pPr>
        <w:spacing w:line="360" w:lineRule="auto"/>
        <w:ind w:firstLine="420" w:firstLineChars="200"/>
        <w:rPr>
          <w:sz w:val="21"/>
          <w:szCs w:val="21"/>
        </w:rPr>
      </w:pPr>
      <w:r>
        <w:rPr>
          <w:rFonts w:hint="eastAsia"/>
          <w:sz w:val="21"/>
          <w:szCs w:val="21"/>
          <w:lang w:val="en-US" w:eastAsia="zh-CN"/>
        </w:rPr>
        <w:t>10、</w:t>
      </w:r>
      <w:r>
        <w:rPr>
          <w:rFonts w:hint="eastAsia"/>
          <w:sz w:val="21"/>
          <w:szCs w:val="21"/>
        </w:rPr>
        <w:t>退场承诺：</w:t>
      </w:r>
      <w:r>
        <w:rPr>
          <w:rFonts w:hint="eastAsia"/>
        </w:rPr>
        <w:t>若招标方重新对本项目进行招标，</w:t>
      </w:r>
      <w:r>
        <w:rPr>
          <w:rFonts w:hint="eastAsia"/>
          <w:lang w:val="en-US" w:eastAsia="zh-CN"/>
        </w:rPr>
        <w:t>成交</w:t>
      </w:r>
      <w:r>
        <w:rPr>
          <w:rFonts w:hint="eastAsia"/>
        </w:rPr>
        <w:t>方应无条件配合招标方做好退场交接工作。</w:t>
      </w:r>
    </w:p>
    <w:bookmarkEnd w:id="918"/>
    <w:bookmarkEnd w:id="919"/>
    <w:bookmarkEnd w:id="920"/>
    <w:p>
      <w:pPr>
        <w:pStyle w:val="4"/>
        <w:numPr>
          <w:ilvl w:val="0"/>
          <w:numId w:val="0"/>
        </w:numPr>
        <w:spacing w:before="120" w:beforeLines="0" w:after="120" w:afterLines="0" w:line="400" w:lineRule="exact"/>
        <w:jc w:val="both"/>
        <w:rPr>
          <w:rFonts w:hint="eastAsia" w:ascii="宋体" w:hAnsi="宋体" w:cs="宋体"/>
          <w:bCs w:val="0"/>
          <w:color w:val="auto"/>
          <w:sz w:val="28"/>
          <w:szCs w:val="28"/>
        </w:rPr>
        <w:sectPr>
          <w:pgSz w:w="11905" w:h="16838"/>
          <w:pgMar w:top="1440" w:right="1576" w:bottom="1440" w:left="1576" w:header="850" w:footer="850" w:gutter="0"/>
          <w:pgBorders>
            <w:top w:val="none" w:sz="0" w:space="0"/>
            <w:left w:val="none" w:sz="0" w:space="0"/>
            <w:bottom w:val="none" w:sz="0" w:space="0"/>
            <w:right w:val="none" w:sz="0" w:space="0"/>
          </w:pgBorders>
          <w:pgNumType w:fmt="decimal"/>
          <w:cols w:space="720" w:num="1"/>
          <w:rtlGutter w:val="0"/>
          <w:docGrid w:type="lines" w:linePitch="317" w:charSpace="0"/>
        </w:sectPr>
      </w:pPr>
      <w:bookmarkStart w:id="928" w:name="_Toc28130"/>
    </w:p>
    <w:p>
      <w:pPr>
        <w:pStyle w:val="4"/>
        <w:numPr>
          <w:ilvl w:val="0"/>
          <w:numId w:val="0"/>
        </w:numPr>
        <w:spacing w:before="120" w:beforeLines="0" w:after="120" w:afterLines="0" w:line="400" w:lineRule="exact"/>
        <w:jc w:val="center"/>
        <w:rPr>
          <w:rFonts w:hint="eastAsia" w:ascii="宋体" w:hAnsi="宋体" w:cs="宋体"/>
          <w:bCs w:val="0"/>
          <w:color w:val="auto"/>
          <w:sz w:val="28"/>
          <w:szCs w:val="28"/>
        </w:rPr>
      </w:pPr>
      <w:r>
        <w:rPr>
          <w:rFonts w:hint="eastAsia" w:ascii="宋体" w:hAnsi="宋体" w:cs="宋体"/>
          <w:bCs w:val="0"/>
          <w:color w:val="auto"/>
          <w:sz w:val="28"/>
          <w:szCs w:val="28"/>
        </w:rPr>
        <w:t>第六章  竞争性磋商响应文件格式</w:t>
      </w:r>
      <w:bookmarkEnd w:id="928"/>
    </w:p>
    <w:p>
      <w:pPr>
        <w:spacing w:line="400" w:lineRule="exact"/>
        <w:rPr>
          <w:rFonts w:hint="eastAsia" w:ascii="宋体" w:hAnsi="宋体" w:cs="宋体"/>
          <w:color w:val="auto"/>
        </w:rPr>
      </w:pPr>
    </w:p>
    <w:p>
      <w:pPr>
        <w:spacing w:line="440" w:lineRule="exact"/>
        <w:jc w:val="right"/>
        <w:rPr>
          <w:rFonts w:hint="eastAsia" w:ascii="宋体" w:hAnsi="宋体" w:cs="宋体"/>
          <w:color w:val="auto"/>
          <w:sz w:val="24"/>
          <w:bdr w:val="single" w:color="auto" w:sz="4" w:space="0"/>
        </w:rPr>
      </w:pPr>
    </w:p>
    <w:p>
      <w:pPr>
        <w:spacing w:line="440" w:lineRule="exact"/>
        <w:rPr>
          <w:rFonts w:hint="eastAsia" w:ascii="宋体" w:hAnsi="宋体" w:cs="宋体"/>
          <w:color w:val="auto"/>
          <w:sz w:val="24"/>
        </w:rPr>
      </w:pPr>
    </w:p>
    <w:p>
      <w:pPr>
        <w:jc w:val="center"/>
        <w:rPr>
          <w:rFonts w:hint="eastAsia" w:ascii="宋体" w:hAnsi="宋体" w:cs="宋体"/>
          <w:b/>
          <w:bCs/>
          <w:color w:val="auto"/>
          <w:sz w:val="30"/>
          <w:szCs w:val="30"/>
        </w:rPr>
      </w:pPr>
      <w:r>
        <w:rPr>
          <w:rFonts w:hint="eastAsia" w:ascii="宋体" w:hAnsi="宋体" w:cs="宋体"/>
          <w:b/>
          <w:bCs/>
          <w:color w:val="auto"/>
          <w:sz w:val="30"/>
          <w:szCs w:val="30"/>
          <w:u w:val="single"/>
        </w:rPr>
        <w:t xml:space="preserve">                     </w:t>
      </w:r>
      <w:r>
        <w:rPr>
          <w:rFonts w:hint="eastAsia" w:ascii="宋体" w:hAnsi="宋体" w:cs="宋体"/>
          <w:b/>
          <w:bCs/>
          <w:color w:val="auto"/>
          <w:sz w:val="30"/>
          <w:szCs w:val="30"/>
        </w:rPr>
        <w:t>（项目名称）</w:t>
      </w:r>
      <w:r>
        <w:rPr>
          <w:rFonts w:hint="eastAsia" w:ascii="宋体" w:hAnsi="宋体" w:cs="宋体"/>
          <w:b/>
          <w:bCs/>
          <w:color w:val="auto"/>
          <w:sz w:val="30"/>
          <w:szCs w:val="30"/>
          <w:u w:val="single"/>
          <w:lang w:val="en-US" w:eastAsia="zh-CN"/>
        </w:rPr>
        <w:t xml:space="preserve">   </w:t>
      </w:r>
      <w:r>
        <w:rPr>
          <w:rFonts w:hint="eastAsia" w:ascii="宋体" w:hAnsi="宋体" w:cs="宋体"/>
          <w:b/>
          <w:bCs/>
          <w:color w:val="auto"/>
          <w:sz w:val="30"/>
          <w:szCs w:val="30"/>
          <w:lang w:val="en-US" w:eastAsia="zh-CN"/>
        </w:rPr>
        <w:t>包</w:t>
      </w:r>
      <w:r>
        <w:rPr>
          <w:rFonts w:hint="eastAsia" w:ascii="宋体" w:hAnsi="宋体" w:cs="宋体"/>
          <w:b/>
          <w:bCs/>
          <w:color w:val="auto"/>
          <w:sz w:val="30"/>
          <w:szCs w:val="30"/>
        </w:rPr>
        <w:t>竞争性磋商</w:t>
      </w:r>
    </w:p>
    <w:p>
      <w:pPr>
        <w:jc w:val="center"/>
        <w:rPr>
          <w:rFonts w:hint="eastAsia" w:ascii="宋体" w:hAnsi="宋体" w:cs="宋体"/>
          <w:color w:val="auto"/>
          <w:sz w:val="28"/>
          <w:szCs w:val="28"/>
        </w:rPr>
      </w:pPr>
    </w:p>
    <w:p>
      <w:pPr>
        <w:jc w:val="center"/>
        <w:rPr>
          <w:rFonts w:hint="eastAsia" w:ascii="宋体" w:hAnsi="宋体" w:cs="宋体"/>
          <w:color w:val="auto"/>
          <w:sz w:val="28"/>
          <w:szCs w:val="28"/>
        </w:rPr>
      </w:pPr>
    </w:p>
    <w:p>
      <w:pPr>
        <w:jc w:val="center"/>
        <w:rPr>
          <w:rFonts w:hint="eastAsia" w:ascii="宋体" w:hAnsi="宋体" w:cs="宋体"/>
          <w:color w:val="auto"/>
          <w:sz w:val="72"/>
          <w:szCs w:val="84"/>
        </w:rPr>
      </w:pPr>
      <w:r>
        <w:rPr>
          <w:rFonts w:hint="eastAsia" w:ascii="宋体" w:hAnsi="宋体" w:cs="宋体"/>
          <w:b/>
          <w:bCs/>
          <w:color w:val="auto"/>
          <w:sz w:val="72"/>
          <w:szCs w:val="84"/>
        </w:rPr>
        <w:t>响 应 文 件</w:t>
      </w:r>
    </w:p>
    <w:p>
      <w:pPr>
        <w:spacing w:line="400" w:lineRule="exact"/>
        <w:rPr>
          <w:rFonts w:hint="eastAsia" w:ascii="宋体" w:hAnsi="宋体" w:cs="宋体"/>
          <w:color w:val="auto"/>
          <w:sz w:val="28"/>
          <w:szCs w:val="28"/>
        </w:rPr>
      </w:pPr>
    </w:p>
    <w:p>
      <w:pPr>
        <w:spacing w:line="400" w:lineRule="exact"/>
        <w:rPr>
          <w:rFonts w:hint="eastAsia" w:ascii="宋体" w:hAnsi="宋体" w:cs="宋体"/>
          <w:color w:val="auto"/>
          <w:sz w:val="28"/>
          <w:szCs w:val="28"/>
        </w:rPr>
      </w:pPr>
    </w:p>
    <w:p>
      <w:pPr>
        <w:spacing w:line="400" w:lineRule="exact"/>
        <w:rPr>
          <w:rFonts w:hint="eastAsia" w:ascii="宋体" w:hAnsi="宋体" w:cs="宋体"/>
          <w:color w:val="auto"/>
          <w:sz w:val="28"/>
          <w:szCs w:val="28"/>
        </w:rPr>
      </w:pPr>
    </w:p>
    <w:p>
      <w:pPr>
        <w:spacing w:line="400" w:lineRule="exact"/>
        <w:rPr>
          <w:rFonts w:hint="eastAsia" w:ascii="宋体" w:hAnsi="宋体" w:cs="宋体"/>
          <w:color w:val="auto"/>
          <w:sz w:val="28"/>
          <w:szCs w:val="28"/>
        </w:rPr>
      </w:pPr>
    </w:p>
    <w:p>
      <w:pPr>
        <w:spacing w:line="400" w:lineRule="exact"/>
        <w:rPr>
          <w:rFonts w:hint="eastAsia" w:ascii="宋体" w:hAnsi="宋体" w:cs="宋体"/>
          <w:color w:val="auto"/>
          <w:sz w:val="28"/>
          <w:szCs w:val="28"/>
        </w:rPr>
      </w:pPr>
    </w:p>
    <w:p>
      <w:pPr>
        <w:spacing w:line="400" w:lineRule="exact"/>
        <w:rPr>
          <w:rFonts w:hint="eastAsia" w:ascii="宋体" w:hAnsi="宋体" w:cs="宋体"/>
          <w:color w:val="auto"/>
          <w:sz w:val="28"/>
          <w:szCs w:val="28"/>
        </w:rPr>
      </w:pPr>
    </w:p>
    <w:p>
      <w:pPr>
        <w:spacing w:line="400" w:lineRule="exact"/>
        <w:rPr>
          <w:rFonts w:hint="eastAsia" w:ascii="宋体" w:hAnsi="宋体" w:cs="宋体"/>
          <w:color w:val="auto"/>
          <w:sz w:val="28"/>
          <w:szCs w:val="28"/>
        </w:rPr>
      </w:pPr>
    </w:p>
    <w:p>
      <w:pPr>
        <w:spacing w:line="400" w:lineRule="exact"/>
        <w:rPr>
          <w:rFonts w:hint="eastAsia" w:ascii="宋体" w:hAnsi="宋体" w:cs="宋体"/>
          <w:color w:val="auto"/>
          <w:sz w:val="28"/>
          <w:szCs w:val="28"/>
        </w:rPr>
      </w:pPr>
    </w:p>
    <w:p>
      <w:pPr>
        <w:spacing w:line="400" w:lineRule="exact"/>
        <w:rPr>
          <w:rFonts w:hint="eastAsia" w:ascii="宋体" w:hAnsi="宋体" w:cs="宋体"/>
          <w:color w:val="auto"/>
          <w:sz w:val="28"/>
          <w:szCs w:val="28"/>
        </w:rPr>
      </w:pPr>
    </w:p>
    <w:p>
      <w:pPr>
        <w:spacing w:line="400" w:lineRule="exact"/>
        <w:rPr>
          <w:rFonts w:hint="eastAsia" w:ascii="宋体" w:hAnsi="宋体" w:cs="宋体"/>
          <w:color w:val="auto"/>
          <w:sz w:val="28"/>
          <w:szCs w:val="28"/>
        </w:rPr>
      </w:pPr>
    </w:p>
    <w:p>
      <w:pPr>
        <w:spacing w:line="400" w:lineRule="exact"/>
        <w:rPr>
          <w:rFonts w:hint="eastAsia" w:ascii="宋体" w:hAnsi="宋体" w:cs="宋体"/>
          <w:color w:val="auto"/>
          <w:sz w:val="28"/>
          <w:szCs w:val="28"/>
        </w:rPr>
      </w:pPr>
    </w:p>
    <w:p>
      <w:pPr>
        <w:pStyle w:val="2"/>
        <w:rPr>
          <w:rFonts w:hint="eastAsia" w:ascii="宋体" w:hAnsi="宋体" w:cs="宋体"/>
          <w:color w:val="auto"/>
          <w:sz w:val="28"/>
          <w:szCs w:val="28"/>
        </w:rPr>
      </w:pPr>
    </w:p>
    <w:p>
      <w:pPr>
        <w:spacing w:line="400" w:lineRule="exact"/>
        <w:rPr>
          <w:rFonts w:hint="eastAsia" w:ascii="宋体" w:hAnsi="宋体" w:cs="宋体"/>
          <w:color w:val="auto"/>
          <w:sz w:val="28"/>
          <w:szCs w:val="28"/>
        </w:rPr>
      </w:pPr>
    </w:p>
    <w:p>
      <w:pPr>
        <w:spacing w:line="400" w:lineRule="exact"/>
        <w:rPr>
          <w:rFonts w:hint="eastAsia" w:ascii="宋体" w:hAnsi="宋体" w:cs="宋体"/>
          <w:color w:val="auto"/>
          <w:sz w:val="28"/>
          <w:szCs w:val="28"/>
        </w:rPr>
      </w:pPr>
    </w:p>
    <w:p>
      <w:pPr>
        <w:spacing w:line="480" w:lineRule="auto"/>
        <w:jc w:val="center"/>
        <w:rPr>
          <w:rFonts w:hint="eastAsia" w:ascii="宋体" w:hAnsi="宋体" w:cs="宋体"/>
          <w:color w:val="auto"/>
          <w:sz w:val="24"/>
        </w:rPr>
      </w:pPr>
      <w:r>
        <w:rPr>
          <w:rFonts w:hint="eastAsia" w:ascii="宋体" w:hAnsi="宋体" w:cs="宋体"/>
          <w:color w:val="auto"/>
          <w:sz w:val="24"/>
        </w:rPr>
        <w:t>供应商：</w:t>
      </w:r>
      <w:r>
        <w:rPr>
          <w:rFonts w:hint="eastAsia" w:ascii="宋体" w:hAnsi="宋体" w:cs="宋体"/>
          <w:color w:val="auto"/>
          <w:sz w:val="24"/>
          <w:u w:val="single"/>
        </w:rPr>
        <w:t xml:space="preserve">                             </w:t>
      </w:r>
      <w:r>
        <w:rPr>
          <w:rFonts w:hint="eastAsia" w:ascii="宋体" w:hAnsi="宋体" w:cs="宋体"/>
          <w:color w:val="auto"/>
          <w:sz w:val="24"/>
        </w:rPr>
        <w:t xml:space="preserve"> （单位电子签章）</w:t>
      </w:r>
    </w:p>
    <w:p>
      <w:pPr>
        <w:spacing w:line="480" w:lineRule="auto"/>
        <w:jc w:val="center"/>
        <w:rPr>
          <w:rFonts w:hint="eastAsia" w:ascii="宋体" w:hAnsi="宋体" w:cs="宋体"/>
          <w:color w:val="auto"/>
          <w:sz w:val="24"/>
        </w:rPr>
      </w:pPr>
      <w:r>
        <w:rPr>
          <w:rFonts w:hint="eastAsia" w:ascii="宋体" w:hAnsi="宋体" w:cs="宋体"/>
          <w:color w:val="auto"/>
          <w:sz w:val="24"/>
        </w:rPr>
        <w:t>法定代表人或其委托代理人：</w:t>
      </w:r>
      <w:r>
        <w:rPr>
          <w:rFonts w:hint="eastAsia" w:ascii="宋体" w:hAnsi="宋体" w:cs="宋体"/>
          <w:color w:val="auto"/>
          <w:sz w:val="24"/>
          <w:u w:val="single"/>
        </w:rPr>
        <w:t xml:space="preserve">                </w:t>
      </w:r>
      <w:r>
        <w:rPr>
          <w:rFonts w:hint="eastAsia" w:ascii="宋体" w:hAnsi="宋体" w:cs="宋体"/>
          <w:color w:val="auto"/>
          <w:sz w:val="24"/>
        </w:rPr>
        <w:t>（电子签名或盖章）</w:t>
      </w:r>
    </w:p>
    <w:p>
      <w:pPr>
        <w:spacing w:line="480" w:lineRule="auto"/>
        <w:jc w:val="center"/>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spacing w:line="400" w:lineRule="exact"/>
        <w:rPr>
          <w:rFonts w:hint="eastAsia" w:ascii="宋体" w:hAnsi="宋体" w:cs="宋体"/>
          <w:color w:val="auto"/>
          <w:sz w:val="22"/>
          <w:szCs w:val="28"/>
        </w:rPr>
      </w:pPr>
    </w:p>
    <w:p>
      <w:pPr>
        <w:pStyle w:val="177"/>
        <w:jc w:val="center"/>
        <w:rPr>
          <w:rFonts w:hint="eastAsia" w:ascii="宋体" w:hAnsi="宋体" w:eastAsia="宋体"/>
          <w:b/>
          <w:bCs/>
          <w:color w:val="auto"/>
          <w:szCs w:val="28"/>
        </w:rPr>
        <w:sectPr>
          <w:footerReference r:id="rId7" w:type="default"/>
          <w:pgSz w:w="11905" w:h="16838"/>
          <w:pgMar w:top="1440" w:right="1576" w:bottom="1440" w:left="1576" w:header="850" w:footer="850" w:gutter="0"/>
          <w:pgBorders>
            <w:top w:val="none" w:sz="0" w:space="0"/>
            <w:left w:val="none" w:sz="0" w:space="0"/>
            <w:bottom w:val="none" w:sz="0" w:space="0"/>
            <w:right w:val="none" w:sz="0" w:space="0"/>
          </w:pgBorders>
          <w:pgNumType w:fmt="decimal"/>
          <w:cols w:space="720" w:num="1"/>
          <w:rtlGutter w:val="0"/>
          <w:docGrid w:type="lines" w:linePitch="317" w:charSpace="0"/>
        </w:sectPr>
      </w:pPr>
      <w:bookmarkStart w:id="929" w:name="_Toc31864"/>
      <w:bookmarkStart w:id="930" w:name="_Toc20198"/>
      <w:bookmarkStart w:id="931" w:name="_Toc152045787"/>
      <w:bookmarkStart w:id="932" w:name="_Toc152042576"/>
      <w:bookmarkStart w:id="933" w:name="_Toc466298157"/>
      <w:bookmarkStart w:id="934" w:name="_Toc144974856"/>
      <w:bookmarkStart w:id="935" w:name="_Toc8978"/>
    </w:p>
    <w:p>
      <w:pPr>
        <w:pStyle w:val="177"/>
        <w:jc w:val="center"/>
        <w:rPr>
          <w:rFonts w:hint="eastAsia" w:ascii="宋体" w:hAnsi="宋体" w:eastAsia="宋体"/>
          <w:b/>
          <w:bCs/>
          <w:color w:val="auto"/>
          <w:szCs w:val="28"/>
        </w:rPr>
      </w:pPr>
      <w:r>
        <w:rPr>
          <w:rFonts w:hint="eastAsia" w:ascii="宋体" w:hAnsi="宋体" w:eastAsia="宋体"/>
          <w:b/>
          <w:bCs/>
          <w:color w:val="auto"/>
          <w:szCs w:val="28"/>
        </w:rPr>
        <w:t>目    录</w:t>
      </w:r>
      <w:bookmarkEnd w:id="929"/>
      <w:bookmarkEnd w:id="930"/>
      <w:bookmarkEnd w:id="931"/>
      <w:bookmarkEnd w:id="932"/>
      <w:bookmarkEnd w:id="933"/>
      <w:bookmarkEnd w:id="934"/>
      <w:bookmarkEnd w:id="935"/>
    </w:p>
    <w:p>
      <w:pPr>
        <w:pStyle w:val="177"/>
        <w:jc w:val="center"/>
        <w:rPr>
          <w:rFonts w:hint="eastAsia" w:ascii="宋体" w:hAnsi="宋体" w:eastAsia="宋体"/>
          <w:color w:val="auto"/>
          <w:szCs w:val="28"/>
        </w:rPr>
      </w:pPr>
    </w:p>
    <w:p>
      <w:pPr>
        <w:pStyle w:val="177"/>
        <w:jc w:val="center"/>
        <w:rPr>
          <w:rFonts w:hint="eastAsia" w:ascii="宋体" w:hAnsi="宋体" w:eastAsia="宋体"/>
          <w:color w:val="auto"/>
          <w:szCs w:val="28"/>
        </w:rPr>
      </w:pPr>
    </w:p>
    <w:p>
      <w:pPr>
        <w:keepNext w:val="0"/>
        <w:keepLines w:val="0"/>
        <w:pageBreakBefore w:val="0"/>
        <w:widowControl w:val="0"/>
        <w:kinsoku/>
        <w:wordWrap/>
        <w:overflowPunct/>
        <w:topLinePunct w:val="0"/>
        <w:autoSpaceDE/>
        <w:autoSpaceDN/>
        <w:bidi w:val="0"/>
        <w:adjustRightInd/>
        <w:snapToGrid/>
        <w:spacing w:line="540" w:lineRule="exact"/>
        <w:ind w:left="630" w:leftChars="300"/>
        <w:textAlignment w:val="auto"/>
        <w:rPr>
          <w:rFonts w:hint="eastAsia" w:ascii="宋体" w:hAnsi="宋体" w:cs="宋体"/>
          <w:color w:val="auto"/>
        </w:rPr>
      </w:pPr>
      <w:r>
        <w:rPr>
          <w:rFonts w:hint="eastAsia" w:ascii="宋体" w:hAnsi="宋体" w:cs="宋体"/>
          <w:color w:val="auto"/>
        </w:rPr>
        <w:t>一、磋商函及磋商函附录（第一轮报价）</w:t>
      </w:r>
    </w:p>
    <w:p>
      <w:pPr>
        <w:keepNext w:val="0"/>
        <w:keepLines w:val="0"/>
        <w:pageBreakBefore w:val="0"/>
        <w:widowControl w:val="0"/>
        <w:kinsoku/>
        <w:wordWrap/>
        <w:overflowPunct/>
        <w:topLinePunct w:val="0"/>
        <w:autoSpaceDE/>
        <w:autoSpaceDN/>
        <w:bidi w:val="0"/>
        <w:adjustRightInd/>
        <w:snapToGrid/>
        <w:spacing w:line="540" w:lineRule="exact"/>
        <w:ind w:left="630" w:leftChars="300"/>
        <w:textAlignment w:val="auto"/>
        <w:rPr>
          <w:rFonts w:hint="eastAsia" w:ascii="宋体" w:hAnsi="宋体" w:cs="宋体"/>
          <w:color w:val="auto"/>
        </w:rPr>
      </w:pPr>
      <w:r>
        <w:rPr>
          <w:rFonts w:hint="eastAsia" w:ascii="宋体" w:hAnsi="宋体" w:cs="宋体"/>
          <w:color w:val="auto"/>
          <w:lang w:val="en-US" w:eastAsia="zh-CN"/>
        </w:rPr>
        <w:t>二、法定代表人（单位负责人）身份证明和法定代表人授权委托书</w:t>
      </w:r>
    </w:p>
    <w:p>
      <w:pPr>
        <w:keepNext w:val="0"/>
        <w:keepLines w:val="0"/>
        <w:pageBreakBefore w:val="0"/>
        <w:widowControl w:val="0"/>
        <w:kinsoku/>
        <w:wordWrap/>
        <w:overflowPunct/>
        <w:topLinePunct w:val="0"/>
        <w:autoSpaceDE/>
        <w:autoSpaceDN/>
        <w:bidi w:val="0"/>
        <w:adjustRightInd/>
        <w:snapToGrid/>
        <w:spacing w:line="540" w:lineRule="exact"/>
        <w:ind w:left="630" w:leftChars="300"/>
        <w:textAlignment w:val="auto"/>
        <w:rPr>
          <w:rFonts w:hint="eastAsia" w:ascii="宋体" w:hAnsi="宋体" w:cs="宋体"/>
          <w:color w:val="auto"/>
        </w:rPr>
      </w:pPr>
      <w:r>
        <w:rPr>
          <w:rFonts w:hint="eastAsia" w:ascii="宋体" w:hAnsi="宋体" w:cs="宋体"/>
          <w:color w:val="auto"/>
          <w:lang w:eastAsia="zh-CN"/>
        </w:rPr>
        <w:t>三</w:t>
      </w:r>
      <w:r>
        <w:rPr>
          <w:rFonts w:hint="eastAsia" w:ascii="宋体" w:hAnsi="宋体" w:cs="宋体"/>
          <w:color w:val="auto"/>
        </w:rPr>
        <w:t>、资格证明材料</w:t>
      </w:r>
    </w:p>
    <w:p>
      <w:pPr>
        <w:keepNext w:val="0"/>
        <w:keepLines w:val="0"/>
        <w:pageBreakBefore w:val="0"/>
        <w:widowControl w:val="0"/>
        <w:kinsoku/>
        <w:wordWrap/>
        <w:overflowPunct/>
        <w:topLinePunct w:val="0"/>
        <w:autoSpaceDE/>
        <w:autoSpaceDN/>
        <w:bidi w:val="0"/>
        <w:adjustRightInd/>
        <w:snapToGrid/>
        <w:spacing w:line="540" w:lineRule="exact"/>
        <w:ind w:left="630" w:leftChars="300"/>
        <w:textAlignment w:val="auto"/>
        <w:rPr>
          <w:rFonts w:hint="eastAsia" w:ascii="宋体" w:hAnsi="宋体" w:cs="宋体"/>
          <w:color w:val="auto"/>
        </w:rPr>
      </w:pPr>
      <w:r>
        <w:rPr>
          <w:rFonts w:hint="eastAsia" w:ascii="宋体" w:hAnsi="宋体" w:cs="宋体"/>
          <w:color w:val="auto"/>
          <w:lang w:eastAsia="zh-CN"/>
        </w:rPr>
        <w:t>四</w:t>
      </w:r>
      <w:r>
        <w:rPr>
          <w:rFonts w:hint="eastAsia" w:ascii="宋体" w:hAnsi="宋体" w:cs="宋体"/>
          <w:color w:val="auto"/>
        </w:rPr>
        <w:t>、</w:t>
      </w:r>
      <w:r>
        <w:rPr>
          <w:rFonts w:hint="eastAsia" w:ascii="宋体" w:hAnsi="宋体" w:cs="宋体"/>
          <w:color w:val="auto"/>
          <w:lang w:val="en-US" w:eastAsia="zh-CN"/>
        </w:rPr>
        <w:t>商务及技术偏差表</w:t>
      </w:r>
    </w:p>
    <w:p>
      <w:pPr>
        <w:keepNext w:val="0"/>
        <w:keepLines w:val="0"/>
        <w:pageBreakBefore w:val="0"/>
        <w:widowControl w:val="0"/>
        <w:kinsoku/>
        <w:wordWrap/>
        <w:overflowPunct/>
        <w:topLinePunct w:val="0"/>
        <w:autoSpaceDE/>
        <w:autoSpaceDN/>
        <w:bidi w:val="0"/>
        <w:adjustRightInd/>
        <w:snapToGrid/>
        <w:spacing w:line="540" w:lineRule="exact"/>
        <w:ind w:left="630" w:leftChars="300"/>
        <w:textAlignment w:val="auto"/>
        <w:rPr>
          <w:rFonts w:hint="eastAsia" w:ascii="宋体" w:hAnsi="宋体" w:eastAsia="宋体" w:cs="宋体"/>
          <w:color w:val="auto"/>
          <w:lang w:val="en-US" w:eastAsia="zh-CN"/>
        </w:rPr>
      </w:pPr>
      <w:r>
        <w:rPr>
          <w:rFonts w:hint="eastAsia" w:ascii="宋体" w:hAnsi="宋体" w:cs="宋体"/>
          <w:color w:val="auto"/>
          <w:lang w:val="en-US" w:eastAsia="zh-CN"/>
        </w:rPr>
        <w:t>五、投标方案</w:t>
      </w:r>
    </w:p>
    <w:p>
      <w:pPr>
        <w:keepNext w:val="0"/>
        <w:keepLines w:val="0"/>
        <w:pageBreakBefore w:val="0"/>
        <w:widowControl w:val="0"/>
        <w:kinsoku/>
        <w:wordWrap/>
        <w:overflowPunct/>
        <w:topLinePunct w:val="0"/>
        <w:autoSpaceDE/>
        <w:autoSpaceDN/>
        <w:bidi w:val="0"/>
        <w:adjustRightInd/>
        <w:snapToGrid/>
        <w:spacing w:line="540" w:lineRule="exact"/>
        <w:ind w:left="630" w:leftChars="300"/>
        <w:textAlignment w:val="auto"/>
        <w:rPr>
          <w:rFonts w:hint="eastAsia" w:ascii="宋体" w:hAnsi="宋体" w:cs="宋体"/>
          <w:color w:val="auto"/>
        </w:rPr>
      </w:pPr>
      <w:r>
        <w:rPr>
          <w:rFonts w:hint="eastAsia" w:ascii="宋体" w:hAnsi="宋体" w:cs="宋体"/>
          <w:color w:val="auto"/>
          <w:lang w:val="en-US" w:eastAsia="zh-CN"/>
        </w:rPr>
        <w:t>六</w:t>
      </w:r>
      <w:r>
        <w:rPr>
          <w:rFonts w:hint="eastAsia" w:ascii="宋体" w:hAnsi="宋体" w:cs="宋体"/>
          <w:color w:val="auto"/>
        </w:rPr>
        <w:t>、</w:t>
      </w:r>
      <w:r>
        <w:rPr>
          <w:rFonts w:hint="eastAsia" w:ascii="宋体" w:hAnsi="宋体" w:cs="宋体"/>
          <w:color w:val="auto"/>
          <w:lang w:val="en-US" w:eastAsia="zh-CN"/>
        </w:rPr>
        <w:t>服务承诺</w:t>
      </w:r>
    </w:p>
    <w:p>
      <w:pPr>
        <w:keepNext w:val="0"/>
        <w:keepLines w:val="0"/>
        <w:pageBreakBefore w:val="0"/>
        <w:widowControl w:val="0"/>
        <w:kinsoku/>
        <w:wordWrap/>
        <w:overflowPunct/>
        <w:topLinePunct w:val="0"/>
        <w:autoSpaceDE/>
        <w:autoSpaceDN/>
        <w:bidi w:val="0"/>
        <w:adjustRightInd/>
        <w:snapToGrid/>
        <w:spacing w:line="540" w:lineRule="exact"/>
        <w:ind w:left="630" w:leftChars="300"/>
        <w:textAlignment w:val="auto"/>
        <w:rPr>
          <w:rFonts w:hint="eastAsia" w:ascii="宋体" w:hAnsi="宋体" w:cs="宋体"/>
          <w:color w:val="auto"/>
        </w:rPr>
      </w:pPr>
      <w:r>
        <w:rPr>
          <w:rFonts w:hint="eastAsia" w:ascii="宋体" w:hAnsi="宋体" w:cs="宋体"/>
          <w:color w:val="auto"/>
          <w:lang w:val="en-US" w:eastAsia="zh-CN"/>
        </w:rPr>
        <w:t>七、</w:t>
      </w:r>
      <w:r>
        <w:rPr>
          <w:rFonts w:hint="eastAsia" w:ascii="宋体" w:hAnsi="宋体" w:cs="宋体"/>
          <w:color w:val="auto"/>
        </w:rPr>
        <w:t>其他材料</w:t>
      </w:r>
    </w:p>
    <w:p>
      <w:pPr>
        <w:spacing w:line="540" w:lineRule="exact"/>
        <w:jc w:val="center"/>
        <w:rPr>
          <w:rFonts w:hint="eastAsia" w:ascii="宋体" w:hAnsi="宋体" w:eastAsia="宋体" w:cs="宋体"/>
          <w:color w:val="auto"/>
          <w:lang w:eastAsia="zh-CN"/>
        </w:rPr>
      </w:pPr>
      <w:r>
        <w:rPr>
          <w:rFonts w:hint="eastAsia" w:ascii="宋体" w:hAnsi="宋体" w:cs="宋体"/>
          <w:color w:val="auto"/>
          <w:lang w:eastAsia="zh-CN"/>
        </w:rPr>
        <w:t>（</w:t>
      </w:r>
      <w:r>
        <w:rPr>
          <w:rFonts w:hint="eastAsia" w:ascii="宋体" w:hAnsi="宋体" w:cs="宋体"/>
          <w:color w:val="auto"/>
          <w:lang w:val="en-US" w:eastAsia="zh-CN"/>
        </w:rPr>
        <w:t>供应商自行编制页码</w:t>
      </w:r>
      <w:r>
        <w:rPr>
          <w:rFonts w:hint="eastAsia" w:ascii="宋体" w:hAnsi="宋体" w:cs="宋体"/>
          <w:color w:val="auto"/>
          <w:lang w:eastAsia="zh-CN"/>
        </w:rPr>
        <w:t>）</w:t>
      </w:r>
    </w:p>
    <w:p>
      <w:pPr>
        <w:spacing w:line="540" w:lineRule="exact"/>
        <w:rPr>
          <w:rFonts w:hint="eastAsia" w:ascii="宋体" w:hAnsi="宋体" w:cs="宋体"/>
          <w:color w:val="auto"/>
        </w:rPr>
      </w:pPr>
    </w:p>
    <w:p>
      <w:pPr>
        <w:spacing w:line="540" w:lineRule="exact"/>
        <w:rPr>
          <w:rFonts w:hint="eastAsia" w:ascii="宋体" w:hAnsi="宋体" w:cs="宋体"/>
          <w:color w:val="auto"/>
        </w:rPr>
      </w:pPr>
    </w:p>
    <w:p>
      <w:pPr>
        <w:spacing w:line="540" w:lineRule="exact"/>
        <w:rPr>
          <w:rFonts w:hint="eastAsia" w:ascii="宋体" w:hAnsi="宋体" w:cs="宋体"/>
          <w:color w:val="auto"/>
        </w:rPr>
      </w:pPr>
    </w:p>
    <w:p>
      <w:pPr>
        <w:spacing w:line="540" w:lineRule="exact"/>
        <w:rPr>
          <w:rFonts w:hint="eastAsia" w:ascii="宋体" w:hAnsi="宋体" w:cs="宋体"/>
          <w:color w:val="auto"/>
        </w:rPr>
      </w:pPr>
    </w:p>
    <w:p>
      <w:pPr>
        <w:spacing w:line="540" w:lineRule="exact"/>
        <w:rPr>
          <w:rFonts w:hint="eastAsia" w:ascii="宋体" w:hAnsi="宋体" w:cs="宋体"/>
          <w:color w:val="auto"/>
        </w:rPr>
      </w:pPr>
    </w:p>
    <w:p>
      <w:pPr>
        <w:spacing w:line="540" w:lineRule="exact"/>
        <w:rPr>
          <w:rFonts w:hint="eastAsia" w:ascii="宋体" w:hAnsi="宋体" w:cs="宋体"/>
          <w:color w:val="auto"/>
        </w:rPr>
      </w:pPr>
    </w:p>
    <w:p>
      <w:pPr>
        <w:spacing w:line="540" w:lineRule="exact"/>
        <w:rPr>
          <w:rFonts w:hint="eastAsia" w:ascii="宋体" w:hAnsi="宋体" w:cs="宋体"/>
          <w:color w:val="auto"/>
        </w:rPr>
      </w:pPr>
    </w:p>
    <w:p>
      <w:pPr>
        <w:spacing w:line="540" w:lineRule="exact"/>
        <w:rPr>
          <w:rFonts w:hint="eastAsia" w:ascii="宋体" w:hAnsi="宋体" w:cs="宋体"/>
          <w:color w:val="auto"/>
          <w:sz w:val="20"/>
          <w:szCs w:val="20"/>
        </w:rPr>
      </w:pPr>
    </w:p>
    <w:p>
      <w:pPr>
        <w:spacing w:line="540" w:lineRule="exact"/>
        <w:rPr>
          <w:rFonts w:hint="eastAsia" w:ascii="宋体" w:hAnsi="宋体" w:cs="宋体"/>
          <w:color w:val="auto"/>
          <w:sz w:val="20"/>
          <w:szCs w:val="20"/>
        </w:rPr>
      </w:pPr>
    </w:p>
    <w:p>
      <w:pPr>
        <w:spacing w:line="540" w:lineRule="exact"/>
        <w:rPr>
          <w:rFonts w:hint="eastAsia" w:ascii="宋体" w:hAnsi="宋体" w:cs="宋体"/>
          <w:color w:val="auto"/>
          <w:sz w:val="20"/>
          <w:szCs w:val="20"/>
        </w:rPr>
      </w:pPr>
    </w:p>
    <w:p>
      <w:pPr>
        <w:spacing w:line="540" w:lineRule="exact"/>
        <w:rPr>
          <w:rFonts w:hint="eastAsia" w:ascii="宋体" w:hAnsi="宋体" w:cs="宋体"/>
          <w:color w:val="auto"/>
          <w:sz w:val="20"/>
          <w:szCs w:val="20"/>
        </w:rPr>
      </w:pPr>
    </w:p>
    <w:p>
      <w:pPr>
        <w:pStyle w:val="2"/>
        <w:rPr>
          <w:rFonts w:hint="eastAsia"/>
          <w:color w:val="auto"/>
          <w:lang w:val="en-US" w:eastAsia="zh-CN"/>
        </w:rPr>
      </w:pPr>
    </w:p>
    <w:p>
      <w:pPr>
        <w:spacing w:line="540" w:lineRule="exact"/>
        <w:rPr>
          <w:rFonts w:hint="eastAsia" w:ascii="宋体" w:hAnsi="宋体" w:cs="宋体"/>
          <w:color w:val="auto"/>
          <w:sz w:val="20"/>
          <w:szCs w:val="20"/>
        </w:rPr>
      </w:pPr>
    </w:p>
    <w:p>
      <w:pPr>
        <w:pStyle w:val="69"/>
        <w:rPr>
          <w:rFonts w:hint="eastAsia" w:ascii="宋体" w:hAnsi="宋体" w:cs="宋体"/>
          <w:color w:val="auto"/>
          <w:sz w:val="20"/>
          <w:szCs w:val="20"/>
        </w:rPr>
      </w:pPr>
    </w:p>
    <w:p>
      <w:pPr>
        <w:pStyle w:val="69"/>
        <w:rPr>
          <w:rFonts w:hint="eastAsia" w:ascii="宋体" w:hAnsi="宋体" w:cs="宋体"/>
          <w:color w:val="auto"/>
          <w:sz w:val="20"/>
          <w:szCs w:val="20"/>
        </w:rPr>
      </w:pPr>
    </w:p>
    <w:p>
      <w:pPr>
        <w:pStyle w:val="177"/>
        <w:numPr>
          <w:ilvl w:val="0"/>
          <w:numId w:val="5"/>
        </w:numPr>
        <w:jc w:val="center"/>
        <w:rPr>
          <w:rFonts w:hint="eastAsia" w:ascii="宋体" w:hAnsi="宋体" w:eastAsia="宋体"/>
          <w:b/>
          <w:color w:val="auto"/>
          <w:szCs w:val="28"/>
        </w:rPr>
        <w:sectPr>
          <w:footerReference r:id="rId8" w:type="default"/>
          <w:pgSz w:w="11905" w:h="16838"/>
          <w:pgMar w:top="1440" w:right="1576" w:bottom="1440" w:left="1576" w:header="850" w:footer="850" w:gutter="0"/>
          <w:pgBorders>
            <w:top w:val="none" w:sz="0" w:space="0"/>
            <w:left w:val="none" w:sz="0" w:space="0"/>
            <w:bottom w:val="none" w:sz="0" w:space="0"/>
            <w:right w:val="none" w:sz="0" w:space="0"/>
          </w:pgBorders>
          <w:pgNumType w:fmt="decimal"/>
          <w:cols w:space="720" w:num="1"/>
          <w:rtlGutter w:val="0"/>
          <w:docGrid w:type="lines" w:linePitch="317" w:charSpace="0"/>
        </w:sectPr>
      </w:pPr>
      <w:bookmarkStart w:id="936" w:name="_Toc152042577"/>
      <w:bookmarkStart w:id="937" w:name="_Toc152045788"/>
      <w:bookmarkStart w:id="938" w:name="_Toc144974857"/>
      <w:bookmarkStart w:id="939" w:name="_Toc8095"/>
      <w:bookmarkStart w:id="940" w:name="_Toc9911"/>
      <w:bookmarkStart w:id="941" w:name="_Toc466298158"/>
      <w:bookmarkStart w:id="942" w:name="_Toc2791"/>
    </w:p>
    <w:p>
      <w:pPr>
        <w:pStyle w:val="177"/>
        <w:numPr>
          <w:ilvl w:val="0"/>
          <w:numId w:val="5"/>
        </w:numPr>
        <w:jc w:val="center"/>
        <w:rPr>
          <w:rFonts w:hint="eastAsia" w:ascii="宋体" w:hAnsi="宋体" w:eastAsia="宋体"/>
          <w:b/>
          <w:color w:val="auto"/>
          <w:szCs w:val="28"/>
        </w:rPr>
      </w:pPr>
      <w:r>
        <w:rPr>
          <w:rFonts w:hint="eastAsia" w:ascii="宋体" w:hAnsi="宋体" w:eastAsia="宋体"/>
          <w:b/>
          <w:color w:val="auto"/>
          <w:szCs w:val="28"/>
        </w:rPr>
        <w:t>磋商函及</w:t>
      </w:r>
      <w:bookmarkEnd w:id="936"/>
      <w:bookmarkEnd w:id="937"/>
      <w:bookmarkEnd w:id="938"/>
      <w:r>
        <w:rPr>
          <w:rFonts w:hint="eastAsia" w:ascii="宋体" w:hAnsi="宋体" w:eastAsia="宋体"/>
          <w:b/>
          <w:color w:val="auto"/>
          <w:szCs w:val="28"/>
        </w:rPr>
        <w:t>磋商函附录</w:t>
      </w:r>
      <w:bookmarkEnd w:id="939"/>
      <w:bookmarkEnd w:id="940"/>
      <w:bookmarkEnd w:id="941"/>
      <w:bookmarkEnd w:id="942"/>
    </w:p>
    <w:p>
      <w:pPr>
        <w:pStyle w:val="183"/>
        <w:numPr>
          <w:ilvl w:val="0"/>
          <w:numId w:val="6"/>
        </w:numPr>
        <w:jc w:val="center"/>
        <w:outlineLvl w:val="0"/>
        <w:rPr>
          <w:rFonts w:hint="eastAsia" w:ascii="宋体" w:hAnsi="宋体" w:eastAsia="宋体"/>
          <w:b/>
          <w:color w:val="auto"/>
          <w:szCs w:val="23"/>
        </w:rPr>
      </w:pPr>
      <w:bookmarkStart w:id="943" w:name="_Toc490667892"/>
      <w:bookmarkStart w:id="944" w:name="_Toc8915"/>
      <w:bookmarkStart w:id="945" w:name="_Toc16901"/>
      <w:bookmarkStart w:id="946" w:name="_Toc23888"/>
      <w:bookmarkStart w:id="947" w:name="_Toc30581"/>
      <w:bookmarkStart w:id="948" w:name="_Toc144974858"/>
      <w:bookmarkStart w:id="949" w:name="_Toc455080170"/>
      <w:bookmarkStart w:id="950" w:name="_Toc26262"/>
      <w:bookmarkStart w:id="951" w:name="_Toc152042578"/>
      <w:bookmarkStart w:id="952" w:name="_Toc466298159"/>
      <w:bookmarkStart w:id="953" w:name="_Toc18705"/>
      <w:bookmarkStart w:id="954" w:name="_Toc11855"/>
      <w:bookmarkStart w:id="955" w:name="_Toc455867830"/>
      <w:bookmarkStart w:id="956" w:name="_Toc6005"/>
      <w:bookmarkStart w:id="957" w:name="_Toc152045789"/>
      <w:bookmarkStart w:id="958" w:name="_Toc318450744"/>
      <w:bookmarkStart w:id="959" w:name="_Toc19633"/>
      <w:r>
        <w:rPr>
          <w:rFonts w:hint="eastAsia" w:ascii="宋体" w:hAnsi="宋体" w:eastAsia="宋体"/>
          <w:b/>
          <w:color w:val="auto"/>
          <w:szCs w:val="23"/>
        </w:rPr>
        <w:t>磋商函</w:t>
      </w:r>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p>
    <w:p>
      <w:pPr>
        <w:widowControl/>
        <w:spacing w:line="360" w:lineRule="auto"/>
        <w:rPr>
          <w:rFonts w:hint="eastAsia" w:ascii="宋体" w:hAnsi="宋体"/>
          <w:szCs w:val="21"/>
        </w:rPr>
      </w:pPr>
      <w:bookmarkStart w:id="960" w:name="_Toc466298160"/>
      <w:bookmarkStart w:id="961" w:name="_Toc447888814"/>
      <w:bookmarkStart w:id="962" w:name="_Toc11398"/>
      <w:bookmarkStart w:id="963" w:name="_Toc19056"/>
      <w:bookmarkStart w:id="964" w:name="_Toc11521"/>
      <w:bookmarkStart w:id="965" w:name="_Toc490667893"/>
      <w:r>
        <w:rPr>
          <w:rFonts w:hint="eastAsia" w:ascii="宋体" w:hAnsi="宋体"/>
          <w:szCs w:val="21"/>
          <w:u w:val="single"/>
        </w:rPr>
        <w:t xml:space="preserve">        （采购人）   </w:t>
      </w:r>
      <w:r>
        <w:rPr>
          <w:rFonts w:hint="eastAsia" w:ascii="宋体" w:hAnsi="宋体"/>
          <w:szCs w:val="21"/>
        </w:rPr>
        <w:t>：</w:t>
      </w:r>
    </w:p>
    <w:p>
      <w:pPr>
        <w:widowControl/>
        <w:spacing w:line="360" w:lineRule="auto"/>
        <w:ind w:firstLine="428" w:firstLineChars="204"/>
        <w:rPr>
          <w:rFonts w:hint="eastAsia" w:ascii="宋体" w:hAnsi="宋体"/>
          <w:szCs w:val="21"/>
        </w:rPr>
      </w:pPr>
      <w:r>
        <w:rPr>
          <w:rFonts w:hint="eastAsia" w:ascii="宋体" w:hAnsi="宋体"/>
          <w:szCs w:val="21"/>
          <w:u w:val="single"/>
        </w:rPr>
        <w:t xml:space="preserve">                </w:t>
      </w:r>
      <w:r>
        <w:rPr>
          <w:rFonts w:hint="eastAsia" w:ascii="宋体" w:hAnsi="宋体"/>
          <w:szCs w:val="21"/>
        </w:rPr>
        <w:t>（</w:t>
      </w:r>
      <w:r>
        <w:rPr>
          <w:rFonts w:hint="eastAsia" w:ascii="宋体" w:hAnsi="宋体"/>
          <w:szCs w:val="21"/>
          <w:lang w:eastAsia="zh-CN"/>
        </w:rPr>
        <w:t>供应商</w:t>
      </w:r>
      <w:r>
        <w:rPr>
          <w:rFonts w:hint="eastAsia" w:ascii="宋体" w:hAnsi="宋体"/>
          <w:szCs w:val="21"/>
        </w:rPr>
        <w:t>全称）授权</w:t>
      </w:r>
      <w:r>
        <w:rPr>
          <w:rFonts w:hint="eastAsia" w:ascii="宋体" w:hAnsi="宋体"/>
          <w:szCs w:val="21"/>
          <w:u w:val="single"/>
        </w:rPr>
        <w:t xml:space="preserve">             </w:t>
      </w:r>
      <w:r>
        <w:rPr>
          <w:rFonts w:hint="eastAsia" w:ascii="宋体" w:hAnsi="宋体"/>
          <w:szCs w:val="21"/>
        </w:rPr>
        <w:t>（委托代理人姓名、职务）为本项目委托代理人，参加贵方组织的</w:t>
      </w:r>
      <w:r>
        <w:rPr>
          <w:rFonts w:hint="eastAsia" w:ascii="宋体" w:hAnsi="宋体"/>
          <w:szCs w:val="21"/>
          <w:u w:val="single"/>
        </w:rPr>
        <w:t xml:space="preserve">          </w:t>
      </w:r>
      <w:r>
        <w:rPr>
          <w:rFonts w:hint="eastAsia" w:ascii="宋体" w:hAnsi="宋体"/>
          <w:szCs w:val="21"/>
        </w:rPr>
        <w:t>（项目名称）</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（项目编号）招标的有关活动，并对相关</w:t>
      </w:r>
      <w:r>
        <w:rPr>
          <w:rFonts w:hint="eastAsia" w:ascii="宋体" w:hAnsi="宋体"/>
          <w:szCs w:val="21"/>
          <w:lang w:val="en-US" w:eastAsia="zh-CN"/>
        </w:rPr>
        <w:t>服务</w:t>
      </w:r>
      <w:r>
        <w:rPr>
          <w:rFonts w:hint="eastAsia" w:ascii="宋体" w:hAnsi="宋体"/>
          <w:szCs w:val="21"/>
        </w:rPr>
        <w:t>进行投标。为此承诺如下：</w:t>
      </w:r>
    </w:p>
    <w:p>
      <w:pPr>
        <w:autoSpaceDE w:val="0"/>
        <w:autoSpaceDN w:val="0"/>
        <w:adjustRightInd w:val="0"/>
        <w:spacing w:line="360" w:lineRule="auto"/>
        <w:ind w:firstLine="420" w:firstLineChars="200"/>
        <w:rPr>
          <w:rFonts w:hint="eastAsia" w:ascii="宋体" w:hAnsi="宋体" w:cs="黑体"/>
          <w:kern w:val="0"/>
          <w:szCs w:val="21"/>
        </w:rPr>
      </w:pPr>
      <w:r>
        <w:rPr>
          <w:rFonts w:hint="eastAsia" w:ascii="宋体" w:hAnsi="宋体"/>
          <w:szCs w:val="21"/>
        </w:rPr>
        <w:t>1.提供招标规定的全部</w:t>
      </w:r>
      <w:r>
        <w:rPr>
          <w:rFonts w:hint="eastAsia" w:ascii="宋体" w:hAnsi="宋体"/>
          <w:szCs w:val="21"/>
          <w:lang w:val="en-US" w:eastAsia="zh-CN"/>
        </w:rPr>
        <w:t>响应</w:t>
      </w:r>
      <w:r>
        <w:rPr>
          <w:rFonts w:hint="eastAsia" w:ascii="宋体" w:hAnsi="宋体"/>
          <w:szCs w:val="21"/>
        </w:rPr>
        <w:t>文件</w:t>
      </w:r>
      <w:r>
        <w:rPr>
          <w:rFonts w:hint="eastAsia" w:ascii="宋体" w:hAnsi="宋体" w:cs="黑体"/>
          <w:kern w:val="0"/>
          <w:szCs w:val="21"/>
        </w:rPr>
        <w:t>。</w:t>
      </w:r>
    </w:p>
    <w:p>
      <w:pPr>
        <w:tabs>
          <w:tab w:val="left" w:pos="1365"/>
        </w:tabs>
        <w:spacing w:line="360" w:lineRule="auto"/>
        <w:ind w:firstLine="420" w:firstLineChars="200"/>
        <w:rPr>
          <w:rFonts w:hint="eastAsia" w:ascii="宋体" w:hAnsi="宋体"/>
          <w:szCs w:val="21"/>
        </w:rPr>
      </w:pPr>
      <w:r>
        <w:rPr>
          <w:rFonts w:hint="eastAsia" w:ascii="宋体" w:hAnsi="宋体"/>
          <w:szCs w:val="21"/>
        </w:rPr>
        <w:t>2.投标</w:t>
      </w:r>
      <w:r>
        <w:rPr>
          <w:rFonts w:hint="eastAsia" w:ascii="宋体" w:hAnsi="宋体"/>
          <w:szCs w:val="21"/>
          <w:lang w:val="en-US" w:eastAsia="zh-CN"/>
        </w:rPr>
        <w:t>服务</w:t>
      </w:r>
      <w:r>
        <w:rPr>
          <w:rFonts w:hint="eastAsia" w:ascii="宋体" w:hAnsi="宋体"/>
          <w:szCs w:val="21"/>
        </w:rPr>
        <w:t>的总报价为人民币（大写）</w:t>
      </w:r>
      <w:r>
        <w:rPr>
          <w:rFonts w:hint="eastAsia" w:ascii="宋体" w:hAnsi="宋体"/>
          <w:szCs w:val="21"/>
          <w:u w:val="single"/>
        </w:rPr>
        <w:t xml:space="preserve">            </w:t>
      </w:r>
      <w:r>
        <w:rPr>
          <w:rFonts w:hint="eastAsia" w:ascii="宋体" w:hAnsi="宋体"/>
          <w:szCs w:val="21"/>
        </w:rPr>
        <w:t>，（小写）</w:t>
      </w:r>
      <w:r>
        <w:rPr>
          <w:rFonts w:hint="eastAsia" w:ascii="宋体" w:hAnsi="宋体"/>
          <w:szCs w:val="21"/>
          <w:u w:val="single"/>
        </w:rPr>
        <w:t xml:space="preserve">              </w:t>
      </w:r>
      <w:r>
        <w:rPr>
          <w:rFonts w:hint="eastAsia" w:ascii="宋体" w:hAnsi="宋体"/>
          <w:szCs w:val="21"/>
        </w:rPr>
        <w:t>。</w:t>
      </w:r>
    </w:p>
    <w:p>
      <w:pPr>
        <w:tabs>
          <w:tab w:val="left" w:pos="1365"/>
        </w:tabs>
        <w:spacing w:line="360" w:lineRule="auto"/>
        <w:ind w:firstLine="420" w:firstLineChars="200"/>
        <w:rPr>
          <w:rFonts w:hint="eastAsia" w:ascii="宋体" w:hAnsi="宋体"/>
          <w:szCs w:val="21"/>
        </w:rPr>
      </w:pPr>
      <w:r>
        <w:rPr>
          <w:rFonts w:hint="eastAsia" w:ascii="宋体" w:hAnsi="宋体"/>
          <w:szCs w:val="21"/>
        </w:rPr>
        <w:t>3.如我方的</w:t>
      </w:r>
      <w:r>
        <w:rPr>
          <w:rFonts w:hint="eastAsia" w:ascii="宋体" w:hAnsi="宋体"/>
          <w:szCs w:val="21"/>
          <w:lang w:val="en-US" w:eastAsia="zh-CN"/>
        </w:rPr>
        <w:t>响应</w:t>
      </w:r>
      <w:r>
        <w:rPr>
          <w:rFonts w:hint="eastAsia" w:ascii="宋体" w:hAnsi="宋体"/>
          <w:szCs w:val="21"/>
        </w:rPr>
        <w:t>文件被接受，我们将履行</w:t>
      </w:r>
      <w:r>
        <w:rPr>
          <w:rFonts w:hint="eastAsia" w:ascii="宋体" w:hAnsi="宋体"/>
          <w:szCs w:val="21"/>
          <w:lang w:val="en-US" w:eastAsia="zh-CN"/>
        </w:rPr>
        <w:t>磋商</w:t>
      </w:r>
      <w:r>
        <w:rPr>
          <w:rFonts w:hint="eastAsia" w:ascii="宋体" w:hAnsi="宋体"/>
          <w:szCs w:val="21"/>
        </w:rPr>
        <w:t>文件中规定的每一项要求，按期、按质履行合同。我方声明，我单位递交的</w:t>
      </w:r>
      <w:r>
        <w:rPr>
          <w:rFonts w:hint="eastAsia" w:ascii="宋体" w:hAnsi="宋体"/>
          <w:szCs w:val="21"/>
          <w:lang w:val="en-US" w:eastAsia="zh-CN"/>
        </w:rPr>
        <w:t>响应</w:t>
      </w:r>
      <w:r>
        <w:rPr>
          <w:rFonts w:hint="eastAsia" w:ascii="宋体" w:hAnsi="宋体"/>
          <w:szCs w:val="21"/>
        </w:rPr>
        <w:t>文件中所提供全部资料均符合</w:t>
      </w:r>
      <w:r>
        <w:rPr>
          <w:rFonts w:hint="eastAsia" w:ascii="宋体" w:hAnsi="宋体"/>
          <w:szCs w:val="21"/>
          <w:lang w:val="en-US" w:eastAsia="zh-CN"/>
        </w:rPr>
        <w:t>磋商</w:t>
      </w:r>
      <w:r>
        <w:rPr>
          <w:rFonts w:hint="eastAsia" w:ascii="宋体" w:hAnsi="宋体"/>
          <w:szCs w:val="21"/>
        </w:rPr>
        <w:t>文件的要求，合法、真实、有效，并且在以后实施中承担由于与此不符而引起的一切责任。</w:t>
      </w:r>
    </w:p>
    <w:p>
      <w:pPr>
        <w:tabs>
          <w:tab w:val="left" w:pos="1365"/>
        </w:tabs>
        <w:spacing w:line="360" w:lineRule="auto"/>
        <w:ind w:firstLine="420" w:firstLineChars="200"/>
        <w:rPr>
          <w:rFonts w:hint="eastAsia" w:ascii="宋体" w:hAnsi="宋体"/>
          <w:szCs w:val="21"/>
        </w:rPr>
      </w:pPr>
      <w:r>
        <w:rPr>
          <w:rFonts w:hint="eastAsia" w:ascii="宋体" w:hAnsi="宋体"/>
          <w:szCs w:val="21"/>
        </w:rPr>
        <w:t>4.我方愿按《</w:t>
      </w:r>
      <w:r>
        <w:rPr>
          <w:rFonts w:hint="eastAsia" w:ascii="宋体" w:hAnsi="宋体"/>
          <w:szCs w:val="21"/>
          <w:lang w:eastAsia="zh-CN"/>
        </w:rPr>
        <w:t>中华人民共和国民法典</w:t>
      </w:r>
      <w:r>
        <w:rPr>
          <w:rFonts w:hint="eastAsia" w:ascii="宋体" w:hAnsi="宋体"/>
          <w:szCs w:val="21"/>
        </w:rPr>
        <w:t>》履行我方的全部责任。</w:t>
      </w:r>
    </w:p>
    <w:p>
      <w:pPr>
        <w:tabs>
          <w:tab w:val="left" w:pos="1365"/>
        </w:tabs>
        <w:spacing w:line="360" w:lineRule="auto"/>
        <w:ind w:firstLine="420" w:firstLineChars="200"/>
        <w:rPr>
          <w:rFonts w:hint="eastAsia" w:ascii="宋体" w:hAnsi="宋体"/>
          <w:szCs w:val="21"/>
        </w:rPr>
      </w:pPr>
      <w:r>
        <w:rPr>
          <w:rFonts w:hint="eastAsia" w:ascii="宋体" w:hAnsi="宋体"/>
          <w:szCs w:val="21"/>
        </w:rPr>
        <w:t>5.我方已详细审查全部</w:t>
      </w:r>
      <w:r>
        <w:rPr>
          <w:rFonts w:hint="eastAsia" w:ascii="宋体" w:hAnsi="宋体"/>
          <w:szCs w:val="21"/>
          <w:lang w:val="en-US" w:eastAsia="zh-CN"/>
        </w:rPr>
        <w:t>磋商</w:t>
      </w:r>
      <w:r>
        <w:rPr>
          <w:rFonts w:hint="eastAsia" w:ascii="宋体" w:hAnsi="宋体"/>
          <w:szCs w:val="21"/>
        </w:rPr>
        <w:t>文件，包括修改文件以及全部参考资料。我们完全理解并同意放弃对这方面有不明及误解的权力。</w:t>
      </w:r>
    </w:p>
    <w:p>
      <w:pPr>
        <w:tabs>
          <w:tab w:val="left" w:pos="1365"/>
        </w:tabs>
        <w:spacing w:line="360" w:lineRule="auto"/>
        <w:ind w:firstLine="420" w:firstLineChars="200"/>
        <w:rPr>
          <w:rFonts w:hint="eastAsia" w:ascii="宋体" w:hAnsi="宋体"/>
          <w:szCs w:val="21"/>
        </w:rPr>
      </w:pPr>
      <w:r>
        <w:rPr>
          <w:rFonts w:hint="eastAsia" w:ascii="宋体" w:hAnsi="宋体"/>
          <w:szCs w:val="21"/>
        </w:rPr>
        <w:t>6.本项目投标有效期从投标截止之日起60日历天。</w:t>
      </w:r>
    </w:p>
    <w:p>
      <w:pPr>
        <w:tabs>
          <w:tab w:val="left" w:pos="1365"/>
        </w:tabs>
        <w:spacing w:line="360" w:lineRule="auto"/>
        <w:ind w:firstLine="420" w:firstLineChars="200"/>
        <w:rPr>
          <w:rFonts w:hint="eastAsia" w:ascii="宋体" w:hAnsi="宋体"/>
          <w:szCs w:val="21"/>
        </w:rPr>
      </w:pPr>
      <w:r>
        <w:rPr>
          <w:rFonts w:hint="eastAsia" w:ascii="宋体" w:hAnsi="宋体"/>
          <w:szCs w:val="21"/>
        </w:rPr>
        <w:t>7.我方在此声明，所递交的</w:t>
      </w:r>
      <w:r>
        <w:rPr>
          <w:rFonts w:hint="eastAsia" w:ascii="宋体" w:hAnsi="宋体"/>
          <w:szCs w:val="21"/>
          <w:lang w:val="en-US" w:eastAsia="zh-CN"/>
        </w:rPr>
        <w:t>响应</w:t>
      </w:r>
      <w:r>
        <w:rPr>
          <w:rFonts w:hint="eastAsia" w:ascii="宋体" w:hAnsi="宋体"/>
          <w:szCs w:val="21"/>
        </w:rPr>
        <w:t>文件及有关资料内容完整、真实和准确，且不存在第二章“供应商须知”第 1.</w:t>
      </w:r>
      <w:r>
        <w:rPr>
          <w:rFonts w:hint="eastAsia" w:ascii="宋体" w:hAnsi="宋体"/>
          <w:szCs w:val="21"/>
          <w:lang w:val="en-US" w:eastAsia="zh-CN"/>
        </w:rPr>
        <w:t>5.2</w:t>
      </w:r>
      <w:r>
        <w:rPr>
          <w:rFonts w:hint="eastAsia" w:ascii="宋体" w:hAnsi="宋体"/>
          <w:szCs w:val="21"/>
        </w:rPr>
        <w:t>项规定的任何一种情形。</w:t>
      </w:r>
    </w:p>
    <w:p>
      <w:pPr>
        <w:tabs>
          <w:tab w:val="left" w:pos="1365"/>
        </w:tabs>
        <w:spacing w:line="360" w:lineRule="auto"/>
        <w:ind w:firstLine="420" w:firstLineChars="200"/>
        <w:rPr>
          <w:rFonts w:hint="eastAsia" w:ascii="宋体" w:hAnsi="宋体"/>
          <w:szCs w:val="21"/>
        </w:rPr>
      </w:pPr>
      <w:r>
        <w:rPr>
          <w:rFonts w:hint="eastAsia" w:ascii="宋体" w:hAnsi="宋体"/>
          <w:szCs w:val="21"/>
          <w:lang w:val="en-US" w:eastAsia="zh-CN"/>
        </w:rPr>
        <w:t>8.</w:t>
      </w:r>
      <w:r>
        <w:rPr>
          <w:rFonts w:hint="eastAsia" w:ascii="宋体" w:hAnsi="宋体"/>
          <w:szCs w:val="21"/>
        </w:rPr>
        <w:t>如果下列情况发生之一时，我方将放弃投标资格：</w:t>
      </w:r>
    </w:p>
    <w:p>
      <w:pPr>
        <w:tabs>
          <w:tab w:val="left" w:pos="1365"/>
        </w:tabs>
        <w:spacing w:line="360" w:lineRule="auto"/>
        <w:ind w:firstLine="420" w:firstLineChars="200"/>
        <w:rPr>
          <w:rFonts w:hint="eastAsia" w:ascii="宋体" w:hAnsi="宋体"/>
          <w:szCs w:val="21"/>
        </w:rPr>
      </w:pPr>
      <w:r>
        <w:rPr>
          <w:rFonts w:hint="eastAsia" w:ascii="宋体" w:hAnsi="宋体"/>
          <w:szCs w:val="21"/>
        </w:rPr>
        <w:t>（1）我方在</w:t>
      </w:r>
      <w:r>
        <w:rPr>
          <w:rFonts w:hint="eastAsia" w:ascii="宋体" w:hAnsi="宋体"/>
          <w:szCs w:val="21"/>
          <w:lang w:val="en-US" w:eastAsia="zh-CN"/>
        </w:rPr>
        <w:t>响应</w:t>
      </w:r>
      <w:r>
        <w:rPr>
          <w:rFonts w:hint="eastAsia" w:ascii="宋体" w:hAnsi="宋体"/>
          <w:szCs w:val="21"/>
        </w:rPr>
        <w:t>文件规定的投标有效期内撤回其投标。</w:t>
      </w:r>
    </w:p>
    <w:p>
      <w:pPr>
        <w:tabs>
          <w:tab w:val="left" w:pos="1365"/>
        </w:tabs>
        <w:spacing w:line="360" w:lineRule="auto"/>
        <w:ind w:firstLine="420" w:firstLineChars="200"/>
        <w:rPr>
          <w:rFonts w:hint="eastAsia" w:ascii="宋体" w:hAnsi="宋体"/>
          <w:szCs w:val="21"/>
        </w:rPr>
      </w:pPr>
      <w:r>
        <w:rPr>
          <w:rFonts w:hint="eastAsia" w:ascii="宋体" w:hAnsi="宋体"/>
          <w:szCs w:val="21"/>
        </w:rPr>
        <w:t>（2）我方提供虚假材料。</w:t>
      </w:r>
    </w:p>
    <w:p>
      <w:pPr>
        <w:tabs>
          <w:tab w:val="left" w:pos="1365"/>
        </w:tabs>
        <w:spacing w:line="360" w:lineRule="auto"/>
        <w:ind w:firstLine="420" w:firstLineChars="200"/>
        <w:rPr>
          <w:rFonts w:hint="eastAsia" w:ascii="宋体" w:hAnsi="宋体"/>
          <w:szCs w:val="21"/>
        </w:rPr>
      </w:pPr>
      <w:r>
        <w:rPr>
          <w:rFonts w:hint="eastAsia" w:ascii="宋体" w:hAnsi="宋体"/>
          <w:szCs w:val="21"/>
        </w:rPr>
        <w:t>（3）我方因其自身原因未按中标通知书规定的时间与采购人签订合同。</w:t>
      </w:r>
    </w:p>
    <w:p>
      <w:pPr>
        <w:tabs>
          <w:tab w:val="left" w:pos="1365"/>
        </w:tabs>
        <w:spacing w:line="360" w:lineRule="auto"/>
        <w:ind w:firstLine="420" w:firstLineChars="200"/>
        <w:rPr>
          <w:rFonts w:hint="eastAsia" w:ascii="宋体" w:hAnsi="宋体"/>
          <w:szCs w:val="21"/>
        </w:rPr>
      </w:pPr>
      <w:r>
        <w:rPr>
          <w:rFonts w:hint="eastAsia" w:ascii="宋体" w:hAnsi="宋体"/>
          <w:szCs w:val="21"/>
          <w:lang w:val="en-US" w:eastAsia="zh-CN"/>
        </w:rPr>
        <w:t>9</w:t>
      </w:r>
      <w:r>
        <w:rPr>
          <w:rFonts w:hint="eastAsia" w:ascii="宋体" w:hAnsi="宋体"/>
          <w:szCs w:val="21"/>
        </w:rPr>
        <w:t>.若我方中标，我方愿意按照</w:t>
      </w:r>
      <w:r>
        <w:rPr>
          <w:rFonts w:hint="eastAsia" w:ascii="宋体" w:hAnsi="宋体"/>
          <w:szCs w:val="21"/>
          <w:lang w:val="en-US" w:eastAsia="zh-CN"/>
        </w:rPr>
        <w:t>磋商</w:t>
      </w:r>
      <w:r>
        <w:rPr>
          <w:rFonts w:hint="eastAsia" w:ascii="宋体" w:hAnsi="宋体"/>
          <w:szCs w:val="21"/>
        </w:rPr>
        <w:t>文件参照的标准支付采购代理机构服务费等费用。</w:t>
      </w:r>
    </w:p>
    <w:p>
      <w:pPr>
        <w:tabs>
          <w:tab w:val="left" w:pos="1365"/>
        </w:tabs>
        <w:spacing w:line="360" w:lineRule="auto"/>
        <w:ind w:firstLine="840" w:firstLineChars="400"/>
        <w:rPr>
          <w:rFonts w:hint="eastAsia" w:ascii="宋体" w:hAnsi="宋体"/>
          <w:szCs w:val="21"/>
        </w:rPr>
      </w:pPr>
    </w:p>
    <w:p>
      <w:pPr>
        <w:tabs>
          <w:tab w:val="left" w:pos="1365"/>
        </w:tabs>
        <w:spacing w:line="360" w:lineRule="auto"/>
        <w:ind w:firstLine="840" w:firstLineChars="400"/>
        <w:rPr>
          <w:rFonts w:hint="eastAsia" w:ascii="宋体" w:hAnsi="宋体"/>
          <w:szCs w:val="21"/>
        </w:rPr>
      </w:pPr>
      <w:r>
        <w:rPr>
          <w:rFonts w:hint="eastAsia" w:ascii="宋体" w:hAnsi="宋体"/>
          <w:szCs w:val="21"/>
        </w:rPr>
        <w:t>联系人：                         电话：</w:t>
      </w:r>
    </w:p>
    <w:p>
      <w:pPr>
        <w:tabs>
          <w:tab w:val="left" w:pos="1365"/>
        </w:tabs>
        <w:spacing w:line="360" w:lineRule="auto"/>
        <w:ind w:firstLine="840" w:firstLineChars="400"/>
        <w:rPr>
          <w:rFonts w:hint="eastAsia" w:ascii="宋体" w:hAnsi="宋体"/>
          <w:szCs w:val="21"/>
        </w:rPr>
      </w:pPr>
      <w:r>
        <w:rPr>
          <w:rFonts w:hint="eastAsia" w:ascii="宋体" w:hAnsi="宋体"/>
          <w:szCs w:val="21"/>
        </w:rPr>
        <w:t>传真：                           电子邮箱：</w:t>
      </w:r>
    </w:p>
    <w:p>
      <w:pPr>
        <w:tabs>
          <w:tab w:val="left" w:pos="1365"/>
        </w:tabs>
        <w:spacing w:line="360" w:lineRule="auto"/>
        <w:ind w:firstLine="840" w:firstLineChars="400"/>
        <w:rPr>
          <w:rFonts w:hint="eastAsia" w:ascii="宋体" w:hAnsi="宋体"/>
          <w:szCs w:val="21"/>
        </w:rPr>
      </w:pPr>
      <w:r>
        <w:rPr>
          <w:rFonts w:hint="eastAsia" w:ascii="宋体" w:hAnsi="宋体"/>
          <w:szCs w:val="21"/>
        </w:rPr>
        <w:t>地址：                           邮政编码：</w:t>
      </w:r>
    </w:p>
    <w:p>
      <w:pPr>
        <w:tabs>
          <w:tab w:val="left" w:pos="1365"/>
        </w:tabs>
        <w:spacing w:line="360" w:lineRule="auto"/>
        <w:ind w:firstLine="840" w:firstLineChars="400"/>
        <w:rPr>
          <w:rFonts w:hint="eastAsia" w:ascii="宋体" w:hAnsi="宋体"/>
          <w:szCs w:val="21"/>
        </w:rPr>
      </w:pPr>
      <w:r>
        <w:rPr>
          <w:rFonts w:hint="eastAsia" w:ascii="宋体" w:hAnsi="宋体"/>
          <w:szCs w:val="21"/>
          <w:lang w:eastAsia="zh-CN"/>
        </w:rPr>
        <w:t>供应商</w:t>
      </w:r>
      <w:r>
        <w:rPr>
          <w:rFonts w:hint="eastAsia" w:ascii="宋体" w:hAnsi="宋体"/>
          <w:szCs w:val="21"/>
        </w:rPr>
        <w:t xml:space="preserve">（单位电子签章）：       </w:t>
      </w:r>
      <w:r>
        <w:rPr>
          <w:rFonts w:hint="eastAsia" w:ascii="宋体" w:hAnsi="宋体"/>
          <w:szCs w:val="21"/>
          <w:lang w:val="en-US" w:eastAsia="zh-CN"/>
        </w:rPr>
        <w:t xml:space="preserve">  </w:t>
      </w:r>
      <w:r>
        <w:rPr>
          <w:rFonts w:hint="eastAsia" w:ascii="宋体" w:hAnsi="宋体"/>
          <w:szCs w:val="21"/>
        </w:rPr>
        <w:t>法定代表人</w:t>
      </w:r>
      <w:r>
        <w:rPr>
          <w:rFonts w:hint="eastAsia" w:ascii="宋体" w:hAnsi="宋体"/>
          <w:szCs w:val="21"/>
          <w:lang w:eastAsia="zh-CN"/>
        </w:rPr>
        <w:t>或</w:t>
      </w:r>
      <w:r>
        <w:rPr>
          <w:rFonts w:hint="eastAsia" w:ascii="宋体" w:hAnsi="宋体"/>
          <w:szCs w:val="21"/>
        </w:rPr>
        <w:t>委托代理人（</w:t>
      </w:r>
      <w:r>
        <w:rPr>
          <w:rFonts w:hint="eastAsia" w:ascii="宋体" w:hAnsi="宋体" w:cs="宋体"/>
          <w:kern w:val="0"/>
          <w:szCs w:val="21"/>
          <w:lang w:eastAsia="zh-CN"/>
        </w:rPr>
        <w:t>电子签名或盖章</w:t>
      </w:r>
      <w:r>
        <w:rPr>
          <w:rFonts w:hint="eastAsia" w:ascii="宋体" w:hAnsi="宋体"/>
          <w:szCs w:val="21"/>
        </w:rPr>
        <w:t>）：</w:t>
      </w:r>
    </w:p>
    <w:p>
      <w:pPr>
        <w:spacing w:line="480" w:lineRule="exact"/>
        <w:jc w:val="right"/>
        <w:rPr>
          <w:rFonts w:ascii="宋体" w:hAnsi="宋体"/>
          <w:b/>
          <w:sz w:val="30"/>
          <w:szCs w:val="21"/>
        </w:rPr>
      </w:pPr>
      <w:r>
        <w:rPr>
          <w:rFonts w:hint="eastAsia" w:ascii="宋体" w:hAnsi="宋体"/>
          <w:szCs w:val="21"/>
        </w:rPr>
        <w:t>日期：   年   月     日</w:t>
      </w:r>
    </w:p>
    <w:p>
      <w:pPr>
        <w:pStyle w:val="5"/>
        <w:numPr>
          <w:ilvl w:val="1"/>
          <w:numId w:val="0"/>
        </w:numPr>
        <w:jc w:val="center"/>
        <w:rPr>
          <w:rFonts w:hint="eastAsia" w:ascii="宋体" w:hAnsi="宋体" w:eastAsia="宋体"/>
          <w:color w:val="auto"/>
          <w:sz w:val="28"/>
          <w:szCs w:val="28"/>
        </w:rPr>
      </w:pPr>
      <w:r>
        <w:rPr>
          <w:rFonts w:hint="eastAsia" w:ascii="宋体" w:hAnsi="宋体" w:eastAsia="宋体"/>
          <w:color w:val="auto"/>
          <w:sz w:val="28"/>
          <w:szCs w:val="28"/>
        </w:rPr>
        <w:t>（二）</w:t>
      </w:r>
      <w:bookmarkEnd w:id="960"/>
      <w:bookmarkEnd w:id="961"/>
      <w:r>
        <w:rPr>
          <w:rFonts w:hint="eastAsia" w:ascii="宋体" w:hAnsi="宋体" w:eastAsia="宋体"/>
          <w:color w:val="auto"/>
          <w:sz w:val="28"/>
          <w:szCs w:val="28"/>
        </w:rPr>
        <w:t>磋商函附录</w:t>
      </w:r>
      <w:bookmarkEnd w:id="962"/>
      <w:bookmarkEnd w:id="963"/>
      <w:bookmarkEnd w:id="964"/>
      <w:bookmarkEnd w:id="965"/>
    </w:p>
    <w:tbl>
      <w:tblPr>
        <w:tblStyle w:val="48"/>
        <w:tblW w:w="9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3"/>
        <w:gridCol w:w="4286"/>
        <w:gridCol w:w="3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189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Cs w:val="21"/>
                <w:lang w:val="en-US" w:eastAsia="zh-CN"/>
              </w:rPr>
            </w:pPr>
            <w:r>
              <w:rPr>
                <w:rFonts w:hint="eastAsia" w:ascii="宋体" w:hAnsi="宋体"/>
                <w:color w:val="auto"/>
                <w:szCs w:val="21"/>
                <w:lang w:val="en-US" w:eastAsia="zh-CN"/>
              </w:rPr>
              <w:t>项目名称、包</w:t>
            </w:r>
          </w:p>
        </w:tc>
        <w:tc>
          <w:tcPr>
            <w:tcW w:w="7506"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89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Cs w:val="21"/>
              </w:rPr>
            </w:pPr>
            <w:r>
              <w:rPr>
                <w:rFonts w:hint="eastAsia" w:ascii="宋体" w:hAnsi="宋体"/>
                <w:color w:val="auto"/>
                <w:szCs w:val="21"/>
              </w:rPr>
              <w:t>供应商</w:t>
            </w:r>
          </w:p>
        </w:tc>
        <w:tc>
          <w:tcPr>
            <w:tcW w:w="7506"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89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olor w:val="auto"/>
                <w:szCs w:val="21"/>
                <w:lang w:val="en-US" w:eastAsia="zh-CN"/>
              </w:rPr>
            </w:pPr>
            <w:r>
              <w:rPr>
                <w:rFonts w:hint="eastAsia" w:ascii="宋体" w:hAnsi="宋体"/>
                <w:color w:val="auto"/>
                <w:szCs w:val="21"/>
                <w:lang w:val="en-US" w:eastAsia="zh-CN"/>
              </w:rPr>
              <w:t>响应内容</w:t>
            </w:r>
          </w:p>
        </w:tc>
        <w:tc>
          <w:tcPr>
            <w:tcW w:w="7506"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jc w:val="center"/>
        </w:trPr>
        <w:tc>
          <w:tcPr>
            <w:tcW w:w="1893" w:type="dxa"/>
            <w:vMerge w:val="restart"/>
            <w:tcBorders>
              <w:top w:val="single" w:color="auto" w:sz="4" w:space="0"/>
              <w:left w:val="single" w:color="auto" w:sz="4" w:space="0"/>
              <w:right w:val="single" w:color="auto" w:sz="4" w:space="0"/>
            </w:tcBorders>
            <w:noWrap w:val="0"/>
            <w:vAlign w:val="center"/>
          </w:tcPr>
          <w:p>
            <w:pPr>
              <w:spacing w:line="360" w:lineRule="exact"/>
              <w:jc w:val="center"/>
              <w:rPr>
                <w:rFonts w:hint="eastAsia" w:ascii="宋体" w:hAnsi="宋体" w:eastAsia="宋体"/>
                <w:color w:val="auto"/>
                <w:szCs w:val="21"/>
                <w:lang w:eastAsia="zh-CN"/>
              </w:rPr>
            </w:pPr>
            <w:r>
              <w:rPr>
                <w:rFonts w:hint="eastAsia" w:ascii="宋体" w:hAnsi="宋体"/>
                <w:color w:val="auto"/>
                <w:szCs w:val="21"/>
                <w:lang w:eastAsia="zh-CN"/>
              </w:rPr>
              <w:t>磋商</w:t>
            </w:r>
            <w:r>
              <w:rPr>
                <w:rFonts w:hint="eastAsia" w:ascii="宋体" w:hAnsi="宋体"/>
                <w:color w:val="auto"/>
                <w:szCs w:val="21"/>
              </w:rPr>
              <w:t>总</w:t>
            </w:r>
            <w:r>
              <w:rPr>
                <w:rFonts w:hint="eastAsia" w:ascii="宋体" w:hAnsi="宋体"/>
                <w:color w:val="auto"/>
                <w:szCs w:val="21"/>
                <w:lang w:val="en-US" w:eastAsia="zh-CN"/>
              </w:rPr>
              <w:t>报</w:t>
            </w:r>
            <w:r>
              <w:rPr>
                <w:rFonts w:hint="eastAsia" w:ascii="宋体" w:hAnsi="宋体"/>
                <w:color w:val="auto"/>
                <w:szCs w:val="21"/>
              </w:rPr>
              <w:t>价</w:t>
            </w:r>
            <w:r>
              <w:rPr>
                <w:rFonts w:hint="eastAsia" w:ascii="宋体" w:hAnsi="宋体"/>
                <w:color w:val="auto"/>
                <w:szCs w:val="21"/>
                <w:lang w:eastAsia="zh-CN"/>
              </w:rPr>
              <w:t>（元）</w:t>
            </w:r>
          </w:p>
        </w:tc>
        <w:tc>
          <w:tcPr>
            <w:tcW w:w="4286" w:type="dxa"/>
            <w:tcBorders>
              <w:top w:val="single" w:color="auto" w:sz="4" w:space="0"/>
              <w:left w:val="single" w:color="auto" w:sz="4" w:space="0"/>
              <w:bottom w:val="single" w:color="auto" w:sz="4" w:space="0"/>
              <w:right w:val="single" w:color="auto" w:sz="4" w:space="0"/>
            </w:tcBorders>
            <w:noWrap w:val="0"/>
            <w:vAlign w:val="center"/>
          </w:tcPr>
          <w:p>
            <w:pPr>
              <w:rPr>
                <w:rFonts w:hint="default" w:ascii="宋体" w:hAnsi="宋体"/>
                <w:color w:val="auto"/>
                <w:szCs w:val="21"/>
                <w:lang w:val="en-US"/>
              </w:rPr>
            </w:pPr>
            <w:r>
              <w:rPr>
                <w:rFonts w:hint="eastAsia" w:ascii="宋体" w:hAnsi="宋体"/>
                <w:color w:val="auto"/>
                <w:szCs w:val="21"/>
              </w:rPr>
              <w:t>（大写）</w:t>
            </w:r>
          </w:p>
        </w:tc>
        <w:tc>
          <w:tcPr>
            <w:tcW w:w="322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Cs w:val="21"/>
              </w:rPr>
            </w:pPr>
            <w:r>
              <w:rPr>
                <w:rFonts w:hint="eastAsia" w:ascii="宋体" w:hAnsi="宋体"/>
                <w:color w:val="auto"/>
                <w:szCs w:val="21"/>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jc w:val="center"/>
        </w:trPr>
        <w:tc>
          <w:tcPr>
            <w:tcW w:w="1893" w:type="dxa"/>
            <w:vMerge w:val="continue"/>
            <w:tcBorders>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color w:val="auto"/>
                <w:szCs w:val="21"/>
              </w:rPr>
            </w:pPr>
          </w:p>
        </w:tc>
        <w:tc>
          <w:tcPr>
            <w:tcW w:w="7506"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olor w:val="auto"/>
                <w:szCs w:val="21"/>
              </w:rPr>
            </w:pPr>
            <w:r>
              <w:rPr>
                <w:rFonts w:hint="eastAsia" w:ascii="宋体" w:hAnsi="宋体"/>
                <w:b/>
                <w:bCs/>
                <w:color w:val="auto"/>
                <w:szCs w:val="21"/>
              </w:rPr>
              <w:t>（供应商应在此填列第一次报价，但以供应商最后一次的磋商报价为成交价）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18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288" w:lineRule="auto"/>
              <w:jc w:val="center"/>
              <w:rPr>
                <w:rFonts w:hint="eastAsia" w:ascii="宋体" w:hAnsi="宋体" w:eastAsia="宋体"/>
                <w:color w:val="auto"/>
                <w:szCs w:val="21"/>
                <w:lang w:eastAsia="zh-CN"/>
              </w:rPr>
            </w:pPr>
            <w:r>
              <w:rPr>
                <w:rFonts w:hint="eastAsia" w:ascii="宋体" w:hAnsi="宋体" w:eastAsia="宋体"/>
                <w:color w:val="auto"/>
                <w:szCs w:val="21"/>
                <w:highlight w:val="none"/>
                <w:lang w:val="en-US" w:eastAsia="zh-CN"/>
              </w:rPr>
              <w:t>承包经营期限</w:t>
            </w:r>
          </w:p>
        </w:tc>
        <w:tc>
          <w:tcPr>
            <w:tcW w:w="750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18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288" w:lineRule="auto"/>
              <w:jc w:val="center"/>
              <w:rPr>
                <w:rFonts w:hint="eastAsia" w:ascii="宋体" w:hAnsi="宋体"/>
                <w:color w:val="auto"/>
                <w:szCs w:val="21"/>
              </w:rPr>
            </w:pPr>
            <w:r>
              <w:rPr>
                <w:rFonts w:hint="eastAsia" w:ascii="宋体" w:hAnsi="宋体"/>
                <w:color w:val="auto"/>
                <w:szCs w:val="21"/>
                <w:highlight w:val="none"/>
                <w:lang w:val="en-US" w:eastAsia="zh-CN"/>
              </w:rPr>
              <w:t>服务</w:t>
            </w:r>
            <w:r>
              <w:rPr>
                <w:rFonts w:hint="eastAsia" w:ascii="宋体" w:hAnsi="宋体"/>
                <w:color w:val="auto"/>
                <w:szCs w:val="21"/>
                <w:highlight w:val="none"/>
              </w:rPr>
              <w:t>质量</w:t>
            </w:r>
          </w:p>
        </w:tc>
        <w:tc>
          <w:tcPr>
            <w:tcW w:w="750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189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Cs w:val="21"/>
              </w:rPr>
            </w:pPr>
            <w:r>
              <w:rPr>
                <w:rFonts w:hint="eastAsia" w:ascii="宋体" w:hAnsi="宋体"/>
                <w:color w:val="auto"/>
                <w:szCs w:val="21"/>
              </w:rPr>
              <w:t>磋商有效期</w:t>
            </w:r>
          </w:p>
        </w:tc>
        <w:tc>
          <w:tcPr>
            <w:tcW w:w="750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olor w:val="auto"/>
                <w:szCs w:val="21"/>
              </w:rPr>
            </w:pPr>
          </w:p>
        </w:tc>
      </w:tr>
    </w:tbl>
    <w:p>
      <w:pPr>
        <w:rPr>
          <w:rFonts w:hint="eastAsia" w:ascii="宋体" w:hAnsi="宋体"/>
          <w:color w:val="auto"/>
          <w:szCs w:val="21"/>
        </w:rPr>
      </w:pPr>
    </w:p>
    <w:p>
      <w:pPr>
        <w:rPr>
          <w:rFonts w:ascii="宋体" w:hAnsi="宋体"/>
          <w:color w:val="auto"/>
          <w:szCs w:val="21"/>
        </w:rPr>
      </w:pPr>
    </w:p>
    <w:p>
      <w:pPr>
        <w:spacing w:line="360" w:lineRule="auto"/>
        <w:rPr>
          <w:rFonts w:ascii="宋体" w:hAnsi="宋体"/>
          <w:color w:val="auto"/>
          <w:szCs w:val="21"/>
        </w:rPr>
      </w:pPr>
      <w:r>
        <w:rPr>
          <w:rFonts w:hint="eastAsia" w:ascii="宋体" w:hAnsi="宋体"/>
          <w:color w:val="auto"/>
          <w:szCs w:val="21"/>
        </w:rPr>
        <w:t>供应商法定代表人或其授权委托人(</w:t>
      </w:r>
      <w:r>
        <w:rPr>
          <w:rFonts w:hint="eastAsia" w:ascii="宋体" w:hAnsi="宋体"/>
          <w:color w:val="auto"/>
          <w:szCs w:val="21"/>
          <w:lang w:val="en-US" w:eastAsia="zh-CN"/>
        </w:rPr>
        <w:t>签字</w:t>
      </w:r>
      <w:r>
        <w:rPr>
          <w:rFonts w:hint="eastAsia" w:ascii="宋体" w:hAnsi="宋体"/>
          <w:color w:val="auto"/>
          <w:szCs w:val="21"/>
        </w:rPr>
        <w:t>或盖章)</w:t>
      </w:r>
      <w:r>
        <w:rPr>
          <w:rFonts w:hint="eastAsia" w:ascii="宋体" w:hAnsi="宋体"/>
          <w:color w:val="auto"/>
          <w:szCs w:val="21"/>
          <w:lang w:eastAsia="zh-CN"/>
        </w:rPr>
        <w:t>：</w:t>
      </w:r>
    </w:p>
    <w:p>
      <w:pPr>
        <w:spacing w:line="360" w:lineRule="auto"/>
        <w:rPr>
          <w:rFonts w:hint="eastAsia" w:ascii="宋体" w:hAnsi="宋体"/>
          <w:color w:val="auto"/>
          <w:szCs w:val="21"/>
        </w:rPr>
      </w:pPr>
      <w:r>
        <w:rPr>
          <w:rFonts w:hint="eastAsia" w:ascii="宋体" w:hAnsi="宋体"/>
          <w:color w:val="auto"/>
          <w:szCs w:val="21"/>
        </w:rPr>
        <w:t>供应商</w:t>
      </w:r>
      <w:r>
        <w:rPr>
          <w:rFonts w:ascii="宋体" w:hAnsi="宋体"/>
          <w:color w:val="auto"/>
          <w:szCs w:val="21"/>
        </w:rPr>
        <w:t>(</w:t>
      </w:r>
      <w:r>
        <w:rPr>
          <w:rFonts w:hint="eastAsia" w:ascii="宋体" w:hAnsi="宋体" w:cs="宋体"/>
          <w:color w:val="auto"/>
          <w:szCs w:val="21"/>
        </w:rPr>
        <w:t>单位电子签章</w:t>
      </w:r>
      <w:r>
        <w:rPr>
          <w:rFonts w:ascii="宋体" w:hAnsi="宋体"/>
          <w:color w:val="auto"/>
          <w:szCs w:val="21"/>
        </w:rPr>
        <w:t>):</w:t>
      </w:r>
      <w:r>
        <w:rPr>
          <w:rFonts w:ascii="宋体" w:hAnsi="宋体"/>
          <w:color w:val="auto"/>
          <w:szCs w:val="21"/>
        </w:rPr>
        <w:tab/>
      </w:r>
      <w:r>
        <w:rPr>
          <w:rFonts w:ascii="宋体" w:hAnsi="宋体"/>
          <w:color w:val="auto"/>
          <w:szCs w:val="21"/>
        </w:rPr>
        <w:t xml:space="preserve">                  </w:t>
      </w:r>
      <w:r>
        <w:rPr>
          <w:rFonts w:hint="eastAsia" w:ascii="宋体" w:hAnsi="宋体"/>
          <w:color w:val="auto"/>
          <w:szCs w:val="21"/>
        </w:rPr>
        <w:t xml:space="preserve">      </w:t>
      </w:r>
      <w:r>
        <w:rPr>
          <w:rFonts w:ascii="宋体" w:hAnsi="宋体"/>
          <w:color w:val="auto"/>
          <w:szCs w:val="21"/>
        </w:rPr>
        <w:tab/>
      </w:r>
    </w:p>
    <w:p>
      <w:pPr>
        <w:spacing w:line="360" w:lineRule="auto"/>
        <w:ind w:firstLine="210" w:firstLineChars="100"/>
        <w:rPr>
          <w:rFonts w:hint="eastAsia" w:ascii="宋体" w:hAnsi="宋体"/>
          <w:color w:val="auto"/>
          <w:szCs w:val="21"/>
        </w:rPr>
      </w:pPr>
      <w:r>
        <w:rPr>
          <w:rFonts w:hint="eastAsia" w:ascii="宋体" w:hAnsi="宋体"/>
          <w:color w:val="auto"/>
          <w:szCs w:val="21"/>
        </w:rPr>
        <w:t xml:space="preserve">年   月   </w:t>
      </w:r>
      <w:bookmarkStart w:id="966" w:name="_Toc287367268"/>
      <w:bookmarkStart w:id="967" w:name="_Toc144974860"/>
      <w:bookmarkStart w:id="968" w:name="_Toc152042580"/>
      <w:bookmarkStart w:id="969" w:name="_Toc152045791"/>
      <w:r>
        <w:rPr>
          <w:rFonts w:hint="eastAsia" w:ascii="宋体" w:hAnsi="宋体"/>
          <w:color w:val="auto"/>
          <w:szCs w:val="21"/>
        </w:rPr>
        <w:t>日</w:t>
      </w:r>
      <w:bookmarkStart w:id="970" w:name="_Toc31033"/>
      <w:bookmarkStart w:id="971" w:name="_Toc466298161"/>
      <w:bookmarkStart w:id="972" w:name="_Toc2481"/>
    </w:p>
    <w:p>
      <w:pPr>
        <w:pStyle w:val="177"/>
        <w:jc w:val="center"/>
        <w:rPr>
          <w:rFonts w:hint="eastAsia" w:ascii="宋体" w:hAnsi="宋体" w:eastAsia="宋体"/>
          <w:b/>
          <w:color w:val="auto"/>
          <w:szCs w:val="28"/>
        </w:rPr>
      </w:pPr>
      <w:r>
        <w:rPr>
          <w:rFonts w:hint="eastAsia" w:ascii="宋体" w:hAnsi="宋体"/>
          <w:color w:val="auto"/>
          <w:szCs w:val="21"/>
        </w:rPr>
        <w:br w:type="page"/>
      </w:r>
      <w:bookmarkEnd w:id="966"/>
      <w:bookmarkEnd w:id="967"/>
      <w:bookmarkEnd w:id="968"/>
      <w:bookmarkEnd w:id="969"/>
      <w:bookmarkEnd w:id="970"/>
      <w:bookmarkEnd w:id="971"/>
      <w:bookmarkEnd w:id="972"/>
      <w:bookmarkStart w:id="973" w:name="_Toc5179"/>
      <w:r>
        <w:rPr>
          <w:rFonts w:hint="eastAsia" w:ascii="宋体" w:hAnsi="宋体" w:eastAsia="宋体"/>
          <w:b/>
          <w:color w:val="auto"/>
          <w:szCs w:val="28"/>
        </w:rPr>
        <w:t>二、法定代表人（单位负责人）身份证明和法定代表人授权委托书</w:t>
      </w:r>
    </w:p>
    <w:p>
      <w:pPr>
        <w:pStyle w:val="177"/>
        <w:jc w:val="center"/>
        <w:rPr>
          <w:rFonts w:hint="eastAsia" w:ascii="宋体" w:hAnsi="宋体"/>
          <w:b/>
          <w:color w:val="auto"/>
          <w:szCs w:val="28"/>
        </w:rPr>
      </w:pPr>
      <w:r>
        <w:rPr>
          <w:rFonts w:hint="eastAsia" w:ascii="宋体" w:hAnsi="宋体" w:eastAsia="宋体"/>
          <w:b/>
          <w:color w:val="auto"/>
          <w:szCs w:val="28"/>
          <w:lang w:eastAsia="zh-CN"/>
        </w:rPr>
        <w:t>（一）</w:t>
      </w:r>
      <w:r>
        <w:rPr>
          <w:rFonts w:hint="eastAsia" w:ascii="宋体" w:hAnsi="宋体" w:eastAsia="宋体"/>
          <w:b/>
          <w:color w:val="auto"/>
          <w:szCs w:val="28"/>
        </w:rPr>
        <w:t>法定代表人（单位负责人）身份证明</w:t>
      </w:r>
      <w:bookmarkEnd w:id="973"/>
    </w:p>
    <w:p>
      <w:pPr>
        <w:spacing w:line="440" w:lineRule="exact"/>
        <w:jc w:val="center"/>
        <w:rPr>
          <w:rFonts w:hint="eastAsia" w:ascii="宋体" w:hAnsi="宋体" w:cs="宋体"/>
          <w:color w:val="auto"/>
          <w:szCs w:val="21"/>
        </w:rPr>
      </w:pPr>
    </w:p>
    <w:p>
      <w:pPr>
        <w:spacing w:line="440" w:lineRule="exact"/>
        <w:rPr>
          <w:rFonts w:hint="eastAsia" w:ascii="宋体" w:hAnsi="宋体" w:cs="宋体"/>
          <w:color w:val="auto"/>
          <w:szCs w:val="21"/>
        </w:rPr>
      </w:pPr>
      <w:r>
        <w:rPr>
          <w:rFonts w:hint="eastAsia" w:ascii="宋体" w:hAnsi="宋体" w:cs="宋体"/>
          <w:color w:val="auto"/>
          <w:szCs w:val="21"/>
        </w:rPr>
        <w:t>供应商名称：</w:t>
      </w:r>
      <w:r>
        <w:rPr>
          <w:rFonts w:hint="eastAsia" w:ascii="宋体" w:hAnsi="宋体" w:cs="宋体"/>
          <w:color w:val="auto"/>
          <w:szCs w:val="21"/>
          <w:u w:val="single"/>
        </w:rPr>
        <w:t xml:space="preserve">                            </w:t>
      </w:r>
      <w:r>
        <w:rPr>
          <w:rFonts w:hint="eastAsia" w:ascii="宋体" w:hAnsi="宋体" w:cs="宋体"/>
          <w:color w:val="auto"/>
          <w:szCs w:val="21"/>
        </w:rPr>
        <w:t xml:space="preserve"> </w:t>
      </w:r>
    </w:p>
    <w:p>
      <w:pPr>
        <w:spacing w:line="440" w:lineRule="exact"/>
        <w:rPr>
          <w:rFonts w:hint="eastAsia" w:ascii="宋体" w:hAnsi="宋体" w:cs="宋体"/>
          <w:color w:val="auto"/>
          <w:szCs w:val="21"/>
        </w:rPr>
      </w:pPr>
      <w:r>
        <w:rPr>
          <w:rFonts w:hint="eastAsia" w:ascii="宋体" w:hAnsi="宋体" w:cs="宋体"/>
          <w:color w:val="auto"/>
          <w:szCs w:val="21"/>
        </w:rPr>
        <w:t>单位性质：</w:t>
      </w:r>
      <w:r>
        <w:rPr>
          <w:rFonts w:hint="eastAsia" w:ascii="宋体" w:hAnsi="宋体" w:cs="宋体"/>
          <w:color w:val="auto"/>
          <w:szCs w:val="21"/>
          <w:u w:val="single"/>
        </w:rPr>
        <w:t xml:space="preserve">                               </w:t>
      </w:r>
      <w:r>
        <w:rPr>
          <w:rFonts w:hint="eastAsia" w:ascii="宋体" w:hAnsi="宋体" w:cs="宋体"/>
          <w:color w:val="auto"/>
          <w:szCs w:val="21"/>
        </w:rPr>
        <w:t xml:space="preserve"> </w:t>
      </w:r>
    </w:p>
    <w:p>
      <w:pPr>
        <w:spacing w:line="440" w:lineRule="exact"/>
        <w:rPr>
          <w:rFonts w:hint="eastAsia" w:ascii="宋体" w:hAnsi="宋体" w:cs="宋体"/>
          <w:color w:val="auto"/>
          <w:szCs w:val="21"/>
        </w:rPr>
      </w:pPr>
      <w:r>
        <w:rPr>
          <w:rFonts w:hint="eastAsia" w:ascii="宋体" w:hAnsi="宋体" w:cs="宋体"/>
          <w:color w:val="auto"/>
          <w:szCs w:val="21"/>
        </w:rPr>
        <w:t>地址：</w:t>
      </w:r>
      <w:r>
        <w:rPr>
          <w:rFonts w:hint="eastAsia" w:ascii="宋体" w:hAnsi="宋体" w:cs="宋体"/>
          <w:color w:val="auto"/>
          <w:szCs w:val="21"/>
          <w:u w:val="single"/>
        </w:rPr>
        <w:t xml:space="preserve">                                   </w:t>
      </w:r>
    </w:p>
    <w:p>
      <w:pPr>
        <w:spacing w:line="440" w:lineRule="exact"/>
        <w:rPr>
          <w:rFonts w:hint="eastAsia" w:ascii="宋体" w:hAnsi="宋体" w:cs="宋体"/>
          <w:color w:val="auto"/>
          <w:szCs w:val="21"/>
        </w:rPr>
      </w:pPr>
      <w:r>
        <w:rPr>
          <w:rFonts w:hint="eastAsia" w:ascii="宋体" w:hAnsi="宋体" w:cs="宋体"/>
          <w:color w:val="auto"/>
          <w:szCs w:val="21"/>
        </w:rPr>
        <w:t>成立时间：</w:t>
      </w:r>
      <w:r>
        <w:rPr>
          <w:rFonts w:hint="eastAsia" w:ascii="宋体" w:hAnsi="宋体" w:cs="宋体"/>
          <w:color w:val="auto"/>
          <w:szCs w:val="21"/>
          <w:u w:val="single"/>
        </w:rPr>
        <w:t xml:space="preserve">         </w:t>
      </w:r>
      <w:r>
        <w:rPr>
          <w:rFonts w:hint="eastAsia" w:ascii="宋体" w:hAnsi="宋体" w:cs="宋体"/>
          <w:color w:val="auto"/>
          <w:szCs w:val="21"/>
        </w:rPr>
        <w:t xml:space="preserve"> 年</w:t>
      </w:r>
      <w:r>
        <w:rPr>
          <w:rFonts w:hint="eastAsia" w:ascii="宋体" w:hAnsi="宋体" w:cs="宋体"/>
          <w:color w:val="auto"/>
          <w:szCs w:val="21"/>
          <w:u w:val="single"/>
        </w:rPr>
        <w:t xml:space="preserve">       </w:t>
      </w:r>
      <w:r>
        <w:rPr>
          <w:rFonts w:hint="eastAsia" w:ascii="宋体" w:hAnsi="宋体" w:cs="宋体"/>
          <w:color w:val="auto"/>
          <w:szCs w:val="21"/>
        </w:rPr>
        <w:t xml:space="preserve"> 月</w:t>
      </w:r>
      <w:r>
        <w:rPr>
          <w:rFonts w:hint="eastAsia" w:ascii="宋体" w:hAnsi="宋体" w:cs="宋体"/>
          <w:color w:val="auto"/>
          <w:szCs w:val="21"/>
          <w:u w:val="single"/>
        </w:rPr>
        <w:t xml:space="preserve">       </w:t>
      </w:r>
      <w:r>
        <w:rPr>
          <w:rFonts w:hint="eastAsia" w:ascii="宋体" w:hAnsi="宋体" w:cs="宋体"/>
          <w:color w:val="auto"/>
          <w:szCs w:val="21"/>
        </w:rPr>
        <w:t xml:space="preserve"> 日</w:t>
      </w:r>
    </w:p>
    <w:p>
      <w:pPr>
        <w:spacing w:line="440" w:lineRule="exact"/>
        <w:rPr>
          <w:rFonts w:hint="eastAsia" w:ascii="宋体" w:hAnsi="宋体" w:cs="宋体"/>
          <w:color w:val="auto"/>
          <w:szCs w:val="21"/>
        </w:rPr>
      </w:pPr>
      <w:r>
        <w:rPr>
          <w:rFonts w:hint="eastAsia" w:ascii="宋体" w:hAnsi="宋体" w:cs="宋体"/>
          <w:color w:val="auto"/>
          <w:szCs w:val="21"/>
        </w:rPr>
        <w:t>经营期限：</w:t>
      </w:r>
      <w:r>
        <w:rPr>
          <w:rFonts w:hint="eastAsia" w:ascii="宋体" w:hAnsi="宋体" w:cs="宋体"/>
          <w:color w:val="auto"/>
          <w:szCs w:val="21"/>
          <w:u w:val="single"/>
        </w:rPr>
        <w:t xml:space="preserve">                               </w:t>
      </w:r>
    </w:p>
    <w:p>
      <w:pPr>
        <w:spacing w:line="440" w:lineRule="exact"/>
        <w:rPr>
          <w:rFonts w:hint="eastAsia" w:ascii="宋体" w:hAnsi="宋体" w:cs="宋体"/>
          <w:color w:val="auto"/>
          <w:szCs w:val="21"/>
        </w:rPr>
      </w:pPr>
      <w:r>
        <w:rPr>
          <w:rFonts w:hint="eastAsia" w:ascii="宋体" w:hAnsi="宋体" w:cs="宋体"/>
          <w:color w:val="auto"/>
          <w:szCs w:val="21"/>
        </w:rPr>
        <w:t>姓名：</w:t>
      </w:r>
      <w:r>
        <w:rPr>
          <w:rFonts w:hint="eastAsia" w:ascii="宋体" w:hAnsi="宋体" w:cs="宋体"/>
          <w:color w:val="auto"/>
          <w:szCs w:val="21"/>
          <w:u w:val="single"/>
        </w:rPr>
        <w:t xml:space="preserve">        </w:t>
      </w:r>
      <w:r>
        <w:rPr>
          <w:rFonts w:hint="eastAsia" w:ascii="宋体" w:hAnsi="宋体" w:cs="宋体"/>
          <w:color w:val="auto"/>
          <w:szCs w:val="21"/>
        </w:rPr>
        <w:t xml:space="preserve"> 性别：</w:t>
      </w:r>
      <w:r>
        <w:rPr>
          <w:rFonts w:hint="eastAsia" w:ascii="宋体" w:hAnsi="宋体" w:cs="宋体"/>
          <w:color w:val="auto"/>
          <w:szCs w:val="21"/>
          <w:u w:val="single"/>
        </w:rPr>
        <w:t xml:space="preserve">         </w:t>
      </w:r>
      <w:r>
        <w:rPr>
          <w:rFonts w:hint="eastAsia" w:ascii="宋体" w:hAnsi="宋体" w:cs="宋体"/>
          <w:color w:val="auto"/>
          <w:szCs w:val="21"/>
        </w:rPr>
        <w:t xml:space="preserve"> 年龄：</w:t>
      </w:r>
      <w:r>
        <w:rPr>
          <w:rFonts w:hint="eastAsia" w:ascii="宋体" w:hAnsi="宋体" w:cs="宋体"/>
          <w:color w:val="auto"/>
          <w:szCs w:val="21"/>
          <w:u w:val="single"/>
        </w:rPr>
        <w:t xml:space="preserve">        </w:t>
      </w:r>
      <w:r>
        <w:rPr>
          <w:rFonts w:hint="eastAsia" w:ascii="宋体" w:hAnsi="宋体" w:cs="宋体"/>
          <w:color w:val="auto"/>
          <w:szCs w:val="21"/>
        </w:rPr>
        <w:t>职务：</w:t>
      </w:r>
      <w:r>
        <w:rPr>
          <w:rFonts w:hint="eastAsia" w:ascii="宋体" w:hAnsi="宋体" w:cs="宋体"/>
          <w:color w:val="auto"/>
          <w:szCs w:val="21"/>
          <w:u w:val="single"/>
        </w:rPr>
        <w:t xml:space="preserve">        </w:t>
      </w:r>
    </w:p>
    <w:p>
      <w:pPr>
        <w:spacing w:line="440" w:lineRule="exact"/>
        <w:rPr>
          <w:rFonts w:hint="eastAsia" w:ascii="宋体" w:hAnsi="宋体" w:cs="宋体"/>
          <w:color w:val="auto"/>
          <w:szCs w:val="21"/>
        </w:rPr>
      </w:pPr>
      <w:r>
        <w:rPr>
          <w:rFonts w:hint="eastAsia" w:ascii="宋体" w:hAnsi="宋体" w:cs="宋体"/>
          <w:color w:val="auto"/>
          <w:szCs w:val="21"/>
        </w:rPr>
        <w:t>系</w:t>
      </w:r>
      <w:r>
        <w:rPr>
          <w:rFonts w:hint="eastAsia" w:ascii="宋体" w:hAnsi="宋体" w:cs="宋体"/>
          <w:color w:val="auto"/>
          <w:szCs w:val="21"/>
          <w:u w:val="single"/>
        </w:rPr>
        <w:t xml:space="preserve">                             </w:t>
      </w:r>
      <w:r>
        <w:rPr>
          <w:rFonts w:hint="eastAsia" w:ascii="宋体" w:hAnsi="宋体" w:cs="宋体"/>
          <w:color w:val="auto"/>
          <w:szCs w:val="21"/>
        </w:rPr>
        <w:t xml:space="preserve"> （供应商名称）的法定代表人。</w:t>
      </w:r>
    </w:p>
    <w:p>
      <w:pPr>
        <w:spacing w:line="440" w:lineRule="exact"/>
        <w:ind w:firstLine="420" w:firstLineChars="200"/>
        <w:rPr>
          <w:rFonts w:hint="eastAsia" w:ascii="宋体" w:hAnsi="宋体" w:cs="宋体"/>
          <w:color w:val="auto"/>
          <w:szCs w:val="21"/>
        </w:rPr>
      </w:pPr>
      <w:r>
        <w:rPr>
          <w:rFonts w:hint="eastAsia" w:ascii="宋体" w:hAnsi="宋体" w:cs="宋体"/>
          <w:color w:val="auto"/>
          <w:szCs w:val="21"/>
        </w:rPr>
        <w:t>特此证明。</w:t>
      </w:r>
    </w:p>
    <w:p>
      <w:pPr>
        <w:spacing w:line="440" w:lineRule="exact"/>
        <w:rPr>
          <w:rFonts w:hint="eastAsia" w:ascii="宋体" w:hAnsi="宋体" w:cs="宋体"/>
          <w:color w:val="auto"/>
          <w:szCs w:val="21"/>
        </w:rPr>
      </w:pPr>
    </w:p>
    <w:p>
      <w:pPr>
        <w:spacing w:line="440" w:lineRule="exact"/>
        <w:rPr>
          <w:rFonts w:hint="eastAsia" w:ascii="宋体" w:hAnsi="宋体" w:cs="宋体"/>
          <w:color w:val="auto"/>
          <w:szCs w:val="21"/>
        </w:rPr>
      </w:pPr>
    </w:p>
    <w:p>
      <w:pPr>
        <w:spacing w:line="440" w:lineRule="exact"/>
        <w:jc w:val="right"/>
        <w:rPr>
          <w:rFonts w:hint="eastAsia" w:ascii="宋体" w:hAnsi="宋体" w:cs="宋体"/>
          <w:color w:val="auto"/>
          <w:szCs w:val="21"/>
        </w:rPr>
      </w:pPr>
      <w:r>
        <w:rPr>
          <w:rFonts w:hint="eastAsia" w:ascii="宋体" w:hAnsi="宋体" w:cs="宋体"/>
          <w:color w:val="auto"/>
          <w:szCs w:val="21"/>
        </w:rPr>
        <w:t xml:space="preserve">                          供应商：</w:t>
      </w:r>
      <w:r>
        <w:rPr>
          <w:rFonts w:hint="eastAsia" w:ascii="宋体" w:hAnsi="宋体" w:cs="宋体"/>
          <w:color w:val="auto"/>
          <w:szCs w:val="21"/>
          <w:u w:val="single"/>
        </w:rPr>
        <w:t xml:space="preserve">                 </w:t>
      </w:r>
      <w:r>
        <w:rPr>
          <w:rFonts w:hint="eastAsia" w:ascii="宋体" w:hAnsi="宋体" w:cs="宋体"/>
          <w:color w:val="auto"/>
          <w:szCs w:val="21"/>
        </w:rPr>
        <w:t>（单位电子签章）</w:t>
      </w:r>
    </w:p>
    <w:p>
      <w:pPr>
        <w:spacing w:line="440" w:lineRule="exact"/>
        <w:jc w:val="right"/>
        <w:rPr>
          <w:rFonts w:hint="eastAsia" w:ascii="宋体" w:hAnsi="宋体" w:cs="宋体"/>
          <w:color w:val="auto"/>
          <w:szCs w:val="21"/>
        </w:rPr>
      </w:pPr>
      <w:r>
        <w:rPr>
          <w:rFonts w:hint="eastAsia" w:ascii="宋体" w:hAnsi="宋体" w:cs="宋体"/>
          <w:color w:val="auto"/>
          <w:szCs w:val="21"/>
        </w:rPr>
        <w:t xml:space="preserve">                                   </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 xml:space="preserve">日 </w:t>
      </w:r>
    </w:p>
    <w:p>
      <w:pPr>
        <w:spacing w:line="440" w:lineRule="exact"/>
        <w:rPr>
          <w:rFonts w:hint="eastAsia" w:ascii="宋体" w:hAnsi="宋体" w:cs="宋体"/>
          <w:color w:val="auto"/>
          <w:szCs w:val="21"/>
        </w:rPr>
      </w:pPr>
    </w:p>
    <w:p>
      <w:pPr>
        <w:spacing w:line="440" w:lineRule="exact"/>
        <w:rPr>
          <w:rFonts w:hint="eastAsia" w:ascii="宋体" w:hAnsi="宋体" w:cs="宋体"/>
          <w:color w:val="auto"/>
          <w:szCs w:val="21"/>
        </w:rPr>
      </w:pPr>
    </w:p>
    <w:tbl>
      <w:tblPr>
        <w:tblStyle w:val="48"/>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9" w:hRule="atLeast"/>
        </w:trPr>
        <w:tc>
          <w:tcPr>
            <w:tcW w:w="8528" w:type="dxa"/>
            <w:noWrap w:val="0"/>
            <w:vAlign w:val="center"/>
          </w:tcPr>
          <w:p>
            <w:pPr>
              <w:spacing w:line="440" w:lineRule="exact"/>
              <w:jc w:val="center"/>
              <w:rPr>
                <w:rFonts w:hint="eastAsia" w:ascii="宋体" w:hAnsi="宋体" w:cs="宋体"/>
                <w:color w:val="auto"/>
                <w:szCs w:val="21"/>
              </w:rPr>
            </w:pPr>
            <w:r>
              <w:rPr>
                <w:rFonts w:hint="eastAsia" w:ascii="宋体" w:hAnsi="宋体" w:cs="宋体"/>
                <w:color w:val="auto"/>
                <w:szCs w:val="21"/>
              </w:rPr>
              <w:t>法定代表人身份证扫描件</w:t>
            </w:r>
          </w:p>
          <w:p>
            <w:pPr>
              <w:spacing w:line="440" w:lineRule="exact"/>
              <w:jc w:val="center"/>
              <w:rPr>
                <w:rFonts w:hint="eastAsia" w:ascii="宋体" w:hAnsi="宋体" w:cs="宋体"/>
                <w:color w:val="auto"/>
                <w:szCs w:val="21"/>
              </w:rPr>
            </w:pPr>
          </w:p>
        </w:tc>
      </w:tr>
    </w:tbl>
    <w:p>
      <w:pPr>
        <w:spacing w:line="440" w:lineRule="exact"/>
        <w:rPr>
          <w:rFonts w:hint="eastAsia" w:ascii="宋体" w:hAnsi="宋体" w:cs="宋体"/>
          <w:color w:val="auto"/>
          <w:szCs w:val="21"/>
        </w:rPr>
      </w:pPr>
    </w:p>
    <w:p>
      <w:pPr>
        <w:spacing w:line="440" w:lineRule="exact"/>
        <w:rPr>
          <w:rFonts w:hint="eastAsia" w:ascii="宋体" w:hAnsi="宋体" w:cs="宋体"/>
          <w:color w:val="auto"/>
          <w:szCs w:val="21"/>
        </w:rPr>
      </w:pPr>
    </w:p>
    <w:p>
      <w:pPr>
        <w:spacing w:line="440" w:lineRule="exact"/>
        <w:rPr>
          <w:rFonts w:hint="eastAsia" w:ascii="宋体" w:hAnsi="宋体" w:cs="宋体"/>
          <w:color w:val="auto"/>
          <w:sz w:val="20"/>
          <w:szCs w:val="20"/>
        </w:rPr>
      </w:pPr>
    </w:p>
    <w:p>
      <w:pPr>
        <w:spacing w:line="440" w:lineRule="exact"/>
        <w:rPr>
          <w:rFonts w:hint="eastAsia" w:ascii="宋体" w:hAnsi="宋体" w:cs="宋体"/>
          <w:color w:val="auto"/>
          <w:sz w:val="20"/>
          <w:szCs w:val="20"/>
        </w:rPr>
      </w:pPr>
    </w:p>
    <w:p>
      <w:pPr>
        <w:spacing w:line="440" w:lineRule="exact"/>
        <w:rPr>
          <w:rFonts w:hint="eastAsia" w:ascii="宋体" w:hAnsi="宋体" w:cs="宋体"/>
          <w:color w:val="auto"/>
          <w:sz w:val="20"/>
          <w:szCs w:val="20"/>
        </w:rPr>
      </w:pPr>
    </w:p>
    <w:p>
      <w:pPr>
        <w:pStyle w:val="5"/>
        <w:numPr>
          <w:ilvl w:val="1"/>
          <w:numId w:val="0"/>
        </w:numPr>
        <w:jc w:val="center"/>
        <w:rPr>
          <w:rFonts w:hint="eastAsia" w:ascii="Times New Roman" w:hAnsi="Times New Roman" w:eastAsia="宋体"/>
          <w:color w:val="auto"/>
          <w:sz w:val="28"/>
        </w:rPr>
      </w:pPr>
      <w:bookmarkStart w:id="974" w:name="_Toc466298162"/>
      <w:bookmarkStart w:id="975" w:name="_Toc6781"/>
      <w:bookmarkStart w:id="976" w:name="_Toc318989765"/>
      <w:bookmarkStart w:id="977" w:name="_Toc4123"/>
      <w:bookmarkStart w:id="978" w:name="_Toc202941490"/>
      <w:bookmarkStart w:id="979" w:name="_Toc441791190"/>
      <w:bookmarkStart w:id="980" w:name="_Toc26203"/>
      <w:r>
        <w:rPr>
          <w:rFonts w:hint="eastAsia" w:ascii="Times New Roman" w:hAnsi="Times New Roman" w:eastAsia="宋体"/>
          <w:color w:val="auto"/>
          <w:sz w:val="28"/>
          <w:lang w:eastAsia="zh-CN"/>
        </w:rPr>
        <w:t>（二）法定代表人</w:t>
      </w:r>
      <w:r>
        <w:rPr>
          <w:rFonts w:ascii="Times New Roman" w:hAnsi="Times New Roman" w:eastAsia="宋体"/>
          <w:color w:val="auto"/>
          <w:sz w:val="28"/>
        </w:rPr>
        <w:t>授权书</w:t>
      </w:r>
      <w:bookmarkEnd w:id="974"/>
      <w:bookmarkEnd w:id="975"/>
      <w:bookmarkEnd w:id="976"/>
      <w:bookmarkEnd w:id="977"/>
      <w:bookmarkEnd w:id="978"/>
      <w:bookmarkEnd w:id="979"/>
      <w:bookmarkEnd w:id="980"/>
    </w:p>
    <w:p>
      <w:pPr>
        <w:topLinePunct/>
        <w:spacing w:line="440" w:lineRule="exact"/>
        <w:ind w:firstLine="420" w:firstLineChars="200"/>
        <w:rPr>
          <w:rFonts w:hint="eastAsia" w:ascii="宋体" w:hAnsi="宋体" w:cs="宋体"/>
          <w:color w:val="auto"/>
          <w:szCs w:val="21"/>
        </w:rPr>
      </w:pPr>
      <w:r>
        <w:rPr>
          <w:rFonts w:hint="eastAsia" w:ascii="宋体" w:hAnsi="宋体" w:cs="宋体"/>
          <w:color w:val="auto"/>
          <w:szCs w:val="21"/>
        </w:rPr>
        <w:t>本人</w:t>
      </w:r>
      <w:r>
        <w:rPr>
          <w:rFonts w:hint="eastAsia" w:ascii="宋体" w:hAnsi="宋体" w:cs="宋体"/>
          <w:color w:val="auto"/>
          <w:szCs w:val="21"/>
          <w:u w:val="single"/>
        </w:rPr>
        <w:t xml:space="preserve">       </w:t>
      </w:r>
      <w:r>
        <w:rPr>
          <w:rFonts w:hint="eastAsia" w:ascii="宋体" w:hAnsi="宋体" w:cs="宋体"/>
          <w:color w:val="auto"/>
          <w:szCs w:val="21"/>
        </w:rPr>
        <w:t>（姓名）系</w:t>
      </w:r>
      <w:r>
        <w:rPr>
          <w:rFonts w:hint="eastAsia" w:ascii="宋体" w:hAnsi="宋体" w:cs="宋体"/>
          <w:color w:val="auto"/>
          <w:szCs w:val="21"/>
          <w:u w:val="single"/>
        </w:rPr>
        <w:t xml:space="preserve">        </w:t>
      </w:r>
      <w:r>
        <w:rPr>
          <w:rFonts w:hint="eastAsia" w:ascii="宋体" w:hAnsi="宋体" w:cs="宋体"/>
          <w:color w:val="auto"/>
          <w:szCs w:val="21"/>
        </w:rPr>
        <w:t>（供应商名称）的法定代表人，现委托</w:t>
      </w:r>
      <w:r>
        <w:rPr>
          <w:rFonts w:hint="eastAsia" w:ascii="宋体" w:hAnsi="宋体" w:cs="宋体"/>
          <w:color w:val="auto"/>
          <w:szCs w:val="21"/>
          <w:u w:val="single"/>
        </w:rPr>
        <w:t xml:space="preserve">        </w:t>
      </w:r>
      <w:r>
        <w:rPr>
          <w:rFonts w:hint="eastAsia" w:ascii="宋体" w:hAnsi="宋体" w:cs="宋体"/>
          <w:color w:val="auto"/>
          <w:szCs w:val="21"/>
        </w:rPr>
        <w:t>（姓名）为我方代理人。代理人根据授权，以我方名义签署、澄清、说明、补正、递交、撤回、修改</w:t>
      </w:r>
    </w:p>
    <w:p>
      <w:pPr>
        <w:topLinePunct/>
        <w:spacing w:line="440" w:lineRule="exact"/>
        <w:rPr>
          <w:rFonts w:hint="eastAsia" w:ascii="宋体" w:hAnsi="宋体" w:cs="宋体"/>
          <w:color w:val="auto"/>
          <w:szCs w:val="21"/>
        </w:rPr>
      </w:pP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rPr>
        <w:t>（项目名称</w:t>
      </w:r>
      <w:r>
        <w:rPr>
          <w:rFonts w:hint="eastAsia" w:ascii="宋体" w:hAnsi="宋体" w:cs="宋体"/>
          <w:color w:val="auto"/>
          <w:szCs w:val="21"/>
          <w:lang w:eastAsia="zh-CN"/>
        </w:rPr>
        <w:t>、</w:t>
      </w:r>
      <w:r>
        <w:rPr>
          <w:rFonts w:hint="eastAsia" w:ascii="宋体" w:hAnsi="宋体" w:cs="宋体"/>
          <w:color w:val="auto"/>
          <w:szCs w:val="21"/>
          <w:lang w:val="en-US" w:eastAsia="zh-CN"/>
        </w:rPr>
        <w:t>包</w:t>
      </w:r>
      <w:r>
        <w:rPr>
          <w:rFonts w:hint="eastAsia" w:ascii="宋体" w:hAnsi="宋体" w:cs="宋体"/>
          <w:color w:val="auto"/>
          <w:szCs w:val="21"/>
        </w:rPr>
        <w:t>）响应文件、签订合同和处理有关事宜，其法律后果由我方承担。</w:t>
      </w:r>
    </w:p>
    <w:p>
      <w:pPr>
        <w:spacing w:line="440" w:lineRule="exact"/>
        <w:rPr>
          <w:rFonts w:hint="eastAsia" w:ascii="宋体" w:hAnsi="宋体" w:cs="宋体"/>
          <w:color w:val="auto"/>
          <w:szCs w:val="21"/>
        </w:rPr>
      </w:pPr>
      <w:r>
        <w:rPr>
          <w:rFonts w:hint="eastAsia" w:ascii="宋体" w:hAnsi="宋体" w:cs="宋体"/>
          <w:color w:val="auto"/>
          <w:szCs w:val="21"/>
        </w:rPr>
        <w:t xml:space="preserve">    委托期限：</w:t>
      </w:r>
      <w:r>
        <w:rPr>
          <w:rFonts w:hint="eastAsia" w:ascii="宋体" w:hAnsi="宋体" w:cs="宋体"/>
          <w:color w:val="auto"/>
        </w:rPr>
        <w:t>自本委托书签署之日起至</w:t>
      </w:r>
      <w:r>
        <w:rPr>
          <w:rFonts w:hint="eastAsia" w:ascii="宋体" w:hAnsi="宋体" w:cs="宋体"/>
          <w:color w:val="auto"/>
          <w:lang w:eastAsia="zh-CN"/>
        </w:rPr>
        <w:t>磋商</w:t>
      </w:r>
      <w:r>
        <w:rPr>
          <w:rFonts w:hint="eastAsia" w:ascii="宋体" w:hAnsi="宋体" w:cs="宋体"/>
          <w:color w:val="auto"/>
        </w:rPr>
        <w:t>有效期期满。</w:t>
      </w:r>
    </w:p>
    <w:p>
      <w:pPr>
        <w:spacing w:line="440" w:lineRule="exact"/>
        <w:ind w:firstLine="420" w:firstLineChars="200"/>
        <w:rPr>
          <w:rFonts w:hint="eastAsia" w:ascii="宋体" w:hAnsi="宋体" w:cs="宋体"/>
          <w:color w:val="auto"/>
          <w:szCs w:val="21"/>
        </w:rPr>
      </w:pPr>
      <w:r>
        <w:rPr>
          <w:rFonts w:hint="eastAsia" w:ascii="宋体" w:hAnsi="宋体" w:cs="宋体"/>
          <w:color w:val="auto"/>
          <w:szCs w:val="21"/>
        </w:rPr>
        <w:t>代理人无转委托权。</w:t>
      </w:r>
    </w:p>
    <w:p>
      <w:pPr>
        <w:spacing w:line="440" w:lineRule="exact"/>
        <w:rPr>
          <w:rFonts w:hint="eastAsia" w:ascii="宋体" w:hAnsi="宋体" w:cs="宋体"/>
          <w:color w:val="auto"/>
          <w:szCs w:val="21"/>
        </w:rPr>
      </w:pPr>
    </w:p>
    <w:p>
      <w:pPr>
        <w:spacing w:line="440" w:lineRule="exact"/>
        <w:rPr>
          <w:rFonts w:hint="eastAsia" w:ascii="宋体" w:hAnsi="宋体" w:cs="宋体"/>
          <w:color w:val="auto"/>
          <w:szCs w:val="21"/>
        </w:rPr>
      </w:pPr>
    </w:p>
    <w:p>
      <w:pPr>
        <w:spacing w:line="440" w:lineRule="exact"/>
        <w:jc w:val="center"/>
        <w:rPr>
          <w:rFonts w:hint="eastAsia" w:ascii="宋体" w:hAnsi="宋体" w:cs="宋体"/>
          <w:color w:val="auto"/>
          <w:szCs w:val="21"/>
        </w:rPr>
      </w:pPr>
      <w:r>
        <w:rPr>
          <w:rFonts w:hint="eastAsia" w:ascii="宋体" w:hAnsi="宋体" w:cs="宋体"/>
          <w:color w:val="auto"/>
          <w:szCs w:val="21"/>
        </w:rPr>
        <w:t xml:space="preserve">                     供应商：</w:t>
      </w:r>
      <w:r>
        <w:rPr>
          <w:rFonts w:hint="eastAsia" w:ascii="宋体" w:hAnsi="宋体" w:cs="宋体"/>
          <w:color w:val="auto"/>
          <w:szCs w:val="21"/>
          <w:u w:val="single"/>
        </w:rPr>
        <w:t xml:space="preserve">                             </w:t>
      </w:r>
      <w:r>
        <w:rPr>
          <w:rFonts w:hint="eastAsia" w:ascii="宋体" w:hAnsi="宋体" w:cs="宋体"/>
          <w:color w:val="auto"/>
          <w:szCs w:val="21"/>
        </w:rPr>
        <w:t>（单位电子签章）</w:t>
      </w:r>
    </w:p>
    <w:p>
      <w:pPr>
        <w:spacing w:line="440" w:lineRule="exact"/>
        <w:jc w:val="center"/>
        <w:rPr>
          <w:rFonts w:hint="eastAsia" w:ascii="宋体" w:hAnsi="宋体" w:cs="宋体"/>
          <w:color w:val="auto"/>
          <w:szCs w:val="21"/>
        </w:rPr>
      </w:pPr>
      <w:r>
        <w:rPr>
          <w:rFonts w:hint="eastAsia" w:ascii="宋体" w:hAnsi="宋体" w:cs="宋体"/>
          <w:color w:val="auto"/>
          <w:szCs w:val="21"/>
        </w:rPr>
        <w:t xml:space="preserve">                   法定代表人：</w:t>
      </w:r>
      <w:r>
        <w:rPr>
          <w:rFonts w:hint="eastAsia" w:ascii="宋体" w:hAnsi="宋体" w:cs="宋体"/>
          <w:color w:val="auto"/>
          <w:szCs w:val="21"/>
          <w:u w:val="single"/>
        </w:rPr>
        <w:t xml:space="preserve">                        </w:t>
      </w:r>
      <w:r>
        <w:rPr>
          <w:rFonts w:hint="eastAsia" w:ascii="宋体" w:hAnsi="宋体" w:cs="宋体"/>
          <w:color w:val="auto"/>
          <w:szCs w:val="21"/>
        </w:rPr>
        <w:t>（电子签名或盖章）</w:t>
      </w:r>
    </w:p>
    <w:p>
      <w:pPr>
        <w:spacing w:line="440" w:lineRule="exact"/>
        <w:ind w:firstLine="2730" w:firstLineChars="1300"/>
        <w:rPr>
          <w:rFonts w:hint="eastAsia" w:ascii="宋体" w:hAnsi="宋体" w:cs="宋体"/>
          <w:color w:val="auto"/>
          <w:szCs w:val="21"/>
        </w:rPr>
      </w:pPr>
      <w:r>
        <w:rPr>
          <w:rFonts w:hint="eastAsia" w:ascii="宋体" w:hAnsi="宋体" w:cs="宋体"/>
          <w:color w:val="auto"/>
          <w:szCs w:val="21"/>
        </w:rPr>
        <w:t>身份证号码：</w:t>
      </w:r>
      <w:r>
        <w:rPr>
          <w:rFonts w:hint="eastAsia" w:ascii="宋体" w:hAnsi="宋体" w:cs="宋体"/>
          <w:color w:val="auto"/>
          <w:szCs w:val="21"/>
          <w:u w:val="single"/>
        </w:rPr>
        <w:t xml:space="preserve">                               </w:t>
      </w:r>
    </w:p>
    <w:p>
      <w:pPr>
        <w:spacing w:line="440" w:lineRule="exact"/>
        <w:jc w:val="center"/>
        <w:rPr>
          <w:rFonts w:hint="eastAsia" w:ascii="宋体" w:hAnsi="宋体" w:cs="宋体"/>
          <w:color w:val="auto"/>
          <w:szCs w:val="21"/>
        </w:rPr>
      </w:pPr>
      <w:r>
        <w:rPr>
          <w:rFonts w:hint="eastAsia" w:ascii="宋体" w:hAnsi="宋体" w:cs="宋体"/>
          <w:color w:val="auto"/>
          <w:szCs w:val="21"/>
        </w:rPr>
        <w:t xml:space="preserve">                      委托代理人：</w:t>
      </w:r>
      <w:r>
        <w:rPr>
          <w:rFonts w:hint="eastAsia" w:ascii="宋体" w:hAnsi="宋体" w:cs="宋体"/>
          <w:color w:val="auto"/>
          <w:szCs w:val="21"/>
          <w:u w:val="single"/>
        </w:rPr>
        <w:t xml:space="preserve">                          </w:t>
      </w:r>
      <w:r>
        <w:rPr>
          <w:rFonts w:hint="eastAsia" w:ascii="宋体" w:hAnsi="宋体" w:cs="宋体"/>
          <w:color w:val="auto"/>
          <w:szCs w:val="21"/>
        </w:rPr>
        <w:t>（</w:t>
      </w:r>
      <w:r>
        <w:rPr>
          <w:rFonts w:hint="eastAsia" w:ascii="宋体" w:hAnsi="宋体" w:cs="宋体"/>
          <w:color w:val="auto"/>
          <w:szCs w:val="21"/>
          <w:lang w:val="en-US" w:eastAsia="zh-CN"/>
        </w:rPr>
        <w:t>签字</w:t>
      </w:r>
      <w:r>
        <w:rPr>
          <w:rFonts w:hint="eastAsia" w:ascii="宋体" w:hAnsi="宋体" w:cs="宋体"/>
          <w:color w:val="auto"/>
          <w:szCs w:val="21"/>
        </w:rPr>
        <w:t>或盖章）</w:t>
      </w:r>
    </w:p>
    <w:p>
      <w:pPr>
        <w:spacing w:line="440" w:lineRule="exact"/>
        <w:ind w:firstLine="2730" w:firstLineChars="1300"/>
        <w:rPr>
          <w:rFonts w:hint="eastAsia" w:ascii="宋体" w:hAnsi="宋体" w:cs="宋体"/>
          <w:color w:val="auto"/>
          <w:szCs w:val="21"/>
        </w:rPr>
      </w:pPr>
      <w:r>
        <w:rPr>
          <w:rFonts w:hint="eastAsia" w:ascii="宋体" w:hAnsi="宋体" w:cs="宋体"/>
          <w:color w:val="auto"/>
          <w:szCs w:val="21"/>
        </w:rPr>
        <w:t>身份证号码：</w:t>
      </w:r>
      <w:r>
        <w:rPr>
          <w:rFonts w:hint="eastAsia" w:ascii="宋体" w:hAnsi="宋体" w:cs="宋体"/>
          <w:color w:val="auto"/>
          <w:szCs w:val="21"/>
          <w:u w:val="single"/>
        </w:rPr>
        <w:t xml:space="preserve">                                        </w:t>
      </w:r>
    </w:p>
    <w:p>
      <w:pPr>
        <w:spacing w:line="440" w:lineRule="exact"/>
        <w:jc w:val="right"/>
        <w:rPr>
          <w:rFonts w:hint="eastAsia" w:ascii="宋体" w:hAnsi="宋体" w:cs="宋体"/>
          <w:color w:val="auto"/>
          <w:szCs w:val="21"/>
        </w:rPr>
      </w:pP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pPr>
        <w:spacing w:line="440" w:lineRule="exact"/>
        <w:rPr>
          <w:rFonts w:hint="eastAsia" w:ascii="宋体" w:hAnsi="宋体" w:cs="宋体"/>
          <w:color w:val="auto"/>
          <w:szCs w:val="21"/>
        </w:rPr>
      </w:pPr>
    </w:p>
    <w:p>
      <w:pPr>
        <w:pStyle w:val="2"/>
        <w:rPr>
          <w:rFonts w:hint="eastAsia"/>
          <w:color w:val="auto"/>
        </w:rPr>
      </w:pPr>
    </w:p>
    <w:tbl>
      <w:tblPr>
        <w:tblStyle w:val="48"/>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5" w:hRule="atLeast"/>
        </w:trPr>
        <w:tc>
          <w:tcPr>
            <w:tcW w:w="8528" w:type="dxa"/>
            <w:noWrap w:val="0"/>
            <w:vAlign w:val="center"/>
          </w:tcPr>
          <w:p>
            <w:pPr>
              <w:spacing w:line="440" w:lineRule="exact"/>
              <w:jc w:val="center"/>
              <w:rPr>
                <w:rFonts w:hint="eastAsia" w:ascii="宋体" w:hAnsi="宋体" w:eastAsia="宋体" w:cs="宋体"/>
                <w:color w:val="auto"/>
                <w:szCs w:val="21"/>
                <w:lang w:eastAsia="zh-CN"/>
              </w:rPr>
            </w:pPr>
            <w:r>
              <w:rPr>
                <w:rFonts w:hint="eastAsia" w:ascii="宋体" w:hAnsi="宋体" w:cs="宋体"/>
                <w:color w:val="auto"/>
                <w:szCs w:val="21"/>
              </w:rPr>
              <w:t>委托代理人身份证扫描件</w:t>
            </w:r>
          </w:p>
          <w:p>
            <w:pPr>
              <w:spacing w:line="440" w:lineRule="exact"/>
              <w:jc w:val="center"/>
              <w:rPr>
                <w:rFonts w:hint="eastAsia" w:ascii="宋体" w:hAnsi="宋体" w:cs="宋体"/>
                <w:color w:val="auto"/>
                <w:szCs w:val="21"/>
              </w:rPr>
            </w:pPr>
          </w:p>
        </w:tc>
      </w:tr>
    </w:tbl>
    <w:p>
      <w:pPr>
        <w:spacing w:line="440" w:lineRule="exact"/>
        <w:rPr>
          <w:rFonts w:hint="eastAsia" w:ascii="宋体" w:hAnsi="宋体" w:cs="宋体"/>
          <w:color w:val="auto"/>
          <w:szCs w:val="21"/>
        </w:rPr>
      </w:pPr>
    </w:p>
    <w:p>
      <w:pPr>
        <w:spacing w:line="440" w:lineRule="exact"/>
        <w:ind w:firstLine="2310" w:firstLineChars="1100"/>
        <w:rPr>
          <w:rFonts w:hint="eastAsia" w:ascii="宋体" w:hAnsi="宋体" w:cs="宋体"/>
          <w:color w:val="auto"/>
          <w:szCs w:val="21"/>
        </w:rPr>
      </w:pPr>
    </w:p>
    <w:p>
      <w:pPr>
        <w:spacing w:line="400" w:lineRule="exact"/>
        <w:rPr>
          <w:rFonts w:hint="eastAsia" w:ascii="宋体" w:hAnsi="宋体" w:cs="宋体"/>
          <w:color w:val="auto"/>
          <w:sz w:val="20"/>
          <w:szCs w:val="20"/>
        </w:rPr>
      </w:pPr>
    </w:p>
    <w:p>
      <w:pPr>
        <w:rPr>
          <w:rFonts w:hint="eastAsia"/>
          <w:color w:val="auto"/>
        </w:rPr>
      </w:pPr>
      <w:bookmarkStart w:id="981" w:name="_Toc144974862"/>
    </w:p>
    <w:p>
      <w:pPr>
        <w:rPr>
          <w:rFonts w:hint="eastAsia"/>
          <w:color w:val="auto"/>
        </w:rPr>
      </w:pPr>
    </w:p>
    <w:bookmarkEnd w:id="981"/>
    <w:p>
      <w:pPr>
        <w:pStyle w:val="5"/>
        <w:numPr>
          <w:ilvl w:val="1"/>
          <w:numId w:val="0"/>
        </w:numPr>
        <w:jc w:val="center"/>
        <w:rPr>
          <w:rFonts w:hint="eastAsia" w:ascii="Times New Roman" w:hAnsi="Times New Roman" w:eastAsia="宋体"/>
          <w:color w:val="auto"/>
          <w:sz w:val="28"/>
        </w:rPr>
      </w:pPr>
      <w:bookmarkStart w:id="982" w:name="_Toc5437"/>
      <w:bookmarkStart w:id="983" w:name="_Toc475624458"/>
      <w:bookmarkStart w:id="984" w:name="_Toc11835"/>
      <w:bookmarkStart w:id="985" w:name="_Toc24725"/>
      <w:r>
        <w:rPr>
          <w:rFonts w:hint="eastAsia" w:ascii="Times New Roman" w:hAnsi="Times New Roman" w:eastAsia="宋体"/>
          <w:color w:val="auto"/>
          <w:sz w:val="28"/>
          <w:lang w:val="en-US" w:eastAsia="zh-CN"/>
        </w:rPr>
        <w:t>三</w:t>
      </w:r>
      <w:r>
        <w:rPr>
          <w:rFonts w:hint="eastAsia" w:ascii="Times New Roman" w:hAnsi="Times New Roman" w:eastAsia="宋体"/>
          <w:color w:val="auto"/>
          <w:sz w:val="28"/>
          <w:lang w:eastAsia="zh-CN"/>
        </w:rPr>
        <w:t>、</w:t>
      </w:r>
      <w:r>
        <w:rPr>
          <w:rFonts w:hint="eastAsia" w:ascii="Times New Roman" w:hAnsi="Times New Roman" w:eastAsia="宋体"/>
          <w:color w:val="auto"/>
          <w:sz w:val="28"/>
        </w:rPr>
        <w:t>资格</w:t>
      </w:r>
      <w:bookmarkEnd w:id="982"/>
      <w:bookmarkEnd w:id="983"/>
      <w:r>
        <w:rPr>
          <w:rFonts w:hint="eastAsia" w:ascii="Times New Roman" w:hAnsi="Times New Roman" w:eastAsia="宋体"/>
          <w:color w:val="auto"/>
          <w:sz w:val="28"/>
          <w:lang w:eastAsia="zh-CN"/>
        </w:rPr>
        <w:t>证明材料</w:t>
      </w:r>
      <w:bookmarkEnd w:id="984"/>
      <w:bookmarkEnd w:id="985"/>
    </w:p>
    <w:p>
      <w:pPr>
        <w:spacing w:line="360" w:lineRule="auto"/>
        <w:ind w:left="0" w:leftChars="0" w:firstLine="482" w:firstLineChars="200"/>
        <w:jc w:val="center"/>
        <w:rPr>
          <w:rFonts w:hint="eastAsia" w:ascii="宋体" w:hAnsi="宋体"/>
          <w:color w:val="auto"/>
          <w:szCs w:val="21"/>
        </w:rPr>
      </w:pPr>
      <w:bookmarkStart w:id="986" w:name="_Toc456185720"/>
      <w:r>
        <w:rPr>
          <w:rFonts w:hint="eastAsia" w:ascii="宋体" w:hAnsi="宋体" w:cs="宋体"/>
          <w:b/>
          <w:bCs/>
          <w:sz w:val="24"/>
          <w:szCs w:val="24"/>
          <w:lang w:val="en-US" w:eastAsia="zh-CN"/>
        </w:rPr>
        <w:t>1、供应商基本情况表</w:t>
      </w:r>
    </w:p>
    <w:tbl>
      <w:tblPr>
        <w:tblStyle w:val="48"/>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5"/>
        <w:gridCol w:w="884"/>
        <w:gridCol w:w="1007"/>
        <w:gridCol w:w="1260"/>
        <w:gridCol w:w="195"/>
        <w:gridCol w:w="1230"/>
        <w:gridCol w:w="255"/>
        <w:gridCol w:w="699"/>
        <w:gridCol w:w="1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2005" w:type="dxa"/>
            <w:vAlign w:val="center"/>
          </w:tcPr>
          <w:p>
            <w:pPr>
              <w:ind w:firstLine="0" w:firstLineChars="0"/>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供应商名称</w:t>
            </w:r>
          </w:p>
        </w:tc>
        <w:tc>
          <w:tcPr>
            <w:tcW w:w="7175" w:type="dxa"/>
            <w:gridSpan w:val="8"/>
            <w:vAlign w:val="center"/>
          </w:tcPr>
          <w:p>
            <w:pPr>
              <w:ind w:firstLine="0" w:firstLineChars="0"/>
              <w:jc w:val="center"/>
              <w:rPr>
                <w:rFonts w:ascii="宋体" w:hAnsi="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2005" w:type="dxa"/>
            <w:vAlign w:val="center"/>
          </w:tcPr>
          <w:p>
            <w:pPr>
              <w:ind w:firstLine="0" w:firstLineChars="0"/>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注册地址</w:t>
            </w:r>
          </w:p>
        </w:tc>
        <w:tc>
          <w:tcPr>
            <w:tcW w:w="3346" w:type="dxa"/>
            <w:gridSpan w:val="4"/>
            <w:vAlign w:val="center"/>
          </w:tcPr>
          <w:p>
            <w:pPr>
              <w:ind w:firstLine="0" w:firstLineChars="0"/>
              <w:jc w:val="center"/>
              <w:rPr>
                <w:rFonts w:ascii="宋体" w:hAnsi="宋体"/>
                <w:color w:val="auto"/>
                <w:szCs w:val="21"/>
                <w:highlight w:val="none"/>
                <w:shd w:val="clear" w:color="auto" w:fill="auto"/>
              </w:rPr>
            </w:pPr>
          </w:p>
        </w:tc>
        <w:tc>
          <w:tcPr>
            <w:tcW w:w="1230" w:type="dxa"/>
            <w:vAlign w:val="center"/>
          </w:tcPr>
          <w:p>
            <w:pPr>
              <w:ind w:firstLine="0" w:firstLineChars="0"/>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邮政编码</w:t>
            </w:r>
          </w:p>
        </w:tc>
        <w:tc>
          <w:tcPr>
            <w:tcW w:w="2599" w:type="dxa"/>
            <w:gridSpan w:val="3"/>
            <w:vAlign w:val="center"/>
          </w:tcPr>
          <w:p>
            <w:pPr>
              <w:ind w:firstLine="0" w:firstLineChars="0"/>
              <w:jc w:val="center"/>
              <w:rPr>
                <w:rFonts w:ascii="宋体" w:hAnsi="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2005" w:type="dxa"/>
            <w:vMerge w:val="restart"/>
            <w:vAlign w:val="center"/>
          </w:tcPr>
          <w:p>
            <w:pPr>
              <w:ind w:firstLine="0" w:firstLineChars="0"/>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联系方式</w:t>
            </w:r>
          </w:p>
        </w:tc>
        <w:tc>
          <w:tcPr>
            <w:tcW w:w="884" w:type="dxa"/>
            <w:vAlign w:val="center"/>
          </w:tcPr>
          <w:p>
            <w:pPr>
              <w:ind w:firstLine="0" w:firstLineChars="0"/>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联系人</w:t>
            </w:r>
          </w:p>
        </w:tc>
        <w:tc>
          <w:tcPr>
            <w:tcW w:w="2462" w:type="dxa"/>
            <w:gridSpan w:val="3"/>
            <w:vAlign w:val="center"/>
          </w:tcPr>
          <w:p>
            <w:pPr>
              <w:ind w:firstLine="0" w:firstLineChars="0"/>
              <w:jc w:val="center"/>
              <w:rPr>
                <w:rFonts w:ascii="宋体" w:hAnsi="宋体"/>
                <w:color w:val="auto"/>
                <w:szCs w:val="21"/>
                <w:highlight w:val="none"/>
                <w:shd w:val="clear" w:color="auto" w:fill="auto"/>
              </w:rPr>
            </w:pPr>
          </w:p>
        </w:tc>
        <w:tc>
          <w:tcPr>
            <w:tcW w:w="1230" w:type="dxa"/>
            <w:vAlign w:val="center"/>
          </w:tcPr>
          <w:p>
            <w:pPr>
              <w:ind w:firstLine="0" w:firstLineChars="0"/>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电  话</w:t>
            </w:r>
          </w:p>
        </w:tc>
        <w:tc>
          <w:tcPr>
            <w:tcW w:w="2599" w:type="dxa"/>
            <w:gridSpan w:val="3"/>
            <w:vAlign w:val="center"/>
          </w:tcPr>
          <w:p>
            <w:pPr>
              <w:ind w:firstLine="0" w:firstLineChars="0"/>
              <w:jc w:val="center"/>
              <w:rPr>
                <w:rFonts w:ascii="宋体" w:hAnsi="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2005" w:type="dxa"/>
            <w:vMerge w:val="continue"/>
            <w:vAlign w:val="center"/>
          </w:tcPr>
          <w:p>
            <w:pPr>
              <w:ind w:firstLine="0" w:firstLineChars="0"/>
              <w:jc w:val="center"/>
              <w:rPr>
                <w:rFonts w:ascii="宋体" w:hAnsi="宋体"/>
                <w:color w:val="auto"/>
                <w:szCs w:val="21"/>
                <w:highlight w:val="none"/>
                <w:shd w:val="clear" w:color="auto" w:fill="auto"/>
              </w:rPr>
            </w:pPr>
          </w:p>
        </w:tc>
        <w:tc>
          <w:tcPr>
            <w:tcW w:w="884" w:type="dxa"/>
            <w:vAlign w:val="center"/>
          </w:tcPr>
          <w:p>
            <w:pPr>
              <w:ind w:firstLine="0" w:firstLineChars="0"/>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传  真</w:t>
            </w:r>
          </w:p>
        </w:tc>
        <w:tc>
          <w:tcPr>
            <w:tcW w:w="2462" w:type="dxa"/>
            <w:gridSpan w:val="3"/>
            <w:vAlign w:val="center"/>
          </w:tcPr>
          <w:p>
            <w:pPr>
              <w:ind w:firstLine="0" w:firstLineChars="0"/>
              <w:jc w:val="center"/>
              <w:rPr>
                <w:rFonts w:ascii="宋体" w:hAnsi="宋体"/>
                <w:color w:val="auto"/>
                <w:szCs w:val="21"/>
                <w:highlight w:val="none"/>
                <w:shd w:val="clear" w:color="auto" w:fill="auto"/>
              </w:rPr>
            </w:pPr>
          </w:p>
        </w:tc>
        <w:tc>
          <w:tcPr>
            <w:tcW w:w="1230" w:type="dxa"/>
            <w:vAlign w:val="center"/>
          </w:tcPr>
          <w:p>
            <w:pPr>
              <w:ind w:firstLine="0" w:firstLineChars="0"/>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网  址</w:t>
            </w:r>
          </w:p>
        </w:tc>
        <w:tc>
          <w:tcPr>
            <w:tcW w:w="2599" w:type="dxa"/>
            <w:gridSpan w:val="3"/>
            <w:vAlign w:val="center"/>
          </w:tcPr>
          <w:p>
            <w:pPr>
              <w:ind w:firstLine="0" w:firstLineChars="0"/>
              <w:jc w:val="center"/>
              <w:rPr>
                <w:rFonts w:ascii="宋体" w:hAnsi="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2005" w:type="dxa"/>
            <w:vAlign w:val="center"/>
          </w:tcPr>
          <w:p>
            <w:pPr>
              <w:ind w:firstLine="0" w:firstLineChars="0"/>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组织结构</w:t>
            </w:r>
          </w:p>
        </w:tc>
        <w:tc>
          <w:tcPr>
            <w:tcW w:w="7175" w:type="dxa"/>
            <w:gridSpan w:val="8"/>
            <w:vAlign w:val="center"/>
          </w:tcPr>
          <w:p>
            <w:pPr>
              <w:ind w:firstLine="0" w:firstLineChars="0"/>
              <w:jc w:val="center"/>
              <w:rPr>
                <w:rFonts w:ascii="宋体" w:hAnsi="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2005" w:type="dxa"/>
            <w:vAlign w:val="center"/>
          </w:tcPr>
          <w:p>
            <w:pPr>
              <w:ind w:firstLine="0" w:firstLineChars="0"/>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法定代表人</w:t>
            </w:r>
          </w:p>
        </w:tc>
        <w:tc>
          <w:tcPr>
            <w:tcW w:w="884" w:type="dxa"/>
            <w:vAlign w:val="center"/>
          </w:tcPr>
          <w:p>
            <w:pPr>
              <w:ind w:firstLine="0" w:firstLineChars="0"/>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姓名</w:t>
            </w:r>
          </w:p>
        </w:tc>
        <w:tc>
          <w:tcPr>
            <w:tcW w:w="1007" w:type="dxa"/>
            <w:vAlign w:val="center"/>
          </w:tcPr>
          <w:p>
            <w:pPr>
              <w:ind w:firstLine="0" w:firstLineChars="0"/>
              <w:jc w:val="center"/>
              <w:rPr>
                <w:rFonts w:ascii="宋体" w:hAnsi="宋体"/>
                <w:color w:val="auto"/>
                <w:szCs w:val="21"/>
                <w:highlight w:val="none"/>
                <w:shd w:val="clear" w:color="auto" w:fill="auto"/>
              </w:rPr>
            </w:pPr>
          </w:p>
        </w:tc>
        <w:tc>
          <w:tcPr>
            <w:tcW w:w="1260" w:type="dxa"/>
            <w:vAlign w:val="center"/>
          </w:tcPr>
          <w:p>
            <w:pPr>
              <w:ind w:firstLine="0" w:firstLineChars="0"/>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技术职称</w:t>
            </w:r>
          </w:p>
        </w:tc>
        <w:tc>
          <w:tcPr>
            <w:tcW w:w="1680" w:type="dxa"/>
            <w:gridSpan w:val="3"/>
            <w:vAlign w:val="center"/>
          </w:tcPr>
          <w:p>
            <w:pPr>
              <w:ind w:firstLine="0" w:firstLineChars="0"/>
              <w:jc w:val="center"/>
              <w:rPr>
                <w:rFonts w:ascii="宋体" w:hAnsi="宋体"/>
                <w:color w:val="auto"/>
                <w:szCs w:val="21"/>
                <w:highlight w:val="none"/>
                <w:shd w:val="clear" w:color="auto" w:fill="auto"/>
              </w:rPr>
            </w:pPr>
          </w:p>
        </w:tc>
        <w:tc>
          <w:tcPr>
            <w:tcW w:w="699" w:type="dxa"/>
            <w:vAlign w:val="center"/>
          </w:tcPr>
          <w:p>
            <w:pPr>
              <w:ind w:firstLine="0" w:firstLineChars="0"/>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电话</w:t>
            </w:r>
          </w:p>
        </w:tc>
        <w:tc>
          <w:tcPr>
            <w:tcW w:w="1645" w:type="dxa"/>
            <w:vAlign w:val="center"/>
          </w:tcPr>
          <w:p>
            <w:pPr>
              <w:ind w:firstLine="0" w:firstLineChars="0"/>
              <w:jc w:val="center"/>
              <w:rPr>
                <w:rFonts w:ascii="宋体" w:hAnsi="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2005" w:type="dxa"/>
            <w:vAlign w:val="center"/>
          </w:tcPr>
          <w:p>
            <w:pPr>
              <w:ind w:firstLine="0" w:firstLineChars="0"/>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项目负责人</w:t>
            </w:r>
          </w:p>
        </w:tc>
        <w:tc>
          <w:tcPr>
            <w:tcW w:w="884" w:type="dxa"/>
            <w:vAlign w:val="center"/>
          </w:tcPr>
          <w:p>
            <w:pPr>
              <w:ind w:firstLine="0" w:firstLineChars="0"/>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姓名</w:t>
            </w:r>
          </w:p>
        </w:tc>
        <w:tc>
          <w:tcPr>
            <w:tcW w:w="1007" w:type="dxa"/>
            <w:vAlign w:val="center"/>
          </w:tcPr>
          <w:p>
            <w:pPr>
              <w:ind w:firstLine="0" w:firstLineChars="0"/>
              <w:jc w:val="center"/>
              <w:rPr>
                <w:rFonts w:ascii="宋体" w:hAnsi="宋体"/>
                <w:color w:val="auto"/>
                <w:szCs w:val="21"/>
                <w:highlight w:val="none"/>
                <w:shd w:val="clear" w:color="auto" w:fill="auto"/>
              </w:rPr>
            </w:pPr>
          </w:p>
        </w:tc>
        <w:tc>
          <w:tcPr>
            <w:tcW w:w="1260" w:type="dxa"/>
            <w:vAlign w:val="center"/>
          </w:tcPr>
          <w:p>
            <w:pPr>
              <w:ind w:firstLine="0" w:firstLineChars="0"/>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技术职称</w:t>
            </w:r>
          </w:p>
        </w:tc>
        <w:tc>
          <w:tcPr>
            <w:tcW w:w="1680" w:type="dxa"/>
            <w:gridSpan w:val="3"/>
            <w:vAlign w:val="center"/>
          </w:tcPr>
          <w:p>
            <w:pPr>
              <w:ind w:firstLine="0" w:firstLineChars="0"/>
              <w:jc w:val="center"/>
              <w:rPr>
                <w:rFonts w:ascii="宋体" w:hAnsi="宋体"/>
                <w:color w:val="auto"/>
                <w:szCs w:val="21"/>
                <w:highlight w:val="none"/>
                <w:shd w:val="clear" w:color="auto" w:fill="auto"/>
              </w:rPr>
            </w:pPr>
          </w:p>
        </w:tc>
        <w:tc>
          <w:tcPr>
            <w:tcW w:w="699" w:type="dxa"/>
            <w:vAlign w:val="center"/>
          </w:tcPr>
          <w:p>
            <w:pPr>
              <w:ind w:firstLine="0" w:firstLineChars="0"/>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电话</w:t>
            </w:r>
          </w:p>
        </w:tc>
        <w:tc>
          <w:tcPr>
            <w:tcW w:w="1645" w:type="dxa"/>
            <w:vAlign w:val="center"/>
          </w:tcPr>
          <w:p>
            <w:pPr>
              <w:ind w:firstLine="0" w:firstLineChars="0"/>
              <w:jc w:val="center"/>
              <w:rPr>
                <w:rFonts w:ascii="宋体" w:hAnsi="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2005" w:type="dxa"/>
            <w:vAlign w:val="center"/>
          </w:tcPr>
          <w:p>
            <w:pPr>
              <w:ind w:firstLine="0" w:firstLineChars="0"/>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成立时间</w:t>
            </w:r>
          </w:p>
        </w:tc>
        <w:tc>
          <w:tcPr>
            <w:tcW w:w="1891" w:type="dxa"/>
            <w:gridSpan w:val="2"/>
            <w:vAlign w:val="center"/>
          </w:tcPr>
          <w:p>
            <w:pPr>
              <w:ind w:firstLine="0" w:firstLineChars="0"/>
              <w:jc w:val="center"/>
              <w:rPr>
                <w:rFonts w:ascii="宋体" w:hAnsi="宋体"/>
                <w:color w:val="auto"/>
                <w:szCs w:val="21"/>
                <w:highlight w:val="none"/>
                <w:shd w:val="clear" w:color="auto" w:fill="auto"/>
              </w:rPr>
            </w:pPr>
          </w:p>
        </w:tc>
        <w:tc>
          <w:tcPr>
            <w:tcW w:w="5284" w:type="dxa"/>
            <w:gridSpan w:val="6"/>
            <w:vAlign w:val="center"/>
          </w:tcPr>
          <w:p>
            <w:pPr>
              <w:ind w:firstLine="0" w:firstLineChars="0"/>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9" w:hRule="atLeast"/>
          <w:jc w:val="center"/>
        </w:trPr>
        <w:tc>
          <w:tcPr>
            <w:tcW w:w="2005" w:type="dxa"/>
            <w:vAlign w:val="center"/>
          </w:tcPr>
          <w:p>
            <w:pPr>
              <w:ind w:firstLine="0" w:firstLineChars="0"/>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经营范围</w:t>
            </w:r>
          </w:p>
        </w:tc>
        <w:tc>
          <w:tcPr>
            <w:tcW w:w="7175" w:type="dxa"/>
            <w:gridSpan w:val="8"/>
            <w:vAlign w:val="center"/>
          </w:tcPr>
          <w:p>
            <w:pPr>
              <w:ind w:firstLine="0" w:firstLineChars="0"/>
              <w:jc w:val="center"/>
              <w:rPr>
                <w:rFonts w:ascii="宋体" w:hAnsi="宋体"/>
                <w:color w:val="auto"/>
                <w:szCs w:val="21"/>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2005" w:type="dxa"/>
            <w:vAlign w:val="center"/>
          </w:tcPr>
          <w:p>
            <w:pPr>
              <w:ind w:firstLine="0" w:firstLineChars="0"/>
              <w:jc w:val="center"/>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备注</w:t>
            </w:r>
          </w:p>
        </w:tc>
        <w:tc>
          <w:tcPr>
            <w:tcW w:w="7175" w:type="dxa"/>
            <w:gridSpan w:val="8"/>
            <w:vAlign w:val="center"/>
          </w:tcPr>
          <w:p>
            <w:pPr>
              <w:ind w:firstLine="0" w:firstLineChars="0"/>
              <w:jc w:val="center"/>
              <w:rPr>
                <w:rFonts w:ascii="宋体" w:hAnsi="宋体"/>
                <w:color w:val="auto"/>
                <w:szCs w:val="21"/>
                <w:highlight w:val="none"/>
                <w:shd w:val="clear" w:color="auto" w:fill="auto"/>
              </w:rPr>
            </w:pPr>
          </w:p>
        </w:tc>
      </w:tr>
    </w:tbl>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b/>
          <w:bCs/>
          <w:color w:val="auto"/>
          <w:szCs w:val="21"/>
          <w:highlight w:val="none"/>
          <w:shd w:val="clear" w:color="auto" w:fill="auto"/>
        </w:rPr>
      </w:pPr>
      <w:r>
        <w:rPr>
          <w:rFonts w:hint="eastAsia" w:ascii="宋体" w:hAnsi="宋体"/>
          <w:b/>
          <w:bCs/>
          <w:color w:val="auto"/>
          <w:szCs w:val="21"/>
          <w:highlight w:val="none"/>
          <w:shd w:val="clear" w:color="auto" w:fill="auto"/>
        </w:rPr>
        <w:t>注：在本表后附相应的资格证明相关材料。</w:t>
      </w:r>
    </w:p>
    <w:p>
      <w:pPr>
        <w:tabs>
          <w:tab w:val="left" w:pos="1365"/>
        </w:tabs>
        <w:spacing w:line="360" w:lineRule="auto"/>
        <w:ind w:firstLine="4322" w:firstLineChars="2050"/>
        <w:jc w:val="right"/>
        <w:rPr>
          <w:rFonts w:ascii="宋体" w:hAnsi="宋体"/>
          <w:b/>
          <w:bCs/>
          <w:color w:val="auto"/>
          <w:szCs w:val="21"/>
          <w:highlight w:val="none"/>
          <w:u w:val="single"/>
          <w:shd w:val="clear" w:color="auto" w:fill="auto"/>
        </w:rPr>
      </w:pPr>
      <w:r>
        <w:rPr>
          <w:rFonts w:hint="eastAsia" w:ascii="宋体" w:hAnsi="宋体"/>
          <w:b/>
          <w:bCs/>
          <w:color w:val="auto"/>
          <w:szCs w:val="21"/>
          <w:highlight w:val="none"/>
          <w:shd w:val="clear" w:color="auto" w:fill="auto"/>
        </w:rPr>
        <w:t>供应商（单位电子签章）：</w:t>
      </w:r>
    </w:p>
    <w:p>
      <w:pPr>
        <w:tabs>
          <w:tab w:val="left" w:pos="1365"/>
        </w:tabs>
        <w:spacing w:line="360" w:lineRule="auto"/>
        <w:ind w:firstLine="4322" w:firstLineChars="2050"/>
        <w:jc w:val="right"/>
        <w:rPr>
          <w:rFonts w:ascii="宋体" w:hAnsi="宋体"/>
          <w:b/>
          <w:bCs/>
          <w:color w:val="auto"/>
          <w:szCs w:val="21"/>
          <w:highlight w:val="none"/>
          <w:shd w:val="clear" w:color="auto" w:fill="auto"/>
        </w:rPr>
      </w:pPr>
      <w:r>
        <w:rPr>
          <w:rFonts w:hint="eastAsia" w:ascii="宋体" w:hAnsi="宋体"/>
          <w:b/>
          <w:bCs/>
          <w:color w:val="auto"/>
          <w:szCs w:val="21"/>
          <w:highlight w:val="none"/>
          <w:shd w:val="clear" w:color="auto" w:fill="auto"/>
        </w:rPr>
        <w:t>法定代表人或其委托代理人（签字或盖章）：</w:t>
      </w:r>
    </w:p>
    <w:p>
      <w:pPr>
        <w:spacing w:line="360" w:lineRule="auto"/>
        <w:ind w:firstLine="562"/>
        <w:jc w:val="right"/>
        <w:rPr>
          <w:rFonts w:hint="eastAsia" w:ascii="宋体" w:hAnsi="宋体"/>
          <w:b/>
          <w:bCs/>
          <w:color w:val="auto"/>
          <w:szCs w:val="21"/>
          <w:highlight w:val="none"/>
          <w:shd w:val="clear" w:color="auto" w:fill="auto"/>
        </w:rPr>
      </w:pPr>
      <w:r>
        <w:rPr>
          <w:rFonts w:hint="eastAsia" w:ascii="宋体" w:hAnsi="宋体"/>
          <w:b/>
          <w:bCs/>
          <w:color w:val="auto"/>
          <w:szCs w:val="21"/>
          <w:highlight w:val="none"/>
          <w:shd w:val="clear" w:color="auto" w:fill="auto"/>
          <w:lang w:val="en-US" w:eastAsia="zh-CN"/>
        </w:rPr>
        <w:t xml:space="preserve">                              </w:t>
      </w:r>
      <w:r>
        <w:rPr>
          <w:rFonts w:hint="eastAsia" w:ascii="宋体" w:hAnsi="宋体"/>
          <w:b/>
          <w:bCs/>
          <w:color w:val="auto"/>
          <w:szCs w:val="21"/>
          <w:highlight w:val="none"/>
          <w:shd w:val="clear" w:color="auto" w:fill="auto"/>
        </w:rPr>
        <w:t>日   期：     年    月    日</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b/>
          <w:bCs/>
          <w:color w:val="auto"/>
          <w:szCs w:val="21"/>
          <w:highlight w:val="none"/>
          <w:shd w:val="clear" w:color="auto" w:fill="auto"/>
          <w:lang w:val="en-US" w:eastAsia="zh-CN"/>
        </w:rPr>
        <w:sectPr>
          <w:footerReference r:id="rId9" w:type="default"/>
          <w:pgSz w:w="11905" w:h="16838"/>
          <w:pgMar w:top="1440" w:right="1576" w:bottom="1440" w:left="1576" w:header="850" w:footer="850" w:gutter="0"/>
          <w:pgBorders>
            <w:top w:val="none" w:sz="0" w:space="0"/>
            <w:left w:val="none" w:sz="0" w:space="0"/>
            <w:bottom w:val="none" w:sz="0" w:space="0"/>
            <w:right w:val="none" w:sz="0" w:space="0"/>
          </w:pgBorders>
          <w:pgNumType w:fmt="decimal"/>
          <w:cols w:space="720" w:num="1"/>
          <w:rtlGutter w:val="0"/>
          <w:docGrid w:type="lines" w:linePitch="317" w:charSpace="0"/>
        </w:sectPr>
      </w:pP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auto"/>
        <w:rPr>
          <w:rFonts w:hint="default"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附件：</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信阳市政府采购供应商信用承诺函</w:t>
      </w:r>
    </w:p>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420" w:firstLineChars="200"/>
        <w:jc w:val="left"/>
        <w:textAlignment w:val="auto"/>
        <w:rPr>
          <w:rFonts w:hint="eastAsia" w:ascii="宋体" w:hAnsi="宋体" w:eastAsia="宋体" w:cs="宋体"/>
          <w:color w:val="auto"/>
          <w:kern w:val="0"/>
          <w:sz w:val="21"/>
          <w:szCs w:val="21"/>
          <w:u w:val="none"/>
          <w:lang w:val="en-US" w:eastAsia="zh-CN" w:bidi="ar"/>
        </w:rPr>
      </w:pPr>
      <w:r>
        <w:rPr>
          <w:rFonts w:hint="eastAsia" w:ascii="宋体" w:hAnsi="宋体" w:eastAsia="宋体" w:cs="宋体"/>
          <w:color w:val="auto"/>
          <w:kern w:val="0"/>
          <w:sz w:val="21"/>
          <w:szCs w:val="21"/>
          <w:lang w:val="en-US" w:eastAsia="zh-CN" w:bidi="ar"/>
        </w:rPr>
        <w:t>致</w:t>
      </w:r>
      <w:r>
        <w:rPr>
          <w:rFonts w:hint="eastAsia" w:ascii="宋体" w:hAnsi="宋体" w:eastAsia="宋体" w:cs="宋体"/>
          <w:color w:val="auto"/>
          <w:kern w:val="0"/>
          <w:sz w:val="21"/>
          <w:szCs w:val="21"/>
          <w:u w:val="single"/>
          <w:lang w:val="en-US" w:eastAsia="zh-CN" w:bidi="ar"/>
        </w:rPr>
        <w:t xml:space="preserve">（采购人或采购代理机构）：         </w:t>
      </w:r>
      <w:r>
        <w:rPr>
          <w:rFonts w:hint="eastAsia" w:ascii="宋体" w:hAnsi="宋体" w:eastAsia="宋体" w:cs="宋体"/>
          <w:color w:val="auto"/>
          <w:kern w:val="0"/>
          <w:sz w:val="21"/>
          <w:szCs w:val="21"/>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420" w:firstLineChars="200"/>
        <w:jc w:val="left"/>
        <w:textAlignment w:val="auto"/>
        <w:rPr>
          <w:rFonts w:hint="eastAsia" w:ascii="宋体" w:hAnsi="宋体" w:eastAsia="宋体" w:cs="宋体"/>
          <w:color w:val="auto"/>
          <w:kern w:val="0"/>
          <w:sz w:val="21"/>
          <w:szCs w:val="21"/>
          <w:u w:val="single"/>
          <w:lang w:val="en-US" w:eastAsia="zh-CN" w:bidi="ar"/>
        </w:rPr>
      </w:pPr>
      <w:r>
        <w:rPr>
          <w:rFonts w:hint="eastAsia" w:ascii="宋体" w:hAnsi="宋体" w:eastAsia="宋体" w:cs="宋体"/>
          <w:color w:val="auto"/>
          <w:kern w:val="0"/>
          <w:sz w:val="21"/>
          <w:szCs w:val="21"/>
          <w:lang w:val="en-US" w:eastAsia="zh-CN" w:bidi="ar"/>
        </w:rPr>
        <w:t>单位名称（自然人姓名）</w:t>
      </w:r>
      <w:r>
        <w:rPr>
          <w:rFonts w:hint="eastAsia" w:ascii="宋体" w:hAnsi="宋体" w:eastAsia="宋体" w:cs="宋体"/>
          <w:color w:val="auto"/>
          <w:kern w:val="0"/>
          <w:sz w:val="21"/>
          <w:szCs w:val="21"/>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420" w:firstLineChars="200"/>
        <w:jc w:val="left"/>
        <w:textAlignment w:val="auto"/>
        <w:rPr>
          <w:rFonts w:hint="default" w:ascii="宋体" w:hAnsi="宋体" w:eastAsia="宋体" w:cs="宋体"/>
          <w:color w:val="auto"/>
          <w:kern w:val="0"/>
          <w:sz w:val="21"/>
          <w:szCs w:val="21"/>
          <w:u w:val="single"/>
          <w:lang w:val="en-US" w:eastAsia="zh-CN" w:bidi="ar"/>
        </w:rPr>
      </w:pPr>
      <w:r>
        <w:rPr>
          <w:rFonts w:hint="eastAsia" w:ascii="宋体" w:hAnsi="宋体" w:eastAsia="宋体" w:cs="宋体"/>
          <w:color w:val="auto"/>
          <w:kern w:val="0"/>
          <w:sz w:val="21"/>
          <w:szCs w:val="21"/>
          <w:lang w:val="en-US" w:eastAsia="zh-CN" w:bidi="ar"/>
        </w:rPr>
        <w:t>统一社会信用代码（身份证号码）</w:t>
      </w:r>
      <w:r>
        <w:rPr>
          <w:rFonts w:hint="eastAsia" w:ascii="宋体" w:hAnsi="宋体" w:eastAsia="宋体" w:cs="宋体"/>
          <w:color w:val="auto"/>
          <w:kern w:val="0"/>
          <w:sz w:val="21"/>
          <w:szCs w:val="21"/>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420" w:firstLineChars="200"/>
        <w:jc w:val="left"/>
        <w:textAlignment w:val="auto"/>
        <w:rPr>
          <w:rFonts w:hint="default" w:ascii="宋体" w:hAnsi="宋体" w:eastAsia="宋体" w:cs="宋体"/>
          <w:color w:val="auto"/>
          <w:kern w:val="0"/>
          <w:sz w:val="21"/>
          <w:szCs w:val="21"/>
          <w:u w:val="single"/>
          <w:lang w:val="en-US" w:eastAsia="zh-CN" w:bidi="ar"/>
        </w:rPr>
      </w:pPr>
      <w:r>
        <w:rPr>
          <w:rFonts w:hint="eastAsia" w:ascii="宋体" w:hAnsi="宋体" w:eastAsia="宋体" w:cs="宋体"/>
          <w:color w:val="auto"/>
          <w:kern w:val="0"/>
          <w:sz w:val="21"/>
          <w:szCs w:val="21"/>
          <w:lang w:val="en-US" w:eastAsia="zh-CN" w:bidi="ar"/>
        </w:rPr>
        <w:t>法定代表人（负责人）</w:t>
      </w:r>
      <w:r>
        <w:rPr>
          <w:rFonts w:hint="eastAsia" w:ascii="宋体" w:hAnsi="宋体" w:eastAsia="宋体" w:cs="宋体"/>
          <w:color w:val="auto"/>
          <w:kern w:val="0"/>
          <w:sz w:val="21"/>
          <w:szCs w:val="21"/>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420" w:firstLineChars="200"/>
        <w:jc w:val="left"/>
        <w:textAlignment w:val="auto"/>
        <w:rPr>
          <w:rFonts w:hint="default" w:ascii="宋体" w:hAnsi="宋体" w:eastAsia="宋体" w:cs="宋体"/>
          <w:color w:val="auto"/>
          <w:kern w:val="0"/>
          <w:sz w:val="21"/>
          <w:szCs w:val="21"/>
          <w:u w:val="single"/>
          <w:lang w:val="en-US" w:eastAsia="zh-CN" w:bidi="ar"/>
        </w:rPr>
      </w:pPr>
      <w:r>
        <w:rPr>
          <w:rFonts w:hint="eastAsia" w:ascii="宋体" w:hAnsi="宋体" w:eastAsia="宋体" w:cs="宋体"/>
          <w:color w:val="auto"/>
          <w:kern w:val="0"/>
          <w:sz w:val="21"/>
          <w:szCs w:val="21"/>
          <w:lang w:val="en-US" w:eastAsia="zh-CN" w:bidi="ar"/>
        </w:rPr>
        <w:t>联系地址和电话</w:t>
      </w:r>
      <w:r>
        <w:rPr>
          <w:rFonts w:hint="eastAsia" w:ascii="宋体" w:hAnsi="宋体" w:eastAsia="宋体" w:cs="宋体"/>
          <w:color w:val="auto"/>
          <w:kern w:val="0"/>
          <w:sz w:val="21"/>
          <w:szCs w:val="21"/>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为维护公平、公正、公开的政府采购市场秩序，树立诚实守信的政府采购供应商形象，我单位（本人）自愿作出以下承诺：</w:t>
      </w:r>
    </w:p>
    <w:p>
      <w:pPr>
        <w:keepNext w:val="0"/>
        <w:keepLines w:val="0"/>
        <w:pageBreakBefore w:val="0"/>
        <w:widowControl/>
        <w:numPr>
          <w:ilvl w:val="0"/>
          <w:numId w:val="7"/>
        </w:numPr>
        <w:suppressLineNumbers w:val="0"/>
        <w:kinsoku/>
        <w:wordWrap/>
        <w:overflowPunct/>
        <w:topLinePunct w:val="0"/>
        <w:autoSpaceDE/>
        <w:autoSpaceDN/>
        <w:bidi w:val="0"/>
        <w:adjustRightInd/>
        <w:snapToGrid/>
        <w:spacing w:line="240" w:lineRule="auto"/>
        <w:ind w:left="0" w:firstLine="420" w:firstLineChars="20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pPr>
        <w:keepNext w:val="0"/>
        <w:keepLines w:val="0"/>
        <w:pageBreakBefore w:val="0"/>
        <w:widowControl/>
        <w:numPr>
          <w:ilvl w:val="0"/>
          <w:numId w:val="8"/>
        </w:numPr>
        <w:suppressLineNumbers w:val="0"/>
        <w:kinsoku/>
        <w:wordWrap/>
        <w:overflowPunct/>
        <w:topLinePunct w:val="0"/>
        <w:autoSpaceDE/>
        <w:autoSpaceDN/>
        <w:bidi w:val="0"/>
        <w:adjustRightInd/>
        <w:snapToGrid/>
        <w:spacing w:line="240" w:lineRule="auto"/>
        <w:ind w:left="420" w:leftChars="0" w:firstLine="0" w:firstLineChars="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具有独立承担民事责任的能力；</w:t>
      </w:r>
    </w:p>
    <w:p>
      <w:pPr>
        <w:keepNext w:val="0"/>
        <w:keepLines w:val="0"/>
        <w:pageBreakBefore w:val="0"/>
        <w:widowControl/>
        <w:numPr>
          <w:ilvl w:val="0"/>
          <w:numId w:val="8"/>
        </w:numPr>
        <w:suppressLineNumbers w:val="0"/>
        <w:kinsoku/>
        <w:wordWrap/>
        <w:overflowPunct/>
        <w:topLinePunct w:val="0"/>
        <w:autoSpaceDE/>
        <w:autoSpaceDN/>
        <w:bidi w:val="0"/>
        <w:adjustRightInd/>
        <w:snapToGrid/>
        <w:spacing w:line="240" w:lineRule="auto"/>
        <w:ind w:left="420" w:leftChars="0" w:firstLine="0" w:firstLineChars="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 xml:space="preserve">具有良好的商业信誉和健全的财务会计制度； </w:t>
      </w:r>
    </w:p>
    <w:p>
      <w:pPr>
        <w:keepNext w:val="0"/>
        <w:keepLines w:val="0"/>
        <w:pageBreakBefore w:val="0"/>
        <w:widowControl/>
        <w:numPr>
          <w:ilvl w:val="0"/>
          <w:numId w:val="8"/>
        </w:numPr>
        <w:suppressLineNumbers w:val="0"/>
        <w:kinsoku/>
        <w:wordWrap/>
        <w:overflowPunct/>
        <w:topLinePunct w:val="0"/>
        <w:autoSpaceDE/>
        <w:autoSpaceDN/>
        <w:bidi w:val="0"/>
        <w:adjustRightInd/>
        <w:snapToGrid/>
        <w:spacing w:line="240" w:lineRule="auto"/>
        <w:ind w:left="420" w:leftChars="0" w:firstLine="0" w:firstLineChars="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具有履行合同所必需的设备和专业技术能力；</w:t>
      </w:r>
    </w:p>
    <w:p>
      <w:pPr>
        <w:keepNext w:val="0"/>
        <w:keepLines w:val="0"/>
        <w:pageBreakBefore w:val="0"/>
        <w:widowControl/>
        <w:numPr>
          <w:ilvl w:val="0"/>
          <w:numId w:val="8"/>
        </w:numPr>
        <w:suppressLineNumbers w:val="0"/>
        <w:kinsoku/>
        <w:wordWrap/>
        <w:overflowPunct/>
        <w:topLinePunct w:val="0"/>
        <w:autoSpaceDE/>
        <w:autoSpaceDN/>
        <w:bidi w:val="0"/>
        <w:adjustRightInd/>
        <w:snapToGrid/>
        <w:spacing w:line="240" w:lineRule="auto"/>
        <w:ind w:left="420" w:leftChars="0" w:firstLine="0" w:firstLineChars="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 xml:space="preserve">有依法缴纳税收和社会保障资金的良好记录； </w:t>
      </w:r>
    </w:p>
    <w:p>
      <w:pPr>
        <w:keepNext w:val="0"/>
        <w:keepLines w:val="0"/>
        <w:pageBreakBefore w:val="0"/>
        <w:widowControl/>
        <w:numPr>
          <w:ilvl w:val="0"/>
          <w:numId w:val="8"/>
        </w:numPr>
        <w:suppressLineNumbers w:val="0"/>
        <w:kinsoku/>
        <w:wordWrap/>
        <w:overflowPunct/>
        <w:topLinePunct w:val="0"/>
        <w:autoSpaceDE/>
        <w:autoSpaceDN/>
        <w:bidi w:val="0"/>
        <w:adjustRightInd/>
        <w:snapToGrid/>
        <w:spacing w:line="240" w:lineRule="auto"/>
        <w:ind w:left="420" w:leftChars="0" w:firstLine="0" w:firstLineChars="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 xml:space="preserve">参加政府采购活动前三年内，在经营活动中没有重大违法记录； </w:t>
      </w:r>
    </w:p>
    <w:p>
      <w:pPr>
        <w:keepNext w:val="0"/>
        <w:keepLines w:val="0"/>
        <w:pageBreakBefore w:val="0"/>
        <w:widowControl/>
        <w:numPr>
          <w:ilvl w:val="0"/>
          <w:numId w:val="8"/>
        </w:numPr>
        <w:suppressLineNumbers w:val="0"/>
        <w:kinsoku/>
        <w:wordWrap/>
        <w:overflowPunct/>
        <w:topLinePunct w:val="0"/>
        <w:autoSpaceDE/>
        <w:autoSpaceDN/>
        <w:bidi w:val="0"/>
        <w:adjustRightInd/>
        <w:snapToGrid/>
        <w:spacing w:line="240" w:lineRule="auto"/>
        <w:ind w:left="420" w:leftChars="0" w:firstLine="0" w:firstLineChars="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未被列入经营异常名录或者严重违法失信名单、失信被执行人、重大税收违法案件当事人名单、政府采购严重违法失信行为记录名单；</w:t>
      </w:r>
    </w:p>
    <w:p>
      <w:pPr>
        <w:keepNext w:val="0"/>
        <w:keepLines w:val="0"/>
        <w:pageBreakBefore w:val="0"/>
        <w:widowControl/>
        <w:numPr>
          <w:ilvl w:val="0"/>
          <w:numId w:val="8"/>
        </w:numPr>
        <w:suppressLineNumbers w:val="0"/>
        <w:kinsoku/>
        <w:wordWrap/>
        <w:overflowPunct/>
        <w:topLinePunct w:val="0"/>
        <w:autoSpaceDE/>
        <w:autoSpaceDN/>
        <w:bidi w:val="0"/>
        <w:adjustRightInd/>
        <w:snapToGrid/>
        <w:spacing w:line="240" w:lineRule="auto"/>
        <w:ind w:left="420" w:leftChars="0" w:firstLine="0" w:firstLineChars="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 xml:space="preserve">未被相关监管部门作出行政处罚且尚在处罚有效期内； </w:t>
      </w:r>
    </w:p>
    <w:p>
      <w:pPr>
        <w:keepNext w:val="0"/>
        <w:keepLines w:val="0"/>
        <w:pageBreakBefore w:val="0"/>
        <w:widowControl/>
        <w:numPr>
          <w:ilvl w:val="0"/>
          <w:numId w:val="8"/>
        </w:numPr>
        <w:suppressLineNumbers w:val="0"/>
        <w:kinsoku/>
        <w:wordWrap/>
        <w:overflowPunct/>
        <w:topLinePunct w:val="0"/>
        <w:autoSpaceDE/>
        <w:autoSpaceDN/>
        <w:bidi w:val="0"/>
        <w:adjustRightInd/>
        <w:snapToGrid/>
        <w:spacing w:line="240" w:lineRule="auto"/>
        <w:ind w:left="420" w:leftChars="0" w:firstLine="0" w:firstLineChars="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 xml:space="preserve">未曾做出虚假采购承诺；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420" w:firstLineChars="20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（九）符合法律、行政法规规定的其他条件。</w:t>
      </w:r>
    </w:p>
    <w:p>
      <w:pPr>
        <w:keepNext w:val="0"/>
        <w:keepLines w:val="0"/>
        <w:pageBreakBefore w:val="0"/>
        <w:widowControl/>
        <w:numPr>
          <w:ilvl w:val="0"/>
          <w:numId w:val="7"/>
        </w:numPr>
        <w:suppressLineNumbers w:val="0"/>
        <w:kinsoku/>
        <w:wordWrap/>
        <w:overflowPunct/>
        <w:topLinePunct w:val="0"/>
        <w:autoSpaceDE/>
        <w:autoSpaceDN/>
        <w:bidi w:val="0"/>
        <w:adjustRightInd/>
        <w:snapToGrid/>
        <w:spacing w:line="240" w:lineRule="auto"/>
        <w:ind w:left="0" w:firstLine="420" w:firstLineChars="20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 xml:space="preserve">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firstLine="420" w:firstLineChars="200"/>
        <w:jc w:val="left"/>
        <w:textAlignment w:val="auto"/>
        <w:rPr>
          <w:rFonts w:hint="eastAsia" w:ascii="宋体" w:hAnsi="宋体" w:eastAsia="宋体" w:cs="宋体"/>
          <w:color w:val="auto"/>
          <w:kern w:val="0"/>
          <w:sz w:val="21"/>
          <w:szCs w:val="21"/>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供应商（公章）：</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firstLine="210" w:firstLineChars="10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 xml:space="preserve"> 法定代表人、负责人、本人或授权代表（签字或盖章）：</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firstLine="210" w:firstLineChars="10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 xml:space="preserve"> 日期：  年  月  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firstLine="210" w:firstLineChars="100"/>
        <w:jc w:val="left"/>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 xml:space="preserve"> 注：1、供应商须在响应文件中按此模板提供承诺函，未提供视为未实质性响应磋商文件要求，按无效投标处理。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firstLine="735" w:firstLineChars="350"/>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2、供应商的法定代表人或者授权代表的签字或盖章应真实、有效，如由授权代表签字或盖章的，应提供“法定代表人授权书”。</w:t>
      </w:r>
    </w:p>
    <w:p>
      <w:pPr>
        <w:spacing w:before="312" w:beforeLines="100" w:after="156" w:afterLines="50" w:line="240" w:lineRule="auto"/>
        <w:rPr>
          <w:rFonts w:hint="eastAsia" w:ascii="宋体" w:hAnsi="宋体"/>
          <w:b/>
          <w:color w:val="auto"/>
          <w:szCs w:val="21"/>
        </w:rPr>
      </w:pPr>
    </w:p>
    <w:bookmarkEnd w:id="986"/>
    <w:p>
      <w:pPr>
        <w:spacing w:line="440" w:lineRule="exact"/>
        <w:rPr>
          <w:rFonts w:hint="eastAsia" w:ascii="宋体" w:hAnsi="宋体"/>
          <w:color w:val="auto"/>
          <w:szCs w:val="21"/>
        </w:rPr>
      </w:pPr>
    </w:p>
    <w:p>
      <w:pPr>
        <w:pStyle w:val="45"/>
        <w:ind w:firstLine="210"/>
        <w:rPr>
          <w:rFonts w:hint="eastAsia" w:ascii="宋体" w:hAnsi="宋体"/>
          <w:color w:val="auto"/>
          <w:szCs w:val="21"/>
        </w:rPr>
      </w:pPr>
    </w:p>
    <w:p>
      <w:pPr>
        <w:pStyle w:val="45"/>
        <w:ind w:left="0" w:leftChars="0" w:firstLine="0" w:firstLineChars="0"/>
        <w:rPr>
          <w:rFonts w:hint="eastAsia" w:eastAsia="宋体"/>
          <w:color w:val="auto"/>
          <w:lang w:val="en-US" w:eastAsia="zh-CN"/>
        </w:rPr>
      </w:pPr>
    </w:p>
    <w:p>
      <w:pPr>
        <w:pStyle w:val="5"/>
        <w:numPr>
          <w:ilvl w:val="1"/>
          <w:numId w:val="0"/>
        </w:numPr>
        <w:ind w:leftChars="200"/>
        <w:jc w:val="center"/>
        <w:rPr>
          <w:rFonts w:hint="eastAsia" w:ascii="宋体" w:hAnsi="宋体" w:eastAsia="宋体"/>
          <w:color w:val="auto"/>
          <w:sz w:val="28"/>
          <w:szCs w:val="28"/>
          <w:lang w:val="en-US" w:eastAsia="zh-CN"/>
        </w:rPr>
      </w:pPr>
      <w:bookmarkStart w:id="987" w:name="_Toc23603"/>
      <w:bookmarkStart w:id="988" w:name="_Toc475624464"/>
      <w:bookmarkStart w:id="989" w:name="_Toc30087"/>
      <w:bookmarkStart w:id="990" w:name="_Toc29238"/>
      <w:r>
        <w:rPr>
          <w:rFonts w:hint="eastAsia" w:ascii="宋体" w:hAnsi="宋体" w:eastAsia="宋体"/>
          <w:color w:val="auto"/>
          <w:sz w:val="28"/>
          <w:szCs w:val="28"/>
          <w:lang w:val="en-US" w:eastAsia="zh-CN"/>
        </w:rPr>
        <w:t>四、商务及技术偏差表</w:t>
      </w:r>
    </w:p>
    <w:p>
      <w:pPr>
        <w:numPr>
          <w:ilvl w:val="0"/>
          <w:numId w:val="0"/>
        </w:numPr>
        <w:jc w:val="center"/>
        <w:rPr>
          <w:rFonts w:hint="eastAsia"/>
          <w:b/>
          <w:bCs/>
          <w:sz w:val="24"/>
          <w:szCs w:val="24"/>
        </w:rPr>
      </w:pPr>
      <w:r>
        <w:rPr>
          <w:rFonts w:hint="eastAsia"/>
          <w:b/>
          <w:bCs/>
          <w:sz w:val="24"/>
          <w:szCs w:val="24"/>
          <w:lang w:eastAsia="zh-CN"/>
        </w:rPr>
        <w:t>（</w:t>
      </w:r>
      <w:r>
        <w:rPr>
          <w:rFonts w:hint="eastAsia"/>
          <w:b/>
          <w:bCs/>
          <w:sz w:val="24"/>
          <w:szCs w:val="24"/>
          <w:lang w:val="en-US" w:eastAsia="zh-CN"/>
        </w:rPr>
        <w:t>一</w:t>
      </w:r>
      <w:r>
        <w:rPr>
          <w:rFonts w:hint="eastAsia"/>
          <w:b/>
          <w:bCs/>
          <w:sz w:val="24"/>
          <w:szCs w:val="24"/>
          <w:lang w:eastAsia="zh-CN"/>
        </w:rPr>
        <w:t>）</w:t>
      </w:r>
      <w:r>
        <w:rPr>
          <w:rFonts w:hint="eastAsia"/>
          <w:b/>
          <w:bCs/>
          <w:sz w:val="24"/>
          <w:szCs w:val="24"/>
        </w:rPr>
        <w:t>商务偏差表</w:t>
      </w:r>
    </w:p>
    <w:tbl>
      <w:tblPr>
        <w:tblStyle w:val="49"/>
        <w:tblW w:w="89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3604"/>
        <w:gridCol w:w="2733"/>
        <w:gridCol w:w="1126"/>
        <w:gridCol w:w="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766" w:type="dxa"/>
            <w:vAlign w:val="center"/>
          </w:tcPr>
          <w:p>
            <w:pPr>
              <w:pStyle w:val="5"/>
              <w:pageBreakBefore w:val="0"/>
              <w:numPr>
                <w:ilvl w:val="1"/>
                <w:numId w:val="0"/>
              </w:numPr>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s="宋体"/>
                <w:b/>
                <w:bCs/>
                <w:color w:val="000000"/>
                <w:kern w:val="0"/>
                <w:sz w:val="20"/>
                <w:szCs w:val="20"/>
                <w:lang w:val="en-US" w:eastAsia="zh-CN" w:bidi="ar"/>
              </w:rPr>
            </w:pPr>
            <w:r>
              <w:rPr>
                <w:rFonts w:hint="eastAsia" w:ascii="宋体" w:hAnsi="宋体" w:eastAsia="宋体" w:cs="宋体"/>
                <w:b/>
                <w:bCs/>
                <w:color w:val="000000"/>
                <w:kern w:val="0"/>
                <w:sz w:val="20"/>
                <w:szCs w:val="20"/>
                <w:lang w:val="en-US" w:eastAsia="zh-CN" w:bidi="ar"/>
              </w:rPr>
              <w:t>序号</w:t>
            </w:r>
          </w:p>
        </w:tc>
        <w:tc>
          <w:tcPr>
            <w:tcW w:w="3604"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bCs/>
                <w:color w:val="000000"/>
                <w:kern w:val="0"/>
                <w:sz w:val="20"/>
                <w:szCs w:val="20"/>
                <w:lang w:val="en-US" w:eastAsia="zh-CN" w:bidi="ar"/>
              </w:rPr>
            </w:pPr>
            <w:r>
              <w:rPr>
                <w:rFonts w:hint="eastAsia" w:ascii="宋体" w:hAnsi="宋体" w:eastAsia="宋体" w:cs="宋体"/>
                <w:b/>
                <w:bCs/>
                <w:color w:val="000000"/>
                <w:kern w:val="0"/>
                <w:sz w:val="20"/>
                <w:szCs w:val="20"/>
                <w:lang w:val="en-US" w:eastAsia="zh-CN" w:bidi="ar"/>
              </w:rPr>
              <w:t>竞争性磋商文件要求</w:t>
            </w:r>
          </w:p>
        </w:tc>
        <w:tc>
          <w:tcPr>
            <w:tcW w:w="2733" w:type="dxa"/>
            <w:vAlign w:val="center"/>
          </w:tcPr>
          <w:p>
            <w:pPr>
              <w:pStyle w:val="5"/>
              <w:pageBreakBefore w:val="0"/>
              <w:numPr>
                <w:ilvl w:val="1"/>
                <w:numId w:val="0"/>
              </w:numPr>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s="宋体"/>
                <w:b/>
                <w:bCs/>
                <w:color w:val="000000"/>
                <w:kern w:val="0"/>
                <w:sz w:val="20"/>
                <w:szCs w:val="20"/>
                <w:lang w:val="en-US" w:eastAsia="zh-CN" w:bidi="ar"/>
              </w:rPr>
            </w:pPr>
            <w:r>
              <w:rPr>
                <w:rFonts w:hint="eastAsia" w:ascii="宋体" w:hAnsi="宋体" w:eastAsia="宋体" w:cs="宋体"/>
                <w:b/>
                <w:bCs/>
                <w:color w:val="000000"/>
                <w:kern w:val="0"/>
                <w:sz w:val="20"/>
                <w:szCs w:val="20"/>
                <w:lang w:val="en-US" w:eastAsia="zh-CN" w:bidi="ar"/>
              </w:rPr>
              <w:t>响应文件要求</w:t>
            </w:r>
          </w:p>
        </w:tc>
        <w:tc>
          <w:tcPr>
            <w:tcW w:w="1126" w:type="dxa"/>
            <w:vAlign w:val="center"/>
          </w:tcPr>
          <w:p>
            <w:pPr>
              <w:pStyle w:val="5"/>
              <w:pageBreakBefore w:val="0"/>
              <w:numPr>
                <w:ilvl w:val="1"/>
                <w:numId w:val="0"/>
              </w:numPr>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s="宋体"/>
                <w:b/>
                <w:bCs/>
                <w:color w:val="000000"/>
                <w:kern w:val="0"/>
                <w:sz w:val="20"/>
                <w:szCs w:val="20"/>
                <w:lang w:val="en-US" w:eastAsia="zh-CN" w:bidi="ar"/>
              </w:rPr>
            </w:pPr>
            <w:r>
              <w:rPr>
                <w:rFonts w:hint="eastAsia" w:ascii="宋体" w:hAnsi="宋体" w:eastAsia="宋体" w:cs="宋体"/>
                <w:b/>
                <w:bCs/>
                <w:color w:val="000000"/>
                <w:kern w:val="0"/>
                <w:sz w:val="20"/>
                <w:szCs w:val="20"/>
                <w:lang w:val="en-US" w:eastAsia="zh-CN" w:bidi="ar"/>
              </w:rPr>
              <w:t>偏差描述</w:t>
            </w:r>
          </w:p>
        </w:tc>
        <w:tc>
          <w:tcPr>
            <w:tcW w:w="748" w:type="dxa"/>
            <w:vAlign w:val="center"/>
          </w:tcPr>
          <w:p>
            <w:pPr>
              <w:pStyle w:val="5"/>
              <w:pageBreakBefore w:val="0"/>
              <w:numPr>
                <w:ilvl w:val="1"/>
                <w:numId w:val="0"/>
              </w:numPr>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s="宋体"/>
                <w:b/>
                <w:bCs/>
                <w:color w:val="000000"/>
                <w:kern w:val="0"/>
                <w:sz w:val="20"/>
                <w:szCs w:val="20"/>
                <w:lang w:val="en-US" w:eastAsia="zh-CN" w:bidi="ar"/>
              </w:rPr>
            </w:pPr>
            <w:r>
              <w:rPr>
                <w:rFonts w:hint="eastAsia" w:ascii="宋体" w:hAnsi="宋体" w:eastAsia="宋体" w:cs="宋体"/>
                <w:b/>
                <w:bCs/>
                <w:color w:val="000000"/>
                <w:kern w:val="0"/>
                <w:sz w:val="20"/>
                <w:szCs w:val="20"/>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766" w:type="dxa"/>
          </w:tcPr>
          <w:p>
            <w:pPr>
              <w:pStyle w:val="5"/>
              <w:pageBreakBefore w:val="0"/>
              <w:numPr>
                <w:ilvl w:val="1"/>
                <w:numId w:val="0"/>
              </w:numPr>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s="宋体"/>
                <w:b/>
                <w:bCs/>
                <w:color w:val="000000"/>
                <w:kern w:val="0"/>
                <w:sz w:val="20"/>
                <w:szCs w:val="20"/>
                <w:lang w:val="en-US" w:eastAsia="zh-CN" w:bidi="ar"/>
              </w:rPr>
            </w:pPr>
            <w:r>
              <w:rPr>
                <w:rFonts w:hint="eastAsia" w:ascii="宋体" w:hAnsi="宋体" w:eastAsia="宋体" w:cs="宋体"/>
                <w:b/>
                <w:bCs/>
                <w:color w:val="000000"/>
                <w:kern w:val="0"/>
                <w:sz w:val="20"/>
                <w:szCs w:val="20"/>
                <w:lang w:val="en-US" w:eastAsia="zh-CN" w:bidi="ar"/>
              </w:rPr>
              <w:t>1</w:t>
            </w:r>
          </w:p>
        </w:tc>
        <w:tc>
          <w:tcPr>
            <w:tcW w:w="3604" w:type="dxa"/>
          </w:tcPr>
          <w:p>
            <w:pPr>
              <w:pStyle w:val="5"/>
              <w:pageBreakBefore w:val="0"/>
              <w:numPr>
                <w:ilvl w:val="1"/>
                <w:numId w:val="0"/>
              </w:numPr>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s="宋体"/>
                <w:b/>
                <w:bCs/>
                <w:color w:val="000000"/>
                <w:kern w:val="0"/>
                <w:sz w:val="20"/>
                <w:szCs w:val="20"/>
                <w:lang w:val="en-US" w:eastAsia="zh-CN" w:bidi="ar"/>
              </w:rPr>
            </w:pPr>
          </w:p>
        </w:tc>
        <w:tc>
          <w:tcPr>
            <w:tcW w:w="2733" w:type="dxa"/>
          </w:tcPr>
          <w:p>
            <w:pPr>
              <w:pStyle w:val="5"/>
              <w:pageBreakBefore w:val="0"/>
              <w:numPr>
                <w:ilvl w:val="1"/>
                <w:numId w:val="0"/>
              </w:numPr>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olor w:val="auto"/>
                <w:sz w:val="28"/>
                <w:szCs w:val="28"/>
                <w:vertAlign w:val="baseline"/>
              </w:rPr>
            </w:pPr>
          </w:p>
        </w:tc>
        <w:tc>
          <w:tcPr>
            <w:tcW w:w="1126" w:type="dxa"/>
          </w:tcPr>
          <w:p>
            <w:pPr>
              <w:pStyle w:val="5"/>
              <w:pageBreakBefore w:val="0"/>
              <w:numPr>
                <w:ilvl w:val="1"/>
                <w:numId w:val="0"/>
              </w:numPr>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olor w:val="auto"/>
                <w:sz w:val="28"/>
                <w:szCs w:val="28"/>
                <w:vertAlign w:val="baseline"/>
              </w:rPr>
            </w:pPr>
          </w:p>
        </w:tc>
        <w:tc>
          <w:tcPr>
            <w:tcW w:w="748" w:type="dxa"/>
          </w:tcPr>
          <w:p>
            <w:pPr>
              <w:pStyle w:val="5"/>
              <w:pageBreakBefore w:val="0"/>
              <w:numPr>
                <w:ilvl w:val="1"/>
                <w:numId w:val="0"/>
              </w:numPr>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766" w:type="dxa"/>
          </w:tcPr>
          <w:p>
            <w:pPr>
              <w:pStyle w:val="5"/>
              <w:pageBreakBefore w:val="0"/>
              <w:numPr>
                <w:ilvl w:val="1"/>
                <w:numId w:val="0"/>
              </w:numPr>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s="宋体"/>
                <w:b/>
                <w:bCs/>
                <w:color w:val="000000"/>
                <w:kern w:val="0"/>
                <w:sz w:val="20"/>
                <w:szCs w:val="20"/>
                <w:lang w:val="en-US" w:eastAsia="zh-CN" w:bidi="ar"/>
              </w:rPr>
            </w:pPr>
            <w:r>
              <w:rPr>
                <w:rFonts w:hint="eastAsia" w:ascii="宋体" w:hAnsi="宋体" w:eastAsia="宋体" w:cs="宋体"/>
                <w:b/>
                <w:bCs/>
                <w:color w:val="000000"/>
                <w:kern w:val="0"/>
                <w:sz w:val="20"/>
                <w:szCs w:val="20"/>
                <w:lang w:val="en-US" w:eastAsia="zh-CN" w:bidi="ar"/>
              </w:rPr>
              <w:t>2</w:t>
            </w:r>
          </w:p>
        </w:tc>
        <w:tc>
          <w:tcPr>
            <w:tcW w:w="3604" w:type="dxa"/>
          </w:tcPr>
          <w:p>
            <w:pPr>
              <w:pStyle w:val="5"/>
              <w:pageBreakBefore w:val="0"/>
              <w:numPr>
                <w:ilvl w:val="1"/>
                <w:numId w:val="0"/>
              </w:numPr>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s="宋体"/>
                <w:b/>
                <w:bCs/>
                <w:color w:val="000000"/>
                <w:kern w:val="0"/>
                <w:sz w:val="20"/>
                <w:szCs w:val="20"/>
                <w:lang w:val="en-US" w:eastAsia="zh-CN" w:bidi="ar"/>
              </w:rPr>
            </w:pPr>
          </w:p>
        </w:tc>
        <w:tc>
          <w:tcPr>
            <w:tcW w:w="2733" w:type="dxa"/>
          </w:tcPr>
          <w:p>
            <w:pPr>
              <w:pStyle w:val="5"/>
              <w:pageBreakBefore w:val="0"/>
              <w:numPr>
                <w:ilvl w:val="1"/>
                <w:numId w:val="0"/>
              </w:numPr>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olor w:val="auto"/>
                <w:sz w:val="28"/>
                <w:szCs w:val="28"/>
                <w:vertAlign w:val="baseline"/>
              </w:rPr>
            </w:pPr>
          </w:p>
        </w:tc>
        <w:tc>
          <w:tcPr>
            <w:tcW w:w="1126" w:type="dxa"/>
          </w:tcPr>
          <w:p>
            <w:pPr>
              <w:pStyle w:val="5"/>
              <w:pageBreakBefore w:val="0"/>
              <w:numPr>
                <w:ilvl w:val="1"/>
                <w:numId w:val="0"/>
              </w:numPr>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olor w:val="auto"/>
                <w:sz w:val="28"/>
                <w:szCs w:val="28"/>
                <w:vertAlign w:val="baseline"/>
              </w:rPr>
            </w:pPr>
          </w:p>
        </w:tc>
        <w:tc>
          <w:tcPr>
            <w:tcW w:w="748" w:type="dxa"/>
          </w:tcPr>
          <w:p>
            <w:pPr>
              <w:pStyle w:val="5"/>
              <w:pageBreakBefore w:val="0"/>
              <w:numPr>
                <w:ilvl w:val="1"/>
                <w:numId w:val="0"/>
              </w:numPr>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766" w:type="dxa"/>
          </w:tcPr>
          <w:p>
            <w:pPr>
              <w:pStyle w:val="5"/>
              <w:pageBreakBefore w:val="0"/>
              <w:numPr>
                <w:ilvl w:val="1"/>
                <w:numId w:val="0"/>
              </w:numPr>
              <w:kinsoku/>
              <w:wordWrap/>
              <w:overflowPunct/>
              <w:topLinePunct w:val="0"/>
              <w:autoSpaceDE/>
              <w:autoSpaceDN/>
              <w:bidi w:val="0"/>
              <w:adjustRightInd/>
              <w:snapToGrid/>
              <w:spacing w:before="0" w:beforeLines="0" w:after="0" w:afterLines="0"/>
              <w:jc w:val="center"/>
              <w:textAlignment w:val="auto"/>
              <w:rPr>
                <w:rFonts w:hint="default" w:ascii="宋体" w:hAnsi="宋体" w:eastAsia="宋体" w:cs="宋体"/>
                <w:b/>
                <w:bCs/>
                <w:color w:val="000000"/>
                <w:kern w:val="0"/>
                <w:sz w:val="20"/>
                <w:szCs w:val="20"/>
                <w:lang w:val="en-US" w:eastAsia="zh-CN" w:bidi="ar"/>
              </w:rPr>
            </w:pPr>
            <w:r>
              <w:rPr>
                <w:rFonts w:hint="eastAsia" w:ascii="宋体" w:hAnsi="宋体" w:eastAsia="宋体" w:cs="宋体"/>
                <w:b/>
                <w:bCs/>
                <w:color w:val="000000"/>
                <w:kern w:val="0"/>
                <w:sz w:val="20"/>
                <w:szCs w:val="20"/>
                <w:lang w:val="en-US" w:eastAsia="zh-CN" w:bidi="ar"/>
              </w:rPr>
              <w:t>3</w:t>
            </w:r>
          </w:p>
        </w:tc>
        <w:tc>
          <w:tcPr>
            <w:tcW w:w="3604" w:type="dxa"/>
          </w:tcPr>
          <w:p>
            <w:pPr>
              <w:pStyle w:val="5"/>
              <w:pageBreakBefore w:val="0"/>
              <w:numPr>
                <w:ilvl w:val="1"/>
                <w:numId w:val="0"/>
              </w:numPr>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s="宋体"/>
                <w:b/>
                <w:bCs/>
                <w:color w:val="000000"/>
                <w:kern w:val="0"/>
                <w:sz w:val="20"/>
                <w:szCs w:val="20"/>
                <w:lang w:val="en-US" w:eastAsia="zh-CN" w:bidi="ar"/>
              </w:rPr>
            </w:pPr>
          </w:p>
        </w:tc>
        <w:tc>
          <w:tcPr>
            <w:tcW w:w="2733" w:type="dxa"/>
          </w:tcPr>
          <w:p>
            <w:pPr>
              <w:pStyle w:val="5"/>
              <w:pageBreakBefore w:val="0"/>
              <w:numPr>
                <w:ilvl w:val="1"/>
                <w:numId w:val="0"/>
              </w:numPr>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olor w:val="auto"/>
                <w:sz w:val="28"/>
                <w:szCs w:val="28"/>
                <w:vertAlign w:val="baseline"/>
              </w:rPr>
            </w:pPr>
          </w:p>
        </w:tc>
        <w:tc>
          <w:tcPr>
            <w:tcW w:w="1126" w:type="dxa"/>
          </w:tcPr>
          <w:p>
            <w:pPr>
              <w:pStyle w:val="5"/>
              <w:pageBreakBefore w:val="0"/>
              <w:numPr>
                <w:ilvl w:val="1"/>
                <w:numId w:val="0"/>
              </w:numPr>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olor w:val="auto"/>
                <w:sz w:val="28"/>
                <w:szCs w:val="28"/>
                <w:vertAlign w:val="baseline"/>
              </w:rPr>
            </w:pPr>
          </w:p>
        </w:tc>
        <w:tc>
          <w:tcPr>
            <w:tcW w:w="748" w:type="dxa"/>
          </w:tcPr>
          <w:p>
            <w:pPr>
              <w:pStyle w:val="5"/>
              <w:pageBreakBefore w:val="0"/>
              <w:numPr>
                <w:ilvl w:val="1"/>
                <w:numId w:val="0"/>
              </w:numPr>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766" w:type="dxa"/>
          </w:tcPr>
          <w:p>
            <w:pPr>
              <w:pStyle w:val="5"/>
              <w:pageBreakBefore w:val="0"/>
              <w:numPr>
                <w:ilvl w:val="1"/>
                <w:numId w:val="0"/>
              </w:numPr>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s="宋体"/>
                <w:b/>
                <w:bCs/>
                <w:color w:val="000000"/>
                <w:kern w:val="0"/>
                <w:sz w:val="20"/>
                <w:szCs w:val="20"/>
                <w:lang w:val="en-US" w:eastAsia="zh-CN" w:bidi="ar"/>
              </w:rPr>
            </w:pPr>
            <w:r>
              <w:rPr>
                <w:rFonts w:hint="eastAsia" w:ascii="宋体" w:hAnsi="宋体" w:eastAsia="宋体" w:cs="宋体"/>
                <w:b/>
                <w:bCs/>
                <w:color w:val="000000"/>
                <w:kern w:val="0"/>
                <w:sz w:val="20"/>
                <w:szCs w:val="20"/>
                <w:lang w:val="en-US" w:eastAsia="zh-CN" w:bidi="ar"/>
              </w:rPr>
              <w:t>4</w:t>
            </w:r>
          </w:p>
        </w:tc>
        <w:tc>
          <w:tcPr>
            <w:tcW w:w="3604" w:type="dxa"/>
          </w:tcPr>
          <w:p>
            <w:pPr>
              <w:pStyle w:val="5"/>
              <w:pageBreakBefore w:val="0"/>
              <w:numPr>
                <w:ilvl w:val="1"/>
                <w:numId w:val="0"/>
              </w:numPr>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s="宋体"/>
                <w:b/>
                <w:bCs/>
                <w:color w:val="000000"/>
                <w:kern w:val="0"/>
                <w:sz w:val="20"/>
                <w:szCs w:val="20"/>
                <w:lang w:val="en-US" w:eastAsia="zh-CN" w:bidi="ar"/>
              </w:rPr>
            </w:pPr>
          </w:p>
        </w:tc>
        <w:tc>
          <w:tcPr>
            <w:tcW w:w="2733" w:type="dxa"/>
          </w:tcPr>
          <w:p>
            <w:pPr>
              <w:pStyle w:val="5"/>
              <w:pageBreakBefore w:val="0"/>
              <w:numPr>
                <w:ilvl w:val="1"/>
                <w:numId w:val="0"/>
              </w:numPr>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olor w:val="auto"/>
                <w:sz w:val="28"/>
                <w:szCs w:val="28"/>
                <w:vertAlign w:val="baseline"/>
              </w:rPr>
            </w:pPr>
          </w:p>
        </w:tc>
        <w:tc>
          <w:tcPr>
            <w:tcW w:w="1126" w:type="dxa"/>
          </w:tcPr>
          <w:p>
            <w:pPr>
              <w:pStyle w:val="5"/>
              <w:pageBreakBefore w:val="0"/>
              <w:numPr>
                <w:ilvl w:val="1"/>
                <w:numId w:val="0"/>
              </w:numPr>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olor w:val="auto"/>
                <w:sz w:val="28"/>
                <w:szCs w:val="28"/>
                <w:vertAlign w:val="baseline"/>
              </w:rPr>
            </w:pPr>
          </w:p>
        </w:tc>
        <w:tc>
          <w:tcPr>
            <w:tcW w:w="748" w:type="dxa"/>
          </w:tcPr>
          <w:p>
            <w:pPr>
              <w:pStyle w:val="5"/>
              <w:pageBreakBefore w:val="0"/>
              <w:numPr>
                <w:ilvl w:val="1"/>
                <w:numId w:val="0"/>
              </w:numPr>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766" w:type="dxa"/>
          </w:tcPr>
          <w:p>
            <w:pPr>
              <w:pStyle w:val="5"/>
              <w:pageBreakBefore w:val="0"/>
              <w:numPr>
                <w:ilvl w:val="1"/>
                <w:numId w:val="0"/>
              </w:numPr>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s="宋体"/>
                <w:b/>
                <w:bCs/>
                <w:color w:val="000000"/>
                <w:kern w:val="0"/>
                <w:sz w:val="20"/>
                <w:szCs w:val="20"/>
                <w:lang w:val="en-US" w:eastAsia="zh-CN" w:bidi="ar"/>
              </w:rPr>
            </w:pPr>
            <w:r>
              <w:rPr>
                <w:rFonts w:hint="eastAsia" w:ascii="宋体" w:hAnsi="宋体" w:eastAsia="宋体" w:cs="宋体"/>
                <w:b/>
                <w:bCs/>
                <w:color w:val="000000"/>
                <w:kern w:val="0"/>
                <w:sz w:val="20"/>
                <w:szCs w:val="20"/>
                <w:lang w:val="en-US" w:eastAsia="zh-CN" w:bidi="ar"/>
              </w:rPr>
              <w:t>5</w:t>
            </w:r>
          </w:p>
        </w:tc>
        <w:tc>
          <w:tcPr>
            <w:tcW w:w="3604" w:type="dxa"/>
          </w:tcPr>
          <w:p>
            <w:pPr>
              <w:pStyle w:val="5"/>
              <w:pageBreakBefore w:val="0"/>
              <w:numPr>
                <w:ilvl w:val="1"/>
                <w:numId w:val="0"/>
              </w:numPr>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s="宋体"/>
                <w:b/>
                <w:bCs/>
                <w:color w:val="000000"/>
                <w:kern w:val="0"/>
                <w:sz w:val="20"/>
                <w:szCs w:val="20"/>
                <w:lang w:val="en-US" w:eastAsia="zh-CN" w:bidi="ar"/>
              </w:rPr>
            </w:pPr>
          </w:p>
        </w:tc>
        <w:tc>
          <w:tcPr>
            <w:tcW w:w="2733" w:type="dxa"/>
          </w:tcPr>
          <w:p>
            <w:pPr>
              <w:pStyle w:val="5"/>
              <w:pageBreakBefore w:val="0"/>
              <w:numPr>
                <w:ilvl w:val="1"/>
                <w:numId w:val="0"/>
              </w:numPr>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olor w:val="auto"/>
                <w:sz w:val="28"/>
                <w:szCs w:val="28"/>
                <w:vertAlign w:val="baseline"/>
              </w:rPr>
            </w:pPr>
          </w:p>
        </w:tc>
        <w:tc>
          <w:tcPr>
            <w:tcW w:w="1126" w:type="dxa"/>
          </w:tcPr>
          <w:p>
            <w:pPr>
              <w:pStyle w:val="5"/>
              <w:pageBreakBefore w:val="0"/>
              <w:numPr>
                <w:ilvl w:val="1"/>
                <w:numId w:val="0"/>
              </w:numPr>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olor w:val="auto"/>
                <w:sz w:val="28"/>
                <w:szCs w:val="28"/>
                <w:vertAlign w:val="baseline"/>
              </w:rPr>
            </w:pPr>
          </w:p>
        </w:tc>
        <w:tc>
          <w:tcPr>
            <w:tcW w:w="748" w:type="dxa"/>
          </w:tcPr>
          <w:p>
            <w:pPr>
              <w:pStyle w:val="5"/>
              <w:pageBreakBefore w:val="0"/>
              <w:numPr>
                <w:ilvl w:val="1"/>
                <w:numId w:val="0"/>
              </w:numPr>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766" w:type="dxa"/>
          </w:tcPr>
          <w:p>
            <w:pPr>
              <w:pStyle w:val="5"/>
              <w:pageBreakBefore w:val="0"/>
              <w:numPr>
                <w:ilvl w:val="1"/>
                <w:numId w:val="0"/>
              </w:numPr>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s="宋体"/>
                <w:b/>
                <w:bCs/>
                <w:color w:val="000000"/>
                <w:kern w:val="0"/>
                <w:sz w:val="20"/>
                <w:szCs w:val="20"/>
                <w:lang w:val="en-US" w:eastAsia="zh-CN" w:bidi="ar"/>
              </w:rPr>
            </w:pPr>
            <w:r>
              <w:rPr>
                <w:rFonts w:hint="eastAsia" w:ascii="宋体" w:hAnsi="宋体" w:eastAsia="宋体" w:cs="宋体"/>
                <w:b/>
                <w:bCs/>
                <w:color w:val="000000"/>
                <w:kern w:val="0"/>
                <w:sz w:val="20"/>
                <w:szCs w:val="20"/>
                <w:lang w:val="en-US" w:eastAsia="zh-CN" w:bidi="ar"/>
              </w:rPr>
              <w:t>6</w:t>
            </w:r>
          </w:p>
        </w:tc>
        <w:tc>
          <w:tcPr>
            <w:tcW w:w="3604" w:type="dxa"/>
          </w:tcPr>
          <w:p>
            <w:pPr>
              <w:pStyle w:val="5"/>
              <w:pageBreakBefore w:val="0"/>
              <w:numPr>
                <w:ilvl w:val="1"/>
                <w:numId w:val="0"/>
              </w:numPr>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s="宋体"/>
                <w:b/>
                <w:bCs/>
                <w:color w:val="000000"/>
                <w:kern w:val="0"/>
                <w:sz w:val="20"/>
                <w:szCs w:val="20"/>
                <w:lang w:val="en-US" w:eastAsia="zh-CN" w:bidi="ar"/>
              </w:rPr>
            </w:pPr>
          </w:p>
        </w:tc>
        <w:tc>
          <w:tcPr>
            <w:tcW w:w="2733" w:type="dxa"/>
          </w:tcPr>
          <w:p>
            <w:pPr>
              <w:pStyle w:val="5"/>
              <w:pageBreakBefore w:val="0"/>
              <w:numPr>
                <w:ilvl w:val="1"/>
                <w:numId w:val="0"/>
              </w:numPr>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olor w:val="auto"/>
                <w:sz w:val="28"/>
                <w:szCs w:val="28"/>
                <w:vertAlign w:val="baseline"/>
              </w:rPr>
            </w:pPr>
          </w:p>
        </w:tc>
        <w:tc>
          <w:tcPr>
            <w:tcW w:w="1126" w:type="dxa"/>
          </w:tcPr>
          <w:p>
            <w:pPr>
              <w:pStyle w:val="5"/>
              <w:pageBreakBefore w:val="0"/>
              <w:numPr>
                <w:ilvl w:val="1"/>
                <w:numId w:val="0"/>
              </w:numPr>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olor w:val="auto"/>
                <w:sz w:val="28"/>
                <w:szCs w:val="28"/>
                <w:vertAlign w:val="baseline"/>
              </w:rPr>
            </w:pPr>
          </w:p>
        </w:tc>
        <w:tc>
          <w:tcPr>
            <w:tcW w:w="748" w:type="dxa"/>
          </w:tcPr>
          <w:p>
            <w:pPr>
              <w:pStyle w:val="5"/>
              <w:pageBreakBefore w:val="0"/>
              <w:numPr>
                <w:ilvl w:val="1"/>
                <w:numId w:val="0"/>
              </w:numPr>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766" w:type="dxa"/>
          </w:tcPr>
          <w:p>
            <w:pPr>
              <w:pStyle w:val="5"/>
              <w:pageBreakBefore w:val="0"/>
              <w:numPr>
                <w:ilvl w:val="1"/>
                <w:numId w:val="0"/>
              </w:numPr>
              <w:kinsoku/>
              <w:wordWrap/>
              <w:overflowPunct/>
              <w:topLinePunct w:val="0"/>
              <w:autoSpaceDE/>
              <w:autoSpaceDN/>
              <w:bidi w:val="0"/>
              <w:adjustRightInd/>
              <w:snapToGrid/>
              <w:spacing w:before="0" w:beforeLines="0" w:after="0" w:afterLines="0"/>
              <w:jc w:val="center"/>
              <w:textAlignment w:val="auto"/>
              <w:rPr>
                <w:rFonts w:hint="default" w:ascii="宋体" w:hAnsi="宋体" w:eastAsia="宋体" w:cs="宋体"/>
                <w:b/>
                <w:bCs/>
                <w:color w:val="000000"/>
                <w:kern w:val="0"/>
                <w:sz w:val="20"/>
                <w:szCs w:val="20"/>
                <w:lang w:val="en-US" w:eastAsia="zh-CN" w:bidi="ar"/>
              </w:rPr>
            </w:pPr>
            <w:r>
              <w:rPr>
                <w:rFonts w:hint="eastAsia" w:ascii="宋体" w:hAnsi="宋体" w:eastAsia="宋体" w:cs="宋体"/>
                <w:b/>
                <w:bCs/>
                <w:color w:val="000000"/>
                <w:kern w:val="0"/>
                <w:sz w:val="20"/>
                <w:szCs w:val="20"/>
                <w:lang w:val="en-US" w:eastAsia="zh-CN" w:bidi="ar"/>
              </w:rPr>
              <w:t>...</w:t>
            </w:r>
          </w:p>
        </w:tc>
        <w:tc>
          <w:tcPr>
            <w:tcW w:w="3604" w:type="dxa"/>
          </w:tcPr>
          <w:p>
            <w:pPr>
              <w:pStyle w:val="5"/>
              <w:pageBreakBefore w:val="0"/>
              <w:numPr>
                <w:ilvl w:val="1"/>
                <w:numId w:val="0"/>
              </w:numPr>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s="宋体"/>
                <w:b/>
                <w:bCs/>
                <w:color w:val="000000"/>
                <w:kern w:val="0"/>
                <w:sz w:val="20"/>
                <w:szCs w:val="20"/>
                <w:lang w:val="en-US" w:eastAsia="zh-CN" w:bidi="ar"/>
              </w:rPr>
            </w:pPr>
          </w:p>
        </w:tc>
        <w:tc>
          <w:tcPr>
            <w:tcW w:w="2733" w:type="dxa"/>
          </w:tcPr>
          <w:p>
            <w:pPr>
              <w:pStyle w:val="5"/>
              <w:pageBreakBefore w:val="0"/>
              <w:numPr>
                <w:ilvl w:val="1"/>
                <w:numId w:val="0"/>
              </w:numPr>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olor w:val="auto"/>
                <w:sz w:val="28"/>
                <w:szCs w:val="28"/>
                <w:vertAlign w:val="baseline"/>
              </w:rPr>
            </w:pPr>
          </w:p>
        </w:tc>
        <w:tc>
          <w:tcPr>
            <w:tcW w:w="1126" w:type="dxa"/>
          </w:tcPr>
          <w:p>
            <w:pPr>
              <w:pStyle w:val="5"/>
              <w:pageBreakBefore w:val="0"/>
              <w:numPr>
                <w:ilvl w:val="1"/>
                <w:numId w:val="0"/>
              </w:numPr>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olor w:val="auto"/>
                <w:sz w:val="28"/>
                <w:szCs w:val="28"/>
                <w:vertAlign w:val="baseline"/>
              </w:rPr>
            </w:pPr>
          </w:p>
        </w:tc>
        <w:tc>
          <w:tcPr>
            <w:tcW w:w="748" w:type="dxa"/>
          </w:tcPr>
          <w:p>
            <w:pPr>
              <w:pStyle w:val="5"/>
              <w:pageBreakBefore w:val="0"/>
              <w:numPr>
                <w:ilvl w:val="1"/>
                <w:numId w:val="0"/>
              </w:numPr>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olor w:val="auto"/>
                <w:sz w:val="28"/>
                <w:szCs w:val="28"/>
                <w:vertAlign w:val="baseline"/>
              </w:rPr>
            </w:pPr>
          </w:p>
        </w:tc>
      </w:tr>
    </w:tbl>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注：1、供应商可根据本磋商文件中商务要求编制此表，在此表中客观真实的做出响应及</w:t>
      </w:r>
      <w:r>
        <w:rPr>
          <w:rFonts w:hint="eastAsia" w:ascii="宋体" w:hAnsi="宋体" w:eastAsia="宋体" w:cs="宋体"/>
          <w:b/>
          <w:bCs/>
          <w:color w:val="000000"/>
          <w:kern w:val="0"/>
          <w:sz w:val="20"/>
          <w:szCs w:val="20"/>
          <w:lang w:val="en-US" w:eastAsia="zh-CN" w:bidi="ar"/>
        </w:rPr>
        <w:t>偏差描述</w:t>
      </w:r>
      <w:r>
        <w:rPr>
          <w:rFonts w:hint="eastAsia" w:ascii="宋体" w:hAnsi="宋体" w:eastAsia="宋体" w:cs="宋体"/>
          <w:color w:val="000000"/>
          <w:kern w:val="0"/>
          <w:sz w:val="20"/>
          <w:szCs w:val="20"/>
          <w:lang w:val="en-US" w:eastAsia="zh-CN" w:bidi="ar"/>
        </w:rPr>
        <w:t xml:space="preserve">， </w:t>
      </w:r>
    </w:p>
    <w:p>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并根据情况在偏离情况中填写“无偏离”“负偏离”“正偏离”。</w:t>
      </w:r>
    </w:p>
    <w:p>
      <w:pPr>
        <w:pStyle w:val="5"/>
        <w:numPr>
          <w:ilvl w:val="1"/>
          <w:numId w:val="0"/>
        </w:numPr>
        <w:ind w:leftChars="0"/>
        <w:rPr>
          <w:rFonts w:hint="eastAsia"/>
        </w:rPr>
      </w:pPr>
    </w:p>
    <w:p>
      <w:pPr>
        <w:keepNext w:val="0"/>
        <w:keepLines w:val="0"/>
        <w:widowControl/>
        <w:suppressLineNumbers w:val="0"/>
        <w:spacing w:line="360" w:lineRule="auto"/>
        <w:jc w:val="right"/>
        <w:rPr>
          <w:b w:val="0"/>
          <w:bCs w:val="0"/>
          <w:sz w:val="21"/>
          <w:szCs w:val="21"/>
        </w:rPr>
      </w:pPr>
      <w:r>
        <w:rPr>
          <w:rFonts w:hint="eastAsia" w:ascii="宋体" w:hAnsi="宋体" w:eastAsia="宋体" w:cs="宋体"/>
          <w:b w:val="0"/>
          <w:bCs w:val="0"/>
          <w:color w:val="000000"/>
          <w:kern w:val="0"/>
          <w:sz w:val="21"/>
          <w:szCs w:val="21"/>
          <w:lang w:val="en-US" w:eastAsia="zh-CN" w:bidi="ar"/>
        </w:rPr>
        <w:t xml:space="preserve">供应商（单位电子签章）： </w:t>
      </w:r>
    </w:p>
    <w:p>
      <w:pPr>
        <w:keepNext w:val="0"/>
        <w:keepLines w:val="0"/>
        <w:widowControl/>
        <w:suppressLineNumbers w:val="0"/>
        <w:spacing w:line="360" w:lineRule="auto"/>
        <w:jc w:val="right"/>
        <w:rPr>
          <w:b w:val="0"/>
          <w:bCs w:val="0"/>
          <w:sz w:val="21"/>
          <w:szCs w:val="21"/>
        </w:rPr>
      </w:pPr>
      <w:r>
        <w:rPr>
          <w:rFonts w:hint="eastAsia" w:ascii="宋体" w:hAnsi="宋体" w:eastAsia="宋体" w:cs="宋体"/>
          <w:b w:val="0"/>
          <w:bCs w:val="0"/>
          <w:color w:val="000000"/>
          <w:kern w:val="0"/>
          <w:sz w:val="21"/>
          <w:szCs w:val="21"/>
          <w:lang w:val="en-US" w:eastAsia="zh-CN" w:bidi="ar"/>
        </w:rPr>
        <w:t xml:space="preserve">法定代表人或其委托代理人（签字或盖章）： </w:t>
      </w:r>
    </w:p>
    <w:p>
      <w:pPr>
        <w:keepNext w:val="0"/>
        <w:keepLines w:val="0"/>
        <w:widowControl/>
        <w:suppressLineNumbers w:val="0"/>
        <w:spacing w:line="360" w:lineRule="auto"/>
        <w:jc w:val="right"/>
        <w:rPr>
          <w:b w:val="0"/>
          <w:bCs w:val="0"/>
          <w:sz w:val="21"/>
          <w:szCs w:val="21"/>
        </w:rPr>
      </w:pPr>
      <w:r>
        <w:rPr>
          <w:rFonts w:hint="eastAsia" w:ascii="宋体" w:hAnsi="宋体" w:eastAsia="宋体" w:cs="宋体"/>
          <w:b w:val="0"/>
          <w:bCs w:val="0"/>
          <w:color w:val="000000"/>
          <w:kern w:val="0"/>
          <w:sz w:val="21"/>
          <w:szCs w:val="21"/>
          <w:lang w:val="en-US" w:eastAsia="zh-CN" w:bidi="ar"/>
        </w:rPr>
        <w:t>日 期：  年  月  日</w:t>
      </w:r>
    </w:p>
    <w:p>
      <w:pPr>
        <w:pStyle w:val="5"/>
        <w:numPr>
          <w:ilvl w:val="1"/>
          <w:numId w:val="0"/>
        </w:numPr>
        <w:jc w:val="center"/>
        <w:rPr>
          <w:rFonts w:hint="eastAsia" w:ascii="宋体" w:hAnsi="宋体" w:eastAsia="宋体"/>
          <w:color w:val="auto"/>
          <w:sz w:val="28"/>
          <w:szCs w:val="28"/>
          <w:lang w:val="en-US" w:eastAsia="zh-CN"/>
        </w:rPr>
      </w:pPr>
    </w:p>
    <w:p>
      <w:pPr>
        <w:rPr>
          <w:rFonts w:hint="eastAsia" w:ascii="宋体" w:hAnsi="宋体" w:eastAsia="宋体"/>
          <w:color w:val="auto"/>
          <w:sz w:val="28"/>
          <w:szCs w:val="28"/>
          <w:lang w:val="en-US" w:eastAsia="zh-CN"/>
        </w:rPr>
      </w:pPr>
    </w:p>
    <w:p>
      <w:pPr>
        <w:keepNext w:val="0"/>
        <w:keepLines w:val="0"/>
        <w:widowControl/>
        <w:suppressLineNumbers w:val="0"/>
        <w:jc w:val="center"/>
      </w:pPr>
      <w:r>
        <w:rPr>
          <w:rFonts w:hint="eastAsia" w:ascii="宋体" w:hAnsi="宋体" w:eastAsia="宋体" w:cs="宋体"/>
          <w:b/>
          <w:bCs/>
          <w:color w:val="000000"/>
          <w:kern w:val="0"/>
          <w:sz w:val="24"/>
          <w:szCs w:val="24"/>
          <w:lang w:val="en-US" w:eastAsia="zh-CN" w:bidi="ar"/>
        </w:rPr>
        <w:t>（二）技术偏差表</w:t>
      </w:r>
    </w:p>
    <w:tbl>
      <w:tblPr>
        <w:tblStyle w:val="49"/>
        <w:tblW w:w="89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3604"/>
        <w:gridCol w:w="2733"/>
        <w:gridCol w:w="1126"/>
        <w:gridCol w:w="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766" w:type="dxa"/>
            <w:vAlign w:val="center"/>
          </w:tcPr>
          <w:p>
            <w:pPr>
              <w:pStyle w:val="5"/>
              <w:pageBreakBefore w:val="0"/>
              <w:numPr>
                <w:ilvl w:val="1"/>
                <w:numId w:val="0"/>
              </w:numPr>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s="宋体"/>
                <w:b/>
                <w:bCs/>
                <w:color w:val="000000"/>
                <w:kern w:val="0"/>
                <w:sz w:val="20"/>
                <w:szCs w:val="20"/>
                <w:lang w:val="en-US" w:eastAsia="zh-CN" w:bidi="ar"/>
              </w:rPr>
            </w:pPr>
            <w:r>
              <w:rPr>
                <w:rFonts w:hint="eastAsia" w:ascii="宋体" w:hAnsi="宋体" w:eastAsia="宋体" w:cs="宋体"/>
                <w:b/>
                <w:bCs/>
                <w:color w:val="000000"/>
                <w:kern w:val="0"/>
                <w:sz w:val="20"/>
                <w:szCs w:val="20"/>
                <w:lang w:val="en-US" w:eastAsia="zh-CN" w:bidi="ar"/>
              </w:rPr>
              <w:t>序号</w:t>
            </w:r>
          </w:p>
        </w:tc>
        <w:tc>
          <w:tcPr>
            <w:tcW w:w="3604" w:type="dxa"/>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bCs/>
                <w:color w:val="000000"/>
                <w:kern w:val="0"/>
                <w:sz w:val="20"/>
                <w:szCs w:val="20"/>
                <w:lang w:val="en-US" w:eastAsia="zh-CN" w:bidi="ar"/>
              </w:rPr>
            </w:pPr>
            <w:r>
              <w:rPr>
                <w:rFonts w:hint="eastAsia" w:ascii="宋体" w:hAnsi="宋体" w:eastAsia="宋体" w:cs="宋体"/>
                <w:b/>
                <w:bCs/>
                <w:color w:val="000000"/>
                <w:kern w:val="0"/>
                <w:sz w:val="20"/>
                <w:szCs w:val="20"/>
                <w:lang w:val="en-US" w:eastAsia="zh-CN" w:bidi="ar"/>
              </w:rPr>
              <w:t>竞争性磋商文件要求</w:t>
            </w:r>
          </w:p>
        </w:tc>
        <w:tc>
          <w:tcPr>
            <w:tcW w:w="2733" w:type="dxa"/>
            <w:vAlign w:val="center"/>
          </w:tcPr>
          <w:p>
            <w:pPr>
              <w:pStyle w:val="5"/>
              <w:pageBreakBefore w:val="0"/>
              <w:numPr>
                <w:ilvl w:val="1"/>
                <w:numId w:val="0"/>
              </w:numPr>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s="宋体"/>
                <w:b/>
                <w:bCs/>
                <w:color w:val="000000"/>
                <w:kern w:val="0"/>
                <w:sz w:val="20"/>
                <w:szCs w:val="20"/>
                <w:lang w:val="en-US" w:eastAsia="zh-CN" w:bidi="ar"/>
              </w:rPr>
            </w:pPr>
            <w:r>
              <w:rPr>
                <w:rFonts w:hint="eastAsia" w:ascii="宋体" w:hAnsi="宋体" w:eastAsia="宋体" w:cs="宋体"/>
                <w:b/>
                <w:bCs/>
                <w:color w:val="000000"/>
                <w:kern w:val="0"/>
                <w:sz w:val="20"/>
                <w:szCs w:val="20"/>
                <w:lang w:val="en-US" w:eastAsia="zh-CN" w:bidi="ar"/>
              </w:rPr>
              <w:t>响应文件要求</w:t>
            </w:r>
          </w:p>
        </w:tc>
        <w:tc>
          <w:tcPr>
            <w:tcW w:w="1126" w:type="dxa"/>
            <w:vAlign w:val="center"/>
          </w:tcPr>
          <w:p>
            <w:pPr>
              <w:pStyle w:val="5"/>
              <w:pageBreakBefore w:val="0"/>
              <w:numPr>
                <w:ilvl w:val="1"/>
                <w:numId w:val="0"/>
              </w:numPr>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s="宋体"/>
                <w:b/>
                <w:bCs/>
                <w:color w:val="000000"/>
                <w:kern w:val="0"/>
                <w:sz w:val="20"/>
                <w:szCs w:val="20"/>
                <w:lang w:val="en-US" w:eastAsia="zh-CN" w:bidi="ar"/>
              </w:rPr>
            </w:pPr>
            <w:r>
              <w:rPr>
                <w:rFonts w:hint="eastAsia" w:ascii="宋体" w:hAnsi="宋体" w:eastAsia="宋体" w:cs="宋体"/>
                <w:b/>
                <w:bCs/>
                <w:color w:val="000000"/>
                <w:kern w:val="0"/>
                <w:sz w:val="20"/>
                <w:szCs w:val="20"/>
                <w:lang w:val="en-US" w:eastAsia="zh-CN" w:bidi="ar"/>
              </w:rPr>
              <w:t>偏差描述</w:t>
            </w:r>
          </w:p>
        </w:tc>
        <w:tc>
          <w:tcPr>
            <w:tcW w:w="748" w:type="dxa"/>
            <w:vAlign w:val="center"/>
          </w:tcPr>
          <w:p>
            <w:pPr>
              <w:pStyle w:val="5"/>
              <w:pageBreakBefore w:val="0"/>
              <w:numPr>
                <w:ilvl w:val="1"/>
                <w:numId w:val="0"/>
              </w:numPr>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s="宋体"/>
                <w:b/>
                <w:bCs/>
                <w:color w:val="000000"/>
                <w:kern w:val="0"/>
                <w:sz w:val="20"/>
                <w:szCs w:val="20"/>
                <w:lang w:val="en-US" w:eastAsia="zh-CN" w:bidi="ar"/>
              </w:rPr>
            </w:pPr>
            <w:r>
              <w:rPr>
                <w:rFonts w:hint="eastAsia" w:ascii="宋体" w:hAnsi="宋体" w:eastAsia="宋体" w:cs="宋体"/>
                <w:b/>
                <w:bCs/>
                <w:color w:val="000000"/>
                <w:kern w:val="0"/>
                <w:sz w:val="20"/>
                <w:szCs w:val="20"/>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766" w:type="dxa"/>
          </w:tcPr>
          <w:p>
            <w:pPr>
              <w:pStyle w:val="5"/>
              <w:pageBreakBefore w:val="0"/>
              <w:numPr>
                <w:ilvl w:val="1"/>
                <w:numId w:val="0"/>
              </w:numPr>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s="宋体"/>
                <w:b/>
                <w:bCs/>
                <w:color w:val="000000"/>
                <w:kern w:val="0"/>
                <w:sz w:val="20"/>
                <w:szCs w:val="20"/>
                <w:lang w:val="en-US" w:eastAsia="zh-CN" w:bidi="ar"/>
              </w:rPr>
            </w:pPr>
            <w:r>
              <w:rPr>
                <w:rFonts w:hint="eastAsia" w:ascii="宋体" w:hAnsi="宋体" w:eastAsia="宋体" w:cs="宋体"/>
                <w:b/>
                <w:bCs/>
                <w:color w:val="000000"/>
                <w:kern w:val="0"/>
                <w:sz w:val="20"/>
                <w:szCs w:val="20"/>
                <w:lang w:val="en-US" w:eastAsia="zh-CN" w:bidi="ar"/>
              </w:rPr>
              <w:t>1</w:t>
            </w:r>
          </w:p>
        </w:tc>
        <w:tc>
          <w:tcPr>
            <w:tcW w:w="3604" w:type="dxa"/>
          </w:tcPr>
          <w:p>
            <w:pPr>
              <w:pStyle w:val="5"/>
              <w:pageBreakBefore w:val="0"/>
              <w:numPr>
                <w:ilvl w:val="1"/>
                <w:numId w:val="0"/>
              </w:numPr>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s="宋体"/>
                <w:b/>
                <w:bCs/>
                <w:color w:val="000000"/>
                <w:kern w:val="0"/>
                <w:sz w:val="20"/>
                <w:szCs w:val="20"/>
                <w:lang w:val="en-US" w:eastAsia="zh-CN" w:bidi="ar"/>
              </w:rPr>
            </w:pPr>
          </w:p>
        </w:tc>
        <w:tc>
          <w:tcPr>
            <w:tcW w:w="2733" w:type="dxa"/>
          </w:tcPr>
          <w:p>
            <w:pPr>
              <w:pStyle w:val="5"/>
              <w:pageBreakBefore w:val="0"/>
              <w:numPr>
                <w:ilvl w:val="1"/>
                <w:numId w:val="0"/>
              </w:numPr>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olor w:val="auto"/>
                <w:sz w:val="28"/>
                <w:szCs w:val="28"/>
                <w:vertAlign w:val="baseline"/>
              </w:rPr>
            </w:pPr>
          </w:p>
        </w:tc>
        <w:tc>
          <w:tcPr>
            <w:tcW w:w="1126" w:type="dxa"/>
          </w:tcPr>
          <w:p>
            <w:pPr>
              <w:pStyle w:val="5"/>
              <w:pageBreakBefore w:val="0"/>
              <w:numPr>
                <w:ilvl w:val="1"/>
                <w:numId w:val="0"/>
              </w:numPr>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olor w:val="auto"/>
                <w:sz w:val="28"/>
                <w:szCs w:val="28"/>
                <w:vertAlign w:val="baseline"/>
              </w:rPr>
            </w:pPr>
          </w:p>
        </w:tc>
        <w:tc>
          <w:tcPr>
            <w:tcW w:w="748" w:type="dxa"/>
          </w:tcPr>
          <w:p>
            <w:pPr>
              <w:pStyle w:val="5"/>
              <w:pageBreakBefore w:val="0"/>
              <w:numPr>
                <w:ilvl w:val="1"/>
                <w:numId w:val="0"/>
              </w:numPr>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766" w:type="dxa"/>
          </w:tcPr>
          <w:p>
            <w:pPr>
              <w:pStyle w:val="5"/>
              <w:pageBreakBefore w:val="0"/>
              <w:numPr>
                <w:ilvl w:val="1"/>
                <w:numId w:val="0"/>
              </w:numPr>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s="宋体"/>
                <w:b/>
                <w:bCs/>
                <w:color w:val="000000"/>
                <w:kern w:val="0"/>
                <w:sz w:val="20"/>
                <w:szCs w:val="20"/>
                <w:lang w:val="en-US" w:eastAsia="zh-CN" w:bidi="ar"/>
              </w:rPr>
            </w:pPr>
            <w:r>
              <w:rPr>
                <w:rFonts w:hint="eastAsia" w:ascii="宋体" w:hAnsi="宋体" w:eastAsia="宋体" w:cs="宋体"/>
                <w:b/>
                <w:bCs/>
                <w:color w:val="000000"/>
                <w:kern w:val="0"/>
                <w:sz w:val="20"/>
                <w:szCs w:val="20"/>
                <w:lang w:val="en-US" w:eastAsia="zh-CN" w:bidi="ar"/>
              </w:rPr>
              <w:t>2</w:t>
            </w:r>
          </w:p>
        </w:tc>
        <w:tc>
          <w:tcPr>
            <w:tcW w:w="3604" w:type="dxa"/>
          </w:tcPr>
          <w:p>
            <w:pPr>
              <w:pStyle w:val="5"/>
              <w:pageBreakBefore w:val="0"/>
              <w:numPr>
                <w:ilvl w:val="1"/>
                <w:numId w:val="0"/>
              </w:numPr>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s="宋体"/>
                <w:b/>
                <w:bCs/>
                <w:color w:val="000000"/>
                <w:kern w:val="0"/>
                <w:sz w:val="20"/>
                <w:szCs w:val="20"/>
                <w:lang w:val="en-US" w:eastAsia="zh-CN" w:bidi="ar"/>
              </w:rPr>
            </w:pPr>
          </w:p>
        </w:tc>
        <w:tc>
          <w:tcPr>
            <w:tcW w:w="2733" w:type="dxa"/>
          </w:tcPr>
          <w:p>
            <w:pPr>
              <w:pStyle w:val="5"/>
              <w:pageBreakBefore w:val="0"/>
              <w:numPr>
                <w:ilvl w:val="1"/>
                <w:numId w:val="0"/>
              </w:numPr>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olor w:val="auto"/>
                <w:sz w:val="28"/>
                <w:szCs w:val="28"/>
                <w:vertAlign w:val="baseline"/>
              </w:rPr>
            </w:pPr>
          </w:p>
        </w:tc>
        <w:tc>
          <w:tcPr>
            <w:tcW w:w="1126" w:type="dxa"/>
          </w:tcPr>
          <w:p>
            <w:pPr>
              <w:pStyle w:val="5"/>
              <w:pageBreakBefore w:val="0"/>
              <w:numPr>
                <w:ilvl w:val="1"/>
                <w:numId w:val="0"/>
              </w:numPr>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olor w:val="auto"/>
                <w:sz w:val="28"/>
                <w:szCs w:val="28"/>
                <w:vertAlign w:val="baseline"/>
              </w:rPr>
            </w:pPr>
          </w:p>
        </w:tc>
        <w:tc>
          <w:tcPr>
            <w:tcW w:w="748" w:type="dxa"/>
          </w:tcPr>
          <w:p>
            <w:pPr>
              <w:pStyle w:val="5"/>
              <w:pageBreakBefore w:val="0"/>
              <w:numPr>
                <w:ilvl w:val="1"/>
                <w:numId w:val="0"/>
              </w:numPr>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766" w:type="dxa"/>
          </w:tcPr>
          <w:p>
            <w:pPr>
              <w:pStyle w:val="5"/>
              <w:pageBreakBefore w:val="0"/>
              <w:numPr>
                <w:ilvl w:val="1"/>
                <w:numId w:val="0"/>
              </w:numPr>
              <w:kinsoku/>
              <w:wordWrap/>
              <w:overflowPunct/>
              <w:topLinePunct w:val="0"/>
              <w:autoSpaceDE/>
              <w:autoSpaceDN/>
              <w:bidi w:val="0"/>
              <w:adjustRightInd/>
              <w:snapToGrid/>
              <w:spacing w:before="0" w:beforeLines="0" w:after="0" w:afterLines="0"/>
              <w:jc w:val="center"/>
              <w:textAlignment w:val="auto"/>
              <w:rPr>
                <w:rFonts w:hint="default" w:ascii="宋体" w:hAnsi="宋体" w:eastAsia="宋体" w:cs="宋体"/>
                <w:b/>
                <w:bCs/>
                <w:color w:val="000000"/>
                <w:kern w:val="0"/>
                <w:sz w:val="20"/>
                <w:szCs w:val="20"/>
                <w:lang w:val="en-US" w:eastAsia="zh-CN" w:bidi="ar"/>
              </w:rPr>
            </w:pPr>
            <w:r>
              <w:rPr>
                <w:rFonts w:hint="eastAsia" w:ascii="宋体" w:hAnsi="宋体" w:eastAsia="宋体" w:cs="宋体"/>
                <w:b/>
                <w:bCs/>
                <w:color w:val="000000"/>
                <w:kern w:val="0"/>
                <w:sz w:val="20"/>
                <w:szCs w:val="20"/>
                <w:lang w:val="en-US" w:eastAsia="zh-CN" w:bidi="ar"/>
              </w:rPr>
              <w:t>3</w:t>
            </w:r>
          </w:p>
        </w:tc>
        <w:tc>
          <w:tcPr>
            <w:tcW w:w="3604" w:type="dxa"/>
          </w:tcPr>
          <w:p>
            <w:pPr>
              <w:pStyle w:val="5"/>
              <w:pageBreakBefore w:val="0"/>
              <w:numPr>
                <w:ilvl w:val="1"/>
                <w:numId w:val="0"/>
              </w:numPr>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s="宋体"/>
                <w:b/>
                <w:bCs/>
                <w:color w:val="000000"/>
                <w:kern w:val="0"/>
                <w:sz w:val="20"/>
                <w:szCs w:val="20"/>
                <w:lang w:val="en-US" w:eastAsia="zh-CN" w:bidi="ar"/>
              </w:rPr>
            </w:pPr>
          </w:p>
        </w:tc>
        <w:tc>
          <w:tcPr>
            <w:tcW w:w="2733" w:type="dxa"/>
          </w:tcPr>
          <w:p>
            <w:pPr>
              <w:pStyle w:val="5"/>
              <w:pageBreakBefore w:val="0"/>
              <w:numPr>
                <w:ilvl w:val="1"/>
                <w:numId w:val="0"/>
              </w:numPr>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olor w:val="auto"/>
                <w:sz w:val="28"/>
                <w:szCs w:val="28"/>
                <w:vertAlign w:val="baseline"/>
              </w:rPr>
            </w:pPr>
          </w:p>
        </w:tc>
        <w:tc>
          <w:tcPr>
            <w:tcW w:w="1126" w:type="dxa"/>
          </w:tcPr>
          <w:p>
            <w:pPr>
              <w:pStyle w:val="5"/>
              <w:pageBreakBefore w:val="0"/>
              <w:numPr>
                <w:ilvl w:val="1"/>
                <w:numId w:val="0"/>
              </w:numPr>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olor w:val="auto"/>
                <w:sz w:val="28"/>
                <w:szCs w:val="28"/>
                <w:vertAlign w:val="baseline"/>
              </w:rPr>
            </w:pPr>
          </w:p>
        </w:tc>
        <w:tc>
          <w:tcPr>
            <w:tcW w:w="748" w:type="dxa"/>
          </w:tcPr>
          <w:p>
            <w:pPr>
              <w:pStyle w:val="5"/>
              <w:pageBreakBefore w:val="0"/>
              <w:numPr>
                <w:ilvl w:val="1"/>
                <w:numId w:val="0"/>
              </w:numPr>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766" w:type="dxa"/>
          </w:tcPr>
          <w:p>
            <w:pPr>
              <w:pStyle w:val="5"/>
              <w:pageBreakBefore w:val="0"/>
              <w:numPr>
                <w:ilvl w:val="1"/>
                <w:numId w:val="0"/>
              </w:numPr>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s="宋体"/>
                <w:b/>
                <w:bCs/>
                <w:color w:val="000000"/>
                <w:kern w:val="0"/>
                <w:sz w:val="20"/>
                <w:szCs w:val="20"/>
                <w:lang w:val="en-US" w:eastAsia="zh-CN" w:bidi="ar"/>
              </w:rPr>
            </w:pPr>
            <w:r>
              <w:rPr>
                <w:rFonts w:hint="eastAsia" w:ascii="宋体" w:hAnsi="宋体" w:eastAsia="宋体" w:cs="宋体"/>
                <w:b/>
                <w:bCs/>
                <w:color w:val="000000"/>
                <w:kern w:val="0"/>
                <w:sz w:val="20"/>
                <w:szCs w:val="20"/>
                <w:lang w:val="en-US" w:eastAsia="zh-CN" w:bidi="ar"/>
              </w:rPr>
              <w:t>4</w:t>
            </w:r>
          </w:p>
        </w:tc>
        <w:tc>
          <w:tcPr>
            <w:tcW w:w="3604" w:type="dxa"/>
          </w:tcPr>
          <w:p>
            <w:pPr>
              <w:pStyle w:val="5"/>
              <w:pageBreakBefore w:val="0"/>
              <w:numPr>
                <w:ilvl w:val="1"/>
                <w:numId w:val="0"/>
              </w:numPr>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s="宋体"/>
                <w:b/>
                <w:bCs/>
                <w:color w:val="000000"/>
                <w:kern w:val="0"/>
                <w:sz w:val="20"/>
                <w:szCs w:val="20"/>
                <w:lang w:val="en-US" w:eastAsia="zh-CN" w:bidi="ar"/>
              </w:rPr>
            </w:pPr>
          </w:p>
        </w:tc>
        <w:tc>
          <w:tcPr>
            <w:tcW w:w="2733" w:type="dxa"/>
          </w:tcPr>
          <w:p>
            <w:pPr>
              <w:pStyle w:val="5"/>
              <w:pageBreakBefore w:val="0"/>
              <w:numPr>
                <w:ilvl w:val="1"/>
                <w:numId w:val="0"/>
              </w:numPr>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olor w:val="auto"/>
                <w:sz w:val="28"/>
                <w:szCs w:val="28"/>
                <w:vertAlign w:val="baseline"/>
              </w:rPr>
            </w:pPr>
          </w:p>
        </w:tc>
        <w:tc>
          <w:tcPr>
            <w:tcW w:w="1126" w:type="dxa"/>
          </w:tcPr>
          <w:p>
            <w:pPr>
              <w:pStyle w:val="5"/>
              <w:pageBreakBefore w:val="0"/>
              <w:numPr>
                <w:ilvl w:val="1"/>
                <w:numId w:val="0"/>
              </w:numPr>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olor w:val="auto"/>
                <w:sz w:val="28"/>
                <w:szCs w:val="28"/>
                <w:vertAlign w:val="baseline"/>
              </w:rPr>
            </w:pPr>
          </w:p>
        </w:tc>
        <w:tc>
          <w:tcPr>
            <w:tcW w:w="748" w:type="dxa"/>
          </w:tcPr>
          <w:p>
            <w:pPr>
              <w:pStyle w:val="5"/>
              <w:pageBreakBefore w:val="0"/>
              <w:numPr>
                <w:ilvl w:val="1"/>
                <w:numId w:val="0"/>
              </w:numPr>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766" w:type="dxa"/>
          </w:tcPr>
          <w:p>
            <w:pPr>
              <w:pStyle w:val="5"/>
              <w:pageBreakBefore w:val="0"/>
              <w:numPr>
                <w:ilvl w:val="1"/>
                <w:numId w:val="0"/>
              </w:numPr>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s="宋体"/>
                <w:b/>
                <w:bCs/>
                <w:color w:val="000000"/>
                <w:kern w:val="0"/>
                <w:sz w:val="20"/>
                <w:szCs w:val="20"/>
                <w:lang w:val="en-US" w:eastAsia="zh-CN" w:bidi="ar"/>
              </w:rPr>
            </w:pPr>
            <w:r>
              <w:rPr>
                <w:rFonts w:hint="eastAsia" w:ascii="宋体" w:hAnsi="宋体" w:eastAsia="宋体" w:cs="宋体"/>
                <w:b/>
                <w:bCs/>
                <w:color w:val="000000"/>
                <w:kern w:val="0"/>
                <w:sz w:val="20"/>
                <w:szCs w:val="20"/>
                <w:lang w:val="en-US" w:eastAsia="zh-CN" w:bidi="ar"/>
              </w:rPr>
              <w:t>5</w:t>
            </w:r>
          </w:p>
        </w:tc>
        <w:tc>
          <w:tcPr>
            <w:tcW w:w="3604" w:type="dxa"/>
          </w:tcPr>
          <w:p>
            <w:pPr>
              <w:pStyle w:val="5"/>
              <w:pageBreakBefore w:val="0"/>
              <w:numPr>
                <w:ilvl w:val="1"/>
                <w:numId w:val="0"/>
              </w:numPr>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s="宋体"/>
                <w:b/>
                <w:bCs/>
                <w:color w:val="000000"/>
                <w:kern w:val="0"/>
                <w:sz w:val="20"/>
                <w:szCs w:val="20"/>
                <w:lang w:val="en-US" w:eastAsia="zh-CN" w:bidi="ar"/>
              </w:rPr>
            </w:pPr>
          </w:p>
        </w:tc>
        <w:tc>
          <w:tcPr>
            <w:tcW w:w="2733" w:type="dxa"/>
          </w:tcPr>
          <w:p>
            <w:pPr>
              <w:pStyle w:val="5"/>
              <w:pageBreakBefore w:val="0"/>
              <w:numPr>
                <w:ilvl w:val="1"/>
                <w:numId w:val="0"/>
              </w:numPr>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olor w:val="auto"/>
                <w:sz w:val="28"/>
                <w:szCs w:val="28"/>
                <w:vertAlign w:val="baseline"/>
              </w:rPr>
            </w:pPr>
          </w:p>
        </w:tc>
        <w:tc>
          <w:tcPr>
            <w:tcW w:w="1126" w:type="dxa"/>
          </w:tcPr>
          <w:p>
            <w:pPr>
              <w:pStyle w:val="5"/>
              <w:pageBreakBefore w:val="0"/>
              <w:numPr>
                <w:ilvl w:val="1"/>
                <w:numId w:val="0"/>
              </w:numPr>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olor w:val="auto"/>
                <w:sz w:val="28"/>
                <w:szCs w:val="28"/>
                <w:vertAlign w:val="baseline"/>
              </w:rPr>
            </w:pPr>
          </w:p>
        </w:tc>
        <w:tc>
          <w:tcPr>
            <w:tcW w:w="748" w:type="dxa"/>
          </w:tcPr>
          <w:p>
            <w:pPr>
              <w:pStyle w:val="5"/>
              <w:pageBreakBefore w:val="0"/>
              <w:numPr>
                <w:ilvl w:val="1"/>
                <w:numId w:val="0"/>
              </w:numPr>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766" w:type="dxa"/>
          </w:tcPr>
          <w:p>
            <w:pPr>
              <w:pStyle w:val="5"/>
              <w:pageBreakBefore w:val="0"/>
              <w:numPr>
                <w:ilvl w:val="1"/>
                <w:numId w:val="0"/>
              </w:numPr>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s="宋体"/>
                <w:b/>
                <w:bCs/>
                <w:color w:val="000000"/>
                <w:kern w:val="0"/>
                <w:sz w:val="20"/>
                <w:szCs w:val="20"/>
                <w:lang w:val="en-US" w:eastAsia="zh-CN" w:bidi="ar"/>
              </w:rPr>
            </w:pPr>
            <w:r>
              <w:rPr>
                <w:rFonts w:hint="eastAsia" w:ascii="宋体" w:hAnsi="宋体" w:eastAsia="宋体" w:cs="宋体"/>
                <w:b/>
                <w:bCs/>
                <w:color w:val="000000"/>
                <w:kern w:val="0"/>
                <w:sz w:val="20"/>
                <w:szCs w:val="20"/>
                <w:lang w:val="en-US" w:eastAsia="zh-CN" w:bidi="ar"/>
              </w:rPr>
              <w:t>6</w:t>
            </w:r>
          </w:p>
        </w:tc>
        <w:tc>
          <w:tcPr>
            <w:tcW w:w="3604" w:type="dxa"/>
          </w:tcPr>
          <w:p>
            <w:pPr>
              <w:pStyle w:val="5"/>
              <w:pageBreakBefore w:val="0"/>
              <w:numPr>
                <w:ilvl w:val="1"/>
                <w:numId w:val="0"/>
              </w:numPr>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s="宋体"/>
                <w:b/>
                <w:bCs/>
                <w:color w:val="000000"/>
                <w:kern w:val="0"/>
                <w:sz w:val="20"/>
                <w:szCs w:val="20"/>
                <w:lang w:val="en-US" w:eastAsia="zh-CN" w:bidi="ar"/>
              </w:rPr>
            </w:pPr>
          </w:p>
        </w:tc>
        <w:tc>
          <w:tcPr>
            <w:tcW w:w="2733" w:type="dxa"/>
          </w:tcPr>
          <w:p>
            <w:pPr>
              <w:pStyle w:val="5"/>
              <w:pageBreakBefore w:val="0"/>
              <w:numPr>
                <w:ilvl w:val="1"/>
                <w:numId w:val="0"/>
              </w:numPr>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olor w:val="auto"/>
                <w:sz w:val="28"/>
                <w:szCs w:val="28"/>
                <w:vertAlign w:val="baseline"/>
              </w:rPr>
            </w:pPr>
          </w:p>
        </w:tc>
        <w:tc>
          <w:tcPr>
            <w:tcW w:w="1126" w:type="dxa"/>
          </w:tcPr>
          <w:p>
            <w:pPr>
              <w:pStyle w:val="5"/>
              <w:pageBreakBefore w:val="0"/>
              <w:numPr>
                <w:ilvl w:val="1"/>
                <w:numId w:val="0"/>
              </w:numPr>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olor w:val="auto"/>
                <w:sz w:val="28"/>
                <w:szCs w:val="28"/>
                <w:vertAlign w:val="baseline"/>
              </w:rPr>
            </w:pPr>
          </w:p>
        </w:tc>
        <w:tc>
          <w:tcPr>
            <w:tcW w:w="748" w:type="dxa"/>
          </w:tcPr>
          <w:p>
            <w:pPr>
              <w:pStyle w:val="5"/>
              <w:pageBreakBefore w:val="0"/>
              <w:numPr>
                <w:ilvl w:val="1"/>
                <w:numId w:val="0"/>
              </w:numPr>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766" w:type="dxa"/>
          </w:tcPr>
          <w:p>
            <w:pPr>
              <w:pStyle w:val="5"/>
              <w:pageBreakBefore w:val="0"/>
              <w:numPr>
                <w:ilvl w:val="1"/>
                <w:numId w:val="0"/>
              </w:numPr>
              <w:kinsoku/>
              <w:wordWrap/>
              <w:overflowPunct/>
              <w:topLinePunct w:val="0"/>
              <w:autoSpaceDE/>
              <w:autoSpaceDN/>
              <w:bidi w:val="0"/>
              <w:adjustRightInd/>
              <w:snapToGrid/>
              <w:spacing w:before="0" w:beforeLines="0" w:after="0" w:afterLines="0"/>
              <w:jc w:val="center"/>
              <w:textAlignment w:val="auto"/>
              <w:rPr>
                <w:rFonts w:hint="default" w:ascii="宋体" w:hAnsi="宋体" w:eastAsia="宋体" w:cs="宋体"/>
                <w:b/>
                <w:bCs/>
                <w:color w:val="000000"/>
                <w:kern w:val="0"/>
                <w:sz w:val="20"/>
                <w:szCs w:val="20"/>
                <w:lang w:val="en-US" w:eastAsia="zh-CN" w:bidi="ar"/>
              </w:rPr>
            </w:pPr>
            <w:r>
              <w:rPr>
                <w:rFonts w:hint="eastAsia" w:ascii="宋体" w:hAnsi="宋体" w:eastAsia="宋体" w:cs="宋体"/>
                <w:b/>
                <w:bCs/>
                <w:color w:val="000000"/>
                <w:kern w:val="0"/>
                <w:sz w:val="20"/>
                <w:szCs w:val="20"/>
                <w:lang w:val="en-US" w:eastAsia="zh-CN" w:bidi="ar"/>
              </w:rPr>
              <w:t>...</w:t>
            </w:r>
          </w:p>
        </w:tc>
        <w:tc>
          <w:tcPr>
            <w:tcW w:w="3604" w:type="dxa"/>
          </w:tcPr>
          <w:p>
            <w:pPr>
              <w:pStyle w:val="5"/>
              <w:pageBreakBefore w:val="0"/>
              <w:numPr>
                <w:ilvl w:val="1"/>
                <w:numId w:val="0"/>
              </w:numPr>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s="宋体"/>
                <w:b/>
                <w:bCs/>
                <w:color w:val="000000"/>
                <w:kern w:val="0"/>
                <w:sz w:val="20"/>
                <w:szCs w:val="20"/>
                <w:lang w:val="en-US" w:eastAsia="zh-CN" w:bidi="ar"/>
              </w:rPr>
            </w:pPr>
          </w:p>
        </w:tc>
        <w:tc>
          <w:tcPr>
            <w:tcW w:w="2733" w:type="dxa"/>
          </w:tcPr>
          <w:p>
            <w:pPr>
              <w:pStyle w:val="5"/>
              <w:pageBreakBefore w:val="0"/>
              <w:numPr>
                <w:ilvl w:val="1"/>
                <w:numId w:val="0"/>
              </w:numPr>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olor w:val="auto"/>
                <w:sz w:val="28"/>
                <w:szCs w:val="28"/>
                <w:vertAlign w:val="baseline"/>
              </w:rPr>
            </w:pPr>
          </w:p>
        </w:tc>
        <w:tc>
          <w:tcPr>
            <w:tcW w:w="1126" w:type="dxa"/>
          </w:tcPr>
          <w:p>
            <w:pPr>
              <w:pStyle w:val="5"/>
              <w:pageBreakBefore w:val="0"/>
              <w:numPr>
                <w:ilvl w:val="1"/>
                <w:numId w:val="0"/>
              </w:numPr>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olor w:val="auto"/>
                <w:sz w:val="28"/>
                <w:szCs w:val="28"/>
                <w:vertAlign w:val="baseline"/>
              </w:rPr>
            </w:pPr>
          </w:p>
        </w:tc>
        <w:tc>
          <w:tcPr>
            <w:tcW w:w="748" w:type="dxa"/>
          </w:tcPr>
          <w:p>
            <w:pPr>
              <w:pStyle w:val="5"/>
              <w:pageBreakBefore w:val="0"/>
              <w:numPr>
                <w:ilvl w:val="1"/>
                <w:numId w:val="0"/>
              </w:numPr>
              <w:kinsoku/>
              <w:wordWrap/>
              <w:overflowPunct/>
              <w:topLinePunct w:val="0"/>
              <w:autoSpaceDE/>
              <w:autoSpaceDN/>
              <w:bidi w:val="0"/>
              <w:adjustRightInd/>
              <w:snapToGrid/>
              <w:spacing w:before="0" w:beforeLines="0" w:after="0" w:afterLines="0"/>
              <w:jc w:val="center"/>
              <w:textAlignment w:val="auto"/>
              <w:rPr>
                <w:rFonts w:hint="eastAsia" w:ascii="宋体" w:hAnsi="宋体" w:eastAsia="宋体"/>
                <w:color w:val="auto"/>
                <w:sz w:val="28"/>
                <w:szCs w:val="28"/>
                <w:vertAlign w:val="baseline"/>
              </w:rPr>
            </w:pPr>
          </w:p>
        </w:tc>
      </w:tr>
    </w:tbl>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注：1、供应商可根据本磋商文件中商务要求编制此表，在此表中客观真实的做出响应及</w:t>
      </w:r>
      <w:r>
        <w:rPr>
          <w:rFonts w:hint="eastAsia" w:ascii="宋体" w:hAnsi="宋体" w:eastAsia="宋体" w:cs="宋体"/>
          <w:b/>
          <w:bCs/>
          <w:color w:val="000000"/>
          <w:kern w:val="0"/>
          <w:sz w:val="20"/>
          <w:szCs w:val="20"/>
          <w:lang w:val="en-US" w:eastAsia="zh-CN" w:bidi="ar"/>
        </w:rPr>
        <w:t>偏差描述</w:t>
      </w:r>
      <w:r>
        <w:rPr>
          <w:rFonts w:hint="eastAsia" w:ascii="宋体" w:hAnsi="宋体" w:eastAsia="宋体" w:cs="宋体"/>
          <w:color w:val="000000"/>
          <w:kern w:val="0"/>
          <w:sz w:val="20"/>
          <w:szCs w:val="20"/>
          <w:lang w:val="en-US" w:eastAsia="zh-CN" w:bidi="ar"/>
        </w:rPr>
        <w:t xml:space="preserve">， </w:t>
      </w:r>
    </w:p>
    <w:p>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并根据情况在偏离情况中填写“无偏离”“负偏离”“正偏离”。</w:t>
      </w:r>
    </w:p>
    <w:p>
      <w:pPr>
        <w:pStyle w:val="5"/>
        <w:numPr>
          <w:ilvl w:val="1"/>
          <w:numId w:val="0"/>
        </w:numPr>
        <w:ind w:leftChars="0"/>
        <w:rPr>
          <w:rFonts w:hint="eastAsia"/>
        </w:rPr>
      </w:pPr>
    </w:p>
    <w:p>
      <w:pPr>
        <w:keepNext w:val="0"/>
        <w:keepLines w:val="0"/>
        <w:widowControl/>
        <w:suppressLineNumbers w:val="0"/>
        <w:spacing w:line="360" w:lineRule="auto"/>
        <w:jc w:val="right"/>
        <w:rPr>
          <w:b w:val="0"/>
          <w:bCs w:val="0"/>
          <w:sz w:val="21"/>
          <w:szCs w:val="21"/>
        </w:rPr>
      </w:pPr>
      <w:r>
        <w:rPr>
          <w:rFonts w:hint="eastAsia" w:ascii="宋体" w:hAnsi="宋体" w:eastAsia="宋体" w:cs="宋体"/>
          <w:b w:val="0"/>
          <w:bCs w:val="0"/>
          <w:color w:val="000000"/>
          <w:kern w:val="0"/>
          <w:sz w:val="21"/>
          <w:szCs w:val="21"/>
          <w:lang w:val="en-US" w:eastAsia="zh-CN" w:bidi="ar"/>
        </w:rPr>
        <w:t xml:space="preserve">供应商（单位电子签章）： </w:t>
      </w:r>
    </w:p>
    <w:p>
      <w:pPr>
        <w:keepNext w:val="0"/>
        <w:keepLines w:val="0"/>
        <w:widowControl/>
        <w:suppressLineNumbers w:val="0"/>
        <w:spacing w:line="360" w:lineRule="auto"/>
        <w:jc w:val="right"/>
        <w:rPr>
          <w:b w:val="0"/>
          <w:bCs w:val="0"/>
          <w:sz w:val="21"/>
          <w:szCs w:val="21"/>
        </w:rPr>
      </w:pPr>
      <w:r>
        <w:rPr>
          <w:rFonts w:hint="eastAsia" w:ascii="宋体" w:hAnsi="宋体" w:eastAsia="宋体" w:cs="宋体"/>
          <w:b w:val="0"/>
          <w:bCs w:val="0"/>
          <w:color w:val="000000"/>
          <w:kern w:val="0"/>
          <w:sz w:val="21"/>
          <w:szCs w:val="21"/>
          <w:lang w:val="en-US" w:eastAsia="zh-CN" w:bidi="ar"/>
        </w:rPr>
        <w:t xml:space="preserve">法定代表人或其委托代理人（签字或盖章）： </w:t>
      </w:r>
    </w:p>
    <w:p>
      <w:pPr>
        <w:keepNext w:val="0"/>
        <w:keepLines w:val="0"/>
        <w:widowControl/>
        <w:suppressLineNumbers w:val="0"/>
        <w:spacing w:line="360" w:lineRule="auto"/>
        <w:jc w:val="right"/>
        <w:rPr>
          <w:b w:val="0"/>
          <w:bCs w:val="0"/>
          <w:sz w:val="21"/>
          <w:szCs w:val="21"/>
        </w:rPr>
      </w:pPr>
      <w:r>
        <w:rPr>
          <w:rFonts w:hint="eastAsia" w:ascii="宋体" w:hAnsi="宋体" w:eastAsia="宋体" w:cs="宋体"/>
          <w:b w:val="0"/>
          <w:bCs w:val="0"/>
          <w:color w:val="000000"/>
          <w:kern w:val="0"/>
          <w:sz w:val="21"/>
          <w:szCs w:val="21"/>
          <w:lang w:val="en-US" w:eastAsia="zh-CN" w:bidi="ar"/>
        </w:rPr>
        <w:t>日 期：  年  月  日</w:t>
      </w:r>
    </w:p>
    <w:p>
      <w:pPr>
        <w:pStyle w:val="5"/>
        <w:rPr>
          <w:rFonts w:hint="eastAsia"/>
          <w:lang w:val="en-US" w:eastAsia="zh-CN"/>
        </w:rPr>
        <w:sectPr>
          <w:pgSz w:w="11905" w:h="16838"/>
          <w:pgMar w:top="1440" w:right="1576" w:bottom="1440" w:left="1576" w:header="850" w:footer="850" w:gutter="0"/>
          <w:pgBorders>
            <w:top w:val="none" w:sz="0" w:space="0"/>
            <w:left w:val="none" w:sz="0" w:space="0"/>
            <w:bottom w:val="none" w:sz="0" w:space="0"/>
            <w:right w:val="none" w:sz="0" w:space="0"/>
          </w:pgBorders>
          <w:pgNumType w:fmt="decimal"/>
          <w:cols w:space="720" w:num="1"/>
          <w:rtlGutter w:val="0"/>
          <w:docGrid w:type="lines" w:linePitch="317" w:charSpace="0"/>
        </w:sectPr>
      </w:pPr>
    </w:p>
    <w:p>
      <w:pPr>
        <w:pStyle w:val="5"/>
        <w:numPr>
          <w:ilvl w:val="1"/>
          <w:numId w:val="0"/>
        </w:numPr>
        <w:jc w:val="center"/>
        <w:rPr>
          <w:rFonts w:hint="eastAsia" w:ascii="宋体" w:hAnsi="宋体" w:eastAsia="宋体"/>
          <w:color w:val="auto"/>
          <w:sz w:val="28"/>
          <w:szCs w:val="28"/>
          <w:lang w:val="en-US" w:eastAsia="zh-CN"/>
        </w:rPr>
      </w:pPr>
      <w:r>
        <w:rPr>
          <w:rFonts w:hint="eastAsia" w:ascii="宋体" w:hAnsi="宋体" w:eastAsia="宋体"/>
          <w:color w:val="auto"/>
          <w:sz w:val="28"/>
          <w:szCs w:val="28"/>
          <w:lang w:val="en-US" w:eastAsia="zh-CN"/>
        </w:rPr>
        <w:t>五、投标方案</w:t>
      </w:r>
    </w:p>
    <w:p>
      <w:pPr>
        <w:jc w:val="center"/>
        <w:rPr>
          <w:rFonts w:hint="default"/>
          <w:sz w:val="21"/>
          <w:szCs w:val="21"/>
          <w:lang w:val="en-US" w:eastAsia="zh-CN"/>
        </w:rPr>
        <w:sectPr>
          <w:pgSz w:w="11905" w:h="16838"/>
          <w:pgMar w:top="1440" w:right="1576" w:bottom="1440" w:left="1576" w:header="850" w:footer="850" w:gutter="0"/>
          <w:pgBorders>
            <w:top w:val="none" w:sz="0" w:space="0"/>
            <w:left w:val="none" w:sz="0" w:space="0"/>
            <w:bottom w:val="none" w:sz="0" w:space="0"/>
            <w:right w:val="none" w:sz="0" w:space="0"/>
          </w:pgBorders>
          <w:pgNumType w:fmt="decimal"/>
          <w:cols w:space="720" w:num="1"/>
          <w:rtlGutter w:val="0"/>
          <w:docGrid w:type="lines" w:linePitch="317" w:charSpace="0"/>
        </w:sectPr>
      </w:pPr>
      <w:r>
        <w:rPr>
          <w:rFonts w:hint="eastAsia" w:ascii="宋体" w:hAnsi="宋体"/>
          <w:color w:val="auto"/>
          <w:sz w:val="21"/>
          <w:szCs w:val="21"/>
          <w:lang w:val="en-US" w:eastAsia="zh-CN"/>
        </w:rPr>
        <w:t>格式自拟</w:t>
      </w:r>
    </w:p>
    <w:p>
      <w:pPr>
        <w:pStyle w:val="5"/>
        <w:numPr>
          <w:ilvl w:val="0"/>
          <w:numId w:val="9"/>
        </w:numPr>
        <w:jc w:val="center"/>
        <w:rPr>
          <w:rFonts w:hint="eastAsia" w:ascii="宋体" w:hAnsi="宋体" w:eastAsia="宋体"/>
          <w:color w:val="auto"/>
          <w:sz w:val="28"/>
          <w:szCs w:val="28"/>
          <w:lang w:val="en-US" w:eastAsia="zh-CN"/>
        </w:rPr>
      </w:pPr>
      <w:r>
        <w:rPr>
          <w:rFonts w:hint="eastAsia" w:ascii="宋体" w:hAnsi="宋体" w:eastAsia="宋体"/>
          <w:color w:val="auto"/>
          <w:sz w:val="28"/>
          <w:szCs w:val="28"/>
          <w:lang w:val="en-US" w:eastAsia="zh-CN"/>
        </w:rPr>
        <w:t>服务承诺</w:t>
      </w:r>
    </w:p>
    <w:p>
      <w:pPr>
        <w:numPr>
          <w:ilvl w:val="0"/>
          <w:numId w:val="0"/>
        </w:numPr>
        <w:jc w:val="center"/>
        <w:rPr>
          <w:rFonts w:hint="default"/>
          <w:lang w:val="en-US" w:eastAsia="zh-CN"/>
        </w:rPr>
      </w:pPr>
      <w:r>
        <w:rPr>
          <w:rFonts w:hint="eastAsia"/>
          <w:lang w:val="en-US" w:eastAsia="zh-CN"/>
        </w:rPr>
        <w:t>格式自拟</w:t>
      </w:r>
    </w:p>
    <w:p>
      <w:pPr>
        <w:pStyle w:val="5"/>
        <w:numPr>
          <w:ilvl w:val="1"/>
          <w:numId w:val="0"/>
        </w:numPr>
        <w:jc w:val="center"/>
        <w:rPr>
          <w:rFonts w:hint="eastAsia" w:ascii="宋体" w:hAnsi="宋体" w:eastAsia="宋体"/>
          <w:color w:val="auto"/>
          <w:sz w:val="28"/>
          <w:szCs w:val="28"/>
          <w:lang w:val="en-US" w:eastAsia="zh-CN"/>
        </w:rPr>
        <w:sectPr>
          <w:pgSz w:w="11905" w:h="16838"/>
          <w:pgMar w:top="1440" w:right="1576" w:bottom="1440" w:left="1576" w:header="850" w:footer="850" w:gutter="0"/>
          <w:pgBorders>
            <w:top w:val="none" w:sz="0" w:space="0"/>
            <w:left w:val="none" w:sz="0" w:space="0"/>
            <w:bottom w:val="none" w:sz="0" w:space="0"/>
            <w:right w:val="none" w:sz="0" w:space="0"/>
          </w:pgBorders>
          <w:pgNumType w:fmt="decimal"/>
          <w:cols w:space="720" w:num="1"/>
          <w:rtlGutter w:val="0"/>
          <w:docGrid w:type="lines" w:linePitch="317" w:charSpace="0"/>
        </w:sectPr>
      </w:pPr>
    </w:p>
    <w:p>
      <w:pPr>
        <w:pStyle w:val="5"/>
        <w:numPr>
          <w:ilvl w:val="1"/>
          <w:numId w:val="0"/>
        </w:numPr>
        <w:jc w:val="center"/>
        <w:rPr>
          <w:rFonts w:ascii="宋体" w:hAnsi="宋体"/>
          <w:color w:val="auto"/>
          <w:szCs w:val="21"/>
        </w:rPr>
      </w:pPr>
      <w:r>
        <w:rPr>
          <w:rFonts w:hint="eastAsia" w:ascii="宋体" w:hAnsi="宋体" w:eastAsia="宋体"/>
          <w:color w:val="auto"/>
          <w:sz w:val="28"/>
          <w:szCs w:val="28"/>
          <w:lang w:val="en-US" w:eastAsia="zh-CN"/>
        </w:rPr>
        <w:t>七、</w:t>
      </w:r>
      <w:r>
        <w:rPr>
          <w:rFonts w:hint="eastAsia" w:ascii="宋体" w:hAnsi="宋体" w:eastAsia="宋体"/>
          <w:color w:val="auto"/>
          <w:sz w:val="28"/>
          <w:szCs w:val="28"/>
        </w:rPr>
        <w:t>其他材料</w:t>
      </w:r>
      <w:bookmarkEnd w:id="987"/>
      <w:bookmarkEnd w:id="988"/>
      <w:bookmarkEnd w:id="989"/>
      <w:bookmarkEnd w:id="990"/>
    </w:p>
    <w:p>
      <w:pPr>
        <w:spacing w:line="360" w:lineRule="auto"/>
        <w:jc w:val="center"/>
        <w:rPr>
          <w:rFonts w:ascii="宋体" w:hAnsi="宋体"/>
          <w:b/>
          <w:color w:val="auto"/>
          <w:szCs w:val="21"/>
        </w:rPr>
      </w:pPr>
      <w:bookmarkStart w:id="991" w:name="_Toc457469585"/>
      <w:r>
        <w:rPr>
          <w:rFonts w:hint="eastAsia" w:ascii="宋体" w:hAnsi="宋体"/>
          <w:b/>
          <w:color w:val="auto"/>
          <w:szCs w:val="21"/>
        </w:rPr>
        <w:t>1、反商业贿赂承诺书</w:t>
      </w:r>
      <w:bookmarkEnd w:id="991"/>
    </w:p>
    <w:p>
      <w:pPr>
        <w:pStyle w:val="45"/>
        <w:ind w:firstLine="210"/>
        <w:rPr>
          <w:rFonts w:ascii="宋体" w:hAnsi="宋体"/>
          <w:color w:val="auto"/>
          <w:szCs w:val="21"/>
        </w:rPr>
      </w:pPr>
    </w:p>
    <w:p>
      <w:pPr>
        <w:autoSpaceDE w:val="0"/>
        <w:autoSpaceDN w:val="0"/>
        <w:adjustRightInd w:val="0"/>
        <w:spacing w:line="360" w:lineRule="auto"/>
        <w:ind w:firstLine="630" w:firstLineChars="300"/>
        <w:jc w:val="left"/>
        <w:rPr>
          <w:rFonts w:ascii="宋体" w:hAnsi="宋体"/>
          <w:color w:val="auto"/>
          <w:szCs w:val="21"/>
          <w:lang w:val="zh-CN"/>
        </w:rPr>
      </w:pPr>
      <w:r>
        <w:rPr>
          <w:rFonts w:hint="eastAsia" w:ascii="宋体" w:hAnsi="宋体"/>
          <w:color w:val="auto"/>
          <w:szCs w:val="21"/>
          <w:lang w:val="zh-CN"/>
        </w:rPr>
        <w:t>我方承诺：</w:t>
      </w:r>
    </w:p>
    <w:p>
      <w:pPr>
        <w:autoSpaceDE w:val="0"/>
        <w:autoSpaceDN w:val="0"/>
        <w:adjustRightInd w:val="0"/>
        <w:spacing w:line="360" w:lineRule="auto"/>
        <w:ind w:firstLine="630" w:firstLineChars="300"/>
        <w:jc w:val="left"/>
        <w:rPr>
          <w:rFonts w:ascii="宋体" w:hAnsi="宋体"/>
          <w:color w:val="auto"/>
          <w:szCs w:val="21"/>
          <w:lang w:val="zh-CN"/>
        </w:rPr>
      </w:pPr>
      <w:r>
        <w:rPr>
          <w:rFonts w:hint="eastAsia" w:ascii="宋体" w:hAnsi="宋体"/>
          <w:color w:val="auto"/>
          <w:szCs w:val="21"/>
          <w:lang w:val="zh-CN"/>
        </w:rPr>
        <w:t>在</w:t>
      </w:r>
      <w:r>
        <w:rPr>
          <w:rFonts w:hint="eastAsia" w:ascii="宋体" w:hAnsi="宋体"/>
          <w:color w:val="auto"/>
          <w:szCs w:val="21"/>
          <w:u w:val="single"/>
        </w:rPr>
        <w:t xml:space="preserve">                    </w:t>
      </w:r>
      <w:r>
        <w:rPr>
          <w:rFonts w:hint="eastAsia" w:ascii="宋体" w:hAnsi="宋体"/>
          <w:color w:val="auto"/>
          <w:szCs w:val="21"/>
          <w:u w:val="single"/>
          <w:lang w:val="zh-CN"/>
        </w:rPr>
        <w:t>（项目名称、</w:t>
      </w:r>
      <w:r>
        <w:rPr>
          <w:rFonts w:hint="eastAsia" w:ascii="宋体" w:hAnsi="宋体"/>
          <w:color w:val="auto"/>
          <w:szCs w:val="21"/>
          <w:u w:val="single"/>
          <w:lang w:val="en-US" w:eastAsia="zh-CN"/>
        </w:rPr>
        <w:t>包</w:t>
      </w:r>
      <w:r>
        <w:rPr>
          <w:rFonts w:hint="eastAsia" w:ascii="宋体" w:hAnsi="宋体"/>
          <w:color w:val="auto"/>
          <w:szCs w:val="21"/>
          <w:u w:val="single"/>
          <w:lang w:val="zh-CN"/>
        </w:rPr>
        <w:t>）</w:t>
      </w:r>
      <w:r>
        <w:rPr>
          <w:rFonts w:hint="eastAsia" w:ascii="宋体" w:hAnsi="宋体"/>
          <w:color w:val="auto"/>
          <w:szCs w:val="21"/>
          <w:u w:val="none"/>
          <w:lang w:val="zh-CN"/>
        </w:rPr>
        <w:t>，</w:t>
      </w:r>
      <w:r>
        <w:rPr>
          <w:rFonts w:hint="eastAsia" w:hAnsi="宋体"/>
          <w:szCs w:val="21"/>
        </w:rPr>
        <w:t xml:space="preserve">项目编号为： </w:t>
      </w:r>
      <w:r>
        <w:rPr>
          <w:rFonts w:hint="eastAsia" w:hAnsi="宋体"/>
          <w:szCs w:val="21"/>
          <w:u w:val="single"/>
        </w:rPr>
        <w:t xml:space="preserve">            </w:t>
      </w:r>
      <w:r>
        <w:rPr>
          <w:rFonts w:hint="eastAsia" w:ascii="宋体" w:hAnsi="宋体"/>
          <w:color w:val="auto"/>
          <w:szCs w:val="21"/>
          <w:lang w:val="zh-CN"/>
        </w:rPr>
        <w:t>磋商活动中，我方保证做到：</w:t>
      </w:r>
    </w:p>
    <w:p>
      <w:pPr>
        <w:autoSpaceDE w:val="0"/>
        <w:autoSpaceDN w:val="0"/>
        <w:adjustRightInd w:val="0"/>
        <w:spacing w:line="360" w:lineRule="auto"/>
        <w:ind w:firstLine="630" w:firstLineChars="300"/>
        <w:jc w:val="left"/>
        <w:rPr>
          <w:rFonts w:ascii="宋体" w:hAnsi="宋体"/>
          <w:color w:val="auto"/>
          <w:szCs w:val="21"/>
          <w:lang w:val="zh-CN"/>
        </w:rPr>
      </w:pPr>
      <w:r>
        <w:rPr>
          <w:rFonts w:hint="eastAsia" w:ascii="宋体" w:hAnsi="宋体"/>
          <w:color w:val="auto"/>
          <w:szCs w:val="21"/>
          <w:lang w:val="zh-CN"/>
        </w:rPr>
        <w:t>一、公平竞争参加本次磋商采购活动。</w:t>
      </w:r>
    </w:p>
    <w:p>
      <w:pPr>
        <w:autoSpaceDE w:val="0"/>
        <w:autoSpaceDN w:val="0"/>
        <w:adjustRightInd w:val="0"/>
        <w:spacing w:line="360" w:lineRule="auto"/>
        <w:ind w:firstLine="630" w:firstLineChars="300"/>
        <w:jc w:val="left"/>
        <w:rPr>
          <w:rFonts w:ascii="宋体" w:hAnsi="宋体"/>
          <w:color w:val="auto"/>
          <w:szCs w:val="21"/>
          <w:lang w:val="zh-CN"/>
        </w:rPr>
      </w:pPr>
      <w:r>
        <w:rPr>
          <w:rFonts w:hint="eastAsia" w:ascii="宋体" w:hAnsi="宋体"/>
          <w:color w:val="auto"/>
          <w:szCs w:val="21"/>
          <w:lang w:val="zh-CN"/>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autoSpaceDE w:val="0"/>
        <w:autoSpaceDN w:val="0"/>
        <w:adjustRightInd w:val="0"/>
        <w:spacing w:line="360" w:lineRule="auto"/>
        <w:ind w:firstLine="630" w:firstLineChars="300"/>
        <w:jc w:val="left"/>
        <w:rPr>
          <w:rFonts w:ascii="宋体" w:hAnsi="宋体"/>
          <w:color w:val="auto"/>
          <w:szCs w:val="21"/>
          <w:lang w:val="zh-CN"/>
        </w:rPr>
      </w:pPr>
      <w:r>
        <w:rPr>
          <w:rFonts w:hint="eastAsia" w:ascii="宋体" w:hAnsi="宋体"/>
          <w:color w:val="auto"/>
          <w:szCs w:val="21"/>
          <w:lang w:val="zh-CN"/>
        </w:rPr>
        <w:t>三、若出现上述行为，我方及参与投标的工作人员愿意接受按照国家法律法规等有关规定给予的处罚。</w:t>
      </w:r>
    </w:p>
    <w:p>
      <w:pPr>
        <w:spacing w:line="360" w:lineRule="auto"/>
        <w:ind w:left="645"/>
        <w:outlineLvl w:val="0"/>
        <w:rPr>
          <w:rFonts w:ascii="宋体" w:hAnsi="宋体"/>
          <w:color w:val="auto"/>
          <w:szCs w:val="21"/>
        </w:rPr>
      </w:pPr>
    </w:p>
    <w:p>
      <w:pPr>
        <w:spacing w:line="360" w:lineRule="auto"/>
        <w:ind w:left="645"/>
        <w:outlineLvl w:val="0"/>
        <w:rPr>
          <w:rFonts w:ascii="宋体" w:hAnsi="宋体"/>
          <w:color w:val="auto"/>
          <w:szCs w:val="21"/>
        </w:rPr>
      </w:pPr>
    </w:p>
    <w:p>
      <w:pPr>
        <w:spacing w:line="360" w:lineRule="auto"/>
        <w:ind w:left="645"/>
        <w:outlineLvl w:val="0"/>
        <w:rPr>
          <w:rFonts w:ascii="宋体" w:hAnsi="宋体"/>
          <w:color w:val="auto"/>
          <w:szCs w:val="21"/>
        </w:rPr>
      </w:pPr>
    </w:p>
    <w:p>
      <w:pPr>
        <w:spacing w:line="360" w:lineRule="auto"/>
        <w:ind w:left="645"/>
        <w:outlineLvl w:val="0"/>
        <w:rPr>
          <w:rFonts w:ascii="宋体" w:hAnsi="宋体"/>
          <w:color w:val="auto"/>
          <w:szCs w:val="21"/>
        </w:rPr>
      </w:pPr>
    </w:p>
    <w:p>
      <w:pPr>
        <w:spacing w:line="360" w:lineRule="auto"/>
        <w:ind w:left="645"/>
        <w:outlineLvl w:val="0"/>
        <w:rPr>
          <w:rFonts w:ascii="宋体" w:hAnsi="宋体"/>
          <w:color w:val="auto"/>
          <w:szCs w:val="21"/>
        </w:rPr>
      </w:pPr>
    </w:p>
    <w:p>
      <w:pPr>
        <w:keepNext w:val="0"/>
        <w:keepLines w:val="0"/>
        <w:widowControl/>
        <w:suppressLineNumbers w:val="0"/>
        <w:spacing w:line="360" w:lineRule="auto"/>
        <w:jc w:val="right"/>
        <w:rPr>
          <w:b w:val="0"/>
          <w:bCs w:val="0"/>
          <w:sz w:val="21"/>
          <w:szCs w:val="21"/>
        </w:rPr>
      </w:pPr>
      <w:r>
        <w:rPr>
          <w:rFonts w:hint="eastAsia" w:ascii="宋体" w:hAnsi="宋体" w:eastAsia="宋体" w:cs="宋体"/>
          <w:b w:val="0"/>
          <w:bCs w:val="0"/>
          <w:color w:val="000000"/>
          <w:kern w:val="0"/>
          <w:sz w:val="21"/>
          <w:szCs w:val="21"/>
          <w:lang w:val="en-US" w:eastAsia="zh-CN" w:bidi="ar"/>
        </w:rPr>
        <w:t xml:space="preserve">供应商（单位电子签章）： </w:t>
      </w:r>
    </w:p>
    <w:p>
      <w:pPr>
        <w:keepNext w:val="0"/>
        <w:keepLines w:val="0"/>
        <w:widowControl/>
        <w:suppressLineNumbers w:val="0"/>
        <w:spacing w:line="360" w:lineRule="auto"/>
        <w:jc w:val="right"/>
        <w:rPr>
          <w:b w:val="0"/>
          <w:bCs w:val="0"/>
          <w:sz w:val="21"/>
          <w:szCs w:val="21"/>
        </w:rPr>
      </w:pPr>
      <w:r>
        <w:rPr>
          <w:rFonts w:hint="eastAsia" w:ascii="宋体" w:hAnsi="宋体" w:eastAsia="宋体" w:cs="宋体"/>
          <w:b w:val="0"/>
          <w:bCs w:val="0"/>
          <w:color w:val="000000"/>
          <w:kern w:val="0"/>
          <w:sz w:val="21"/>
          <w:szCs w:val="21"/>
          <w:lang w:val="en-US" w:eastAsia="zh-CN" w:bidi="ar"/>
        </w:rPr>
        <w:t xml:space="preserve">法定代表人或其委托代理人（签字或盖章）： </w:t>
      </w:r>
    </w:p>
    <w:p>
      <w:pPr>
        <w:keepNext w:val="0"/>
        <w:keepLines w:val="0"/>
        <w:widowControl/>
        <w:suppressLineNumbers w:val="0"/>
        <w:spacing w:line="360" w:lineRule="auto"/>
        <w:jc w:val="right"/>
        <w:rPr>
          <w:b w:val="0"/>
          <w:bCs w:val="0"/>
          <w:sz w:val="21"/>
          <w:szCs w:val="21"/>
        </w:rPr>
      </w:pPr>
      <w:r>
        <w:rPr>
          <w:rFonts w:hint="eastAsia" w:ascii="宋体" w:hAnsi="宋体" w:eastAsia="宋体" w:cs="宋体"/>
          <w:b w:val="0"/>
          <w:bCs w:val="0"/>
          <w:color w:val="000000"/>
          <w:kern w:val="0"/>
          <w:sz w:val="21"/>
          <w:szCs w:val="21"/>
          <w:lang w:val="en-US" w:eastAsia="zh-CN" w:bidi="ar"/>
        </w:rPr>
        <w:t>日 期：  年  月  日</w:t>
      </w:r>
    </w:p>
    <w:p>
      <w:pPr>
        <w:spacing w:line="360" w:lineRule="auto"/>
        <w:ind w:left="645"/>
        <w:outlineLvl w:val="0"/>
        <w:rPr>
          <w:rFonts w:hint="eastAsia" w:ascii="宋体" w:hAnsi="宋体"/>
          <w:color w:val="auto"/>
          <w:szCs w:val="21"/>
        </w:rPr>
      </w:pPr>
    </w:p>
    <w:p>
      <w:pPr>
        <w:spacing w:line="360" w:lineRule="auto"/>
        <w:ind w:left="645"/>
        <w:outlineLvl w:val="0"/>
        <w:rPr>
          <w:rFonts w:hint="eastAsia" w:ascii="宋体" w:hAnsi="宋体"/>
          <w:color w:val="auto"/>
          <w:szCs w:val="21"/>
        </w:rPr>
      </w:pPr>
    </w:p>
    <w:p>
      <w:pPr>
        <w:spacing w:line="360" w:lineRule="auto"/>
        <w:ind w:left="645"/>
        <w:outlineLvl w:val="0"/>
        <w:rPr>
          <w:rFonts w:hint="eastAsia" w:ascii="宋体" w:hAnsi="宋体"/>
          <w:color w:val="auto"/>
          <w:szCs w:val="21"/>
        </w:rPr>
      </w:pPr>
    </w:p>
    <w:p>
      <w:pPr>
        <w:pStyle w:val="45"/>
        <w:ind w:firstLine="210"/>
        <w:rPr>
          <w:rFonts w:hint="eastAsia" w:ascii="宋体" w:hAnsi="宋体"/>
          <w:color w:val="auto"/>
          <w:szCs w:val="21"/>
        </w:rPr>
      </w:pPr>
    </w:p>
    <w:p>
      <w:pPr>
        <w:pStyle w:val="45"/>
        <w:ind w:firstLine="210"/>
        <w:rPr>
          <w:rFonts w:hint="eastAsia" w:ascii="宋体" w:hAnsi="宋体"/>
          <w:color w:val="auto"/>
          <w:szCs w:val="21"/>
        </w:rPr>
      </w:pPr>
    </w:p>
    <w:p>
      <w:pPr>
        <w:pStyle w:val="45"/>
        <w:ind w:firstLine="210"/>
        <w:rPr>
          <w:rFonts w:hint="eastAsia" w:ascii="宋体" w:hAnsi="宋体"/>
          <w:color w:val="auto"/>
          <w:szCs w:val="21"/>
        </w:rPr>
      </w:pPr>
    </w:p>
    <w:p>
      <w:pPr>
        <w:pStyle w:val="45"/>
        <w:ind w:firstLine="210"/>
        <w:rPr>
          <w:rFonts w:hint="eastAsia" w:ascii="宋体" w:hAnsi="宋体"/>
          <w:color w:val="auto"/>
          <w:szCs w:val="21"/>
        </w:rPr>
      </w:pPr>
    </w:p>
    <w:p>
      <w:pPr>
        <w:pStyle w:val="45"/>
        <w:ind w:firstLine="0" w:firstLineChars="0"/>
        <w:rPr>
          <w:rFonts w:hint="eastAsia" w:ascii="宋体" w:hAnsi="宋体"/>
          <w:color w:val="auto"/>
          <w:szCs w:val="21"/>
        </w:rPr>
      </w:pPr>
    </w:p>
    <w:p>
      <w:pPr>
        <w:spacing w:line="360" w:lineRule="auto"/>
        <w:jc w:val="center"/>
        <w:rPr>
          <w:rFonts w:hint="eastAsia" w:ascii="宋体" w:hAnsi="宋体"/>
          <w:b/>
          <w:color w:val="auto"/>
          <w:szCs w:val="21"/>
        </w:rPr>
      </w:pPr>
      <w:bookmarkStart w:id="992" w:name="_Toc523494085"/>
      <w:bookmarkStart w:id="993" w:name="_Toc525210051"/>
    </w:p>
    <w:p>
      <w:pPr>
        <w:spacing w:line="360" w:lineRule="auto"/>
        <w:jc w:val="center"/>
        <w:rPr>
          <w:rFonts w:hint="eastAsia" w:ascii="宋体" w:hAnsi="宋体"/>
          <w:color w:val="auto"/>
          <w:szCs w:val="21"/>
        </w:rPr>
      </w:pPr>
      <w:r>
        <w:rPr>
          <w:rFonts w:hint="eastAsia" w:ascii="宋体" w:hAnsi="宋体"/>
          <w:b/>
          <w:color w:val="auto"/>
          <w:szCs w:val="21"/>
        </w:rPr>
        <w:t>2、</w:t>
      </w:r>
      <w:bookmarkEnd w:id="992"/>
      <w:bookmarkEnd w:id="993"/>
      <w:r>
        <w:rPr>
          <w:rFonts w:hint="eastAsia" w:ascii="宋体" w:hAnsi="宋体"/>
          <w:b/>
          <w:color w:val="auto"/>
          <w:szCs w:val="21"/>
        </w:rPr>
        <w:t>中小企业声明函（</w:t>
      </w:r>
      <w:r>
        <w:rPr>
          <w:rFonts w:hint="eastAsia" w:ascii="宋体" w:hAnsi="宋体"/>
          <w:b/>
          <w:color w:val="auto"/>
          <w:szCs w:val="21"/>
          <w:lang w:eastAsia="zh-CN"/>
        </w:rPr>
        <w:t>服务</w:t>
      </w:r>
      <w:r>
        <w:rPr>
          <w:rFonts w:hint="eastAsia" w:ascii="宋体" w:hAnsi="宋体"/>
          <w:b/>
          <w:color w:val="auto"/>
          <w:szCs w:val="21"/>
        </w:rPr>
        <w:t>）</w:t>
      </w:r>
    </w:p>
    <w:p>
      <w:pPr>
        <w:spacing w:line="400" w:lineRule="exact"/>
        <w:jc w:val="center"/>
        <w:rPr>
          <w:rFonts w:hint="eastAsia" w:ascii="宋体" w:hAnsi="宋体"/>
          <w:color w:val="auto"/>
          <w:szCs w:val="21"/>
        </w:rPr>
      </w:pPr>
      <w:r>
        <w:rPr>
          <w:rFonts w:hint="eastAsia" w:ascii="宋体" w:hAnsi="宋体"/>
          <w:color w:val="auto"/>
          <w:szCs w:val="21"/>
        </w:rPr>
        <w:t>（属于中小微企业的填写，不属于的无需填写此项内容）</w:t>
      </w:r>
    </w:p>
    <w:p>
      <w:pPr>
        <w:widowControl/>
        <w:spacing w:line="420" w:lineRule="exact"/>
        <w:ind w:firstLine="480"/>
        <w:jc w:val="left"/>
        <w:rPr>
          <w:rFonts w:hint="eastAsia" w:ascii="宋体" w:hAnsi="宋体" w:eastAsia="宋体" w:cs="宋体"/>
          <w:i w:val="0"/>
          <w:iCs w:val="0"/>
          <w:sz w:val="21"/>
          <w:szCs w:val="21"/>
          <w:highlight w:val="none"/>
        </w:rPr>
      </w:pPr>
      <w:r>
        <w:rPr>
          <w:rFonts w:hint="eastAsia" w:ascii="宋体" w:hAnsi="宋体" w:eastAsia="宋体" w:cs="宋体"/>
          <w:i w:val="0"/>
          <w:iCs w:val="0"/>
          <w:kern w:val="0"/>
          <w:sz w:val="21"/>
          <w:szCs w:val="21"/>
          <w:highlight w:val="none"/>
          <w:lang w:bidi="ar"/>
        </w:rPr>
        <w:t>本公司（联合体）郑重声明，根据《政府采购促进中小企业发展管理办法》（财库﹝2020﹞46 号）的规定，本公司（联合体）参加</w:t>
      </w:r>
      <w:r>
        <w:rPr>
          <w:rFonts w:hint="eastAsia" w:ascii="宋体" w:hAnsi="宋体" w:eastAsia="宋体" w:cs="宋体"/>
          <w:i w:val="0"/>
          <w:iCs w:val="0"/>
          <w:kern w:val="0"/>
          <w:sz w:val="21"/>
          <w:szCs w:val="21"/>
          <w:highlight w:val="none"/>
          <w:u w:val="single"/>
          <w:lang w:bidi="ar"/>
        </w:rPr>
        <w:t>（单位名称）</w:t>
      </w:r>
      <w:r>
        <w:rPr>
          <w:rFonts w:hint="eastAsia" w:ascii="宋体" w:hAnsi="宋体" w:eastAsia="宋体" w:cs="宋体"/>
          <w:i w:val="0"/>
          <w:iCs w:val="0"/>
          <w:kern w:val="0"/>
          <w:sz w:val="21"/>
          <w:szCs w:val="21"/>
          <w:highlight w:val="none"/>
          <w:lang w:bidi="ar"/>
        </w:rPr>
        <w:t>的</w:t>
      </w:r>
      <w:r>
        <w:rPr>
          <w:rFonts w:hint="eastAsia" w:ascii="宋体" w:hAnsi="宋体" w:eastAsia="宋体" w:cs="宋体"/>
          <w:i w:val="0"/>
          <w:iCs w:val="0"/>
          <w:kern w:val="0"/>
          <w:sz w:val="21"/>
          <w:szCs w:val="21"/>
          <w:highlight w:val="none"/>
          <w:u w:val="single"/>
          <w:lang w:bidi="ar"/>
        </w:rPr>
        <w:t>（项目名称）</w:t>
      </w:r>
      <w:r>
        <w:rPr>
          <w:rFonts w:hint="eastAsia" w:ascii="宋体" w:hAnsi="宋体" w:eastAsia="宋体" w:cs="宋体"/>
          <w:i w:val="0"/>
          <w:iCs w:val="0"/>
          <w:kern w:val="0"/>
          <w:sz w:val="21"/>
          <w:szCs w:val="21"/>
          <w:highlight w:val="none"/>
          <w:lang w:bidi="ar"/>
        </w:rPr>
        <w:t>采购活动，工程的施工单位全部为符合政策要求的中小企业（或者：服务全部由符合政策要求的中小企业承接）。相关企业（含联合体中的中小企业、签订分包意向协议的中小企业）的具体情况如下：</w:t>
      </w:r>
    </w:p>
    <w:p>
      <w:pPr>
        <w:widowControl/>
        <w:spacing w:line="420" w:lineRule="exact"/>
        <w:ind w:firstLine="480"/>
        <w:jc w:val="left"/>
        <w:rPr>
          <w:rFonts w:hint="eastAsia" w:ascii="宋体" w:hAnsi="宋体" w:eastAsia="宋体" w:cs="宋体"/>
          <w:i w:val="0"/>
          <w:iCs w:val="0"/>
          <w:sz w:val="21"/>
          <w:szCs w:val="21"/>
          <w:highlight w:val="none"/>
        </w:rPr>
      </w:pPr>
      <w:r>
        <w:rPr>
          <w:rFonts w:hint="eastAsia" w:ascii="宋体" w:hAnsi="宋体" w:eastAsia="宋体" w:cs="宋体"/>
          <w:i w:val="0"/>
          <w:iCs w:val="0"/>
          <w:kern w:val="0"/>
          <w:sz w:val="21"/>
          <w:szCs w:val="21"/>
          <w:highlight w:val="none"/>
          <w:lang w:bidi="ar"/>
        </w:rPr>
        <w:t>1.</w:t>
      </w:r>
      <w:r>
        <w:rPr>
          <w:rFonts w:hint="eastAsia" w:ascii="宋体" w:hAnsi="宋体" w:eastAsia="宋体" w:cs="宋体"/>
          <w:i w:val="0"/>
          <w:iCs w:val="0"/>
          <w:kern w:val="0"/>
          <w:sz w:val="21"/>
          <w:szCs w:val="21"/>
          <w:highlight w:val="none"/>
          <w:u w:val="single"/>
          <w:lang w:bidi="ar"/>
        </w:rPr>
        <w:t>（标的名称）</w:t>
      </w:r>
      <w:r>
        <w:rPr>
          <w:rFonts w:hint="eastAsia" w:ascii="宋体" w:hAnsi="宋体" w:eastAsia="宋体" w:cs="宋体"/>
          <w:i w:val="0"/>
          <w:iCs w:val="0"/>
          <w:kern w:val="0"/>
          <w:sz w:val="21"/>
          <w:szCs w:val="21"/>
          <w:highlight w:val="none"/>
          <w:lang w:bidi="ar"/>
        </w:rPr>
        <w:t>，属于</w:t>
      </w:r>
      <w:r>
        <w:rPr>
          <w:rFonts w:hint="eastAsia" w:ascii="宋体" w:hAnsi="宋体" w:eastAsia="宋体" w:cs="宋体"/>
          <w:i w:val="0"/>
          <w:iCs w:val="0"/>
          <w:kern w:val="0"/>
          <w:sz w:val="21"/>
          <w:szCs w:val="21"/>
          <w:highlight w:val="none"/>
          <w:u w:val="single"/>
          <w:lang w:bidi="ar"/>
        </w:rPr>
        <w:t>（采购文件中明确的所属行业）</w:t>
      </w:r>
      <w:r>
        <w:rPr>
          <w:rFonts w:hint="eastAsia" w:ascii="宋体" w:hAnsi="宋体" w:eastAsia="宋体" w:cs="宋体"/>
          <w:i w:val="0"/>
          <w:iCs w:val="0"/>
          <w:kern w:val="0"/>
          <w:sz w:val="21"/>
          <w:szCs w:val="21"/>
          <w:highlight w:val="none"/>
          <w:lang w:bidi="ar"/>
        </w:rPr>
        <w:t>；承建（承接）企业为</w:t>
      </w:r>
      <w:r>
        <w:rPr>
          <w:rFonts w:hint="eastAsia" w:ascii="宋体" w:hAnsi="宋体" w:eastAsia="宋体" w:cs="宋体"/>
          <w:i w:val="0"/>
          <w:iCs w:val="0"/>
          <w:kern w:val="0"/>
          <w:sz w:val="21"/>
          <w:szCs w:val="21"/>
          <w:highlight w:val="none"/>
          <w:u w:val="single"/>
          <w:lang w:bidi="ar"/>
        </w:rPr>
        <w:t>（企业名称）</w:t>
      </w:r>
      <w:r>
        <w:rPr>
          <w:rFonts w:hint="eastAsia" w:ascii="宋体" w:hAnsi="宋体" w:eastAsia="宋体" w:cs="宋体"/>
          <w:i w:val="0"/>
          <w:iCs w:val="0"/>
          <w:kern w:val="0"/>
          <w:sz w:val="21"/>
          <w:szCs w:val="21"/>
          <w:highlight w:val="none"/>
          <w:lang w:bidi="ar"/>
        </w:rPr>
        <w:t>，从业人员</w:t>
      </w:r>
      <w:r>
        <w:rPr>
          <w:rFonts w:hint="eastAsia" w:ascii="宋体" w:hAnsi="宋体" w:eastAsia="宋体" w:cs="宋体"/>
          <w:i w:val="0"/>
          <w:iCs w:val="0"/>
          <w:kern w:val="0"/>
          <w:sz w:val="21"/>
          <w:szCs w:val="21"/>
          <w:highlight w:val="none"/>
          <w:u w:val="single"/>
          <w:lang w:bidi="ar"/>
        </w:rPr>
        <w:t xml:space="preserve">  </w:t>
      </w:r>
      <w:r>
        <w:rPr>
          <w:rFonts w:hint="eastAsia" w:ascii="宋体" w:hAnsi="宋体" w:eastAsia="宋体" w:cs="宋体"/>
          <w:i w:val="0"/>
          <w:iCs w:val="0"/>
          <w:kern w:val="0"/>
          <w:sz w:val="21"/>
          <w:szCs w:val="21"/>
          <w:highlight w:val="none"/>
          <w:lang w:bidi="ar"/>
        </w:rPr>
        <w:t>人，营业收入为</w:t>
      </w:r>
      <w:r>
        <w:rPr>
          <w:rFonts w:hint="eastAsia" w:ascii="宋体" w:hAnsi="宋体" w:eastAsia="宋体" w:cs="宋体"/>
          <w:i w:val="0"/>
          <w:iCs w:val="0"/>
          <w:kern w:val="0"/>
          <w:sz w:val="21"/>
          <w:szCs w:val="21"/>
          <w:highlight w:val="none"/>
          <w:u w:val="single"/>
          <w:lang w:bidi="ar"/>
        </w:rPr>
        <w:t xml:space="preserve">  </w:t>
      </w:r>
      <w:r>
        <w:rPr>
          <w:rFonts w:hint="eastAsia" w:ascii="宋体" w:hAnsi="宋体" w:eastAsia="宋体" w:cs="宋体"/>
          <w:i w:val="0"/>
          <w:iCs w:val="0"/>
          <w:kern w:val="0"/>
          <w:sz w:val="21"/>
          <w:szCs w:val="21"/>
          <w:highlight w:val="none"/>
          <w:lang w:bidi="ar"/>
        </w:rPr>
        <w:t>万元，资产总额为</w:t>
      </w:r>
      <w:r>
        <w:rPr>
          <w:rFonts w:hint="eastAsia" w:ascii="宋体" w:hAnsi="宋体" w:eastAsia="宋体" w:cs="宋体"/>
          <w:i w:val="0"/>
          <w:iCs w:val="0"/>
          <w:kern w:val="0"/>
          <w:sz w:val="21"/>
          <w:szCs w:val="21"/>
          <w:highlight w:val="none"/>
          <w:u w:val="single"/>
          <w:lang w:bidi="ar"/>
        </w:rPr>
        <w:t xml:space="preserve">   </w:t>
      </w:r>
      <w:r>
        <w:rPr>
          <w:rFonts w:hint="eastAsia" w:ascii="宋体" w:hAnsi="宋体" w:eastAsia="宋体" w:cs="宋体"/>
          <w:i w:val="0"/>
          <w:iCs w:val="0"/>
          <w:kern w:val="0"/>
          <w:sz w:val="21"/>
          <w:szCs w:val="21"/>
          <w:highlight w:val="none"/>
          <w:lang w:bidi="ar"/>
        </w:rPr>
        <w:t>万元，属于</w:t>
      </w:r>
      <w:r>
        <w:rPr>
          <w:rFonts w:hint="eastAsia" w:ascii="宋体" w:hAnsi="宋体" w:eastAsia="宋体" w:cs="宋体"/>
          <w:i w:val="0"/>
          <w:iCs w:val="0"/>
          <w:kern w:val="0"/>
          <w:sz w:val="21"/>
          <w:szCs w:val="21"/>
          <w:highlight w:val="none"/>
          <w:u w:val="single"/>
          <w:lang w:bidi="ar"/>
        </w:rPr>
        <w:t>（中型企业、小型企业、微型企业）</w:t>
      </w:r>
      <w:r>
        <w:rPr>
          <w:rFonts w:hint="eastAsia" w:ascii="宋体" w:hAnsi="宋体" w:eastAsia="宋体" w:cs="宋体"/>
          <w:i w:val="0"/>
          <w:iCs w:val="0"/>
          <w:kern w:val="0"/>
          <w:sz w:val="21"/>
          <w:szCs w:val="21"/>
          <w:highlight w:val="none"/>
          <w:lang w:bidi="ar"/>
        </w:rPr>
        <w:t>；</w:t>
      </w:r>
    </w:p>
    <w:p>
      <w:pPr>
        <w:widowControl/>
        <w:spacing w:line="420" w:lineRule="exact"/>
        <w:ind w:firstLine="480"/>
        <w:jc w:val="left"/>
        <w:rPr>
          <w:rFonts w:hint="eastAsia" w:ascii="宋体" w:hAnsi="宋体" w:eastAsia="宋体" w:cs="宋体"/>
          <w:i w:val="0"/>
          <w:iCs w:val="0"/>
          <w:sz w:val="21"/>
          <w:szCs w:val="21"/>
          <w:highlight w:val="none"/>
        </w:rPr>
      </w:pPr>
      <w:r>
        <w:rPr>
          <w:rFonts w:hint="eastAsia" w:ascii="宋体" w:hAnsi="宋体" w:eastAsia="宋体" w:cs="宋体"/>
          <w:i w:val="0"/>
          <w:iCs w:val="0"/>
          <w:kern w:val="0"/>
          <w:sz w:val="21"/>
          <w:szCs w:val="21"/>
          <w:highlight w:val="none"/>
          <w:lang w:bidi="ar"/>
        </w:rPr>
        <w:t>2.</w:t>
      </w:r>
      <w:r>
        <w:rPr>
          <w:rFonts w:hint="eastAsia" w:ascii="宋体" w:hAnsi="宋体" w:eastAsia="宋体" w:cs="宋体"/>
          <w:i w:val="0"/>
          <w:iCs w:val="0"/>
          <w:kern w:val="0"/>
          <w:sz w:val="21"/>
          <w:szCs w:val="21"/>
          <w:highlight w:val="none"/>
          <w:u w:val="single"/>
          <w:lang w:bidi="ar"/>
        </w:rPr>
        <w:t>（标的名称）</w:t>
      </w:r>
      <w:r>
        <w:rPr>
          <w:rFonts w:hint="eastAsia" w:ascii="宋体" w:hAnsi="宋体" w:eastAsia="宋体" w:cs="宋体"/>
          <w:i w:val="0"/>
          <w:iCs w:val="0"/>
          <w:kern w:val="0"/>
          <w:sz w:val="21"/>
          <w:szCs w:val="21"/>
          <w:highlight w:val="none"/>
          <w:lang w:bidi="ar"/>
        </w:rPr>
        <w:t>，属于</w:t>
      </w:r>
      <w:r>
        <w:rPr>
          <w:rFonts w:hint="eastAsia" w:ascii="宋体" w:hAnsi="宋体" w:eastAsia="宋体" w:cs="宋体"/>
          <w:i w:val="0"/>
          <w:iCs w:val="0"/>
          <w:kern w:val="0"/>
          <w:sz w:val="21"/>
          <w:szCs w:val="21"/>
          <w:highlight w:val="none"/>
          <w:u w:val="single"/>
          <w:lang w:bidi="ar"/>
        </w:rPr>
        <w:t>（采购文件中明确的所属行业）</w:t>
      </w:r>
      <w:r>
        <w:rPr>
          <w:rFonts w:hint="eastAsia" w:ascii="宋体" w:hAnsi="宋体" w:eastAsia="宋体" w:cs="宋体"/>
          <w:i w:val="0"/>
          <w:iCs w:val="0"/>
          <w:kern w:val="0"/>
          <w:sz w:val="21"/>
          <w:szCs w:val="21"/>
          <w:highlight w:val="none"/>
          <w:lang w:bidi="ar"/>
        </w:rPr>
        <w:t>；承建（承接）企业为（企业名称），从业人员</w:t>
      </w:r>
      <w:r>
        <w:rPr>
          <w:rFonts w:hint="eastAsia" w:ascii="宋体" w:hAnsi="宋体" w:eastAsia="宋体" w:cs="宋体"/>
          <w:i w:val="0"/>
          <w:iCs w:val="0"/>
          <w:kern w:val="0"/>
          <w:sz w:val="21"/>
          <w:szCs w:val="21"/>
          <w:highlight w:val="none"/>
          <w:u w:val="single"/>
          <w:lang w:bidi="ar"/>
        </w:rPr>
        <w:t xml:space="preserve">   </w:t>
      </w:r>
      <w:r>
        <w:rPr>
          <w:rFonts w:hint="eastAsia" w:ascii="宋体" w:hAnsi="宋体" w:eastAsia="宋体" w:cs="宋体"/>
          <w:i w:val="0"/>
          <w:iCs w:val="0"/>
          <w:kern w:val="0"/>
          <w:sz w:val="21"/>
          <w:szCs w:val="21"/>
          <w:highlight w:val="none"/>
          <w:lang w:bidi="ar"/>
        </w:rPr>
        <w:t>人，营业收入为</w:t>
      </w:r>
      <w:r>
        <w:rPr>
          <w:rFonts w:hint="eastAsia" w:ascii="宋体" w:hAnsi="宋体" w:eastAsia="宋体" w:cs="宋体"/>
          <w:i w:val="0"/>
          <w:iCs w:val="0"/>
          <w:kern w:val="0"/>
          <w:sz w:val="21"/>
          <w:szCs w:val="21"/>
          <w:highlight w:val="none"/>
          <w:u w:val="single"/>
          <w:lang w:bidi="ar"/>
        </w:rPr>
        <w:t xml:space="preserve">  </w:t>
      </w:r>
      <w:r>
        <w:rPr>
          <w:rFonts w:hint="eastAsia" w:ascii="宋体" w:hAnsi="宋体" w:eastAsia="宋体" w:cs="宋体"/>
          <w:i w:val="0"/>
          <w:iCs w:val="0"/>
          <w:kern w:val="0"/>
          <w:sz w:val="21"/>
          <w:szCs w:val="21"/>
          <w:highlight w:val="none"/>
          <w:lang w:bidi="ar"/>
        </w:rPr>
        <w:t>万元，资产总额为万元，属于</w:t>
      </w:r>
      <w:r>
        <w:rPr>
          <w:rFonts w:hint="eastAsia" w:ascii="宋体" w:hAnsi="宋体" w:eastAsia="宋体" w:cs="宋体"/>
          <w:i w:val="0"/>
          <w:iCs w:val="0"/>
          <w:kern w:val="0"/>
          <w:sz w:val="21"/>
          <w:szCs w:val="21"/>
          <w:highlight w:val="none"/>
          <w:u w:val="single"/>
          <w:lang w:bidi="ar"/>
        </w:rPr>
        <w:t>（中型企业、小型企业、微型企业）</w:t>
      </w:r>
      <w:r>
        <w:rPr>
          <w:rFonts w:hint="eastAsia" w:ascii="宋体" w:hAnsi="宋体" w:eastAsia="宋体" w:cs="宋体"/>
          <w:i w:val="0"/>
          <w:iCs w:val="0"/>
          <w:kern w:val="0"/>
          <w:sz w:val="21"/>
          <w:szCs w:val="21"/>
          <w:highlight w:val="none"/>
          <w:lang w:bidi="ar"/>
        </w:rPr>
        <w:t>；</w:t>
      </w:r>
    </w:p>
    <w:p>
      <w:pPr>
        <w:widowControl/>
        <w:spacing w:line="420" w:lineRule="exact"/>
        <w:ind w:firstLine="480"/>
        <w:jc w:val="left"/>
        <w:rPr>
          <w:rFonts w:hint="eastAsia" w:ascii="宋体" w:hAnsi="宋体" w:eastAsia="宋体" w:cs="宋体"/>
          <w:i w:val="0"/>
          <w:iCs w:val="0"/>
          <w:sz w:val="21"/>
          <w:szCs w:val="21"/>
          <w:highlight w:val="none"/>
        </w:rPr>
      </w:pPr>
      <w:r>
        <w:rPr>
          <w:rFonts w:hint="eastAsia" w:ascii="宋体" w:hAnsi="宋体" w:eastAsia="宋体" w:cs="宋体"/>
          <w:i w:val="0"/>
          <w:iCs w:val="0"/>
          <w:kern w:val="0"/>
          <w:sz w:val="21"/>
          <w:szCs w:val="21"/>
          <w:highlight w:val="none"/>
          <w:lang w:bidi="ar"/>
        </w:rPr>
        <w:t>……</w:t>
      </w:r>
    </w:p>
    <w:p>
      <w:pPr>
        <w:widowControl/>
        <w:spacing w:line="420" w:lineRule="exact"/>
        <w:ind w:firstLine="480"/>
        <w:jc w:val="left"/>
        <w:rPr>
          <w:rFonts w:hint="eastAsia" w:ascii="宋体" w:hAnsi="宋体" w:eastAsia="宋体" w:cs="宋体"/>
          <w:i w:val="0"/>
          <w:iCs w:val="0"/>
          <w:sz w:val="21"/>
          <w:szCs w:val="21"/>
          <w:highlight w:val="none"/>
        </w:rPr>
      </w:pPr>
      <w:r>
        <w:rPr>
          <w:rFonts w:hint="eastAsia" w:ascii="宋体" w:hAnsi="宋体" w:eastAsia="宋体" w:cs="宋体"/>
          <w:i w:val="0"/>
          <w:iCs w:val="0"/>
          <w:kern w:val="0"/>
          <w:sz w:val="21"/>
          <w:szCs w:val="21"/>
          <w:highlight w:val="none"/>
          <w:lang w:bidi="ar"/>
        </w:rPr>
        <w:t>以上企业，不属于大企业的分支机构，不存在控股股东为大企业的情形，也不存在与大企业的负责人为同一人的情形。</w:t>
      </w:r>
    </w:p>
    <w:p>
      <w:pPr>
        <w:widowControl/>
        <w:spacing w:line="420" w:lineRule="exact"/>
        <w:ind w:firstLine="480"/>
        <w:jc w:val="left"/>
        <w:rPr>
          <w:rFonts w:hint="eastAsia" w:ascii="宋体" w:hAnsi="宋体" w:eastAsia="宋体" w:cs="宋体"/>
          <w:i w:val="0"/>
          <w:iCs w:val="0"/>
          <w:sz w:val="21"/>
          <w:szCs w:val="21"/>
          <w:highlight w:val="none"/>
        </w:rPr>
      </w:pPr>
      <w:r>
        <w:rPr>
          <w:rFonts w:hint="eastAsia" w:ascii="宋体" w:hAnsi="宋体" w:eastAsia="宋体" w:cs="宋体"/>
          <w:i w:val="0"/>
          <w:iCs w:val="0"/>
          <w:kern w:val="0"/>
          <w:sz w:val="21"/>
          <w:szCs w:val="21"/>
          <w:highlight w:val="none"/>
          <w:lang w:bidi="ar"/>
        </w:rPr>
        <w:t>本企业对上述声明内容的真实性负责。如有虚假，将依法承担相应责任。</w:t>
      </w:r>
    </w:p>
    <w:p>
      <w:pPr>
        <w:widowControl/>
        <w:spacing w:line="420" w:lineRule="exact"/>
        <w:ind w:firstLine="480"/>
        <w:jc w:val="right"/>
        <w:rPr>
          <w:rFonts w:hint="eastAsia" w:ascii="宋体" w:hAnsi="宋体" w:eastAsia="宋体" w:cs="宋体"/>
          <w:i w:val="0"/>
          <w:iCs w:val="0"/>
          <w:kern w:val="0"/>
          <w:sz w:val="21"/>
          <w:szCs w:val="21"/>
          <w:highlight w:val="none"/>
          <w:lang w:bidi="ar"/>
        </w:rPr>
      </w:pPr>
    </w:p>
    <w:p>
      <w:pPr>
        <w:widowControl/>
        <w:spacing w:line="420" w:lineRule="exact"/>
        <w:ind w:firstLine="480"/>
        <w:jc w:val="center"/>
        <w:rPr>
          <w:rFonts w:hint="eastAsia" w:ascii="宋体" w:hAnsi="宋体" w:eastAsia="宋体" w:cs="宋体"/>
          <w:i w:val="0"/>
          <w:iCs w:val="0"/>
          <w:kern w:val="0"/>
          <w:sz w:val="21"/>
          <w:szCs w:val="21"/>
          <w:highlight w:val="none"/>
          <w:lang w:bidi="ar"/>
        </w:rPr>
      </w:pPr>
      <w:r>
        <w:rPr>
          <w:rFonts w:hint="eastAsia" w:ascii="宋体" w:hAnsi="宋体" w:eastAsia="宋体" w:cs="宋体"/>
          <w:i w:val="0"/>
          <w:iCs w:val="0"/>
          <w:kern w:val="0"/>
          <w:sz w:val="21"/>
          <w:szCs w:val="21"/>
          <w:highlight w:val="none"/>
          <w:lang w:bidi="ar"/>
        </w:rPr>
        <w:t xml:space="preserve">                                  </w:t>
      </w:r>
    </w:p>
    <w:p>
      <w:pPr>
        <w:widowControl/>
        <w:spacing w:line="420" w:lineRule="exact"/>
        <w:ind w:firstLine="480"/>
        <w:jc w:val="center"/>
        <w:rPr>
          <w:rFonts w:hint="eastAsia" w:ascii="宋体" w:hAnsi="宋体" w:eastAsia="宋体" w:cs="宋体"/>
          <w:i w:val="0"/>
          <w:iCs w:val="0"/>
          <w:sz w:val="21"/>
          <w:szCs w:val="21"/>
          <w:highlight w:val="none"/>
        </w:rPr>
      </w:pPr>
      <w:r>
        <w:rPr>
          <w:rFonts w:hint="eastAsia" w:ascii="宋体" w:hAnsi="宋体" w:cs="宋体"/>
          <w:i w:val="0"/>
          <w:iCs w:val="0"/>
          <w:kern w:val="0"/>
          <w:sz w:val="21"/>
          <w:szCs w:val="21"/>
          <w:highlight w:val="none"/>
          <w:lang w:val="en-US" w:eastAsia="zh-CN" w:bidi="ar"/>
        </w:rPr>
        <w:t xml:space="preserve">                                     </w:t>
      </w:r>
      <w:r>
        <w:rPr>
          <w:rFonts w:hint="eastAsia" w:ascii="宋体" w:hAnsi="宋体" w:eastAsia="宋体" w:cs="宋体"/>
          <w:i w:val="0"/>
          <w:iCs w:val="0"/>
          <w:kern w:val="0"/>
          <w:sz w:val="21"/>
          <w:szCs w:val="21"/>
          <w:highlight w:val="none"/>
          <w:lang w:bidi="ar"/>
        </w:rPr>
        <w:t>企业名称（盖章）：</w:t>
      </w:r>
    </w:p>
    <w:p>
      <w:pPr>
        <w:widowControl/>
        <w:spacing w:line="420" w:lineRule="exact"/>
        <w:ind w:firstLine="5670" w:firstLineChars="2700"/>
        <w:jc w:val="left"/>
        <w:rPr>
          <w:rFonts w:hint="eastAsia" w:ascii="宋体" w:hAnsi="宋体" w:eastAsia="宋体" w:cs="宋体"/>
          <w:i w:val="0"/>
          <w:iCs w:val="0"/>
          <w:sz w:val="21"/>
          <w:szCs w:val="21"/>
          <w:highlight w:val="none"/>
        </w:rPr>
      </w:pPr>
      <w:r>
        <w:rPr>
          <w:rFonts w:hint="eastAsia" w:ascii="宋体" w:hAnsi="宋体" w:eastAsia="宋体" w:cs="宋体"/>
          <w:i w:val="0"/>
          <w:iCs w:val="0"/>
          <w:kern w:val="0"/>
          <w:sz w:val="21"/>
          <w:szCs w:val="21"/>
          <w:highlight w:val="none"/>
          <w:lang w:bidi="ar"/>
        </w:rPr>
        <w:t>日 期：</w:t>
      </w:r>
    </w:p>
    <w:p>
      <w:pPr>
        <w:widowControl/>
        <w:spacing w:line="420" w:lineRule="exact"/>
        <w:ind w:firstLine="480"/>
        <w:jc w:val="left"/>
        <w:rPr>
          <w:rFonts w:hint="eastAsia" w:ascii="宋体" w:hAnsi="宋体" w:eastAsia="宋体" w:cs="宋体"/>
          <w:i w:val="0"/>
          <w:iCs w:val="0"/>
          <w:sz w:val="21"/>
          <w:szCs w:val="21"/>
          <w:highlight w:val="none"/>
        </w:rPr>
      </w:pPr>
      <w:r>
        <w:rPr>
          <w:rFonts w:hint="eastAsia" w:ascii="宋体" w:hAnsi="宋体" w:eastAsia="宋体" w:cs="宋体"/>
          <w:i w:val="0"/>
          <w:iCs w:val="0"/>
          <w:kern w:val="0"/>
          <w:sz w:val="21"/>
          <w:szCs w:val="21"/>
          <w:highlight w:val="none"/>
          <w:lang w:bidi="ar"/>
        </w:rPr>
        <w:t>从业人员、营业收入、资产总额填报上一年度数据，无上一年度数据的新成立企业可不填报。</w:t>
      </w:r>
    </w:p>
    <w:p>
      <w:pPr>
        <w:pStyle w:val="14"/>
        <w:spacing w:line="360" w:lineRule="auto"/>
        <w:ind w:left="0" w:leftChars="0" w:firstLine="0" w:firstLineChars="0"/>
        <w:rPr>
          <w:rFonts w:hint="eastAsia" w:ascii="宋体" w:hAnsi="宋体" w:eastAsia="宋体" w:cs="Times New Roman"/>
          <w:color w:val="auto"/>
          <w:kern w:val="2"/>
          <w:sz w:val="21"/>
          <w:szCs w:val="21"/>
          <w:lang w:val="en-US" w:eastAsia="zh-CN" w:bidi="ar-SA"/>
        </w:rPr>
      </w:pPr>
    </w:p>
    <w:p>
      <w:pPr>
        <w:spacing w:line="360" w:lineRule="auto"/>
        <w:ind w:firstLine="420" w:firstLineChars="200"/>
        <w:jc w:val="center"/>
        <w:rPr>
          <w:rFonts w:hint="eastAsia" w:ascii="宋体" w:hAnsi="宋体"/>
          <w:color w:val="auto"/>
          <w:sz w:val="21"/>
          <w:szCs w:val="21"/>
        </w:rPr>
      </w:pPr>
      <w:r>
        <w:rPr>
          <w:rFonts w:hint="eastAsia" w:ascii="宋体" w:hAnsi="宋体"/>
          <w:color w:val="auto"/>
          <w:sz w:val="21"/>
          <w:szCs w:val="21"/>
        </w:rPr>
        <w:t xml:space="preserve">         </w:t>
      </w:r>
    </w:p>
    <w:p>
      <w:pPr>
        <w:rPr>
          <w:rFonts w:hint="eastAsia" w:ascii="宋体" w:hAnsi="宋体" w:eastAsia="宋体" w:cs="宋体"/>
          <w:color w:val="auto"/>
        </w:rPr>
      </w:pPr>
      <w:bookmarkStart w:id="994" w:name="_Toc8395"/>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pStyle w:val="2"/>
        <w:rPr>
          <w:rFonts w:hint="eastAsia"/>
        </w:rPr>
      </w:pPr>
    </w:p>
    <w:p>
      <w:pPr>
        <w:pStyle w:val="3"/>
        <w:rPr>
          <w:rFonts w:hint="eastAsia"/>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p>
    <w:p>
      <w:pPr>
        <w:rPr>
          <w:rFonts w:hint="eastAsia" w:ascii="宋体" w:hAnsi="宋体" w:eastAsia="宋体" w:cs="宋体"/>
          <w:color w:val="auto"/>
        </w:rPr>
      </w:pPr>
      <w:r>
        <w:rPr>
          <w:rFonts w:hint="eastAsia" w:ascii="宋体" w:hAnsi="宋体" w:eastAsia="宋体" w:cs="宋体"/>
          <w:color w:val="auto"/>
        </w:rPr>
        <w:t>附件1.</w:t>
      </w:r>
      <w:bookmarkEnd w:id="994"/>
      <w:r>
        <w:rPr>
          <w:rFonts w:hint="eastAsia" w:ascii="宋体" w:hAnsi="宋体" w:eastAsia="宋体" w:cs="宋体"/>
          <w:color w:val="auto"/>
        </w:rPr>
        <w:t xml:space="preserve"> </w:t>
      </w:r>
    </w:p>
    <w:p>
      <w:pPr>
        <w:widowControl/>
        <w:spacing w:line="330" w:lineRule="atLeast"/>
        <w:jc w:val="center"/>
        <w:outlineLvl w:val="0"/>
        <w:rPr>
          <w:rFonts w:hint="eastAsia" w:ascii="宋体" w:hAnsi="宋体" w:eastAsia="宋体" w:cs="宋体"/>
          <w:color w:val="auto"/>
          <w:kern w:val="0"/>
          <w:sz w:val="36"/>
          <w:szCs w:val="32"/>
        </w:rPr>
      </w:pPr>
      <w:bookmarkStart w:id="995" w:name="_Toc12697"/>
      <w:bookmarkStart w:id="996" w:name="_Toc10200"/>
      <w:r>
        <w:rPr>
          <w:rFonts w:hint="eastAsia" w:ascii="宋体" w:hAnsi="宋体" w:eastAsia="宋体" w:cs="宋体"/>
          <w:color w:val="auto"/>
          <w:kern w:val="0"/>
          <w:sz w:val="36"/>
          <w:szCs w:val="32"/>
        </w:rPr>
        <w:t>国家统计局《统计上大中小微型企业划分标准》</w:t>
      </w:r>
      <w:bookmarkEnd w:id="995"/>
      <w:bookmarkEnd w:id="996"/>
    </w:p>
    <w:tbl>
      <w:tblPr>
        <w:tblStyle w:val="48"/>
        <w:tblW w:w="9435" w:type="dxa"/>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tblPrEx>
          <w:tblCellMar>
            <w:top w:w="0" w:type="dxa"/>
            <w:left w:w="108" w:type="dxa"/>
            <w:bottom w:w="0" w:type="dxa"/>
            <w:right w:w="108" w:type="dxa"/>
          </w:tblCellMar>
        </w:tblPrEx>
        <w:trPr>
          <w:trHeight w:val="622" w:hRule="exact"/>
          <w:jc w:val="center"/>
        </w:trPr>
        <w:tc>
          <w:tcPr>
            <w:tcW w:w="211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b/>
                <w:bCs/>
                <w:color w:val="auto"/>
                <w:kern w:val="0"/>
                <w:sz w:val="18"/>
                <w:szCs w:val="21"/>
              </w:rPr>
            </w:pPr>
            <w:r>
              <w:rPr>
                <w:rFonts w:hint="eastAsia" w:ascii="宋体" w:hAnsi="宋体" w:eastAsia="宋体" w:cs="宋体"/>
                <w:b/>
                <w:bCs/>
                <w:color w:val="auto"/>
                <w:kern w:val="0"/>
                <w:sz w:val="18"/>
                <w:szCs w:val="21"/>
              </w:rPr>
              <w:t>行业名称</w:t>
            </w:r>
          </w:p>
        </w:tc>
        <w:tc>
          <w:tcPr>
            <w:tcW w:w="136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指标名称</w:t>
            </w:r>
          </w:p>
        </w:tc>
        <w:tc>
          <w:tcPr>
            <w:tcW w:w="70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18"/>
                <w:szCs w:val="18"/>
                <w:lang w:eastAsia="zh-CN"/>
              </w:rPr>
            </w:pPr>
            <w:r>
              <w:rPr>
                <w:rFonts w:hint="eastAsia" w:ascii="宋体" w:hAnsi="宋体" w:eastAsia="宋体" w:cs="宋体"/>
                <w:b/>
                <w:bCs/>
                <w:color w:val="auto"/>
                <w:kern w:val="0"/>
                <w:sz w:val="18"/>
                <w:szCs w:val="18"/>
              </w:rPr>
              <w:t>计量</w:t>
            </w:r>
          </w:p>
          <w:p>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单位</w:t>
            </w:r>
          </w:p>
        </w:tc>
        <w:tc>
          <w:tcPr>
            <w:tcW w:w="112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大型</w:t>
            </w:r>
          </w:p>
        </w:tc>
        <w:tc>
          <w:tcPr>
            <w:tcW w:w="170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中型</w:t>
            </w:r>
          </w:p>
        </w:tc>
        <w:tc>
          <w:tcPr>
            <w:tcW w:w="142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小型</w:t>
            </w:r>
          </w:p>
        </w:tc>
        <w:tc>
          <w:tcPr>
            <w:tcW w:w="992" w:type="dxa"/>
            <w:tcBorders>
              <w:top w:val="single" w:color="auto" w:sz="4" w:space="0"/>
              <w:left w:val="nil"/>
              <w:bottom w:val="single" w:color="auto" w:sz="4" w:space="0"/>
              <w:right w:val="nil"/>
            </w:tcBorders>
            <w:noWrap w:val="0"/>
            <w:vAlign w:val="center"/>
          </w:tcPr>
          <w:p>
            <w:pPr>
              <w:widowControl/>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微型</w:t>
            </w:r>
          </w:p>
        </w:tc>
      </w:tr>
      <w:tr>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农、林、牧、渔业</w:t>
            </w:r>
          </w:p>
        </w:tc>
        <w:tc>
          <w:tcPr>
            <w:tcW w:w="13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Y≥20000</w:t>
            </w:r>
          </w:p>
        </w:tc>
        <w:tc>
          <w:tcPr>
            <w:tcW w:w="170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500≤Y＜20000</w:t>
            </w:r>
          </w:p>
        </w:tc>
        <w:tc>
          <w:tcPr>
            <w:tcW w:w="142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50≤Y＜500</w:t>
            </w:r>
          </w:p>
        </w:tc>
        <w:tc>
          <w:tcPr>
            <w:tcW w:w="992" w:type="dxa"/>
            <w:tcBorders>
              <w:top w:val="nil"/>
              <w:left w:val="nil"/>
              <w:bottom w:val="single" w:color="auto" w:sz="4" w:space="0"/>
              <w:right w:val="nil"/>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Y＜50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工业 *</w:t>
            </w:r>
          </w:p>
        </w:tc>
        <w:tc>
          <w:tcPr>
            <w:tcW w:w="1369" w:type="dxa"/>
            <w:tcBorders>
              <w:top w:val="nil"/>
              <w:left w:val="nil"/>
              <w:bottom w:val="nil"/>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tcBorders>
              <w:top w:val="nil"/>
              <w:left w:val="nil"/>
              <w:bottom w:val="nil"/>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tcBorders>
              <w:top w:val="nil"/>
              <w:left w:val="nil"/>
              <w:bottom w:val="nil"/>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X≥1000</w:t>
            </w:r>
          </w:p>
        </w:tc>
        <w:tc>
          <w:tcPr>
            <w:tcW w:w="1701" w:type="dxa"/>
            <w:tcBorders>
              <w:top w:val="nil"/>
              <w:left w:val="nil"/>
              <w:bottom w:val="nil"/>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300≤X＜1000</w:t>
            </w:r>
          </w:p>
        </w:tc>
        <w:tc>
          <w:tcPr>
            <w:tcW w:w="1426" w:type="dxa"/>
            <w:tcBorders>
              <w:top w:val="nil"/>
              <w:left w:val="nil"/>
              <w:bottom w:val="nil"/>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20≤X＜300</w:t>
            </w:r>
          </w:p>
        </w:tc>
        <w:tc>
          <w:tcPr>
            <w:tcW w:w="992" w:type="dxa"/>
            <w:tcBorders>
              <w:top w:val="nil"/>
              <w:left w:val="nil"/>
              <w:bottom w:val="nil"/>
              <w:right w:val="nil"/>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X＜20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8"/>
                <w:szCs w:val="18"/>
              </w:rPr>
            </w:pPr>
          </w:p>
        </w:tc>
        <w:tc>
          <w:tcPr>
            <w:tcW w:w="13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Y≥40000</w:t>
            </w:r>
          </w:p>
        </w:tc>
        <w:tc>
          <w:tcPr>
            <w:tcW w:w="170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2000≤Y＜40000</w:t>
            </w:r>
          </w:p>
        </w:tc>
        <w:tc>
          <w:tcPr>
            <w:tcW w:w="142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300≤Y＜2000</w:t>
            </w:r>
          </w:p>
        </w:tc>
        <w:tc>
          <w:tcPr>
            <w:tcW w:w="992" w:type="dxa"/>
            <w:tcBorders>
              <w:top w:val="nil"/>
              <w:left w:val="nil"/>
              <w:bottom w:val="single" w:color="auto" w:sz="4" w:space="0"/>
              <w:right w:val="nil"/>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Y＜300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建筑业</w:t>
            </w:r>
          </w:p>
        </w:tc>
        <w:tc>
          <w:tcPr>
            <w:tcW w:w="1369" w:type="dxa"/>
            <w:tcBorders>
              <w:top w:val="nil"/>
              <w:left w:val="nil"/>
              <w:bottom w:val="nil"/>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tcBorders>
              <w:top w:val="nil"/>
              <w:left w:val="nil"/>
              <w:bottom w:val="nil"/>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tcBorders>
              <w:top w:val="nil"/>
              <w:left w:val="nil"/>
              <w:bottom w:val="nil"/>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Y≥80000</w:t>
            </w:r>
          </w:p>
        </w:tc>
        <w:tc>
          <w:tcPr>
            <w:tcW w:w="1701" w:type="dxa"/>
            <w:tcBorders>
              <w:top w:val="nil"/>
              <w:left w:val="nil"/>
              <w:bottom w:val="nil"/>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6000≤Y＜80000</w:t>
            </w:r>
          </w:p>
        </w:tc>
        <w:tc>
          <w:tcPr>
            <w:tcW w:w="1426" w:type="dxa"/>
            <w:tcBorders>
              <w:top w:val="nil"/>
              <w:left w:val="nil"/>
              <w:bottom w:val="nil"/>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300≤Y＜6000</w:t>
            </w:r>
          </w:p>
        </w:tc>
        <w:tc>
          <w:tcPr>
            <w:tcW w:w="992" w:type="dxa"/>
            <w:tcBorders>
              <w:top w:val="nil"/>
              <w:left w:val="nil"/>
              <w:bottom w:val="nil"/>
              <w:right w:val="nil"/>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Y＜300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8"/>
                <w:szCs w:val="18"/>
              </w:rPr>
            </w:pPr>
          </w:p>
        </w:tc>
        <w:tc>
          <w:tcPr>
            <w:tcW w:w="13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资产总额(Z)</w:t>
            </w:r>
          </w:p>
        </w:tc>
        <w:tc>
          <w:tcPr>
            <w:tcW w:w="70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Z≥80000</w:t>
            </w:r>
          </w:p>
        </w:tc>
        <w:tc>
          <w:tcPr>
            <w:tcW w:w="170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5000≤Z＜80000</w:t>
            </w:r>
          </w:p>
        </w:tc>
        <w:tc>
          <w:tcPr>
            <w:tcW w:w="142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300≤Z＜5000</w:t>
            </w:r>
          </w:p>
        </w:tc>
        <w:tc>
          <w:tcPr>
            <w:tcW w:w="992" w:type="dxa"/>
            <w:tcBorders>
              <w:top w:val="nil"/>
              <w:left w:val="nil"/>
              <w:bottom w:val="single" w:color="auto" w:sz="4" w:space="0"/>
              <w:right w:val="nil"/>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Z＜300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批发业</w:t>
            </w:r>
          </w:p>
        </w:tc>
        <w:tc>
          <w:tcPr>
            <w:tcW w:w="1369" w:type="dxa"/>
            <w:tcBorders>
              <w:top w:val="nil"/>
              <w:left w:val="nil"/>
              <w:bottom w:val="nil"/>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tcBorders>
              <w:top w:val="nil"/>
              <w:left w:val="nil"/>
              <w:bottom w:val="nil"/>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tcBorders>
              <w:top w:val="nil"/>
              <w:left w:val="nil"/>
              <w:bottom w:val="nil"/>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X≥200</w:t>
            </w:r>
          </w:p>
        </w:tc>
        <w:tc>
          <w:tcPr>
            <w:tcW w:w="1701" w:type="dxa"/>
            <w:tcBorders>
              <w:top w:val="nil"/>
              <w:left w:val="nil"/>
              <w:bottom w:val="nil"/>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20≤X＜200</w:t>
            </w:r>
          </w:p>
        </w:tc>
        <w:tc>
          <w:tcPr>
            <w:tcW w:w="1426" w:type="dxa"/>
            <w:tcBorders>
              <w:top w:val="nil"/>
              <w:left w:val="nil"/>
              <w:bottom w:val="nil"/>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5≤X＜20</w:t>
            </w:r>
          </w:p>
        </w:tc>
        <w:tc>
          <w:tcPr>
            <w:tcW w:w="992" w:type="dxa"/>
            <w:tcBorders>
              <w:top w:val="nil"/>
              <w:left w:val="nil"/>
              <w:bottom w:val="nil"/>
              <w:right w:val="nil"/>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X＜5</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8"/>
                <w:szCs w:val="18"/>
              </w:rPr>
            </w:pPr>
          </w:p>
        </w:tc>
        <w:tc>
          <w:tcPr>
            <w:tcW w:w="13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Y≥40000</w:t>
            </w:r>
          </w:p>
        </w:tc>
        <w:tc>
          <w:tcPr>
            <w:tcW w:w="170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5000≤Y＜40000</w:t>
            </w:r>
          </w:p>
        </w:tc>
        <w:tc>
          <w:tcPr>
            <w:tcW w:w="1426" w:type="dxa"/>
            <w:tcBorders>
              <w:top w:val="nil"/>
              <w:left w:val="nil"/>
              <w:bottom w:val="single" w:color="auto" w:sz="4" w:space="0"/>
              <w:right w:val="single" w:color="auto" w:sz="4" w:space="0"/>
            </w:tcBorders>
            <w:noWrap w:val="0"/>
            <w:vAlign w:val="center"/>
          </w:tcPr>
          <w:p>
            <w:pPr>
              <w:widowControl/>
              <w:ind w:left="-1" w:leftChars="-1" w:hanging="1"/>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1000≤Y＜5000</w:t>
            </w:r>
          </w:p>
        </w:tc>
        <w:tc>
          <w:tcPr>
            <w:tcW w:w="992" w:type="dxa"/>
            <w:tcBorders>
              <w:top w:val="nil"/>
              <w:left w:val="nil"/>
              <w:bottom w:val="single" w:color="auto" w:sz="4" w:space="0"/>
              <w:right w:val="nil"/>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零售业</w:t>
            </w:r>
          </w:p>
        </w:tc>
        <w:tc>
          <w:tcPr>
            <w:tcW w:w="1369" w:type="dxa"/>
            <w:tcBorders>
              <w:top w:val="nil"/>
              <w:left w:val="nil"/>
              <w:bottom w:val="nil"/>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tcBorders>
              <w:top w:val="nil"/>
              <w:left w:val="nil"/>
              <w:bottom w:val="nil"/>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tcBorders>
              <w:top w:val="nil"/>
              <w:left w:val="nil"/>
              <w:bottom w:val="nil"/>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X≥300</w:t>
            </w:r>
          </w:p>
        </w:tc>
        <w:tc>
          <w:tcPr>
            <w:tcW w:w="1701" w:type="dxa"/>
            <w:tcBorders>
              <w:top w:val="nil"/>
              <w:left w:val="nil"/>
              <w:bottom w:val="nil"/>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50≤X＜300</w:t>
            </w:r>
          </w:p>
        </w:tc>
        <w:tc>
          <w:tcPr>
            <w:tcW w:w="1426" w:type="dxa"/>
            <w:tcBorders>
              <w:top w:val="nil"/>
              <w:left w:val="nil"/>
              <w:bottom w:val="nil"/>
              <w:right w:val="single" w:color="auto" w:sz="4" w:space="0"/>
            </w:tcBorders>
            <w:noWrap w:val="0"/>
            <w:vAlign w:val="center"/>
          </w:tcPr>
          <w:p>
            <w:pPr>
              <w:widowControl/>
              <w:ind w:left="-1" w:leftChars="-1" w:hanging="1"/>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10≤X＜50 </w:t>
            </w:r>
          </w:p>
        </w:tc>
        <w:tc>
          <w:tcPr>
            <w:tcW w:w="992" w:type="dxa"/>
            <w:tcBorders>
              <w:top w:val="nil"/>
              <w:left w:val="nil"/>
              <w:bottom w:val="nil"/>
              <w:right w:val="nil"/>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8"/>
                <w:szCs w:val="18"/>
              </w:rPr>
            </w:pPr>
          </w:p>
        </w:tc>
        <w:tc>
          <w:tcPr>
            <w:tcW w:w="13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Y≥20000</w:t>
            </w:r>
          </w:p>
        </w:tc>
        <w:tc>
          <w:tcPr>
            <w:tcW w:w="170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500≤Y＜20000</w:t>
            </w:r>
          </w:p>
        </w:tc>
        <w:tc>
          <w:tcPr>
            <w:tcW w:w="1426" w:type="dxa"/>
            <w:tcBorders>
              <w:top w:val="nil"/>
              <w:left w:val="nil"/>
              <w:bottom w:val="single" w:color="auto" w:sz="4" w:space="0"/>
              <w:right w:val="single" w:color="auto" w:sz="4" w:space="0"/>
            </w:tcBorders>
            <w:noWrap w:val="0"/>
            <w:vAlign w:val="center"/>
          </w:tcPr>
          <w:p>
            <w:pPr>
              <w:widowControl/>
              <w:ind w:left="-1" w:leftChars="-1" w:hanging="1"/>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100≤Y＜500 </w:t>
            </w:r>
          </w:p>
        </w:tc>
        <w:tc>
          <w:tcPr>
            <w:tcW w:w="992" w:type="dxa"/>
            <w:tcBorders>
              <w:top w:val="nil"/>
              <w:left w:val="nil"/>
              <w:bottom w:val="single" w:color="auto" w:sz="4" w:space="0"/>
              <w:right w:val="nil"/>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交通运输业 *</w:t>
            </w:r>
          </w:p>
        </w:tc>
        <w:tc>
          <w:tcPr>
            <w:tcW w:w="1369" w:type="dxa"/>
            <w:tcBorders>
              <w:top w:val="nil"/>
              <w:left w:val="nil"/>
              <w:bottom w:val="nil"/>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tcBorders>
              <w:top w:val="nil"/>
              <w:left w:val="nil"/>
              <w:bottom w:val="nil"/>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tcBorders>
              <w:top w:val="nil"/>
              <w:left w:val="nil"/>
              <w:bottom w:val="nil"/>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X≥1000</w:t>
            </w:r>
          </w:p>
        </w:tc>
        <w:tc>
          <w:tcPr>
            <w:tcW w:w="1701" w:type="dxa"/>
            <w:tcBorders>
              <w:top w:val="nil"/>
              <w:left w:val="nil"/>
              <w:bottom w:val="nil"/>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300≤X＜1000</w:t>
            </w:r>
          </w:p>
        </w:tc>
        <w:tc>
          <w:tcPr>
            <w:tcW w:w="1426" w:type="dxa"/>
            <w:tcBorders>
              <w:top w:val="nil"/>
              <w:left w:val="nil"/>
              <w:bottom w:val="nil"/>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20≤X＜300</w:t>
            </w:r>
          </w:p>
        </w:tc>
        <w:tc>
          <w:tcPr>
            <w:tcW w:w="992" w:type="dxa"/>
            <w:tcBorders>
              <w:top w:val="nil"/>
              <w:left w:val="nil"/>
              <w:bottom w:val="nil"/>
              <w:right w:val="nil"/>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X＜20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8"/>
                <w:szCs w:val="18"/>
              </w:rPr>
            </w:pPr>
          </w:p>
        </w:tc>
        <w:tc>
          <w:tcPr>
            <w:tcW w:w="13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Y≥30000</w:t>
            </w:r>
          </w:p>
        </w:tc>
        <w:tc>
          <w:tcPr>
            <w:tcW w:w="170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3000≤Y＜30000</w:t>
            </w:r>
          </w:p>
        </w:tc>
        <w:tc>
          <w:tcPr>
            <w:tcW w:w="142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200≤Y＜3000</w:t>
            </w:r>
          </w:p>
        </w:tc>
        <w:tc>
          <w:tcPr>
            <w:tcW w:w="992" w:type="dxa"/>
            <w:tcBorders>
              <w:top w:val="nil"/>
              <w:left w:val="nil"/>
              <w:bottom w:val="single" w:color="auto" w:sz="4" w:space="0"/>
              <w:right w:val="nil"/>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Y＜200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仓储业*</w:t>
            </w:r>
          </w:p>
        </w:tc>
        <w:tc>
          <w:tcPr>
            <w:tcW w:w="1369" w:type="dxa"/>
            <w:tcBorders>
              <w:top w:val="nil"/>
              <w:left w:val="nil"/>
              <w:bottom w:val="nil"/>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tcBorders>
              <w:top w:val="nil"/>
              <w:left w:val="nil"/>
              <w:bottom w:val="nil"/>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tcBorders>
              <w:top w:val="nil"/>
              <w:left w:val="nil"/>
              <w:bottom w:val="nil"/>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X≥200</w:t>
            </w:r>
          </w:p>
        </w:tc>
        <w:tc>
          <w:tcPr>
            <w:tcW w:w="1701" w:type="dxa"/>
            <w:tcBorders>
              <w:top w:val="nil"/>
              <w:left w:val="nil"/>
              <w:bottom w:val="nil"/>
              <w:right w:val="single" w:color="auto" w:sz="4" w:space="0"/>
            </w:tcBorders>
            <w:noWrap w:val="0"/>
            <w:vAlign w:val="center"/>
          </w:tcPr>
          <w:p>
            <w:pPr>
              <w:widowControl/>
              <w:ind w:left="1" w:leftChars="-51" w:hanging="108" w:hangingChars="6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100≤X＜200</w:t>
            </w:r>
          </w:p>
        </w:tc>
        <w:tc>
          <w:tcPr>
            <w:tcW w:w="1426" w:type="dxa"/>
            <w:tcBorders>
              <w:top w:val="nil"/>
              <w:left w:val="nil"/>
              <w:bottom w:val="nil"/>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20≤X＜100</w:t>
            </w:r>
          </w:p>
        </w:tc>
        <w:tc>
          <w:tcPr>
            <w:tcW w:w="992" w:type="dxa"/>
            <w:tcBorders>
              <w:top w:val="nil"/>
              <w:left w:val="nil"/>
              <w:bottom w:val="nil"/>
              <w:right w:val="nil"/>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X＜20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8"/>
                <w:szCs w:val="18"/>
              </w:rPr>
            </w:pPr>
          </w:p>
        </w:tc>
        <w:tc>
          <w:tcPr>
            <w:tcW w:w="13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Y≥30000</w:t>
            </w:r>
          </w:p>
        </w:tc>
        <w:tc>
          <w:tcPr>
            <w:tcW w:w="170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1000≤Y＜30000</w:t>
            </w:r>
          </w:p>
        </w:tc>
        <w:tc>
          <w:tcPr>
            <w:tcW w:w="142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100≤Y＜1000</w:t>
            </w:r>
          </w:p>
        </w:tc>
        <w:tc>
          <w:tcPr>
            <w:tcW w:w="992" w:type="dxa"/>
            <w:tcBorders>
              <w:top w:val="nil"/>
              <w:left w:val="nil"/>
              <w:bottom w:val="single" w:color="auto" w:sz="4" w:space="0"/>
              <w:right w:val="nil"/>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邮政业</w:t>
            </w:r>
          </w:p>
        </w:tc>
        <w:tc>
          <w:tcPr>
            <w:tcW w:w="1369" w:type="dxa"/>
            <w:tcBorders>
              <w:top w:val="nil"/>
              <w:left w:val="nil"/>
              <w:bottom w:val="nil"/>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tcBorders>
              <w:top w:val="nil"/>
              <w:left w:val="nil"/>
              <w:bottom w:val="nil"/>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tcBorders>
              <w:top w:val="nil"/>
              <w:left w:val="nil"/>
              <w:bottom w:val="nil"/>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X≥1000</w:t>
            </w:r>
          </w:p>
        </w:tc>
        <w:tc>
          <w:tcPr>
            <w:tcW w:w="1701" w:type="dxa"/>
            <w:tcBorders>
              <w:top w:val="nil"/>
              <w:left w:val="nil"/>
              <w:bottom w:val="nil"/>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300≤X＜1000</w:t>
            </w:r>
          </w:p>
        </w:tc>
        <w:tc>
          <w:tcPr>
            <w:tcW w:w="1426" w:type="dxa"/>
            <w:tcBorders>
              <w:top w:val="nil"/>
              <w:left w:val="nil"/>
              <w:bottom w:val="nil"/>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20≤X＜300</w:t>
            </w:r>
          </w:p>
        </w:tc>
        <w:tc>
          <w:tcPr>
            <w:tcW w:w="992" w:type="dxa"/>
            <w:tcBorders>
              <w:top w:val="nil"/>
              <w:left w:val="nil"/>
              <w:bottom w:val="nil"/>
              <w:right w:val="nil"/>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X＜20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8"/>
                <w:szCs w:val="18"/>
              </w:rPr>
            </w:pPr>
          </w:p>
        </w:tc>
        <w:tc>
          <w:tcPr>
            <w:tcW w:w="13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Y≥30000</w:t>
            </w:r>
          </w:p>
        </w:tc>
        <w:tc>
          <w:tcPr>
            <w:tcW w:w="170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2000≤Y＜30000</w:t>
            </w:r>
          </w:p>
        </w:tc>
        <w:tc>
          <w:tcPr>
            <w:tcW w:w="142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100≤Y＜2000</w:t>
            </w:r>
          </w:p>
        </w:tc>
        <w:tc>
          <w:tcPr>
            <w:tcW w:w="992" w:type="dxa"/>
            <w:tcBorders>
              <w:top w:val="nil"/>
              <w:left w:val="nil"/>
              <w:bottom w:val="single" w:color="auto" w:sz="4" w:space="0"/>
              <w:right w:val="nil"/>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住宿业</w:t>
            </w:r>
          </w:p>
        </w:tc>
        <w:tc>
          <w:tcPr>
            <w:tcW w:w="1369" w:type="dxa"/>
            <w:tcBorders>
              <w:top w:val="nil"/>
              <w:left w:val="nil"/>
              <w:bottom w:val="nil"/>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tcBorders>
              <w:top w:val="nil"/>
              <w:left w:val="nil"/>
              <w:bottom w:val="nil"/>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tcBorders>
              <w:top w:val="nil"/>
              <w:left w:val="nil"/>
              <w:bottom w:val="nil"/>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X≥300</w:t>
            </w:r>
          </w:p>
        </w:tc>
        <w:tc>
          <w:tcPr>
            <w:tcW w:w="1701" w:type="dxa"/>
            <w:tcBorders>
              <w:top w:val="nil"/>
              <w:left w:val="nil"/>
              <w:bottom w:val="nil"/>
              <w:right w:val="single" w:color="auto" w:sz="4" w:space="0"/>
            </w:tcBorders>
            <w:noWrap w:val="0"/>
            <w:vAlign w:val="center"/>
          </w:tcPr>
          <w:p>
            <w:pPr>
              <w:widowControl/>
              <w:ind w:left="1" w:leftChars="-51" w:hanging="108" w:hangingChars="6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100≤X＜300 </w:t>
            </w:r>
          </w:p>
        </w:tc>
        <w:tc>
          <w:tcPr>
            <w:tcW w:w="1426" w:type="dxa"/>
            <w:tcBorders>
              <w:top w:val="nil"/>
              <w:left w:val="nil"/>
              <w:bottom w:val="nil"/>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10≤X＜100</w:t>
            </w:r>
          </w:p>
        </w:tc>
        <w:tc>
          <w:tcPr>
            <w:tcW w:w="992" w:type="dxa"/>
            <w:tcBorders>
              <w:top w:val="nil"/>
              <w:left w:val="nil"/>
              <w:bottom w:val="nil"/>
              <w:right w:val="nil"/>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8"/>
                <w:szCs w:val="18"/>
              </w:rPr>
            </w:pPr>
          </w:p>
        </w:tc>
        <w:tc>
          <w:tcPr>
            <w:tcW w:w="13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Y≥10000</w:t>
            </w:r>
          </w:p>
        </w:tc>
        <w:tc>
          <w:tcPr>
            <w:tcW w:w="170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2000≤Y＜10000</w:t>
            </w:r>
          </w:p>
        </w:tc>
        <w:tc>
          <w:tcPr>
            <w:tcW w:w="142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100≤Y＜2000</w:t>
            </w:r>
          </w:p>
        </w:tc>
        <w:tc>
          <w:tcPr>
            <w:tcW w:w="992" w:type="dxa"/>
            <w:tcBorders>
              <w:top w:val="nil"/>
              <w:left w:val="nil"/>
              <w:bottom w:val="single" w:color="auto" w:sz="4" w:space="0"/>
              <w:right w:val="nil"/>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餐饮业</w:t>
            </w:r>
          </w:p>
        </w:tc>
        <w:tc>
          <w:tcPr>
            <w:tcW w:w="1369" w:type="dxa"/>
            <w:tcBorders>
              <w:top w:val="nil"/>
              <w:left w:val="nil"/>
              <w:bottom w:val="nil"/>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tcBorders>
              <w:top w:val="nil"/>
              <w:left w:val="nil"/>
              <w:bottom w:val="nil"/>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tcBorders>
              <w:top w:val="nil"/>
              <w:left w:val="nil"/>
              <w:bottom w:val="nil"/>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X≥300</w:t>
            </w:r>
          </w:p>
        </w:tc>
        <w:tc>
          <w:tcPr>
            <w:tcW w:w="1701" w:type="dxa"/>
            <w:tcBorders>
              <w:top w:val="nil"/>
              <w:left w:val="nil"/>
              <w:bottom w:val="nil"/>
              <w:right w:val="single" w:color="auto" w:sz="4" w:space="0"/>
            </w:tcBorders>
            <w:noWrap w:val="0"/>
            <w:vAlign w:val="center"/>
          </w:tcPr>
          <w:p>
            <w:pPr>
              <w:widowControl/>
              <w:ind w:left="1" w:leftChars="-51" w:hanging="108" w:hangingChars="6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100≤X＜300 </w:t>
            </w:r>
          </w:p>
        </w:tc>
        <w:tc>
          <w:tcPr>
            <w:tcW w:w="1426" w:type="dxa"/>
            <w:tcBorders>
              <w:top w:val="nil"/>
              <w:left w:val="nil"/>
              <w:bottom w:val="nil"/>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10≤X＜100</w:t>
            </w:r>
          </w:p>
        </w:tc>
        <w:tc>
          <w:tcPr>
            <w:tcW w:w="992" w:type="dxa"/>
            <w:tcBorders>
              <w:top w:val="nil"/>
              <w:left w:val="nil"/>
              <w:bottom w:val="nil"/>
              <w:right w:val="nil"/>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8"/>
                <w:szCs w:val="18"/>
              </w:rPr>
            </w:pPr>
          </w:p>
        </w:tc>
        <w:tc>
          <w:tcPr>
            <w:tcW w:w="13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Y≥10000</w:t>
            </w:r>
          </w:p>
        </w:tc>
        <w:tc>
          <w:tcPr>
            <w:tcW w:w="170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2000≤Y＜10000</w:t>
            </w:r>
          </w:p>
        </w:tc>
        <w:tc>
          <w:tcPr>
            <w:tcW w:w="142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100≤Y＜2000</w:t>
            </w:r>
          </w:p>
        </w:tc>
        <w:tc>
          <w:tcPr>
            <w:tcW w:w="992" w:type="dxa"/>
            <w:tcBorders>
              <w:top w:val="nil"/>
              <w:left w:val="nil"/>
              <w:bottom w:val="single" w:color="auto" w:sz="4" w:space="0"/>
              <w:right w:val="nil"/>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信息传输业 *</w:t>
            </w:r>
          </w:p>
        </w:tc>
        <w:tc>
          <w:tcPr>
            <w:tcW w:w="1369" w:type="dxa"/>
            <w:tcBorders>
              <w:top w:val="nil"/>
              <w:left w:val="nil"/>
              <w:bottom w:val="nil"/>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tcBorders>
              <w:top w:val="nil"/>
              <w:left w:val="nil"/>
              <w:bottom w:val="nil"/>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tcBorders>
              <w:top w:val="nil"/>
              <w:left w:val="nil"/>
              <w:bottom w:val="nil"/>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X≥2000</w:t>
            </w:r>
          </w:p>
        </w:tc>
        <w:tc>
          <w:tcPr>
            <w:tcW w:w="1701" w:type="dxa"/>
            <w:tcBorders>
              <w:top w:val="nil"/>
              <w:left w:val="nil"/>
              <w:bottom w:val="nil"/>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100≤X＜2000</w:t>
            </w:r>
          </w:p>
        </w:tc>
        <w:tc>
          <w:tcPr>
            <w:tcW w:w="1426" w:type="dxa"/>
            <w:tcBorders>
              <w:top w:val="nil"/>
              <w:left w:val="nil"/>
              <w:bottom w:val="nil"/>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10≤X＜100</w:t>
            </w:r>
          </w:p>
        </w:tc>
        <w:tc>
          <w:tcPr>
            <w:tcW w:w="992" w:type="dxa"/>
            <w:tcBorders>
              <w:top w:val="nil"/>
              <w:left w:val="nil"/>
              <w:bottom w:val="nil"/>
              <w:right w:val="nil"/>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8"/>
                <w:szCs w:val="18"/>
              </w:rPr>
            </w:pPr>
          </w:p>
        </w:tc>
        <w:tc>
          <w:tcPr>
            <w:tcW w:w="13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Y≥100000</w:t>
            </w:r>
          </w:p>
        </w:tc>
        <w:tc>
          <w:tcPr>
            <w:tcW w:w="170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1000≤Y＜100000</w:t>
            </w:r>
          </w:p>
        </w:tc>
        <w:tc>
          <w:tcPr>
            <w:tcW w:w="142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100≤Y＜1000</w:t>
            </w:r>
          </w:p>
        </w:tc>
        <w:tc>
          <w:tcPr>
            <w:tcW w:w="992" w:type="dxa"/>
            <w:tcBorders>
              <w:top w:val="nil"/>
              <w:left w:val="nil"/>
              <w:bottom w:val="single" w:color="auto" w:sz="4" w:space="0"/>
              <w:right w:val="nil"/>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tblPrEx>
          <w:tblCellMar>
            <w:top w:w="0" w:type="dxa"/>
            <w:left w:w="108" w:type="dxa"/>
            <w:bottom w:w="0" w:type="dxa"/>
            <w:right w:w="108" w:type="dxa"/>
          </w:tblCellMar>
        </w:tblPrEx>
        <w:trPr>
          <w:trHeight w:val="340" w:hRule="exact"/>
          <w:jc w:val="center"/>
        </w:trPr>
        <w:tc>
          <w:tcPr>
            <w:tcW w:w="2113" w:type="dxa"/>
            <w:vMerge w:val="restart"/>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spacing w:val="-12"/>
                <w:kern w:val="0"/>
                <w:sz w:val="18"/>
                <w:szCs w:val="18"/>
              </w:rPr>
            </w:pPr>
            <w:r>
              <w:rPr>
                <w:rFonts w:hint="eastAsia" w:ascii="宋体" w:hAnsi="宋体" w:eastAsia="宋体" w:cs="宋体"/>
                <w:color w:val="auto"/>
                <w:spacing w:val="-12"/>
                <w:kern w:val="0"/>
                <w:sz w:val="18"/>
                <w:szCs w:val="18"/>
              </w:rPr>
              <w:t>软件和信息技术服</w:t>
            </w:r>
            <w:r>
              <w:rPr>
                <w:rFonts w:hint="eastAsia" w:ascii="宋体" w:hAnsi="宋体" w:eastAsia="宋体" w:cs="宋体"/>
                <w:color w:val="auto"/>
                <w:kern w:val="0"/>
                <w:sz w:val="18"/>
                <w:szCs w:val="18"/>
              </w:rPr>
              <w:t>务业</w:t>
            </w:r>
          </w:p>
        </w:tc>
        <w:tc>
          <w:tcPr>
            <w:tcW w:w="1369" w:type="dxa"/>
            <w:tcBorders>
              <w:top w:val="nil"/>
              <w:left w:val="nil"/>
              <w:bottom w:val="nil"/>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tcBorders>
              <w:top w:val="nil"/>
              <w:left w:val="nil"/>
              <w:bottom w:val="nil"/>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tcBorders>
              <w:top w:val="nil"/>
              <w:left w:val="nil"/>
              <w:bottom w:val="nil"/>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X≥300</w:t>
            </w:r>
          </w:p>
        </w:tc>
        <w:tc>
          <w:tcPr>
            <w:tcW w:w="1701" w:type="dxa"/>
            <w:tcBorders>
              <w:top w:val="nil"/>
              <w:left w:val="nil"/>
              <w:bottom w:val="nil"/>
              <w:right w:val="single" w:color="auto" w:sz="4" w:space="0"/>
            </w:tcBorders>
            <w:noWrap w:val="0"/>
            <w:vAlign w:val="center"/>
          </w:tcPr>
          <w:p>
            <w:pPr>
              <w:widowControl/>
              <w:ind w:left="1" w:leftChars="-51" w:hanging="108" w:hangingChars="6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100≤X＜300 </w:t>
            </w:r>
          </w:p>
        </w:tc>
        <w:tc>
          <w:tcPr>
            <w:tcW w:w="1426" w:type="dxa"/>
            <w:tcBorders>
              <w:top w:val="nil"/>
              <w:left w:val="nil"/>
              <w:bottom w:val="nil"/>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10≤X＜100</w:t>
            </w:r>
          </w:p>
        </w:tc>
        <w:tc>
          <w:tcPr>
            <w:tcW w:w="992" w:type="dxa"/>
            <w:tcBorders>
              <w:top w:val="nil"/>
              <w:left w:val="nil"/>
              <w:bottom w:val="nil"/>
              <w:right w:val="nil"/>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tblPrEx>
          <w:tblCellMar>
            <w:top w:w="0" w:type="dxa"/>
            <w:left w:w="108" w:type="dxa"/>
            <w:bottom w:w="0" w:type="dxa"/>
            <w:right w:w="108" w:type="dxa"/>
          </w:tblCellMar>
        </w:tblPrEx>
        <w:trPr>
          <w:trHeight w:val="340" w:hRule="exact"/>
          <w:jc w:val="center"/>
        </w:trPr>
        <w:tc>
          <w:tcPr>
            <w:tcW w:w="2113"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spacing w:val="-12"/>
                <w:kern w:val="0"/>
                <w:sz w:val="18"/>
                <w:szCs w:val="18"/>
              </w:rPr>
            </w:pPr>
          </w:p>
        </w:tc>
        <w:tc>
          <w:tcPr>
            <w:tcW w:w="13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Y≥10000</w:t>
            </w:r>
          </w:p>
        </w:tc>
        <w:tc>
          <w:tcPr>
            <w:tcW w:w="170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1000≤Y＜10000</w:t>
            </w:r>
          </w:p>
        </w:tc>
        <w:tc>
          <w:tcPr>
            <w:tcW w:w="142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50≤Y＜1000</w:t>
            </w:r>
          </w:p>
        </w:tc>
        <w:tc>
          <w:tcPr>
            <w:tcW w:w="992" w:type="dxa"/>
            <w:tcBorders>
              <w:top w:val="nil"/>
              <w:left w:val="nil"/>
              <w:bottom w:val="single" w:color="auto" w:sz="4" w:space="0"/>
              <w:right w:val="nil"/>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Y＜50</w:t>
            </w:r>
          </w:p>
        </w:tc>
      </w:tr>
      <w:tr>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房地产开发经营</w:t>
            </w:r>
          </w:p>
        </w:tc>
        <w:tc>
          <w:tcPr>
            <w:tcW w:w="1369" w:type="dxa"/>
            <w:tcBorders>
              <w:top w:val="nil"/>
              <w:left w:val="nil"/>
              <w:bottom w:val="nil"/>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tcBorders>
              <w:top w:val="nil"/>
              <w:left w:val="nil"/>
              <w:bottom w:val="nil"/>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tcBorders>
              <w:top w:val="nil"/>
              <w:left w:val="nil"/>
              <w:bottom w:val="nil"/>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Y≥200000</w:t>
            </w:r>
          </w:p>
        </w:tc>
        <w:tc>
          <w:tcPr>
            <w:tcW w:w="1701" w:type="dxa"/>
            <w:tcBorders>
              <w:top w:val="nil"/>
              <w:left w:val="nil"/>
              <w:bottom w:val="nil"/>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1000≤Y＜200000</w:t>
            </w:r>
          </w:p>
        </w:tc>
        <w:tc>
          <w:tcPr>
            <w:tcW w:w="1426" w:type="dxa"/>
            <w:tcBorders>
              <w:top w:val="nil"/>
              <w:left w:val="nil"/>
              <w:bottom w:val="nil"/>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100≤Y＜1000</w:t>
            </w:r>
          </w:p>
        </w:tc>
        <w:tc>
          <w:tcPr>
            <w:tcW w:w="992" w:type="dxa"/>
            <w:tcBorders>
              <w:top w:val="nil"/>
              <w:left w:val="nil"/>
              <w:bottom w:val="nil"/>
              <w:right w:val="nil"/>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8"/>
                <w:szCs w:val="18"/>
              </w:rPr>
            </w:pPr>
          </w:p>
        </w:tc>
        <w:tc>
          <w:tcPr>
            <w:tcW w:w="13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资产总额(Z)</w:t>
            </w:r>
          </w:p>
        </w:tc>
        <w:tc>
          <w:tcPr>
            <w:tcW w:w="70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Z≥10000</w:t>
            </w:r>
          </w:p>
        </w:tc>
        <w:tc>
          <w:tcPr>
            <w:tcW w:w="170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5000≤Z＜10000</w:t>
            </w:r>
          </w:p>
        </w:tc>
        <w:tc>
          <w:tcPr>
            <w:tcW w:w="142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2000≤Z＜5000   </w:t>
            </w:r>
          </w:p>
        </w:tc>
        <w:tc>
          <w:tcPr>
            <w:tcW w:w="992" w:type="dxa"/>
            <w:tcBorders>
              <w:top w:val="nil"/>
              <w:left w:val="nil"/>
              <w:bottom w:val="single" w:color="auto" w:sz="4" w:space="0"/>
              <w:right w:val="nil"/>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Z＜2000</w:t>
            </w:r>
          </w:p>
        </w:tc>
      </w:tr>
      <w:tr>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物业管理</w:t>
            </w:r>
          </w:p>
        </w:tc>
        <w:tc>
          <w:tcPr>
            <w:tcW w:w="1369" w:type="dxa"/>
            <w:tcBorders>
              <w:top w:val="nil"/>
              <w:left w:val="nil"/>
              <w:bottom w:val="nil"/>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tcBorders>
              <w:top w:val="nil"/>
              <w:left w:val="nil"/>
              <w:bottom w:val="nil"/>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tcBorders>
              <w:top w:val="nil"/>
              <w:left w:val="nil"/>
              <w:bottom w:val="nil"/>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X≥1000</w:t>
            </w:r>
          </w:p>
        </w:tc>
        <w:tc>
          <w:tcPr>
            <w:tcW w:w="1701" w:type="dxa"/>
            <w:tcBorders>
              <w:top w:val="nil"/>
              <w:left w:val="nil"/>
              <w:bottom w:val="nil"/>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300≤X＜1000</w:t>
            </w:r>
          </w:p>
        </w:tc>
        <w:tc>
          <w:tcPr>
            <w:tcW w:w="1426" w:type="dxa"/>
            <w:tcBorders>
              <w:top w:val="nil"/>
              <w:left w:val="nil"/>
              <w:bottom w:val="nil"/>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100≤X＜300 </w:t>
            </w:r>
          </w:p>
        </w:tc>
        <w:tc>
          <w:tcPr>
            <w:tcW w:w="992" w:type="dxa"/>
            <w:tcBorders>
              <w:top w:val="nil"/>
              <w:left w:val="nil"/>
              <w:bottom w:val="nil"/>
              <w:right w:val="nil"/>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X＜100</w:t>
            </w:r>
          </w:p>
        </w:tc>
      </w:tr>
      <w:tr>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8"/>
                <w:szCs w:val="18"/>
              </w:rPr>
            </w:pPr>
          </w:p>
        </w:tc>
        <w:tc>
          <w:tcPr>
            <w:tcW w:w="13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Y≥5000</w:t>
            </w:r>
          </w:p>
        </w:tc>
        <w:tc>
          <w:tcPr>
            <w:tcW w:w="1701" w:type="dxa"/>
            <w:tcBorders>
              <w:top w:val="nil"/>
              <w:left w:val="nil"/>
              <w:bottom w:val="single" w:color="auto" w:sz="4" w:space="0"/>
              <w:right w:val="single" w:color="auto" w:sz="4" w:space="0"/>
            </w:tcBorders>
            <w:noWrap w:val="0"/>
            <w:vAlign w:val="center"/>
          </w:tcPr>
          <w:p>
            <w:pPr>
              <w:widowControl/>
              <w:ind w:left="1" w:leftChars="-51" w:hanging="108" w:hangingChars="6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1000≤Y＜5000 </w:t>
            </w:r>
          </w:p>
        </w:tc>
        <w:tc>
          <w:tcPr>
            <w:tcW w:w="142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500≤Y＜1000</w:t>
            </w:r>
          </w:p>
        </w:tc>
        <w:tc>
          <w:tcPr>
            <w:tcW w:w="992" w:type="dxa"/>
            <w:tcBorders>
              <w:top w:val="nil"/>
              <w:left w:val="nil"/>
              <w:bottom w:val="single" w:color="auto" w:sz="4" w:space="0"/>
              <w:right w:val="nil"/>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Y＜500</w:t>
            </w:r>
          </w:p>
        </w:tc>
      </w:tr>
      <w:tr>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租赁和商务服务业</w:t>
            </w:r>
          </w:p>
        </w:tc>
        <w:tc>
          <w:tcPr>
            <w:tcW w:w="1369" w:type="dxa"/>
            <w:tcBorders>
              <w:top w:val="nil"/>
              <w:left w:val="nil"/>
              <w:bottom w:val="nil"/>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tcBorders>
              <w:top w:val="nil"/>
              <w:left w:val="nil"/>
              <w:bottom w:val="nil"/>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tcBorders>
              <w:top w:val="nil"/>
              <w:left w:val="nil"/>
              <w:bottom w:val="nil"/>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X≥300</w:t>
            </w:r>
          </w:p>
        </w:tc>
        <w:tc>
          <w:tcPr>
            <w:tcW w:w="1701" w:type="dxa"/>
            <w:tcBorders>
              <w:top w:val="nil"/>
              <w:left w:val="nil"/>
              <w:bottom w:val="nil"/>
              <w:right w:val="single" w:color="auto" w:sz="4" w:space="0"/>
            </w:tcBorders>
            <w:noWrap w:val="0"/>
            <w:vAlign w:val="center"/>
          </w:tcPr>
          <w:p>
            <w:pPr>
              <w:widowControl/>
              <w:ind w:left="1" w:leftChars="-51" w:hanging="108" w:hangingChars="6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100≤X＜300 </w:t>
            </w:r>
          </w:p>
        </w:tc>
        <w:tc>
          <w:tcPr>
            <w:tcW w:w="1426" w:type="dxa"/>
            <w:tcBorders>
              <w:top w:val="nil"/>
              <w:left w:val="nil"/>
              <w:bottom w:val="nil"/>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10≤X＜100</w:t>
            </w:r>
          </w:p>
        </w:tc>
        <w:tc>
          <w:tcPr>
            <w:tcW w:w="992" w:type="dxa"/>
            <w:tcBorders>
              <w:top w:val="nil"/>
              <w:left w:val="nil"/>
              <w:bottom w:val="nil"/>
              <w:right w:val="nil"/>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8"/>
                <w:szCs w:val="18"/>
              </w:rPr>
            </w:pPr>
          </w:p>
        </w:tc>
        <w:tc>
          <w:tcPr>
            <w:tcW w:w="13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资产总额(Z)</w:t>
            </w:r>
          </w:p>
        </w:tc>
        <w:tc>
          <w:tcPr>
            <w:tcW w:w="70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Z≥120000</w:t>
            </w:r>
          </w:p>
        </w:tc>
        <w:tc>
          <w:tcPr>
            <w:tcW w:w="170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8000≤Z＜120000</w:t>
            </w:r>
          </w:p>
        </w:tc>
        <w:tc>
          <w:tcPr>
            <w:tcW w:w="142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100≤Z＜8000</w:t>
            </w:r>
          </w:p>
        </w:tc>
        <w:tc>
          <w:tcPr>
            <w:tcW w:w="992" w:type="dxa"/>
            <w:tcBorders>
              <w:top w:val="nil"/>
              <w:left w:val="nil"/>
              <w:bottom w:val="single" w:color="auto" w:sz="4" w:space="0"/>
              <w:right w:val="nil"/>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Z＜100</w:t>
            </w:r>
          </w:p>
        </w:tc>
      </w:tr>
      <w:tr>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其他未列明行业 *</w:t>
            </w:r>
          </w:p>
        </w:tc>
        <w:tc>
          <w:tcPr>
            <w:tcW w:w="136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X≥300</w:t>
            </w:r>
          </w:p>
        </w:tc>
        <w:tc>
          <w:tcPr>
            <w:tcW w:w="1701" w:type="dxa"/>
            <w:tcBorders>
              <w:top w:val="nil"/>
              <w:left w:val="nil"/>
              <w:bottom w:val="single" w:color="auto" w:sz="4" w:space="0"/>
              <w:right w:val="single" w:color="auto" w:sz="4" w:space="0"/>
            </w:tcBorders>
            <w:noWrap w:val="0"/>
            <w:vAlign w:val="center"/>
          </w:tcPr>
          <w:p>
            <w:pPr>
              <w:widowControl/>
              <w:ind w:left="1" w:leftChars="-51" w:hanging="108" w:hangingChars="6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100≤X＜300 </w:t>
            </w:r>
          </w:p>
        </w:tc>
        <w:tc>
          <w:tcPr>
            <w:tcW w:w="142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 10≤X＜100</w:t>
            </w:r>
          </w:p>
        </w:tc>
        <w:tc>
          <w:tcPr>
            <w:tcW w:w="992" w:type="dxa"/>
            <w:tcBorders>
              <w:top w:val="nil"/>
              <w:left w:val="nil"/>
              <w:bottom w:val="single" w:color="auto" w:sz="4" w:space="0"/>
              <w:right w:val="nil"/>
            </w:tcBorders>
            <w:noWrap w:val="0"/>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w:t>
            </w:r>
          </w:p>
        </w:tc>
      </w:tr>
    </w:tbl>
    <w:p>
      <w:pPr>
        <w:widowControl/>
        <w:spacing w:line="540" w:lineRule="exact"/>
        <w:rPr>
          <w:rFonts w:hint="eastAsia" w:ascii="宋体" w:hAnsi="宋体" w:eastAsia="宋体" w:cs="宋体"/>
          <w:color w:val="auto"/>
          <w:spacing w:val="8"/>
          <w:kern w:val="0"/>
          <w:sz w:val="32"/>
          <w:szCs w:val="32"/>
        </w:rPr>
      </w:pPr>
    </w:p>
    <w:p>
      <w:pPr>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宋体" w:hAnsi="宋体" w:eastAsia="宋体" w:cs="宋体"/>
          <w:color w:val="auto"/>
          <w:spacing w:val="8"/>
          <w:kern w:val="0"/>
          <w:sz w:val="21"/>
          <w:szCs w:val="21"/>
        </w:rPr>
      </w:pPr>
      <w:r>
        <w:rPr>
          <w:rFonts w:hint="eastAsia" w:ascii="宋体" w:hAnsi="宋体" w:eastAsia="宋体" w:cs="宋体"/>
          <w:color w:val="auto"/>
          <w:spacing w:val="8"/>
          <w:kern w:val="0"/>
          <w:szCs w:val="21"/>
        </w:rPr>
        <w:br w:type="page"/>
      </w:r>
      <w:r>
        <w:rPr>
          <w:rFonts w:hint="eastAsia" w:ascii="宋体" w:hAnsi="宋体" w:eastAsia="宋体" w:cs="宋体"/>
          <w:color w:val="auto"/>
          <w:spacing w:val="8"/>
          <w:kern w:val="0"/>
          <w:sz w:val="21"/>
          <w:szCs w:val="21"/>
        </w:rPr>
        <w:t>说明：</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pacing w:val="8"/>
          <w:kern w:val="0"/>
          <w:sz w:val="21"/>
          <w:szCs w:val="21"/>
        </w:rPr>
      </w:pPr>
      <w:r>
        <w:rPr>
          <w:rFonts w:hint="eastAsia" w:ascii="宋体" w:hAnsi="宋体" w:eastAsia="宋体" w:cs="宋体"/>
          <w:color w:val="auto"/>
          <w:spacing w:val="8"/>
          <w:kern w:val="0"/>
          <w:sz w:val="21"/>
          <w:szCs w:val="21"/>
        </w:rPr>
        <w:t>　　1.大型、中型和小型企业须同时满足所列指标的下限，否则下划一档；微型企业只须满足所列指标中的一项即可。</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pacing w:val="8"/>
          <w:kern w:val="0"/>
          <w:sz w:val="21"/>
          <w:szCs w:val="21"/>
        </w:rPr>
      </w:pPr>
      <w:r>
        <w:rPr>
          <w:rFonts w:hint="eastAsia" w:ascii="宋体" w:hAnsi="宋体" w:eastAsia="宋体" w:cs="宋体"/>
          <w:color w:val="auto"/>
          <w:spacing w:val="8"/>
          <w:kern w:val="0"/>
          <w:sz w:val="21"/>
          <w:szCs w:val="21"/>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1"/>
          <w:szCs w:val="21"/>
        </w:rPr>
      </w:pPr>
      <w:r>
        <w:rPr>
          <w:rFonts w:hint="eastAsia" w:ascii="宋体" w:hAnsi="宋体" w:eastAsia="宋体" w:cs="宋体"/>
          <w:color w:val="auto"/>
          <w:spacing w:val="8"/>
          <w:kern w:val="0"/>
          <w:sz w:val="21"/>
          <w:szCs w:val="21"/>
        </w:rPr>
        <w:t>　　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spacing w:line="360" w:lineRule="auto"/>
        <w:ind w:firstLine="420" w:firstLineChars="200"/>
        <w:jc w:val="center"/>
        <w:rPr>
          <w:rFonts w:hint="eastAsia" w:ascii="宋体" w:hAnsi="宋体"/>
          <w:color w:val="auto"/>
          <w:sz w:val="21"/>
          <w:szCs w:val="21"/>
        </w:rPr>
      </w:pPr>
      <w:r>
        <w:rPr>
          <w:rFonts w:hint="eastAsia" w:ascii="宋体" w:hAnsi="宋体"/>
          <w:color w:val="auto"/>
          <w:sz w:val="21"/>
          <w:szCs w:val="21"/>
        </w:rPr>
        <w:t xml:space="preserve">         </w:t>
      </w:r>
    </w:p>
    <w:p>
      <w:pPr>
        <w:pStyle w:val="41"/>
        <w:shd w:val="clear" w:color="auto" w:fill="FFFFFF"/>
        <w:spacing w:before="0" w:beforeLines="0" w:beforeAutospacing="0" w:after="0" w:afterLines="0" w:afterAutospacing="0" w:line="405" w:lineRule="atLeast"/>
        <w:ind w:firstLine="495"/>
        <w:jc w:val="both"/>
        <w:rPr>
          <w:rFonts w:hint="eastAsia" w:ascii="宋体" w:hAnsi="宋体" w:eastAsia="宋体" w:cs="微软雅黑"/>
          <w:color w:val="auto"/>
          <w:spacing w:val="8"/>
          <w:sz w:val="21"/>
          <w:szCs w:val="21"/>
        </w:rPr>
      </w:pPr>
      <w:r>
        <w:rPr>
          <w:rFonts w:hint="eastAsia" w:ascii="宋体" w:hAnsi="宋体"/>
          <w:color w:val="auto"/>
          <w:sz w:val="21"/>
          <w:szCs w:val="21"/>
        </w:rPr>
        <w:br w:type="page"/>
      </w:r>
    </w:p>
    <w:p>
      <w:pPr>
        <w:pStyle w:val="41"/>
        <w:shd w:val="clear" w:color="auto" w:fill="FFFFFF"/>
        <w:spacing w:before="0" w:beforeLines="0" w:beforeAutospacing="0" w:after="180" w:afterLines="0" w:afterAutospacing="0" w:line="405" w:lineRule="atLeast"/>
        <w:jc w:val="center"/>
        <w:rPr>
          <w:rFonts w:hint="eastAsia" w:ascii="宋体" w:hAnsi="宋体" w:eastAsia="宋体"/>
          <w:color w:val="000000"/>
          <w:sz w:val="24"/>
          <w:szCs w:val="24"/>
          <w:highlight w:val="none"/>
          <w:lang w:val="en-US" w:eastAsia="zh-CN"/>
        </w:rPr>
      </w:pPr>
      <w:bookmarkStart w:id="997" w:name="_Toc7961"/>
      <w:bookmarkStart w:id="998" w:name="_Toc30036"/>
      <w:r>
        <w:rPr>
          <w:rFonts w:hint="eastAsia" w:cs="宋体"/>
          <w:sz w:val="22"/>
          <w:szCs w:val="22"/>
          <w:lang w:val="en-US" w:eastAsia="zh-CN"/>
        </w:rPr>
        <w:t>3、</w:t>
      </w:r>
      <w:r>
        <w:rPr>
          <w:rFonts w:hint="eastAsia" w:ascii="宋体" w:hAnsi="宋体" w:eastAsia="宋体" w:cs="宋体"/>
          <w:b/>
          <w:bCs w:val="0"/>
          <w:color w:val="auto"/>
          <w:kern w:val="0"/>
          <w:sz w:val="22"/>
          <w:szCs w:val="22"/>
          <w:lang w:val="en-US" w:eastAsia="zh-CN" w:bidi="ar-SA"/>
        </w:rPr>
        <w:t>残疾人福利性单位声明函</w:t>
      </w:r>
      <w:bookmarkEnd w:id="997"/>
      <w:r>
        <w:rPr>
          <w:rFonts w:hint="eastAsia" w:ascii="宋体" w:hAnsi="宋体" w:eastAsia="宋体" w:cs="宋体"/>
          <w:b/>
          <w:bCs w:val="0"/>
          <w:color w:val="auto"/>
          <w:kern w:val="0"/>
          <w:sz w:val="22"/>
          <w:szCs w:val="22"/>
          <w:lang w:val="en-US" w:eastAsia="zh-CN" w:bidi="ar-SA"/>
        </w:rPr>
        <w:t>（如有）</w:t>
      </w:r>
    </w:p>
    <w:p>
      <w:pPr>
        <w:spacing w:line="360" w:lineRule="auto"/>
        <w:rPr>
          <w:rFonts w:hint="eastAsia" w:ascii="宋体" w:hAnsi="宋体" w:cs="宋体"/>
          <w:b/>
          <w:spacing w:val="6"/>
          <w:szCs w:val="21"/>
          <w:highlight w:val="none"/>
        </w:rPr>
      </w:pPr>
    </w:p>
    <w:p>
      <w:pPr>
        <w:spacing w:line="360" w:lineRule="auto"/>
        <w:ind w:firstLine="444" w:firstLineChars="200"/>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本单位郑重声明，根据《财政部 民政部 中国残疾人联合会关于促进残疾人就业政府采购政策的通知》（财库</w:t>
      </w:r>
      <w:r>
        <w:rPr>
          <w:rFonts w:hint="eastAsia" w:ascii="宋体" w:hAnsi="宋体" w:eastAsia="宋体" w:cs="宋体"/>
          <w:sz w:val="21"/>
          <w:szCs w:val="21"/>
          <w:highlight w:val="none"/>
        </w:rPr>
        <w:t>〔2017〕 141</w:t>
      </w:r>
      <w:r>
        <w:rPr>
          <w:rFonts w:hint="eastAsia" w:ascii="宋体" w:hAnsi="宋体" w:eastAsia="宋体" w:cs="宋体"/>
          <w:spacing w:val="6"/>
          <w:sz w:val="21"/>
          <w:szCs w:val="21"/>
          <w:highlight w:val="none"/>
        </w:rPr>
        <w:t>号）的规定，本单位为符合条件的残疾人福利性单位，且本单位参加</w:t>
      </w:r>
      <w:r>
        <w:rPr>
          <w:rFonts w:hint="eastAsia" w:ascii="宋体" w:hAnsi="宋体" w:eastAsia="宋体" w:cs="宋体"/>
          <w:spacing w:val="6"/>
          <w:sz w:val="21"/>
          <w:szCs w:val="21"/>
          <w:highlight w:val="none"/>
          <w:u w:val="single"/>
        </w:rPr>
        <w:t xml:space="preserve">       </w:t>
      </w:r>
      <w:r>
        <w:rPr>
          <w:rFonts w:hint="eastAsia" w:ascii="宋体" w:hAnsi="宋体" w:eastAsia="宋体" w:cs="宋体"/>
          <w:spacing w:val="6"/>
          <w:sz w:val="21"/>
          <w:szCs w:val="21"/>
          <w:highlight w:val="none"/>
        </w:rPr>
        <w:t>单位的</w:t>
      </w:r>
      <w:r>
        <w:rPr>
          <w:rFonts w:hint="eastAsia" w:ascii="宋体" w:hAnsi="宋体" w:eastAsia="宋体" w:cs="宋体"/>
          <w:spacing w:val="6"/>
          <w:sz w:val="21"/>
          <w:szCs w:val="21"/>
          <w:highlight w:val="none"/>
          <w:u w:val="single"/>
        </w:rPr>
        <w:t xml:space="preserve">      </w:t>
      </w:r>
      <w:r>
        <w:rPr>
          <w:rFonts w:hint="eastAsia" w:ascii="宋体" w:hAnsi="宋体" w:eastAsia="宋体" w:cs="宋体"/>
          <w:spacing w:val="6"/>
          <w:sz w:val="21"/>
          <w:szCs w:val="21"/>
          <w:highlight w:val="none"/>
        </w:rPr>
        <w:t>项目采购活动提供本单位制造的货物（由本单位承担工程/提供服务），或者提供其他残疾人福利性单位制造的货物（不包括使用非残疾人福利性单位注册商标的货物）。</w:t>
      </w:r>
    </w:p>
    <w:p>
      <w:pPr>
        <w:spacing w:line="360" w:lineRule="auto"/>
        <w:ind w:firstLine="444" w:firstLineChars="200"/>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本单位对上述声明的真实性负责。如有虚假，将依法承担相应责任。</w:t>
      </w:r>
    </w:p>
    <w:p>
      <w:pPr>
        <w:spacing w:line="360" w:lineRule="auto"/>
        <w:ind w:firstLine="444" w:firstLineChars="200"/>
        <w:rPr>
          <w:rFonts w:hint="eastAsia" w:ascii="宋体" w:hAnsi="宋体" w:eastAsia="宋体" w:cs="宋体"/>
          <w:spacing w:val="6"/>
          <w:sz w:val="21"/>
          <w:szCs w:val="21"/>
          <w:highlight w:val="none"/>
        </w:rPr>
      </w:pPr>
    </w:p>
    <w:p>
      <w:pPr>
        <w:spacing w:line="360" w:lineRule="auto"/>
        <w:ind w:firstLine="444" w:firstLineChars="200"/>
        <w:rPr>
          <w:rFonts w:hint="eastAsia" w:ascii="宋体" w:hAnsi="宋体" w:eastAsia="宋体" w:cs="宋体"/>
          <w:spacing w:val="6"/>
          <w:sz w:val="21"/>
          <w:szCs w:val="21"/>
          <w:highlight w:val="none"/>
        </w:rPr>
      </w:pPr>
    </w:p>
    <w:p>
      <w:pPr>
        <w:spacing w:line="360" w:lineRule="auto"/>
        <w:jc w:val="right"/>
        <w:rPr>
          <w:rFonts w:hint="eastAsia" w:ascii="宋体" w:hAnsi="宋体" w:eastAsia="宋体" w:cs="宋体"/>
          <w:spacing w:val="6"/>
          <w:sz w:val="21"/>
          <w:szCs w:val="21"/>
          <w:highlight w:val="none"/>
          <w:lang w:val="en-US" w:eastAsia="zh-CN"/>
        </w:rPr>
      </w:pPr>
      <w:r>
        <w:rPr>
          <w:rFonts w:hint="eastAsia" w:ascii="宋体" w:hAnsi="宋体" w:eastAsia="宋体" w:cs="宋体"/>
          <w:spacing w:val="6"/>
          <w:sz w:val="21"/>
          <w:szCs w:val="21"/>
          <w:highlight w:val="none"/>
        </w:rPr>
        <w:t xml:space="preserve">               投标人：</w:t>
      </w:r>
      <w:r>
        <w:rPr>
          <w:rFonts w:hint="eastAsia" w:ascii="宋体" w:hAnsi="宋体" w:eastAsia="宋体" w:cs="宋体"/>
          <w:spacing w:val="6"/>
          <w:sz w:val="21"/>
          <w:szCs w:val="21"/>
          <w:highlight w:val="none"/>
          <w:u w:val="single"/>
        </w:rPr>
        <w:t xml:space="preserve"> </w:t>
      </w:r>
      <w:r>
        <w:rPr>
          <w:rFonts w:hint="eastAsia" w:ascii="宋体" w:hAnsi="宋体" w:eastAsia="宋体" w:cs="宋体"/>
          <w:spacing w:val="6"/>
          <w:sz w:val="21"/>
          <w:szCs w:val="21"/>
          <w:highlight w:val="none"/>
          <w:u w:val="single"/>
          <w:lang w:val="en-US" w:eastAsia="zh-CN"/>
        </w:rPr>
        <w:t xml:space="preserve">          </w:t>
      </w:r>
      <w:r>
        <w:rPr>
          <w:rFonts w:hint="eastAsia" w:ascii="宋体" w:hAnsi="宋体" w:eastAsia="宋体" w:cs="宋体"/>
          <w:spacing w:val="6"/>
          <w:sz w:val="21"/>
          <w:szCs w:val="21"/>
          <w:highlight w:val="none"/>
        </w:rPr>
        <w:t>（</w:t>
      </w:r>
      <w:r>
        <w:rPr>
          <w:rFonts w:hint="eastAsia" w:ascii="宋体" w:hAnsi="宋体" w:eastAsia="宋体" w:cs="宋体"/>
          <w:color w:val="000000"/>
          <w:sz w:val="21"/>
          <w:szCs w:val="21"/>
          <w:highlight w:val="none"/>
          <w:lang w:eastAsia="zh-CN"/>
        </w:rPr>
        <w:t>盖章</w:t>
      </w:r>
      <w:r>
        <w:rPr>
          <w:rFonts w:hint="eastAsia" w:ascii="宋体" w:hAnsi="宋体" w:eastAsia="宋体" w:cs="宋体"/>
          <w:spacing w:val="6"/>
          <w:sz w:val="21"/>
          <w:szCs w:val="21"/>
          <w:highlight w:val="none"/>
        </w:rPr>
        <w:t>）</w:t>
      </w:r>
    </w:p>
    <w:p>
      <w:pPr>
        <w:jc w:val="center"/>
        <w:rPr>
          <w:rFonts w:hint="eastAsia" w:ascii="宋体" w:hAnsi="宋体" w:eastAsia="宋体" w:cs="宋体"/>
          <w:b/>
          <w:color w:val="000000"/>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lang w:val="en-US" w:eastAsia="zh-CN"/>
        </w:rPr>
        <w:t xml:space="preserve">    年   月   日</w:t>
      </w:r>
    </w:p>
    <w:p>
      <w:pPr>
        <w:widowControl/>
        <w:spacing w:line="360" w:lineRule="auto"/>
        <w:rPr>
          <w:rFonts w:hint="eastAsia" w:ascii="宋体" w:hAnsi="宋体" w:eastAsia="宋体" w:cs="宋体"/>
          <w:b/>
          <w:sz w:val="21"/>
          <w:szCs w:val="21"/>
          <w:highlight w:val="none"/>
        </w:rPr>
      </w:pPr>
      <w:r>
        <w:rPr>
          <w:rFonts w:hint="eastAsia" w:ascii="宋体" w:hAnsi="宋体" w:eastAsia="宋体" w:cs="宋体"/>
          <w:b/>
          <w:sz w:val="21"/>
          <w:szCs w:val="21"/>
          <w:highlight w:val="none"/>
        </w:rPr>
        <w:t>（提醒：如果投标</w:t>
      </w:r>
      <w:r>
        <w:rPr>
          <w:rFonts w:hint="eastAsia" w:ascii="宋体" w:hAnsi="宋体" w:eastAsia="宋体" w:cs="宋体"/>
          <w:b/>
          <w:color w:val="auto"/>
          <w:sz w:val="21"/>
          <w:szCs w:val="21"/>
          <w:highlight w:val="none"/>
        </w:rPr>
        <w:t>人</w:t>
      </w:r>
      <w:r>
        <w:rPr>
          <w:rFonts w:hint="eastAsia" w:ascii="宋体" w:hAnsi="宋体" w:eastAsia="宋体" w:cs="宋体"/>
          <w:b/>
          <w:color w:val="auto"/>
          <w:spacing w:val="10"/>
          <w:kern w:val="0"/>
          <w:sz w:val="21"/>
          <w:szCs w:val="21"/>
          <w:highlight w:val="none"/>
        </w:rPr>
        <w:t>不是残疾人福利性单位</w:t>
      </w:r>
      <w:r>
        <w:rPr>
          <w:rFonts w:hint="eastAsia" w:ascii="宋体" w:hAnsi="宋体" w:eastAsia="宋体" w:cs="宋体"/>
          <w:b/>
          <w:color w:val="auto"/>
          <w:sz w:val="21"/>
          <w:szCs w:val="21"/>
          <w:highlight w:val="none"/>
        </w:rPr>
        <w:t>，</w:t>
      </w:r>
      <w:r>
        <w:rPr>
          <w:rFonts w:hint="eastAsia" w:ascii="宋体" w:hAnsi="宋体" w:eastAsia="宋体" w:cs="宋体"/>
          <w:b/>
          <w:sz w:val="21"/>
          <w:szCs w:val="21"/>
          <w:highlight w:val="none"/>
        </w:rPr>
        <w:t>则不需要提供《残疾人福利性单位声明函》。否则，因此导致虚假投标的后果由投标人自行承担。）</w:t>
      </w:r>
    </w:p>
    <w:p>
      <w:pPr>
        <w:tabs>
          <w:tab w:val="left" w:pos="840"/>
        </w:tabs>
        <w:autoSpaceDE w:val="0"/>
        <w:autoSpaceDN w:val="0"/>
        <w:adjustRightInd w:val="0"/>
        <w:spacing w:line="360" w:lineRule="auto"/>
        <w:jc w:val="center"/>
        <w:rPr>
          <w:rFonts w:hint="eastAsia" w:ascii="宋体" w:hAnsi="宋体" w:eastAsia="宋体" w:cs="宋体"/>
          <w:b/>
          <w:color w:val="000000"/>
          <w:sz w:val="21"/>
          <w:szCs w:val="21"/>
          <w:highlight w:val="none"/>
        </w:rPr>
      </w:pP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《财政部民政部中国残疾人联合会关于促进残疾人就业政府采购政策的通知》（财库（2017〔141〕号）的规定：</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 享受政府采购支持政策的残疾人福利性单位应当同时满足以下条件：</w:t>
      </w: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（1）安置的残疾人占本单位在职职工人数的比例不低于25%（含25%），并且安置的残疾人人数不少于10人（含10人）；</w:t>
      </w: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（2）依法与安置的每位残疾人签订了一年以上（含一年）的劳动合同或服务协议；</w:t>
      </w: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（3）为安置的每位残疾人按月足额缴纳了基本养老保险、基本医疗保险、失业保险、工伤保险和生育保险等社会保险费；</w:t>
      </w: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（4）通过银行等金融机构向安置的每位残疾人，按月支付了不低于单位所在区县适用的经省级人民政府批准的月最低工资标准的工资；</w:t>
      </w: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（5）提供本单位制造的货物、承担的工程或者服务（以下简称产品），或者提供其他残疾人福利性单位制造的货物（不包括使用非残疾人福利性单位注册商标的货物）。</w:t>
      </w:r>
    </w:p>
    <w:p>
      <w:pPr>
        <w:spacing w:line="360" w:lineRule="auto"/>
        <w:ind w:firstLine="420" w:firstLineChars="200"/>
        <w:rPr>
          <w:rFonts w:hint="eastAsia" w:cs="宋体"/>
          <w:sz w:val="22"/>
          <w:szCs w:val="22"/>
        </w:rPr>
      </w:pPr>
      <w:r>
        <w:rPr>
          <w:rFonts w:hint="eastAsia" w:ascii="宋体" w:hAnsi="宋体" w:eastAsia="宋体" w:cs="宋体"/>
          <w:sz w:val="21"/>
          <w:szCs w:val="21"/>
          <w:highlight w:val="none"/>
        </w:rPr>
        <w:t>2. 中标</w:t>
      </w:r>
      <w:r>
        <w:rPr>
          <w:rFonts w:hint="eastAsia" w:ascii="宋体" w:hAnsi="宋体" w:eastAsia="宋体" w:cs="宋体"/>
          <w:sz w:val="21"/>
          <w:szCs w:val="21"/>
          <w:highlight w:val="none"/>
          <w:lang w:eastAsia="zh-CN"/>
        </w:rPr>
        <w:t>人</w:t>
      </w:r>
      <w:r>
        <w:rPr>
          <w:rFonts w:hint="eastAsia" w:ascii="宋体" w:hAnsi="宋体" w:eastAsia="宋体" w:cs="宋体"/>
          <w:sz w:val="21"/>
          <w:szCs w:val="21"/>
          <w:highlight w:val="none"/>
        </w:rPr>
        <w:t>为残疾人福利性单位的，采购人或者其委托的采购代理机构应当随中标、成交结果同时公告其《残疾人福利性单位声明函》，接受社会监督。</w:t>
      </w:r>
    </w:p>
    <w:p>
      <w:pPr>
        <w:pStyle w:val="4"/>
        <w:numPr>
          <w:ilvl w:val="0"/>
          <w:numId w:val="0"/>
        </w:numPr>
        <w:bidi w:val="0"/>
        <w:ind w:left="425"/>
        <w:jc w:val="center"/>
        <w:rPr>
          <w:rFonts w:hint="eastAsia" w:ascii="宋体" w:hAnsi="宋体" w:eastAsia="宋体" w:cs="宋体"/>
          <w:b/>
          <w:bCs w:val="0"/>
          <w:color w:val="auto"/>
          <w:kern w:val="0"/>
          <w:sz w:val="22"/>
          <w:szCs w:val="22"/>
          <w:lang w:val="en-US" w:eastAsia="zh-CN" w:bidi="ar-SA"/>
        </w:rPr>
      </w:pPr>
      <w:r>
        <w:rPr>
          <w:rFonts w:hint="eastAsia" w:ascii="宋体" w:hAnsi="宋体" w:eastAsia="宋体" w:cs="宋体"/>
          <w:b/>
          <w:bCs w:val="0"/>
          <w:color w:val="auto"/>
          <w:kern w:val="0"/>
          <w:sz w:val="22"/>
          <w:szCs w:val="22"/>
          <w:lang w:val="en-US" w:eastAsia="zh-CN" w:bidi="ar-SA"/>
        </w:rPr>
        <w:br w:type="page"/>
      </w:r>
      <w:bookmarkStart w:id="999" w:name="_Toc4215"/>
      <w:r>
        <w:rPr>
          <w:rFonts w:hint="eastAsia" w:ascii="宋体" w:hAnsi="宋体" w:cs="宋体"/>
          <w:b/>
          <w:bCs w:val="0"/>
          <w:color w:val="auto"/>
          <w:kern w:val="0"/>
          <w:sz w:val="22"/>
          <w:szCs w:val="22"/>
          <w:lang w:val="en-US" w:eastAsia="zh-CN" w:bidi="ar-SA"/>
        </w:rPr>
        <w:t>4</w:t>
      </w:r>
      <w:r>
        <w:rPr>
          <w:rFonts w:hint="eastAsia" w:ascii="宋体" w:hAnsi="宋体" w:eastAsia="宋体" w:cs="宋体"/>
          <w:b/>
          <w:bCs w:val="0"/>
          <w:color w:val="auto"/>
          <w:kern w:val="0"/>
          <w:sz w:val="22"/>
          <w:szCs w:val="22"/>
          <w:lang w:val="en-US" w:eastAsia="zh-CN" w:bidi="ar-SA"/>
        </w:rPr>
        <w:t>、监狱企业证明文件（如有）</w:t>
      </w:r>
      <w:bookmarkEnd w:id="998"/>
      <w:bookmarkEnd w:id="999"/>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auto"/>
          <w:sz w:val="21"/>
          <w:szCs w:val="21"/>
          <w:highlight w:val="none"/>
          <w:lang w:val="en-GB" w:eastAsia="zh-CN"/>
        </w:rPr>
      </w:pPr>
      <w:r>
        <w:rPr>
          <w:rFonts w:hint="eastAsia"/>
          <w:color w:val="auto"/>
          <w:sz w:val="21"/>
          <w:szCs w:val="21"/>
          <w:highlight w:val="none"/>
          <w:lang w:val="en-GB" w:eastAsia="zh-CN"/>
        </w:rPr>
        <w:t>监狱企业参加政府采购活动时，应当提供由省级以上监狱管理局、戒毒管理局（含新疆生产建设兵团）出具的属于监狱企业的证明文件。</w:t>
      </w:r>
    </w:p>
    <w:p>
      <w:pPr>
        <w:rPr>
          <w:rFonts w:hint="eastAsia"/>
          <w:color w:val="FF0000"/>
          <w:sz w:val="21"/>
          <w:szCs w:val="21"/>
          <w:highlight w:val="none"/>
          <w:lang w:val="en-US" w:eastAsia="zh-CN"/>
        </w:rPr>
      </w:pPr>
    </w:p>
    <w:p>
      <w:pPr>
        <w:rPr>
          <w:rFonts w:hint="eastAsia"/>
          <w:color w:val="FF0000"/>
          <w:sz w:val="21"/>
          <w:szCs w:val="21"/>
          <w:highlight w:val="none"/>
          <w:lang w:val="en-US" w:eastAsia="zh-CN"/>
        </w:rPr>
      </w:pPr>
    </w:p>
    <w:p>
      <w:pPr>
        <w:widowControl/>
        <w:spacing w:line="360" w:lineRule="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（提醒：如果投标人</w:t>
      </w:r>
      <w:r>
        <w:rPr>
          <w:rFonts w:hint="eastAsia" w:ascii="宋体" w:hAnsi="宋体" w:eastAsia="宋体" w:cs="宋体"/>
          <w:b/>
          <w:bCs w:val="0"/>
          <w:color w:val="auto"/>
          <w:spacing w:val="10"/>
          <w:kern w:val="0"/>
          <w:sz w:val="21"/>
          <w:szCs w:val="21"/>
          <w:highlight w:val="none"/>
        </w:rPr>
        <w:t>不是</w:t>
      </w:r>
      <w:r>
        <w:rPr>
          <w:rFonts w:hint="eastAsia" w:ascii="宋体" w:hAnsi="宋体" w:eastAsia="宋体" w:cs="宋体"/>
          <w:b/>
          <w:bCs w:val="0"/>
          <w:color w:val="auto"/>
          <w:sz w:val="21"/>
          <w:szCs w:val="21"/>
          <w:highlight w:val="none"/>
          <w:lang w:val="en-GB" w:eastAsia="zh-CN"/>
        </w:rPr>
        <w:t>监狱企业</w:t>
      </w:r>
      <w:r>
        <w:rPr>
          <w:rFonts w:hint="eastAsia" w:ascii="宋体" w:hAnsi="宋体" w:eastAsia="宋体" w:cs="宋体"/>
          <w:b/>
          <w:bCs w:val="0"/>
          <w:color w:val="auto"/>
          <w:sz w:val="21"/>
          <w:szCs w:val="21"/>
          <w:highlight w:val="none"/>
        </w:rPr>
        <w:t>，则不需要提供</w:t>
      </w:r>
      <w:r>
        <w:rPr>
          <w:rFonts w:hint="eastAsia" w:ascii="宋体" w:hAnsi="宋体" w:eastAsia="宋体" w:cs="宋体"/>
          <w:b/>
          <w:bCs w:val="0"/>
          <w:color w:val="auto"/>
          <w:sz w:val="21"/>
          <w:szCs w:val="21"/>
          <w:highlight w:val="none"/>
          <w:lang w:val="en-GB" w:eastAsia="zh-CN"/>
        </w:rPr>
        <w:t>监狱企业证明材料</w:t>
      </w:r>
      <w:r>
        <w:rPr>
          <w:rFonts w:hint="eastAsia" w:ascii="宋体" w:hAnsi="宋体" w:eastAsia="宋体" w:cs="宋体"/>
          <w:b/>
          <w:bCs w:val="0"/>
          <w:color w:val="auto"/>
          <w:sz w:val="21"/>
          <w:szCs w:val="21"/>
          <w:highlight w:val="none"/>
        </w:rPr>
        <w:t>）</w:t>
      </w:r>
    </w:p>
    <w:p>
      <w:pPr>
        <w:spacing w:line="360" w:lineRule="auto"/>
        <w:jc w:val="center"/>
        <w:rPr>
          <w:rFonts w:hint="eastAsia"/>
          <w:b/>
          <w:color w:val="auto"/>
          <w:lang w:val="en-US" w:eastAsia="zh-CN"/>
        </w:rPr>
      </w:pPr>
    </w:p>
    <w:p>
      <w:pPr>
        <w:spacing w:line="360" w:lineRule="auto"/>
        <w:jc w:val="center"/>
        <w:rPr>
          <w:rFonts w:hint="eastAsia"/>
          <w:b/>
          <w:color w:val="auto"/>
          <w:lang w:val="en-US" w:eastAsia="zh-CN"/>
        </w:rPr>
        <w:sectPr>
          <w:pgSz w:w="11905" w:h="16838"/>
          <w:pgMar w:top="1440" w:right="1576" w:bottom="1440" w:left="1576" w:header="850" w:footer="850" w:gutter="0"/>
          <w:pgBorders>
            <w:top w:val="none" w:sz="0" w:space="0"/>
            <w:left w:val="none" w:sz="0" w:space="0"/>
            <w:bottom w:val="none" w:sz="0" w:space="0"/>
            <w:right w:val="none" w:sz="0" w:space="0"/>
          </w:pgBorders>
          <w:pgNumType w:fmt="decimal"/>
          <w:cols w:space="720" w:num="1"/>
          <w:rtlGutter w:val="0"/>
          <w:docGrid w:type="lines" w:linePitch="317" w:charSpace="0"/>
        </w:sectPr>
      </w:pPr>
    </w:p>
    <w:p>
      <w:pPr>
        <w:spacing w:line="360" w:lineRule="auto"/>
        <w:jc w:val="center"/>
        <w:rPr>
          <w:rFonts w:hint="eastAsia" w:ascii="宋体" w:hAnsi="宋体"/>
          <w:b/>
          <w:color w:val="auto"/>
          <w:szCs w:val="21"/>
        </w:rPr>
      </w:pPr>
      <w:r>
        <w:rPr>
          <w:rFonts w:hint="eastAsia"/>
          <w:b/>
          <w:color w:val="auto"/>
          <w:lang w:val="en-US" w:eastAsia="zh-CN"/>
        </w:rPr>
        <w:t>5</w:t>
      </w:r>
      <w:r>
        <w:rPr>
          <w:rFonts w:hint="eastAsia"/>
          <w:b/>
          <w:color w:val="auto"/>
        </w:rPr>
        <w:t>、采购代理服务费承诺函</w:t>
      </w:r>
    </w:p>
    <w:p>
      <w:pPr>
        <w:pStyle w:val="41"/>
        <w:shd w:val="clear" w:color="auto" w:fill="FFFFFF"/>
        <w:spacing w:before="0" w:beforeLines="0" w:beforeAutospacing="0" w:after="0" w:afterLines="0" w:afterAutospacing="0"/>
        <w:jc w:val="both"/>
        <w:rPr>
          <w:rFonts w:hint="eastAsia" w:ascii="宋体" w:hAnsi="宋体" w:eastAsia="宋体" w:cs="微软雅黑"/>
          <w:color w:val="auto"/>
          <w:spacing w:val="8"/>
          <w:sz w:val="21"/>
          <w:szCs w:val="21"/>
        </w:rPr>
      </w:pPr>
      <w:r>
        <w:rPr>
          <w:rFonts w:hint="eastAsia" w:ascii="宋体" w:hAnsi="宋体" w:eastAsia="宋体" w:cs="宋体"/>
          <w:color w:val="auto"/>
          <w:spacing w:val="8"/>
          <w:sz w:val="21"/>
          <w:szCs w:val="21"/>
          <w:shd w:val="clear" w:color="auto" w:fill="FFFFFF"/>
        </w:rPr>
        <w:t> </w:t>
      </w:r>
    </w:p>
    <w:p>
      <w:pPr>
        <w:pStyle w:val="41"/>
        <w:shd w:val="clear" w:color="auto" w:fill="FFFFFF"/>
        <w:spacing w:before="0" w:beforeLines="0" w:beforeAutospacing="0" w:after="0" w:afterLines="0" w:afterAutospacing="0" w:line="360" w:lineRule="auto"/>
        <w:jc w:val="both"/>
        <w:rPr>
          <w:rFonts w:hint="eastAsia" w:ascii="宋体" w:hAnsi="宋体" w:eastAsia="宋体" w:cs="微软雅黑"/>
          <w:color w:val="auto"/>
          <w:spacing w:val="8"/>
          <w:sz w:val="21"/>
          <w:szCs w:val="21"/>
        </w:rPr>
      </w:pPr>
      <w:r>
        <w:rPr>
          <w:rFonts w:hint="eastAsia" w:ascii="宋体" w:hAnsi="宋体" w:eastAsia="宋体" w:cs="宋体"/>
          <w:color w:val="auto"/>
          <w:spacing w:val="8"/>
          <w:sz w:val="21"/>
          <w:szCs w:val="21"/>
          <w:shd w:val="clear" w:color="auto" w:fill="FFFFFF"/>
        </w:rPr>
        <w:t>致</w:t>
      </w:r>
      <w:r>
        <w:rPr>
          <w:rFonts w:hint="eastAsia" w:ascii="宋体" w:hAnsi="宋体" w:eastAsia="宋体" w:cs="宋体"/>
          <w:color w:val="auto"/>
          <w:spacing w:val="8"/>
          <w:sz w:val="21"/>
          <w:szCs w:val="21"/>
          <w:u w:val="single"/>
          <w:shd w:val="clear" w:color="auto" w:fill="FFFFFF"/>
        </w:rPr>
        <w:t>（采购人及采购代理机构） </w:t>
      </w:r>
      <w:r>
        <w:rPr>
          <w:rFonts w:hint="eastAsia" w:ascii="宋体" w:hAnsi="宋体" w:eastAsia="宋体" w:cs="宋体"/>
          <w:color w:val="auto"/>
          <w:spacing w:val="8"/>
          <w:sz w:val="21"/>
          <w:szCs w:val="21"/>
          <w:shd w:val="clear" w:color="auto" w:fill="FFFFFF"/>
        </w:rPr>
        <w:t>：</w:t>
      </w:r>
    </w:p>
    <w:p>
      <w:pPr>
        <w:pStyle w:val="41"/>
        <w:shd w:val="clear" w:color="auto" w:fill="FFFFFF"/>
        <w:spacing w:before="0" w:beforeLines="0" w:beforeAutospacing="0" w:after="0" w:afterLines="0" w:afterAutospacing="0" w:line="360" w:lineRule="auto"/>
        <w:ind w:firstLine="480"/>
        <w:jc w:val="both"/>
        <w:rPr>
          <w:rFonts w:hint="eastAsia" w:ascii="宋体" w:hAnsi="宋体" w:eastAsia="宋体" w:cs="微软雅黑"/>
          <w:color w:val="auto"/>
          <w:spacing w:val="8"/>
          <w:sz w:val="21"/>
          <w:szCs w:val="21"/>
        </w:rPr>
      </w:pPr>
      <w:r>
        <w:rPr>
          <w:rFonts w:hint="eastAsia" w:ascii="宋体" w:hAnsi="宋体" w:eastAsia="宋体" w:cs="宋体"/>
          <w:color w:val="auto"/>
          <w:spacing w:val="8"/>
          <w:sz w:val="21"/>
          <w:szCs w:val="21"/>
          <w:shd w:val="clear" w:color="auto" w:fill="FFFFFF"/>
        </w:rPr>
        <w:t>我们在贵公司组织的（项目名称：</w:t>
      </w:r>
      <w:r>
        <w:rPr>
          <w:rFonts w:hint="eastAsia" w:ascii="宋体" w:hAnsi="宋体" w:eastAsia="宋体" w:cs="宋体"/>
          <w:color w:val="auto"/>
          <w:spacing w:val="8"/>
          <w:sz w:val="21"/>
          <w:szCs w:val="21"/>
          <w:u w:val="single"/>
          <w:shd w:val="clear" w:color="auto" w:fill="FFFFFF"/>
        </w:rPr>
        <w:t xml:space="preserve">     </w:t>
      </w:r>
      <w:r>
        <w:rPr>
          <w:rFonts w:hint="eastAsia" w:ascii="宋体" w:hAnsi="宋体" w:eastAsia="宋体" w:cs="宋体"/>
          <w:color w:val="auto"/>
          <w:spacing w:val="8"/>
          <w:sz w:val="21"/>
          <w:szCs w:val="21"/>
          <w:shd w:val="clear" w:color="auto" w:fill="FFFFFF"/>
        </w:rPr>
        <w:t>，采购编号：</w:t>
      </w:r>
      <w:r>
        <w:rPr>
          <w:rFonts w:hint="eastAsia" w:ascii="宋体" w:hAnsi="宋体" w:eastAsia="宋体" w:cs="宋体"/>
          <w:color w:val="auto"/>
          <w:spacing w:val="8"/>
          <w:sz w:val="21"/>
          <w:szCs w:val="21"/>
          <w:u w:val="single"/>
          <w:shd w:val="clear" w:color="auto" w:fill="FFFFFF"/>
        </w:rPr>
        <w:t xml:space="preserve">     </w:t>
      </w:r>
      <w:r>
        <w:rPr>
          <w:rFonts w:hint="eastAsia" w:ascii="宋体" w:hAnsi="宋体" w:eastAsia="宋体" w:cs="宋体"/>
          <w:color w:val="auto"/>
          <w:spacing w:val="8"/>
          <w:sz w:val="21"/>
          <w:szCs w:val="21"/>
          <w:shd w:val="clear" w:color="auto" w:fill="FFFFFF"/>
        </w:rPr>
        <w:t>）招标采购中若获中标（成交），我们保证在中标(成交）结果公告发布后</w:t>
      </w:r>
      <w:r>
        <w:rPr>
          <w:rFonts w:hint="eastAsia" w:ascii="宋体" w:hAnsi="宋体" w:eastAsia="宋体" w:cs="宋体"/>
          <w:color w:val="auto"/>
          <w:spacing w:val="8"/>
          <w:sz w:val="21"/>
          <w:szCs w:val="21"/>
          <w:shd w:val="clear" w:color="auto" w:fill="FFFFFF"/>
          <w:lang w:val="en-US" w:eastAsia="zh-CN"/>
        </w:rPr>
        <w:t>1</w:t>
      </w:r>
      <w:r>
        <w:rPr>
          <w:rFonts w:hint="eastAsia" w:ascii="宋体" w:hAnsi="宋体" w:eastAsia="宋体" w:cs="宋体"/>
          <w:color w:val="auto"/>
          <w:spacing w:val="8"/>
          <w:sz w:val="21"/>
          <w:szCs w:val="21"/>
          <w:shd w:val="clear" w:color="auto" w:fill="FFFFFF"/>
        </w:rPr>
        <w:t>日内，按</w:t>
      </w:r>
      <w:r>
        <w:rPr>
          <w:rFonts w:hint="eastAsia" w:ascii="宋体" w:hAnsi="宋体" w:eastAsia="宋体" w:cs="宋体"/>
          <w:color w:val="auto"/>
          <w:spacing w:val="8"/>
          <w:sz w:val="21"/>
          <w:szCs w:val="21"/>
          <w:shd w:val="clear" w:color="auto" w:fill="FFFFFF"/>
          <w:lang w:eastAsia="zh-CN"/>
        </w:rPr>
        <w:t>磋商文件</w:t>
      </w:r>
      <w:r>
        <w:rPr>
          <w:rFonts w:hint="eastAsia" w:ascii="宋体" w:hAnsi="宋体" w:eastAsia="宋体" w:cs="宋体"/>
          <w:color w:val="auto"/>
          <w:spacing w:val="8"/>
          <w:sz w:val="21"/>
          <w:szCs w:val="21"/>
          <w:shd w:val="clear" w:color="auto" w:fill="FFFFFF"/>
        </w:rPr>
        <w:t>的规定，以支票、银行转账、汇票或现金，向贵公司一次性支付招标代理服务费用。否则，由此产生的一切法律后果和责任由我公司承担。我公司声明放弃对此提出任何异议和追索的权利。</w:t>
      </w:r>
    </w:p>
    <w:p>
      <w:pPr>
        <w:pStyle w:val="41"/>
        <w:shd w:val="clear" w:color="auto" w:fill="FFFFFF"/>
        <w:spacing w:before="0" w:beforeLines="0" w:beforeAutospacing="0" w:after="0" w:afterLines="0" w:afterAutospacing="0" w:line="360" w:lineRule="auto"/>
        <w:ind w:firstLine="452" w:firstLineChars="200"/>
        <w:jc w:val="both"/>
        <w:rPr>
          <w:rFonts w:hint="eastAsia" w:ascii="宋体" w:hAnsi="宋体" w:eastAsia="宋体" w:cs="微软雅黑"/>
          <w:color w:val="auto"/>
          <w:spacing w:val="8"/>
          <w:sz w:val="21"/>
          <w:szCs w:val="21"/>
        </w:rPr>
      </w:pPr>
      <w:r>
        <w:rPr>
          <w:rFonts w:hint="eastAsia" w:ascii="宋体" w:hAnsi="宋体" w:eastAsia="宋体" w:cs="宋体"/>
          <w:color w:val="auto"/>
          <w:spacing w:val="8"/>
          <w:sz w:val="21"/>
          <w:szCs w:val="21"/>
          <w:shd w:val="clear" w:color="auto" w:fill="FFFFFF"/>
        </w:rPr>
        <w:t>特此承诺。</w:t>
      </w:r>
    </w:p>
    <w:p>
      <w:pPr>
        <w:pStyle w:val="41"/>
        <w:shd w:val="clear" w:color="auto" w:fill="FFFFFF"/>
        <w:spacing w:before="0" w:beforeLines="0" w:beforeAutospacing="0" w:after="0" w:afterLines="0" w:afterAutospacing="0" w:line="360" w:lineRule="auto"/>
        <w:jc w:val="both"/>
        <w:rPr>
          <w:rFonts w:hint="eastAsia" w:ascii="宋体" w:hAnsi="宋体" w:eastAsia="宋体" w:cs="微软雅黑"/>
          <w:color w:val="auto"/>
          <w:spacing w:val="8"/>
          <w:sz w:val="21"/>
          <w:szCs w:val="21"/>
        </w:rPr>
      </w:pPr>
      <w:r>
        <w:rPr>
          <w:rFonts w:hint="eastAsia" w:ascii="宋体" w:hAnsi="宋体" w:eastAsia="宋体" w:cs="宋体"/>
          <w:color w:val="auto"/>
          <w:spacing w:val="8"/>
          <w:sz w:val="21"/>
          <w:szCs w:val="21"/>
          <w:shd w:val="clear" w:color="auto" w:fill="FFFFFF"/>
        </w:rPr>
        <w:t> </w:t>
      </w:r>
    </w:p>
    <w:p>
      <w:pPr>
        <w:pStyle w:val="41"/>
        <w:shd w:val="clear" w:color="auto" w:fill="FFFFFF"/>
        <w:spacing w:before="0" w:beforeLines="0" w:beforeAutospacing="0" w:after="0" w:afterLines="0" w:afterAutospacing="0" w:line="360" w:lineRule="auto"/>
        <w:jc w:val="both"/>
        <w:rPr>
          <w:rFonts w:hint="eastAsia" w:ascii="宋体" w:hAnsi="宋体" w:eastAsia="宋体" w:cs="微软雅黑"/>
          <w:color w:val="auto"/>
          <w:spacing w:val="8"/>
          <w:sz w:val="21"/>
          <w:szCs w:val="21"/>
        </w:rPr>
      </w:pPr>
      <w:r>
        <w:rPr>
          <w:rFonts w:hint="eastAsia" w:ascii="宋体" w:hAnsi="宋体" w:eastAsia="宋体" w:cs="宋体"/>
          <w:color w:val="auto"/>
          <w:spacing w:val="8"/>
          <w:sz w:val="21"/>
          <w:szCs w:val="21"/>
          <w:shd w:val="clear" w:color="auto" w:fill="FFFFFF"/>
        </w:rPr>
        <w:t> </w:t>
      </w:r>
    </w:p>
    <w:p>
      <w:pPr>
        <w:pStyle w:val="41"/>
        <w:shd w:val="clear" w:color="auto" w:fill="FFFFFF"/>
        <w:spacing w:before="0" w:beforeLines="0" w:beforeAutospacing="0" w:after="0" w:afterLines="0" w:afterAutospacing="0" w:line="360" w:lineRule="auto"/>
        <w:ind w:firstLine="465"/>
        <w:rPr>
          <w:rFonts w:hint="eastAsia" w:ascii="宋体" w:hAnsi="宋体" w:eastAsia="宋体" w:cs="微软雅黑"/>
          <w:color w:val="auto"/>
          <w:spacing w:val="8"/>
          <w:sz w:val="21"/>
          <w:szCs w:val="21"/>
        </w:rPr>
      </w:pPr>
      <w:r>
        <w:rPr>
          <w:rFonts w:hint="eastAsia" w:ascii="宋体" w:hAnsi="宋体" w:eastAsia="宋体" w:cs="宋体"/>
          <w:color w:val="auto"/>
          <w:spacing w:val="8"/>
          <w:sz w:val="21"/>
          <w:szCs w:val="21"/>
          <w:shd w:val="clear" w:color="auto" w:fill="FFFFFF"/>
        </w:rPr>
        <w:t>供应商名称：</w:t>
      </w:r>
      <w:r>
        <w:rPr>
          <w:rFonts w:hint="eastAsia" w:ascii="宋体" w:hAnsi="宋体" w:eastAsia="宋体" w:cs="宋体"/>
          <w:color w:val="auto"/>
          <w:spacing w:val="8"/>
          <w:sz w:val="21"/>
          <w:szCs w:val="21"/>
          <w:u w:val="single"/>
          <w:shd w:val="clear" w:color="auto" w:fill="FFFFFF"/>
        </w:rPr>
        <w:t>          </w:t>
      </w:r>
      <w:r>
        <w:rPr>
          <w:rFonts w:hint="eastAsia" w:ascii="宋体" w:hAnsi="宋体" w:eastAsia="宋体" w:cs="宋体"/>
          <w:color w:val="auto"/>
          <w:spacing w:val="8"/>
          <w:sz w:val="21"/>
          <w:szCs w:val="21"/>
          <w:shd w:val="clear" w:color="auto" w:fill="FFFFFF"/>
        </w:rPr>
        <w:t>（单位电子签章）</w:t>
      </w:r>
    </w:p>
    <w:p>
      <w:pPr>
        <w:pStyle w:val="41"/>
        <w:shd w:val="clear" w:color="auto" w:fill="FFFFFF"/>
        <w:spacing w:before="0" w:beforeLines="0" w:beforeAutospacing="0" w:after="0" w:afterLines="0" w:afterAutospacing="0" w:line="360" w:lineRule="auto"/>
        <w:ind w:firstLine="465"/>
        <w:rPr>
          <w:rFonts w:hint="eastAsia" w:ascii="宋体" w:hAnsi="宋体" w:eastAsia="宋体" w:cs="微软雅黑"/>
          <w:color w:val="auto"/>
          <w:spacing w:val="8"/>
          <w:sz w:val="21"/>
          <w:szCs w:val="21"/>
        </w:rPr>
      </w:pPr>
      <w:r>
        <w:rPr>
          <w:rFonts w:hint="eastAsia" w:ascii="宋体" w:hAnsi="宋体" w:eastAsia="宋体" w:cs="宋体"/>
          <w:color w:val="auto"/>
          <w:spacing w:val="8"/>
          <w:sz w:val="21"/>
          <w:szCs w:val="21"/>
          <w:shd w:val="clear" w:color="auto" w:fill="FFFFFF"/>
        </w:rPr>
        <w:t>法定代表人或授权代表：</w:t>
      </w:r>
      <w:r>
        <w:rPr>
          <w:rFonts w:hint="eastAsia" w:ascii="宋体" w:hAnsi="宋体" w:eastAsia="宋体" w:cs="宋体"/>
          <w:color w:val="auto"/>
          <w:spacing w:val="8"/>
          <w:sz w:val="21"/>
          <w:szCs w:val="21"/>
          <w:u w:val="single"/>
          <w:shd w:val="clear" w:color="auto" w:fill="FFFFFF"/>
        </w:rPr>
        <w:t>      </w:t>
      </w:r>
      <w:r>
        <w:rPr>
          <w:rFonts w:hint="eastAsia" w:ascii="宋体" w:hAnsi="宋体" w:eastAsia="宋体" w:cs="宋体"/>
          <w:color w:val="auto"/>
          <w:spacing w:val="8"/>
          <w:sz w:val="21"/>
          <w:szCs w:val="21"/>
          <w:shd w:val="clear" w:color="auto" w:fill="FFFFFF"/>
        </w:rPr>
        <w:t>（</w:t>
      </w:r>
      <w:r>
        <w:rPr>
          <w:rFonts w:hint="eastAsia" w:ascii="宋体" w:hAnsi="宋体" w:eastAsia="宋体" w:cs="宋体"/>
          <w:color w:val="auto"/>
          <w:spacing w:val="8"/>
          <w:sz w:val="21"/>
          <w:szCs w:val="21"/>
          <w:shd w:val="clear" w:color="auto" w:fill="FFFFFF"/>
          <w:lang w:val="en-US" w:eastAsia="zh-CN"/>
        </w:rPr>
        <w:t>签字</w:t>
      </w:r>
      <w:r>
        <w:rPr>
          <w:rFonts w:hint="eastAsia" w:ascii="宋体" w:hAnsi="宋体" w:eastAsia="宋体" w:cs="宋体"/>
          <w:color w:val="auto"/>
          <w:spacing w:val="8"/>
          <w:sz w:val="21"/>
          <w:szCs w:val="21"/>
          <w:shd w:val="clear" w:color="auto" w:fill="FFFFFF"/>
        </w:rPr>
        <w:t>或盖章）</w:t>
      </w:r>
    </w:p>
    <w:p>
      <w:pPr>
        <w:pStyle w:val="41"/>
        <w:shd w:val="clear" w:color="auto" w:fill="FFFFFF"/>
        <w:spacing w:before="0" w:beforeLines="0" w:beforeAutospacing="0" w:after="0" w:afterLines="0" w:afterAutospacing="0" w:line="360" w:lineRule="auto"/>
        <w:ind w:firstLine="480"/>
        <w:jc w:val="both"/>
        <w:rPr>
          <w:rFonts w:hint="eastAsia" w:ascii="宋体" w:hAnsi="宋体" w:eastAsia="宋体" w:cs="微软雅黑"/>
          <w:color w:val="auto"/>
          <w:spacing w:val="8"/>
          <w:sz w:val="21"/>
          <w:szCs w:val="21"/>
        </w:rPr>
      </w:pPr>
      <w:r>
        <w:rPr>
          <w:rFonts w:hint="eastAsia" w:ascii="宋体" w:hAnsi="宋体" w:eastAsia="宋体" w:cs="宋体"/>
          <w:color w:val="auto"/>
          <w:spacing w:val="8"/>
          <w:sz w:val="21"/>
          <w:szCs w:val="21"/>
          <w:shd w:val="clear" w:color="auto" w:fill="FFFFFF"/>
        </w:rPr>
        <w:t>日期：</w:t>
      </w:r>
      <w:r>
        <w:rPr>
          <w:rFonts w:hint="eastAsia" w:ascii="宋体" w:hAnsi="宋体" w:eastAsia="宋体" w:cs="宋体"/>
          <w:color w:val="auto"/>
          <w:spacing w:val="8"/>
          <w:sz w:val="21"/>
          <w:szCs w:val="21"/>
          <w:u w:val="single"/>
          <w:shd w:val="clear" w:color="auto" w:fill="FFFFFF"/>
        </w:rPr>
        <w:t>              </w:t>
      </w:r>
    </w:p>
    <w:p>
      <w:pPr>
        <w:pStyle w:val="41"/>
        <w:shd w:val="clear" w:color="auto" w:fill="FFFFFF"/>
        <w:spacing w:before="0" w:beforeLines="0" w:beforeAutospacing="0" w:after="0" w:afterLines="0" w:afterAutospacing="0" w:line="360" w:lineRule="auto"/>
        <w:jc w:val="both"/>
        <w:rPr>
          <w:rFonts w:hint="eastAsia" w:ascii="宋体" w:hAnsi="宋体" w:eastAsia="宋体" w:cs="微软雅黑"/>
          <w:color w:val="auto"/>
          <w:spacing w:val="8"/>
          <w:sz w:val="21"/>
          <w:szCs w:val="21"/>
        </w:rPr>
      </w:pPr>
      <w:r>
        <w:rPr>
          <w:rFonts w:hint="eastAsia" w:ascii="宋体" w:hAnsi="宋体" w:eastAsia="宋体" w:cs="宋体"/>
          <w:color w:val="auto"/>
          <w:spacing w:val="8"/>
          <w:sz w:val="21"/>
          <w:szCs w:val="21"/>
          <w:shd w:val="clear" w:color="auto" w:fill="FFFFFF"/>
        </w:rPr>
        <w:t> </w:t>
      </w:r>
    </w:p>
    <w:p>
      <w:pPr>
        <w:rPr>
          <w:rFonts w:ascii="宋体" w:hAnsi="宋体"/>
          <w:color w:val="auto"/>
          <w:szCs w:val="21"/>
        </w:rPr>
      </w:pPr>
    </w:p>
    <w:p>
      <w:pPr>
        <w:spacing w:line="360" w:lineRule="auto"/>
        <w:jc w:val="center"/>
        <w:rPr>
          <w:rFonts w:ascii="宋体" w:hAnsi="宋体"/>
          <w:color w:val="auto"/>
          <w:szCs w:val="21"/>
        </w:rPr>
      </w:pPr>
    </w:p>
    <w:p>
      <w:pPr>
        <w:pStyle w:val="69"/>
        <w:rPr>
          <w:rFonts w:ascii="宋体" w:hAnsi="宋体"/>
          <w:color w:val="auto"/>
          <w:szCs w:val="21"/>
        </w:rPr>
      </w:pPr>
    </w:p>
    <w:p>
      <w:pPr>
        <w:pStyle w:val="69"/>
        <w:rPr>
          <w:rFonts w:ascii="宋体" w:hAnsi="宋体"/>
          <w:color w:val="auto"/>
          <w:szCs w:val="21"/>
        </w:rPr>
      </w:pPr>
    </w:p>
    <w:p>
      <w:pPr>
        <w:pStyle w:val="69"/>
        <w:rPr>
          <w:rFonts w:ascii="宋体" w:hAnsi="宋体"/>
          <w:color w:val="auto"/>
          <w:szCs w:val="21"/>
        </w:rPr>
      </w:pPr>
    </w:p>
    <w:p>
      <w:pPr>
        <w:pStyle w:val="69"/>
        <w:rPr>
          <w:rFonts w:ascii="宋体" w:hAnsi="宋体"/>
          <w:color w:val="auto"/>
          <w:szCs w:val="21"/>
        </w:rPr>
      </w:pPr>
    </w:p>
    <w:p>
      <w:pPr>
        <w:pStyle w:val="69"/>
        <w:rPr>
          <w:rFonts w:ascii="宋体" w:hAnsi="宋体"/>
          <w:color w:val="auto"/>
          <w:szCs w:val="21"/>
        </w:rPr>
      </w:pPr>
    </w:p>
    <w:p>
      <w:pPr>
        <w:pStyle w:val="69"/>
        <w:rPr>
          <w:rFonts w:ascii="宋体" w:hAnsi="宋体"/>
          <w:color w:val="auto"/>
          <w:szCs w:val="21"/>
        </w:rPr>
      </w:pPr>
    </w:p>
    <w:p>
      <w:pPr>
        <w:pStyle w:val="69"/>
        <w:rPr>
          <w:rFonts w:ascii="宋体" w:hAnsi="宋体"/>
          <w:color w:val="auto"/>
          <w:szCs w:val="21"/>
        </w:rPr>
      </w:pPr>
    </w:p>
    <w:p>
      <w:pPr>
        <w:pStyle w:val="69"/>
        <w:rPr>
          <w:rFonts w:ascii="宋体" w:hAnsi="宋体"/>
          <w:color w:val="auto"/>
          <w:szCs w:val="21"/>
        </w:rPr>
      </w:pPr>
    </w:p>
    <w:p>
      <w:pPr>
        <w:pStyle w:val="69"/>
        <w:rPr>
          <w:rFonts w:ascii="宋体" w:hAnsi="宋体"/>
          <w:color w:val="auto"/>
          <w:szCs w:val="21"/>
        </w:rPr>
      </w:pPr>
    </w:p>
    <w:p>
      <w:pPr>
        <w:pStyle w:val="69"/>
        <w:rPr>
          <w:rFonts w:ascii="宋体" w:hAnsi="宋体"/>
          <w:color w:val="auto"/>
          <w:szCs w:val="21"/>
        </w:rPr>
      </w:pPr>
    </w:p>
    <w:p>
      <w:pPr>
        <w:pStyle w:val="69"/>
        <w:rPr>
          <w:rFonts w:ascii="宋体" w:hAnsi="宋体"/>
          <w:color w:val="auto"/>
          <w:szCs w:val="21"/>
        </w:rPr>
      </w:pPr>
    </w:p>
    <w:p>
      <w:pPr>
        <w:pStyle w:val="69"/>
        <w:rPr>
          <w:rFonts w:ascii="宋体" w:hAnsi="宋体"/>
          <w:color w:val="auto"/>
          <w:szCs w:val="21"/>
        </w:rPr>
      </w:pPr>
    </w:p>
    <w:p>
      <w:pPr>
        <w:pStyle w:val="69"/>
        <w:rPr>
          <w:rFonts w:ascii="宋体" w:hAnsi="宋体"/>
          <w:color w:val="auto"/>
          <w:szCs w:val="21"/>
        </w:rPr>
      </w:pPr>
    </w:p>
    <w:p>
      <w:pPr>
        <w:pStyle w:val="70"/>
        <w:rPr>
          <w:rFonts w:ascii="宋体" w:hAnsi="宋体"/>
          <w:color w:val="auto"/>
          <w:szCs w:val="21"/>
        </w:rPr>
      </w:pPr>
    </w:p>
    <w:p>
      <w:pPr>
        <w:pStyle w:val="71"/>
        <w:rPr>
          <w:rFonts w:ascii="宋体" w:hAnsi="宋体"/>
          <w:color w:val="auto"/>
          <w:szCs w:val="21"/>
        </w:rPr>
      </w:pPr>
    </w:p>
    <w:p>
      <w:pPr>
        <w:pStyle w:val="72"/>
      </w:pPr>
    </w:p>
    <w:p>
      <w:pPr>
        <w:pStyle w:val="69"/>
        <w:rPr>
          <w:rFonts w:ascii="宋体" w:hAnsi="宋体"/>
          <w:color w:val="auto"/>
          <w:szCs w:val="21"/>
        </w:rPr>
      </w:pPr>
    </w:p>
    <w:p>
      <w:pPr>
        <w:numPr>
          <w:ilvl w:val="0"/>
          <w:numId w:val="0"/>
        </w:numPr>
        <w:ind w:leftChars="200"/>
        <w:jc w:val="center"/>
        <w:rPr>
          <w:rFonts w:hint="eastAsia" w:ascii="宋体" w:hAnsi="宋体"/>
          <w:b/>
          <w:color w:val="auto"/>
          <w:szCs w:val="21"/>
          <w:lang w:val="en-US" w:eastAsia="zh-CN"/>
        </w:rPr>
      </w:pPr>
    </w:p>
    <w:p>
      <w:pPr>
        <w:numPr>
          <w:ilvl w:val="0"/>
          <w:numId w:val="0"/>
        </w:numPr>
        <w:ind w:leftChars="200"/>
        <w:jc w:val="center"/>
        <w:rPr>
          <w:rFonts w:hint="eastAsia" w:ascii="宋体" w:hAnsi="宋体"/>
          <w:b/>
          <w:color w:val="auto"/>
          <w:szCs w:val="21"/>
        </w:rPr>
      </w:pPr>
      <w:r>
        <w:rPr>
          <w:rFonts w:hint="eastAsia" w:ascii="宋体" w:hAnsi="宋体"/>
          <w:b/>
          <w:color w:val="auto"/>
          <w:szCs w:val="21"/>
          <w:lang w:val="en-US" w:eastAsia="zh-CN"/>
        </w:rPr>
        <w:t>6、</w:t>
      </w:r>
      <w:r>
        <w:rPr>
          <w:rFonts w:hint="eastAsia" w:ascii="宋体" w:hAnsi="宋体"/>
          <w:b/>
          <w:color w:val="auto"/>
          <w:szCs w:val="21"/>
        </w:rPr>
        <w:t>供应商认为需要的其它资料</w:t>
      </w:r>
    </w:p>
    <w:p>
      <w:pPr>
        <w:numPr>
          <w:ilvl w:val="0"/>
          <w:numId w:val="0"/>
        </w:numPr>
        <w:ind w:leftChars="200"/>
        <w:jc w:val="both"/>
        <w:rPr>
          <w:rFonts w:hint="eastAsia" w:ascii="宋体" w:hAnsi="宋体" w:eastAsia="宋体" w:cs="宋体"/>
          <w:b/>
          <w:color w:val="auto"/>
          <w:sz w:val="21"/>
          <w:szCs w:val="21"/>
        </w:rPr>
      </w:pPr>
    </w:p>
    <w:p>
      <w:pPr>
        <w:numPr>
          <w:ilvl w:val="0"/>
          <w:numId w:val="0"/>
        </w:numPr>
        <w:ind w:leftChars="200"/>
        <w:jc w:val="both"/>
        <w:rPr>
          <w:rFonts w:hint="eastAsia" w:ascii="宋体" w:hAnsi="宋体" w:eastAsia="宋体" w:cs="宋体"/>
          <w:b/>
          <w:color w:val="auto"/>
          <w:sz w:val="21"/>
          <w:szCs w:val="21"/>
        </w:rPr>
      </w:pPr>
    </w:p>
    <w:p>
      <w:pPr>
        <w:numPr>
          <w:ilvl w:val="0"/>
          <w:numId w:val="0"/>
        </w:numPr>
        <w:ind w:leftChars="200"/>
        <w:jc w:val="both"/>
        <w:rPr>
          <w:rFonts w:hint="eastAsia" w:ascii="宋体" w:hAnsi="宋体" w:eastAsia="宋体" w:cs="宋体"/>
          <w:b/>
          <w:color w:val="auto"/>
          <w:sz w:val="21"/>
          <w:szCs w:val="21"/>
        </w:rPr>
      </w:pPr>
    </w:p>
    <w:p>
      <w:pPr>
        <w:numPr>
          <w:ilvl w:val="0"/>
          <w:numId w:val="0"/>
        </w:numPr>
        <w:ind w:leftChars="200"/>
        <w:jc w:val="both"/>
        <w:rPr>
          <w:rFonts w:hint="eastAsia" w:ascii="宋体" w:hAnsi="宋体" w:eastAsia="宋体" w:cs="宋体"/>
          <w:b/>
          <w:color w:val="auto"/>
          <w:sz w:val="21"/>
          <w:szCs w:val="21"/>
        </w:rPr>
      </w:pPr>
    </w:p>
    <w:p>
      <w:pPr>
        <w:numPr>
          <w:ilvl w:val="0"/>
          <w:numId w:val="0"/>
        </w:numPr>
        <w:ind w:leftChars="200"/>
        <w:jc w:val="both"/>
        <w:rPr>
          <w:rFonts w:hint="eastAsia" w:ascii="宋体" w:hAnsi="宋体" w:eastAsia="宋体" w:cs="宋体"/>
          <w:b/>
          <w:color w:val="auto"/>
          <w:sz w:val="21"/>
          <w:szCs w:val="21"/>
        </w:rPr>
      </w:pPr>
    </w:p>
    <w:p>
      <w:pPr>
        <w:numPr>
          <w:ilvl w:val="0"/>
          <w:numId w:val="0"/>
        </w:numPr>
        <w:ind w:leftChars="200"/>
        <w:jc w:val="both"/>
        <w:rPr>
          <w:rFonts w:hint="eastAsia" w:ascii="宋体" w:hAnsi="宋体" w:eastAsia="宋体" w:cs="宋体"/>
          <w:b/>
          <w:color w:val="auto"/>
          <w:sz w:val="21"/>
          <w:szCs w:val="21"/>
        </w:rPr>
      </w:pPr>
    </w:p>
    <w:p>
      <w:pPr>
        <w:numPr>
          <w:ilvl w:val="0"/>
          <w:numId w:val="0"/>
        </w:numPr>
        <w:ind w:leftChars="200"/>
        <w:jc w:val="both"/>
        <w:rPr>
          <w:rFonts w:hint="eastAsia" w:ascii="宋体" w:hAnsi="宋体" w:eastAsia="宋体" w:cs="宋体"/>
          <w:b/>
          <w:color w:val="auto"/>
          <w:sz w:val="21"/>
          <w:szCs w:val="21"/>
        </w:rPr>
      </w:pPr>
    </w:p>
    <w:p>
      <w:pPr>
        <w:numPr>
          <w:ilvl w:val="0"/>
          <w:numId w:val="0"/>
        </w:numPr>
        <w:ind w:leftChars="200"/>
        <w:jc w:val="both"/>
        <w:rPr>
          <w:rFonts w:hint="eastAsia" w:ascii="宋体" w:hAnsi="宋体" w:eastAsia="宋体" w:cs="宋体"/>
          <w:b/>
          <w:color w:val="auto"/>
          <w:sz w:val="21"/>
          <w:szCs w:val="21"/>
        </w:rPr>
      </w:pPr>
    </w:p>
    <w:p>
      <w:pPr>
        <w:numPr>
          <w:ilvl w:val="0"/>
          <w:numId w:val="0"/>
        </w:numPr>
        <w:ind w:leftChars="200"/>
        <w:jc w:val="both"/>
        <w:rPr>
          <w:rFonts w:hint="eastAsia" w:ascii="宋体" w:hAnsi="宋体" w:eastAsia="宋体" w:cs="宋体"/>
          <w:b/>
          <w:color w:val="auto"/>
          <w:sz w:val="21"/>
          <w:szCs w:val="21"/>
        </w:rPr>
      </w:pPr>
    </w:p>
    <w:p>
      <w:pPr>
        <w:numPr>
          <w:ilvl w:val="0"/>
          <w:numId w:val="0"/>
        </w:numPr>
        <w:ind w:leftChars="200"/>
        <w:jc w:val="both"/>
        <w:rPr>
          <w:rFonts w:hint="eastAsia" w:ascii="宋体" w:hAnsi="宋体" w:eastAsia="宋体" w:cs="宋体"/>
          <w:b/>
          <w:color w:val="auto"/>
          <w:sz w:val="21"/>
          <w:szCs w:val="21"/>
        </w:rPr>
      </w:pPr>
    </w:p>
    <w:p>
      <w:pPr>
        <w:numPr>
          <w:ilvl w:val="0"/>
          <w:numId w:val="0"/>
        </w:numPr>
        <w:ind w:leftChars="200"/>
        <w:jc w:val="both"/>
        <w:rPr>
          <w:rFonts w:hint="eastAsia" w:ascii="宋体" w:hAnsi="宋体" w:eastAsia="宋体" w:cs="宋体"/>
          <w:b/>
          <w:color w:val="auto"/>
          <w:sz w:val="21"/>
          <w:szCs w:val="21"/>
        </w:rPr>
      </w:pPr>
    </w:p>
    <w:p>
      <w:pPr>
        <w:numPr>
          <w:ilvl w:val="0"/>
          <w:numId w:val="0"/>
        </w:numPr>
        <w:ind w:leftChars="200"/>
        <w:jc w:val="both"/>
        <w:rPr>
          <w:rFonts w:hint="eastAsia" w:ascii="宋体" w:hAnsi="宋体" w:eastAsia="宋体" w:cs="宋体"/>
          <w:b/>
          <w:color w:val="auto"/>
          <w:sz w:val="21"/>
          <w:szCs w:val="21"/>
        </w:rPr>
      </w:pPr>
    </w:p>
    <w:p>
      <w:pPr>
        <w:numPr>
          <w:ilvl w:val="0"/>
          <w:numId w:val="0"/>
        </w:numPr>
        <w:ind w:leftChars="200"/>
        <w:jc w:val="both"/>
        <w:rPr>
          <w:rFonts w:hint="eastAsia" w:ascii="宋体" w:hAnsi="宋体" w:eastAsia="宋体" w:cs="宋体"/>
          <w:b/>
          <w:color w:val="auto"/>
          <w:sz w:val="21"/>
          <w:szCs w:val="21"/>
        </w:rPr>
      </w:pPr>
    </w:p>
    <w:p>
      <w:pPr>
        <w:numPr>
          <w:ilvl w:val="0"/>
          <w:numId w:val="0"/>
        </w:numPr>
        <w:ind w:leftChars="200"/>
        <w:jc w:val="both"/>
        <w:rPr>
          <w:rFonts w:hint="eastAsia" w:ascii="宋体" w:hAnsi="宋体" w:eastAsia="宋体" w:cs="宋体"/>
          <w:b/>
          <w:color w:val="auto"/>
          <w:sz w:val="21"/>
          <w:szCs w:val="21"/>
        </w:rPr>
      </w:pPr>
    </w:p>
    <w:p>
      <w:pPr>
        <w:numPr>
          <w:ilvl w:val="0"/>
          <w:numId w:val="0"/>
        </w:numPr>
        <w:ind w:leftChars="200"/>
        <w:jc w:val="both"/>
        <w:rPr>
          <w:rFonts w:hint="eastAsia" w:ascii="宋体" w:hAnsi="宋体" w:eastAsia="宋体" w:cs="宋体"/>
          <w:b/>
          <w:color w:val="auto"/>
          <w:sz w:val="21"/>
          <w:szCs w:val="21"/>
        </w:rPr>
      </w:pPr>
    </w:p>
    <w:p>
      <w:pPr>
        <w:numPr>
          <w:ilvl w:val="0"/>
          <w:numId w:val="0"/>
        </w:numPr>
        <w:ind w:leftChars="200"/>
        <w:jc w:val="both"/>
        <w:rPr>
          <w:rFonts w:hint="eastAsia" w:ascii="宋体" w:hAnsi="宋体" w:eastAsia="宋体" w:cs="宋体"/>
          <w:b/>
          <w:color w:val="auto"/>
          <w:sz w:val="21"/>
          <w:szCs w:val="21"/>
        </w:rPr>
      </w:pPr>
    </w:p>
    <w:p>
      <w:pPr>
        <w:numPr>
          <w:ilvl w:val="0"/>
          <w:numId w:val="0"/>
        </w:numPr>
        <w:ind w:leftChars="200"/>
        <w:jc w:val="both"/>
        <w:rPr>
          <w:rFonts w:hint="eastAsia" w:ascii="宋体" w:hAnsi="宋体" w:eastAsia="宋体" w:cs="宋体"/>
          <w:b/>
          <w:color w:val="auto"/>
          <w:sz w:val="21"/>
          <w:szCs w:val="21"/>
        </w:rPr>
      </w:pPr>
    </w:p>
    <w:p>
      <w:pPr>
        <w:numPr>
          <w:ilvl w:val="0"/>
          <w:numId w:val="0"/>
        </w:numPr>
        <w:ind w:leftChars="200"/>
        <w:jc w:val="both"/>
        <w:rPr>
          <w:rFonts w:hint="eastAsia" w:ascii="宋体" w:hAnsi="宋体" w:eastAsia="宋体" w:cs="宋体"/>
          <w:b/>
          <w:color w:val="auto"/>
          <w:sz w:val="21"/>
          <w:szCs w:val="21"/>
        </w:rPr>
      </w:pPr>
    </w:p>
    <w:p>
      <w:pPr>
        <w:numPr>
          <w:ilvl w:val="0"/>
          <w:numId w:val="0"/>
        </w:numPr>
        <w:ind w:leftChars="200"/>
        <w:jc w:val="both"/>
        <w:rPr>
          <w:rFonts w:hint="eastAsia" w:ascii="宋体" w:hAnsi="宋体" w:eastAsia="宋体" w:cs="宋体"/>
          <w:b/>
          <w:color w:val="auto"/>
          <w:sz w:val="21"/>
          <w:szCs w:val="21"/>
        </w:rPr>
      </w:pPr>
    </w:p>
    <w:p>
      <w:pPr>
        <w:numPr>
          <w:ilvl w:val="0"/>
          <w:numId w:val="0"/>
        </w:numPr>
        <w:ind w:leftChars="200"/>
        <w:jc w:val="both"/>
        <w:rPr>
          <w:rFonts w:hint="eastAsia" w:ascii="宋体" w:hAnsi="宋体" w:eastAsia="宋体" w:cs="宋体"/>
          <w:b/>
          <w:color w:val="auto"/>
          <w:sz w:val="21"/>
          <w:szCs w:val="21"/>
        </w:rPr>
      </w:pPr>
    </w:p>
    <w:p>
      <w:pPr>
        <w:numPr>
          <w:ilvl w:val="0"/>
          <w:numId w:val="0"/>
        </w:numPr>
        <w:ind w:leftChars="200"/>
        <w:jc w:val="both"/>
        <w:rPr>
          <w:rFonts w:hint="eastAsia" w:ascii="宋体" w:hAnsi="宋体" w:eastAsia="宋体" w:cs="宋体"/>
          <w:b/>
          <w:color w:val="auto"/>
          <w:sz w:val="21"/>
          <w:szCs w:val="21"/>
        </w:rPr>
      </w:pPr>
    </w:p>
    <w:p>
      <w:pPr>
        <w:numPr>
          <w:ilvl w:val="0"/>
          <w:numId w:val="0"/>
        </w:numPr>
        <w:ind w:leftChars="200"/>
        <w:jc w:val="both"/>
        <w:rPr>
          <w:rFonts w:hint="eastAsia" w:ascii="宋体" w:hAnsi="宋体" w:eastAsia="宋体" w:cs="宋体"/>
          <w:b/>
          <w:color w:val="auto"/>
          <w:sz w:val="21"/>
          <w:szCs w:val="21"/>
        </w:rPr>
      </w:pPr>
    </w:p>
    <w:p>
      <w:pPr>
        <w:numPr>
          <w:ilvl w:val="0"/>
          <w:numId w:val="0"/>
        </w:numPr>
        <w:ind w:leftChars="200"/>
        <w:jc w:val="both"/>
        <w:rPr>
          <w:rFonts w:hint="eastAsia" w:ascii="宋体" w:hAnsi="宋体" w:eastAsia="宋体" w:cs="宋体"/>
          <w:b/>
          <w:color w:val="auto"/>
          <w:sz w:val="21"/>
          <w:szCs w:val="21"/>
        </w:rPr>
      </w:pPr>
    </w:p>
    <w:p>
      <w:pPr>
        <w:numPr>
          <w:ilvl w:val="0"/>
          <w:numId w:val="0"/>
        </w:numPr>
        <w:ind w:leftChars="200"/>
        <w:jc w:val="both"/>
        <w:rPr>
          <w:rFonts w:hint="eastAsia" w:ascii="宋体" w:hAnsi="宋体" w:eastAsia="宋体" w:cs="宋体"/>
          <w:b/>
          <w:color w:val="auto"/>
          <w:sz w:val="21"/>
          <w:szCs w:val="21"/>
        </w:rPr>
      </w:pPr>
    </w:p>
    <w:p>
      <w:pPr>
        <w:numPr>
          <w:ilvl w:val="0"/>
          <w:numId w:val="0"/>
        </w:numPr>
        <w:ind w:leftChars="200"/>
        <w:jc w:val="both"/>
        <w:rPr>
          <w:rFonts w:hint="eastAsia" w:ascii="宋体" w:hAnsi="宋体" w:eastAsia="宋体" w:cs="宋体"/>
          <w:b/>
          <w:color w:val="auto"/>
          <w:sz w:val="21"/>
          <w:szCs w:val="21"/>
        </w:rPr>
      </w:pPr>
    </w:p>
    <w:p>
      <w:pPr>
        <w:numPr>
          <w:ilvl w:val="0"/>
          <w:numId w:val="0"/>
        </w:numPr>
        <w:ind w:leftChars="200"/>
        <w:jc w:val="both"/>
        <w:rPr>
          <w:rFonts w:hint="eastAsia" w:ascii="宋体" w:hAnsi="宋体" w:eastAsia="宋体" w:cs="宋体"/>
          <w:b/>
          <w:color w:val="auto"/>
          <w:sz w:val="21"/>
          <w:szCs w:val="21"/>
        </w:rPr>
      </w:pPr>
    </w:p>
    <w:p>
      <w:pPr>
        <w:numPr>
          <w:ilvl w:val="0"/>
          <w:numId w:val="0"/>
        </w:numPr>
        <w:ind w:leftChars="200"/>
        <w:jc w:val="both"/>
        <w:rPr>
          <w:rFonts w:hint="eastAsia" w:ascii="宋体" w:hAnsi="宋体" w:eastAsia="宋体" w:cs="宋体"/>
          <w:b/>
          <w:color w:val="auto"/>
          <w:sz w:val="21"/>
          <w:szCs w:val="21"/>
        </w:rPr>
      </w:pPr>
    </w:p>
    <w:p>
      <w:pPr>
        <w:numPr>
          <w:ilvl w:val="0"/>
          <w:numId w:val="0"/>
        </w:numPr>
        <w:ind w:leftChars="200"/>
        <w:jc w:val="both"/>
        <w:rPr>
          <w:rFonts w:hint="eastAsia" w:ascii="宋体" w:hAnsi="宋体" w:eastAsia="宋体" w:cs="宋体"/>
          <w:b/>
          <w:color w:val="auto"/>
          <w:sz w:val="21"/>
          <w:szCs w:val="21"/>
        </w:rPr>
      </w:pPr>
    </w:p>
    <w:p>
      <w:pPr>
        <w:numPr>
          <w:ilvl w:val="0"/>
          <w:numId w:val="0"/>
        </w:numPr>
        <w:ind w:leftChars="200"/>
        <w:jc w:val="both"/>
        <w:rPr>
          <w:rFonts w:hint="eastAsia" w:ascii="宋体" w:hAnsi="宋体" w:eastAsia="宋体" w:cs="宋体"/>
          <w:b/>
          <w:color w:val="auto"/>
          <w:sz w:val="21"/>
          <w:szCs w:val="21"/>
        </w:rPr>
      </w:pPr>
    </w:p>
    <w:p>
      <w:pPr>
        <w:numPr>
          <w:ilvl w:val="0"/>
          <w:numId w:val="0"/>
        </w:numPr>
        <w:ind w:leftChars="200"/>
        <w:jc w:val="both"/>
        <w:rPr>
          <w:rFonts w:hint="eastAsia" w:ascii="宋体" w:hAnsi="宋体" w:eastAsia="宋体" w:cs="宋体"/>
          <w:b/>
          <w:color w:val="auto"/>
          <w:sz w:val="21"/>
          <w:szCs w:val="21"/>
        </w:rPr>
      </w:pPr>
    </w:p>
    <w:p>
      <w:pPr>
        <w:numPr>
          <w:ilvl w:val="0"/>
          <w:numId w:val="0"/>
        </w:numPr>
        <w:ind w:leftChars="200"/>
        <w:jc w:val="both"/>
        <w:rPr>
          <w:rFonts w:hint="eastAsia" w:ascii="宋体" w:hAnsi="宋体" w:eastAsia="宋体" w:cs="宋体"/>
          <w:b/>
          <w:color w:val="auto"/>
          <w:sz w:val="21"/>
          <w:szCs w:val="21"/>
        </w:rPr>
      </w:pPr>
    </w:p>
    <w:p>
      <w:pPr>
        <w:numPr>
          <w:ilvl w:val="0"/>
          <w:numId w:val="0"/>
        </w:numPr>
        <w:ind w:leftChars="200"/>
        <w:jc w:val="both"/>
        <w:rPr>
          <w:rFonts w:hint="eastAsia" w:ascii="宋体" w:hAnsi="宋体" w:eastAsia="宋体" w:cs="宋体"/>
          <w:b/>
          <w:color w:val="auto"/>
          <w:sz w:val="21"/>
          <w:szCs w:val="21"/>
        </w:rPr>
      </w:pPr>
    </w:p>
    <w:p>
      <w:pPr>
        <w:numPr>
          <w:ilvl w:val="0"/>
          <w:numId w:val="0"/>
        </w:numPr>
        <w:ind w:leftChars="200"/>
        <w:jc w:val="both"/>
        <w:rPr>
          <w:rFonts w:hint="eastAsia" w:ascii="宋体" w:hAnsi="宋体" w:eastAsia="宋体" w:cs="宋体"/>
          <w:b/>
          <w:color w:val="auto"/>
          <w:sz w:val="21"/>
          <w:szCs w:val="21"/>
        </w:rPr>
      </w:pPr>
    </w:p>
    <w:p>
      <w:pPr>
        <w:numPr>
          <w:ilvl w:val="0"/>
          <w:numId w:val="0"/>
        </w:numPr>
        <w:ind w:leftChars="200"/>
        <w:jc w:val="both"/>
        <w:rPr>
          <w:rFonts w:hint="eastAsia" w:ascii="宋体" w:hAnsi="宋体" w:eastAsia="宋体" w:cs="宋体"/>
          <w:b/>
          <w:color w:val="auto"/>
          <w:sz w:val="21"/>
          <w:szCs w:val="21"/>
        </w:rPr>
      </w:pPr>
    </w:p>
    <w:p>
      <w:pPr>
        <w:numPr>
          <w:ilvl w:val="0"/>
          <w:numId w:val="0"/>
        </w:numPr>
        <w:ind w:leftChars="200"/>
        <w:jc w:val="both"/>
        <w:rPr>
          <w:rFonts w:hint="eastAsia" w:ascii="宋体" w:hAnsi="宋体" w:eastAsia="宋体" w:cs="宋体"/>
          <w:b/>
          <w:color w:val="auto"/>
          <w:sz w:val="21"/>
          <w:szCs w:val="21"/>
        </w:rPr>
      </w:pPr>
    </w:p>
    <w:p>
      <w:pPr>
        <w:numPr>
          <w:ilvl w:val="0"/>
          <w:numId w:val="0"/>
        </w:numPr>
        <w:ind w:leftChars="200"/>
        <w:jc w:val="both"/>
        <w:rPr>
          <w:rFonts w:hint="eastAsia" w:ascii="宋体" w:hAnsi="宋体" w:eastAsia="宋体" w:cs="宋体"/>
          <w:b/>
          <w:color w:val="auto"/>
          <w:sz w:val="21"/>
          <w:szCs w:val="21"/>
        </w:rPr>
      </w:pPr>
    </w:p>
    <w:p>
      <w:pPr>
        <w:numPr>
          <w:ilvl w:val="0"/>
          <w:numId w:val="0"/>
        </w:numPr>
        <w:ind w:leftChars="200"/>
        <w:jc w:val="both"/>
        <w:rPr>
          <w:rFonts w:hint="eastAsia" w:ascii="宋体" w:hAnsi="宋体" w:eastAsia="宋体" w:cs="宋体"/>
          <w:b/>
          <w:color w:val="auto"/>
          <w:sz w:val="21"/>
          <w:szCs w:val="21"/>
        </w:rPr>
      </w:pPr>
    </w:p>
    <w:p>
      <w:pPr>
        <w:numPr>
          <w:ilvl w:val="0"/>
          <w:numId w:val="0"/>
        </w:numPr>
        <w:ind w:leftChars="200"/>
        <w:jc w:val="both"/>
        <w:rPr>
          <w:rFonts w:hint="eastAsia" w:ascii="宋体" w:hAnsi="宋体" w:eastAsia="宋体" w:cs="宋体"/>
          <w:b/>
          <w:color w:val="auto"/>
          <w:sz w:val="21"/>
          <w:szCs w:val="21"/>
        </w:rPr>
      </w:pPr>
    </w:p>
    <w:p>
      <w:pPr>
        <w:numPr>
          <w:ilvl w:val="0"/>
          <w:numId w:val="0"/>
        </w:numPr>
        <w:ind w:leftChars="200"/>
        <w:jc w:val="both"/>
        <w:rPr>
          <w:rFonts w:hint="eastAsia" w:ascii="宋体" w:hAnsi="宋体" w:eastAsia="宋体" w:cs="宋体"/>
          <w:b/>
          <w:color w:val="auto"/>
          <w:sz w:val="21"/>
          <w:szCs w:val="21"/>
        </w:rPr>
      </w:pPr>
    </w:p>
    <w:p>
      <w:pPr>
        <w:numPr>
          <w:ilvl w:val="0"/>
          <w:numId w:val="0"/>
        </w:numPr>
        <w:ind w:leftChars="200"/>
        <w:jc w:val="both"/>
        <w:rPr>
          <w:rFonts w:hint="eastAsia" w:ascii="宋体" w:hAnsi="宋体" w:eastAsia="宋体" w:cs="宋体"/>
          <w:b/>
          <w:color w:val="auto"/>
          <w:sz w:val="21"/>
          <w:szCs w:val="21"/>
        </w:rPr>
      </w:pPr>
    </w:p>
    <w:p>
      <w:pPr>
        <w:numPr>
          <w:ilvl w:val="0"/>
          <w:numId w:val="0"/>
        </w:numPr>
        <w:jc w:val="both"/>
        <w:rPr>
          <w:rFonts w:hint="eastAsia" w:ascii="宋体" w:hAnsi="宋体" w:eastAsia="宋体" w:cs="宋体"/>
          <w:b/>
          <w:color w:val="auto"/>
          <w:sz w:val="21"/>
          <w:szCs w:val="21"/>
        </w:rPr>
      </w:pPr>
    </w:p>
    <w:p>
      <w:pPr>
        <w:numPr>
          <w:ilvl w:val="0"/>
          <w:numId w:val="0"/>
        </w:numPr>
        <w:ind w:leftChars="200"/>
        <w:jc w:val="center"/>
        <w:rPr>
          <w:rFonts w:hint="eastAsia" w:ascii="宋体" w:hAnsi="宋体" w:eastAsia="宋体" w:cs="宋体"/>
          <w:b/>
          <w:color w:val="auto"/>
          <w:sz w:val="21"/>
          <w:szCs w:val="21"/>
        </w:rPr>
      </w:pPr>
    </w:p>
    <w:p>
      <w:pPr>
        <w:numPr>
          <w:ilvl w:val="0"/>
          <w:numId w:val="0"/>
        </w:numPr>
        <w:ind w:leftChars="200"/>
        <w:jc w:val="center"/>
        <w:rPr>
          <w:rFonts w:hint="eastAsia" w:ascii="宋体" w:hAnsi="宋体" w:eastAsia="宋体" w:cs="宋体"/>
          <w:b/>
          <w:color w:val="auto"/>
          <w:sz w:val="21"/>
          <w:szCs w:val="21"/>
        </w:rPr>
      </w:pPr>
    </w:p>
    <w:p>
      <w:pPr>
        <w:numPr>
          <w:ilvl w:val="0"/>
          <w:numId w:val="0"/>
        </w:numPr>
        <w:ind w:leftChars="200"/>
        <w:jc w:val="center"/>
        <w:rPr>
          <w:rFonts w:hint="eastAsia" w:ascii="宋体" w:hAnsi="宋体" w:eastAsia="宋体" w:cs="宋体"/>
          <w:b/>
          <w:bCs/>
          <w:color w:val="auto"/>
          <w:sz w:val="21"/>
          <w:szCs w:val="21"/>
        </w:rPr>
      </w:pPr>
      <w:r>
        <w:rPr>
          <w:rFonts w:hint="eastAsia" w:ascii="宋体" w:hAnsi="宋体" w:eastAsia="宋体" w:cs="宋体"/>
          <w:b/>
          <w:color w:val="auto"/>
          <w:sz w:val="21"/>
          <w:szCs w:val="21"/>
        </w:rPr>
        <w:t>河南省政府采购合同融资政策告知函</w:t>
      </w:r>
    </w:p>
    <w:p>
      <w:pPr>
        <w:rPr>
          <w:rFonts w:hint="default" w:ascii="Calibri" w:hAnsi="Calibri" w:eastAsia="仿宋" w:cs="Calibri"/>
          <w:color w:val="auto"/>
          <w:sz w:val="21"/>
          <w:szCs w:val="21"/>
        </w:rPr>
      </w:pPr>
    </w:p>
    <w:p>
      <w:pPr>
        <w:keepNext w:val="0"/>
        <w:keepLines w:val="0"/>
        <w:pageBreakBefore w:val="0"/>
        <w:widowControl w:val="0"/>
        <w:kinsoku/>
        <w:wordWrap/>
        <w:overflowPunct/>
        <w:topLinePunct w:val="0"/>
        <w:autoSpaceDE/>
        <w:autoSpaceDN/>
        <w:bidi w:val="0"/>
        <w:adjustRightInd/>
        <w:snapToGrid/>
        <w:spacing w:line="72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各</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w:t>
      </w:r>
    </w:p>
    <w:p>
      <w:pPr>
        <w:keepNext w:val="0"/>
        <w:keepLines w:val="0"/>
        <w:pageBreakBefore w:val="0"/>
        <w:widowControl w:val="0"/>
        <w:kinsoku/>
        <w:wordWrap/>
        <w:overflowPunct/>
        <w:topLinePunct w:val="0"/>
        <w:autoSpaceDE/>
        <w:autoSpaceDN/>
        <w:bidi w:val="0"/>
        <w:adjustRightInd/>
        <w:snapToGrid/>
        <w:spacing w:line="72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欢迎贵公司参与河南省政府采购活动！</w:t>
      </w:r>
    </w:p>
    <w:p>
      <w:pPr>
        <w:keepNext w:val="0"/>
        <w:keepLines w:val="0"/>
        <w:pageBreakBefore w:val="0"/>
        <w:widowControl w:val="0"/>
        <w:kinsoku/>
        <w:wordWrap/>
        <w:overflowPunct/>
        <w:topLinePunct w:val="0"/>
        <w:autoSpaceDE/>
        <w:autoSpaceDN/>
        <w:bidi w:val="0"/>
        <w:adjustRightInd/>
        <w:snapToGrid/>
        <w:spacing w:line="72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spacing w:line="720" w:lineRule="auto"/>
        <w:rPr>
          <w:rFonts w:hint="eastAsia"/>
          <w:color w:val="auto"/>
          <w:sz w:val="21"/>
          <w:szCs w:val="21"/>
        </w:rPr>
      </w:pPr>
      <w:r>
        <w:rPr>
          <w:rFonts w:hint="eastAsia" w:ascii="宋体" w:hAnsi="宋体" w:eastAsia="宋体" w:cs="宋体"/>
          <w:color w:val="auto"/>
          <w:sz w:val="21"/>
          <w:szCs w:val="21"/>
        </w:rPr>
        <w:t>贷款渠道和提供贷款的金融机构，可在河南省政府采购网“河南省政府采购合同融资平台”查询联系。</w:t>
      </w:r>
      <w:r>
        <w:rPr>
          <w:rFonts w:hint="eastAsia" w:ascii="宋体" w:hAnsi="宋体" w:eastAsia="宋体" w:cs="宋体"/>
          <w:color w:val="auto"/>
          <w:sz w:val="21"/>
          <w:szCs w:val="21"/>
          <w:lang w:eastAsia="zh-CN"/>
        </w:rPr>
        <w:t>政策解读网址：</w:t>
      </w:r>
      <w:r>
        <w:rPr>
          <w:rFonts w:hint="eastAsia" w:ascii="宋体" w:hAnsi="宋体" w:eastAsia="宋体" w:cs="宋体"/>
          <w:color w:val="auto"/>
          <w:sz w:val="21"/>
          <w:szCs w:val="21"/>
        </w:rPr>
        <w:t>http://www.hngp.gov.cn/henan/conte</w:t>
      </w:r>
    </w:p>
    <w:p>
      <w:pPr>
        <w:pStyle w:val="41"/>
        <w:shd w:val="clear" w:color="070000" w:fill="FFFFFF"/>
        <w:spacing w:before="0" w:beforeLines="0" w:beforeAutospacing="0" w:after="0" w:afterLines="0" w:afterAutospacing="0" w:line="360" w:lineRule="auto"/>
        <w:jc w:val="both"/>
        <w:rPr>
          <w:rFonts w:hint="eastAsia" w:ascii="宋体" w:hAnsi="宋体" w:eastAsia="宋体" w:cs="宋体"/>
          <w:color w:val="auto"/>
          <w:spacing w:val="8"/>
          <w:sz w:val="21"/>
          <w:szCs w:val="21"/>
          <w:shd w:val="clear" w:color="080000" w:fill="FFFFFF"/>
        </w:rPr>
      </w:pPr>
    </w:p>
    <w:p>
      <w:pPr>
        <w:keepNext w:val="0"/>
        <w:keepLines w:val="0"/>
        <w:pageBreakBefore w:val="0"/>
        <w:widowControl w:val="0"/>
        <w:kinsoku/>
        <w:wordWrap/>
        <w:overflowPunct/>
        <w:topLinePunct w:val="0"/>
        <w:autoSpaceDE/>
        <w:autoSpaceDN/>
        <w:bidi w:val="0"/>
        <w:adjustRightInd/>
        <w:snapToGrid/>
        <w:spacing w:line="72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注:此项仅为告知，无须附到响应文件中。</w:t>
      </w:r>
    </w:p>
    <w:sectPr>
      <w:pgSz w:w="11905" w:h="16838"/>
      <w:pgMar w:top="1440" w:right="1576" w:bottom="1440" w:left="1576" w:header="850" w:footer="850" w:gutter="0"/>
      <w:pgBorders>
        <w:top w:val="none" w:sz="0" w:space="0"/>
        <w:left w:val="none" w:sz="0" w:space="0"/>
        <w:bottom w:val="none" w:sz="0" w:space="0"/>
        <w:right w:val="none" w:sz="0" w:space="0"/>
      </w:pgBorders>
      <w:pgNumType w:fmt="decimal"/>
      <w:cols w:space="72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roma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00000" w:csb1="00000000"/>
  </w:font>
  <w:font w:name="华文细黑">
    <w:panose1 w:val="02010600040101010101"/>
    <w:charset w:val="86"/>
    <w:family w:val="auto"/>
    <w:pitch w:val="default"/>
    <w:sig w:usb0="00000287" w:usb1="080F0000" w:usb2="00000000" w:usb3="00000000" w:csb0="0004009F" w:csb1="DFD70000"/>
  </w:font>
  <w:font w:name="Microsoft JhengHei">
    <w:panose1 w:val="020B0604030504040204"/>
    <w:charset w:val="88"/>
    <w:family w:val="swiss"/>
    <w:pitch w:val="default"/>
    <w:sig w:usb0="000002A7" w:usb1="28CF4400" w:usb2="00000016" w:usb3="00000000" w:csb0="00100009" w:csb1="00000000"/>
  </w:font>
  <w:font w:name="Tahoma">
    <w:panose1 w:val="020B0604030504040204"/>
    <w:charset w:val="00"/>
    <w:family w:val="swiss"/>
    <w:pitch w:val="default"/>
    <w:sig w:usb0="E1002EFF" w:usb1="C000605B" w:usb2="00000029" w:usb3="00000000" w:csb0="200101FF" w:csb1="20280000"/>
  </w:font>
  <w:font w:name="Albertus">
    <w:altName w:val="Segoe Print"/>
    <w:panose1 w:val="020E0702040304020204"/>
    <w:charset w:val="00"/>
    <w:family w:val="swiss"/>
    <w:pitch w:val="default"/>
    <w:sig w:usb0="00000000" w:usb1="00000000" w:usb2="00000000" w:usb3="00000000" w:csb0="00000093"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tabs>
        <w:tab w:val="left" w:pos="4937"/>
        <w:tab w:val="clear" w:pos="4153"/>
      </w:tabs>
    </w:pP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tabs>
        <w:tab w:val="left" w:pos="4937"/>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tabs>
        <w:tab w:val="center" w:pos="4376"/>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tabs>
        <w:tab w:val="center" w:pos="4376"/>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tabs>
        <w:tab w:val="center" w:pos="4376"/>
        <w:tab w:val="clear" w:pos="4153"/>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jc w:val="right"/>
      <w:rPr>
        <w:rFonts w:hint="eastAsia" w:ascii="Times New Roman" w:hAnsi="Times New Roman"/>
        <w:i/>
        <w:iCs/>
        <w:color w:val="0000FF"/>
        <w:kern w:val="0"/>
        <w:sz w:val="18"/>
        <w:szCs w:val="18"/>
        <w:lang w:val="en-US" w:eastAsia="zh-CN" w:bidi="ar-SA"/>
      </w:rPr>
    </w:pPr>
    <w:r>
      <w:rPr>
        <w:rFonts w:hint="eastAsia" w:ascii="Times New Roman" w:hAnsi="Times New Roman"/>
        <w:i/>
        <w:iCs/>
        <w:color w:val="0000FF"/>
        <w:kern w:val="0"/>
        <w:sz w:val="18"/>
        <w:szCs w:val="18"/>
        <w:lang w:val="en-US" w:eastAsia="zh-CN" w:bidi="ar-SA"/>
      </w:rPr>
      <w:t xml:space="preserve">     </w:t>
    </w:r>
  </w:p>
  <w:p>
    <w:pPr>
      <w:pStyle w:val="31"/>
      <w:pBdr>
        <w:bottom w:val="none" w:color="auto" w:sz="0" w:space="1"/>
      </w:pBdr>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A5EB83"/>
    <w:multiLevelType w:val="singleLevel"/>
    <w:tmpl w:val="80A5EB83"/>
    <w:lvl w:ilvl="0" w:tentative="0">
      <w:start w:val="4"/>
      <w:numFmt w:val="chineseCounting"/>
      <w:suff w:val="space"/>
      <w:lvlText w:val="第%1章"/>
      <w:lvlJc w:val="left"/>
      <w:rPr>
        <w:rFonts w:hint="eastAsia"/>
      </w:rPr>
    </w:lvl>
  </w:abstractNum>
  <w:abstractNum w:abstractNumId="1">
    <w:nsid w:val="B5E08322"/>
    <w:multiLevelType w:val="singleLevel"/>
    <w:tmpl w:val="B5E08322"/>
    <w:lvl w:ilvl="0" w:tentative="0">
      <w:start w:val="1"/>
      <w:numFmt w:val="chineseCounting"/>
      <w:suff w:val="nothing"/>
      <w:lvlText w:val="%1、"/>
      <w:lvlJc w:val="left"/>
      <w:rPr>
        <w:rFonts w:hint="eastAsia"/>
      </w:rPr>
    </w:lvl>
  </w:abstractNum>
  <w:abstractNum w:abstractNumId="2">
    <w:nsid w:val="DB385914"/>
    <w:multiLevelType w:val="singleLevel"/>
    <w:tmpl w:val="DB385914"/>
    <w:lvl w:ilvl="0" w:tentative="0">
      <w:start w:val="6"/>
      <w:numFmt w:val="chineseCounting"/>
      <w:suff w:val="nothing"/>
      <w:lvlText w:val="%1、"/>
      <w:lvlJc w:val="left"/>
      <w:rPr>
        <w:rFonts w:hint="eastAsia"/>
      </w:rPr>
    </w:lvl>
  </w:abstractNum>
  <w:abstractNum w:abstractNumId="3">
    <w:nsid w:val="0000000E"/>
    <w:multiLevelType w:val="multilevel"/>
    <w:tmpl w:val="0000000E"/>
    <w:lvl w:ilvl="0" w:tentative="0">
      <w:start w:val="1"/>
      <w:numFmt w:val="decimal"/>
      <w:pStyle w:val="4"/>
      <w:suff w:val="nothing"/>
      <w:lvlText w:val="第%1章 "/>
      <w:lvlJc w:val="left"/>
      <w:pPr>
        <w:ind w:left="0" w:firstLine="0"/>
      </w:pPr>
      <w:rPr>
        <w:rFonts w:hint="eastAsia" w:ascii="方正大标宋简体" w:eastAsia="方正大标宋简体"/>
        <w:b w:val="0"/>
        <w:i w:val="0"/>
        <w:sz w:val="36"/>
        <w:szCs w:val="36"/>
        <w14:shadow w14:blurRad="50800" w14:dist="38100" w14:dir="2700000" w14:sx="100000" w14:sy="100000" w14:kx="0" w14:ky="0" w14:algn="tl">
          <w14:srgbClr w14:val="000000">
            <w14:alpha w14:val="60000"/>
          </w14:srgbClr>
        </w14:shadow>
      </w:rPr>
    </w:lvl>
    <w:lvl w:ilvl="1" w:tentative="0">
      <w:start w:val="1"/>
      <w:numFmt w:val="decimal"/>
      <w:pStyle w:val="5"/>
      <w:suff w:val="nothing"/>
      <w:lvlText w:val="    %2、"/>
      <w:lvlJc w:val="left"/>
      <w:pPr>
        <w:ind w:left="0" w:firstLine="0"/>
      </w:pPr>
      <w:rPr>
        <w:rFonts w:hint="eastAsia" w:ascii="黑体" w:eastAsia="黑体"/>
        <w:b/>
        <w:i w:val="0"/>
        <w:sz w:val="30"/>
        <w:szCs w:val="30"/>
      </w:rPr>
    </w:lvl>
    <w:lvl w:ilvl="2" w:tentative="0">
      <w:start w:val="1"/>
      <w:numFmt w:val="decimal"/>
      <w:pStyle w:val="6"/>
      <w:suff w:val="nothing"/>
      <w:lvlText w:val="    %2.%3 "/>
      <w:lvlJc w:val="left"/>
      <w:pPr>
        <w:ind w:left="459" w:firstLine="0"/>
      </w:pPr>
      <w:rPr>
        <w:rFonts w:cs="Times New Roman"/>
        <w:b w:val="0"/>
        <w:bCs w:val="0"/>
        <w:i w:val="0"/>
        <w:iCs w:val="0"/>
        <w:caps w:val="0"/>
        <w:smallCaps w:val="0"/>
        <w:strike w:val="0"/>
        <w:dstrike w:val="0"/>
        <w:outline w:val="0"/>
        <w:shadow w:val="0"/>
        <w:emboss w:val="0"/>
        <w:imprint w:val="0"/>
        <w:vanish w:val="0"/>
        <w:color w:val="000000"/>
        <w:spacing w:val="0"/>
        <w:position w:val="0"/>
        <w:u w:val="none"/>
        <w:vertAlign w:val="baseline"/>
      </w:rPr>
    </w:lvl>
    <w:lvl w:ilvl="3" w:tentative="0">
      <w:start w:val="1"/>
      <w:numFmt w:val="decimal"/>
      <w:pStyle w:val="7"/>
      <w:suff w:val="nothing"/>
      <w:lvlText w:val="    %2.%3.%4  "/>
      <w:lvlJc w:val="left"/>
      <w:pPr>
        <w:ind w:left="0" w:firstLine="0"/>
      </w:pPr>
      <w:rPr>
        <w:rFonts w:hint="eastAsia" w:ascii="仿宋_GB2312" w:eastAsia="仿宋_GB2312"/>
        <w:b/>
        <w:i w:val="0"/>
        <w:sz w:val="28"/>
        <w:szCs w:val="28"/>
      </w:rPr>
    </w:lvl>
    <w:lvl w:ilvl="4" w:tentative="0">
      <w:start w:val="1"/>
      <w:numFmt w:val="none"/>
      <w:pStyle w:val="8"/>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4">
    <w:nsid w:val="06E359ED"/>
    <w:multiLevelType w:val="multilevel"/>
    <w:tmpl w:val="06E359ED"/>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7EAFA48"/>
    <w:multiLevelType w:val="singleLevel"/>
    <w:tmpl w:val="27EAFA48"/>
    <w:lvl w:ilvl="0" w:tentative="0">
      <w:start w:val="1"/>
      <w:numFmt w:val="decimal"/>
      <w:suff w:val="nothing"/>
      <w:lvlText w:val="%1、"/>
      <w:lvlJc w:val="left"/>
    </w:lvl>
  </w:abstractNum>
  <w:abstractNum w:abstractNumId="6">
    <w:nsid w:val="42A989AA"/>
    <w:multiLevelType w:val="singleLevel"/>
    <w:tmpl w:val="42A989AA"/>
    <w:lvl w:ilvl="0" w:tentative="0">
      <w:start w:val="1"/>
      <w:numFmt w:val="chineseCounting"/>
      <w:suff w:val="nothing"/>
      <w:lvlText w:val="（%1）"/>
      <w:lvlJc w:val="left"/>
      <w:pPr>
        <w:ind w:left="735" w:firstLine="0"/>
      </w:pPr>
      <w:rPr>
        <w:rFonts w:hint="eastAsia"/>
      </w:rPr>
    </w:lvl>
  </w:abstractNum>
  <w:abstractNum w:abstractNumId="7">
    <w:nsid w:val="5FE0943A"/>
    <w:multiLevelType w:val="singleLevel"/>
    <w:tmpl w:val="5FE0943A"/>
    <w:lvl w:ilvl="0" w:tentative="0">
      <w:start w:val="5"/>
      <w:numFmt w:val="decimal"/>
      <w:suff w:val="nothing"/>
      <w:lvlText w:val="%1、"/>
      <w:lvlJc w:val="left"/>
    </w:lvl>
  </w:abstractNum>
  <w:abstractNum w:abstractNumId="8">
    <w:nsid w:val="62DF4E64"/>
    <w:multiLevelType w:val="multilevel"/>
    <w:tmpl w:val="62DF4E6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7"/>
  </w:num>
  <w:num w:numId="3">
    <w:abstractNumId w:val="5"/>
  </w:num>
  <w:num w:numId="4">
    <w:abstractNumId w:val="0"/>
  </w:num>
  <w:num w:numId="5">
    <w:abstractNumId w:val="4"/>
  </w:num>
  <w:num w:numId="6">
    <w:abstractNumId w:val="8"/>
  </w:num>
  <w:num w:numId="7">
    <w:abstractNumId w:val="1"/>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1MjFiOWJkN2NmOWY2ZjQwOTcyZjMwMzcwOGQwNWIifQ=="/>
  </w:docVars>
  <w:rsids>
    <w:rsidRoot w:val="00172A27"/>
    <w:rsid w:val="001113BD"/>
    <w:rsid w:val="00145420"/>
    <w:rsid w:val="002D269B"/>
    <w:rsid w:val="003208B1"/>
    <w:rsid w:val="00B06E28"/>
    <w:rsid w:val="00C34DAD"/>
    <w:rsid w:val="00EA2518"/>
    <w:rsid w:val="011D3673"/>
    <w:rsid w:val="013730A5"/>
    <w:rsid w:val="015E7D83"/>
    <w:rsid w:val="01602469"/>
    <w:rsid w:val="01AB7572"/>
    <w:rsid w:val="01EF1F0E"/>
    <w:rsid w:val="01F40F97"/>
    <w:rsid w:val="022976FF"/>
    <w:rsid w:val="026B3007"/>
    <w:rsid w:val="0273010D"/>
    <w:rsid w:val="029563F1"/>
    <w:rsid w:val="029E76DE"/>
    <w:rsid w:val="02C80C82"/>
    <w:rsid w:val="02D2752A"/>
    <w:rsid w:val="02E334E5"/>
    <w:rsid w:val="03242545"/>
    <w:rsid w:val="03337D3F"/>
    <w:rsid w:val="034B2E38"/>
    <w:rsid w:val="035D1F6C"/>
    <w:rsid w:val="03661347"/>
    <w:rsid w:val="037E6BB8"/>
    <w:rsid w:val="04161698"/>
    <w:rsid w:val="041F679F"/>
    <w:rsid w:val="042042C5"/>
    <w:rsid w:val="04284A00"/>
    <w:rsid w:val="048940E4"/>
    <w:rsid w:val="04EC3FFC"/>
    <w:rsid w:val="04ED44B9"/>
    <w:rsid w:val="04F67A04"/>
    <w:rsid w:val="05634469"/>
    <w:rsid w:val="05802B57"/>
    <w:rsid w:val="05B747B5"/>
    <w:rsid w:val="05C70E9C"/>
    <w:rsid w:val="06723C94"/>
    <w:rsid w:val="06B9000B"/>
    <w:rsid w:val="06BD143E"/>
    <w:rsid w:val="06C21A92"/>
    <w:rsid w:val="06DA4BFF"/>
    <w:rsid w:val="06EB5F9B"/>
    <w:rsid w:val="06FA704F"/>
    <w:rsid w:val="07117ADC"/>
    <w:rsid w:val="071E0F8F"/>
    <w:rsid w:val="072A35C7"/>
    <w:rsid w:val="07391925"/>
    <w:rsid w:val="08421A12"/>
    <w:rsid w:val="08473158"/>
    <w:rsid w:val="085E4BA3"/>
    <w:rsid w:val="08A62AB0"/>
    <w:rsid w:val="08A857A0"/>
    <w:rsid w:val="08C461D1"/>
    <w:rsid w:val="08D95826"/>
    <w:rsid w:val="093E0F26"/>
    <w:rsid w:val="094C3826"/>
    <w:rsid w:val="09606D99"/>
    <w:rsid w:val="0992531D"/>
    <w:rsid w:val="09A40779"/>
    <w:rsid w:val="09BC7DF2"/>
    <w:rsid w:val="0A7E5C22"/>
    <w:rsid w:val="0A8A06EA"/>
    <w:rsid w:val="0AA97202"/>
    <w:rsid w:val="0ADD4CBE"/>
    <w:rsid w:val="0B3F3282"/>
    <w:rsid w:val="0B61144B"/>
    <w:rsid w:val="0B94451C"/>
    <w:rsid w:val="0BE3399A"/>
    <w:rsid w:val="0BE95975"/>
    <w:rsid w:val="0C4D5E73"/>
    <w:rsid w:val="0C7F2531"/>
    <w:rsid w:val="0C8278CB"/>
    <w:rsid w:val="0C8C24F7"/>
    <w:rsid w:val="0CD35D2B"/>
    <w:rsid w:val="0CE340E1"/>
    <w:rsid w:val="0CE822C6"/>
    <w:rsid w:val="0D533015"/>
    <w:rsid w:val="0D683F97"/>
    <w:rsid w:val="0DA6583B"/>
    <w:rsid w:val="0E4017EB"/>
    <w:rsid w:val="0E4F5B04"/>
    <w:rsid w:val="0E536A10"/>
    <w:rsid w:val="0E975183"/>
    <w:rsid w:val="0EA53D44"/>
    <w:rsid w:val="0EB07EEB"/>
    <w:rsid w:val="0F0740B7"/>
    <w:rsid w:val="0F0D5446"/>
    <w:rsid w:val="0F1B4006"/>
    <w:rsid w:val="0F4478F3"/>
    <w:rsid w:val="0FA8366D"/>
    <w:rsid w:val="0FA967B3"/>
    <w:rsid w:val="10060813"/>
    <w:rsid w:val="100E1475"/>
    <w:rsid w:val="10177626"/>
    <w:rsid w:val="10270FEE"/>
    <w:rsid w:val="10BB15FD"/>
    <w:rsid w:val="10ED3781"/>
    <w:rsid w:val="10F82823"/>
    <w:rsid w:val="1102722C"/>
    <w:rsid w:val="11124DBD"/>
    <w:rsid w:val="114A472F"/>
    <w:rsid w:val="1162765E"/>
    <w:rsid w:val="11A00946"/>
    <w:rsid w:val="11BA18B5"/>
    <w:rsid w:val="12224E20"/>
    <w:rsid w:val="12635AA8"/>
    <w:rsid w:val="126C3579"/>
    <w:rsid w:val="12E60488"/>
    <w:rsid w:val="1300779B"/>
    <w:rsid w:val="132536A6"/>
    <w:rsid w:val="13600E46"/>
    <w:rsid w:val="136E3521"/>
    <w:rsid w:val="13EE12F6"/>
    <w:rsid w:val="13F217DA"/>
    <w:rsid w:val="140859B3"/>
    <w:rsid w:val="143F3C13"/>
    <w:rsid w:val="14515DD5"/>
    <w:rsid w:val="14551D69"/>
    <w:rsid w:val="14732B33"/>
    <w:rsid w:val="147A3710"/>
    <w:rsid w:val="14E37374"/>
    <w:rsid w:val="14FB46BE"/>
    <w:rsid w:val="15301D70"/>
    <w:rsid w:val="15AC7766"/>
    <w:rsid w:val="15BD0474"/>
    <w:rsid w:val="15CF2E52"/>
    <w:rsid w:val="15EB7B98"/>
    <w:rsid w:val="15FE5EA8"/>
    <w:rsid w:val="1608035C"/>
    <w:rsid w:val="163969E2"/>
    <w:rsid w:val="164812CA"/>
    <w:rsid w:val="165027E8"/>
    <w:rsid w:val="16595FF8"/>
    <w:rsid w:val="16623E92"/>
    <w:rsid w:val="169721C5"/>
    <w:rsid w:val="172779EC"/>
    <w:rsid w:val="175C6F6A"/>
    <w:rsid w:val="17D033C0"/>
    <w:rsid w:val="17ED334D"/>
    <w:rsid w:val="17F65611"/>
    <w:rsid w:val="180E6B9E"/>
    <w:rsid w:val="18B92BC4"/>
    <w:rsid w:val="18CB2C2D"/>
    <w:rsid w:val="18D14EC0"/>
    <w:rsid w:val="18FF5CC8"/>
    <w:rsid w:val="196D36B1"/>
    <w:rsid w:val="196E2CEA"/>
    <w:rsid w:val="19B27315"/>
    <w:rsid w:val="19DD6340"/>
    <w:rsid w:val="1A6745A4"/>
    <w:rsid w:val="1ABF72BC"/>
    <w:rsid w:val="1ADD0C76"/>
    <w:rsid w:val="1B3F107D"/>
    <w:rsid w:val="1C394030"/>
    <w:rsid w:val="1C417BA2"/>
    <w:rsid w:val="1C746B04"/>
    <w:rsid w:val="1C8E5E18"/>
    <w:rsid w:val="1CEE6C1A"/>
    <w:rsid w:val="1CEF6FB4"/>
    <w:rsid w:val="1D5D339A"/>
    <w:rsid w:val="1DBE097F"/>
    <w:rsid w:val="1DC74620"/>
    <w:rsid w:val="1DCA10D2"/>
    <w:rsid w:val="1E4C1894"/>
    <w:rsid w:val="1EA72C55"/>
    <w:rsid w:val="1EA9518B"/>
    <w:rsid w:val="1EAC5E50"/>
    <w:rsid w:val="1F0B3750"/>
    <w:rsid w:val="1F2B7C50"/>
    <w:rsid w:val="1F574BE7"/>
    <w:rsid w:val="1F645912"/>
    <w:rsid w:val="1F772EDC"/>
    <w:rsid w:val="1F802125"/>
    <w:rsid w:val="1FAB6B97"/>
    <w:rsid w:val="20117C39"/>
    <w:rsid w:val="2039253E"/>
    <w:rsid w:val="206413C0"/>
    <w:rsid w:val="206E470C"/>
    <w:rsid w:val="20C0056A"/>
    <w:rsid w:val="20CC33B3"/>
    <w:rsid w:val="20E95D37"/>
    <w:rsid w:val="20F85F56"/>
    <w:rsid w:val="2106781A"/>
    <w:rsid w:val="212136FE"/>
    <w:rsid w:val="219C4B33"/>
    <w:rsid w:val="22453BA2"/>
    <w:rsid w:val="226F7C8D"/>
    <w:rsid w:val="229A04C0"/>
    <w:rsid w:val="229C4BB4"/>
    <w:rsid w:val="232304AB"/>
    <w:rsid w:val="23930B51"/>
    <w:rsid w:val="23D31814"/>
    <w:rsid w:val="23D34643"/>
    <w:rsid w:val="23F84985"/>
    <w:rsid w:val="2403380F"/>
    <w:rsid w:val="243674C1"/>
    <w:rsid w:val="247B3D0C"/>
    <w:rsid w:val="24B55BA5"/>
    <w:rsid w:val="24F86524"/>
    <w:rsid w:val="250273A3"/>
    <w:rsid w:val="254B5963"/>
    <w:rsid w:val="25524FC9"/>
    <w:rsid w:val="257C53A7"/>
    <w:rsid w:val="258778A8"/>
    <w:rsid w:val="25B05051"/>
    <w:rsid w:val="26891CF2"/>
    <w:rsid w:val="27181209"/>
    <w:rsid w:val="27351CB2"/>
    <w:rsid w:val="27465246"/>
    <w:rsid w:val="27636091"/>
    <w:rsid w:val="277B168E"/>
    <w:rsid w:val="27A92CFD"/>
    <w:rsid w:val="27CC44BD"/>
    <w:rsid w:val="280471ED"/>
    <w:rsid w:val="280C3C5C"/>
    <w:rsid w:val="282E04AF"/>
    <w:rsid w:val="283E16C3"/>
    <w:rsid w:val="28771E56"/>
    <w:rsid w:val="28C72DDD"/>
    <w:rsid w:val="29253660"/>
    <w:rsid w:val="299231C1"/>
    <w:rsid w:val="29BC50D2"/>
    <w:rsid w:val="29D9384A"/>
    <w:rsid w:val="2A3646FC"/>
    <w:rsid w:val="2AFB6D6E"/>
    <w:rsid w:val="2B397896"/>
    <w:rsid w:val="2B3A03F5"/>
    <w:rsid w:val="2B3B716B"/>
    <w:rsid w:val="2B4A1AA4"/>
    <w:rsid w:val="2B4B6D0E"/>
    <w:rsid w:val="2B5E72FD"/>
    <w:rsid w:val="2BA74026"/>
    <w:rsid w:val="2BAD0C2F"/>
    <w:rsid w:val="2BC135F7"/>
    <w:rsid w:val="2BDC315C"/>
    <w:rsid w:val="2BE75544"/>
    <w:rsid w:val="2C0D2E18"/>
    <w:rsid w:val="2C1B0D4A"/>
    <w:rsid w:val="2C5113AD"/>
    <w:rsid w:val="2C6A1CB2"/>
    <w:rsid w:val="2CC56716"/>
    <w:rsid w:val="2CD62FBF"/>
    <w:rsid w:val="2D021C8E"/>
    <w:rsid w:val="2D256324"/>
    <w:rsid w:val="2D46597F"/>
    <w:rsid w:val="2DD54FC4"/>
    <w:rsid w:val="2DDF4725"/>
    <w:rsid w:val="2E405189"/>
    <w:rsid w:val="2E6B483B"/>
    <w:rsid w:val="2E755745"/>
    <w:rsid w:val="2E976DAE"/>
    <w:rsid w:val="2FB41BE1"/>
    <w:rsid w:val="2FF63FA8"/>
    <w:rsid w:val="30266061"/>
    <w:rsid w:val="3033511D"/>
    <w:rsid w:val="3058422F"/>
    <w:rsid w:val="30640F12"/>
    <w:rsid w:val="309612E7"/>
    <w:rsid w:val="30B72950"/>
    <w:rsid w:val="30C65728"/>
    <w:rsid w:val="31071BD3"/>
    <w:rsid w:val="310B4ECA"/>
    <w:rsid w:val="31CF69DC"/>
    <w:rsid w:val="322F45A1"/>
    <w:rsid w:val="3233326A"/>
    <w:rsid w:val="324E3C27"/>
    <w:rsid w:val="3267118D"/>
    <w:rsid w:val="32673C7A"/>
    <w:rsid w:val="329C7909"/>
    <w:rsid w:val="32E73C6C"/>
    <w:rsid w:val="33BD5853"/>
    <w:rsid w:val="33C81E73"/>
    <w:rsid w:val="33CD7CD3"/>
    <w:rsid w:val="340B21E3"/>
    <w:rsid w:val="345614B9"/>
    <w:rsid w:val="347C6FB1"/>
    <w:rsid w:val="348002E4"/>
    <w:rsid w:val="3495784E"/>
    <w:rsid w:val="34A57D4B"/>
    <w:rsid w:val="34F85849"/>
    <w:rsid w:val="352D5BCD"/>
    <w:rsid w:val="357137E0"/>
    <w:rsid w:val="35A87AF3"/>
    <w:rsid w:val="35B83BD2"/>
    <w:rsid w:val="35EC4772"/>
    <w:rsid w:val="35F03248"/>
    <w:rsid w:val="361E2E89"/>
    <w:rsid w:val="363C023B"/>
    <w:rsid w:val="363F1A80"/>
    <w:rsid w:val="36CC467B"/>
    <w:rsid w:val="36FD3E6E"/>
    <w:rsid w:val="370A018F"/>
    <w:rsid w:val="37645C9B"/>
    <w:rsid w:val="37AB3AD7"/>
    <w:rsid w:val="37BD7EC0"/>
    <w:rsid w:val="37F61ECE"/>
    <w:rsid w:val="385D308B"/>
    <w:rsid w:val="38766CBF"/>
    <w:rsid w:val="38767A34"/>
    <w:rsid w:val="38CE3F42"/>
    <w:rsid w:val="395D7169"/>
    <w:rsid w:val="398624EB"/>
    <w:rsid w:val="39AF4AFB"/>
    <w:rsid w:val="39B0341A"/>
    <w:rsid w:val="39F850F3"/>
    <w:rsid w:val="3A190FBF"/>
    <w:rsid w:val="3A443B62"/>
    <w:rsid w:val="3A5F4369"/>
    <w:rsid w:val="3A810912"/>
    <w:rsid w:val="3A9E7716"/>
    <w:rsid w:val="3AC2225A"/>
    <w:rsid w:val="3B021A53"/>
    <w:rsid w:val="3B2E2848"/>
    <w:rsid w:val="3B413267"/>
    <w:rsid w:val="3B5C16AC"/>
    <w:rsid w:val="3B6F0E1C"/>
    <w:rsid w:val="3B6F7EB3"/>
    <w:rsid w:val="3BA24FE4"/>
    <w:rsid w:val="3BB00D7F"/>
    <w:rsid w:val="3BE03915"/>
    <w:rsid w:val="3C24618B"/>
    <w:rsid w:val="3C4452EA"/>
    <w:rsid w:val="3C6A511A"/>
    <w:rsid w:val="3C7C37CC"/>
    <w:rsid w:val="3CBE423C"/>
    <w:rsid w:val="3D182767"/>
    <w:rsid w:val="3D2C1009"/>
    <w:rsid w:val="3D541C00"/>
    <w:rsid w:val="3D583BAC"/>
    <w:rsid w:val="3D634838"/>
    <w:rsid w:val="3D734E8A"/>
    <w:rsid w:val="3D820C29"/>
    <w:rsid w:val="3E021D6A"/>
    <w:rsid w:val="3E06185A"/>
    <w:rsid w:val="3E187A1E"/>
    <w:rsid w:val="3E611D98"/>
    <w:rsid w:val="3E90381A"/>
    <w:rsid w:val="3E9575E4"/>
    <w:rsid w:val="3EA12316"/>
    <w:rsid w:val="3EC12A23"/>
    <w:rsid w:val="3EE65D0D"/>
    <w:rsid w:val="3EF773F5"/>
    <w:rsid w:val="3F055FB6"/>
    <w:rsid w:val="3F4E0AB0"/>
    <w:rsid w:val="3F4F0FDF"/>
    <w:rsid w:val="3F551CDA"/>
    <w:rsid w:val="3F812560"/>
    <w:rsid w:val="3F8F3FC4"/>
    <w:rsid w:val="3FDF45D6"/>
    <w:rsid w:val="3FF249CA"/>
    <w:rsid w:val="3FF34624"/>
    <w:rsid w:val="40273D0A"/>
    <w:rsid w:val="40327B28"/>
    <w:rsid w:val="404C539D"/>
    <w:rsid w:val="4085718A"/>
    <w:rsid w:val="40EE6C76"/>
    <w:rsid w:val="41401D0D"/>
    <w:rsid w:val="416F5968"/>
    <w:rsid w:val="41730083"/>
    <w:rsid w:val="41C37A62"/>
    <w:rsid w:val="41C537DA"/>
    <w:rsid w:val="41D13682"/>
    <w:rsid w:val="42274495"/>
    <w:rsid w:val="424B1F31"/>
    <w:rsid w:val="42782F04"/>
    <w:rsid w:val="428B4A24"/>
    <w:rsid w:val="428D6AB0"/>
    <w:rsid w:val="42A33B1C"/>
    <w:rsid w:val="43141BB3"/>
    <w:rsid w:val="4340580E"/>
    <w:rsid w:val="43715FF6"/>
    <w:rsid w:val="43AE09CA"/>
    <w:rsid w:val="43B6127C"/>
    <w:rsid w:val="44355A54"/>
    <w:rsid w:val="44435AED"/>
    <w:rsid w:val="447D214A"/>
    <w:rsid w:val="449E4DE8"/>
    <w:rsid w:val="44A7314C"/>
    <w:rsid w:val="44B831E3"/>
    <w:rsid w:val="44D4644D"/>
    <w:rsid w:val="44E12089"/>
    <w:rsid w:val="44F6751E"/>
    <w:rsid w:val="44F73845"/>
    <w:rsid w:val="45097E82"/>
    <w:rsid w:val="457631DB"/>
    <w:rsid w:val="459D6C40"/>
    <w:rsid w:val="45CF1B64"/>
    <w:rsid w:val="45FB6FE8"/>
    <w:rsid w:val="46377398"/>
    <w:rsid w:val="463B6A87"/>
    <w:rsid w:val="463D2513"/>
    <w:rsid w:val="4667066F"/>
    <w:rsid w:val="468477C0"/>
    <w:rsid w:val="46900FBA"/>
    <w:rsid w:val="46B362F7"/>
    <w:rsid w:val="47015747"/>
    <w:rsid w:val="47174AD8"/>
    <w:rsid w:val="472E1E7D"/>
    <w:rsid w:val="476E7AE8"/>
    <w:rsid w:val="482C45B3"/>
    <w:rsid w:val="485052AE"/>
    <w:rsid w:val="48B3438D"/>
    <w:rsid w:val="48EC3143"/>
    <w:rsid w:val="492125A0"/>
    <w:rsid w:val="494871CB"/>
    <w:rsid w:val="496839BB"/>
    <w:rsid w:val="4984528E"/>
    <w:rsid w:val="4991483C"/>
    <w:rsid w:val="49CF51F6"/>
    <w:rsid w:val="49E07CB3"/>
    <w:rsid w:val="4AC76136"/>
    <w:rsid w:val="4AFA5BA7"/>
    <w:rsid w:val="4B117A90"/>
    <w:rsid w:val="4B1B2864"/>
    <w:rsid w:val="4B364751"/>
    <w:rsid w:val="4B62575E"/>
    <w:rsid w:val="4BD3527A"/>
    <w:rsid w:val="4BD44F92"/>
    <w:rsid w:val="4BDC1E4C"/>
    <w:rsid w:val="4C3E6663"/>
    <w:rsid w:val="4CE4720A"/>
    <w:rsid w:val="4D2C295F"/>
    <w:rsid w:val="4DB13FD2"/>
    <w:rsid w:val="4E1C4782"/>
    <w:rsid w:val="4E3A0251"/>
    <w:rsid w:val="4E6A7B35"/>
    <w:rsid w:val="4E99003A"/>
    <w:rsid w:val="4F571390"/>
    <w:rsid w:val="5043249A"/>
    <w:rsid w:val="504639A3"/>
    <w:rsid w:val="507C2BA1"/>
    <w:rsid w:val="50834194"/>
    <w:rsid w:val="509448C9"/>
    <w:rsid w:val="50C51101"/>
    <w:rsid w:val="50DB26D2"/>
    <w:rsid w:val="50EA4F10"/>
    <w:rsid w:val="51316796"/>
    <w:rsid w:val="51590FF9"/>
    <w:rsid w:val="516C6703"/>
    <w:rsid w:val="5193645D"/>
    <w:rsid w:val="51942351"/>
    <w:rsid w:val="51B74BC8"/>
    <w:rsid w:val="51C92E73"/>
    <w:rsid w:val="51D96B05"/>
    <w:rsid w:val="5244074B"/>
    <w:rsid w:val="524E3378"/>
    <w:rsid w:val="52C8137C"/>
    <w:rsid w:val="52DD47BD"/>
    <w:rsid w:val="52F6716B"/>
    <w:rsid w:val="535A2989"/>
    <w:rsid w:val="53630C1B"/>
    <w:rsid w:val="539E655A"/>
    <w:rsid w:val="53AB2545"/>
    <w:rsid w:val="53E45D42"/>
    <w:rsid w:val="544C2359"/>
    <w:rsid w:val="545F73FE"/>
    <w:rsid w:val="546B2F8E"/>
    <w:rsid w:val="548D0188"/>
    <w:rsid w:val="54CA641E"/>
    <w:rsid w:val="54EA063F"/>
    <w:rsid w:val="552A2FA5"/>
    <w:rsid w:val="55545039"/>
    <w:rsid w:val="556829A3"/>
    <w:rsid w:val="55741347"/>
    <w:rsid w:val="559B1C90"/>
    <w:rsid w:val="55FF41A4"/>
    <w:rsid w:val="56156687"/>
    <w:rsid w:val="567E4136"/>
    <w:rsid w:val="56AB2B47"/>
    <w:rsid w:val="56D402F0"/>
    <w:rsid w:val="56E878F7"/>
    <w:rsid w:val="57376AD1"/>
    <w:rsid w:val="577218B7"/>
    <w:rsid w:val="57801388"/>
    <w:rsid w:val="57D60097"/>
    <w:rsid w:val="58A81A34"/>
    <w:rsid w:val="58DA02E1"/>
    <w:rsid w:val="58E578F5"/>
    <w:rsid w:val="58FE5300"/>
    <w:rsid w:val="591C4E51"/>
    <w:rsid w:val="59905505"/>
    <w:rsid w:val="599166C2"/>
    <w:rsid w:val="59F64A21"/>
    <w:rsid w:val="5A074D09"/>
    <w:rsid w:val="5A137381"/>
    <w:rsid w:val="5A587D72"/>
    <w:rsid w:val="5A5C4332"/>
    <w:rsid w:val="5AB1171C"/>
    <w:rsid w:val="5AE64A95"/>
    <w:rsid w:val="5B4D68C3"/>
    <w:rsid w:val="5BA04C44"/>
    <w:rsid w:val="5BC87CF7"/>
    <w:rsid w:val="5BEA4111"/>
    <w:rsid w:val="5BF538EE"/>
    <w:rsid w:val="5C221AFD"/>
    <w:rsid w:val="5C2B0143"/>
    <w:rsid w:val="5C4E634B"/>
    <w:rsid w:val="5C72548C"/>
    <w:rsid w:val="5C7B771E"/>
    <w:rsid w:val="5CB75C80"/>
    <w:rsid w:val="5CD503DD"/>
    <w:rsid w:val="5D005803"/>
    <w:rsid w:val="5D407EEB"/>
    <w:rsid w:val="5D485594"/>
    <w:rsid w:val="5D49251B"/>
    <w:rsid w:val="5D720862"/>
    <w:rsid w:val="5D80510C"/>
    <w:rsid w:val="5D845EA0"/>
    <w:rsid w:val="5DDD6A1A"/>
    <w:rsid w:val="5DDE3802"/>
    <w:rsid w:val="5E916927"/>
    <w:rsid w:val="5ED701D4"/>
    <w:rsid w:val="5EE25110"/>
    <w:rsid w:val="5EE82DF1"/>
    <w:rsid w:val="5EFD5F0A"/>
    <w:rsid w:val="5F2C54A2"/>
    <w:rsid w:val="5F8D458F"/>
    <w:rsid w:val="5FCB3720"/>
    <w:rsid w:val="5FD72CDD"/>
    <w:rsid w:val="5FE13A7D"/>
    <w:rsid w:val="5FF23595"/>
    <w:rsid w:val="5FFE6219"/>
    <w:rsid w:val="606A3CE4"/>
    <w:rsid w:val="612754C0"/>
    <w:rsid w:val="6129748A"/>
    <w:rsid w:val="613B5772"/>
    <w:rsid w:val="616E30EF"/>
    <w:rsid w:val="61D63D39"/>
    <w:rsid w:val="62065FBB"/>
    <w:rsid w:val="628E1C9B"/>
    <w:rsid w:val="62A25A72"/>
    <w:rsid w:val="62AA63A9"/>
    <w:rsid w:val="62AE40EB"/>
    <w:rsid w:val="62C466C8"/>
    <w:rsid w:val="62CE19DB"/>
    <w:rsid w:val="62CF7BBD"/>
    <w:rsid w:val="62E73159"/>
    <w:rsid w:val="63125CA0"/>
    <w:rsid w:val="635F53E5"/>
    <w:rsid w:val="63C96D02"/>
    <w:rsid w:val="63F7408D"/>
    <w:rsid w:val="63FA2A84"/>
    <w:rsid w:val="6424218B"/>
    <w:rsid w:val="64BF4D2A"/>
    <w:rsid w:val="64D4770D"/>
    <w:rsid w:val="65022D2C"/>
    <w:rsid w:val="652E0A4C"/>
    <w:rsid w:val="65744A4C"/>
    <w:rsid w:val="65764C68"/>
    <w:rsid w:val="65841289"/>
    <w:rsid w:val="658A2747"/>
    <w:rsid w:val="65D9682D"/>
    <w:rsid w:val="65DA6FA5"/>
    <w:rsid w:val="65F22EA0"/>
    <w:rsid w:val="66006F7A"/>
    <w:rsid w:val="664D3C1B"/>
    <w:rsid w:val="66501015"/>
    <w:rsid w:val="66CA300B"/>
    <w:rsid w:val="66F12F44"/>
    <w:rsid w:val="67852F40"/>
    <w:rsid w:val="67B37A94"/>
    <w:rsid w:val="67B70710"/>
    <w:rsid w:val="67B81568"/>
    <w:rsid w:val="67E4410B"/>
    <w:rsid w:val="686E7F6F"/>
    <w:rsid w:val="68727968"/>
    <w:rsid w:val="687C4343"/>
    <w:rsid w:val="68C44649"/>
    <w:rsid w:val="68F05E71"/>
    <w:rsid w:val="69670B4F"/>
    <w:rsid w:val="69A16971"/>
    <w:rsid w:val="69DA2213"/>
    <w:rsid w:val="69EF164D"/>
    <w:rsid w:val="69FF3DA6"/>
    <w:rsid w:val="6A274166"/>
    <w:rsid w:val="6A56551E"/>
    <w:rsid w:val="6B1F03E8"/>
    <w:rsid w:val="6B3C06B7"/>
    <w:rsid w:val="6B82348E"/>
    <w:rsid w:val="6B983D3F"/>
    <w:rsid w:val="6BFC07EB"/>
    <w:rsid w:val="6C2A179D"/>
    <w:rsid w:val="6CDA6A99"/>
    <w:rsid w:val="6CEB4304"/>
    <w:rsid w:val="6CF7043C"/>
    <w:rsid w:val="6D635AD2"/>
    <w:rsid w:val="6D745E29"/>
    <w:rsid w:val="6D897A6C"/>
    <w:rsid w:val="6D97577B"/>
    <w:rsid w:val="6DBB4905"/>
    <w:rsid w:val="6DEE183F"/>
    <w:rsid w:val="6E4B26CA"/>
    <w:rsid w:val="6E770DF5"/>
    <w:rsid w:val="6E9E269F"/>
    <w:rsid w:val="6EB83BFB"/>
    <w:rsid w:val="6EDC1FE0"/>
    <w:rsid w:val="6F1F3721"/>
    <w:rsid w:val="6F435BA4"/>
    <w:rsid w:val="6F563B40"/>
    <w:rsid w:val="6F773AB6"/>
    <w:rsid w:val="6FD64C81"/>
    <w:rsid w:val="70041E1F"/>
    <w:rsid w:val="700B4601"/>
    <w:rsid w:val="703F2826"/>
    <w:rsid w:val="70586A0D"/>
    <w:rsid w:val="705E5D7C"/>
    <w:rsid w:val="70757FF6"/>
    <w:rsid w:val="70CF631E"/>
    <w:rsid w:val="70E1568B"/>
    <w:rsid w:val="71366BF3"/>
    <w:rsid w:val="71451FDC"/>
    <w:rsid w:val="717608FC"/>
    <w:rsid w:val="718129CA"/>
    <w:rsid w:val="721D4439"/>
    <w:rsid w:val="722A12B4"/>
    <w:rsid w:val="722F0A51"/>
    <w:rsid w:val="72677C92"/>
    <w:rsid w:val="72A11576"/>
    <w:rsid w:val="72BC0B3D"/>
    <w:rsid w:val="7305498B"/>
    <w:rsid w:val="73893D99"/>
    <w:rsid w:val="739C3AEB"/>
    <w:rsid w:val="7452064E"/>
    <w:rsid w:val="74642706"/>
    <w:rsid w:val="746B65F0"/>
    <w:rsid w:val="74B55DA6"/>
    <w:rsid w:val="751D2AF0"/>
    <w:rsid w:val="751D6EAE"/>
    <w:rsid w:val="754737CF"/>
    <w:rsid w:val="757315C2"/>
    <w:rsid w:val="759016F1"/>
    <w:rsid w:val="75C5557C"/>
    <w:rsid w:val="75C910E8"/>
    <w:rsid w:val="75D7705D"/>
    <w:rsid w:val="762A3631"/>
    <w:rsid w:val="76473B23"/>
    <w:rsid w:val="764F70AC"/>
    <w:rsid w:val="76830F93"/>
    <w:rsid w:val="76CB6FF6"/>
    <w:rsid w:val="76E77774"/>
    <w:rsid w:val="771300BB"/>
    <w:rsid w:val="771C566F"/>
    <w:rsid w:val="77334767"/>
    <w:rsid w:val="777A4144"/>
    <w:rsid w:val="780E04FB"/>
    <w:rsid w:val="78104AA8"/>
    <w:rsid w:val="784A6593"/>
    <w:rsid w:val="786F609A"/>
    <w:rsid w:val="78767001"/>
    <w:rsid w:val="78B2790D"/>
    <w:rsid w:val="795F5C20"/>
    <w:rsid w:val="7999173E"/>
    <w:rsid w:val="79A92498"/>
    <w:rsid w:val="79C4251B"/>
    <w:rsid w:val="79E678D8"/>
    <w:rsid w:val="7A6F0F50"/>
    <w:rsid w:val="7AD62C51"/>
    <w:rsid w:val="7B107B21"/>
    <w:rsid w:val="7B22574A"/>
    <w:rsid w:val="7B307067"/>
    <w:rsid w:val="7B4F2954"/>
    <w:rsid w:val="7BBF741B"/>
    <w:rsid w:val="7BC41E31"/>
    <w:rsid w:val="7BCC6F38"/>
    <w:rsid w:val="7C0D0F06"/>
    <w:rsid w:val="7C910AC6"/>
    <w:rsid w:val="7CC320E9"/>
    <w:rsid w:val="7CD27140"/>
    <w:rsid w:val="7D0A63E5"/>
    <w:rsid w:val="7D0D7525"/>
    <w:rsid w:val="7D2A7290"/>
    <w:rsid w:val="7D526DCF"/>
    <w:rsid w:val="7D6C2781"/>
    <w:rsid w:val="7D7F162A"/>
    <w:rsid w:val="7DE53AE8"/>
    <w:rsid w:val="7E4D4AB6"/>
    <w:rsid w:val="7ED06AC8"/>
    <w:rsid w:val="7F033168"/>
    <w:rsid w:val="7F961D37"/>
    <w:rsid w:val="7FA52F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uiPriority="99" w:name="HTML Sample"/>
    <w:lsdException w:qFormat="1" w:uiPriority="99" w:name="HTML Typewriter"/>
    <w:lsdException w:qFormat="1"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65"/>
    <w:autoRedefine/>
    <w:qFormat/>
    <w:uiPriority w:val="0"/>
    <w:pPr>
      <w:keepNext/>
      <w:keepLines/>
      <w:numPr>
        <w:ilvl w:val="0"/>
        <w:numId w:val="1"/>
      </w:numPr>
      <w:spacing w:before="340" w:beforeLines="0" w:after="330" w:afterLines="0" w:line="576" w:lineRule="auto"/>
      <w:outlineLvl w:val="0"/>
    </w:pPr>
    <w:rPr>
      <w:b/>
      <w:bCs/>
      <w:kern w:val="44"/>
      <w:sz w:val="44"/>
      <w:szCs w:val="44"/>
    </w:rPr>
  </w:style>
  <w:style w:type="paragraph" w:styleId="5">
    <w:name w:val="heading 2"/>
    <w:basedOn w:val="1"/>
    <w:next w:val="1"/>
    <w:link w:val="67"/>
    <w:autoRedefine/>
    <w:qFormat/>
    <w:uiPriority w:val="0"/>
    <w:pPr>
      <w:keepNext/>
      <w:keepLines/>
      <w:numPr>
        <w:ilvl w:val="1"/>
        <w:numId w:val="1"/>
      </w:numPr>
      <w:spacing w:before="260" w:beforeLines="0" w:after="260" w:afterLines="0" w:line="415" w:lineRule="auto"/>
      <w:outlineLvl w:val="1"/>
    </w:pPr>
    <w:rPr>
      <w:rFonts w:ascii="Arial" w:hAnsi="Arial" w:eastAsia="黑体"/>
      <w:b/>
      <w:bCs/>
      <w:kern w:val="0"/>
      <w:sz w:val="32"/>
      <w:szCs w:val="32"/>
    </w:rPr>
  </w:style>
  <w:style w:type="paragraph" w:styleId="6">
    <w:name w:val="heading 3"/>
    <w:basedOn w:val="1"/>
    <w:next w:val="1"/>
    <w:link w:val="66"/>
    <w:autoRedefine/>
    <w:qFormat/>
    <w:uiPriority w:val="0"/>
    <w:pPr>
      <w:keepNext/>
      <w:keepLines/>
      <w:numPr>
        <w:ilvl w:val="2"/>
        <w:numId w:val="1"/>
      </w:numPr>
      <w:spacing w:before="260" w:beforeLines="0" w:after="260" w:afterLines="0" w:line="415" w:lineRule="auto"/>
      <w:outlineLvl w:val="2"/>
    </w:pPr>
    <w:rPr>
      <w:rFonts w:ascii="Times New Roman" w:hAnsi="Times New Roman" w:eastAsia="仿宋_GB2312"/>
      <w:b/>
      <w:bCs/>
      <w:kern w:val="0"/>
      <w:sz w:val="32"/>
      <w:szCs w:val="32"/>
    </w:rPr>
  </w:style>
  <w:style w:type="paragraph" w:styleId="7">
    <w:name w:val="heading 4"/>
    <w:basedOn w:val="1"/>
    <w:next w:val="1"/>
    <w:link w:val="74"/>
    <w:autoRedefine/>
    <w:qFormat/>
    <w:uiPriority w:val="0"/>
    <w:pPr>
      <w:keepNext/>
      <w:keepLines/>
      <w:numPr>
        <w:ilvl w:val="3"/>
        <w:numId w:val="1"/>
      </w:numPr>
      <w:spacing w:before="280" w:beforeLines="0" w:after="290" w:afterLines="0" w:line="374" w:lineRule="auto"/>
      <w:outlineLvl w:val="3"/>
    </w:pPr>
    <w:rPr>
      <w:rFonts w:ascii="Arial" w:hAnsi="Arial" w:eastAsia="黑体"/>
      <w:b/>
      <w:bCs/>
      <w:kern w:val="0"/>
      <w:sz w:val="28"/>
      <w:szCs w:val="28"/>
    </w:rPr>
  </w:style>
  <w:style w:type="paragraph" w:styleId="8">
    <w:name w:val="heading 5"/>
    <w:basedOn w:val="1"/>
    <w:next w:val="1"/>
    <w:link w:val="75"/>
    <w:autoRedefine/>
    <w:qFormat/>
    <w:uiPriority w:val="0"/>
    <w:pPr>
      <w:keepNext/>
      <w:keepLines/>
      <w:numPr>
        <w:ilvl w:val="4"/>
        <w:numId w:val="1"/>
      </w:numPr>
      <w:spacing w:before="280" w:beforeLines="0" w:after="290" w:afterLines="0" w:line="374" w:lineRule="auto"/>
      <w:outlineLvl w:val="4"/>
    </w:pPr>
    <w:rPr>
      <w:rFonts w:ascii="Times New Roman" w:hAnsi="Times New Roman" w:eastAsia="仿宋_GB2312"/>
      <w:b/>
      <w:bCs/>
      <w:kern w:val="0"/>
      <w:sz w:val="28"/>
      <w:szCs w:val="28"/>
    </w:rPr>
  </w:style>
  <w:style w:type="paragraph" w:styleId="9">
    <w:name w:val="heading 6"/>
    <w:basedOn w:val="1"/>
    <w:next w:val="1"/>
    <w:link w:val="76"/>
    <w:autoRedefine/>
    <w:qFormat/>
    <w:uiPriority w:val="0"/>
    <w:pPr>
      <w:keepNext/>
      <w:keepLines/>
      <w:numPr>
        <w:ilvl w:val="5"/>
        <w:numId w:val="1"/>
      </w:numPr>
      <w:spacing w:before="240" w:beforeLines="0" w:after="64" w:afterLines="0" w:line="319" w:lineRule="auto"/>
      <w:outlineLvl w:val="5"/>
    </w:pPr>
    <w:rPr>
      <w:rFonts w:ascii="Arial" w:hAnsi="Arial" w:eastAsia="黑体"/>
      <w:b/>
      <w:bCs/>
      <w:kern w:val="0"/>
      <w:sz w:val="24"/>
    </w:rPr>
  </w:style>
  <w:style w:type="paragraph" w:styleId="10">
    <w:name w:val="heading 7"/>
    <w:basedOn w:val="1"/>
    <w:next w:val="1"/>
    <w:link w:val="77"/>
    <w:autoRedefine/>
    <w:qFormat/>
    <w:uiPriority w:val="0"/>
    <w:pPr>
      <w:keepNext/>
      <w:keepLines/>
      <w:numPr>
        <w:ilvl w:val="6"/>
        <w:numId w:val="1"/>
      </w:numPr>
      <w:spacing w:before="240" w:beforeLines="0" w:after="64" w:afterLines="0" w:line="319" w:lineRule="auto"/>
      <w:outlineLvl w:val="6"/>
    </w:pPr>
    <w:rPr>
      <w:rFonts w:ascii="Times New Roman" w:hAnsi="Times New Roman" w:eastAsia="仿宋_GB2312"/>
      <w:b/>
      <w:bCs/>
      <w:kern w:val="0"/>
      <w:sz w:val="24"/>
    </w:rPr>
  </w:style>
  <w:style w:type="paragraph" w:styleId="11">
    <w:name w:val="heading 8"/>
    <w:basedOn w:val="1"/>
    <w:next w:val="1"/>
    <w:link w:val="78"/>
    <w:autoRedefine/>
    <w:qFormat/>
    <w:uiPriority w:val="0"/>
    <w:pPr>
      <w:keepNext/>
      <w:keepLines/>
      <w:numPr>
        <w:ilvl w:val="7"/>
        <w:numId w:val="1"/>
      </w:numPr>
      <w:spacing w:before="240" w:beforeLines="0" w:after="64" w:afterLines="0" w:line="319" w:lineRule="auto"/>
      <w:outlineLvl w:val="7"/>
    </w:pPr>
    <w:rPr>
      <w:rFonts w:ascii="Arial" w:hAnsi="Arial" w:eastAsia="黑体"/>
      <w:kern w:val="0"/>
      <w:sz w:val="24"/>
    </w:rPr>
  </w:style>
  <w:style w:type="paragraph" w:styleId="12">
    <w:name w:val="heading 9"/>
    <w:basedOn w:val="1"/>
    <w:next w:val="1"/>
    <w:link w:val="79"/>
    <w:autoRedefine/>
    <w:qFormat/>
    <w:uiPriority w:val="0"/>
    <w:pPr>
      <w:keepNext/>
      <w:keepLines/>
      <w:numPr>
        <w:ilvl w:val="8"/>
        <w:numId w:val="1"/>
      </w:numPr>
      <w:spacing w:before="240" w:beforeLines="0" w:after="64" w:afterLines="0" w:line="319" w:lineRule="auto"/>
      <w:outlineLvl w:val="8"/>
    </w:pPr>
    <w:rPr>
      <w:rFonts w:ascii="Arial" w:hAnsi="Arial" w:eastAsia="黑体"/>
      <w:kern w:val="0"/>
      <w:sz w:val="20"/>
      <w:szCs w:val="21"/>
    </w:rPr>
  </w:style>
  <w:style w:type="character" w:default="1" w:styleId="50">
    <w:name w:val="Default Paragraph Font"/>
    <w:autoRedefine/>
    <w:unhideWhenUsed/>
    <w:qFormat/>
    <w:uiPriority w:val="1"/>
  </w:style>
  <w:style w:type="table" w:default="1" w:styleId="48">
    <w:name w:val="Normal Table"/>
    <w:autoRedefine/>
    <w:unhideWhenUsed/>
    <w:qFormat/>
    <w:uiPriority w:val="99"/>
    <w:tblPr>
      <w:tblCellMar>
        <w:top w:w="0" w:type="dxa"/>
        <w:left w:w="108" w:type="dxa"/>
        <w:bottom w:w="0" w:type="dxa"/>
        <w:right w:w="108" w:type="dxa"/>
      </w:tblCellMar>
    </w:tblPr>
  </w:style>
  <w:style w:type="paragraph" w:styleId="2">
    <w:name w:val="Body Text"/>
    <w:basedOn w:val="1"/>
    <w:next w:val="3"/>
    <w:link w:val="73"/>
    <w:autoRedefine/>
    <w:qFormat/>
    <w:uiPriority w:val="0"/>
    <w:pPr>
      <w:spacing w:after="120" w:afterLines="0"/>
    </w:pPr>
    <w:rPr>
      <w:rFonts w:ascii="Times New Roman" w:hAnsi="Times New Roman"/>
      <w:kern w:val="0"/>
      <w:sz w:val="20"/>
    </w:rPr>
  </w:style>
  <w:style w:type="paragraph" w:styleId="3">
    <w:name w:val="Body Text 2"/>
    <w:basedOn w:val="1"/>
    <w:next w:val="2"/>
    <w:autoRedefine/>
    <w:qFormat/>
    <w:uiPriority w:val="0"/>
    <w:pPr>
      <w:spacing w:line="700" w:lineRule="exact"/>
    </w:pPr>
    <w:rPr>
      <w:sz w:val="28"/>
    </w:rPr>
  </w:style>
  <w:style w:type="paragraph" w:styleId="13">
    <w:name w:val="toc 7"/>
    <w:basedOn w:val="1"/>
    <w:next w:val="1"/>
    <w:autoRedefine/>
    <w:qFormat/>
    <w:uiPriority w:val="39"/>
    <w:pPr>
      <w:ind w:left="2520" w:leftChars="1200"/>
    </w:pPr>
    <w:rPr>
      <w:rFonts w:ascii="Calibri" w:hAnsi="Calibri"/>
      <w:szCs w:val="22"/>
    </w:rPr>
  </w:style>
  <w:style w:type="paragraph" w:styleId="14">
    <w:name w:val="Normal Indent"/>
    <w:basedOn w:val="1"/>
    <w:link w:val="80"/>
    <w:autoRedefine/>
    <w:qFormat/>
    <w:uiPriority w:val="0"/>
    <w:pPr>
      <w:ind w:firstLine="420" w:firstLineChars="200"/>
    </w:pPr>
    <w:rPr>
      <w:rFonts w:ascii="Times New Roman" w:hAnsi="Times New Roman"/>
    </w:rPr>
  </w:style>
  <w:style w:type="paragraph" w:styleId="15">
    <w:name w:val="caption"/>
    <w:basedOn w:val="1"/>
    <w:next w:val="1"/>
    <w:autoRedefine/>
    <w:qFormat/>
    <w:uiPriority w:val="0"/>
    <w:rPr>
      <w:rFonts w:ascii="Cambria" w:hAnsi="Cambria" w:eastAsia="黑体" w:cs="Cambria"/>
      <w:sz w:val="20"/>
      <w:szCs w:val="20"/>
    </w:rPr>
  </w:style>
  <w:style w:type="paragraph" w:styleId="16">
    <w:name w:val="Document Map"/>
    <w:basedOn w:val="1"/>
    <w:link w:val="81"/>
    <w:autoRedefine/>
    <w:qFormat/>
    <w:uiPriority w:val="0"/>
    <w:rPr>
      <w:rFonts w:hAnsi="Times New Roman"/>
      <w:kern w:val="0"/>
      <w:sz w:val="18"/>
      <w:szCs w:val="18"/>
    </w:rPr>
  </w:style>
  <w:style w:type="paragraph" w:styleId="17">
    <w:name w:val="annotation text"/>
    <w:basedOn w:val="1"/>
    <w:link w:val="82"/>
    <w:autoRedefine/>
    <w:unhideWhenUsed/>
    <w:qFormat/>
    <w:uiPriority w:val="99"/>
    <w:pPr>
      <w:jc w:val="left"/>
    </w:pPr>
    <w:rPr>
      <w:rFonts w:ascii="Times New Roman" w:hAnsi="Times New Roman"/>
      <w:kern w:val="0"/>
      <w:sz w:val="20"/>
    </w:rPr>
  </w:style>
  <w:style w:type="paragraph" w:styleId="18">
    <w:name w:val="Body Text 3"/>
    <w:basedOn w:val="1"/>
    <w:link w:val="83"/>
    <w:autoRedefine/>
    <w:qFormat/>
    <w:uiPriority w:val="0"/>
    <w:rPr>
      <w:rFonts w:hAnsi="Times New Roman"/>
      <w:kern w:val="0"/>
      <w:sz w:val="24"/>
      <w:szCs w:val="20"/>
    </w:rPr>
  </w:style>
  <w:style w:type="paragraph" w:styleId="19">
    <w:name w:val="Body Text Indent"/>
    <w:basedOn w:val="1"/>
    <w:link w:val="84"/>
    <w:autoRedefine/>
    <w:qFormat/>
    <w:uiPriority w:val="0"/>
    <w:pPr>
      <w:spacing w:after="120" w:afterLines="0"/>
      <w:ind w:left="420" w:leftChars="200"/>
    </w:pPr>
    <w:rPr>
      <w:rFonts w:ascii="Times New Roman" w:hAnsi="Times New Roman"/>
      <w:kern w:val="0"/>
      <w:sz w:val="20"/>
    </w:rPr>
  </w:style>
  <w:style w:type="paragraph" w:styleId="20">
    <w:name w:val="List 2"/>
    <w:basedOn w:val="1"/>
    <w:autoRedefine/>
    <w:qFormat/>
    <w:uiPriority w:val="0"/>
    <w:pPr>
      <w:ind w:left="100" w:leftChars="200" w:hanging="200" w:hangingChars="200"/>
    </w:pPr>
  </w:style>
  <w:style w:type="paragraph" w:styleId="21">
    <w:name w:val="index 4"/>
    <w:basedOn w:val="1"/>
    <w:next w:val="1"/>
    <w:autoRedefine/>
    <w:semiHidden/>
    <w:qFormat/>
    <w:uiPriority w:val="0"/>
    <w:pPr>
      <w:ind w:left="600" w:leftChars="600"/>
    </w:pPr>
    <w:rPr>
      <w:szCs w:val="21"/>
    </w:rPr>
  </w:style>
  <w:style w:type="paragraph" w:styleId="22">
    <w:name w:val="toc 5"/>
    <w:basedOn w:val="1"/>
    <w:next w:val="1"/>
    <w:autoRedefine/>
    <w:qFormat/>
    <w:uiPriority w:val="39"/>
    <w:pPr>
      <w:ind w:left="1680" w:leftChars="800"/>
    </w:pPr>
    <w:rPr>
      <w:rFonts w:ascii="Calibri" w:hAnsi="Calibri"/>
      <w:szCs w:val="22"/>
    </w:rPr>
  </w:style>
  <w:style w:type="paragraph" w:styleId="23">
    <w:name w:val="toc 3"/>
    <w:basedOn w:val="1"/>
    <w:next w:val="1"/>
    <w:autoRedefine/>
    <w:qFormat/>
    <w:uiPriority w:val="39"/>
    <w:pPr>
      <w:ind w:left="840" w:leftChars="400"/>
    </w:pPr>
  </w:style>
  <w:style w:type="paragraph" w:styleId="24">
    <w:name w:val="Plain Text"/>
    <w:basedOn w:val="1"/>
    <w:link w:val="85"/>
    <w:autoRedefine/>
    <w:qFormat/>
    <w:uiPriority w:val="0"/>
    <w:rPr>
      <w:rFonts w:hAnsi="Courier New"/>
      <w:kern w:val="0"/>
      <w:sz w:val="20"/>
      <w:szCs w:val="21"/>
    </w:rPr>
  </w:style>
  <w:style w:type="paragraph" w:styleId="25">
    <w:name w:val="toc 8"/>
    <w:basedOn w:val="1"/>
    <w:next w:val="1"/>
    <w:autoRedefine/>
    <w:qFormat/>
    <w:uiPriority w:val="39"/>
    <w:pPr>
      <w:ind w:left="2940" w:leftChars="1400"/>
    </w:pPr>
    <w:rPr>
      <w:rFonts w:ascii="Calibri" w:hAnsi="Calibri"/>
      <w:szCs w:val="22"/>
    </w:rPr>
  </w:style>
  <w:style w:type="paragraph" w:styleId="26">
    <w:name w:val="Date"/>
    <w:basedOn w:val="1"/>
    <w:next w:val="1"/>
    <w:link w:val="86"/>
    <w:autoRedefine/>
    <w:qFormat/>
    <w:uiPriority w:val="0"/>
    <w:rPr>
      <w:rFonts w:ascii="Times New Roman" w:hAnsi="Times New Roman"/>
      <w:kern w:val="0"/>
      <w:sz w:val="24"/>
      <w:szCs w:val="20"/>
    </w:rPr>
  </w:style>
  <w:style w:type="paragraph" w:styleId="27">
    <w:name w:val="Body Text Indent 2"/>
    <w:basedOn w:val="1"/>
    <w:link w:val="87"/>
    <w:autoRedefine/>
    <w:qFormat/>
    <w:uiPriority w:val="0"/>
    <w:pPr>
      <w:ind w:left="424" w:leftChars="202"/>
    </w:pPr>
    <w:rPr>
      <w:rFonts w:ascii="Times New Roman" w:hAnsi="Times New Roman" w:eastAsia="楷体_GB2312"/>
      <w:kern w:val="0"/>
      <w:sz w:val="28"/>
    </w:rPr>
  </w:style>
  <w:style w:type="paragraph" w:styleId="28">
    <w:name w:val="Balloon Text"/>
    <w:basedOn w:val="1"/>
    <w:link w:val="88"/>
    <w:autoRedefine/>
    <w:qFormat/>
    <w:uiPriority w:val="0"/>
    <w:rPr>
      <w:rFonts w:ascii="Times New Roman" w:hAnsi="Times New Roman"/>
      <w:kern w:val="0"/>
      <w:sz w:val="18"/>
      <w:szCs w:val="18"/>
    </w:rPr>
  </w:style>
  <w:style w:type="paragraph" w:styleId="29">
    <w:name w:val="footer"/>
    <w:basedOn w:val="1"/>
    <w:link w:val="89"/>
    <w:autoRedefine/>
    <w:qFormat/>
    <w:uiPriority w:val="0"/>
    <w:pPr>
      <w:tabs>
        <w:tab w:val="center" w:pos="4153"/>
        <w:tab w:val="right" w:pos="8306"/>
      </w:tabs>
      <w:snapToGrid w:val="0"/>
      <w:jc w:val="left"/>
    </w:pPr>
    <w:rPr>
      <w:rFonts w:ascii="Times New Roman" w:hAnsi="Times New Roman"/>
      <w:kern w:val="0"/>
      <w:sz w:val="18"/>
      <w:szCs w:val="18"/>
    </w:rPr>
  </w:style>
  <w:style w:type="paragraph" w:styleId="30">
    <w:name w:val="envelope return"/>
    <w:basedOn w:val="1"/>
    <w:autoRedefine/>
    <w:unhideWhenUsed/>
    <w:qFormat/>
    <w:uiPriority w:val="99"/>
    <w:pPr>
      <w:snapToGrid w:val="0"/>
    </w:pPr>
    <w:rPr>
      <w:rFonts w:ascii="Arial" w:hAnsi="Arial"/>
    </w:rPr>
  </w:style>
  <w:style w:type="paragraph" w:styleId="31">
    <w:name w:val="header"/>
    <w:basedOn w:val="1"/>
    <w:link w:val="90"/>
    <w:autoRedefine/>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32">
    <w:name w:val="toc 1"/>
    <w:basedOn w:val="1"/>
    <w:next w:val="1"/>
    <w:autoRedefine/>
    <w:qFormat/>
    <w:uiPriority w:val="39"/>
    <w:pPr>
      <w:widowControl/>
      <w:spacing w:after="100" w:afterLines="0" w:line="276" w:lineRule="auto"/>
      <w:jc w:val="center"/>
    </w:pPr>
    <w:rPr>
      <w:rFonts w:ascii="Calibri" w:hAnsi="Calibri"/>
      <w:kern w:val="0"/>
      <w:sz w:val="22"/>
      <w:szCs w:val="22"/>
    </w:rPr>
  </w:style>
  <w:style w:type="paragraph" w:styleId="33">
    <w:name w:val="toc 4"/>
    <w:basedOn w:val="1"/>
    <w:next w:val="1"/>
    <w:qFormat/>
    <w:uiPriority w:val="39"/>
    <w:pPr>
      <w:ind w:left="1260" w:leftChars="600"/>
    </w:pPr>
    <w:rPr>
      <w:rFonts w:ascii="Calibri" w:hAnsi="Calibri"/>
      <w:szCs w:val="22"/>
    </w:rPr>
  </w:style>
  <w:style w:type="paragraph" w:styleId="34">
    <w:name w:val="Subtitle"/>
    <w:basedOn w:val="1"/>
    <w:next w:val="1"/>
    <w:link w:val="91"/>
    <w:qFormat/>
    <w:uiPriority w:val="0"/>
    <w:pPr>
      <w:spacing w:before="240" w:beforeLines="0" w:after="60" w:afterLines="0" w:line="312" w:lineRule="auto"/>
      <w:jc w:val="center"/>
      <w:outlineLvl w:val="1"/>
    </w:pPr>
    <w:rPr>
      <w:rFonts w:ascii="Calibri Light" w:hAnsi="Calibri Light"/>
      <w:b/>
      <w:bCs/>
      <w:kern w:val="28"/>
      <w:sz w:val="32"/>
      <w:szCs w:val="32"/>
    </w:rPr>
  </w:style>
  <w:style w:type="paragraph" w:styleId="35">
    <w:name w:val="footnote text"/>
    <w:basedOn w:val="1"/>
    <w:qFormat/>
    <w:uiPriority w:val="0"/>
    <w:rPr>
      <w:sz w:val="20"/>
      <w:szCs w:val="20"/>
    </w:rPr>
  </w:style>
  <w:style w:type="paragraph" w:styleId="36">
    <w:name w:val="toc 6"/>
    <w:basedOn w:val="1"/>
    <w:next w:val="1"/>
    <w:autoRedefine/>
    <w:qFormat/>
    <w:uiPriority w:val="39"/>
    <w:pPr>
      <w:ind w:left="2100" w:leftChars="1000"/>
    </w:pPr>
    <w:rPr>
      <w:rFonts w:ascii="Calibri" w:hAnsi="Calibri"/>
      <w:szCs w:val="22"/>
    </w:rPr>
  </w:style>
  <w:style w:type="paragraph" w:styleId="37">
    <w:name w:val="Body Text Indent 3"/>
    <w:basedOn w:val="1"/>
    <w:link w:val="92"/>
    <w:autoRedefine/>
    <w:qFormat/>
    <w:uiPriority w:val="0"/>
    <w:pPr>
      <w:spacing w:after="120" w:afterLines="0"/>
      <w:ind w:left="420" w:leftChars="200"/>
    </w:pPr>
    <w:rPr>
      <w:rFonts w:ascii="Times New Roman" w:hAnsi="Times New Roman"/>
      <w:kern w:val="0"/>
      <w:sz w:val="16"/>
      <w:szCs w:val="16"/>
    </w:rPr>
  </w:style>
  <w:style w:type="paragraph" w:styleId="38">
    <w:name w:val="toc 2"/>
    <w:basedOn w:val="1"/>
    <w:next w:val="1"/>
    <w:qFormat/>
    <w:uiPriority w:val="39"/>
    <w:pPr>
      <w:widowControl/>
      <w:spacing w:after="100" w:afterLines="0" w:line="276" w:lineRule="auto"/>
      <w:ind w:left="220"/>
      <w:jc w:val="left"/>
    </w:pPr>
    <w:rPr>
      <w:rFonts w:ascii="Calibri" w:hAnsi="Calibri"/>
      <w:kern w:val="0"/>
      <w:sz w:val="22"/>
      <w:szCs w:val="22"/>
    </w:rPr>
  </w:style>
  <w:style w:type="paragraph" w:styleId="39">
    <w:name w:val="toc 9"/>
    <w:basedOn w:val="1"/>
    <w:next w:val="1"/>
    <w:qFormat/>
    <w:uiPriority w:val="39"/>
    <w:pPr>
      <w:ind w:left="3360" w:leftChars="1600"/>
    </w:pPr>
    <w:rPr>
      <w:rFonts w:ascii="Calibri" w:hAnsi="Calibri"/>
      <w:szCs w:val="22"/>
    </w:rPr>
  </w:style>
  <w:style w:type="paragraph" w:styleId="40">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rPr>
  </w:style>
  <w:style w:type="paragraph" w:styleId="41">
    <w:name w:val="Normal (Web)"/>
    <w:basedOn w:val="1"/>
    <w:qFormat/>
    <w:uiPriority w:val="99"/>
    <w:pPr>
      <w:widowControl/>
      <w:spacing w:before="100" w:beforeLines="0" w:beforeAutospacing="1" w:after="100" w:afterLines="0" w:afterAutospacing="1"/>
      <w:jc w:val="left"/>
    </w:pPr>
    <w:rPr>
      <w:rFonts w:ascii="Arial Unicode MS" w:hAnsi="Arial Unicode MS" w:eastAsia="Arial Unicode MS" w:cs="Arial Unicode MS"/>
      <w:kern w:val="0"/>
      <w:sz w:val="24"/>
    </w:rPr>
  </w:style>
  <w:style w:type="paragraph" w:styleId="42">
    <w:name w:val="index 1"/>
    <w:basedOn w:val="1"/>
    <w:next w:val="1"/>
    <w:autoRedefine/>
    <w:qFormat/>
    <w:uiPriority w:val="0"/>
    <w:pPr>
      <w:spacing w:line="220" w:lineRule="exact"/>
      <w:jc w:val="center"/>
    </w:pPr>
    <w:rPr>
      <w:rFonts w:ascii="仿宋_GB2312" w:eastAsia="仿宋_GB2312"/>
      <w:szCs w:val="21"/>
    </w:rPr>
  </w:style>
  <w:style w:type="paragraph" w:styleId="43">
    <w:name w:val="Title"/>
    <w:basedOn w:val="1"/>
    <w:next w:val="1"/>
    <w:link w:val="93"/>
    <w:autoRedefine/>
    <w:qFormat/>
    <w:uiPriority w:val="0"/>
    <w:pPr>
      <w:adjustRightInd w:val="0"/>
      <w:spacing w:before="240" w:beforeLines="0" w:after="60" w:afterLines="0" w:line="420" w:lineRule="atLeast"/>
      <w:jc w:val="center"/>
      <w:textAlignment w:val="baseline"/>
      <w:outlineLvl w:val="0"/>
    </w:pPr>
    <w:rPr>
      <w:rFonts w:ascii="Arial" w:hAnsi="Arial"/>
      <w:b/>
      <w:kern w:val="0"/>
      <w:sz w:val="32"/>
      <w:szCs w:val="20"/>
    </w:rPr>
  </w:style>
  <w:style w:type="paragraph" w:styleId="44">
    <w:name w:val="annotation subject"/>
    <w:basedOn w:val="17"/>
    <w:next w:val="17"/>
    <w:link w:val="94"/>
    <w:autoRedefine/>
    <w:qFormat/>
    <w:uiPriority w:val="0"/>
    <w:rPr>
      <w:rFonts w:ascii="Times New Roman" w:hAnsi="Times New Roman"/>
      <w:b/>
      <w:bCs/>
      <w:kern w:val="2"/>
      <w:sz w:val="21"/>
    </w:rPr>
  </w:style>
  <w:style w:type="paragraph" w:styleId="45">
    <w:name w:val="Body Text First Indent"/>
    <w:basedOn w:val="2"/>
    <w:next w:val="1"/>
    <w:link w:val="95"/>
    <w:autoRedefine/>
    <w:qFormat/>
    <w:uiPriority w:val="0"/>
    <w:pPr>
      <w:adjustRightInd/>
      <w:spacing w:after="120" w:afterLines="0" w:line="240" w:lineRule="auto"/>
      <w:ind w:left="0" w:leftChars="0" w:right="0" w:rightChars="0" w:firstLine="420" w:firstLineChars="100"/>
      <w:jc w:val="both"/>
      <w:textAlignment w:val="auto"/>
    </w:pPr>
    <w:rPr>
      <w:rFonts w:ascii="Times New Roman" w:hAnsi="Times New Roman"/>
      <w:kern w:val="2"/>
      <w:sz w:val="21"/>
    </w:rPr>
  </w:style>
  <w:style w:type="paragraph" w:styleId="46">
    <w:name w:val="Body Text First Indent 2"/>
    <w:basedOn w:val="19"/>
    <w:next w:val="47"/>
    <w:autoRedefine/>
    <w:unhideWhenUsed/>
    <w:qFormat/>
    <w:uiPriority w:val="0"/>
    <w:pPr>
      <w:widowControl/>
      <w:ind w:firstLine="200" w:firstLineChars="200"/>
      <w:jc w:val="left"/>
    </w:pPr>
    <w:rPr>
      <w:rFonts w:ascii="Calibri" w:hAnsi="Calibri" w:eastAsia="宋体" w:cs="Times New Roman"/>
      <w:sz w:val="28"/>
    </w:rPr>
  </w:style>
  <w:style w:type="paragraph" w:customStyle="1" w:styleId="47">
    <w:name w:val="样式 正文首行缩进 2 + Arial"/>
    <w:basedOn w:val="1"/>
    <w:next w:val="1"/>
    <w:autoRedefine/>
    <w:qFormat/>
    <w:uiPriority w:val="0"/>
    <w:pPr>
      <w:spacing w:after="120" w:afterLines="0" w:line="320" w:lineRule="atLeast"/>
      <w:ind w:firstLine="200" w:firstLineChars="200"/>
    </w:pPr>
    <w:rPr>
      <w:rFonts w:ascii="Arial" w:hAnsi="Arial"/>
      <w:kern w:val="0"/>
      <w:sz w:val="20"/>
      <w:szCs w:val="24"/>
    </w:rPr>
  </w:style>
  <w:style w:type="table" w:styleId="49">
    <w:name w:val="Table Grid"/>
    <w:basedOn w:val="4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autoRedefine/>
    <w:qFormat/>
    <w:uiPriority w:val="0"/>
    <w:rPr>
      <w:b/>
    </w:rPr>
  </w:style>
  <w:style w:type="character" w:styleId="52">
    <w:name w:val="page number"/>
    <w:basedOn w:val="50"/>
    <w:qFormat/>
    <w:uiPriority w:val="0"/>
  </w:style>
  <w:style w:type="character" w:styleId="53">
    <w:name w:val="FollowedHyperlink"/>
    <w:qFormat/>
    <w:uiPriority w:val="0"/>
    <w:rPr>
      <w:color w:val="333333"/>
      <w:u w:val="none"/>
    </w:rPr>
  </w:style>
  <w:style w:type="character" w:styleId="54">
    <w:name w:val="Emphasis"/>
    <w:qFormat/>
    <w:uiPriority w:val="0"/>
    <w:rPr>
      <w:color w:val="CC0033"/>
    </w:rPr>
  </w:style>
  <w:style w:type="character" w:styleId="55">
    <w:name w:val="HTML Definition"/>
    <w:basedOn w:val="50"/>
    <w:semiHidden/>
    <w:unhideWhenUsed/>
    <w:qFormat/>
    <w:uiPriority w:val="99"/>
  </w:style>
  <w:style w:type="character" w:styleId="56">
    <w:name w:val="HTML Typewriter"/>
    <w:basedOn w:val="50"/>
    <w:autoRedefine/>
    <w:semiHidden/>
    <w:unhideWhenUsed/>
    <w:qFormat/>
    <w:uiPriority w:val="99"/>
    <w:rPr>
      <w:rFonts w:hint="default" w:ascii="monospace" w:hAnsi="monospace" w:eastAsia="monospace" w:cs="monospace"/>
      <w:sz w:val="20"/>
    </w:rPr>
  </w:style>
  <w:style w:type="character" w:styleId="57">
    <w:name w:val="HTML Acronym"/>
    <w:basedOn w:val="50"/>
    <w:autoRedefine/>
    <w:semiHidden/>
    <w:unhideWhenUsed/>
    <w:qFormat/>
    <w:uiPriority w:val="99"/>
  </w:style>
  <w:style w:type="character" w:styleId="58">
    <w:name w:val="HTML Variable"/>
    <w:basedOn w:val="50"/>
    <w:semiHidden/>
    <w:unhideWhenUsed/>
    <w:qFormat/>
    <w:uiPriority w:val="99"/>
  </w:style>
  <w:style w:type="character" w:styleId="59">
    <w:name w:val="Hyperlink"/>
    <w:qFormat/>
    <w:uiPriority w:val="99"/>
    <w:rPr>
      <w:color w:val="333333"/>
      <w:u w:val="none"/>
    </w:rPr>
  </w:style>
  <w:style w:type="character" w:styleId="60">
    <w:name w:val="HTML Code"/>
    <w:basedOn w:val="50"/>
    <w:autoRedefine/>
    <w:semiHidden/>
    <w:unhideWhenUsed/>
    <w:qFormat/>
    <w:uiPriority w:val="99"/>
    <w:rPr>
      <w:rFonts w:ascii="monospace" w:hAnsi="monospace" w:eastAsia="monospace" w:cs="monospace"/>
      <w:sz w:val="20"/>
    </w:rPr>
  </w:style>
  <w:style w:type="character" w:styleId="61">
    <w:name w:val="annotation reference"/>
    <w:autoRedefine/>
    <w:qFormat/>
    <w:uiPriority w:val="0"/>
    <w:rPr>
      <w:sz w:val="21"/>
      <w:szCs w:val="21"/>
    </w:rPr>
  </w:style>
  <w:style w:type="character" w:styleId="62">
    <w:name w:val="HTML Cite"/>
    <w:basedOn w:val="50"/>
    <w:autoRedefine/>
    <w:semiHidden/>
    <w:unhideWhenUsed/>
    <w:qFormat/>
    <w:uiPriority w:val="99"/>
  </w:style>
  <w:style w:type="character" w:styleId="63">
    <w:name w:val="HTML Keyboard"/>
    <w:basedOn w:val="50"/>
    <w:semiHidden/>
    <w:unhideWhenUsed/>
    <w:qFormat/>
    <w:uiPriority w:val="99"/>
    <w:rPr>
      <w:rFonts w:hint="default" w:ascii="monospace" w:hAnsi="monospace" w:eastAsia="monospace" w:cs="monospace"/>
      <w:sz w:val="20"/>
    </w:rPr>
  </w:style>
  <w:style w:type="character" w:styleId="64">
    <w:name w:val="HTML Sample"/>
    <w:basedOn w:val="50"/>
    <w:semiHidden/>
    <w:unhideWhenUsed/>
    <w:uiPriority w:val="99"/>
    <w:rPr>
      <w:rFonts w:hint="default" w:ascii="monospace" w:hAnsi="monospace" w:eastAsia="monospace" w:cs="monospace"/>
    </w:rPr>
  </w:style>
  <w:style w:type="character" w:customStyle="1" w:styleId="65">
    <w:name w:val="标题 1 Char"/>
    <w:link w:val="4"/>
    <w:qFormat/>
    <w:uiPriority w:val="0"/>
    <w:rPr>
      <w:b/>
      <w:bCs/>
      <w:kern w:val="44"/>
      <w:sz w:val="44"/>
      <w:szCs w:val="44"/>
    </w:rPr>
  </w:style>
  <w:style w:type="character" w:customStyle="1" w:styleId="66">
    <w:name w:val="标题 3 Char"/>
    <w:link w:val="6"/>
    <w:qFormat/>
    <w:uiPriority w:val="0"/>
    <w:rPr>
      <w:rFonts w:ascii="Times New Roman" w:hAnsi="Times New Roman" w:eastAsia="仿宋_GB2312"/>
      <w:b/>
      <w:bCs/>
      <w:sz w:val="32"/>
      <w:szCs w:val="32"/>
    </w:rPr>
  </w:style>
  <w:style w:type="character" w:customStyle="1" w:styleId="67">
    <w:name w:val="标题 2 Char"/>
    <w:link w:val="5"/>
    <w:qFormat/>
    <w:uiPriority w:val="0"/>
    <w:rPr>
      <w:rFonts w:ascii="Arial" w:hAnsi="Arial" w:eastAsia="黑体"/>
      <w:b/>
      <w:bCs/>
      <w:sz w:val="32"/>
      <w:szCs w:val="32"/>
    </w:rPr>
  </w:style>
  <w:style w:type="paragraph" w:customStyle="1" w:styleId="68">
    <w:name w:val="无间隔1"/>
    <w:basedOn w:val="1"/>
    <w:qFormat/>
    <w:uiPriority w:val="1"/>
    <w:pPr>
      <w:spacing w:line="400" w:lineRule="exact"/>
    </w:pPr>
    <w:rPr>
      <w:sz w:val="24"/>
    </w:rPr>
  </w:style>
  <w:style w:type="paragraph" w:customStyle="1" w:styleId="69">
    <w:name w:val="Default"/>
    <w:next w:val="70"/>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0">
    <w:name w:val="Char Char10 Char Char Char Char"/>
    <w:basedOn w:val="1"/>
    <w:next w:val="71"/>
    <w:qFormat/>
    <w:uiPriority w:val="0"/>
    <w:rPr>
      <w:rFonts w:ascii="Calibri" w:hAnsi="Calibri"/>
      <w:kern w:val="0"/>
    </w:rPr>
  </w:style>
  <w:style w:type="paragraph" w:customStyle="1" w:styleId="71">
    <w:name w:val="xl87"/>
    <w:basedOn w:val="1"/>
    <w:next w:val="72"/>
    <w:qFormat/>
    <w:uiPriority w:val="0"/>
    <w:pPr>
      <w:widowControl/>
      <w:shd w:val="clear" w:color="FFFFFF" w:fill="FFFFFF"/>
      <w:spacing w:before="280" w:after="280"/>
      <w:jc w:val="right"/>
    </w:pPr>
    <w:rPr>
      <w:rFonts w:ascii="宋体" w:hAnsi="Calibri"/>
      <w:kern w:val="0"/>
      <w:sz w:val="24"/>
    </w:rPr>
  </w:style>
  <w:style w:type="paragraph" w:customStyle="1" w:styleId="72">
    <w:name w:val="xl72"/>
    <w:basedOn w:val="1"/>
    <w:next w:val="26"/>
    <w:qFormat/>
    <w:uiPriority w:val="0"/>
    <w:pPr>
      <w:widowControl/>
      <w:shd w:val="clear" w:color="FFFFFF" w:fill="FFFFFF"/>
      <w:spacing w:before="280" w:after="280"/>
      <w:jc w:val="right"/>
    </w:pPr>
    <w:rPr>
      <w:rFonts w:ascii="宋体" w:hAnsi="Calibri"/>
      <w:kern w:val="0"/>
      <w:sz w:val="24"/>
    </w:rPr>
  </w:style>
  <w:style w:type="character" w:customStyle="1" w:styleId="73">
    <w:name w:val="正文文本 Char"/>
    <w:link w:val="2"/>
    <w:qFormat/>
    <w:uiPriority w:val="0"/>
    <w:rPr>
      <w:rFonts w:ascii="Times New Roman" w:hAnsi="Times New Roman" w:cs="Times New Roman"/>
      <w:szCs w:val="24"/>
    </w:rPr>
  </w:style>
  <w:style w:type="character" w:customStyle="1" w:styleId="74">
    <w:name w:val="标题 4 Char"/>
    <w:link w:val="7"/>
    <w:qFormat/>
    <w:uiPriority w:val="0"/>
    <w:rPr>
      <w:rFonts w:ascii="Arial" w:hAnsi="Arial" w:eastAsia="黑体"/>
      <w:b/>
      <w:bCs/>
      <w:sz w:val="28"/>
      <w:szCs w:val="28"/>
    </w:rPr>
  </w:style>
  <w:style w:type="character" w:customStyle="1" w:styleId="75">
    <w:name w:val="标题 5 Char"/>
    <w:link w:val="8"/>
    <w:qFormat/>
    <w:uiPriority w:val="0"/>
    <w:rPr>
      <w:rFonts w:ascii="Times New Roman" w:hAnsi="Times New Roman" w:eastAsia="仿宋_GB2312"/>
      <w:b/>
      <w:bCs/>
      <w:sz w:val="28"/>
      <w:szCs w:val="28"/>
    </w:rPr>
  </w:style>
  <w:style w:type="character" w:customStyle="1" w:styleId="76">
    <w:name w:val="标题 6 Char"/>
    <w:link w:val="9"/>
    <w:qFormat/>
    <w:uiPriority w:val="0"/>
    <w:rPr>
      <w:rFonts w:ascii="Arial" w:hAnsi="Arial" w:eastAsia="黑体"/>
      <w:b/>
      <w:bCs/>
      <w:sz w:val="24"/>
      <w:szCs w:val="24"/>
    </w:rPr>
  </w:style>
  <w:style w:type="character" w:customStyle="1" w:styleId="77">
    <w:name w:val="标题 7 Char"/>
    <w:link w:val="10"/>
    <w:qFormat/>
    <w:uiPriority w:val="0"/>
    <w:rPr>
      <w:rFonts w:ascii="Times New Roman" w:hAnsi="Times New Roman" w:eastAsia="仿宋_GB2312"/>
      <w:b/>
      <w:bCs/>
      <w:sz w:val="24"/>
      <w:szCs w:val="24"/>
    </w:rPr>
  </w:style>
  <w:style w:type="character" w:customStyle="1" w:styleId="78">
    <w:name w:val="标题 8 Char"/>
    <w:link w:val="11"/>
    <w:qFormat/>
    <w:uiPriority w:val="0"/>
    <w:rPr>
      <w:rFonts w:ascii="Arial" w:hAnsi="Arial" w:eastAsia="黑体"/>
      <w:sz w:val="24"/>
      <w:szCs w:val="24"/>
    </w:rPr>
  </w:style>
  <w:style w:type="character" w:customStyle="1" w:styleId="79">
    <w:name w:val="标题 9 Char"/>
    <w:link w:val="12"/>
    <w:qFormat/>
    <w:uiPriority w:val="0"/>
    <w:rPr>
      <w:rFonts w:ascii="Arial" w:hAnsi="Arial" w:eastAsia="黑体"/>
      <w:szCs w:val="21"/>
    </w:rPr>
  </w:style>
  <w:style w:type="character" w:customStyle="1" w:styleId="80">
    <w:name w:val="正文缩进 Char"/>
    <w:link w:val="14"/>
    <w:qFormat/>
    <w:locked/>
    <w:uiPriority w:val="0"/>
    <w:rPr>
      <w:rFonts w:ascii="Times New Roman" w:hAnsi="Times New Roman"/>
      <w:kern w:val="2"/>
      <w:sz w:val="21"/>
      <w:szCs w:val="24"/>
    </w:rPr>
  </w:style>
  <w:style w:type="character" w:customStyle="1" w:styleId="81">
    <w:name w:val="文档结构图 Char"/>
    <w:link w:val="16"/>
    <w:qFormat/>
    <w:uiPriority w:val="0"/>
    <w:rPr>
      <w:rFonts w:hAnsi="Times New Roman"/>
      <w:sz w:val="18"/>
      <w:szCs w:val="18"/>
    </w:rPr>
  </w:style>
  <w:style w:type="character" w:customStyle="1" w:styleId="82">
    <w:name w:val="批注文字 Char1"/>
    <w:link w:val="17"/>
    <w:semiHidden/>
    <w:qFormat/>
    <w:uiPriority w:val="99"/>
    <w:rPr>
      <w:rFonts w:ascii="Times New Roman" w:hAnsi="Times New Roman" w:eastAsia="宋体" w:cs="Times New Roman"/>
      <w:szCs w:val="24"/>
    </w:rPr>
  </w:style>
  <w:style w:type="character" w:customStyle="1" w:styleId="83">
    <w:name w:val="正文文本 3 Char"/>
    <w:link w:val="18"/>
    <w:qFormat/>
    <w:uiPriority w:val="0"/>
    <w:rPr>
      <w:rFonts w:hAnsi="Times New Roman" w:cs="Times New Roman"/>
      <w:sz w:val="24"/>
      <w:szCs w:val="20"/>
    </w:rPr>
  </w:style>
  <w:style w:type="character" w:customStyle="1" w:styleId="84">
    <w:name w:val="正文文本缩进 Char"/>
    <w:link w:val="19"/>
    <w:qFormat/>
    <w:uiPriority w:val="0"/>
    <w:rPr>
      <w:rFonts w:ascii="Times New Roman" w:hAnsi="Times New Roman" w:cs="Times New Roman"/>
      <w:szCs w:val="24"/>
    </w:rPr>
  </w:style>
  <w:style w:type="character" w:customStyle="1" w:styleId="85">
    <w:name w:val="纯文本 Char"/>
    <w:link w:val="24"/>
    <w:autoRedefine/>
    <w:qFormat/>
    <w:uiPriority w:val="0"/>
    <w:rPr>
      <w:rFonts w:hAnsi="Courier New" w:cs="Courier New"/>
      <w:szCs w:val="21"/>
    </w:rPr>
  </w:style>
  <w:style w:type="character" w:customStyle="1" w:styleId="86">
    <w:name w:val="日期 Char"/>
    <w:link w:val="26"/>
    <w:qFormat/>
    <w:uiPriority w:val="0"/>
    <w:rPr>
      <w:rFonts w:ascii="Times New Roman" w:hAnsi="Times New Roman" w:cs="Times New Roman"/>
      <w:sz w:val="24"/>
      <w:szCs w:val="20"/>
    </w:rPr>
  </w:style>
  <w:style w:type="character" w:customStyle="1" w:styleId="87">
    <w:name w:val="正文文本缩进 2 Char"/>
    <w:link w:val="27"/>
    <w:autoRedefine/>
    <w:qFormat/>
    <w:uiPriority w:val="0"/>
    <w:rPr>
      <w:rFonts w:ascii="Times New Roman" w:hAnsi="Times New Roman" w:eastAsia="楷体_GB2312" w:cs="Times New Roman"/>
      <w:sz w:val="28"/>
      <w:szCs w:val="24"/>
    </w:rPr>
  </w:style>
  <w:style w:type="character" w:customStyle="1" w:styleId="88">
    <w:name w:val="批注框文本 Char"/>
    <w:link w:val="28"/>
    <w:autoRedefine/>
    <w:qFormat/>
    <w:uiPriority w:val="0"/>
    <w:rPr>
      <w:rFonts w:ascii="Times New Roman" w:hAnsi="Times New Roman" w:cs="Times New Roman"/>
      <w:sz w:val="18"/>
      <w:szCs w:val="18"/>
    </w:rPr>
  </w:style>
  <w:style w:type="character" w:customStyle="1" w:styleId="89">
    <w:name w:val="页脚 Char"/>
    <w:link w:val="29"/>
    <w:autoRedefine/>
    <w:qFormat/>
    <w:uiPriority w:val="0"/>
    <w:rPr>
      <w:rFonts w:ascii="Times New Roman" w:hAnsi="Times New Roman" w:cs="Times New Roman"/>
      <w:sz w:val="18"/>
      <w:szCs w:val="18"/>
    </w:rPr>
  </w:style>
  <w:style w:type="character" w:customStyle="1" w:styleId="90">
    <w:name w:val="页眉 Char"/>
    <w:link w:val="31"/>
    <w:autoRedefine/>
    <w:qFormat/>
    <w:uiPriority w:val="0"/>
    <w:rPr>
      <w:rFonts w:ascii="Times New Roman" w:hAnsi="Times New Roman" w:cs="Times New Roman"/>
      <w:sz w:val="18"/>
      <w:szCs w:val="18"/>
    </w:rPr>
  </w:style>
  <w:style w:type="character" w:customStyle="1" w:styleId="91">
    <w:name w:val="副标题 Char"/>
    <w:link w:val="34"/>
    <w:autoRedefine/>
    <w:qFormat/>
    <w:uiPriority w:val="0"/>
    <w:rPr>
      <w:rFonts w:ascii="Calibri Light" w:hAnsi="Calibri Light" w:cs="Times New Roman"/>
      <w:b/>
      <w:bCs/>
      <w:kern w:val="28"/>
      <w:sz w:val="32"/>
      <w:szCs w:val="32"/>
    </w:rPr>
  </w:style>
  <w:style w:type="character" w:customStyle="1" w:styleId="92">
    <w:name w:val="正文文本缩进 3 Char"/>
    <w:link w:val="37"/>
    <w:autoRedefine/>
    <w:qFormat/>
    <w:uiPriority w:val="0"/>
    <w:rPr>
      <w:rFonts w:ascii="Times New Roman" w:hAnsi="Times New Roman" w:cs="Times New Roman"/>
      <w:sz w:val="16"/>
      <w:szCs w:val="16"/>
    </w:rPr>
  </w:style>
  <w:style w:type="character" w:customStyle="1" w:styleId="93">
    <w:name w:val="标题 Char"/>
    <w:link w:val="43"/>
    <w:autoRedefine/>
    <w:qFormat/>
    <w:uiPriority w:val="0"/>
    <w:rPr>
      <w:rFonts w:ascii="Arial" w:hAnsi="Arial" w:cs="Times New Roman"/>
      <w:b/>
      <w:sz w:val="32"/>
      <w:szCs w:val="20"/>
    </w:rPr>
  </w:style>
  <w:style w:type="character" w:customStyle="1" w:styleId="94">
    <w:name w:val="批注主题 Char"/>
    <w:link w:val="44"/>
    <w:autoRedefine/>
    <w:qFormat/>
    <w:uiPriority w:val="0"/>
    <w:rPr>
      <w:rFonts w:ascii="Times New Roman" w:hAnsi="Times New Roman" w:cs="Times New Roman"/>
      <w:b/>
      <w:bCs/>
      <w:kern w:val="2"/>
      <w:sz w:val="21"/>
      <w:szCs w:val="24"/>
    </w:rPr>
  </w:style>
  <w:style w:type="character" w:customStyle="1" w:styleId="95">
    <w:name w:val="正文首行缩进 Char"/>
    <w:link w:val="45"/>
    <w:autoRedefine/>
    <w:qFormat/>
    <w:uiPriority w:val="0"/>
    <w:rPr>
      <w:rFonts w:ascii="Times New Roman" w:hAnsi="Times New Roman" w:cs="Times New Roman"/>
      <w:kern w:val="2"/>
      <w:sz w:val="21"/>
      <w:szCs w:val="24"/>
    </w:rPr>
  </w:style>
  <w:style w:type="paragraph" w:customStyle="1" w:styleId="96">
    <w:name w:val="style4"/>
    <w:basedOn w:val="97"/>
    <w:next w:val="99"/>
    <w:autoRedefine/>
    <w:qFormat/>
    <w:uiPriority w:val="0"/>
    <w:pPr>
      <w:widowControl/>
      <w:spacing w:before="100" w:beforeLines="0" w:beforeAutospacing="1" w:after="100" w:afterLines="0" w:afterAutospacing="1"/>
      <w:jc w:val="left"/>
    </w:pPr>
    <w:rPr>
      <w:rFonts w:ascii="宋体" w:hAnsi="宋体" w:eastAsia="宋体" w:cs="宋体"/>
      <w:kern w:val="0"/>
      <w:sz w:val="18"/>
      <w:szCs w:val="18"/>
    </w:rPr>
  </w:style>
  <w:style w:type="paragraph" w:customStyle="1" w:styleId="97">
    <w:name w:val="正文1"/>
    <w:basedOn w:val="1"/>
    <w:next w:val="98"/>
    <w:autoRedefine/>
    <w:qFormat/>
    <w:uiPriority w:val="0"/>
    <w:pPr>
      <w:adjustRightInd w:val="0"/>
      <w:spacing w:line="360" w:lineRule="atLeast"/>
      <w:jc w:val="left"/>
      <w:textAlignment w:val="baseline"/>
    </w:pPr>
    <w:rPr>
      <w:rFonts w:ascii="宋体" w:hAnsi="Times New Roman" w:eastAsia="宋体" w:cs="Times New Roman"/>
      <w:kern w:val="0"/>
      <w:sz w:val="24"/>
      <w:szCs w:val="20"/>
    </w:rPr>
  </w:style>
  <w:style w:type="paragraph" w:customStyle="1" w:styleId="98">
    <w:name w:val="正文文本1"/>
    <w:basedOn w:val="97"/>
    <w:next w:val="96"/>
    <w:qFormat/>
    <w:uiPriority w:val="0"/>
    <w:pPr>
      <w:spacing w:after="120" w:afterLines="0"/>
    </w:pPr>
    <w:rPr>
      <w:rFonts w:ascii="Times New Roman" w:hAnsi="Times New Roman" w:eastAsia="宋体" w:cs="Times New Roman"/>
      <w:kern w:val="0"/>
      <w:sz w:val="20"/>
    </w:rPr>
  </w:style>
  <w:style w:type="paragraph" w:customStyle="1" w:styleId="99">
    <w:name w:val="2"/>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0">
    <w:name w:val="Intense Reference"/>
    <w:qFormat/>
    <w:uiPriority w:val="0"/>
    <w:rPr>
      <w:b/>
      <w:bCs/>
      <w:smallCaps/>
      <w:color w:val="auto"/>
      <w:spacing w:val="5"/>
      <w:u w:val="single"/>
    </w:rPr>
  </w:style>
  <w:style w:type="character" w:customStyle="1" w:styleId="101">
    <w:name w:val="z-窗体底端 Char"/>
    <w:link w:val="102"/>
    <w:qFormat/>
    <w:uiPriority w:val="0"/>
    <w:rPr>
      <w:rFonts w:ascii="Arial" w:hAnsi="Times New Roman" w:eastAsia="宋体" w:cs="Times New Roman"/>
      <w:vanish/>
      <w:sz w:val="16"/>
      <w:szCs w:val="24"/>
    </w:rPr>
  </w:style>
  <w:style w:type="paragraph" w:customStyle="1" w:styleId="102">
    <w:name w:val="_Style 88"/>
    <w:basedOn w:val="1"/>
    <w:next w:val="1"/>
    <w:link w:val="101"/>
    <w:qFormat/>
    <w:uiPriority w:val="0"/>
    <w:pPr>
      <w:pBdr>
        <w:top w:val="single" w:color="auto" w:sz="6" w:space="1"/>
      </w:pBdr>
      <w:jc w:val="center"/>
    </w:pPr>
    <w:rPr>
      <w:rFonts w:ascii="Arial" w:hAnsi="Times New Roman"/>
      <w:vanish/>
      <w:kern w:val="0"/>
      <w:sz w:val="16"/>
    </w:rPr>
  </w:style>
  <w:style w:type="character" w:customStyle="1" w:styleId="103">
    <w:name w:val="Subtle Emphasis"/>
    <w:qFormat/>
    <w:uiPriority w:val="0"/>
    <w:rPr>
      <w:i/>
      <w:iCs/>
      <w:color w:val="808080"/>
    </w:rPr>
  </w:style>
  <w:style w:type="character" w:customStyle="1" w:styleId="104">
    <w:name w:val="Quote Char1"/>
    <w:qFormat/>
    <w:uiPriority w:val="0"/>
    <w:rPr>
      <w:rFonts w:cs="Calibri"/>
      <w:i/>
      <w:iCs/>
      <w:color w:val="000000"/>
      <w:szCs w:val="21"/>
    </w:rPr>
  </w:style>
  <w:style w:type="character" w:customStyle="1" w:styleId="105">
    <w:name w:val="页脚 Char1"/>
    <w:semiHidden/>
    <w:qFormat/>
    <w:uiPriority w:val="99"/>
    <w:rPr>
      <w:rFonts w:ascii="Times New Roman" w:hAnsi="Times New Roman" w:eastAsia="宋体" w:cs="Times New Roman"/>
      <w:sz w:val="18"/>
      <w:szCs w:val="18"/>
    </w:rPr>
  </w:style>
  <w:style w:type="character" w:customStyle="1" w:styleId="106">
    <w:name w:val="Intense Quote Char1"/>
    <w:autoRedefine/>
    <w:qFormat/>
    <w:uiPriority w:val="0"/>
    <w:rPr>
      <w:rFonts w:cs="Calibri"/>
      <w:b/>
      <w:bCs/>
      <w:i/>
      <w:iCs/>
      <w:color w:val="4F81BD"/>
      <w:szCs w:val="21"/>
    </w:rPr>
  </w:style>
  <w:style w:type="character" w:customStyle="1" w:styleId="107">
    <w:name w:val="标题 Char1"/>
    <w:autoRedefine/>
    <w:qFormat/>
    <w:uiPriority w:val="10"/>
    <w:rPr>
      <w:rFonts w:ascii="Cambria" w:hAnsi="Cambria" w:eastAsia="宋体" w:cs="Times New Roman"/>
      <w:b/>
      <w:bCs/>
      <w:sz w:val="32"/>
      <w:szCs w:val="32"/>
    </w:rPr>
  </w:style>
  <w:style w:type="character" w:customStyle="1" w:styleId="108">
    <w:name w:val="副标题 Char1"/>
    <w:autoRedefine/>
    <w:qFormat/>
    <w:uiPriority w:val="11"/>
    <w:rPr>
      <w:rFonts w:ascii="Cambria" w:hAnsi="Cambria" w:eastAsia="宋体" w:cs="Times New Roman"/>
      <w:b/>
      <w:bCs/>
      <w:kern w:val="28"/>
      <w:sz w:val="32"/>
      <w:szCs w:val="32"/>
    </w:rPr>
  </w:style>
  <w:style w:type="character" w:customStyle="1" w:styleId="109">
    <w:name w:val="正文文本 3 Char1"/>
    <w:semiHidden/>
    <w:qFormat/>
    <w:uiPriority w:val="99"/>
    <w:rPr>
      <w:rFonts w:ascii="Times New Roman" w:hAnsi="Times New Roman" w:eastAsia="宋体" w:cs="Times New Roman"/>
      <w:sz w:val="16"/>
      <w:szCs w:val="16"/>
    </w:rPr>
  </w:style>
  <w:style w:type="character" w:customStyle="1" w:styleId="110">
    <w:name w:val="批注文字 Char"/>
    <w:qFormat/>
    <w:uiPriority w:val="0"/>
    <w:rPr>
      <w:rFonts w:ascii="Times New Roman" w:hAnsi="Times New Roman" w:cs="Times New Roman"/>
      <w:kern w:val="2"/>
      <w:sz w:val="21"/>
      <w:szCs w:val="24"/>
    </w:rPr>
  </w:style>
  <w:style w:type="character" w:customStyle="1" w:styleId="111">
    <w:name w:val=" Char Char16"/>
    <w:autoRedefine/>
    <w:qFormat/>
    <w:locked/>
    <w:uiPriority w:val="0"/>
    <w:rPr>
      <w:b/>
      <w:bCs/>
      <w:kern w:val="2"/>
      <w:sz w:val="32"/>
      <w:szCs w:val="32"/>
    </w:rPr>
  </w:style>
  <w:style w:type="character" w:customStyle="1" w:styleId="112">
    <w:name w:val="普通文字1 Char"/>
    <w:qFormat/>
    <w:uiPriority w:val="0"/>
    <w:rPr>
      <w:rFonts w:ascii="宋体" w:hAnsi="Courier New" w:eastAsia="宋体" w:cs="Courier New"/>
      <w:kern w:val="2"/>
      <w:sz w:val="21"/>
      <w:szCs w:val="21"/>
      <w:lang w:val="en-US" w:eastAsia="zh-CN" w:bidi="ar-SA"/>
    </w:rPr>
  </w:style>
  <w:style w:type="character" w:customStyle="1" w:styleId="113">
    <w:name w:val="Subtle Reference"/>
    <w:qFormat/>
    <w:uiPriority w:val="0"/>
    <w:rPr>
      <w:smallCaps/>
      <w:color w:val="auto"/>
      <w:u w:val="single"/>
    </w:rPr>
  </w:style>
  <w:style w:type="character" w:customStyle="1" w:styleId="114">
    <w:name w:val="textcontents"/>
    <w:autoRedefine/>
    <w:qFormat/>
    <w:uiPriority w:val="0"/>
  </w:style>
  <w:style w:type="character" w:customStyle="1" w:styleId="115">
    <w:name w:val="页眉 Char1"/>
    <w:semiHidden/>
    <w:qFormat/>
    <w:uiPriority w:val="99"/>
    <w:rPr>
      <w:rFonts w:ascii="Times New Roman" w:hAnsi="Times New Roman" w:eastAsia="宋体" w:cs="Times New Roman"/>
      <w:sz w:val="18"/>
      <w:szCs w:val="18"/>
    </w:rPr>
  </w:style>
  <w:style w:type="character" w:customStyle="1" w:styleId="116">
    <w:name w:val="font161"/>
    <w:qFormat/>
    <w:uiPriority w:val="0"/>
    <w:rPr>
      <w:b/>
      <w:bCs/>
      <w:sz w:val="32"/>
      <w:szCs w:val="32"/>
    </w:rPr>
  </w:style>
  <w:style w:type="character" w:customStyle="1" w:styleId="117">
    <w:name w:val="Book Title"/>
    <w:qFormat/>
    <w:uiPriority w:val="0"/>
    <w:rPr>
      <w:b/>
      <w:bCs/>
      <w:smallCaps/>
      <w:spacing w:val="5"/>
    </w:rPr>
  </w:style>
  <w:style w:type="character" w:customStyle="1" w:styleId="118">
    <w:name w:val="正文文本 Char1"/>
    <w:qFormat/>
    <w:uiPriority w:val="0"/>
    <w:rPr>
      <w:rFonts w:ascii="Times New Roman" w:hAnsi="Times New Roman" w:eastAsia="宋体" w:cs="Times New Roman"/>
      <w:szCs w:val="24"/>
    </w:rPr>
  </w:style>
  <w:style w:type="character" w:customStyle="1" w:styleId="119">
    <w:name w:val=" Char Char17"/>
    <w:qFormat/>
    <w:locked/>
    <w:uiPriority w:val="0"/>
    <w:rPr>
      <w:rFonts w:ascii="Cambria" w:hAnsi="Cambria" w:eastAsia="宋体" w:cs="Cambria"/>
      <w:b/>
      <w:bCs/>
      <w:kern w:val="2"/>
      <w:sz w:val="32"/>
      <w:szCs w:val="32"/>
    </w:rPr>
  </w:style>
  <w:style w:type="character" w:customStyle="1" w:styleId="120">
    <w:name w:val=" Char Char2"/>
    <w:qFormat/>
    <w:uiPriority w:val="0"/>
    <w:rPr>
      <w:rFonts w:ascii="Arial" w:hAnsi="Arial" w:eastAsia="黑体"/>
      <w:b/>
      <w:bCs/>
      <w:kern w:val="2"/>
      <w:sz w:val="32"/>
      <w:szCs w:val="32"/>
      <w:lang w:val="en-US" w:eastAsia="zh-CN" w:bidi="ar-SA"/>
    </w:rPr>
  </w:style>
  <w:style w:type="character" w:customStyle="1" w:styleId="121">
    <w:name w:val="文档结构图 Char1"/>
    <w:qFormat/>
    <w:uiPriority w:val="0"/>
    <w:rPr>
      <w:rFonts w:ascii="宋体" w:hAnsi="Times New Roman" w:eastAsia="宋体" w:cs="Times New Roman"/>
      <w:sz w:val="18"/>
      <w:szCs w:val="18"/>
    </w:rPr>
  </w:style>
  <w:style w:type="character" w:customStyle="1" w:styleId="122">
    <w:name w:val="Quote Char"/>
    <w:link w:val="123"/>
    <w:qFormat/>
    <w:locked/>
    <w:uiPriority w:val="0"/>
    <w:rPr>
      <w:i/>
      <w:iCs/>
      <w:color w:val="000000"/>
      <w:kern w:val="2"/>
      <w:sz w:val="22"/>
      <w:szCs w:val="22"/>
    </w:rPr>
  </w:style>
  <w:style w:type="paragraph" w:customStyle="1" w:styleId="123">
    <w:name w:val="Quote"/>
    <w:basedOn w:val="1"/>
    <w:next w:val="1"/>
    <w:link w:val="122"/>
    <w:qFormat/>
    <w:uiPriority w:val="0"/>
    <w:rPr>
      <w:i/>
      <w:iCs/>
      <w:color w:val="000000"/>
      <w:sz w:val="22"/>
      <w:szCs w:val="22"/>
    </w:rPr>
  </w:style>
  <w:style w:type="character" w:customStyle="1" w:styleId="124">
    <w:name w:val="正文文本缩进 Char1"/>
    <w:semiHidden/>
    <w:qFormat/>
    <w:uiPriority w:val="99"/>
    <w:rPr>
      <w:rFonts w:ascii="Times New Roman" w:hAnsi="Times New Roman" w:eastAsia="宋体" w:cs="Times New Roman"/>
      <w:szCs w:val="24"/>
    </w:rPr>
  </w:style>
  <w:style w:type="character" w:customStyle="1" w:styleId="125">
    <w:name w:val="15"/>
    <w:qFormat/>
    <w:uiPriority w:val="0"/>
    <w:rPr>
      <w:rFonts w:hint="default" w:ascii="Times New Roman" w:hAnsi="Times New Roman" w:cs="Times New Roman"/>
      <w:color w:val="464445"/>
      <w:u w:val="none"/>
    </w:rPr>
  </w:style>
  <w:style w:type="character" w:customStyle="1" w:styleId="126">
    <w:name w:val="Title Char1"/>
    <w:qFormat/>
    <w:uiPriority w:val="0"/>
    <w:rPr>
      <w:rFonts w:ascii="Cambria" w:hAnsi="Cambria" w:cs="Times New Roman"/>
      <w:b/>
      <w:bCs/>
      <w:sz w:val="32"/>
      <w:szCs w:val="32"/>
    </w:rPr>
  </w:style>
  <w:style w:type="character" w:customStyle="1" w:styleId="127">
    <w:name w:val="dash6b63_6587__char1"/>
    <w:qFormat/>
    <w:uiPriority w:val="0"/>
    <w:rPr>
      <w:rFonts w:hint="default" w:ascii="Calibri" w:hAnsi="Calibri" w:cs="Calibri"/>
      <w:sz w:val="20"/>
      <w:szCs w:val="20"/>
    </w:rPr>
  </w:style>
  <w:style w:type="character" w:customStyle="1" w:styleId="128">
    <w:name w:val="标题5 Char Char"/>
    <w:link w:val="129"/>
    <w:qFormat/>
    <w:locked/>
    <w:uiPriority w:val="0"/>
    <w:rPr>
      <w:rFonts w:ascii="Arial" w:hAnsi="Arial"/>
      <w:b/>
      <w:bCs/>
      <w:sz w:val="32"/>
      <w:szCs w:val="32"/>
    </w:rPr>
  </w:style>
  <w:style w:type="paragraph" w:customStyle="1" w:styleId="129">
    <w:name w:val="标题5"/>
    <w:basedOn w:val="6"/>
    <w:link w:val="128"/>
    <w:qFormat/>
    <w:uiPriority w:val="0"/>
    <w:pPr>
      <w:numPr>
        <w:ilvl w:val="2"/>
        <w:numId w:val="0"/>
      </w:numPr>
      <w:spacing w:line="413" w:lineRule="auto"/>
    </w:pPr>
    <w:rPr>
      <w:rFonts w:ascii="Arial" w:hAnsi="Arial" w:eastAsia="宋体"/>
    </w:rPr>
  </w:style>
  <w:style w:type="character" w:customStyle="1" w:styleId="130">
    <w:name w:val="Intense Quote Char"/>
    <w:link w:val="131"/>
    <w:autoRedefine/>
    <w:qFormat/>
    <w:locked/>
    <w:uiPriority w:val="0"/>
    <w:rPr>
      <w:b/>
      <w:bCs/>
      <w:i/>
      <w:iCs/>
      <w:color w:val="4F81BD"/>
      <w:kern w:val="2"/>
      <w:sz w:val="22"/>
      <w:szCs w:val="22"/>
    </w:rPr>
  </w:style>
  <w:style w:type="paragraph" w:customStyle="1" w:styleId="131">
    <w:name w:val="Intense Quote"/>
    <w:basedOn w:val="1"/>
    <w:next w:val="1"/>
    <w:link w:val="130"/>
    <w:qFormat/>
    <w:uiPriority w:val="0"/>
    <w:pPr>
      <w:pBdr>
        <w:bottom w:val="single" w:color="4F81BD" w:sz="4" w:space="4"/>
      </w:pBdr>
      <w:spacing w:before="200" w:beforeLines="0" w:after="280" w:afterLines="0"/>
      <w:ind w:left="936" w:right="936"/>
    </w:pPr>
    <w:rPr>
      <w:b/>
      <w:bCs/>
      <w:i/>
      <w:iCs/>
      <w:color w:val="4F81BD"/>
      <w:sz w:val="22"/>
      <w:szCs w:val="22"/>
    </w:rPr>
  </w:style>
  <w:style w:type="character" w:customStyle="1" w:styleId="132">
    <w:name w:val=" Char Char14"/>
    <w:qFormat/>
    <w:locked/>
    <w:uiPriority w:val="0"/>
    <w:rPr>
      <w:b/>
      <w:bCs/>
      <w:kern w:val="2"/>
      <w:sz w:val="28"/>
      <w:szCs w:val="28"/>
    </w:rPr>
  </w:style>
  <w:style w:type="character" w:customStyle="1" w:styleId="133">
    <w:name w:val=" Char Char7"/>
    <w:qFormat/>
    <w:uiPriority w:val="0"/>
    <w:rPr>
      <w:sz w:val="21"/>
      <w:lang w:bidi="ar-SA"/>
    </w:rPr>
  </w:style>
  <w:style w:type="character" w:customStyle="1" w:styleId="134">
    <w:name w:val="批注框文本 Char1"/>
    <w:qFormat/>
    <w:uiPriority w:val="0"/>
    <w:rPr>
      <w:rFonts w:ascii="Times New Roman" w:hAnsi="Times New Roman" w:eastAsia="宋体" w:cs="Times New Roman"/>
      <w:sz w:val="18"/>
      <w:szCs w:val="18"/>
    </w:rPr>
  </w:style>
  <w:style w:type="character" w:customStyle="1" w:styleId="135">
    <w:name w:val="纯文本 Char1"/>
    <w:semiHidden/>
    <w:qFormat/>
    <w:uiPriority w:val="99"/>
    <w:rPr>
      <w:rFonts w:ascii="宋体" w:hAnsi="Courier New" w:eastAsia="宋体" w:cs="Courier New"/>
      <w:szCs w:val="21"/>
    </w:rPr>
  </w:style>
  <w:style w:type="character" w:customStyle="1" w:styleId="136">
    <w:name w:val="z-窗体顶端 Char"/>
    <w:link w:val="137"/>
    <w:qFormat/>
    <w:uiPriority w:val="0"/>
    <w:rPr>
      <w:rFonts w:ascii="Arial" w:hAnsi="Times New Roman" w:eastAsia="宋体" w:cs="Times New Roman"/>
      <w:vanish/>
      <w:sz w:val="16"/>
      <w:szCs w:val="24"/>
    </w:rPr>
  </w:style>
  <w:style w:type="paragraph" w:customStyle="1" w:styleId="137">
    <w:name w:val="_Style 123"/>
    <w:basedOn w:val="1"/>
    <w:next w:val="1"/>
    <w:link w:val="136"/>
    <w:qFormat/>
    <w:uiPriority w:val="0"/>
    <w:pPr>
      <w:pBdr>
        <w:bottom w:val="single" w:color="auto" w:sz="6" w:space="1"/>
      </w:pBdr>
      <w:jc w:val="center"/>
    </w:pPr>
    <w:rPr>
      <w:rFonts w:ascii="Arial" w:hAnsi="Times New Roman"/>
      <w:vanish/>
      <w:kern w:val="0"/>
      <w:sz w:val="16"/>
    </w:rPr>
  </w:style>
  <w:style w:type="character" w:customStyle="1" w:styleId="138">
    <w:name w:val="Intense Emphasis"/>
    <w:qFormat/>
    <w:uiPriority w:val="0"/>
    <w:rPr>
      <w:b/>
      <w:bCs/>
      <w:i/>
      <w:iCs/>
      <w:color w:val="4F81BD"/>
    </w:rPr>
  </w:style>
  <w:style w:type="character" w:customStyle="1" w:styleId="139">
    <w:name w:val=" Char Char18"/>
    <w:qFormat/>
    <w:locked/>
    <w:uiPriority w:val="0"/>
    <w:rPr>
      <w:b/>
      <w:bCs/>
      <w:kern w:val="44"/>
      <w:sz w:val="44"/>
      <w:szCs w:val="44"/>
    </w:rPr>
  </w:style>
  <w:style w:type="character" w:customStyle="1" w:styleId="140">
    <w:name w:val="样式 标书正文 + 下划线 Char"/>
    <w:qFormat/>
    <w:uiPriority w:val="0"/>
    <w:rPr>
      <w:rFonts w:eastAsia="楷体_GB2312"/>
      <w:kern w:val="2"/>
      <w:sz w:val="28"/>
      <w:u w:val="single"/>
      <w:lang w:val="en-US" w:eastAsia="zh-CN"/>
    </w:rPr>
  </w:style>
  <w:style w:type="character" w:customStyle="1" w:styleId="141">
    <w:name w:val="正文文本缩进 3 Char1"/>
    <w:semiHidden/>
    <w:qFormat/>
    <w:uiPriority w:val="99"/>
    <w:rPr>
      <w:rFonts w:ascii="Times New Roman" w:hAnsi="Times New Roman" w:eastAsia="宋体" w:cs="Times New Roman"/>
      <w:sz w:val="16"/>
      <w:szCs w:val="16"/>
    </w:rPr>
  </w:style>
  <w:style w:type="character" w:customStyle="1" w:styleId="142">
    <w:name w:val=" Char Char11"/>
    <w:qFormat/>
    <w:uiPriority w:val="0"/>
    <w:rPr>
      <w:rFonts w:eastAsia="宋体"/>
      <w:b/>
      <w:bCs/>
      <w:kern w:val="2"/>
      <w:sz w:val="32"/>
      <w:szCs w:val="32"/>
      <w:lang w:val="en-US" w:eastAsia="zh-CN" w:bidi="ar-SA"/>
    </w:rPr>
  </w:style>
  <w:style w:type="character" w:customStyle="1" w:styleId="143">
    <w:name w:val="日期 Char1"/>
    <w:qFormat/>
    <w:uiPriority w:val="0"/>
    <w:rPr>
      <w:rFonts w:ascii="Times New Roman" w:hAnsi="Times New Roman" w:eastAsia="宋体" w:cs="Times New Roman"/>
      <w:szCs w:val="24"/>
    </w:rPr>
  </w:style>
  <w:style w:type="character" w:customStyle="1" w:styleId="144">
    <w:name w:val="批注主题 Char1"/>
    <w:qFormat/>
    <w:uiPriority w:val="0"/>
    <w:rPr>
      <w:rFonts w:ascii="Times New Roman" w:hAnsi="Times New Roman" w:eastAsia="宋体" w:cs="Times New Roman"/>
      <w:b/>
      <w:bCs/>
      <w:szCs w:val="24"/>
    </w:rPr>
  </w:style>
  <w:style w:type="character" w:customStyle="1" w:styleId="145">
    <w:name w:val=" Char Char6"/>
    <w:qFormat/>
    <w:uiPriority w:val="0"/>
    <w:rPr>
      <w:rFonts w:ascii="宋体" w:hAnsi="Courier New" w:eastAsia="宋体" w:cs="Courier New"/>
      <w:kern w:val="2"/>
      <w:sz w:val="21"/>
      <w:szCs w:val="21"/>
      <w:lang w:val="en-US" w:eastAsia="zh-CN" w:bidi="ar-SA"/>
    </w:rPr>
  </w:style>
  <w:style w:type="character" w:customStyle="1" w:styleId="146">
    <w:name w:val="批注文字 Char Char"/>
    <w:qFormat/>
    <w:uiPriority w:val="0"/>
    <w:rPr>
      <w:rFonts w:ascii="宋体" w:hAnsi="Times New Roman" w:eastAsia="宋体" w:cs="宋体"/>
      <w:sz w:val="20"/>
      <w:szCs w:val="20"/>
    </w:rPr>
  </w:style>
  <w:style w:type="character" w:customStyle="1" w:styleId="147">
    <w:name w:val="font31"/>
    <w:qFormat/>
    <w:uiPriority w:val="0"/>
    <w:rPr>
      <w:rFonts w:hint="eastAsia" w:ascii="宋体" w:hAnsi="宋体" w:eastAsia="宋体" w:cs="宋体"/>
      <w:b/>
      <w:color w:val="000000"/>
      <w:sz w:val="22"/>
      <w:szCs w:val="22"/>
      <w:u w:val="none"/>
    </w:rPr>
  </w:style>
  <w:style w:type="character" w:customStyle="1" w:styleId="148">
    <w:name w:val=" Char Char12"/>
    <w:qFormat/>
    <w:uiPriority w:val="0"/>
    <w:rPr>
      <w:rFonts w:ascii="Arial" w:hAnsi="Arial" w:eastAsia="黑体"/>
      <w:b/>
      <w:kern w:val="2"/>
      <w:sz w:val="32"/>
      <w:lang w:val="en-US" w:eastAsia="zh-CN" w:bidi="ar-SA"/>
    </w:rPr>
  </w:style>
  <w:style w:type="character" w:customStyle="1" w:styleId="149">
    <w:name w:val=" Char Char15"/>
    <w:qFormat/>
    <w:locked/>
    <w:uiPriority w:val="0"/>
    <w:rPr>
      <w:rFonts w:ascii="Cambria" w:hAnsi="Cambria" w:eastAsia="宋体" w:cs="Cambria"/>
      <w:b/>
      <w:bCs/>
      <w:kern w:val="2"/>
      <w:sz w:val="28"/>
      <w:szCs w:val="28"/>
    </w:rPr>
  </w:style>
  <w:style w:type="paragraph" w:customStyle="1" w:styleId="150">
    <w:name w:val="表格"/>
    <w:basedOn w:val="1"/>
    <w:qFormat/>
    <w:uiPriority w:val="0"/>
    <w:pPr>
      <w:jc w:val="center"/>
      <w:textAlignment w:val="center"/>
    </w:pPr>
    <w:rPr>
      <w:rFonts w:ascii="华文细黑" w:hAnsi="华文细黑"/>
      <w:kern w:val="0"/>
      <w:szCs w:val="20"/>
    </w:rPr>
  </w:style>
  <w:style w:type="paragraph" w:customStyle="1" w:styleId="151">
    <w:name w:val="WPSOffice手动目录 1"/>
    <w:qFormat/>
    <w:uiPriority w:val="0"/>
    <w:rPr>
      <w:rFonts w:ascii="Times New Roman" w:hAnsi="Times New Roman" w:eastAsia="宋体" w:cs="Times New Roman"/>
      <w:lang w:val="en-US" w:eastAsia="zh-CN" w:bidi="ar-SA"/>
    </w:rPr>
  </w:style>
  <w:style w:type="paragraph" w:customStyle="1" w:styleId="152">
    <w:name w:val="Table Paragraph"/>
    <w:basedOn w:val="1"/>
    <w:qFormat/>
    <w:uiPriority w:val="1"/>
    <w:pPr>
      <w:jc w:val="left"/>
    </w:pPr>
    <w:rPr>
      <w:rFonts w:ascii="宋体" w:hAnsi="宋体" w:eastAsia="宋体" w:cs="宋体"/>
      <w:kern w:val="0"/>
      <w:sz w:val="22"/>
      <w:szCs w:val="22"/>
      <w:lang w:eastAsia="en-US"/>
    </w:rPr>
  </w:style>
  <w:style w:type="paragraph" w:customStyle="1" w:styleId="153">
    <w:name w:val="1"/>
    <w:basedOn w:val="1"/>
    <w:qFormat/>
    <w:uiPriority w:val="0"/>
  </w:style>
  <w:style w:type="paragraph" w:customStyle="1" w:styleId="154">
    <w:name w:val="zhang"/>
    <w:basedOn w:val="1"/>
    <w:qFormat/>
    <w:uiPriority w:val="0"/>
    <w:pPr>
      <w:spacing w:before="100" w:beforeLines="0" w:beforeAutospacing="1" w:after="100" w:afterLines="0" w:afterAutospacing="1"/>
    </w:pPr>
    <w:rPr>
      <w:b/>
      <w:bCs/>
      <w:smallCaps/>
      <w:color w:val="000000"/>
      <w:sz w:val="20"/>
      <w:szCs w:val="20"/>
    </w:rPr>
  </w:style>
  <w:style w:type="paragraph" w:customStyle="1" w:styleId="155">
    <w:name w:val="Char1"/>
    <w:basedOn w:val="1"/>
    <w:qFormat/>
    <w:uiPriority w:val="0"/>
    <w:pPr>
      <w:widowControl/>
      <w:spacing w:after="160" w:afterLines="0" w:line="240" w:lineRule="exact"/>
      <w:jc w:val="left"/>
    </w:pPr>
    <w:rPr>
      <w:rFonts w:ascii="宋体" w:hAnsi="宋体"/>
      <w:kern w:val="0"/>
      <w:sz w:val="20"/>
      <w:szCs w:val="20"/>
      <w:lang w:eastAsia="en-US"/>
    </w:rPr>
  </w:style>
  <w:style w:type="paragraph" w:customStyle="1" w:styleId="156">
    <w:name w:val="Heading 2"/>
    <w:basedOn w:val="1"/>
    <w:qFormat/>
    <w:uiPriority w:val="1"/>
    <w:pPr>
      <w:ind w:left="100" w:right="108"/>
      <w:jc w:val="left"/>
      <w:outlineLvl w:val="2"/>
    </w:pPr>
    <w:rPr>
      <w:rFonts w:ascii="Microsoft JhengHei" w:hAnsi="Microsoft JhengHei" w:eastAsia="Microsoft JhengHei" w:cs="Microsoft JhengHei"/>
      <w:b/>
      <w:bCs/>
      <w:kern w:val="0"/>
      <w:sz w:val="32"/>
      <w:szCs w:val="32"/>
      <w:lang w:eastAsia="en-US"/>
    </w:rPr>
  </w:style>
  <w:style w:type="paragraph" w:customStyle="1" w:styleId="157">
    <w:name w:val=" Char Char Char Char"/>
    <w:basedOn w:val="1"/>
    <w:qFormat/>
    <w:uiPriority w:val="0"/>
    <w:rPr>
      <w:rFonts w:ascii="Tahoma" w:hAnsi="Tahoma"/>
      <w:sz w:val="24"/>
      <w:szCs w:val="20"/>
    </w:rPr>
  </w:style>
  <w:style w:type="paragraph" w:customStyle="1" w:styleId="158">
    <w:name w:val="1）"/>
    <w:basedOn w:val="1"/>
    <w:next w:val="1"/>
    <w:qFormat/>
    <w:uiPriority w:val="0"/>
    <w:pPr>
      <w:adjustRightInd w:val="0"/>
      <w:snapToGrid w:val="0"/>
      <w:textAlignment w:val="center"/>
    </w:pPr>
    <w:rPr>
      <w:kern w:val="0"/>
      <w:sz w:val="24"/>
      <w:szCs w:val="20"/>
    </w:rPr>
  </w:style>
  <w:style w:type="paragraph" w:customStyle="1" w:styleId="159">
    <w:name w:val="Heading 3"/>
    <w:basedOn w:val="1"/>
    <w:qFormat/>
    <w:uiPriority w:val="1"/>
    <w:pPr>
      <w:ind w:left="237" w:right="113"/>
      <w:jc w:val="left"/>
      <w:outlineLvl w:val="3"/>
    </w:pPr>
    <w:rPr>
      <w:rFonts w:ascii="宋体" w:hAnsi="宋体" w:eastAsia="宋体" w:cs="宋体"/>
      <w:kern w:val="0"/>
      <w:sz w:val="28"/>
      <w:szCs w:val="28"/>
      <w:lang w:eastAsia="en-US"/>
    </w:rPr>
  </w:style>
  <w:style w:type="paragraph" w:customStyle="1" w:styleId="160">
    <w:name w:val=" Char"/>
    <w:basedOn w:val="1"/>
    <w:qFormat/>
    <w:uiPriority w:val="0"/>
    <w:pPr>
      <w:ind w:left="567" w:hanging="283"/>
    </w:pPr>
    <w:rPr>
      <w:rFonts w:ascii="宋体" w:hAnsi="宋体"/>
      <w:sz w:val="28"/>
    </w:rPr>
  </w:style>
  <w:style w:type="paragraph" w:customStyle="1" w:styleId="161">
    <w:name w:val="正文文本缩进 3 New"/>
    <w:basedOn w:val="1"/>
    <w:qFormat/>
    <w:uiPriority w:val="0"/>
    <w:pPr>
      <w:ind w:left="630"/>
    </w:pPr>
    <w:rPr>
      <w:sz w:val="30"/>
      <w:szCs w:val="30"/>
    </w:rPr>
  </w:style>
  <w:style w:type="paragraph" w:customStyle="1" w:styleId="162">
    <w:name w:val="List Paragraph1"/>
    <w:basedOn w:val="1"/>
    <w:qFormat/>
    <w:uiPriority w:val="0"/>
    <w:pPr>
      <w:spacing w:line="360" w:lineRule="auto"/>
      <w:ind w:left="200" w:leftChars="200" w:firstLine="420" w:firstLineChars="200"/>
      <w:jc w:val="left"/>
    </w:pPr>
    <w:rPr>
      <w:sz w:val="24"/>
      <w:szCs w:val="22"/>
    </w:rPr>
  </w:style>
  <w:style w:type="paragraph" w:customStyle="1" w:styleId="163">
    <w:name w:val="景逢春公文样式"/>
    <w:basedOn w:val="1"/>
    <w:qFormat/>
    <w:uiPriority w:val="0"/>
    <w:pPr>
      <w:spacing w:line="360" w:lineRule="auto"/>
    </w:pPr>
    <w:rPr>
      <w:rFonts w:ascii="Albertus" w:hAnsi="Albertus" w:eastAsia="仿宋_GB2312"/>
      <w:sz w:val="28"/>
      <w:szCs w:val="20"/>
    </w:rPr>
  </w:style>
  <w:style w:type="paragraph" w:customStyle="1" w:styleId="164">
    <w:name w:val="No Spacing"/>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165">
    <w:name w:val=" Char4"/>
    <w:basedOn w:val="1"/>
    <w:qFormat/>
    <w:uiPriority w:val="0"/>
  </w:style>
  <w:style w:type="paragraph" w:customStyle="1" w:styleId="166">
    <w:name w:val="表格标题"/>
    <w:basedOn w:val="1"/>
    <w:qFormat/>
    <w:uiPriority w:val="0"/>
    <w:pPr>
      <w:adjustRightInd w:val="0"/>
      <w:snapToGrid w:val="0"/>
      <w:spacing w:line="480" w:lineRule="exact"/>
      <w:ind w:left="508" w:leftChars="1" w:right="113" w:hanging="505"/>
      <w:jc w:val="center"/>
    </w:pPr>
    <w:rPr>
      <w:rFonts w:ascii="宋体" w:eastAsia="黑体"/>
      <w:sz w:val="36"/>
      <w:szCs w:val="28"/>
    </w:rPr>
  </w:style>
  <w:style w:type="paragraph" w:customStyle="1" w:styleId="167">
    <w:name w:val="UserStyle_136"/>
    <w:basedOn w:val="1"/>
    <w:next w:val="1"/>
    <w:qFormat/>
    <w:uiPriority w:val="0"/>
    <w:pPr>
      <w:spacing w:after="120" w:afterLines="0" w:line="320" w:lineRule="atLeast"/>
      <w:ind w:firstLine="200" w:firstLineChars="200"/>
    </w:pPr>
    <w:rPr>
      <w:rFonts w:ascii="Arial" w:hAnsi="Arial"/>
      <w:kern w:val="0"/>
    </w:rPr>
  </w:style>
  <w:style w:type="paragraph" w:customStyle="1" w:styleId="168">
    <w:name w:val="Char Char Char"/>
    <w:basedOn w:val="1"/>
    <w:qFormat/>
    <w:uiPriority w:val="0"/>
    <w:pPr>
      <w:adjustRightInd w:val="0"/>
      <w:spacing w:line="360" w:lineRule="atLeast"/>
    </w:pPr>
  </w:style>
  <w:style w:type="paragraph" w:customStyle="1" w:styleId="169">
    <w:name w:val=" Char Char10 Char"/>
    <w:basedOn w:val="1"/>
    <w:qFormat/>
    <w:uiPriority w:val="0"/>
  </w:style>
  <w:style w:type="paragraph" w:customStyle="1" w:styleId="170">
    <w:name w:val="_Style 156"/>
    <w:basedOn w:val="4"/>
    <w:next w:val="1"/>
    <w:qFormat/>
    <w:uiPriority w:val="0"/>
    <w:pPr>
      <w:widowControl/>
      <w:numPr>
        <w:ilvl w:val="0"/>
        <w:numId w:val="0"/>
      </w:numPr>
      <w:spacing w:before="480" w:beforeLines="0" w:after="0" w:afterLines="0" w:line="276" w:lineRule="auto"/>
      <w:jc w:val="left"/>
      <w:outlineLvl w:val="9"/>
    </w:pPr>
    <w:rPr>
      <w:rFonts w:ascii="Cambria" w:hAnsi="Cambria"/>
      <w:color w:val="365F91"/>
      <w:kern w:val="0"/>
      <w:sz w:val="28"/>
      <w:szCs w:val="28"/>
    </w:rPr>
  </w:style>
  <w:style w:type="paragraph" w:customStyle="1" w:styleId="171">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72">
    <w:name w:val="BodyText1I2"/>
    <w:basedOn w:val="173"/>
    <w:next w:val="167"/>
    <w:qFormat/>
    <w:uiPriority w:val="0"/>
    <w:pPr>
      <w:ind w:firstLine="420" w:firstLineChars="200"/>
    </w:pPr>
    <w:rPr>
      <w:rFonts w:ascii="Calibri" w:hAnsi="Calibri" w:eastAsia="楷体_GB2312"/>
      <w:kern w:val="44"/>
      <w:sz w:val="44"/>
    </w:rPr>
  </w:style>
  <w:style w:type="paragraph" w:customStyle="1" w:styleId="173">
    <w:name w:val="BodyTextIndent"/>
    <w:basedOn w:val="1"/>
    <w:qFormat/>
    <w:uiPriority w:val="0"/>
    <w:pPr>
      <w:spacing w:after="120" w:afterLines="0"/>
      <w:ind w:left="420" w:leftChars="200"/>
    </w:pPr>
    <w:rPr>
      <w:rFonts w:ascii="Times New Roman" w:hAnsi="Times New Roman"/>
      <w:kern w:val="0"/>
      <w:sz w:val="20"/>
    </w:rPr>
  </w:style>
  <w:style w:type="paragraph" w:customStyle="1" w:styleId="174">
    <w:name w:val="表格文字"/>
    <w:basedOn w:val="1"/>
    <w:qFormat/>
    <w:uiPriority w:val="0"/>
    <w:pPr>
      <w:adjustRightInd w:val="0"/>
      <w:spacing w:line="420" w:lineRule="atLeast"/>
      <w:jc w:val="left"/>
      <w:textAlignment w:val="baseline"/>
    </w:pPr>
    <w:rPr>
      <w:kern w:val="0"/>
      <w:szCs w:val="20"/>
    </w:rPr>
  </w:style>
  <w:style w:type="paragraph" w:customStyle="1" w:styleId="175">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paragraph" w:customStyle="1" w:styleId="176">
    <w:name w:val="TOC Heading"/>
    <w:basedOn w:val="4"/>
    <w:next w:val="1"/>
    <w:qFormat/>
    <w:uiPriority w:val="0"/>
    <w:pPr>
      <w:numPr>
        <w:ilvl w:val="0"/>
        <w:numId w:val="0"/>
      </w:numPr>
      <w:outlineLvl w:val="9"/>
    </w:pPr>
    <w:rPr>
      <w:rFonts w:ascii="Calibri" w:hAnsi="Calibri" w:cs="Calibri"/>
    </w:rPr>
  </w:style>
  <w:style w:type="paragraph" w:customStyle="1" w:styleId="177">
    <w:name w:val="样式 标题 2 + Times New Roman 四号 非加粗 段前: 5 磅 段后: 0 磅 行距: 固定值 20..."/>
    <w:basedOn w:val="5"/>
    <w:qFormat/>
    <w:uiPriority w:val="0"/>
    <w:pPr>
      <w:numPr>
        <w:ilvl w:val="1"/>
        <w:numId w:val="0"/>
      </w:numPr>
      <w:spacing w:before="100" w:beforeLines="0" w:after="0" w:afterLines="0" w:line="400" w:lineRule="exact"/>
    </w:pPr>
    <w:rPr>
      <w:rFonts w:ascii="Times New Roman" w:hAnsi="Times New Roman" w:cs="宋体"/>
      <w:b w:val="0"/>
      <w:bCs w:val="0"/>
      <w:sz w:val="28"/>
      <w:szCs w:val="20"/>
    </w:rPr>
  </w:style>
  <w:style w:type="paragraph" w:customStyle="1" w:styleId="178">
    <w:name w:val="1 Char"/>
    <w:basedOn w:val="1"/>
    <w:qFormat/>
    <w:uiPriority w:val="0"/>
    <w:rPr>
      <w:rFonts w:ascii="Tahoma" w:hAnsi="Tahoma"/>
      <w:sz w:val="24"/>
      <w:szCs w:val="20"/>
    </w:rPr>
  </w:style>
  <w:style w:type="paragraph" w:customStyle="1" w:styleId="179">
    <w:name w:val="正文文本_0"/>
    <w:basedOn w:val="180"/>
    <w:unhideWhenUsed/>
    <w:qFormat/>
    <w:uiPriority w:val="99"/>
    <w:pPr>
      <w:spacing w:after="120" w:afterLines="0"/>
    </w:pPr>
  </w:style>
  <w:style w:type="paragraph" w:customStyle="1" w:styleId="180">
    <w:name w:val="正文_0"/>
    <w:next w:val="17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1">
    <w:name w:val="p0"/>
    <w:basedOn w:val="1"/>
    <w:qFormat/>
    <w:uiPriority w:val="0"/>
    <w:rPr>
      <w:szCs w:val="21"/>
    </w:rPr>
  </w:style>
  <w:style w:type="paragraph" w:customStyle="1" w:styleId="182">
    <w:name w:val="一级标题"/>
    <w:basedOn w:val="4"/>
    <w:qFormat/>
    <w:uiPriority w:val="0"/>
    <w:pPr>
      <w:numPr>
        <w:ilvl w:val="0"/>
        <w:numId w:val="0"/>
      </w:numPr>
      <w:spacing w:before="0" w:beforeLines="0" w:after="0" w:afterLines="0" w:line="240" w:lineRule="auto"/>
      <w:jc w:val="center"/>
    </w:pPr>
    <w:rPr>
      <w:rFonts w:eastAsia="黑体"/>
      <w:b w:val="0"/>
      <w:sz w:val="28"/>
    </w:rPr>
  </w:style>
  <w:style w:type="paragraph" w:customStyle="1" w:styleId="183">
    <w:name w:val="样式 标题 3 + (中文) 黑体 小四 非加粗 段前: 7.8 磅 段后: 0 磅 行距: 固定值 20 磅"/>
    <w:basedOn w:val="6"/>
    <w:autoRedefine/>
    <w:qFormat/>
    <w:uiPriority w:val="0"/>
    <w:pPr>
      <w:numPr>
        <w:ilvl w:val="2"/>
        <w:numId w:val="0"/>
      </w:numPr>
      <w:spacing w:before="0" w:beforeLines="0" w:after="0" w:afterLines="0" w:line="400" w:lineRule="exact"/>
    </w:pPr>
    <w:rPr>
      <w:rFonts w:eastAsia="黑体" w:cs="宋体"/>
      <w:b w:val="0"/>
      <w:bCs w:val="0"/>
      <w:sz w:val="24"/>
      <w:szCs w:val="20"/>
    </w:rPr>
  </w:style>
  <w:style w:type="paragraph" w:styleId="184">
    <w:name w:val="List Paragraph"/>
    <w:basedOn w:val="1"/>
    <w:qFormat/>
    <w:uiPriority w:val="0"/>
    <w:pPr>
      <w:ind w:firstLine="420" w:firstLineChars="200"/>
    </w:pPr>
    <w:rPr>
      <w:rFonts w:ascii="Calibri" w:hAnsi="Calibri"/>
      <w:szCs w:val="20"/>
    </w:rPr>
  </w:style>
  <w:style w:type="paragraph" w:customStyle="1" w:styleId="185">
    <w:name w:val="列出段落1"/>
    <w:basedOn w:val="1"/>
    <w:qFormat/>
    <w:uiPriority w:val="0"/>
    <w:pPr>
      <w:ind w:firstLine="420" w:firstLineChars="200"/>
    </w:pPr>
  </w:style>
  <w:style w:type="paragraph" w:customStyle="1" w:styleId="186">
    <w:name w:val="标题4 11"/>
    <w:basedOn w:val="6"/>
    <w:autoRedefine/>
    <w:qFormat/>
    <w:uiPriority w:val="0"/>
    <w:pPr>
      <w:numPr>
        <w:ilvl w:val="1"/>
        <w:numId w:val="1"/>
      </w:numPr>
      <w:tabs>
        <w:tab w:val="left" w:pos="567"/>
      </w:tabs>
      <w:spacing w:line="413" w:lineRule="auto"/>
    </w:pPr>
    <w:rPr>
      <w:rFonts w:eastAsia="宋体"/>
      <w:b w:val="0"/>
      <w:kern w:val="2"/>
      <w:sz w:val="28"/>
      <w:szCs w:val="28"/>
    </w:rPr>
  </w:style>
  <w:style w:type="paragraph" w:customStyle="1" w:styleId="187">
    <w:name w:val="_Style 4"/>
    <w:basedOn w:val="4"/>
    <w:next w:val="1"/>
    <w:qFormat/>
    <w:uiPriority w:val="0"/>
    <w:pPr>
      <w:outlineLvl w:val="9"/>
    </w:pPr>
    <w:rPr>
      <w:rFonts w:ascii="Calibri" w:hAnsi="Calibri"/>
    </w:rPr>
  </w:style>
  <w:style w:type="paragraph" w:customStyle="1" w:styleId="188">
    <w:name w:val="Revision"/>
    <w:qFormat/>
    <w:uiPriority w:val="0"/>
    <w:rPr>
      <w:rFonts w:ascii="Times New Roman" w:hAnsi="Times New Roman" w:eastAsia="宋体" w:cs="Times New Roman"/>
      <w:kern w:val="2"/>
      <w:sz w:val="21"/>
      <w:szCs w:val="21"/>
      <w:lang w:val="en-US" w:eastAsia="zh-CN" w:bidi="ar-SA"/>
    </w:rPr>
  </w:style>
  <w:style w:type="paragraph" w:customStyle="1" w:styleId="189">
    <w:name w:val="Body Text Indent"/>
    <w:basedOn w:val="1"/>
    <w:qFormat/>
    <w:uiPriority w:val="0"/>
    <w:pPr>
      <w:snapToGrid w:val="0"/>
      <w:spacing w:after="120" w:afterLines="0" w:line="360" w:lineRule="auto"/>
      <w:ind w:left="420" w:leftChars="200" w:firstLine="560" w:firstLineChars="200"/>
      <w:jc w:val="left"/>
    </w:pPr>
    <w:rPr>
      <w:rFonts w:ascii="仿宋" w:hAnsi="仿宋" w:eastAsia="仿宋" w:cs="仿宋"/>
      <w:color w:val="000000"/>
      <w:szCs w:val="28"/>
    </w:rPr>
  </w:style>
  <w:style w:type="paragraph" w:customStyle="1" w:styleId="190">
    <w:name w:val="样式1"/>
    <w:basedOn w:val="6"/>
    <w:autoRedefine/>
    <w:qFormat/>
    <w:uiPriority w:val="0"/>
    <w:pPr>
      <w:numPr>
        <w:ilvl w:val="2"/>
        <w:numId w:val="0"/>
      </w:numPr>
      <w:tabs>
        <w:tab w:val="left" w:pos="425"/>
      </w:tabs>
      <w:spacing w:line="413" w:lineRule="auto"/>
      <w:ind w:left="425" w:hanging="425"/>
    </w:pPr>
    <w:rPr>
      <w:rFonts w:eastAsia="宋体"/>
      <w:bCs w:val="0"/>
      <w:kern w:val="2"/>
      <w:szCs w:val="20"/>
    </w:rPr>
  </w:style>
  <w:style w:type="paragraph" w:customStyle="1" w:styleId="191">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2">
    <w:name w:val="正文_5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93">
    <w:name w:val="样式 一级项标 + 首行缩进:  2 字符 段前: 0.5 行1"/>
    <w:basedOn w:val="1"/>
    <w:qFormat/>
    <w:uiPriority w:val="0"/>
    <w:pPr>
      <w:spacing w:before="156" w:beforeLines="50" w:line="480" w:lineRule="exact"/>
      <w:ind w:firstLine="455" w:firstLineChars="200"/>
    </w:pPr>
    <w:rPr>
      <w:rFonts w:eastAsia="黑体"/>
      <w:b/>
      <w:bCs/>
      <w:sz w:val="24"/>
      <w:szCs w:val="20"/>
    </w:rPr>
  </w:style>
  <w:style w:type="paragraph" w:customStyle="1" w:styleId="194">
    <w:name w:val="样式 标题 1 + 黑体 三号 非加粗 居中 段前: 6 磅 段后: 6 磅 行距: 固定值 20 磅"/>
    <w:basedOn w:val="4"/>
    <w:qFormat/>
    <w:uiPriority w:val="0"/>
    <w:pPr>
      <w:numPr>
        <w:ilvl w:val="0"/>
        <w:numId w:val="0"/>
      </w:numPr>
      <w:spacing w:before="120" w:beforeLines="0" w:after="120" w:afterLines="0" w:line="400" w:lineRule="exact"/>
      <w:jc w:val="center"/>
    </w:pPr>
    <w:rPr>
      <w:rFonts w:ascii="黑体" w:hAnsi="黑体" w:eastAsia="黑体" w:cs="宋体"/>
      <w:b w:val="0"/>
      <w:bCs w:val="0"/>
      <w:sz w:val="32"/>
      <w:szCs w:val="20"/>
    </w:rPr>
  </w:style>
  <w:style w:type="paragraph" w:customStyle="1" w:styleId="195">
    <w:name w:val="*正文"/>
    <w:basedOn w:val="1"/>
    <w:next w:val="1"/>
    <w:qFormat/>
    <w:uiPriority w:val="0"/>
    <w:pPr>
      <w:widowControl/>
      <w:ind w:firstLine="482"/>
    </w:pPr>
    <w:rPr>
      <w:rFonts w:ascii="微软雅黑" w:hAnsi="微软雅黑" w:eastAsia="微软雅黑"/>
      <w:szCs w:val="32"/>
    </w:rPr>
  </w:style>
  <w:style w:type="paragraph" w:customStyle="1" w:styleId="196">
    <w:name w:val="Blockquote"/>
    <w:basedOn w:val="1"/>
    <w:qFormat/>
    <w:uiPriority w:val="0"/>
    <w:pPr>
      <w:autoSpaceDE w:val="0"/>
      <w:autoSpaceDN w:val="0"/>
      <w:adjustRightInd w:val="0"/>
      <w:spacing w:before="100" w:beforeLines="0" w:after="100" w:afterLines="0"/>
      <w:ind w:left="360" w:right="360"/>
      <w:jc w:val="left"/>
    </w:pPr>
    <w:rPr>
      <w:kern w:val="0"/>
      <w:sz w:val="24"/>
      <w:szCs w:val="20"/>
    </w:rPr>
  </w:style>
  <w:style w:type="paragraph" w:customStyle="1" w:styleId="197">
    <w:name w:val="二级标题"/>
    <w:basedOn w:val="182"/>
    <w:qFormat/>
    <w:uiPriority w:val="0"/>
    <w:pPr>
      <w:jc w:val="both"/>
    </w:pPr>
  </w:style>
  <w:style w:type="paragraph" w:customStyle="1" w:styleId="198">
    <w:name w:val="Char"/>
    <w:basedOn w:val="1"/>
    <w:qFormat/>
    <w:uiPriority w:val="0"/>
    <w:pPr>
      <w:tabs>
        <w:tab w:val="left" w:pos="360"/>
      </w:tabs>
    </w:pPr>
    <w:rPr>
      <w:sz w:val="24"/>
    </w:rPr>
  </w:style>
  <w:style w:type="paragraph" w:customStyle="1" w:styleId="199">
    <w:name w:val="空半行"/>
    <w:basedOn w:val="1"/>
    <w:qFormat/>
    <w:uiPriority w:val="0"/>
    <w:pPr>
      <w:adjustRightInd w:val="0"/>
      <w:spacing w:line="120" w:lineRule="exact"/>
      <w:textAlignment w:val="baseline"/>
    </w:pPr>
    <w:rPr>
      <w:rFonts w:eastAsia="仿宋_GB2312"/>
      <w:color w:val="FFFFFF"/>
      <w:kern w:val="0"/>
      <w:sz w:val="30"/>
      <w:szCs w:val="30"/>
    </w:rPr>
  </w:style>
  <w:style w:type="paragraph" w:customStyle="1" w:styleId="200">
    <w:name w:val="正文_0_0"/>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1">
    <w:name w:val="标题3-1"/>
    <w:basedOn w:val="6"/>
    <w:qFormat/>
    <w:uiPriority w:val="0"/>
    <w:pPr>
      <w:numPr>
        <w:ilvl w:val="0"/>
        <w:numId w:val="1"/>
      </w:numPr>
      <w:tabs>
        <w:tab w:val="left" w:pos="425"/>
      </w:tabs>
      <w:spacing w:line="413" w:lineRule="auto"/>
    </w:pPr>
    <w:rPr>
      <w:rFonts w:eastAsia="宋体"/>
      <w:kern w:val="2"/>
      <w:sz w:val="24"/>
    </w:rPr>
  </w:style>
  <w:style w:type="paragraph" w:customStyle="1" w:styleId="202">
    <w:name w:val="标题5 1"/>
    <w:basedOn w:val="186"/>
    <w:qFormat/>
    <w:uiPriority w:val="0"/>
    <w:pPr>
      <w:numPr>
        <w:ilvl w:val="2"/>
        <w:numId w:val="1"/>
      </w:numPr>
      <w:tabs>
        <w:tab w:val="left" w:pos="709"/>
        <w:tab w:val="clear" w:pos="567"/>
      </w:tabs>
      <w:outlineLvl w:val="4"/>
    </w:pPr>
    <w:rPr>
      <w:b/>
      <w:sz w:val="24"/>
      <w:szCs w:val="24"/>
    </w:rPr>
  </w:style>
  <w:style w:type="paragraph" w:customStyle="1" w:styleId="203">
    <w:name w:val="flNote"/>
    <w:basedOn w:val="1"/>
    <w:qFormat/>
    <w:uiPriority w:val="0"/>
    <w:pPr>
      <w:adjustRightInd w:val="0"/>
      <w:spacing w:before="320" w:beforeLines="0" w:after="160" w:afterLines="0" w:line="360" w:lineRule="atLeast"/>
      <w:jc w:val="center"/>
      <w:textAlignment w:val="baseline"/>
    </w:pPr>
    <w:rPr>
      <w:rFonts w:ascii="Arial" w:eastAsia="黑体" w:cs="Arial"/>
      <w:kern w:val="0"/>
      <w:sz w:val="30"/>
      <w:szCs w:val="30"/>
    </w:rPr>
  </w:style>
  <w:style w:type="paragraph" w:customStyle="1" w:styleId="204">
    <w:name w:val="表"/>
    <w:qFormat/>
    <w:uiPriority w:val="0"/>
    <w:pPr>
      <w:widowControl w:val="0"/>
      <w:spacing w:line="360" w:lineRule="auto"/>
      <w:jc w:val="both"/>
    </w:pPr>
    <w:rPr>
      <w:rFonts w:ascii="宋体" w:hAnsi="宋体" w:eastAsia="宋体" w:cs="Times New Roman"/>
      <w:b/>
      <w:bCs/>
      <w:kern w:val="2"/>
      <w:sz w:val="21"/>
      <w:szCs w:val="22"/>
      <w:lang w:val="en-US" w:eastAsia="zh-CN" w:bidi="ar-SA"/>
    </w:rPr>
  </w:style>
  <w:style w:type="paragraph" w:customStyle="1" w:styleId="205">
    <w:name w:val="表格字体-靠左"/>
    <w:next w:val="1"/>
    <w:qFormat/>
    <w:uiPriority w:val="0"/>
    <w:pPr>
      <w:widowControl w:val="0"/>
      <w:spacing w:line="240" w:lineRule="auto"/>
      <w:ind w:firstLine="280" w:firstLineChars="100"/>
      <w:jc w:val="left"/>
    </w:pPr>
    <w:rPr>
      <w:rFonts w:ascii="Times New Roman" w:hAnsi="Times New Roman" w:eastAsia="宋体" w:cs="Times New Roman"/>
      <w:kern w:val="2"/>
      <w:sz w:val="21"/>
      <w:szCs w:val="20"/>
      <w:lang w:val="en-US" w:eastAsia="zh-CN" w:bidi="ar-SA"/>
    </w:rPr>
  </w:style>
  <w:style w:type="paragraph" w:customStyle="1" w:styleId="206">
    <w:name w:val="正文内容"/>
    <w:qFormat/>
    <w:uiPriority w:val="0"/>
    <w:pPr>
      <w:widowControl w:val="0"/>
      <w:jc w:val="center"/>
    </w:pPr>
    <w:rPr>
      <w:rFonts w:ascii="宋体" w:hAnsi="宋体" w:eastAsia="宋体" w:cs="Times New Roman"/>
      <w:b/>
      <w:kern w:val="2"/>
      <w:sz w:val="21"/>
      <w:szCs w:val="21"/>
      <w:lang w:val="en-US" w:eastAsia="zh-CN" w:bidi="ar-SA"/>
    </w:rPr>
  </w:style>
  <w:style w:type="character" w:customStyle="1" w:styleId="207">
    <w:name w:val="layui-layer-tabnow"/>
    <w:basedOn w:val="50"/>
    <w:qFormat/>
    <w:uiPriority w:val="0"/>
    <w:rPr>
      <w:bdr w:val="single" w:color="CCCCCC" w:sz="6" w:space="0"/>
      <w:shd w:val="clear" w:fill="FFFFFF"/>
    </w:rPr>
  </w:style>
  <w:style w:type="character" w:customStyle="1" w:styleId="208">
    <w:name w:val="first-child"/>
    <w:basedOn w:val="50"/>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49</Pages>
  <Words>23433</Words>
  <Characters>25526</Characters>
  <Lines>189</Lines>
  <Paragraphs>53</Paragraphs>
  <TotalTime>4</TotalTime>
  <ScaleCrop>false</ScaleCrop>
  <LinksUpToDate>false</LinksUpToDate>
  <CharactersWithSpaces>27694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2019-05-20T01:38:00Z</dcterms:created>
  <dc:creator>微软用户</dc:creator>
  <cp:lastModifiedBy>樱花粟</cp:lastModifiedBy>
  <cp:lastPrinted>2023-12-06T02:18:00Z</cp:lastPrinted>
  <dcterms:modified xsi:type="dcterms:W3CDTF">2023-12-15T07:32:10Z</dcterms:modified>
  <dc:title>平桥区明港镇大营村美丽乡村建设试点项目</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FE701D8F55E84AC683B95157951D4A46_13</vt:lpwstr>
  </property>
</Properties>
</file>