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rPr>
          <w:rFonts w:hint="eastAsia" w:ascii="宋体" w:hAnsi="宋体" w:eastAsia="宋体" w:cs="宋体"/>
          <w:color w:val="auto"/>
          <w:highlight w:val="none"/>
          <w:shd w:val="clear" w:fill="FFFF00"/>
        </w:rPr>
      </w:pPr>
      <w:bookmarkStart w:id="0" w:name="_Toc144974479"/>
      <w:bookmarkEnd w:id="0"/>
      <w:bookmarkStart w:id="1" w:name="_Toc490667779"/>
      <w:bookmarkEnd w:id="1"/>
      <w:bookmarkStart w:id="2" w:name="_Toc152045511"/>
      <w:bookmarkEnd w:id="2"/>
      <w:bookmarkStart w:id="3" w:name="_Toc152042287"/>
      <w:bookmarkEnd w:id="3"/>
      <w:r>
        <w:rPr>
          <w:rFonts w:hint="eastAsia" w:ascii="宋体" w:hAnsi="宋体" w:eastAsia="宋体" w:cs="宋体"/>
          <w:color w:val="auto"/>
          <w:highlight w:val="none"/>
          <w:shd w:val="clear" w:fill="FFFF00"/>
        </w:rPr>
        <w:drawing>
          <wp:inline distT="0" distB="0" distL="114300" distR="114300">
            <wp:extent cx="5266690" cy="7485380"/>
            <wp:effectExtent l="0" t="0" r="10160" b="1270"/>
            <wp:docPr id="2" name="图片 2" descr="文件封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文件封页"/>
                    <pic:cNvPicPr>
                      <a:picLocks noChangeAspect="1"/>
                    </pic:cNvPicPr>
                  </pic:nvPicPr>
                  <pic:blipFill>
                    <a:blip r:embed="rId17"/>
                    <a:stretch>
                      <a:fillRect/>
                    </a:stretch>
                  </pic:blipFill>
                  <pic:spPr>
                    <a:xfrm>
                      <a:off x="0" y="0"/>
                      <a:ext cx="5266690" cy="7485380"/>
                    </a:xfrm>
                    <a:prstGeom prst="rect">
                      <a:avLst/>
                    </a:prstGeom>
                  </pic:spPr>
                </pic:pic>
              </a:graphicData>
            </a:graphic>
          </wp:inline>
        </w:drawing>
      </w:r>
    </w:p>
    <w:sdt>
      <w:sdtPr>
        <w:rPr>
          <w:rFonts w:hint="eastAsia" w:ascii="宋体" w:hAnsi="宋体" w:eastAsia="宋体" w:cs="宋体"/>
          <w:color w:val="auto"/>
          <w:kern w:val="1"/>
          <w:sz w:val="21"/>
          <w:szCs w:val="24"/>
          <w:highlight w:val="none"/>
          <w:lang w:val="en-US" w:eastAsia="zh-CN" w:bidi="ar-SA"/>
        </w:rPr>
        <w:id w:val="147458928"/>
        <w15:color w:val="DBDBDB"/>
      </w:sdtPr>
      <w:sdtEndPr>
        <w:rPr>
          <w:rFonts w:hint="eastAsia" w:ascii="宋体" w:hAnsi="宋体" w:eastAsia="宋体" w:cs="宋体"/>
          <w:color w:val="auto"/>
          <w:kern w:val="1"/>
          <w:sz w:val="21"/>
          <w:szCs w:val="24"/>
          <w:highlight w:val="none"/>
          <w:lang w:val="en-US" w:eastAsia="zh-CN" w:bidi="ar-SA"/>
        </w:rPr>
      </w:sdtEndPr>
      <w:sdtContent>
        <w:p>
          <w:pPr>
            <w:spacing w:before="0" w:beforeLines="0" w:after="0" w:afterLines="0" w:line="480" w:lineRule="auto"/>
            <w:ind w:left="0" w:leftChars="0" w:right="0" w:rightChars="0" w:firstLine="0" w:firstLineChars="0"/>
            <w:jc w:val="center"/>
            <w:rPr>
              <w:rFonts w:hint="eastAsia" w:ascii="宋体" w:hAnsi="宋体" w:eastAsia="宋体" w:cs="宋体"/>
              <w:color w:val="auto"/>
              <w:kern w:val="1"/>
              <w:sz w:val="21"/>
              <w:szCs w:val="24"/>
              <w:highlight w:val="none"/>
              <w:lang w:val="en-US" w:eastAsia="zh-CN" w:bidi="ar-SA"/>
            </w:rPr>
          </w:pPr>
        </w:p>
        <w:p>
          <w:pPr>
            <w:spacing w:before="0" w:beforeLines="0" w:after="0" w:afterLines="0" w:line="480" w:lineRule="auto"/>
            <w:ind w:left="0" w:leftChars="0" w:right="0" w:rightChars="0" w:firstLine="0" w:firstLineChars="0"/>
            <w:jc w:val="center"/>
            <w:rPr>
              <w:rFonts w:hint="eastAsia" w:ascii="宋体" w:hAnsi="宋体" w:eastAsia="宋体" w:cs="宋体"/>
              <w:color w:val="auto"/>
              <w:kern w:val="1"/>
              <w:sz w:val="21"/>
              <w:szCs w:val="24"/>
              <w:highlight w:val="none"/>
              <w:lang w:val="en-US" w:eastAsia="zh-CN" w:bidi="ar-SA"/>
            </w:rPr>
          </w:pPr>
        </w:p>
        <w:p>
          <w:pPr>
            <w:spacing w:before="0" w:beforeLines="0" w:after="0" w:afterLines="0" w:line="480" w:lineRule="auto"/>
            <w:ind w:left="0" w:leftChars="0" w:right="0" w:rightChars="0" w:firstLine="0" w:firstLineChars="0"/>
            <w:jc w:val="center"/>
            <w:rPr>
              <w:rFonts w:hint="eastAsia" w:ascii="宋体" w:hAnsi="宋体" w:eastAsia="宋体" w:cs="宋体"/>
              <w:b w:val="0"/>
              <w:bCs w:val="0"/>
              <w:color w:val="auto"/>
              <w:sz w:val="28"/>
              <w:szCs w:val="28"/>
              <w:highlight w:val="none"/>
            </w:rPr>
          </w:pPr>
          <w:r>
            <w:rPr>
              <w:rFonts w:hint="eastAsia" w:ascii="宋体" w:hAnsi="宋体" w:eastAsia="宋体" w:cs="宋体"/>
              <w:color w:val="auto"/>
              <w:sz w:val="32"/>
              <w:szCs w:val="40"/>
              <w:highlight w:val="none"/>
            </w:rPr>
            <w:t>目录</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p>
        <w:p>
          <w:pPr>
            <w:pStyle w:val="39"/>
            <w:tabs>
              <w:tab w:val="right" w:leader="dot" w:pos="8299"/>
            </w:tabs>
            <w:spacing w:line="480" w:lineRule="auto"/>
            <w:ind w:left="0" w:leftChars="0" w:firstLine="0" w:firstLineChars="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_Toc14676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48"/>
              <w:highlight w:val="none"/>
            </w:rPr>
            <w:t>第一章 竞争性磋商公告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_Toc14676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28"/>
            <w:tabs>
              <w:tab w:val="right" w:leader="dot" w:pos="8299"/>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_Toc18695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供应商须知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_Toc18695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28"/>
            <w:tabs>
              <w:tab w:val="right" w:leader="dot" w:pos="8299"/>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_Toc21079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kern w:val="0"/>
              <w:sz w:val="28"/>
              <w:szCs w:val="48"/>
              <w:highlight w:val="none"/>
            </w:rPr>
            <w:t>第三章 评审办法（综合评分法）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_Toc21079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9"/>
            <w:tabs>
              <w:tab w:val="right" w:leader="dot" w:pos="8299"/>
            </w:tabs>
            <w:spacing w:line="480" w:lineRule="auto"/>
            <w:ind w:left="0" w:leftChars="0" w:firstLine="0" w:firstLineChars="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_Toc9075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44"/>
              <w:highlight w:val="none"/>
            </w:rPr>
            <w:t>第四章 合同文本（仅供参考）</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_Toc9075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28"/>
            <w:tabs>
              <w:tab w:val="right" w:leader="dot" w:pos="8299"/>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_Toc32176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44"/>
              <w:highlight w:val="none"/>
            </w:rPr>
            <w:t>第五章 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_Toc32176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28"/>
            <w:tabs>
              <w:tab w:val="right" w:leader="dot" w:pos="8299"/>
            </w:tabs>
            <w:spacing w:line="480" w:lineRule="auto"/>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_Toc15188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44"/>
              <w:highlight w:val="none"/>
            </w:rPr>
            <w:t>第六章 竞争性磋商响应文件格式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_Toc15188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39"/>
            <w:tabs>
              <w:tab w:val="right" w:leader="dot" w:pos="8299"/>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_Toc9441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44"/>
              <w:highlight w:val="none"/>
            </w:rPr>
            <w:t>一、 磋商函及磋商函附录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_Toc9441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9"/>
            <w:tabs>
              <w:tab w:val="right" w:leader="dot" w:pos="8299"/>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_Toc21518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44"/>
              <w:highlight w:val="none"/>
            </w:rPr>
            <w:t>二、法定代表人（单位负责人）身份证明</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_Toc21518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9"/>
            <w:tabs>
              <w:tab w:val="right" w:leader="dot" w:pos="8299"/>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_Toc30608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三、法定代表人授权书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_Toc30608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9"/>
            <w:tabs>
              <w:tab w:val="right" w:leader="dot" w:pos="8299"/>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_Toc32313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四、已标价工程量清单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_Toc32313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9"/>
            <w:tabs>
              <w:tab w:val="right" w:leader="dot" w:pos="8299"/>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_Toc15517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五、技术部分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_Toc15517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9"/>
            <w:tabs>
              <w:tab w:val="right" w:leader="dot" w:pos="8299"/>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_Toc22663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六、项目管理机构</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_Toc22663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9"/>
            <w:tabs>
              <w:tab w:val="right" w:leader="dot" w:pos="8299"/>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_Toc11990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七、资格证明材料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_Toc11990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9"/>
            <w:tabs>
              <w:tab w:val="right" w:leader="dot" w:pos="8299"/>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_Toc9762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44"/>
              <w:highlight w:val="none"/>
            </w:rPr>
            <w:t>八、其他材料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_Toc9762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39"/>
            <w:tabs>
              <w:tab w:val="right" w:leader="dot" w:pos="8299"/>
            </w:tabs>
            <w:spacing w:line="480" w:lineRule="auto"/>
            <w:ind w:left="0" w:leftChars="0" w:firstLine="0" w:firstLineChars="0"/>
            <w:rPr>
              <w:rFonts w:hint="eastAsia" w:ascii="宋体" w:hAnsi="宋体" w:eastAsia="宋体" w:cs="宋体"/>
              <w:color w:val="auto"/>
              <w:sz w:val="28"/>
              <w:szCs w:val="28"/>
              <w:highlight w:val="none"/>
            </w:rPr>
          </w:pPr>
        </w:p>
        <w:p>
          <w:pPr>
            <w:spacing w:line="480" w:lineRule="auto"/>
            <w:rPr>
              <w:rFonts w:hint="eastAsia" w:ascii="宋体" w:hAnsi="宋体" w:eastAsia="宋体" w:cs="宋体"/>
              <w:color w:val="auto"/>
              <w:highlight w:val="none"/>
            </w:rPr>
            <w:sectPr>
              <w:headerReference r:id="rId3" w:type="default"/>
              <w:footerReference r:id="rId4" w:type="default"/>
              <w:footnotePr>
                <w:numFmt w:val="decimal"/>
              </w:footnotePr>
              <w:endnotePr>
                <w:numFmt w:val="decimal"/>
              </w:endnotePr>
              <w:pgSz w:w="11905" w:h="16838"/>
              <w:pgMar w:top="1440" w:right="1803" w:bottom="1440" w:left="1803" w:header="794" w:footer="850" w:gutter="0"/>
              <w:pgNumType w:fmt="decimal" w:start="1"/>
              <w:cols w:space="720" w:num="1"/>
            </w:sectPr>
          </w:pPr>
          <w:r>
            <w:rPr>
              <w:rFonts w:hint="eastAsia" w:ascii="宋体" w:hAnsi="宋体" w:eastAsia="宋体" w:cs="宋体"/>
              <w:color w:val="auto"/>
              <w:sz w:val="32"/>
              <w:szCs w:val="40"/>
              <w:highlight w:val="none"/>
            </w:rPr>
            <w:fldChar w:fldCharType="end"/>
          </w:r>
        </w:p>
      </w:sdtContent>
    </w:sdt>
    <w:p>
      <w:pPr>
        <w:pStyle w:val="27"/>
        <w:jc w:val="center"/>
        <w:rPr>
          <w:rFonts w:hint="eastAsia" w:ascii="宋体" w:hAnsi="宋体" w:eastAsia="宋体" w:cs="宋体"/>
          <w:b/>
          <w:bCs/>
          <w:color w:val="auto"/>
          <w:sz w:val="24"/>
          <w:highlight w:val="none"/>
        </w:rPr>
      </w:pPr>
      <w:r>
        <w:rPr>
          <w:rFonts w:hint="eastAsia" w:ascii="宋体" w:hAnsi="宋体" w:eastAsia="宋体" w:cs="宋体"/>
          <w:b/>
          <w:color w:val="auto"/>
          <w:spacing w:val="12"/>
          <w:sz w:val="40"/>
          <w:szCs w:val="40"/>
          <w:highlight w:val="none"/>
        </w:rPr>
        <w:t>电子招投标特别提示</w:t>
      </w:r>
    </w:p>
    <w:p>
      <w:pPr>
        <w:spacing w:line="360" w:lineRule="auto"/>
        <w:rPr>
          <w:rFonts w:hint="eastAsia" w:ascii="宋体" w:hAnsi="宋体" w:eastAsia="宋体" w:cs="宋体"/>
          <w:b/>
          <w:bCs/>
          <w:color w:val="auto"/>
          <w:szCs w:val="21"/>
          <w:highlight w:val="none"/>
          <w:u w:val="double" w:color="auto"/>
        </w:rPr>
      </w:pPr>
    </w:p>
    <w:p>
      <w:pPr>
        <w:spacing w:line="360" w:lineRule="auto"/>
        <w:ind w:firstLine="422"/>
        <w:outlineLvl w:val="1"/>
        <w:rPr>
          <w:rFonts w:hint="eastAsia" w:ascii="宋体" w:hAnsi="宋体" w:eastAsia="宋体" w:cs="宋体"/>
          <w:b/>
          <w:bCs/>
          <w:color w:val="auto"/>
          <w:szCs w:val="21"/>
          <w:highlight w:val="none"/>
          <w:u w:val="double" w:color="auto"/>
        </w:rPr>
      </w:pPr>
      <w:bookmarkStart w:id="4" w:name="_Toc22256"/>
      <w:r>
        <w:rPr>
          <w:rFonts w:hint="eastAsia" w:ascii="宋体" w:hAnsi="宋体" w:eastAsia="宋体" w:cs="宋体"/>
          <w:b/>
          <w:bCs/>
          <w:color w:val="auto"/>
          <w:szCs w:val="21"/>
          <w:highlight w:val="none"/>
          <w:u w:val="double" w:color="auto"/>
        </w:rPr>
        <w:t>一、投标人（供应商）注册</w:t>
      </w:r>
      <w:bookmarkEnd w:id="4"/>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凡有意参加本项目的投标人（供应商），请登陆“全国公共资源交易平台</w:t>
      </w:r>
      <w:r>
        <w:rPr>
          <w:rFonts w:hint="eastAsia" w:ascii="宋体" w:hAnsi="宋体" w:cs="宋体"/>
          <w:color w:val="auto"/>
          <w:szCs w:val="21"/>
          <w:highlight w:val="none"/>
          <w:lang w:eastAsia="zh-CN"/>
        </w:rPr>
        <w:t>（河南省·新县）（http://xinxian.xyggzyjy.cn/）</w:t>
      </w:r>
      <w:r>
        <w:rPr>
          <w:rFonts w:hint="eastAsia" w:ascii="宋体" w:hAnsi="宋体" w:eastAsia="宋体" w:cs="宋体"/>
          <w:color w:val="auto"/>
          <w:szCs w:val="21"/>
          <w:highlight w:val="none"/>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pPr>
        <w:spacing w:line="360" w:lineRule="auto"/>
        <w:ind w:firstLine="422"/>
        <w:outlineLvl w:val="1"/>
        <w:rPr>
          <w:rFonts w:hint="eastAsia" w:ascii="宋体" w:hAnsi="宋体" w:eastAsia="宋体" w:cs="宋体"/>
          <w:b/>
          <w:bCs/>
          <w:color w:val="auto"/>
          <w:szCs w:val="21"/>
          <w:highlight w:val="none"/>
          <w:u w:val="double" w:color="auto"/>
        </w:rPr>
      </w:pPr>
      <w:bookmarkStart w:id="5" w:name="_Toc21248"/>
      <w:r>
        <w:rPr>
          <w:rFonts w:hint="eastAsia" w:ascii="宋体" w:hAnsi="宋体" w:eastAsia="宋体" w:cs="宋体"/>
          <w:b/>
          <w:bCs/>
          <w:color w:val="auto"/>
          <w:szCs w:val="21"/>
          <w:highlight w:val="none"/>
          <w:u w:val="double" w:color="auto"/>
        </w:rPr>
        <w:t>二、办理CA数字证书</w:t>
      </w:r>
      <w:bookmarkEnd w:id="5"/>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pPr>
        <w:spacing w:line="360" w:lineRule="auto"/>
        <w:ind w:firstLine="422"/>
        <w:outlineLvl w:val="1"/>
        <w:rPr>
          <w:rFonts w:hint="eastAsia" w:ascii="宋体" w:hAnsi="宋体" w:eastAsia="宋体" w:cs="宋体"/>
          <w:b/>
          <w:bCs/>
          <w:color w:val="auto"/>
          <w:szCs w:val="21"/>
          <w:highlight w:val="none"/>
          <w:u w:val="double" w:color="auto"/>
        </w:rPr>
      </w:pPr>
      <w:bookmarkStart w:id="6" w:name="_Toc66"/>
      <w:r>
        <w:rPr>
          <w:rFonts w:hint="eastAsia" w:ascii="宋体" w:hAnsi="宋体" w:eastAsia="宋体" w:cs="宋体"/>
          <w:b/>
          <w:bCs/>
          <w:color w:val="auto"/>
          <w:szCs w:val="21"/>
          <w:highlight w:val="none"/>
          <w:u w:val="double" w:color="auto"/>
        </w:rPr>
        <w:t>三、招标（采购）文件获取方式</w:t>
      </w:r>
      <w:bookmarkEnd w:id="6"/>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供应商）凭CA数字证书登陆会员系统后，即可按网上提示免费下载招标（采购）文件及资料（操作程序详见信阳市公共资源交易中心网站下载中心栏目里供应商操作手册）。磋商文件(*.XYZF格式)下载后需使用“信阳市投标文件制作工具软件”打开（该工具软件可在“全国公共资源交易平台</w:t>
      </w:r>
      <w:r>
        <w:rPr>
          <w:rFonts w:hint="eastAsia" w:ascii="宋体" w:hAnsi="宋体" w:cs="宋体"/>
          <w:color w:val="auto"/>
          <w:szCs w:val="21"/>
          <w:highlight w:val="none"/>
          <w:lang w:eastAsia="zh-CN"/>
        </w:rPr>
        <w:t>（河南省·新县）（http://xinxian.xyggzyjy.cn/）</w:t>
      </w:r>
      <w:r>
        <w:rPr>
          <w:rFonts w:hint="eastAsia" w:ascii="宋体" w:hAnsi="宋体" w:eastAsia="宋体" w:cs="宋体"/>
          <w:color w:val="auto"/>
          <w:szCs w:val="21"/>
          <w:highlight w:val="none"/>
        </w:rPr>
        <w:t>”网站下载中心栏目内下载或在磋商文件领取页面下载）。</w:t>
      </w:r>
    </w:p>
    <w:p>
      <w:pPr>
        <w:tabs>
          <w:tab w:val="left" w:pos="0"/>
        </w:tabs>
        <w:spacing w:line="360" w:lineRule="auto"/>
        <w:ind w:firstLine="422"/>
        <w:outlineLvl w:val="1"/>
        <w:rPr>
          <w:rFonts w:hint="eastAsia" w:ascii="宋体" w:hAnsi="宋体" w:eastAsia="宋体" w:cs="宋体"/>
          <w:b/>
          <w:bCs/>
          <w:color w:val="auto"/>
          <w:szCs w:val="21"/>
          <w:highlight w:val="none"/>
          <w:u w:val="double" w:color="auto"/>
        </w:rPr>
      </w:pPr>
      <w:bookmarkStart w:id="7" w:name="_Toc14231"/>
      <w:r>
        <w:rPr>
          <w:rFonts w:hint="eastAsia" w:ascii="宋体" w:hAnsi="宋体" w:eastAsia="宋体" w:cs="宋体"/>
          <w:b/>
          <w:bCs/>
          <w:color w:val="auto"/>
          <w:szCs w:val="21"/>
          <w:highlight w:val="none"/>
          <w:u w:val="double" w:color="auto"/>
        </w:rPr>
        <w:t>四、投标（响应）文件制作</w:t>
      </w:r>
      <w:bookmarkEnd w:id="7"/>
    </w:p>
    <w:p>
      <w:pPr>
        <w:tabs>
          <w:tab w:val="left" w:pos="0"/>
        </w:tabs>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投标（响应）文件应使用信阳市公共资源交易系统响应文件制作专用工具软件编制，投标（响应）文件格式为“*.XYTF”。</w:t>
      </w:r>
    </w:p>
    <w:p>
      <w:pPr>
        <w:tabs>
          <w:tab w:val="left" w:pos="0"/>
        </w:tabs>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投标人（供应商）须在投标（响应）文件递交截止时间前制作并提交。</w:t>
      </w:r>
    </w:p>
    <w:p>
      <w:pPr>
        <w:spacing w:line="360" w:lineRule="auto"/>
        <w:ind w:firstLine="422"/>
        <w:outlineLvl w:val="1"/>
        <w:rPr>
          <w:rFonts w:hint="eastAsia" w:ascii="宋体" w:hAnsi="宋体" w:eastAsia="宋体" w:cs="宋体"/>
          <w:b/>
          <w:bCs/>
          <w:color w:val="auto"/>
          <w:sz w:val="21"/>
          <w:szCs w:val="21"/>
          <w:highlight w:val="none"/>
        </w:rPr>
      </w:pPr>
      <w:bookmarkStart w:id="8" w:name="_Toc10748"/>
      <w:r>
        <w:rPr>
          <w:rFonts w:hint="eastAsia" w:ascii="宋体" w:hAnsi="宋体" w:eastAsia="宋体" w:cs="宋体"/>
          <w:b/>
          <w:bCs/>
          <w:color w:val="auto"/>
          <w:sz w:val="21"/>
          <w:szCs w:val="21"/>
          <w:highlight w:val="none"/>
          <w:u w:val="double" w:color="auto"/>
        </w:rPr>
        <w:t>五、投标（响应）文件的签字和盖章要求</w:t>
      </w:r>
      <w:bookmarkEnd w:id="8"/>
    </w:p>
    <w:p>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1、投标（响应）文件格式中所有要求投标人（供应商）加盖公章的地方都须加盖投标人（供应商）的 CA 印章。</w:t>
      </w:r>
    </w:p>
    <w:p>
      <w:pPr>
        <w:spacing w:line="360" w:lineRule="auto"/>
        <w:ind w:left="-126" w:firstLine="42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2、投标（响应）文件格式中所有要求法定代表人或其委托代理人签字或盖章的地方</w:t>
      </w:r>
      <w:r>
        <w:rPr>
          <w:rFonts w:hint="eastAsia" w:ascii="宋体" w:hAnsi="宋体" w:eastAsia="宋体" w:cs="宋体"/>
          <w:b/>
          <w:bCs/>
          <w:color w:val="auto"/>
          <w:szCs w:val="21"/>
          <w:highlight w:val="none"/>
        </w:rPr>
        <w:t>（不含授权委托书委托人签字）</w:t>
      </w:r>
      <w:r>
        <w:rPr>
          <w:rFonts w:hint="eastAsia" w:ascii="宋体" w:hAnsi="宋体" w:eastAsia="宋体" w:cs="宋体"/>
          <w:color w:val="auto"/>
          <w:szCs w:val="21"/>
          <w:highlight w:val="none"/>
        </w:rPr>
        <w:t>都须加盖法定代表人</w:t>
      </w:r>
      <w:r>
        <w:rPr>
          <w:rFonts w:hint="eastAsia" w:ascii="宋体" w:hAnsi="宋体" w:eastAsia="宋体" w:cs="宋体"/>
          <w:b/>
          <w:bCs/>
          <w:color w:val="auto"/>
          <w:szCs w:val="21"/>
          <w:highlight w:val="none"/>
        </w:rPr>
        <w:t>CA 印章。</w:t>
      </w:r>
    </w:p>
    <w:p>
      <w:pPr>
        <w:spacing w:line="360" w:lineRule="auto"/>
        <w:ind w:firstLine="422"/>
        <w:outlineLvl w:val="1"/>
        <w:rPr>
          <w:rFonts w:hint="eastAsia" w:ascii="宋体" w:hAnsi="宋体" w:eastAsia="宋体" w:cs="宋体"/>
          <w:b/>
          <w:bCs/>
          <w:color w:val="auto"/>
          <w:sz w:val="21"/>
          <w:szCs w:val="21"/>
          <w:highlight w:val="none"/>
          <w:u w:val="double" w:color="auto"/>
        </w:rPr>
      </w:pPr>
      <w:bookmarkStart w:id="9" w:name="_Toc18578"/>
      <w:r>
        <w:rPr>
          <w:rFonts w:hint="eastAsia" w:ascii="宋体" w:hAnsi="宋体" w:eastAsia="宋体" w:cs="宋体"/>
          <w:b/>
          <w:bCs/>
          <w:color w:val="auto"/>
          <w:sz w:val="21"/>
          <w:szCs w:val="21"/>
          <w:highlight w:val="none"/>
          <w:u w:val="double" w:color="auto"/>
        </w:rPr>
        <w:t>六、响应文件份数</w:t>
      </w:r>
      <w:bookmarkEnd w:id="9"/>
    </w:p>
    <w:p>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加密的电子投标（响应）文件壹份（*.XYTF 格式，在会员系统指定位置上传）。</w:t>
      </w:r>
    </w:p>
    <w:p>
      <w:pPr>
        <w:spacing w:line="360" w:lineRule="auto"/>
        <w:ind w:firstLine="422"/>
        <w:outlineLvl w:val="1"/>
        <w:rPr>
          <w:rFonts w:hint="eastAsia" w:ascii="宋体" w:hAnsi="宋体" w:eastAsia="宋体" w:cs="宋体"/>
          <w:b/>
          <w:bCs/>
          <w:color w:val="auto"/>
          <w:sz w:val="21"/>
          <w:szCs w:val="21"/>
          <w:highlight w:val="none"/>
          <w:u w:val="double" w:color="auto"/>
        </w:rPr>
      </w:pPr>
      <w:bookmarkStart w:id="10" w:name="_Toc3756"/>
      <w:r>
        <w:rPr>
          <w:rFonts w:hint="eastAsia" w:ascii="宋体" w:hAnsi="宋体" w:eastAsia="宋体" w:cs="宋体"/>
          <w:b/>
          <w:bCs/>
          <w:color w:val="auto"/>
          <w:sz w:val="21"/>
          <w:szCs w:val="21"/>
          <w:highlight w:val="none"/>
          <w:u w:val="double" w:color="auto"/>
        </w:rPr>
        <w:t>七、投标（响应）文件的递交</w:t>
      </w:r>
      <w:bookmarkEnd w:id="10"/>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1、电子投标（响应）文件的递交</w:t>
      </w:r>
    </w:p>
    <w:p>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投标（供应商）人应在响应文件提交时间前上传加密的电子投标（响应）文件（*.XYTF）到会员系统的指定位置。上传的电子响应文件应使用供应商CA数字证书认证并加密。上传时必须得到交易系统“上传成功”的确认回复后方为上传成功。请投标人（供应商）在上传前务必认真检查上传投标（响应）文件是否完整、正确。</w:t>
      </w:r>
    </w:p>
    <w:p>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2、除电子投标（响应）文件外，不再接受任何纸质文件、资料原件等。</w:t>
      </w:r>
    </w:p>
    <w:p>
      <w:pPr>
        <w:spacing w:line="360" w:lineRule="auto"/>
        <w:ind w:firstLine="422"/>
        <w:outlineLvl w:val="1"/>
        <w:rPr>
          <w:rFonts w:hint="eastAsia" w:ascii="宋体" w:hAnsi="宋体" w:eastAsia="宋体" w:cs="宋体"/>
          <w:b/>
          <w:bCs/>
          <w:color w:val="auto"/>
          <w:szCs w:val="21"/>
          <w:highlight w:val="none"/>
          <w:u w:val="double" w:color="auto"/>
        </w:rPr>
      </w:pPr>
      <w:bookmarkStart w:id="11" w:name="_Toc3389"/>
      <w:r>
        <w:rPr>
          <w:rFonts w:hint="eastAsia" w:ascii="宋体" w:hAnsi="宋体" w:eastAsia="宋体" w:cs="宋体"/>
          <w:b/>
          <w:bCs/>
          <w:color w:val="auto"/>
          <w:szCs w:val="21"/>
          <w:highlight w:val="none"/>
          <w:u w:val="double" w:color="auto"/>
        </w:rPr>
        <w:t>八、澄清与变更</w:t>
      </w:r>
      <w:bookmarkEnd w:id="11"/>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供应商（采购人）未及时查看而造成的后果自负。</w:t>
      </w:r>
    </w:p>
    <w:p>
      <w:pPr>
        <w:widowControl/>
        <w:spacing w:line="360" w:lineRule="auto"/>
        <w:ind w:firstLine="422"/>
        <w:jc w:val="left"/>
        <w:outlineLvl w:val="1"/>
        <w:rPr>
          <w:rFonts w:hint="eastAsia" w:ascii="宋体" w:hAnsi="宋体" w:eastAsia="宋体" w:cs="宋体"/>
          <w:b/>
          <w:bCs/>
          <w:color w:val="auto"/>
          <w:szCs w:val="21"/>
          <w:highlight w:val="none"/>
          <w:u w:val="double" w:color="auto"/>
        </w:rPr>
      </w:pPr>
      <w:bookmarkStart w:id="12" w:name="_Toc15259"/>
      <w:r>
        <w:rPr>
          <w:rFonts w:hint="eastAsia" w:ascii="宋体" w:hAnsi="宋体" w:eastAsia="宋体" w:cs="宋体"/>
          <w:b/>
          <w:bCs/>
          <w:color w:val="auto"/>
          <w:szCs w:val="21"/>
          <w:highlight w:val="none"/>
          <w:u w:val="double" w:color="auto"/>
        </w:rPr>
        <w:t>九、其他注意事项</w:t>
      </w:r>
      <w:bookmarkEnd w:id="12"/>
      <w:r>
        <w:rPr>
          <w:rFonts w:hint="eastAsia" w:ascii="宋体" w:hAnsi="宋体" w:eastAsia="宋体" w:cs="宋体"/>
          <w:b/>
          <w:bCs/>
          <w:color w:val="auto"/>
          <w:szCs w:val="21"/>
          <w:highlight w:val="none"/>
          <w:u w:val="double" w:color="auto"/>
        </w:rPr>
        <w:t xml:space="preserve"> </w:t>
      </w:r>
    </w:p>
    <w:p>
      <w:pPr>
        <w:widowControl/>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1、供应商编制投标文件时，涉及的营业执照、资质、获奖、社保、纳税等固定内容可在交易中心主体信用信息中录入。 </w:t>
      </w:r>
    </w:p>
    <w:p>
      <w:pPr>
        <w:widowControl/>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2、供应商编制响应文件时，涉及营业执照、资质、业绩、获奖、人员、财务、社保、纳税、各类证书等内容，须扫描编制在响应文件内。</w:t>
      </w:r>
      <w:r>
        <w:rPr>
          <w:rFonts w:hint="eastAsia" w:ascii="宋体" w:hAnsi="宋体" w:eastAsia="宋体" w:cs="宋体"/>
          <w:color w:val="auto"/>
          <w:szCs w:val="21"/>
          <w:highlight w:val="none"/>
          <w:u w:val="single" w:color="auto"/>
        </w:rPr>
        <w:t>评委评审只需依法对响应文件进行评审，并以响应文件的响应为唯一评审依据，不再比对主体信用信息</w:t>
      </w:r>
      <w:r>
        <w:rPr>
          <w:rFonts w:hint="eastAsia" w:ascii="宋体" w:hAnsi="宋体" w:eastAsia="宋体" w:cs="宋体"/>
          <w:color w:val="auto"/>
          <w:szCs w:val="21"/>
          <w:highlight w:val="none"/>
        </w:rPr>
        <w:t>。</w:t>
      </w:r>
    </w:p>
    <w:p>
      <w:pPr>
        <w:widowControl/>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人或代理机构在发布中标公告或候选人公示时需同时将中标人或第一中标候选人响应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2021版添加修订）。）</w:t>
      </w:r>
    </w:p>
    <w:p>
      <w:pPr>
        <w:widowControl/>
        <w:spacing w:line="360" w:lineRule="auto"/>
        <w:ind w:firstLine="420"/>
        <w:jc w:val="left"/>
        <w:rPr>
          <w:rFonts w:hint="eastAsia" w:ascii="宋体" w:hAnsi="宋体" w:eastAsia="宋体" w:cs="宋体"/>
          <w:b/>
          <w:bCs/>
          <w:color w:val="auto"/>
          <w:szCs w:val="21"/>
          <w:highlight w:val="none"/>
          <w:u w:val="double" w:color="auto"/>
        </w:rPr>
      </w:pPr>
      <w:r>
        <w:rPr>
          <w:rFonts w:hint="eastAsia" w:ascii="宋体" w:hAnsi="宋体" w:eastAsia="宋体" w:cs="宋体"/>
          <w:color w:val="auto"/>
          <w:szCs w:val="21"/>
          <w:highlight w:val="none"/>
        </w:rPr>
        <w:t>4、投标文件中的扫描件，在确保清晰的前提下，每张最好控制在 500kb 内，生成的加密电子投标文件最好不要超过50MB。</w:t>
      </w:r>
    </w:p>
    <w:p>
      <w:pPr>
        <w:widowControl/>
        <w:spacing w:line="360" w:lineRule="auto"/>
        <w:ind w:firstLine="422"/>
        <w:jc w:val="left"/>
        <w:outlineLvl w:val="1"/>
        <w:rPr>
          <w:rFonts w:hint="eastAsia" w:ascii="宋体" w:hAnsi="宋体" w:eastAsia="宋体" w:cs="宋体"/>
          <w:b/>
          <w:bCs/>
          <w:color w:val="auto"/>
          <w:szCs w:val="21"/>
          <w:highlight w:val="none"/>
          <w:u w:val="double" w:color="auto"/>
        </w:rPr>
      </w:pPr>
      <w:bookmarkStart w:id="13" w:name="_Toc7230"/>
      <w:r>
        <w:rPr>
          <w:rFonts w:hint="eastAsia" w:ascii="宋体" w:hAnsi="宋体" w:eastAsia="宋体" w:cs="宋体"/>
          <w:b/>
          <w:bCs/>
          <w:color w:val="auto"/>
          <w:szCs w:val="21"/>
          <w:highlight w:val="none"/>
          <w:u w:val="double" w:color="auto"/>
        </w:rPr>
        <w:t>十、特别提醒</w:t>
      </w:r>
      <w:bookmarkEnd w:id="13"/>
    </w:p>
    <w:p>
      <w:pPr>
        <w:pStyle w:val="28"/>
        <w:tabs>
          <w:tab w:val="right" w:leader="dot" w:pos="9240"/>
        </w:tabs>
        <w:spacing w:line="360" w:lineRule="auto"/>
        <w:ind w:firstLine="42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招标（响应）文件与此内容不符的，以此内容为准。</w:t>
      </w:r>
    </w:p>
    <w:p>
      <w:pPr>
        <w:bidi w:val="0"/>
        <w:rPr>
          <w:rFonts w:hint="eastAsia" w:ascii="宋体" w:hAnsi="宋体" w:eastAsia="宋体" w:cs="宋体"/>
          <w:color w:val="auto"/>
          <w:highlight w:val="none"/>
        </w:rPr>
      </w:pPr>
      <w:bookmarkStart w:id="14" w:name="_Toc5535"/>
      <w:bookmarkEnd w:id="14"/>
      <w:bookmarkStart w:id="15" w:name="_Toc4074"/>
      <w:bookmarkEnd w:id="15"/>
      <w:bookmarkStart w:id="16" w:name="_Toc26556"/>
      <w:bookmarkEnd w:id="16"/>
      <w:bookmarkStart w:id="17" w:name="_Toc6660"/>
      <w:bookmarkEnd w:id="17"/>
      <w:bookmarkStart w:id="18" w:name="_Toc11416"/>
      <w:bookmarkEnd w:id="18"/>
      <w:bookmarkStart w:id="19" w:name="_Toc5976"/>
      <w:bookmarkEnd w:id="19"/>
      <w:bookmarkStart w:id="20" w:name="_Toc12290"/>
      <w:bookmarkEnd w:id="20"/>
      <w:bookmarkStart w:id="21" w:name="_Toc13479"/>
      <w:bookmarkEnd w:id="21"/>
      <w:bookmarkStart w:id="22" w:name="_Toc29273"/>
      <w:bookmarkEnd w:id="22"/>
      <w:bookmarkStart w:id="23" w:name="_Toc19574"/>
      <w:bookmarkEnd w:id="23"/>
      <w:bookmarkStart w:id="24" w:name="_Toc30363"/>
      <w:bookmarkEnd w:id="24"/>
      <w:bookmarkStart w:id="25" w:name="_Toc26608"/>
      <w:bookmarkEnd w:id="25"/>
      <w:bookmarkStart w:id="26" w:name="_Toc4911"/>
      <w:bookmarkEnd w:id="26"/>
      <w:bookmarkStart w:id="27" w:name="_Toc21757"/>
      <w:bookmarkEnd w:id="27"/>
      <w:bookmarkStart w:id="28" w:name="_Toc21701"/>
      <w:bookmarkEnd w:id="28"/>
      <w:bookmarkStart w:id="29" w:name="_Toc18505"/>
      <w:bookmarkEnd w:id="29"/>
      <w:bookmarkStart w:id="30" w:name="_Toc26735"/>
      <w:bookmarkEnd w:id="30"/>
      <w:bookmarkStart w:id="31" w:name="_Toc14676"/>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pStyle w:val="8"/>
        <w:numPr>
          <w:ilvl w:val="0"/>
          <w:numId w:val="0"/>
        </w:numPr>
        <w:bidi w:val="0"/>
        <w:spacing w:line="240" w:lineRule="auto"/>
        <w:ind w:leftChars="0"/>
        <w:jc w:val="center"/>
        <w:rPr>
          <w:rFonts w:hint="eastAsia" w:ascii="宋体" w:hAnsi="宋体" w:eastAsia="宋体" w:cs="宋体"/>
          <w:b/>
          <w:color w:val="auto"/>
          <w:sz w:val="21"/>
          <w:szCs w:val="21"/>
          <w:highlight w:val="none"/>
        </w:rPr>
      </w:pPr>
      <w:r>
        <w:rPr>
          <w:rFonts w:hint="eastAsia" w:ascii="宋体" w:hAnsi="宋体" w:eastAsia="宋体" w:cs="宋体"/>
          <w:color w:val="auto"/>
          <w:sz w:val="32"/>
          <w:szCs w:val="32"/>
          <w:highlight w:val="none"/>
        </w:rPr>
        <w:t>第一章 竞争性磋商公告</w:t>
      </w:r>
      <w:bookmarkEnd w:id="31"/>
      <w:bookmarkStart w:id="32" w:name="_Toc152042303"/>
      <w:bookmarkEnd w:id="32"/>
      <w:bookmarkStart w:id="33" w:name="OLE_LINK1"/>
      <w:bookmarkEnd w:id="33"/>
      <w:bookmarkStart w:id="34" w:name="_Toc152045527"/>
      <w:bookmarkEnd w:id="34"/>
      <w:bookmarkStart w:id="35" w:name="_Toc144974495"/>
      <w:bookmarkEnd w:id="35"/>
      <w:bookmarkStart w:id="36" w:name="_Toc24195"/>
    </w:p>
    <w:bookmarkEnd w:id="36"/>
    <w:p>
      <w:pPr>
        <w:pStyle w:val="8"/>
        <w:keepNext/>
        <w:keepLines/>
        <w:pageBreakBefore w:val="0"/>
        <w:widowControl w:val="0"/>
        <w:numPr>
          <w:ilvl w:val="0"/>
          <w:numId w:val="0"/>
        </w:numPr>
        <w:kinsoku/>
        <w:wordWrap/>
        <w:overflowPunct/>
        <w:topLinePunct w:val="0"/>
        <w:autoSpaceDE/>
        <w:autoSpaceDN/>
        <w:bidi w:val="0"/>
        <w:adjustRightInd/>
        <w:snapToGrid/>
        <w:spacing w:before="20" w:after="20" w:line="360" w:lineRule="auto"/>
        <w:ind w:leftChars="0"/>
        <w:jc w:val="center"/>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新县将军路消防救援站改造工程</w:t>
      </w:r>
    </w:p>
    <w:p>
      <w:pPr>
        <w:pStyle w:val="8"/>
        <w:keepNext/>
        <w:keepLines/>
        <w:pageBreakBefore w:val="0"/>
        <w:widowControl w:val="0"/>
        <w:numPr>
          <w:ilvl w:val="0"/>
          <w:numId w:val="0"/>
        </w:numPr>
        <w:kinsoku/>
        <w:wordWrap/>
        <w:overflowPunct/>
        <w:topLinePunct w:val="0"/>
        <w:autoSpaceDE/>
        <w:autoSpaceDN/>
        <w:bidi w:val="0"/>
        <w:adjustRightInd/>
        <w:snapToGrid/>
        <w:spacing w:before="20" w:after="20" w:line="360" w:lineRule="auto"/>
        <w:ind w:leftChars="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竞争性磋商公告</w:t>
      </w:r>
    </w:p>
    <w:p>
      <w:pPr>
        <w:pageBreakBefore w:val="0"/>
        <w:pBdr>
          <w:top w:val="single" w:color="000000" w:sz="4" w:space="1"/>
          <w:left w:val="single" w:color="000000" w:sz="4" w:space="4"/>
          <w:bottom w:val="single" w:color="000000" w:sz="4" w:space="1"/>
          <w:right w:val="single" w:color="000000" w:sz="4" w:space="4"/>
          <w:between w:val="none" w:color="000000" w:sz="0" w:space="0"/>
        </w:pBd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项目概况</w:t>
      </w:r>
    </w:p>
    <w:p>
      <w:pPr>
        <w:pageBreakBefore w:val="0"/>
        <w:pBdr>
          <w:top w:val="single" w:color="000000" w:sz="4" w:space="1"/>
          <w:left w:val="single" w:color="000000" w:sz="4" w:space="4"/>
          <w:bottom w:val="single" w:color="000000" w:sz="4" w:space="1"/>
          <w:right w:val="single" w:color="000000" w:sz="4" w:space="4"/>
          <w:between w:val="none" w:color="000000" w:sz="0" w:space="0"/>
        </w:pBdr>
        <w:shd w:val="clear"/>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u w:val="none"/>
          <w:lang w:eastAsia="zh-CN"/>
        </w:rPr>
        <w:t>新县将军路消防救援站改造工程</w:t>
      </w:r>
      <w:r>
        <w:rPr>
          <w:rFonts w:hint="eastAsia" w:ascii="宋体" w:hAnsi="宋体" w:eastAsia="宋体" w:cs="宋体"/>
          <w:color w:val="auto"/>
          <w:szCs w:val="21"/>
          <w:highlight w:val="none"/>
          <w:u w:val="none"/>
        </w:rPr>
        <w:t>招标</w:t>
      </w:r>
      <w:r>
        <w:rPr>
          <w:rFonts w:hint="eastAsia" w:ascii="宋体" w:hAnsi="宋体" w:eastAsia="宋体" w:cs="宋体"/>
          <w:color w:val="auto"/>
          <w:szCs w:val="21"/>
          <w:highlight w:val="none"/>
        </w:rPr>
        <w:t>项目的潜在供应商应在“全国公共资源交易平台（河南省·新县）（http://xinxian.xyggzyjy.cn）”凭办理的企业身份认证锁（CA数字证书）登陆会员系统进行网上投标”。获取磋商文件，并于</w:t>
      </w:r>
      <w:r>
        <w:rPr>
          <w:rFonts w:hint="eastAsia" w:ascii="宋体" w:hAnsi="宋体" w:eastAsia="宋体" w:cs="宋体"/>
          <w:b/>
          <w:bCs w:val="0"/>
          <w:color w:val="auto"/>
          <w:szCs w:val="21"/>
          <w:highlight w:val="none"/>
          <w:u w:val="single" w:color="auto"/>
        </w:rPr>
        <w:t xml:space="preserve"> 2023年</w:t>
      </w:r>
      <w:r>
        <w:rPr>
          <w:rFonts w:hint="eastAsia" w:ascii="宋体" w:hAnsi="宋体" w:eastAsia="宋体" w:cs="宋体"/>
          <w:b/>
          <w:bCs w:val="0"/>
          <w:color w:val="auto"/>
          <w:szCs w:val="21"/>
          <w:highlight w:val="none"/>
          <w:u w:val="single" w:color="auto"/>
          <w:lang w:val="en-US" w:eastAsia="zh-CN"/>
        </w:rPr>
        <w:t>10</w:t>
      </w:r>
      <w:r>
        <w:rPr>
          <w:rFonts w:hint="eastAsia" w:ascii="宋体" w:hAnsi="宋体" w:eastAsia="宋体" w:cs="宋体"/>
          <w:b/>
          <w:bCs w:val="0"/>
          <w:color w:val="auto"/>
          <w:szCs w:val="21"/>
          <w:highlight w:val="none"/>
          <w:u w:val="single" w:color="auto"/>
        </w:rPr>
        <w:t>月</w:t>
      </w:r>
      <w:r>
        <w:rPr>
          <w:rFonts w:hint="eastAsia" w:ascii="宋体" w:hAnsi="宋体" w:eastAsia="宋体" w:cs="宋体"/>
          <w:b/>
          <w:bCs w:val="0"/>
          <w:color w:val="auto"/>
          <w:szCs w:val="21"/>
          <w:highlight w:val="none"/>
          <w:u w:val="single" w:color="auto"/>
          <w:lang w:val="en-US" w:eastAsia="zh-CN"/>
        </w:rPr>
        <w:t>13</w:t>
      </w:r>
      <w:r>
        <w:rPr>
          <w:rFonts w:hint="eastAsia" w:ascii="宋体" w:hAnsi="宋体" w:eastAsia="宋体" w:cs="宋体"/>
          <w:b/>
          <w:bCs w:val="0"/>
          <w:color w:val="auto"/>
          <w:szCs w:val="21"/>
          <w:highlight w:val="none"/>
          <w:u w:val="single" w:color="auto"/>
        </w:rPr>
        <w:t>日9时00分（北京时间）</w:t>
      </w:r>
      <w:r>
        <w:rPr>
          <w:rFonts w:hint="eastAsia" w:ascii="宋体" w:hAnsi="宋体" w:eastAsia="宋体" w:cs="宋体"/>
          <w:color w:val="auto"/>
          <w:szCs w:val="21"/>
          <w:highlight w:val="none"/>
        </w:rPr>
        <w:t>前递交响应文件。</w:t>
      </w:r>
      <w:r>
        <w:rPr>
          <w:rFonts w:hint="eastAsia" w:ascii="宋体" w:hAnsi="宋体" w:cs="宋体"/>
          <w:color w:val="auto"/>
          <w:szCs w:val="21"/>
          <w:highlight w:val="none"/>
          <w:lang w:val="en-US" w:eastAsia="zh-CN"/>
        </w:rPr>
        <w:t xml:space="preserve"> </w:t>
      </w:r>
    </w:p>
    <w:p>
      <w:pPr>
        <w:pStyle w:val="22"/>
        <w:pageBreakBefore w:val="0"/>
        <w:widowControl w:val="0"/>
        <w:kinsoku/>
        <w:wordWrap/>
        <w:overflowPunct/>
        <w:topLinePunct w:val="0"/>
        <w:autoSpaceDE/>
        <w:autoSpaceDN/>
        <w:bidi w:val="0"/>
        <w:adjustRightInd/>
        <w:snapToGrid/>
        <w:spacing w:before="0" w:beforeAutospacing="0" w:after="0" w:afterAutospacing="0" w:line="360" w:lineRule="auto"/>
        <w:textAlignment w:val="auto"/>
        <w:outlineLvl w:val="1"/>
        <w:rPr>
          <w:rFonts w:hint="eastAsia" w:ascii="宋体" w:hAnsi="宋体" w:eastAsia="宋体" w:cs="宋体"/>
          <w:b/>
          <w:color w:val="auto"/>
          <w:sz w:val="21"/>
          <w:szCs w:val="21"/>
          <w:highlight w:val="none"/>
        </w:rPr>
      </w:pPr>
      <w:bookmarkStart w:id="37" w:name="_Toc3411"/>
      <w:r>
        <w:rPr>
          <w:rFonts w:hint="eastAsia" w:ascii="宋体" w:hAnsi="宋体" w:eastAsia="宋体" w:cs="宋体"/>
          <w:b/>
          <w:color w:val="auto"/>
          <w:sz w:val="21"/>
          <w:szCs w:val="21"/>
          <w:highlight w:val="none"/>
        </w:rPr>
        <w:t>一、项目基本情况</w:t>
      </w:r>
      <w:bookmarkEnd w:id="37"/>
    </w:p>
    <w:p>
      <w:pPr>
        <w:pStyle w:val="22"/>
        <w:pageBreakBefore w:val="0"/>
        <w:widowControl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1.项目编号：新财磋商</w:t>
      </w:r>
      <w:r>
        <w:rPr>
          <w:rFonts w:hint="eastAsia" w:ascii="宋体" w:hAnsi="宋体" w:eastAsia="宋体" w:cs="宋体"/>
          <w:b w:val="0"/>
          <w:bCs/>
          <w:color w:val="auto"/>
          <w:sz w:val="21"/>
          <w:szCs w:val="21"/>
          <w:highlight w:val="none"/>
        </w:rPr>
        <w:t>采购-2023-</w:t>
      </w:r>
      <w:r>
        <w:rPr>
          <w:rFonts w:hint="eastAsia" w:ascii="宋体" w:hAnsi="宋体" w:eastAsia="宋体" w:cs="宋体"/>
          <w:b w:val="0"/>
          <w:bCs/>
          <w:color w:val="auto"/>
          <w:sz w:val="21"/>
          <w:szCs w:val="21"/>
          <w:highlight w:val="none"/>
          <w:lang w:val="en-US" w:eastAsia="zh-CN"/>
        </w:rPr>
        <w:t>85</w:t>
      </w:r>
      <w:r>
        <w:rPr>
          <w:rFonts w:hint="eastAsia" w:ascii="宋体" w:hAnsi="宋体" w:eastAsia="宋体" w:cs="宋体"/>
          <w:b w:val="0"/>
          <w:bCs/>
          <w:color w:val="auto"/>
          <w:sz w:val="21"/>
          <w:szCs w:val="21"/>
          <w:highlight w:val="none"/>
        </w:rPr>
        <w:t>；</w:t>
      </w:r>
    </w:p>
    <w:p>
      <w:pPr>
        <w:pStyle w:val="22"/>
        <w:pageBreakBefore w:val="0"/>
        <w:widowControl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2.项目名称：</w:t>
      </w:r>
      <w:r>
        <w:rPr>
          <w:rFonts w:hint="eastAsia" w:ascii="宋体" w:hAnsi="宋体" w:eastAsia="宋体" w:cs="宋体"/>
          <w:color w:val="auto"/>
          <w:sz w:val="21"/>
          <w:szCs w:val="21"/>
          <w:highlight w:val="none"/>
          <w:lang w:eastAsia="zh-CN"/>
        </w:rPr>
        <w:t>新县将军路消防救援站改造工程</w:t>
      </w:r>
      <w:r>
        <w:rPr>
          <w:rFonts w:hint="eastAsia" w:ascii="宋体" w:hAnsi="宋体" w:eastAsia="宋体" w:cs="宋体"/>
          <w:bCs/>
          <w:color w:val="auto"/>
          <w:sz w:val="21"/>
          <w:szCs w:val="21"/>
          <w:highlight w:val="none"/>
        </w:rPr>
        <w:t>；</w:t>
      </w:r>
    </w:p>
    <w:p>
      <w:pPr>
        <w:pStyle w:val="22"/>
        <w:pageBreakBefore w:val="0"/>
        <w:widowControl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3.采购方式：竞争性磋商；</w:t>
      </w:r>
    </w:p>
    <w:p>
      <w:pPr>
        <w:pStyle w:val="22"/>
        <w:pageBreakBefore w:val="0"/>
        <w:widowControl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4.预算金额：</w:t>
      </w:r>
      <w:r>
        <w:rPr>
          <w:rFonts w:hint="eastAsia" w:ascii="宋体" w:hAnsi="宋体" w:eastAsia="宋体" w:cs="宋体"/>
          <w:bCs/>
          <w:color w:val="auto"/>
          <w:sz w:val="21"/>
          <w:szCs w:val="21"/>
          <w:highlight w:val="none"/>
          <w:lang w:eastAsia="zh-CN"/>
        </w:rPr>
        <w:t>1360801.24</w:t>
      </w:r>
      <w:r>
        <w:rPr>
          <w:rFonts w:hint="eastAsia" w:ascii="宋体" w:hAnsi="宋体" w:eastAsia="宋体" w:cs="宋体"/>
          <w:bCs/>
          <w:color w:val="auto"/>
          <w:sz w:val="21"/>
          <w:szCs w:val="21"/>
          <w:highlight w:val="none"/>
        </w:rPr>
        <w:t>元</w:t>
      </w:r>
      <w:r>
        <w:rPr>
          <w:rFonts w:hint="eastAsia" w:ascii="宋体" w:hAnsi="宋体" w:eastAsia="宋体" w:cs="宋体"/>
          <w:color w:val="auto"/>
          <w:sz w:val="21"/>
          <w:szCs w:val="21"/>
          <w:highlight w:val="none"/>
        </w:rPr>
        <w:t>；</w:t>
      </w:r>
    </w:p>
    <w:p>
      <w:pPr>
        <w:pStyle w:val="22"/>
        <w:pageBreakBefore w:val="0"/>
        <w:widowControl w:val="0"/>
        <w:kinsoku/>
        <w:wordWrap/>
        <w:overflowPunct/>
        <w:topLinePunct w:val="0"/>
        <w:autoSpaceDE/>
        <w:autoSpaceDN/>
        <w:bidi w:val="0"/>
        <w:adjustRightInd/>
        <w:snapToGrid/>
        <w:spacing w:before="0" w:beforeAutospacing="0" w:after="0" w:afterAutospacing="0" w:line="360" w:lineRule="auto"/>
        <w:ind w:firstLine="8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eastAsia="zh-CN"/>
        </w:rPr>
        <w:t>1360801.24</w:t>
      </w:r>
      <w:r>
        <w:rPr>
          <w:rFonts w:hint="eastAsia" w:ascii="宋体" w:hAnsi="宋体" w:eastAsia="宋体" w:cs="宋体"/>
          <w:color w:val="auto"/>
          <w:sz w:val="21"/>
          <w:szCs w:val="21"/>
          <w:highlight w:val="none"/>
        </w:rPr>
        <w:t>元；</w:t>
      </w:r>
    </w:p>
    <w:tbl>
      <w:tblPr>
        <w:tblStyle w:val="23"/>
        <w:tblW w:w="8679" w:type="dxa"/>
        <w:tblInd w:w="-108" w:type="dxa"/>
        <w:tblLayout w:type="fixed"/>
        <w:tblCellMar>
          <w:top w:w="0" w:type="dxa"/>
          <w:left w:w="10" w:type="dxa"/>
          <w:bottom w:w="0" w:type="dxa"/>
          <w:right w:w="10" w:type="dxa"/>
        </w:tblCellMar>
      </w:tblPr>
      <w:tblGrid>
        <w:gridCol w:w="692"/>
        <w:gridCol w:w="1687"/>
        <w:gridCol w:w="2828"/>
        <w:gridCol w:w="1736"/>
        <w:gridCol w:w="1736"/>
      </w:tblGrid>
      <w:tr>
        <w:tblPrEx>
          <w:tblCellMar>
            <w:top w:w="0" w:type="dxa"/>
            <w:left w:w="10" w:type="dxa"/>
            <w:bottom w:w="0" w:type="dxa"/>
            <w:right w:w="10" w:type="dxa"/>
          </w:tblCellMar>
        </w:tblPrEx>
        <w:trPr>
          <w:trHeight w:val="535" w:hRule="atLeast"/>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2"/>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2"/>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2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2"/>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包名称</w:t>
            </w:r>
          </w:p>
        </w:tc>
        <w:tc>
          <w:tcPr>
            <w:tcW w:w="1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2"/>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包预算（元）</w:t>
            </w:r>
          </w:p>
        </w:tc>
        <w:tc>
          <w:tcPr>
            <w:tcW w:w="1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2"/>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包最高限（元）</w:t>
            </w:r>
          </w:p>
        </w:tc>
      </w:tr>
      <w:tr>
        <w:tblPrEx>
          <w:tblCellMar>
            <w:top w:w="0" w:type="dxa"/>
            <w:left w:w="10" w:type="dxa"/>
            <w:bottom w:w="0" w:type="dxa"/>
            <w:right w:w="10" w:type="dxa"/>
          </w:tblCellMar>
        </w:tblPrEx>
        <w:trPr>
          <w:trHeight w:val="830" w:hRule="atLeast"/>
        </w:trPr>
        <w:tc>
          <w:tcPr>
            <w:tcW w:w="6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2"/>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2"/>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新财磋商采购-2023-</w:t>
            </w:r>
            <w:r>
              <w:rPr>
                <w:rFonts w:hint="eastAsia" w:ascii="宋体" w:hAnsi="宋体" w:eastAsia="宋体" w:cs="宋体"/>
                <w:color w:val="auto"/>
                <w:sz w:val="21"/>
                <w:szCs w:val="21"/>
                <w:highlight w:val="none"/>
                <w:lang w:val="en-US" w:eastAsia="zh-CN"/>
              </w:rPr>
              <w:t>-1</w:t>
            </w:r>
          </w:p>
        </w:tc>
        <w:tc>
          <w:tcPr>
            <w:tcW w:w="28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2"/>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新县将军路消防救援站改造工程</w:t>
            </w:r>
          </w:p>
        </w:tc>
        <w:tc>
          <w:tcPr>
            <w:tcW w:w="1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2"/>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1360801.24</w:t>
            </w:r>
          </w:p>
        </w:tc>
        <w:tc>
          <w:tcPr>
            <w:tcW w:w="17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2"/>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1360801.24</w:t>
            </w:r>
          </w:p>
        </w:tc>
      </w:tr>
    </w:tbl>
    <w:p>
      <w:pPr>
        <w:pStyle w:val="22"/>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采购需求：</w:t>
      </w:r>
    </w:p>
    <w:p>
      <w:pPr>
        <w:pStyle w:val="22"/>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5.1资金来源：财政资金；</w:t>
      </w:r>
    </w:p>
    <w:p>
      <w:pPr>
        <w:pStyle w:val="22"/>
        <w:pageBreakBefore w:val="0"/>
        <w:widowControl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val="en-US" w:eastAsia="zh-CN"/>
        </w:rPr>
        <w:t>2</w:t>
      </w:r>
      <w:r>
        <w:rPr>
          <w:rFonts w:hint="eastAsia" w:ascii="宋体" w:hAnsi="宋体" w:eastAsia="宋体" w:cs="宋体"/>
          <w:color w:val="auto"/>
          <w:sz w:val="21"/>
          <w:szCs w:val="21"/>
          <w:highlight w:val="none"/>
        </w:rPr>
        <w:t>采购内容：工程量清单所含全部内容；</w:t>
      </w:r>
    </w:p>
    <w:p>
      <w:pPr>
        <w:pStyle w:val="22"/>
        <w:pageBreakBefore w:val="0"/>
        <w:widowControl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计划工期：</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日历天；</w:t>
      </w:r>
    </w:p>
    <w:p>
      <w:pPr>
        <w:pStyle w:val="22"/>
        <w:pageBreakBefore w:val="0"/>
        <w:widowControl w:val="0"/>
        <w:tabs>
          <w:tab w:val="left" w:pos="2400"/>
          <w:tab w:val="left" w:pos="3460"/>
          <w:tab w:val="left" w:pos="7689"/>
          <w:tab w:val="left" w:pos="7737"/>
        </w:tabs>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标包划分：本项目共分1个标包；</w:t>
      </w:r>
    </w:p>
    <w:p>
      <w:pPr>
        <w:pStyle w:val="22"/>
        <w:pageBreakBefore w:val="0"/>
        <w:widowControl w:val="0"/>
        <w:tabs>
          <w:tab w:val="left" w:pos="2400"/>
          <w:tab w:val="left" w:pos="3460"/>
          <w:tab w:val="left" w:pos="7689"/>
          <w:tab w:val="left" w:pos="7737"/>
        </w:tabs>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：合格；</w:t>
      </w:r>
    </w:p>
    <w:p>
      <w:pPr>
        <w:pStyle w:val="22"/>
        <w:pageBreakBefore w:val="0"/>
        <w:widowControl w:val="0"/>
        <w:tabs>
          <w:tab w:val="left" w:pos="2400"/>
          <w:tab w:val="left" w:pos="3460"/>
          <w:tab w:val="left" w:pos="7689"/>
          <w:tab w:val="left" w:pos="7737"/>
        </w:tabs>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6.合同履行期限：</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日历天；</w:t>
      </w:r>
    </w:p>
    <w:p>
      <w:pPr>
        <w:pStyle w:val="22"/>
        <w:pageBreakBefore w:val="0"/>
        <w:widowControl w:val="0"/>
        <w:tabs>
          <w:tab w:val="left" w:pos="2400"/>
          <w:tab w:val="left" w:pos="3460"/>
          <w:tab w:val="left" w:pos="7689"/>
          <w:tab w:val="left" w:pos="7737"/>
        </w:tabs>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7.本项目是否接受联合体投标：否；</w:t>
      </w:r>
    </w:p>
    <w:p>
      <w:pPr>
        <w:pStyle w:val="22"/>
        <w:pageBreakBefore w:val="0"/>
        <w:widowControl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8.是否接受进口产品：否；</w:t>
      </w:r>
    </w:p>
    <w:p>
      <w:pPr>
        <w:pStyle w:val="22"/>
        <w:pageBreakBefore w:val="0"/>
        <w:widowControl w:val="0"/>
        <w:tabs>
          <w:tab w:val="left" w:pos="2400"/>
          <w:tab w:val="left" w:pos="3460"/>
          <w:tab w:val="left" w:pos="7689"/>
          <w:tab w:val="left" w:pos="7737"/>
        </w:tabs>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9、是否专门面向中小企业：</w:t>
      </w:r>
      <w:r>
        <w:rPr>
          <w:rFonts w:hint="eastAsia" w:ascii="宋体" w:hAnsi="宋体" w:eastAsia="宋体" w:cs="宋体"/>
          <w:color w:val="auto"/>
          <w:sz w:val="21"/>
          <w:szCs w:val="21"/>
          <w:highlight w:val="none"/>
          <w:lang w:val="en-US" w:eastAsia="zh-CN"/>
        </w:rPr>
        <w:t>是</w:t>
      </w:r>
    </w:p>
    <w:p>
      <w:pPr>
        <w:pStyle w:val="22"/>
        <w:pageBreakBefore w:val="0"/>
        <w:widowControl w:val="0"/>
        <w:kinsoku/>
        <w:wordWrap/>
        <w:overflowPunct/>
        <w:topLinePunct w:val="0"/>
        <w:autoSpaceDE/>
        <w:autoSpaceDN/>
        <w:bidi w:val="0"/>
        <w:adjustRightInd/>
        <w:snapToGrid/>
        <w:spacing w:before="0" w:beforeAutospacing="0" w:after="0" w:afterAutospacing="0" w:line="360" w:lineRule="auto"/>
        <w:textAlignment w:val="auto"/>
        <w:outlineLvl w:val="1"/>
        <w:rPr>
          <w:rFonts w:hint="eastAsia" w:ascii="宋体" w:hAnsi="宋体" w:eastAsia="宋体" w:cs="宋体"/>
          <w:b/>
          <w:bCs/>
          <w:color w:val="auto"/>
          <w:sz w:val="21"/>
          <w:szCs w:val="21"/>
          <w:highlight w:val="none"/>
        </w:rPr>
      </w:pPr>
      <w:bookmarkStart w:id="38" w:name="_Toc10940"/>
      <w:r>
        <w:rPr>
          <w:rFonts w:hint="eastAsia" w:ascii="宋体" w:hAnsi="宋体" w:eastAsia="宋体" w:cs="宋体"/>
          <w:b/>
          <w:bCs/>
          <w:color w:val="auto"/>
          <w:sz w:val="21"/>
          <w:szCs w:val="21"/>
          <w:highlight w:val="none"/>
        </w:rPr>
        <w:t>二、申请人资格要求：</w:t>
      </w:r>
      <w:bookmarkEnd w:id="38"/>
    </w:p>
    <w:p>
      <w:pPr>
        <w:pStyle w:val="22"/>
        <w:pageBreakBefore w:val="0"/>
        <w:widowControl w:val="0"/>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pPr>
        <w:pStyle w:val="3"/>
        <w:ind w:firstLine="420" w:firstLineChars="200"/>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sz w:val="21"/>
          <w:szCs w:val="21"/>
          <w:highlight w:val="none"/>
        </w:rPr>
        <w:t>2.落实政府采购政策满足的资格要求：</w:t>
      </w:r>
      <w:r>
        <w:rPr>
          <w:rFonts w:hint="eastAsia" w:ascii="宋体" w:hAnsi="宋体" w:eastAsia="宋体" w:cs="宋体"/>
          <w:color w:val="auto"/>
          <w:kern w:val="1"/>
          <w:sz w:val="21"/>
          <w:szCs w:val="21"/>
          <w:highlight w:val="none"/>
          <w:lang w:val="en-US" w:eastAsia="zh-CN" w:bidi="ar-SA"/>
        </w:rPr>
        <w:t>本项目专门面向中小企业采购</w:t>
      </w:r>
    </w:p>
    <w:p>
      <w:pPr>
        <w:pageBreakBefore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p>
    <w:p>
      <w:pPr>
        <w:pageBreakBefore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供应商须具备建设行政主管部门颁发的建筑工程施工总承包叁级（含叁级）及以上资质，具有有效的安全生产许可证，并在人员、设备、资金等方面具有相应的施工能力；其中，拟派项目经理具备建筑工程专业贰级及以上注册建造师证书，且具有有效的安全生产考核合格证书，并未担任其他在建工程，同时提供劳动合同和社会保险证明（2023年1月1日以来连续三个月的社保证明）。</w:t>
      </w:r>
    </w:p>
    <w:p>
      <w:pPr>
        <w:pageBreakBefore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3.2 根据《关于在政府采购活动中查询及使用信用记录有关问题的通知》财库[2016]125号文件和豫财购【2016】15号文件的规定，供应商应提供“信用中国”网站查询“失信被执行人”、“重大税收违法失信主体”和“政府采购严重违法失信行为记录名单”；“中国政府采购网”查询“政府采购严重违法失信行为记录名单”渠道查询自身信用记录，提供查询网页截图</w:t>
      </w:r>
      <w:r>
        <w:rPr>
          <w:rFonts w:hint="eastAsia" w:ascii="宋体" w:hAnsi="宋体" w:eastAsia="宋体" w:cs="宋体"/>
          <w:color w:val="auto"/>
          <w:szCs w:val="21"/>
          <w:highlight w:val="none"/>
          <w:lang w:eastAsia="zh-CN"/>
        </w:rPr>
        <w:t>；</w:t>
      </w:r>
    </w:p>
    <w:p>
      <w:pPr>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3.3本项目</w:t>
      </w:r>
      <w:r>
        <w:rPr>
          <w:rFonts w:hint="eastAsia" w:ascii="宋体" w:hAnsi="宋体" w:eastAsia="宋体" w:cs="宋体"/>
          <w:color w:val="auto"/>
          <w:szCs w:val="21"/>
          <w:highlight w:val="none"/>
          <w:u w:val="single"/>
          <w:lang w:val="en-US" w:eastAsia="zh-CN"/>
        </w:rPr>
        <w:t xml:space="preserve"> 适用 </w:t>
      </w:r>
      <w:r>
        <w:rPr>
          <w:rFonts w:hint="eastAsia" w:ascii="宋体" w:hAnsi="宋体" w:eastAsia="宋体" w:cs="宋体"/>
          <w:color w:val="auto"/>
          <w:szCs w:val="21"/>
          <w:highlight w:val="none"/>
          <w:lang w:val="en-US" w:eastAsia="zh-CN"/>
        </w:rPr>
        <w:t>信用承诺（详见下述要求）。</w:t>
      </w:r>
    </w:p>
    <w:p>
      <w:pPr>
        <w:pageBreakBefore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（一）在本项目政府采购活动中，供应商在投标（响应）时，可对照资格要求进行自主核对，</w:t>
      </w:r>
      <w:r>
        <w:rPr>
          <w:rFonts w:hint="eastAsia" w:ascii="宋体" w:hAnsi="宋体" w:eastAsia="宋体" w:cs="宋体"/>
          <w:b/>
          <w:bCs/>
          <w:color w:val="auto"/>
          <w:szCs w:val="21"/>
          <w:highlight w:val="none"/>
          <w:lang w:val="en-US" w:eastAsia="zh-CN"/>
        </w:rPr>
        <w:t>确定符合资格要求的，可按照规定提供相关承诺函（详见竞争性磋商响应文件格式“资格审查资料”附件），</w:t>
      </w:r>
      <w:r>
        <w:rPr>
          <w:rFonts w:hint="eastAsia" w:ascii="宋体" w:hAnsi="宋体" w:eastAsia="宋体" w:cs="宋体"/>
          <w:color w:val="auto"/>
          <w:szCs w:val="21"/>
          <w:highlight w:val="none"/>
          <w:lang w:val="en-US" w:eastAsia="zh-CN"/>
        </w:rPr>
        <w:t>供应商只需在资格审查环节提供满足相应条件的书面承诺书，不再需要提供以下证明材料：</w:t>
      </w:r>
    </w:p>
    <w:p>
      <w:pPr>
        <w:widowControl/>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 w:val="21"/>
          <w:szCs w:val="21"/>
          <w:highlight w:val="none"/>
        </w:rPr>
        <w:t>①具备履行政府采购合同所必需的设备和专业技术能力的证明材料（默认履行合同的法定营业执照、资质证书）；</w:t>
      </w:r>
    </w:p>
    <w:p>
      <w:pPr>
        <w:widowControl/>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②具有良好的商业信誉和健全的财务会计制度（2021或2022年度财务审计报告或其基本开户银行出具的资信证明）；</w:t>
      </w:r>
    </w:p>
    <w:p>
      <w:pPr>
        <w:widowControl/>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③具备履行政府采购合同所必需的设备和专业技术能力的证明材料（提供书面承诺书，格式自拟）； </w:t>
      </w:r>
    </w:p>
    <w:p>
      <w:pPr>
        <w:widowControl/>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④有依法缴纳税收和社会保障资金的良好记录（提供2022年6月1日以来连续三个月份依法缴纳税收和社会保障资金的证明材料，依法免税或不需要缴纳社会保障资金的供应商，应提供相应证明文件）；</w:t>
      </w:r>
    </w:p>
    <w:p>
      <w:pPr>
        <w:widowControl/>
        <w:spacing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⑤参加政府采购活动前三年内，在经营活动中没有重大违法记录（提供书面承诺书，格式自拟）；</w:t>
      </w:r>
    </w:p>
    <w:p>
      <w:pPr>
        <w:widowControl/>
        <w:numPr>
          <w:ilvl w:val="0"/>
          <w:numId w:val="3"/>
        </w:num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ageBreakBefore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单位负责人为同一人或者存在直接控股、管理关系的不同单位，不得同时参加同一合同项目下的政府采购活动；【提供“国家企业信用信息公示系统”中公示的（公司基础信息包含股东及出资信息）截图或其他有效的证明材料（内容包括股东及出资息）】；</w:t>
      </w:r>
    </w:p>
    <w:p>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本项目</w:t>
      </w:r>
      <w:r>
        <w:rPr>
          <w:rFonts w:hint="eastAsia" w:ascii="宋体" w:hAnsi="宋体" w:eastAsia="宋体" w:cs="宋体"/>
          <w:color w:val="auto"/>
          <w:szCs w:val="21"/>
          <w:highlight w:val="none"/>
        </w:rPr>
        <w:t>不允许分包，不得转包（提供书面承诺书，格式自拟）。</w:t>
      </w:r>
    </w:p>
    <w:p>
      <w:pPr>
        <w:pStyle w:val="22"/>
        <w:pageBreakBefore w:val="0"/>
        <w:widowControl w:val="0"/>
        <w:tabs>
          <w:tab w:val="left" w:pos="2400"/>
          <w:tab w:val="left" w:pos="3460"/>
          <w:tab w:val="left" w:pos="7689"/>
          <w:tab w:val="left" w:pos="7737"/>
        </w:tabs>
        <w:kinsoku/>
        <w:wordWrap/>
        <w:overflowPunct/>
        <w:topLinePunct w:val="0"/>
        <w:autoSpaceDE/>
        <w:autoSpaceDN/>
        <w:bidi w:val="0"/>
        <w:adjustRightInd/>
        <w:snapToGrid/>
        <w:spacing w:before="0" w:beforeAutospacing="0" w:after="0" w:afterAutospacing="0" w:line="360" w:lineRule="auto"/>
        <w:textAlignment w:val="auto"/>
        <w:outlineLvl w:val="1"/>
        <w:rPr>
          <w:rFonts w:hint="eastAsia" w:ascii="宋体" w:hAnsi="宋体" w:eastAsia="宋体" w:cs="宋体"/>
          <w:color w:val="auto"/>
          <w:sz w:val="21"/>
          <w:szCs w:val="21"/>
          <w:highlight w:val="none"/>
        </w:rPr>
      </w:pPr>
      <w:bookmarkStart w:id="39" w:name="_Toc1571"/>
      <w:r>
        <w:rPr>
          <w:rFonts w:hint="eastAsia" w:ascii="宋体" w:hAnsi="宋体" w:eastAsia="宋体" w:cs="宋体"/>
          <w:b/>
          <w:bCs/>
          <w:color w:val="auto"/>
          <w:sz w:val="21"/>
          <w:szCs w:val="21"/>
          <w:highlight w:val="none"/>
        </w:rPr>
        <w:t>三、获取采购文件</w:t>
      </w:r>
      <w:bookmarkEnd w:id="39"/>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b/>
          <w:bCs/>
          <w:color w:val="auto"/>
          <w:sz w:val="21"/>
          <w:szCs w:val="21"/>
          <w:highlight w:val="none"/>
        </w:rPr>
        <w:t>2023年</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29</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分至2023年</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23</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59</w:t>
      </w:r>
      <w:r>
        <w:rPr>
          <w:rFonts w:hint="eastAsia" w:ascii="宋体" w:hAnsi="宋体" w:eastAsia="宋体" w:cs="宋体"/>
          <w:b/>
          <w:bCs/>
          <w:color w:val="auto"/>
          <w:sz w:val="21"/>
          <w:szCs w:val="21"/>
          <w:highlight w:val="none"/>
        </w:rPr>
        <w:t>分（北京时间）</w:t>
      </w:r>
      <w:r>
        <w:rPr>
          <w:rFonts w:hint="eastAsia" w:ascii="宋体" w:hAnsi="宋体" w:eastAsia="宋体" w:cs="宋体"/>
          <w:color w:val="auto"/>
          <w:sz w:val="21"/>
          <w:szCs w:val="21"/>
          <w:highlight w:val="none"/>
        </w:rPr>
        <w:t>。</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2.地点：登陆“全国公共资源交易平台</w:t>
      </w:r>
      <w:r>
        <w:rPr>
          <w:rFonts w:hint="eastAsia" w:ascii="宋体" w:hAnsi="宋体" w:cs="宋体"/>
          <w:color w:val="auto"/>
          <w:sz w:val="21"/>
          <w:szCs w:val="21"/>
          <w:highlight w:val="none"/>
          <w:lang w:eastAsia="zh-CN"/>
        </w:rPr>
        <w:t>（河南省·新县）</w:t>
      </w:r>
      <w:r>
        <w:rPr>
          <w:rFonts w:hint="eastAsia" w:ascii="宋体" w:hAnsi="宋体" w:eastAsia="宋体" w:cs="宋体"/>
          <w:color w:val="auto"/>
          <w:sz w:val="21"/>
          <w:szCs w:val="21"/>
          <w:highlight w:val="none"/>
        </w:rPr>
        <w:t>”网站，凭办理的企业身份认证锁（CA数字证书）登陆会员系统进行网上投标。</w:t>
      </w:r>
    </w:p>
    <w:p>
      <w:pPr>
        <w:widowControl/>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3.方式：</w:t>
      </w:r>
    </w:p>
    <w:p>
      <w:pPr>
        <w:widowControl/>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3.1投标企业登陆“全国公共资源交易平台</w:t>
      </w:r>
      <w:r>
        <w:rPr>
          <w:rFonts w:hint="eastAsia" w:ascii="宋体" w:hAnsi="宋体" w:cs="宋体"/>
          <w:color w:val="auto"/>
          <w:sz w:val="21"/>
          <w:szCs w:val="21"/>
          <w:highlight w:val="none"/>
          <w:lang w:eastAsia="zh-CN"/>
        </w:rPr>
        <w:t>（河南省·</w:t>
      </w:r>
      <w:r>
        <w:rPr>
          <w:rFonts w:hint="eastAsia" w:ascii="宋体" w:hAnsi="宋体" w:cs="宋体"/>
          <w:color w:val="auto"/>
          <w:sz w:val="21"/>
          <w:szCs w:val="21"/>
          <w:highlight w:val="none"/>
          <w:lang w:val="en-US" w:eastAsia="zh-CN"/>
        </w:rPr>
        <w:t>信阳市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”网站进行交易主体注册。自行选择CA数字证书服务商，线上、线下办理CA数字证书。供应商凭CA数字证书登陆会员系统后下载磋商文件(*.XYZF格式)，下载后需使用“信阳市投标文件制作工具软件”打开。</w:t>
      </w:r>
    </w:p>
    <w:p>
      <w:pPr>
        <w:widowControl/>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3.2请供应商下载磋商文件后及时关注系统业务菜单是否有新的答疑澄清文件或控制价文件。如有请直接下载，不再另行通知。</w:t>
      </w:r>
    </w:p>
    <w:p>
      <w:pPr>
        <w:widowControl/>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4.售价：磋商</w:t>
      </w:r>
      <w:r>
        <w:rPr>
          <w:rFonts w:hint="eastAsia" w:ascii="宋体" w:hAnsi="宋体" w:eastAsia="宋体" w:cs="宋体"/>
          <w:color w:val="auto"/>
          <w:szCs w:val="21"/>
          <w:highlight w:val="none"/>
        </w:rPr>
        <w:t>文件售价0元。</w:t>
      </w:r>
    </w:p>
    <w:p>
      <w:pPr>
        <w:pageBreakBefore w:val="0"/>
        <w:widowControl/>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Cs w:val="21"/>
          <w:highlight w:val="none"/>
        </w:rPr>
      </w:pPr>
      <w:bookmarkStart w:id="40" w:name="_Toc1404"/>
      <w:r>
        <w:rPr>
          <w:rFonts w:hint="eastAsia" w:ascii="宋体" w:hAnsi="宋体" w:eastAsia="宋体" w:cs="宋体"/>
          <w:b/>
          <w:bCs/>
          <w:color w:val="auto"/>
          <w:szCs w:val="21"/>
          <w:highlight w:val="none"/>
        </w:rPr>
        <w:t>四、响应文件提交：</w:t>
      </w:r>
      <w:bookmarkEnd w:id="40"/>
    </w:p>
    <w:p>
      <w:pPr>
        <w:pStyle w:val="22"/>
        <w:pageBreakBefore w:val="0"/>
        <w:widowControl w:val="0"/>
        <w:tabs>
          <w:tab w:val="left" w:pos="2400"/>
          <w:tab w:val="left" w:pos="3460"/>
          <w:tab w:val="left" w:pos="7689"/>
          <w:tab w:val="left" w:pos="7737"/>
        </w:tabs>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b/>
          <w:bCs/>
          <w:color w:val="auto"/>
          <w:sz w:val="21"/>
          <w:szCs w:val="21"/>
          <w:highlight w:val="none"/>
        </w:rPr>
        <w:t>2023年</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u w:val="none"/>
        </w:rPr>
        <w:t>月</w:t>
      </w:r>
      <w:r>
        <w:rPr>
          <w:rFonts w:hint="eastAsia" w:ascii="宋体" w:hAnsi="宋体" w:eastAsia="宋体" w:cs="宋体"/>
          <w:b/>
          <w:bCs/>
          <w:color w:val="auto"/>
          <w:sz w:val="21"/>
          <w:szCs w:val="21"/>
          <w:highlight w:val="none"/>
          <w:u w:val="none"/>
          <w:lang w:val="en-US" w:eastAsia="zh-CN"/>
        </w:rPr>
        <w:t>13</w:t>
      </w:r>
      <w:r>
        <w:rPr>
          <w:rFonts w:hint="eastAsia" w:ascii="宋体" w:hAnsi="宋体" w:eastAsia="宋体" w:cs="宋体"/>
          <w:b/>
          <w:bCs/>
          <w:color w:val="auto"/>
          <w:sz w:val="21"/>
          <w:szCs w:val="21"/>
          <w:highlight w:val="none"/>
          <w:u w:val="none"/>
        </w:rPr>
        <w:t>日9时</w:t>
      </w:r>
      <w:r>
        <w:rPr>
          <w:rFonts w:hint="eastAsia" w:ascii="宋体" w:hAnsi="宋体" w:eastAsia="宋体" w:cs="宋体"/>
          <w:b/>
          <w:bCs/>
          <w:color w:val="auto"/>
          <w:sz w:val="21"/>
          <w:szCs w:val="21"/>
          <w:highlight w:val="none"/>
        </w:rPr>
        <w:t>00分（北京时间）</w:t>
      </w:r>
      <w:r>
        <w:rPr>
          <w:rFonts w:hint="eastAsia" w:ascii="宋体" w:hAnsi="宋体" w:eastAsia="宋体" w:cs="宋体"/>
          <w:color w:val="auto"/>
          <w:sz w:val="21"/>
          <w:szCs w:val="21"/>
          <w:highlight w:val="none"/>
        </w:rPr>
        <w:t>。</w:t>
      </w:r>
    </w:p>
    <w:p>
      <w:pPr>
        <w:pageBreakBefore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Times New Roman"/>
          <w:b w:val="0"/>
          <w:bCs w:val="0"/>
          <w:color w:val="auto"/>
          <w:szCs w:val="24"/>
          <w:highlight w:val="none"/>
        </w:rPr>
        <w:t>地点：本项目为不见面开标项目，</w:t>
      </w:r>
      <w:r>
        <w:rPr>
          <w:rFonts w:hint="eastAsia" w:ascii="宋体" w:hAnsi="宋体" w:eastAsia="宋体" w:cs="Times New Roman"/>
          <w:b w:val="0"/>
          <w:bCs w:val="0"/>
          <w:color w:val="auto"/>
          <w:szCs w:val="24"/>
          <w:highlight w:val="none"/>
          <w:lang w:val="en-US" w:eastAsia="zh-CN"/>
        </w:rPr>
        <w:t>响应</w:t>
      </w:r>
      <w:r>
        <w:rPr>
          <w:rFonts w:hint="eastAsia" w:ascii="宋体" w:hAnsi="宋体" w:eastAsia="宋体" w:cs="Times New Roman"/>
          <w:b w:val="0"/>
          <w:bCs w:val="0"/>
          <w:color w:val="auto"/>
          <w:szCs w:val="24"/>
          <w:highlight w:val="none"/>
        </w:rPr>
        <w:t>文件递交地点为</w:t>
      </w:r>
      <w:r>
        <w:rPr>
          <w:rFonts w:hint="eastAsia" w:ascii="宋体" w:hAnsi="宋体" w:cs="Times New Roman"/>
          <w:b w:val="0"/>
          <w:bCs w:val="0"/>
          <w:color w:val="auto"/>
          <w:szCs w:val="24"/>
          <w:highlight w:val="none"/>
          <w:lang w:eastAsia="zh-CN"/>
        </w:rPr>
        <w:t>《</w:t>
      </w:r>
      <w:r>
        <w:rPr>
          <w:rFonts w:hint="eastAsia" w:ascii="宋体" w:hAnsi="宋体" w:cs="Times New Roman"/>
          <w:b w:val="0"/>
          <w:bCs w:val="0"/>
          <w:color w:val="auto"/>
          <w:szCs w:val="24"/>
          <w:highlight w:val="none"/>
          <w:lang w:val="en-US" w:eastAsia="zh-CN"/>
        </w:rPr>
        <w:t>中国招标投标公共服务平台</w:t>
      </w:r>
      <w:r>
        <w:rPr>
          <w:rFonts w:hint="eastAsia" w:ascii="宋体" w:hAnsi="宋体" w:cs="Times New Roman"/>
          <w:b w:val="0"/>
          <w:bCs w:val="0"/>
          <w:color w:val="auto"/>
          <w:szCs w:val="24"/>
          <w:highlight w:val="none"/>
          <w:lang w:eastAsia="zh-CN"/>
        </w:rPr>
        <w:t>》、</w:t>
      </w:r>
      <w:bookmarkStart w:id="1266" w:name="_GoBack"/>
      <w:bookmarkEnd w:id="1266"/>
      <w:r>
        <w:rPr>
          <w:rFonts w:hint="eastAsia" w:ascii="宋体" w:hAnsi="宋体" w:eastAsia="宋体" w:cs="Times New Roman"/>
          <w:b w:val="0"/>
          <w:bCs w:val="0"/>
          <w:color w:val="auto"/>
          <w:szCs w:val="24"/>
          <w:highlight w:val="none"/>
        </w:rPr>
        <w:t>《全国公共资源交易平台（河南省·</w:t>
      </w:r>
      <w:r>
        <w:rPr>
          <w:rFonts w:hint="eastAsia" w:ascii="宋体" w:hAnsi="宋体" w:eastAsia="宋体" w:cs="Times New Roman"/>
          <w:b w:val="0"/>
          <w:bCs w:val="0"/>
          <w:color w:val="auto"/>
          <w:szCs w:val="24"/>
          <w:highlight w:val="none"/>
          <w:lang w:val="en-US" w:eastAsia="zh-CN"/>
        </w:rPr>
        <w:t>新县</w:t>
      </w:r>
      <w:r>
        <w:rPr>
          <w:rFonts w:hint="eastAsia" w:ascii="宋体" w:hAnsi="宋体" w:eastAsia="宋体" w:cs="Times New Roman"/>
          <w:b w:val="0"/>
          <w:bCs w:val="0"/>
          <w:color w:val="auto"/>
          <w:szCs w:val="24"/>
          <w:highlight w:val="none"/>
        </w:rPr>
        <w:t>）（http://xinxian.xyggzyjy.cn/）》电子招投标平台会员系统指定位置。</w:t>
      </w:r>
      <w:r>
        <w:rPr>
          <w:rFonts w:hint="eastAsia" w:ascii="宋体" w:hAnsi="宋体" w:eastAsia="宋体" w:cs="宋体"/>
          <w:color w:val="auto"/>
          <w:szCs w:val="21"/>
          <w:highlight w:val="none"/>
        </w:rPr>
        <w:t>注：加密电子响应文件逾期上传采购人不予受理。</w:t>
      </w:r>
    </w:p>
    <w:p>
      <w:pPr>
        <w:pageBreakBefore w:val="0"/>
        <w:widowControl/>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Cs w:val="21"/>
          <w:highlight w:val="none"/>
        </w:rPr>
      </w:pPr>
      <w:bookmarkStart w:id="41" w:name="_Toc3445"/>
      <w:r>
        <w:rPr>
          <w:rFonts w:hint="eastAsia" w:ascii="宋体" w:hAnsi="宋体" w:eastAsia="宋体" w:cs="宋体"/>
          <w:b/>
          <w:bCs/>
          <w:color w:val="auto"/>
          <w:szCs w:val="21"/>
          <w:highlight w:val="none"/>
        </w:rPr>
        <w:t>五、响应文件的开启：</w:t>
      </w:r>
      <w:bookmarkEnd w:id="41"/>
    </w:p>
    <w:p>
      <w:pPr>
        <w:pStyle w:val="22"/>
        <w:pageBreakBefore w:val="0"/>
        <w:widowControl w:val="0"/>
        <w:tabs>
          <w:tab w:val="left" w:pos="2400"/>
          <w:tab w:val="left" w:pos="3460"/>
          <w:tab w:val="left" w:pos="7689"/>
          <w:tab w:val="left" w:pos="7737"/>
        </w:tabs>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b/>
          <w:bCs/>
          <w:color w:val="auto"/>
          <w:sz w:val="21"/>
          <w:szCs w:val="21"/>
          <w:highlight w:val="none"/>
        </w:rPr>
        <w:t>2023年</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rPr>
        <w:t>日9时00分（北京时间）</w:t>
      </w:r>
      <w:r>
        <w:rPr>
          <w:rFonts w:hint="eastAsia" w:ascii="宋体" w:hAnsi="宋体" w:eastAsia="宋体" w:cs="宋体"/>
          <w:color w:val="auto"/>
          <w:sz w:val="21"/>
          <w:szCs w:val="21"/>
          <w:highlight w:val="none"/>
        </w:rPr>
        <w:t>。</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w:t>
      </w:r>
      <w:r>
        <w:rPr>
          <w:rFonts w:hint="eastAsia" w:ascii="宋体" w:hAnsi="宋体" w:eastAsia="宋体" w:cs="宋体"/>
          <w:b/>
          <w:bCs/>
          <w:color w:val="auto"/>
          <w:szCs w:val="21"/>
          <w:highlight w:val="none"/>
        </w:rPr>
        <w:t>新县公共资源交易中心</w:t>
      </w:r>
      <w:r>
        <w:rPr>
          <w:rFonts w:hint="eastAsia" w:ascii="宋体" w:hAnsi="宋体" w:cs="宋体"/>
          <w:b/>
          <w:bCs/>
          <w:color w:val="auto"/>
          <w:szCs w:val="21"/>
          <w:highlight w:val="none"/>
          <w:lang w:val="en-US" w:eastAsia="zh-CN"/>
        </w:rPr>
        <w:t>不见面开标二厅</w:t>
      </w:r>
      <w:r>
        <w:rPr>
          <w:rFonts w:hint="eastAsia" w:ascii="宋体" w:hAnsi="宋体" w:eastAsia="宋体" w:cs="宋体"/>
          <w:b/>
          <w:bCs/>
          <w:color w:val="auto"/>
          <w:szCs w:val="21"/>
          <w:highlight w:val="none"/>
        </w:rPr>
        <w:t xml:space="preserve">（新县市民之家五楼） 。 </w:t>
      </w:r>
      <w:r>
        <w:rPr>
          <w:rFonts w:hint="eastAsia" w:ascii="宋体" w:hAnsi="宋体" w:eastAsia="宋体" w:cs="宋体"/>
          <w:color w:val="auto"/>
          <w:szCs w:val="21"/>
          <w:highlight w:val="none"/>
        </w:rPr>
        <w:t xml:space="preserve"> </w:t>
      </w:r>
    </w:p>
    <w:p>
      <w:pPr>
        <w:pageBreakBefore w:val="0"/>
        <w:widowControl/>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Cs w:val="21"/>
          <w:highlight w:val="none"/>
        </w:rPr>
      </w:pPr>
      <w:bookmarkStart w:id="42" w:name="_Toc29553"/>
      <w:r>
        <w:rPr>
          <w:rFonts w:hint="eastAsia" w:ascii="宋体" w:hAnsi="宋体" w:eastAsia="宋体" w:cs="宋体"/>
          <w:b/>
          <w:bCs/>
          <w:color w:val="auto"/>
          <w:szCs w:val="21"/>
          <w:highlight w:val="none"/>
        </w:rPr>
        <w:t>六、发布公告的媒介：</w:t>
      </w:r>
      <w:bookmarkEnd w:id="42"/>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本次招标公告在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中国招标投标公共服务平台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《河南省政府采购网》、《全国公共资源交易平台（河南省·新县）》网上发布。公告期限为五个工作日。</w:t>
      </w:r>
    </w:p>
    <w:p>
      <w:pPr>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1"/>
          <w:szCs w:val="21"/>
          <w:highlight w:val="none"/>
        </w:rPr>
      </w:pPr>
      <w:bookmarkStart w:id="43" w:name="_Toc22522"/>
      <w:r>
        <w:rPr>
          <w:rFonts w:hint="eastAsia" w:ascii="宋体" w:hAnsi="宋体" w:eastAsia="宋体" w:cs="宋体"/>
          <w:b/>
          <w:bCs/>
          <w:color w:val="auto"/>
          <w:sz w:val="21"/>
          <w:szCs w:val="21"/>
          <w:highlight w:val="none"/>
        </w:rPr>
        <w:t>七、其他补充事宜：</w:t>
      </w:r>
      <w:bookmarkEnd w:id="43"/>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1.本项目采用“不见面开标”交易方式，不见面开标大厅网址为</w:t>
      </w:r>
      <w:r>
        <w:rPr>
          <w:rFonts w:hint="eastAsia" w:ascii="宋体" w:hAnsi="宋体" w:eastAsia="宋体" w:cs="宋体"/>
          <w:color w:val="auto"/>
          <w:szCs w:val="21"/>
          <w:highlight w:val="none"/>
          <w:lang w:eastAsia="zh-CN"/>
        </w:rPr>
        <w:t>https://ggzyjy.xinyang.gov.cn/BidOpening</w:t>
      </w:r>
      <w:r>
        <w:rPr>
          <w:rFonts w:hint="eastAsia" w:ascii="宋体" w:hAnsi="宋体" w:eastAsia="宋体" w:cs="宋体"/>
          <w:color w:val="auto"/>
          <w:szCs w:val="21"/>
          <w:highlight w:val="none"/>
        </w:rPr>
        <w:t>，供应商无需寄送和递交非加密的电子响应文件，无需到现场参加开标会议，无需到达现场提交原件资料。</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2.供应商应当在响应文件提交截止时间前，使用供应商CA数字证书登录不见面开标大厅，在线签到并准时参加开标活动，并在规定时间内完成响应文件解密、答疑澄清等。</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3.逾期解密或者没有准时在线参加开标活动导致的一切后果供应商自行承担。</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4.不见面开标服务的具体事宜，请查阅信阳市公共资源交易中心网站首页—下载中心—信阳市不见面开标大厅系统操作手册。</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特别提示：供应商在线签到时，应如实准确的填写授权委托人的联系电话，开标当天请务必保证电话保持畅通。</w:t>
      </w:r>
    </w:p>
    <w:p>
      <w:pPr>
        <w:pageBreakBefore w:val="0"/>
        <w:widowControl/>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5.由于交易中心系统升级，请各供应商在新系统中重新入库，再下载招标文件。</w:t>
      </w:r>
    </w:p>
    <w:p>
      <w:pPr>
        <w:pageBreakBefore w:val="0"/>
        <w:widowControl/>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6.监督部门信息</w:t>
      </w:r>
    </w:p>
    <w:p>
      <w:pPr>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监督单位：新县财政局政府采购办</w:t>
      </w:r>
    </w:p>
    <w:p>
      <w:pPr>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联系电话：0376-2980510</w:t>
      </w:r>
    </w:p>
    <w:p>
      <w:pPr>
        <w:pageBreakBefore w:val="0"/>
        <w:widowControl/>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Cs w:val="21"/>
          <w:highlight w:val="none"/>
        </w:rPr>
      </w:pPr>
      <w:bookmarkStart w:id="44" w:name="_Toc30294"/>
      <w:r>
        <w:rPr>
          <w:rFonts w:hint="eastAsia" w:ascii="宋体" w:hAnsi="宋体" w:eastAsia="宋体" w:cs="宋体"/>
          <w:b/>
          <w:bCs/>
          <w:color w:val="auto"/>
          <w:szCs w:val="21"/>
          <w:highlight w:val="none"/>
        </w:rPr>
        <w:t>八、凡对本次招标提出询问，请按照以下方式联系：</w:t>
      </w:r>
      <w:bookmarkEnd w:id="44"/>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bookmarkStart w:id="45" w:name="_Toc8890"/>
      <w:bookmarkEnd w:id="45"/>
      <w:r>
        <w:rPr>
          <w:rFonts w:hint="eastAsia" w:ascii="宋体" w:hAnsi="宋体" w:eastAsia="宋体" w:cs="宋体"/>
          <w:color w:val="auto"/>
          <w:szCs w:val="21"/>
          <w:highlight w:val="none"/>
        </w:rPr>
        <w:t>1.采 购 人：</w:t>
      </w:r>
      <w:r>
        <w:rPr>
          <w:rFonts w:hint="eastAsia" w:ascii="宋体" w:hAnsi="宋体" w:cs="宋体"/>
          <w:color w:val="auto"/>
          <w:szCs w:val="21"/>
          <w:highlight w:val="none"/>
          <w:lang w:eastAsia="zh-CN"/>
        </w:rPr>
        <w:t>新县消防救援大队</w:t>
      </w:r>
      <w:r>
        <w:rPr>
          <w:rFonts w:hint="eastAsia" w:ascii="宋体" w:hAnsi="宋体" w:eastAsia="宋体" w:cs="宋体"/>
          <w:color w:val="auto"/>
          <w:szCs w:val="21"/>
          <w:highlight w:val="none"/>
        </w:rPr>
        <w:t xml:space="preserve"> </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址：新县蔡庄政法小区</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val="en-US" w:eastAsia="zh-CN"/>
        </w:rPr>
        <w:t>王小龙</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r>
        <w:rPr>
          <w:rFonts w:hint="eastAsia" w:ascii="宋体" w:hAnsi="宋体" w:cs="宋体"/>
          <w:color w:val="auto"/>
          <w:szCs w:val="21"/>
          <w:highlight w:val="none"/>
          <w:lang w:val="en-US" w:eastAsia="zh-CN"/>
        </w:rPr>
        <w:t>13603760121</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2.采购代理机构：</w:t>
      </w:r>
      <w:r>
        <w:rPr>
          <w:rFonts w:hint="eastAsia" w:ascii="宋体" w:hAnsi="宋体" w:cs="宋体"/>
          <w:color w:val="auto"/>
          <w:szCs w:val="21"/>
          <w:highlight w:val="none"/>
          <w:lang w:eastAsia="zh-CN"/>
        </w:rPr>
        <w:t>晟华建设咨询有限公司</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地址：河南省新乡市凤泉区耿黄乡西玛大道456号新乡市科创孵化园4110</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人：谌</w:t>
      </w:r>
      <w:r>
        <w:rPr>
          <w:rFonts w:hint="eastAsia" w:ascii="宋体" w:hAnsi="宋体" w:cs="宋体"/>
          <w:color w:val="auto"/>
          <w:szCs w:val="21"/>
          <w:highlight w:val="none"/>
          <w:lang w:val="en-US" w:eastAsia="zh-CN"/>
        </w:rPr>
        <w:t>大红</w:t>
      </w:r>
      <w:r>
        <w:rPr>
          <w:rFonts w:hint="eastAsia" w:ascii="宋体" w:hAnsi="宋体" w:eastAsia="宋体" w:cs="宋体"/>
          <w:color w:val="auto"/>
          <w:szCs w:val="21"/>
          <w:highlight w:val="none"/>
        </w:rPr>
        <w:t xml:space="preserve">       </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联系电话：16692389968</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项目联系人：谌</w:t>
      </w:r>
      <w:r>
        <w:rPr>
          <w:rFonts w:hint="eastAsia" w:ascii="宋体" w:hAnsi="宋体" w:cs="宋体"/>
          <w:color w:val="auto"/>
          <w:szCs w:val="21"/>
          <w:highlight w:val="none"/>
          <w:lang w:val="en-US" w:eastAsia="zh-CN"/>
        </w:rPr>
        <w:t>大红</w:t>
      </w:r>
      <w:r>
        <w:rPr>
          <w:rFonts w:hint="eastAsia" w:ascii="宋体" w:hAnsi="宋体" w:eastAsia="宋体" w:cs="宋体"/>
          <w:color w:val="auto"/>
          <w:szCs w:val="21"/>
          <w:highlight w:val="none"/>
        </w:rPr>
        <w:t xml:space="preserve"> </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联系方式：16692389968</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4.监督部门信息</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监督单位：新县财政局采购办</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联系电话：</w:t>
      </w:r>
      <w:r>
        <w:rPr>
          <w:rFonts w:hint="eastAsia" w:ascii="宋体" w:hAnsi="宋体" w:eastAsia="宋体" w:cs="宋体"/>
          <w:color w:val="auto"/>
          <w:szCs w:val="21"/>
          <w:highlight w:val="none"/>
          <w:lang w:val="en-US" w:eastAsia="zh-CN"/>
        </w:rPr>
        <w:t>0376-2980510</w:t>
      </w:r>
    </w:p>
    <w:p>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rPr>
          <w:rFonts w:hint="eastAsia" w:ascii="宋体" w:hAnsi="宋体" w:eastAsia="宋体" w:cs="宋体"/>
          <w:b/>
          <w:color w:val="auto"/>
          <w:sz w:val="32"/>
          <w:highlight w:val="none"/>
        </w:rPr>
      </w:pPr>
      <w:bookmarkStart w:id="46" w:name="_Toc28767"/>
      <w:bookmarkEnd w:id="46"/>
      <w:bookmarkStart w:id="47" w:name="_Toc18695"/>
      <w:r>
        <w:rPr>
          <w:rFonts w:hint="eastAsia" w:ascii="宋体" w:hAnsi="宋体" w:eastAsia="宋体" w:cs="宋体"/>
          <w:b/>
          <w:color w:val="auto"/>
          <w:sz w:val="32"/>
          <w:highlight w:val="none"/>
        </w:rPr>
        <w:br w:type="page"/>
      </w:r>
    </w:p>
    <w:p>
      <w:pPr>
        <w:widowControl/>
        <w:spacing w:line="360" w:lineRule="auto"/>
        <w:jc w:val="center"/>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第二章 供应商须知</w:t>
      </w:r>
      <w:bookmarkEnd w:id="47"/>
    </w:p>
    <w:p>
      <w:pPr>
        <w:pStyle w:val="30"/>
        <w:ind w:firstLine="3092"/>
        <w:jc w:val="left"/>
        <w:rPr>
          <w:rFonts w:hint="eastAsia" w:ascii="宋体" w:hAnsi="宋体" w:eastAsia="宋体" w:cs="宋体"/>
          <w:b/>
          <w:bCs/>
          <w:color w:val="auto"/>
          <w:highlight w:val="none"/>
        </w:rPr>
      </w:pPr>
      <w:bookmarkStart w:id="48" w:name="_Toc152045528"/>
      <w:bookmarkEnd w:id="48"/>
      <w:bookmarkStart w:id="49" w:name="_Toc471"/>
      <w:bookmarkEnd w:id="49"/>
      <w:bookmarkStart w:id="50" w:name="_Toc166"/>
      <w:bookmarkEnd w:id="50"/>
      <w:bookmarkStart w:id="51" w:name="_Toc466298090"/>
      <w:bookmarkEnd w:id="51"/>
      <w:bookmarkStart w:id="52" w:name="_Toc144974496"/>
      <w:bookmarkEnd w:id="52"/>
      <w:bookmarkStart w:id="53" w:name="_Toc27072"/>
      <w:bookmarkEnd w:id="53"/>
      <w:bookmarkStart w:id="54" w:name="_Toc23843"/>
      <w:bookmarkEnd w:id="54"/>
      <w:bookmarkStart w:id="55" w:name="_Toc455080107"/>
      <w:bookmarkEnd w:id="55"/>
      <w:bookmarkStart w:id="56" w:name="_Toc152042304"/>
      <w:bookmarkEnd w:id="56"/>
      <w:bookmarkStart w:id="57" w:name="_Toc21139"/>
      <w:r>
        <w:rPr>
          <w:rFonts w:hint="eastAsia" w:ascii="宋体" w:hAnsi="宋体" w:eastAsia="宋体" w:cs="宋体"/>
          <w:b/>
          <w:bCs/>
          <w:color w:val="auto"/>
          <w:highlight w:val="none"/>
        </w:rPr>
        <w:t>供应商须知前附表</w:t>
      </w:r>
      <w:bookmarkEnd w:id="57"/>
    </w:p>
    <w:tbl>
      <w:tblPr>
        <w:tblStyle w:val="23"/>
        <w:tblW w:w="8870" w:type="dxa"/>
        <w:jc w:val="center"/>
        <w:tblLayout w:type="fixed"/>
        <w:tblCellMar>
          <w:top w:w="0" w:type="dxa"/>
          <w:left w:w="10" w:type="dxa"/>
          <w:bottom w:w="0" w:type="dxa"/>
          <w:right w:w="10" w:type="dxa"/>
        </w:tblCellMar>
      </w:tblPr>
      <w:tblGrid>
        <w:gridCol w:w="993"/>
        <w:gridCol w:w="1924"/>
        <w:gridCol w:w="5953"/>
      </w:tblGrid>
      <w:tr>
        <w:tblPrEx>
          <w:tblCellMar>
            <w:top w:w="0" w:type="dxa"/>
            <w:left w:w="10" w:type="dxa"/>
            <w:bottom w:w="0" w:type="dxa"/>
            <w:right w:w="10" w:type="dxa"/>
          </w:tblCellMar>
        </w:tblPrEx>
        <w:trPr>
          <w:trHeight w:val="397"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  列  内  容</w:t>
            </w:r>
          </w:p>
        </w:tc>
      </w:tr>
      <w:tr>
        <w:tblPrEx>
          <w:tblCellMar>
            <w:top w:w="0" w:type="dxa"/>
            <w:left w:w="10" w:type="dxa"/>
            <w:bottom w:w="0" w:type="dxa"/>
            <w:right w:w="10" w:type="dxa"/>
          </w:tblCellMar>
        </w:tblPrEx>
        <w:trPr>
          <w:trHeight w:val="1322"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r>
              <w:rPr>
                <w:rFonts w:hint="eastAsia" w:ascii="宋体" w:hAnsi="宋体" w:cs="宋体"/>
                <w:color w:val="auto"/>
                <w:sz w:val="21"/>
                <w:szCs w:val="21"/>
                <w:highlight w:val="none"/>
                <w:lang w:eastAsia="zh-CN"/>
              </w:rPr>
              <w:t>新县消防救援大队</w:t>
            </w:r>
            <w:r>
              <w:rPr>
                <w:rFonts w:hint="eastAsia" w:ascii="宋体" w:hAnsi="宋体" w:eastAsia="宋体" w:cs="宋体"/>
                <w:color w:val="auto"/>
                <w:sz w:val="21"/>
                <w:szCs w:val="21"/>
                <w:highlight w:val="none"/>
              </w:rPr>
              <w:t xml:space="preserve"> </w:t>
            </w:r>
          </w:p>
          <w:p>
            <w:pPr>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址：新县蔡庄政法小区</w:t>
            </w:r>
          </w:p>
          <w:p>
            <w:pPr>
              <w:pageBreakBefore w:val="0"/>
              <w:widowControl/>
              <w:kinsoku/>
              <w:wordWrap/>
              <w:overflowPunct/>
              <w:topLinePunct w:val="0"/>
              <w:autoSpaceDE/>
              <w:autoSpaceDN/>
              <w:bidi w:val="0"/>
              <w:adjustRightInd/>
              <w:snapToGrid/>
              <w:spacing w:line="460" w:lineRule="exact"/>
              <w:jc w:val="lef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lang w:val="en-US" w:eastAsia="zh-CN"/>
              </w:rPr>
              <w:t>王小龙</w:t>
            </w:r>
          </w:p>
          <w:p>
            <w:pPr>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宋体" w:hAnsi="宋体" w:cs="宋体"/>
                <w:color w:val="auto"/>
                <w:szCs w:val="21"/>
                <w:highlight w:val="none"/>
                <w:lang w:val="en-US" w:eastAsia="zh-CN"/>
              </w:rPr>
              <w:t>13603760121</w:t>
            </w:r>
          </w:p>
        </w:tc>
      </w:tr>
      <w:tr>
        <w:trPr>
          <w:trHeight w:val="1768"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ascii="宋体" w:hAnsi="宋体" w:cs="宋体"/>
                <w:color w:val="auto"/>
                <w:sz w:val="21"/>
                <w:szCs w:val="21"/>
                <w:highlight w:val="none"/>
                <w:lang w:eastAsia="zh-CN"/>
              </w:rPr>
              <w:t>晟华建设咨询有限公司</w:t>
            </w:r>
          </w:p>
          <w:p>
            <w:pPr>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地址：河南省新乡市凤泉区耿黄乡西玛大道456号新乡市科创孵化园4110</w:t>
            </w:r>
          </w:p>
          <w:p>
            <w:pPr>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r>
              <w:rPr>
                <w:rFonts w:hint="eastAsia" w:ascii="宋体" w:hAnsi="宋体" w:eastAsia="宋体" w:cs="宋体"/>
                <w:color w:val="auto"/>
                <w:szCs w:val="21"/>
                <w:highlight w:val="none"/>
              </w:rPr>
              <w:t>谌</w:t>
            </w:r>
            <w:r>
              <w:rPr>
                <w:rFonts w:hint="eastAsia" w:ascii="宋体" w:hAnsi="宋体" w:cs="宋体"/>
                <w:color w:val="auto"/>
                <w:szCs w:val="21"/>
                <w:highlight w:val="none"/>
                <w:lang w:val="en-US" w:eastAsia="zh-CN"/>
              </w:rPr>
              <w:t>大红</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        </w:t>
            </w:r>
          </w:p>
          <w:p>
            <w:pPr>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Cs w:val="21"/>
                <w:highlight w:val="none"/>
              </w:rPr>
              <w:t>16692389968</w:t>
            </w:r>
          </w:p>
        </w:tc>
      </w:tr>
      <w:tr>
        <w:tblPrEx>
          <w:tblCellMar>
            <w:top w:w="0" w:type="dxa"/>
            <w:left w:w="10" w:type="dxa"/>
            <w:bottom w:w="0" w:type="dxa"/>
            <w:right w:w="10" w:type="dxa"/>
          </w:tblCellMar>
        </w:tblPrEx>
        <w:trPr>
          <w:trHeight w:val="597"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2"/>
              <w:pageBreakBefore w:val="0"/>
              <w:widowControl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新县将军路消防救援站改造工程</w:t>
            </w:r>
          </w:p>
        </w:tc>
      </w:tr>
      <w:tr>
        <w:tblPrEx>
          <w:tblCellMar>
            <w:top w:w="0" w:type="dxa"/>
            <w:left w:w="10" w:type="dxa"/>
            <w:bottom w:w="0" w:type="dxa"/>
            <w:right w:w="10" w:type="dxa"/>
          </w:tblCellMar>
        </w:tblPrEx>
        <w:trPr>
          <w:trHeight w:val="597"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2"/>
              <w:pageBreakBefore w:val="0"/>
              <w:widowControl w:val="0"/>
              <w:kinsoku/>
              <w:wordWrap/>
              <w:overflowPunct/>
              <w:topLinePunct w:val="0"/>
              <w:autoSpaceDE/>
              <w:autoSpaceDN/>
              <w:bidi w:val="0"/>
              <w:adjustRightInd/>
              <w:snapToGrid/>
              <w:spacing w:before="0" w:beforeAutospacing="0" w:after="0" w:afterAutospacing="0"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工程量清单所含全部内容</w:t>
            </w:r>
          </w:p>
        </w:tc>
      </w:tr>
      <w:tr>
        <w:tblPrEx>
          <w:tblCellMar>
            <w:top w:w="0" w:type="dxa"/>
            <w:left w:w="10" w:type="dxa"/>
            <w:bottom w:w="0" w:type="dxa"/>
            <w:right w:w="10" w:type="dxa"/>
          </w:tblCellMar>
        </w:tblPrEx>
        <w:trPr>
          <w:trHeight w:val="597"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计划工期</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rPr>
              <w:t>日历天</w:t>
            </w:r>
          </w:p>
        </w:tc>
      </w:tr>
      <w:tr>
        <w:tblPrEx>
          <w:tblCellMar>
            <w:top w:w="0" w:type="dxa"/>
            <w:left w:w="10" w:type="dxa"/>
            <w:bottom w:w="0" w:type="dxa"/>
            <w:right w:w="10" w:type="dxa"/>
          </w:tblCellMar>
        </w:tblPrEx>
        <w:trPr>
          <w:trHeight w:val="597"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p>
        </w:tc>
      </w:tr>
      <w:tr>
        <w:tblPrEx>
          <w:tblCellMar>
            <w:top w:w="0" w:type="dxa"/>
            <w:left w:w="10" w:type="dxa"/>
            <w:bottom w:w="0" w:type="dxa"/>
            <w:right w:w="10" w:type="dxa"/>
          </w:tblCellMar>
        </w:tblPrEx>
        <w:trPr>
          <w:trHeight w:val="597"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按合同约定</w:t>
            </w:r>
          </w:p>
        </w:tc>
      </w:tr>
      <w:tr>
        <w:tblPrEx>
          <w:tblCellMar>
            <w:top w:w="0" w:type="dxa"/>
            <w:left w:w="10" w:type="dxa"/>
            <w:bottom w:w="0" w:type="dxa"/>
            <w:right w:w="10" w:type="dxa"/>
          </w:tblCellMar>
        </w:tblPrEx>
        <w:trPr>
          <w:trHeight w:val="0"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供应商资质条件及能力要求</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2"/>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1、符合《中华人民共和国政府采购法》第二十二条的规定：提供下列证明材料</w:t>
            </w:r>
          </w:p>
          <w:p>
            <w:pPr>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①具备履行政府采购合同所必需的设备和专业技术能力的证明材料（默认履行合同的法定营业执照、资质证书）；</w:t>
            </w:r>
          </w:p>
          <w:p>
            <w:pPr>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②具有良好的商业信誉和健全的财务会计制度（2021或2022年度财务审计报告或其基本开户银行出具的资信证明）；</w:t>
            </w:r>
          </w:p>
          <w:p>
            <w:pPr>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③具备履行政府采购合同所必需的设备和专业技术能力的证明材料（提供书面承诺书，格式自拟）； </w:t>
            </w:r>
          </w:p>
          <w:p>
            <w:pPr>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④有依法缴纳税收和社会保障资金的良好记录（提供2022年6月1日以来连续三个月份依法缴纳税收和社会保障资金的证明材料，依法免税或不需要缴纳社会保障资金的供应商，应提供相应证明文件）；</w:t>
            </w:r>
          </w:p>
          <w:p>
            <w:pPr>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⑤参加政府采购活动前三年内，在经营活动中没有重大违法记录（提供书面承诺书，格式自拟）；</w:t>
            </w:r>
          </w:p>
          <w:p>
            <w:pPr>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kern w:val="1"/>
                <w:sz w:val="21"/>
                <w:szCs w:val="21"/>
                <w:highlight w:val="none"/>
                <w:lang w:val="en-US" w:eastAsia="zh-CN" w:bidi="ar-SA"/>
              </w:rPr>
              <w:t>⑥本项目不允许分包，不得转包（提供书面承诺书，格式自拟）。</w:t>
            </w:r>
          </w:p>
          <w:p>
            <w:pPr>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信誉要求：</w:t>
            </w:r>
            <w:r>
              <w:rPr>
                <w:rFonts w:hint="eastAsia" w:ascii="宋体" w:hAnsi="宋体" w:eastAsia="宋体" w:cs="宋体"/>
                <w:b w:val="0"/>
                <w:bCs w:val="0"/>
                <w:color w:val="auto"/>
                <w:sz w:val="21"/>
                <w:szCs w:val="21"/>
                <w:highlight w:val="none"/>
              </w:rPr>
              <w:t>根据《关于在政府采购活动中查询及使用信用记录有关问题的通知》财库[2016]125号文件和豫财购【2016】15号文件的规定，供应商应提供“信用中国”网站查询“失信被执行人”、“重大税收违法失信主体”和“政府采购严重违法失信行为记录名单”；“中国政府采购网”查询“政府采购严重违法失信行为记录名单”渠道查询自身信用记录，提供查询网页截图</w:t>
            </w:r>
            <w:r>
              <w:rPr>
                <w:rFonts w:hint="eastAsia" w:ascii="宋体" w:hAnsi="宋体" w:eastAsia="宋体" w:cs="宋体"/>
                <w:b w:val="0"/>
                <w:bCs w:val="0"/>
                <w:color w:val="auto"/>
                <w:sz w:val="21"/>
                <w:szCs w:val="21"/>
                <w:highlight w:val="none"/>
                <w:lang w:eastAsia="zh-CN"/>
              </w:rPr>
              <w:t>。</w:t>
            </w:r>
          </w:p>
          <w:p>
            <w:pPr>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lang w:val="en-US" w:eastAsia="zh-CN"/>
              </w:rPr>
              <w:t>3、资质要求：</w:t>
            </w:r>
            <w:r>
              <w:rPr>
                <w:rFonts w:hint="eastAsia" w:ascii="宋体" w:hAnsi="宋体" w:eastAsia="宋体" w:cs="宋体"/>
                <w:b w:val="0"/>
                <w:bCs w:val="0"/>
                <w:color w:val="auto"/>
                <w:sz w:val="21"/>
                <w:szCs w:val="21"/>
                <w:highlight w:val="none"/>
                <w:lang w:val="en-US" w:eastAsia="zh-CN"/>
              </w:rPr>
              <w:t>供应商须具备建设行政主管部门颁发的建筑工程施工总承包叁级（含叁级）及以上资质，具有有效的安全生产许可证，并在人员、设备、资金等方面具有相应的施工能力；其中</w:t>
            </w:r>
            <w:r>
              <w:rPr>
                <w:rFonts w:hint="eastAsia" w:ascii="宋体" w:hAnsi="宋体" w:cs="宋体"/>
                <w:b w:val="0"/>
                <w:bCs w:val="0"/>
                <w:color w:val="auto"/>
                <w:sz w:val="21"/>
                <w:szCs w:val="21"/>
                <w:highlight w:val="none"/>
                <w:lang w:val="en-US" w:eastAsia="zh-CN"/>
              </w:rPr>
              <w:t>；</w:t>
            </w:r>
          </w:p>
          <w:p>
            <w:pPr>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4、项目经理要求：</w:t>
            </w:r>
            <w:r>
              <w:rPr>
                <w:rFonts w:hint="eastAsia" w:ascii="宋体" w:hAnsi="宋体" w:eastAsia="宋体" w:cs="宋体"/>
                <w:b w:val="0"/>
                <w:bCs w:val="0"/>
                <w:color w:val="auto"/>
                <w:sz w:val="21"/>
                <w:szCs w:val="21"/>
                <w:highlight w:val="none"/>
                <w:lang w:val="en-US" w:eastAsia="zh-CN"/>
              </w:rPr>
              <w:t>拟派项目经理具备建筑工程专业贰级</w:t>
            </w:r>
            <w:r>
              <w:rPr>
                <w:rFonts w:hint="eastAsia" w:ascii="宋体" w:hAnsi="宋体" w:cs="宋体"/>
                <w:b w:val="0"/>
                <w:bCs w:val="0"/>
                <w:color w:val="auto"/>
                <w:sz w:val="21"/>
                <w:szCs w:val="21"/>
                <w:highlight w:val="none"/>
                <w:lang w:val="en-US" w:eastAsia="zh-CN"/>
              </w:rPr>
              <w:t>及以上</w:t>
            </w:r>
            <w:r>
              <w:rPr>
                <w:rFonts w:hint="eastAsia" w:ascii="宋体" w:hAnsi="宋体" w:eastAsia="宋体" w:cs="宋体"/>
                <w:b w:val="0"/>
                <w:bCs w:val="0"/>
                <w:color w:val="auto"/>
                <w:sz w:val="21"/>
                <w:szCs w:val="21"/>
                <w:highlight w:val="none"/>
                <w:lang w:val="en-US" w:eastAsia="zh-CN"/>
              </w:rPr>
              <w:t>注册建造师证书，且具有有效的安全生产考核合格证书，并未担任其他在建工程，同时提供劳动合同和社会保险证明（2023年1月1日以来连续三个月的社保证明）。</w:t>
            </w:r>
          </w:p>
          <w:p>
            <w:pPr>
              <w:pageBreakBefore w:val="0"/>
              <w:widowControl/>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5、其他要求：</w:t>
            </w:r>
            <w:r>
              <w:rPr>
                <w:rFonts w:hint="eastAsia" w:ascii="宋体" w:hAnsi="宋体" w:eastAsia="宋体" w:cs="宋体"/>
                <w:color w:val="auto"/>
                <w:sz w:val="21"/>
                <w:szCs w:val="21"/>
                <w:highlight w:val="none"/>
              </w:rPr>
              <w:t>单位负责人为同一人或者存在直接控股、管理关系的不同单位，不得同时参加同一合同项目下的政府采购活动；【提供“国家企业信用信息公示系统”中公示的（公司基础信息包含股东及出资信息）截图或其他有效的证明材料（内容包括股东及出资信息）】</w:t>
            </w:r>
            <w:r>
              <w:rPr>
                <w:rFonts w:hint="eastAsia" w:ascii="宋体" w:hAnsi="宋体" w:eastAsia="宋体" w:cs="宋体"/>
                <w:color w:val="auto"/>
                <w:sz w:val="21"/>
                <w:szCs w:val="21"/>
                <w:highlight w:val="none"/>
                <w:lang w:eastAsia="zh-CN"/>
              </w:rPr>
              <w:t>。</w:t>
            </w:r>
          </w:p>
        </w:tc>
      </w:tr>
      <w:tr>
        <w:tblPrEx>
          <w:tblCellMar>
            <w:top w:w="0" w:type="dxa"/>
            <w:left w:w="10" w:type="dxa"/>
            <w:bottom w:w="0" w:type="dxa"/>
            <w:right w:w="10" w:type="dxa"/>
          </w:tblCellMar>
        </w:tblPrEx>
        <w:trPr>
          <w:trHeight w:val="320"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是否接受联合体</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0"/>
              <w:keepNext/>
              <w:keepLines/>
              <w:pageBreakBefore w:val="0"/>
              <w:widowControl w:val="0"/>
              <w:numPr>
                <w:ilvl w:val="2"/>
                <w:numId w:val="0"/>
              </w:numPr>
              <w:kinsoku/>
              <w:wordWrap/>
              <w:overflowPunct/>
              <w:topLinePunct w:val="0"/>
              <w:autoSpaceDE/>
              <w:autoSpaceDN/>
              <w:bidi w:val="0"/>
              <w:adjustRightInd/>
              <w:snapToGrid/>
              <w:spacing w:before="0" w:after="0" w:line="4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不接受</w:t>
            </w:r>
          </w:p>
        </w:tc>
      </w:tr>
      <w:tr>
        <w:tblPrEx>
          <w:tblCellMar>
            <w:top w:w="0" w:type="dxa"/>
            <w:left w:w="10" w:type="dxa"/>
            <w:bottom w:w="0" w:type="dxa"/>
            <w:right w:w="10" w:type="dxa"/>
          </w:tblCellMar>
        </w:tblPrEx>
        <w:trPr>
          <w:trHeight w:val="567"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0"/>
              <w:pageBreakBefore w:val="0"/>
              <w:numPr>
                <w:ilvl w:val="2"/>
                <w:numId w:val="0"/>
              </w:numPr>
              <w:kinsoku/>
              <w:wordWrap/>
              <w:overflowPunct/>
              <w:topLinePunct w:val="0"/>
              <w:autoSpaceDE/>
              <w:autoSpaceDN/>
              <w:bidi w:val="0"/>
              <w:adjustRightInd/>
              <w:snapToGrid/>
              <w:spacing w:before="0" w:after="0" w:line="4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不组织，潜在供应商自行踏勘，与之相关的所有费用自行承担</w:t>
            </w:r>
          </w:p>
        </w:tc>
      </w:tr>
      <w:tr>
        <w:tblPrEx>
          <w:tblCellMar>
            <w:top w:w="0" w:type="dxa"/>
            <w:left w:w="10" w:type="dxa"/>
            <w:bottom w:w="0" w:type="dxa"/>
            <w:right w:w="10" w:type="dxa"/>
          </w:tblCellMar>
        </w:tblPrEx>
        <w:trPr>
          <w:trHeight w:val="612"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0"/>
              <w:pageBreakBefore w:val="0"/>
              <w:numPr>
                <w:ilvl w:val="2"/>
                <w:numId w:val="0"/>
              </w:numPr>
              <w:kinsoku/>
              <w:wordWrap/>
              <w:overflowPunct/>
              <w:topLinePunct w:val="0"/>
              <w:autoSpaceDE/>
              <w:autoSpaceDN/>
              <w:bidi w:val="0"/>
              <w:adjustRightInd/>
              <w:snapToGrid/>
              <w:spacing w:before="0" w:after="0" w:line="4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tblPrEx>
          <w:tblCellMar>
            <w:top w:w="0" w:type="dxa"/>
            <w:left w:w="10" w:type="dxa"/>
            <w:bottom w:w="0" w:type="dxa"/>
            <w:right w:w="10" w:type="dxa"/>
          </w:tblCellMar>
        </w:tblPrEx>
        <w:trPr>
          <w:trHeight w:val="1071"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构成磋商文件</w:t>
            </w:r>
          </w:p>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的其他材料</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除磋商文件外，采购人在磋商期间发出的澄清、修改、补充、补遗和其它有效正式函件等内容均是磋商文件的组成部分</w:t>
            </w:r>
          </w:p>
        </w:tc>
      </w:tr>
      <w:tr>
        <w:tblPrEx>
          <w:tblCellMar>
            <w:top w:w="0" w:type="dxa"/>
            <w:left w:w="10" w:type="dxa"/>
            <w:bottom w:w="0" w:type="dxa"/>
            <w:right w:w="10" w:type="dxa"/>
          </w:tblCellMar>
        </w:tblPrEx>
        <w:trPr>
          <w:trHeight w:val="90"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供应商要求澄清磋商文件的截止时间</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递交响应文件截止之日</w:t>
            </w:r>
            <w:r>
              <w:rPr>
                <w:rFonts w:hint="eastAsia" w:ascii="宋体" w:hAnsi="宋体" w:eastAsia="宋体" w:cs="宋体"/>
                <w:color w:val="auto"/>
                <w:sz w:val="21"/>
                <w:szCs w:val="21"/>
                <w:highlight w:val="none"/>
                <w:u w:val="single" w:color="auto"/>
              </w:rPr>
              <w:t>5</w:t>
            </w:r>
            <w:r>
              <w:rPr>
                <w:rFonts w:hint="eastAsia" w:ascii="宋体" w:hAnsi="宋体" w:eastAsia="宋体" w:cs="宋体"/>
                <w:color w:val="auto"/>
                <w:sz w:val="21"/>
                <w:szCs w:val="21"/>
                <w:highlight w:val="none"/>
              </w:rPr>
              <w:t>天前</w:t>
            </w:r>
          </w:p>
        </w:tc>
      </w:tr>
      <w:tr>
        <w:tblPrEx>
          <w:tblCellMar>
            <w:top w:w="0" w:type="dxa"/>
            <w:left w:w="10" w:type="dxa"/>
            <w:bottom w:w="0" w:type="dxa"/>
            <w:right w:w="10" w:type="dxa"/>
          </w:tblCellMar>
        </w:tblPrEx>
        <w:trPr>
          <w:trHeight w:val="90"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采购人澄清磋商文件的截止时间</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递交响应文件截止之日</w:t>
            </w:r>
            <w:r>
              <w:rPr>
                <w:rFonts w:hint="eastAsia" w:ascii="宋体" w:hAnsi="宋体" w:eastAsia="宋体" w:cs="宋体"/>
                <w:color w:val="auto"/>
                <w:sz w:val="21"/>
                <w:szCs w:val="21"/>
                <w:highlight w:val="none"/>
                <w:u w:val="single" w:color="auto"/>
              </w:rPr>
              <w:t>5</w:t>
            </w:r>
            <w:r>
              <w:rPr>
                <w:rFonts w:hint="eastAsia" w:ascii="宋体" w:hAnsi="宋体" w:eastAsia="宋体" w:cs="宋体"/>
                <w:color w:val="auto"/>
                <w:sz w:val="21"/>
                <w:szCs w:val="21"/>
                <w:highlight w:val="none"/>
              </w:rPr>
              <w:t>天前</w:t>
            </w:r>
          </w:p>
        </w:tc>
      </w:tr>
      <w:tr>
        <w:tblPrEx>
          <w:tblCellMar>
            <w:top w:w="0" w:type="dxa"/>
            <w:left w:w="10" w:type="dxa"/>
            <w:bottom w:w="0" w:type="dxa"/>
            <w:right w:w="10" w:type="dxa"/>
          </w:tblCellMar>
        </w:tblPrEx>
        <w:trPr>
          <w:trHeight w:val="1142"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供应商确认收到磋商文件澄清的时间</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在收到相应澄清文件后</w:t>
            </w:r>
            <w:r>
              <w:rPr>
                <w:rFonts w:hint="eastAsia" w:ascii="宋体" w:hAnsi="宋体" w:eastAsia="宋体" w:cs="宋体"/>
                <w:color w:val="auto"/>
                <w:sz w:val="21"/>
                <w:szCs w:val="21"/>
                <w:highlight w:val="none"/>
                <w:u w:val="single" w:color="auto"/>
              </w:rPr>
              <w:t xml:space="preserve"> 24 </w:t>
            </w:r>
            <w:r>
              <w:rPr>
                <w:rFonts w:hint="eastAsia" w:ascii="宋体" w:hAnsi="宋体" w:eastAsia="宋体" w:cs="宋体"/>
                <w:color w:val="auto"/>
                <w:sz w:val="21"/>
                <w:szCs w:val="21"/>
                <w:highlight w:val="none"/>
              </w:rPr>
              <w:t>小时内</w:t>
            </w:r>
          </w:p>
        </w:tc>
      </w:tr>
      <w:tr>
        <w:tblPrEx>
          <w:tblCellMar>
            <w:top w:w="0" w:type="dxa"/>
            <w:left w:w="10" w:type="dxa"/>
            <w:bottom w:w="0" w:type="dxa"/>
            <w:right w:w="10" w:type="dxa"/>
          </w:tblCellMar>
        </w:tblPrEx>
        <w:trPr>
          <w:trHeight w:val="0"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供应商确认收到磋商文件修改的时间</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在收到相应修改文件后</w:t>
            </w:r>
            <w:r>
              <w:rPr>
                <w:rFonts w:hint="eastAsia" w:ascii="宋体" w:hAnsi="宋体" w:eastAsia="宋体" w:cs="宋体"/>
                <w:color w:val="auto"/>
                <w:sz w:val="21"/>
                <w:szCs w:val="21"/>
                <w:highlight w:val="none"/>
                <w:u w:val="single" w:color="auto"/>
              </w:rPr>
              <w:t xml:space="preserve"> 24 </w:t>
            </w:r>
            <w:r>
              <w:rPr>
                <w:rFonts w:hint="eastAsia" w:ascii="宋体" w:hAnsi="宋体" w:eastAsia="宋体" w:cs="宋体"/>
                <w:color w:val="auto"/>
                <w:sz w:val="21"/>
                <w:szCs w:val="21"/>
                <w:highlight w:val="none"/>
              </w:rPr>
              <w:t>小时内</w:t>
            </w:r>
          </w:p>
        </w:tc>
      </w:tr>
      <w:tr>
        <w:tblPrEx>
          <w:tblCellMar>
            <w:top w:w="0" w:type="dxa"/>
            <w:left w:w="10" w:type="dxa"/>
            <w:bottom w:w="0" w:type="dxa"/>
            <w:right w:w="10" w:type="dxa"/>
          </w:tblCellMar>
        </w:tblPrEx>
        <w:trPr>
          <w:trHeight w:val="0"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构成响应文件</w:t>
            </w:r>
          </w:p>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的其他材料</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供应商认为需要提交的其他证明材料</w:t>
            </w:r>
          </w:p>
        </w:tc>
      </w:tr>
      <w:tr>
        <w:tblPrEx>
          <w:tblCellMar>
            <w:top w:w="0" w:type="dxa"/>
            <w:left w:w="10" w:type="dxa"/>
            <w:bottom w:w="0" w:type="dxa"/>
            <w:right w:w="10" w:type="dxa"/>
          </w:tblCellMar>
        </w:tblPrEx>
        <w:trPr>
          <w:trHeight w:val="528"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磋商有效期</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响应文件提交截止之日起60日历天</w:t>
            </w:r>
          </w:p>
        </w:tc>
      </w:tr>
      <w:tr>
        <w:tblPrEx>
          <w:tblCellMar>
            <w:top w:w="0" w:type="dxa"/>
            <w:left w:w="10" w:type="dxa"/>
            <w:bottom w:w="0" w:type="dxa"/>
            <w:right w:w="10" w:type="dxa"/>
          </w:tblCellMar>
        </w:tblPrEx>
        <w:trPr>
          <w:trHeight w:val="90"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是否允许递交</w:t>
            </w:r>
          </w:p>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备选磋商方案</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10"/>
              <w:pageBreakBefore w:val="0"/>
              <w:numPr>
                <w:ilvl w:val="2"/>
                <w:numId w:val="0"/>
              </w:numPr>
              <w:kinsoku/>
              <w:wordWrap/>
              <w:overflowPunct/>
              <w:topLinePunct w:val="0"/>
              <w:autoSpaceDE/>
              <w:autoSpaceDN/>
              <w:bidi w:val="0"/>
              <w:adjustRightInd/>
              <w:snapToGrid/>
              <w:spacing w:before="0" w:after="0" w:line="4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tblPrEx>
          <w:tblCellMar>
            <w:top w:w="0" w:type="dxa"/>
            <w:left w:w="10" w:type="dxa"/>
            <w:bottom w:w="0" w:type="dxa"/>
            <w:right w:w="10" w:type="dxa"/>
          </w:tblCellMar>
        </w:tblPrEx>
        <w:trPr>
          <w:trHeight w:val="1660"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电子响应文件</w:t>
            </w:r>
          </w:p>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签字盖章要求</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（1）所有要求供应商加盖公章的地方都须加盖供应商的 CA 印章。</w:t>
            </w:r>
          </w:p>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（2）所有要求法定代表人或其委托代理人签字的地方都须法定代表人或其委托代理人加盖CA印章或签字。</w:t>
            </w:r>
          </w:p>
        </w:tc>
      </w:tr>
      <w:tr>
        <w:tblPrEx>
          <w:tblCellMar>
            <w:top w:w="0" w:type="dxa"/>
            <w:left w:w="10" w:type="dxa"/>
            <w:bottom w:w="0" w:type="dxa"/>
            <w:right w:w="10" w:type="dxa"/>
          </w:tblCellMar>
        </w:tblPrEx>
        <w:trPr>
          <w:trHeight w:val="788"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3.7.4</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响应文件份数</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加密的电子响应文件壹份（*.XYTF 格式，在会员系统指定位置上传）。</w:t>
            </w:r>
          </w:p>
        </w:tc>
      </w:tr>
      <w:tr>
        <w:tblPrEx>
          <w:tblCellMar>
            <w:top w:w="0" w:type="dxa"/>
            <w:left w:w="10" w:type="dxa"/>
            <w:bottom w:w="0" w:type="dxa"/>
            <w:right w:w="10" w:type="dxa"/>
          </w:tblCellMar>
        </w:tblPrEx>
        <w:trPr>
          <w:trHeight w:val="617"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响应文件的递交</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1、电子响应文件的递交</w:t>
            </w:r>
          </w:p>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应在响应文件提交时间前上传加密的电子响应文件（*.XYTF）到会员系统的指定位置。上传时必须得到交易系统“上传成功”的确认回复后方为上传成功。请供应商在上传前务必认真检查上传响应文件是否完整、正确。</w:t>
            </w:r>
          </w:p>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2、本项目采用“不见面开标”交易方式</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，供应商无需寄送和递交非加密的电子响应文件，无需到现场参加开标会议，无需到达现场提交原件资料。</w:t>
            </w:r>
            <w:r>
              <w:rPr>
                <w:rFonts w:hint="eastAsia" w:ascii="宋体" w:hAnsi="宋体" w:eastAsia="宋体" w:cs="宋体"/>
                <w:color w:val="auto"/>
                <w:sz w:val="21"/>
                <w:szCs w:val="21"/>
                <w:highlight w:val="none"/>
              </w:rPr>
              <w:fldChar w:fldCharType="end"/>
            </w:r>
          </w:p>
        </w:tc>
      </w:tr>
      <w:tr>
        <w:tblPrEx>
          <w:tblCellMar>
            <w:top w:w="0" w:type="dxa"/>
            <w:left w:w="10" w:type="dxa"/>
            <w:bottom w:w="0" w:type="dxa"/>
            <w:right w:w="10" w:type="dxa"/>
          </w:tblCellMar>
        </w:tblPrEx>
        <w:trPr>
          <w:trHeight w:val="638"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响应文件提交</w:t>
            </w:r>
          </w:p>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详见磋商时间和地点</w:t>
            </w:r>
          </w:p>
        </w:tc>
      </w:tr>
      <w:tr>
        <w:tblPrEx>
          <w:tblCellMar>
            <w:top w:w="0" w:type="dxa"/>
            <w:left w:w="10" w:type="dxa"/>
            <w:bottom w:w="0" w:type="dxa"/>
            <w:right w:w="10" w:type="dxa"/>
          </w:tblCellMar>
        </w:tblPrEx>
        <w:trPr>
          <w:trHeight w:val="90"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磋商时间和地点</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磋商时间：2023年</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rPr>
              <w:t>日9时00分</w:t>
            </w:r>
          </w:p>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磋商地点：新县公共资源交易中心</w:t>
            </w:r>
            <w:r>
              <w:rPr>
                <w:rFonts w:hint="eastAsia" w:ascii="宋体" w:hAnsi="宋体" w:eastAsia="宋体" w:cs="宋体"/>
                <w:b/>
                <w:bCs/>
                <w:color w:val="auto"/>
                <w:sz w:val="21"/>
                <w:szCs w:val="21"/>
                <w:highlight w:val="none"/>
                <w:lang w:val="en-US" w:eastAsia="zh-CN"/>
              </w:rPr>
              <w:t>不见面开标二厅</w:t>
            </w:r>
            <w:r>
              <w:rPr>
                <w:rFonts w:hint="eastAsia" w:ascii="宋体" w:hAnsi="宋体" w:eastAsia="宋体" w:cs="宋体"/>
                <w:b/>
                <w:bCs/>
                <w:color w:val="auto"/>
                <w:szCs w:val="21"/>
                <w:highlight w:val="none"/>
              </w:rPr>
              <w:t xml:space="preserve">（新县市民之家五楼） </w:t>
            </w:r>
          </w:p>
        </w:tc>
      </w:tr>
      <w:tr>
        <w:tblPrEx>
          <w:tblCellMar>
            <w:top w:w="0" w:type="dxa"/>
            <w:left w:w="10" w:type="dxa"/>
            <w:bottom w:w="0" w:type="dxa"/>
            <w:right w:w="10" w:type="dxa"/>
          </w:tblCellMar>
        </w:tblPrEx>
        <w:trPr>
          <w:trHeight w:val="544"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磋商小组的组建</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磋商小组构成：3人，其中业主评委1人，技术、经济类专家2人。</w:t>
            </w:r>
          </w:p>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专家确定方式：磋商前从符合条件的专家库中随机抽取。</w:t>
            </w:r>
          </w:p>
        </w:tc>
      </w:tr>
      <w:tr>
        <w:tblPrEx>
          <w:tblCellMar>
            <w:top w:w="0" w:type="dxa"/>
            <w:left w:w="10" w:type="dxa"/>
            <w:bottom w:w="0" w:type="dxa"/>
            <w:right w:w="10" w:type="dxa"/>
          </w:tblCellMar>
        </w:tblPrEx>
        <w:trPr>
          <w:trHeight w:val="735"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是否授权磋商小组</w:t>
            </w:r>
          </w:p>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确定成交人</w:t>
            </w:r>
          </w:p>
        </w:tc>
        <w:tc>
          <w:tcPr>
            <w:tcW w:w="59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否；推荐的成交候选人数：3名</w:t>
            </w:r>
          </w:p>
        </w:tc>
      </w:tr>
      <w:tr>
        <w:tblPrEx>
          <w:tblCellMar>
            <w:top w:w="0" w:type="dxa"/>
            <w:left w:w="10" w:type="dxa"/>
            <w:bottom w:w="0" w:type="dxa"/>
            <w:right w:w="10" w:type="dxa"/>
          </w:tblCellMar>
        </w:tblPrEx>
        <w:trPr>
          <w:trHeight w:val="90" w:hRule="atLeast"/>
          <w:jc w:val="center"/>
        </w:trPr>
        <w:tc>
          <w:tcPr>
            <w:tcW w:w="887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tblPrEx>
          <w:tblCellMar>
            <w:top w:w="0" w:type="dxa"/>
            <w:left w:w="10" w:type="dxa"/>
            <w:bottom w:w="0" w:type="dxa"/>
            <w:right w:w="10" w:type="dxa"/>
          </w:tblCellMar>
        </w:tblPrEx>
        <w:trPr>
          <w:trHeight w:val="560"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解释权</w:t>
            </w:r>
          </w:p>
        </w:tc>
        <w:tc>
          <w:tcPr>
            <w:tcW w:w="78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 w:type="dxa"/>
            <w:bottom w:w="0" w:type="dxa"/>
            <w:right w:w="10" w:type="dxa"/>
          </w:tblCellMar>
        </w:tblPrEx>
        <w:trPr>
          <w:trHeight w:val="90"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代理服务费</w:t>
            </w:r>
          </w:p>
        </w:tc>
        <w:tc>
          <w:tcPr>
            <w:tcW w:w="78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按河南省招标代理服务收费指导意见（豫招协【2023】002号）文件的规定计取。成交人在领取成交通知书前向采购代理机构支付。</w:t>
            </w:r>
          </w:p>
        </w:tc>
      </w:tr>
      <w:tr>
        <w:tblPrEx>
          <w:tblCellMar>
            <w:top w:w="0" w:type="dxa"/>
            <w:left w:w="10" w:type="dxa"/>
            <w:bottom w:w="0" w:type="dxa"/>
            <w:right w:w="10" w:type="dxa"/>
          </w:tblCellMar>
        </w:tblPrEx>
        <w:trPr>
          <w:trHeight w:val="800"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磋商</w:t>
            </w:r>
          </w:p>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控制价</w:t>
            </w:r>
          </w:p>
        </w:tc>
        <w:tc>
          <w:tcPr>
            <w:tcW w:w="78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本项目采购预算为人民币</w:t>
            </w:r>
            <w:r>
              <w:rPr>
                <w:rFonts w:hint="eastAsia" w:ascii="宋体" w:hAnsi="宋体" w:cs="宋体"/>
                <w:b/>
                <w:bCs/>
                <w:color w:val="auto"/>
                <w:sz w:val="21"/>
                <w:szCs w:val="21"/>
                <w:highlight w:val="none"/>
                <w:lang w:eastAsia="zh-CN"/>
              </w:rPr>
              <w:t>1360801.24</w:t>
            </w:r>
            <w:r>
              <w:rPr>
                <w:rFonts w:hint="eastAsia" w:ascii="宋体" w:hAnsi="宋体" w:eastAsia="宋体" w:cs="宋体"/>
                <w:b/>
                <w:bCs/>
                <w:color w:val="auto"/>
                <w:sz w:val="21"/>
                <w:szCs w:val="21"/>
                <w:highlight w:val="none"/>
              </w:rPr>
              <w:t>元，报价超过此价格的按无效响应处理。</w:t>
            </w:r>
          </w:p>
        </w:tc>
      </w:tr>
      <w:tr>
        <w:tblPrEx>
          <w:tblCellMar>
            <w:top w:w="0" w:type="dxa"/>
            <w:left w:w="10" w:type="dxa"/>
            <w:bottom w:w="0" w:type="dxa"/>
            <w:right w:w="10" w:type="dxa"/>
          </w:tblCellMar>
        </w:tblPrEx>
        <w:trPr>
          <w:trHeight w:val="800" w:hRule="atLeast"/>
          <w:jc w:val="center"/>
        </w:trPr>
        <w:tc>
          <w:tcPr>
            <w:tcW w:w="9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rPr>
            </w:pPr>
            <w:bookmarkStart w:id="58" w:name="_Toc10694"/>
            <w:bookmarkEnd w:id="58"/>
            <w:bookmarkStart w:id="59" w:name="_Toc152045529"/>
            <w:bookmarkEnd w:id="59"/>
            <w:bookmarkStart w:id="60" w:name="_Toc466298091"/>
            <w:bookmarkEnd w:id="60"/>
            <w:bookmarkStart w:id="61" w:name="_Toc152042305"/>
            <w:bookmarkEnd w:id="61"/>
            <w:bookmarkStart w:id="62" w:name="_Toc144974497"/>
            <w:bookmarkEnd w:id="62"/>
            <w:bookmarkStart w:id="63" w:name="_Toc455080108"/>
            <w:bookmarkEnd w:id="63"/>
            <w:r>
              <w:rPr>
                <w:rFonts w:hint="eastAsia" w:ascii="宋体" w:hAnsi="宋体" w:eastAsia="宋体" w:cs="宋体"/>
                <w:b w:val="0"/>
                <w:bCs w:val="0"/>
                <w:color w:val="auto"/>
                <w:sz w:val="21"/>
                <w:szCs w:val="21"/>
                <w:highlight w:val="none"/>
              </w:rPr>
              <w:t>其他补充内容</w:t>
            </w:r>
          </w:p>
        </w:tc>
        <w:tc>
          <w:tcPr>
            <w:tcW w:w="78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文件制作机器码、文件创建标识码有相同的按废标处理。</w:t>
            </w:r>
          </w:p>
        </w:tc>
      </w:tr>
    </w:tbl>
    <w:p>
      <w:pPr>
        <w:pStyle w:val="30"/>
        <w:spacing w:before="0" w:line="360" w:lineRule="auto"/>
        <w:rPr>
          <w:rFonts w:hint="eastAsia" w:ascii="宋体" w:hAnsi="宋体" w:eastAsia="宋体" w:cs="宋体"/>
          <w:color w:val="auto"/>
          <w:sz w:val="21"/>
          <w:szCs w:val="21"/>
          <w:highlight w:val="none"/>
        </w:rPr>
      </w:pPr>
      <w:bookmarkStart w:id="64" w:name="_Toc5799"/>
      <w:bookmarkEnd w:id="64"/>
      <w:bookmarkStart w:id="65" w:name="_Toc30206"/>
      <w:bookmarkEnd w:id="65"/>
      <w:bookmarkStart w:id="66" w:name="_Toc20550"/>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1"/>
          <w:szCs w:val="21"/>
          <w:highlight w:val="none"/>
        </w:rPr>
        <w:t>. 总则</w:t>
      </w:r>
      <w:bookmarkEnd w:id="66"/>
    </w:p>
    <w:p>
      <w:pPr>
        <w:pStyle w:val="31"/>
        <w:spacing w:line="360" w:lineRule="auto"/>
        <w:ind w:firstLine="422"/>
        <w:outlineLvl w:val="0"/>
        <w:rPr>
          <w:rFonts w:hint="eastAsia" w:ascii="宋体" w:hAnsi="宋体" w:eastAsia="宋体" w:cs="宋体"/>
          <w:b/>
          <w:bCs/>
          <w:color w:val="auto"/>
          <w:sz w:val="21"/>
          <w:szCs w:val="21"/>
          <w:highlight w:val="none"/>
        </w:rPr>
      </w:pPr>
      <w:bookmarkStart w:id="67" w:name="_Toc455080109"/>
      <w:bookmarkEnd w:id="67"/>
      <w:bookmarkStart w:id="68" w:name="_Toc6747"/>
      <w:bookmarkEnd w:id="68"/>
      <w:bookmarkStart w:id="69" w:name="_Toc466298092"/>
      <w:bookmarkEnd w:id="69"/>
      <w:bookmarkStart w:id="70" w:name="_Toc281380952"/>
      <w:bookmarkEnd w:id="70"/>
      <w:bookmarkStart w:id="71" w:name="_Toc15709"/>
      <w:bookmarkEnd w:id="71"/>
      <w:bookmarkStart w:id="72" w:name="_Toc152045531"/>
      <w:bookmarkEnd w:id="72"/>
      <w:bookmarkStart w:id="73" w:name="_Toc1172"/>
      <w:bookmarkEnd w:id="73"/>
      <w:bookmarkStart w:id="74" w:name="_Toc10255"/>
      <w:bookmarkEnd w:id="74"/>
      <w:bookmarkStart w:id="75" w:name="_Toc152042307"/>
      <w:bookmarkEnd w:id="75"/>
      <w:bookmarkStart w:id="76" w:name="_Toc21458"/>
      <w:bookmarkEnd w:id="76"/>
      <w:bookmarkStart w:id="77" w:name="_Toc5340"/>
      <w:bookmarkEnd w:id="77"/>
      <w:bookmarkStart w:id="78" w:name="_Toc455867769"/>
      <w:bookmarkEnd w:id="78"/>
      <w:bookmarkStart w:id="79" w:name="_Toc658"/>
      <w:bookmarkEnd w:id="79"/>
      <w:bookmarkStart w:id="80" w:name="_Toc29023"/>
      <w:bookmarkEnd w:id="80"/>
      <w:bookmarkStart w:id="81" w:name="_Toc10273"/>
      <w:bookmarkEnd w:id="81"/>
      <w:bookmarkStart w:id="82" w:name="_Toc21266"/>
      <w:bookmarkEnd w:id="82"/>
      <w:bookmarkStart w:id="83" w:name="_Toc31404"/>
      <w:bookmarkEnd w:id="83"/>
      <w:bookmarkStart w:id="84" w:name="_Toc20827"/>
      <w:bookmarkEnd w:id="84"/>
      <w:bookmarkStart w:id="85" w:name="_Toc144974499"/>
      <w:bookmarkEnd w:id="85"/>
      <w:bookmarkStart w:id="86" w:name="_Toc490667828"/>
      <w:bookmarkEnd w:id="86"/>
      <w:bookmarkStart w:id="87" w:name="_Toc318450675"/>
      <w:bookmarkEnd w:id="87"/>
      <w:bookmarkStart w:id="88" w:name="_Toc274409866"/>
      <w:bookmarkEnd w:id="88"/>
      <w:bookmarkStart w:id="89" w:name="_Toc752"/>
      <w:bookmarkStart w:id="90" w:name="_Toc27291"/>
      <w:bookmarkStart w:id="91" w:name="_Toc21702"/>
      <w:r>
        <w:rPr>
          <w:rFonts w:hint="eastAsia" w:ascii="宋体" w:hAnsi="宋体" w:eastAsia="宋体" w:cs="宋体"/>
          <w:b/>
          <w:bCs/>
          <w:color w:val="auto"/>
          <w:sz w:val="21"/>
          <w:szCs w:val="21"/>
          <w:highlight w:val="none"/>
        </w:rPr>
        <w:t>1.1 适用范围</w:t>
      </w:r>
      <w:bookmarkEnd w:id="89"/>
      <w:bookmarkEnd w:id="90"/>
      <w:bookmarkEnd w:id="91"/>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根据《中华人民共和国政府采购法》等有关法律、法规和规章的规定，编制本项目磋商文件。</w:t>
      </w:r>
    </w:p>
    <w:p>
      <w:pPr>
        <w:pStyle w:val="31"/>
        <w:tabs>
          <w:tab w:val="left" w:pos="7410"/>
        </w:tabs>
        <w:spacing w:line="360" w:lineRule="auto"/>
        <w:ind w:firstLine="422"/>
        <w:outlineLvl w:val="0"/>
        <w:rPr>
          <w:rFonts w:hint="eastAsia" w:ascii="宋体" w:hAnsi="宋体" w:eastAsia="宋体" w:cs="宋体"/>
          <w:b/>
          <w:bCs/>
          <w:color w:val="auto"/>
          <w:sz w:val="21"/>
          <w:szCs w:val="21"/>
          <w:highlight w:val="none"/>
        </w:rPr>
      </w:pPr>
      <w:bookmarkStart w:id="92" w:name="_Toc710"/>
      <w:bookmarkEnd w:id="92"/>
      <w:bookmarkStart w:id="93" w:name="_Toc466298093"/>
      <w:bookmarkEnd w:id="93"/>
      <w:bookmarkStart w:id="94" w:name="_Toc281405468"/>
      <w:bookmarkEnd w:id="94"/>
      <w:bookmarkStart w:id="95" w:name="_Toc30891"/>
      <w:bookmarkEnd w:id="95"/>
      <w:bookmarkStart w:id="96" w:name="_Toc490667829"/>
      <w:bookmarkEnd w:id="96"/>
      <w:bookmarkStart w:id="97" w:name="_Toc274409867"/>
      <w:bookmarkEnd w:id="97"/>
      <w:bookmarkStart w:id="98" w:name="_Toc10044"/>
      <w:bookmarkEnd w:id="98"/>
      <w:bookmarkStart w:id="99" w:name="_Toc3336"/>
      <w:bookmarkEnd w:id="99"/>
      <w:bookmarkStart w:id="100" w:name="_Toc24852"/>
      <w:bookmarkEnd w:id="100"/>
      <w:bookmarkStart w:id="101" w:name="_Toc455867770"/>
      <w:bookmarkEnd w:id="101"/>
      <w:bookmarkStart w:id="102" w:name="_Toc32619"/>
      <w:bookmarkEnd w:id="102"/>
      <w:bookmarkStart w:id="103" w:name="_Toc7237"/>
      <w:bookmarkEnd w:id="103"/>
      <w:bookmarkStart w:id="104" w:name="_Toc10556"/>
      <w:bookmarkEnd w:id="104"/>
      <w:bookmarkStart w:id="105" w:name="_Toc25773"/>
      <w:bookmarkEnd w:id="105"/>
      <w:bookmarkStart w:id="106" w:name="_Toc10269"/>
      <w:bookmarkEnd w:id="106"/>
      <w:bookmarkStart w:id="107" w:name="_Toc318450676"/>
      <w:bookmarkEnd w:id="107"/>
      <w:bookmarkStart w:id="108" w:name="_Toc1899"/>
      <w:bookmarkEnd w:id="108"/>
      <w:bookmarkStart w:id="109" w:name="_Toc455080110"/>
      <w:bookmarkEnd w:id="109"/>
      <w:bookmarkStart w:id="110" w:name="_Toc2929"/>
      <w:bookmarkEnd w:id="110"/>
      <w:bookmarkStart w:id="111" w:name="_Toc31234"/>
      <w:bookmarkStart w:id="112" w:name="_Toc14926"/>
      <w:bookmarkStart w:id="113" w:name="_Toc44"/>
      <w:r>
        <w:rPr>
          <w:rFonts w:hint="eastAsia" w:ascii="宋体" w:hAnsi="宋体" w:eastAsia="宋体" w:cs="宋体"/>
          <w:b/>
          <w:bCs/>
          <w:color w:val="auto"/>
          <w:sz w:val="21"/>
          <w:szCs w:val="21"/>
          <w:highlight w:val="none"/>
        </w:rPr>
        <w:t>1.2 招标项目说明</w:t>
      </w:r>
      <w:bookmarkEnd w:id="111"/>
      <w:bookmarkEnd w:id="112"/>
      <w:bookmarkEnd w:id="113"/>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本项目采购人：见供应商须知前附表。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本项目采购代理机构：见供应商须知前附表。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本项目名称：见供应商须知前附表。</w:t>
      </w:r>
    </w:p>
    <w:p>
      <w:pPr>
        <w:pStyle w:val="31"/>
        <w:spacing w:line="360" w:lineRule="auto"/>
        <w:ind w:firstLine="422"/>
        <w:outlineLvl w:val="0"/>
        <w:rPr>
          <w:rFonts w:hint="eastAsia" w:ascii="宋体" w:hAnsi="宋体" w:eastAsia="宋体" w:cs="宋体"/>
          <w:b/>
          <w:bCs/>
          <w:color w:val="auto"/>
          <w:sz w:val="21"/>
          <w:szCs w:val="21"/>
          <w:highlight w:val="none"/>
        </w:rPr>
      </w:pPr>
      <w:bookmarkStart w:id="114" w:name="_Toc1617"/>
      <w:bookmarkEnd w:id="114"/>
      <w:bookmarkStart w:id="115" w:name="_Toc8221"/>
      <w:bookmarkEnd w:id="115"/>
      <w:bookmarkStart w:id="116" w:name="_Toc466298094"/>
      <w:bookmarkEnd w:id="116"/>
      <w:bookmarkStart w:id="117" w:name="_Toc281405469"/>
      <w:bookmarkEnd w:id="117"/>
      <w:bookmarkStart w:id="118" w:name="_Toc274409868"/>
      <w:bookmarkEnd w:id="118"/>
      <w:bookmarkStart w:id="119" w:name="_Toc4952"/>
      <w:bookmarkEnd w:id="119"/>
      <w:bookmarkStart w:id="120" w:name="_Toc455867771"/>
      <w:bookmarkEnd w:id="120"/>
      <w:bookmarkStart w:id="121" w:name="_Toc455080111"/>
      <w:bookmarkEnd w:id="121"/>
      <w:bookmarkStart w:id="122" w:name="_Toc1373"/>
      <w:bookmarkEnd w:id="122"/>
      <w:bookmarkStart w:id="123" w:name="_Toc4122"/>
      <w:bookmarkEnd w:id="123"/>
      <w:bookmarkStart w:id="124" w:name="_Toc4563"/>
      <w:bookmarkEnd w:id="124"/>
      <w:bookmarkStart w:id="125" w:name="_Toc3477"/>
      <w:bookmarkEnd w:id="125"/>
      <w:bookmarkStart w:id="126" w:name="_Toc18960"/>
      <w:bookmarkEnd w:id="126"/>
      <w:bookmarkStart w:id="127" w:name="_Toc22979"/>
      <w:bookmarkEnd w:id="127"/>
      <w:bookmarkStart w:id="128" w:name="_Toc17146"/>
      <w:bookmarkEnd w:id="128"/>
      <w:bookmarkStart w:id="129" w:name="_Toc16931"/>
      <w:bookmarkEnd w:id="129"/>
      <w:bookmarkStart w:id="130" w:name="_Toc318450677"/>
      <w:bookmarkEnd w:id="130"/>
      <w:bookmarkStart w:id="131" w:name="_Toc490667830"/>
      <w:bookmarkEnd w:id="131"/>
      <w:bookmarkStart w:id="132" w:name="_Toc17016"/>
      <w:bookmarkEnd w:id="132"/>
      <w:bookmarkStart w:id="133" w:name="_Toc24190"/>
      <w:bookmarkStart w:id="134" w:name="_Toc13797"/>
      <w:bookmarkStart w:id="135" w:name="_Toc9870"/>
      <w:r>
        <w:rPr>
          <w:rFonts w:hint="eastAsia" w:ascii="宋体" w:hAnsi="宋体" w:eastAsia="宋体" w:cs="宋体"/>
          <w:b/>
          <w:bCs/>
          <w:color w:val="auto"/>
          <w:sz w:val="21"/>
          <w:szCs w:val="21"/>
          <w:highlight w:val="none"/>
        </w:rPr>
        <w:t>1.3 定义及解释</w:t>
      </w:r>
      <w:bookmarkEnd w:id="133"/>
      <w:bookmarkEnd w:id="134"/>
      <w:bookmarkEnd w:id="135"/>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采购人：依法进行政府采购的国家机关、事业单位、团体组织。</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采购代理机构：受采购人委托组织招标活动的社会中介组织。</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工程（货物）：系指根据本磋商文件规定供应商须承担的工程、货物以及其他类似的义务等。</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 供应商：供应商是响应磋商文件、参加磋商竞争的中华人民共和国境内的法人、其它组织。</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 响应文件：指供应商根据磋商文件提交的所有文件。</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1.3.6 磋商小组：依据《中华人民共和国政府采购法》及有关法律、法规的规定依法组建的专门负责本次评标工作的临时机构。</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1.3.7 偏离：响应文件的响应相对于磋商文件要求的偏差，该偏差优于磋商文件要求的为正偏离；劣于的，为负偏离。</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1.3.8 “日期”或“天”：指日历天。</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1.3.9 合同：指依据本次服务采购招标结果签订的协议或合约文件。</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1.3.10 磋商文件中的标题或题名仅起引导作用，而不应视为对磋商文件内容的理解和解释。</w:t>
      </w:r>
    </w:p>
    <w:p>
      <w:pPr>
        <w:pStyle w:val="31"/>
        <w:spacing w:line="360" w:lineRule="auto"/>
        <w:ind w:firstLine="422"/>
        <w:outlineLvl w:val="0"/>
        <w:rPr>
          <w:rFonts w:hint="eastAsia" w:ascii="宋体" w:hAnsi="宋体" w:eastAsia="宋体" w:cs="宋体"/>
          <w:b/>
          <w:bCs/>
          <w:color w:val="auto"/>
          <w:sz w:val="21"/>
          <w:szCs w:val="21"/>
          <w:highlight w:val="none"/>
        </w:rPr>
      </w:pPr>
      <w:bookmarkStart w:id="136" w:name="_Toc32236"/>
      <w:bookmarkEnd w:id="136"/>
      <w:bookmarkStart w:id="137" w:name="_Toc318450678"/>
      <w:bookmarkEnd w:id="137"/>
      <w:bookmarkStart w:id="138" w:name="_Toc152045532"/>
      <w:bookmarkEnd w:id="138"/>
      <w:bookmarkStart w:id="139" w:name="_Toc17908"/>
      <w:bookmarkEnd w:id="139"/>
      <w:bookmarkStart w:id="140" w:name="_Toc14043"/>
      <w:bookmarkEnd w:id="140"/>
      <w:bookmarkStart w:id="141" w:name="_Toc144974500"/>
      <w:bookmarkEnd w:id="141"/>
      <w:bookmarkStart w:id="142" w:name="_Toc10894"/>
      <w:bookmarkEnd w:id="142"/>
      <w:bookmarkStart w:id="143" w:name="_Toc152042308"/>
      <w:bookmarkEnd w:id="143"/>
      <w:bookmarkStart w:id="144" w:name="_Toc466298095"/>
      <w:bookmarkEnd w:id="144"/>
      <w:bookmarkStart w:id="145" w:name="_Toc16470"/>
      <w:bookmarkEnd w:id="145"/>
      <w:bookmarkStart w:id="146" w:name="_Toc27553"/>
      <w:bookmarkEnd w:id="146"/>
      <w:bookmarkStart w:id="147" w:name="_Toc12752"/>
      <w:bookmarkEnd w:id="147"/>
      <w:bookmarkStart w:id="148" w:name="_Toc455867772"/>
      <w:bookmarkEnd w:id="148"/>
      <w:bookmarkStart w:id="149" w:name="_Toc490667831"/>
      <w:bookmarkEnd w:id="149"/>
      <w:bookmarkStart w:id="150" w:name="_Toc455080112"/>
      <w:bookmarkEnd w:id="150"/>
      <w:bookmarkStart w:id="151" w:name="_Toc28330"/>
      <w:bookmarkEnd w:id="151"/>
      <w:bookmarkStart w:id="152" w:name="_Toc27407"/>
      <w:bookmarkEnd w:id="152"/>
      <w:bookmarkStart w:id="153" w:name="_Toc21766"/>
      <w:bookmarkEnd w:id="153"/>
      <w:bookmarkStart w:id="154" w:name="_Toc19363"/>
      <w:bookmarkEnd w:id="154"/>
      <w:bookmarkStart w:id="155" w:name="_Toc17808"/>
      <w:bookmarkEnd w:id="155"/>
      <w:bookmarkStart w:id="156" w:name="_Toc24172"/>
      <w:bookmarkStart w:id="157" w:name="_Toc3008"/>
      <w:bookmarkStart w:id="158" w:name="_Toc28373"/>
      <w:r>
        <w:rPr>
          <w:rFonts w:hint="eastAsia" w:ascii="宋体" w:hAnsi="宋体" w:eastAsia="宋体" w:cs="宋体"/>
          <w:b/>
          <w:bCs/>
          <w:color w:val="auto"/>
          <w:sz w:val="21"/>
          <w:szCs w:val="21"/>
          <w:highlight w:val="none"/>
        </w:rPr>
        <w:t>1.4 采购内容及计划工期和质量要求、付款方式</w:t>
      </w:r>
      <w:bookmarkEnd w:id="156"/>
      <w:bookmarkEnd w:id="157"/>
      <w:bookmarkEnd w:id="158"/>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本次采购内容：见供应商须知前附表。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本项目的计划工期：见供应商须知前附表。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 本项目的质量要求：见供应商须知前附表。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 本项目的付款方式：见供应商须知前附表。</w:t>
      </w:r>
    </w:p>
    <w:p>
      <w:pPr>
        <w:pStyle w:val="31"/>
        <w:spacing w:line="360" w:lineRule="auto"/>
        <w:ind w:firstLine="422"/>
        <w:outlineLvl w:val="0"/>
        <w:rPr>
          <w:rFonts w:hint="eastAsia" w:ascii="宋体" w:hAnsi="宋体" w:eastAsia="宋体" w:cs="宋体"/>
          <w:b/>
          <w:bCs/>
          <w:color w:val="auto"/>
          <w:sz w:val="21"/>
          <w:szCs w:val="21"/>
          <w:highlight w:val="none"/>
        </w:rPr>
      </w:pPr>
      <w:bookmarkStart w:id="159" w:name="_Toc10968"/>
      <w:bookmarkEnd w:id="159"/>
      <w:bookmarkStart w:id="160" w:name="_Toc455080113"/>
      <w:bookmarkEnd w:id="160"/>
      <w:bookmarkStart w:id="161" w:name="_Toc18004"/>
      <w:bookmarkEnd w:id="161"/>
      <w:bookmarkStart w:id="162" w:name="_Toc11063"/>
      <w:bookmarkEnd w:id="162"/>
      <w:bookmarkStart w:id="163" w:name="_Toc4711"/>
      <w:bookmarkEnd w:id="163"/>
      <w:bookmarkStart w:id="164" w:name="_Toc5019"/>
      <w:bookmarkEnd w:id="164"/>
      <w:bookmarkStart w:id="165" w:name="_Toc32156"/>
      <w:bookmarkEnd w:id="165"/>
      <w:bookmarkStart w:id="166" w:name="_Toc4301"/>
      <w:bookmarkEnd w:id="166"/>
      <w:bookmarkStart w:id="167" w:name="_Toc144974502"/>
      <w:bookmarkEnd w:id="167"/>
      <w:bookmarkStart w:id="168" w:name="_Toc18689"/>
      <w:bookmarkEnd w:id="168"/>
      <w:bookmarkStart w:id="169" w:name="_Toc22643"/>
      <w:bookmarkEnd w:id="169"/>
      <w:bookmarkStart w:id="170" w:name="_Toc318450679"/>
      <w:bookmarkEnd w:id="170"/>
      <w:bookmarkStart w:id="171" w:name="_Toc455867773"/>
      <w:bookmarkEnd w:id="171"/>
      <w:bookmarkStart w:id="172" w:name="_Toc152042310"/>
      <w:bookmarkEnd w:id="172"/>
      <w:bookmarkStart w:id="173" w:name="_Toc490667832"/>
      <w:bookmarkEnd w:id="173"/>
      <w:bookmarkStart w:id="174" w:name="_Toc466298096"/>
      <w:bookmarkEnd w:id="174"/>
      <w:bookmarkStart w:id="175" w:name="_Toc7209"/>
      <w:bookmarkEnd w:id="175"/>
      <w:bookmarkStart w:id="176" w:name="_Toc152045534"/>
      <w:bookmarkEnd w:id="176"/>
      <w:bookmarkStart w:id="177" w:name="_Toc1602"/>
      <w:bookmarkEnd w:id="177"/>
      <w:bookmarkStart w:id="178" w:name="_Toc15335"/>
      <w:bookmarkEnd w:id="178"/>
      <w:bookmarkStart w:id="179" w:name="_Toc26428"/>
      <w:bookmarkStart w:id="180" w:name="_Toc6313"/>
      <w:bookmarkStart w:id="181" w:name="_Toc20912"/>
      <w:r>
        <w:rPr>
          <w:rFonts w:hint="eastAsia" w:ascii="宋体" w:hAnsi="宋体" w:eastAsia="宋体" w:cs="宋体"/>
          <w:b/>
          <w:bCs/>
          <w:color w:val="auto"/>
          <w:sz w:val="21"/>
          <w:szCs w:val="21"/>
          <w:highlight w:val="none"/>
        </w:rPr>
        <w:t>1.5 供应商资质条件和能力</w:t>
      </w:r>
      <w:bookmarkEnd w:id="179"/>
      <w:bookmarkEnd w:id="180"/>
      <w:bookmarkEnd w:id="181"/>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 供应商资质及能力要求：见供应商须知前附表。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 是否接受联合体：见供应商须知前附表。</w:t>
      </w:r>
    </w:p>
    <w:p>
      <w:pPr>
        <w:pStyle w:val="31"/>
        <w:spacing w:line="360" w:lineRule="auto"/>
        <w:ind w:firstLine="422"/>
        <w:outlineLvl w:val="0"/>
        <w:rPr>
          <w:rFonts w:hint="eastAsia" w:ascii="宋体" w:hAnsi="宋体" w:eastAsia="宋体" w:cs="宋体"/>
          <w:b/>
          <w:bCs/>
          <w:color w:val="auto"/>
          <w:sz w:val="21"/>
          <w:szCs w:val="21"/>
          <w:highlight w:val="none"/>
        </w:rPr>
      </w:pPr>
      <w:bookmarkStart w:id="182" w:name="_Toc152042311"/>
      <w:bookmarkEnd w:id="182"/>
      <w:bookmarkStart w:id="183" w:name="_Toc651"/>
      <w:bookmarkEnd w:id="183"/>
      <w:bookmarkStart w:id="184" w:name="_Toc981"/>
      <w:bookmarkEnd w:id="184"/>
      <w:bookmarkStart w:id="185" w:name="_Toc8243"/>
      <w:bookmarkEnd w:id="185"/>
      <w:bookmarkStart w:id="186" w:name="_Toc32446"/>
      <w:bookmarkEnd w:id="186"/>
      <w:bookmarkStart w:id="187" w:name="_Toc466298097"/>
      <w:bookmarkEnd w:id="187"/>
      <w:bookmarkStart w:id="188" w:name="_Toc9505"/>
      <w:bookmarkEnd w:id="188"/>
      <w:bookmarkStart w:id="189" w:name="_Toc31854"/>
      <w:bookmarkEnd w:id="189"/>
      <w:bookmarkStart w:id="190" w:name="_Toc16889"/>
      <w:bookmarkEnd w:id="190"/>
      <w:bookmarkStart w:id="191" w:name="_Toc28135"/>
      <w:bookmarkEnd w:id="191"/>
      <w:bookmarkStart w:id="192" w:name="_Toc144974503"/>
      <w:bookmarkEnd w:id="192"/>
      <w:bookmarkStart w:id="193" w:name="_Toc318450680"/>
      <w:bookmarkEnd w:id="193"/>
      <w:bookmarkStart w:id="194" w:name="_Toc455080114"/>
      <w:bookmarkEnd w:id="194"/>
      <w:bookmarkStart w:id="195" w:name="_Toc12403"/>
      <w:bookmarkEnd w:id="195"/>
      <w:bookmarkStart w:id="196" w:name="_Toc455867774"/>
      <w:bookmarkEnd w:id="196"/>
      <w:bookmarkStart w:id="197" w:name="_Toc15409"/>
      <w:bookmarkEnd w:id="197"/>
      <w:bookmarkStart w:id="198" w:name="_Toc490667833"/>
      <w:bookmarkEnd w:id="198"/>
      <w:bookmarkStart w:id="199" w:name="_Toc152045535"/>
      <w:bookmarkEnd w:id="199"/>
      <w:bookmarkStart w:id="200" w:name="_Toc5162"/>
      <w:bookmarkEnd w:id="200"/>
      <w:bookmarkStart w:id="201" w:name="_Toc11905"/>
      <w:bookmarkEnd w:id="201"/>
      <w:bookmarkStart w:id="202" w:name="_Toc23499"/>
      <w:bookmarkStart w:id="203" w:name="_Toc22736"/>
      <w:bookmarkStart w:id="204" w:name="_Toc17854"/>
      <w:r>
        <w:rPr>
          <w:rFonts w:hint="eastAsia" w:ascii="宋体" w:hAnsi="宋体" w:eastAsia="宋体" w:cs="宋体"/>
          <w:b/>
          <w:bCs/>
          <w:color w:val="auto"/>
          <w:sz w:val="21"/>
          <w:szCs w:val="21"/>
          <w:highlight w:val="none"/>
        </w:rPr>
        <w:t>1.6 费用承担</w:t>
      </w:r>
      <w:bookmarkEnd w:id="202"/>
      <w:bookmarkEnd w:id="203"/>
      <w:bookmarkEnd w:id="204"/>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供应商准备和参加磋商活动发生的费用自理，不论磋商的结果如何，采购人和采购代理机构在任何情况下均无义务和责任承担这些费用。</w:t>
      </w:r>
    </w:p>
    <w:p>
      <w:pPr>
        <w:pStyle w:val="31"/>
        <w:spacing w:line="360" w:lineRule="auto"/>
        <w:ind w:firstLine="422"/>
        <w:outlineLvl w:val="0"/>
        <w:rPr>
          <w:rFonts w:hint="eastAsia" w:ascii="宋体" w:hAnsi="宋体" w:eastAsia="宋体" w:cs="宋体"/>
          <w:b/>
          <w:bCs/>
          <w:color w:val="auto"/>
          <w:sz w:val="21"/>
          <w:szCs w:val="21"/>
          <w:highlight w:val="none"/>
        </w:rPr>
      </w:pPr>
      <w:bookmarkStart w:id="205" w:name="_Toc8055"/>
      <w:bookmarkEnd w:id="205"/>
      <w:bookmarkStart w:id="206" w:name="_Toc152042312"/>
      <w:bookmarkEnd w:id="206"/>
      <w:bookmarkStart w:id="207" w:name="_Toc6014"/>
      <w:bookmarkEnd w:id="207"/>
      <w:bookmarkStart w:id="208" w:name="_Toc466298098"/>
      <w:bookmarkEnd w:id="208"/>
      <w:bookmarkStart w:id="209" w:name="_Toc32053"/>
      <w:bookmarkEnd w:id="209"/>
      <w:bookmarkStart w:id="210" w:name="_Toc152045536"/>
      <w:bookmarkEnd w:id="210"/>
      <w:bookmarkStart w:id="211" w:name="_Toc22800"/>
      <w:bookmarkEnd w:id="211"/>
      <w:bookmarkStart w:id="212" w:name="_Toc455080115"/>
      <w:bookmarkEnd w:id="212"/>
      <w:bookmarkStart w:id="213" w:name="_Toc2622"/>
      <w:bookmarkEnd w:id="213"/>
      <w:bookmarkStart w:id="214" w:name="_Toc318450681"/>
      <w:bookmarkEnd w:id="214"/>
      <w:bookmarkStart w:id="215" w:name="_Toc5402"/>
      <w:bookmarkEnd w:id="215"/>
      <w:bookmarkStart w:id="216" w:name="_Toc26066"/>
      <w:bookmarkEnd w:id="216"/>
      <w:bookmarkStart w:id="217" w:name="_Toc20145"/>
      <w:bookmarkEnd w:id="217"/>
      <w:bookmarkStart w:id="218" w:name="_Toc22136"/>
      <w:bookmarkEnd w:id="218"/>
      <w:bookmarkStart w:id="219" w:name="_Toc1879"/>
      <w:bookmarkEnd w:id="219"/>
      <w:bookmarkStart w:id="220" w:name="_Toc490667834"/>
      <w:bookmarkEnd w:id="220"/>
      <w:bookmarkStart w:id="221" w:name="_Toc144974504"/>
      <w:bookmarkEnd w:id="221"/>
      <w:bookmarkStart w:id="222" w:name="_Toc455867775"/>
      <w:bookmarkEnd w:id="222"/>
      <w:bookmarkStart w:id="223" w:name="_Toc24601"/>
      <w:bookmarkEnd w:id="223"/>
      <w:bookmarkStart w:id="224" w:name="_Toc2880"/>
      <w:bookmarkEnd w:id="224"/>
      <w:bookmarkStart w:id="225" w:name="_Toc7429"/>
      <w:bookmarkStart w:id="226" w:name="_Toc25766"/>
      <w:bookmarkStart w:id="227" w:name="_Toc26218"/>
      <w:r>
        <w:rPr>
          <w:rFonts w:hint="eastAsia" w:ascii="宋体" w:hAnsi="宋体" w:eastAsia="宋体" w:cs="宋体"/>
          <w:b/>
          <w:bCs/>
          <w:color w:val="auto"/>
          <w:sz w:val="21"/>
          <w:szCs w:val="21"/>
          <w:highlight w:val="none"/>
        </w:rPr>
        <w:t>1.7 保密</w:t>
      </w:r>
      <w:bookmarkEnd w:id="225"/>
      <w:bookmarkEnd w:id="226"/>
      <w:bookmarkEnd w:id="227"/>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参与磋商活动的各方应对磋商文件和响应文件中的商业和技术等秘密保密，违者应对由此造成的后果承担法律责任。 </w:t>
      </w:r>
    </w:p>
    <w:p>
      <w:pPr>
        <w:pStyle w:val="31"/>
        <w:spacing w:line="360" w:lineRule="auto"/>
        <w:ind w:firstLine="422"/>
        <w:outlineLvl w:val="0"/>
        <w:rPr>
          <w:rFonts w:hint="eastAsia" w:ascii="宋体" w:hAnsi="宋体" w:eastAsia="宋体" w:cs="宋体"/>
          <w:b/>
          <w:bCs/>
          <w:color w:val="auto"/>
          <w:sz w:val="21"/>
          <w:szCs w:val="21"/>
          <w:highlight w:val="none"/>
        </w:rPr>
      </w:pPr>
      <w:bookmarkStart w:id="228" w:name="_Toc30583"/>
      <w:bookmarkEnd w:id="228"/>
      <w:bookmarkStart w:id="229" w:name="_Toc455080116"/>
      <w:bookmarkEnd w:id="229"/>
      <w:bookmarkStart w:id="230" w:name="_Toc466298099"/>
      <w:bookmarkEnd w:id="230"/>
      <w:bookmarkStart w:id="231" w:name="_Toc15673"/>
      <w:bookmarkEnd w:id="231"/>
      <w:bookmarkStart w:id="232" w:name="_Toc144974505"/>
      <w:bookmarkEnd w:id="232"/>
      <w:bookmarkStart w:id="233" w:name="_Toc152045537"/>
      <w:bookmarkEnd w:id="233"/>
      <w:bookmarkStart w:id="234" w:name="_Toc7031"/>
      <w:bookmarkEnd w:id="234"/>
      <w:bookmarkStart w:id="235" w:name="_Toc22141"/>
      <w:bookmarkEnd w:id="235"/>
      <w:bookmarkStart w:id="236" w:name="_Toc30747"/>
      <w:bookmarkEnd w:id="236"/>
      <w:bookmarkStart w:id="237" w:name="_Toc14775"/>
      <w:bookmarkEnd w:id="237"/>
      <w:bookmarkStart w:id="238" w:name="_Toc6615"/>
      <w:bookmarkEnd w:id="238"/>
      <w:bookmarkStart w:id="239" w:name="_Toc152042313"/>
      <w:bookmarkEnd w:id="239"/>
      <w:bookmarkStart w:id="240" w:name="_Toc455867776"/>
      <w:bookmarkEnd w:id="240"/>
      <w:bookmarkStart w:id="241" w:name="_Toc25517"/>
      <w:bookmarkEnd w:id="241"/>
      <w:bookmarkStart w:id="242" w:name="_Toc318450682"/>
      <w:bookmarkEnd w:id="242"/>
      <w:bookmarkStart w:id="243" w:name="_Toc13976"/>
      <w:bookmarkEnd w:id="243"/>
      <w:bookmarkStart w:id="244" w:name="_Toc3628"/>
      <w:bookmarkEnd w:id="244"/>
      <w:bookmarkStart w:id="245" w:name="_Toc490667835"/>
      <w:bookmarkEnd w:id="245"/>
      <w:bookmarkStart w:id="246" w:name="_Toc10194"/>
      <w:bookmarkEnd w:id="246"/>
      <w:bookmarkStart w:id="247" w:name="_Toc21089"/>
      <w:bookmarkEnd w:id="247"/>
      <w:bookmarkStart w:id="248" w:name="_Toc2892"/>
      <w:bookmarkStart w:id="249" w:name="_Toc22757"/>
      <w:bookmarkStart w:id="250" w:name="_Toc25576"/>
      <w:r>
        <w:rPr>
          <w:rFonts w:hint="eastAsia" w:ascii="宋体" w:hAnsi="宋体" w:eastAsia="宋体" w:cs="宋体"/>
          <w:b/>
          <w:bCs/>
          <w:color w:val="auto"/>
          <w:sz w:val="21"/>
          <w:szCs w:val="21"/>
          <w:highlight w:val="none"/>
        </w:rPr>
        <w:t>1.8 语言文字</w:t>
      </w:r>
      <w:bookmarkEnd w:id="248"/>
      <w:bookmarkEnd w:id="249"/>
      <w:bookmarkEnd w:id="250"/>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除专用术语外，与磋商有关的语言均使用中文。必要时专用术语应附有中文注释，对不同文字文本响应文件的解释发生异议的，以中文文本为准。</w:t>
      </w:r>
    </w:p>
    <w:p>
      <w:pPr>
        <w:pStyle w:val="31"/>
        <w:spacing w:line="360" w:lineRule="auto"/>
        <w:ind w:firstLine="422"/>
        <w:outlineLvl w:val="0"/>
        <w:rPr>
          <w:rFonts w:hint="eastAsia" w:ascii="宋体" w:hAnsi="宋体" w:eastAsia="宋体" w:cs="宋体"/>
          <w:b/>
          <w:bCs/>
          <w:color w:val="auto"/>
          <w:sz w:val="21"/>
          <w:szCs w:val="21"/>
          <w:highlight w:val="none"/>
        </w:rPr>
      </w:pPr>
      <w:bookmarkStart w:id="251" w:name="_Toc144974506"/>
      <w:bookmarkEnd w:id="251"/>
      <w:bookmarkStart w:id="252" w:name="_Toc466298100"/>
      <w:bookmarkEnd w:id="252"/>
      <w:bookmarkStart w:id="253" w:name="_Toc4854"/>
      <w:bookmarkEnd w:id="253"/>
      <w:bookmarkStart w:id="254" w:name="_Toc4501"/>
      <w:bookmarkEnd w:id="254"/>
      <w:bookmarkStart w:id="255" w:name="_Toc9446"/>
      <w:bookmarkEnd w:id="255"/>
      <w:bookmarkStart w:id="256" w:name="_Toc22378"/>
      <w:bookmarkEnd w:id="256"/>
      <w:bookmarkStart w:id="257" w:name="_Toc490667836"/>
      <w:bookmarkEnd w:id="257"/>
      <w:bookmarkStart w:id="258" w:name="_Toc152045538"/>
      <w:bookmarkEnd w:id="258"/>
      <w:bookmarkStart w:id="259" w:name="_Toc455080117"/>
      <w:bookmarkEnd w:id="259"/>
      <w:bookmarkStart w:id="260" w:name="_Toc152042314"/>
      <w:bookmarkEnd w:id="260"/>
      <w:bookmarkStart w:id="261" w:name="_Toc318450683"/>
      <w:bookmarkEnd w:id="261"/>
      <w:bookmarkStart w:id="262" w:name="_Toc22415"/>
      <w:bookmarkEnd w:id="262"/>
      <w:bookmarkStart w:id="263" w:name="_Toc24337"/>
      <w:bookmarkEnd w:id="263"/>
      <w:bookmarkStart w:id="264" w:name="_Toc4237"/>
      <w:bookmarkEnd w:id="264"/>
      <w:bookmarkStart w:id="265" w:name="_Toc32507"/>
      <w:bookmarkEnd w:id="265"/>
      <w:bookmarkStart w:id="266" w:name="_Toc2702"/>
      <w:bookmarkEnd w:id="266"/>
      <w:bookmarkStart w:id="267" w:name="_Toc455867777"/>
      <w:bookmarkEnd w:id="267"/>
      <w:bookmarkStart w:id="268" w:name="_Toc18357"/>
      <w:bookmarkEnd w:id="268"/>
      <w:bookmarkStart w:id="269" w:name="_Toc14934"/>
      <w:bookmarkEnd w:id="269"/>
      <w:bookmarkStart w:id="270" w:name="_Toc23908"/>
      <w:bookmarkEnd w:id="270"/>
      <w:bookmarkStart w:id="271" w:name="_Toc5510"/>
      <w:bookmarkStart w:id="272" w:name="_Toc2125"/>
      <w:bookmarkStart w:id="273" w:name="_Toc10914"/>
      <w:r>
        <w:rPr>
          <w:rFonts w:hint="eastAsia" w:ascii="宋体" w:hAnsi="宋体" w:eastAsia="宋体" w:cs="宋体"/>
          <w:b/>
          <w:bCs/>
          <w:color w:val="auto"/>
          <w:sz w:val="21"/>
          <w:szCs w:val="21"/>
          <w:highlight w:val="none"/>
        </w:rPr>
        <w:t>1.9 计量单位</w:t>
      </w:r>
      <w:bookmarkEnd w:id="271"/>
      <w:bookmarkEnd w:id="272"/>
      <w:bookmarkEnd w:id="273"/>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所有计量均采用中华人民共和国法定计量单位。</w:t>
      </w:r>
    </w:p>
    <w:p>
      <w:pPr>
        <w:pStyle w:val="31"/>
        <w:spacing w:line="360" w:lineRule="auto"/>
        <w:ind w:firstLine="422"/>
        <w:outlineLvl w:val="0"/>
        <w:rPr>
          <w:rFonts w:hint="eastAsia" w:ascii="宋体" w:hAnsi="宋体" w:eastAsia="宋体" w:cs="宋体"/>
          <w:b/>
          <w:bCs/>
          <w:color w:val="auto"/>
          <w:sz w:val="21"/>
          <w:szCs w:val="21"/>
          <w:highlight w:val="none"/>
        </w:rPr>
      </w:pPr>
      <w:bookmarkStart w:id="274" w:name="_Toc19685"/>
      <w:bookmarkEnd w:id="274"/>
      <w:bookmarkStart w:id="275" w:name="_Toc152042316"/>
      <w:bookmarkEnd w:id="275"/>
      <w:bookmarkStart w:id="276" w:name="_Toc455867779"/>
      <w:bookmarkEnd w:id="276"/>
      <w:bookmarkStart w:id="277" w:name="_Toc490667838"/>
      <w:bookmarkEnd w:id="277"/>
      <w:bookmarkStart w:id="278" w:name="_Toc29845"/>
      <w:bookmarkEnd w:id="278"/>
      <w:bookmarkStart w:id="279" w:name="_Toc32757"/>
      <w:bookmarkEnd w:id="279"/>
      <w:bookmarkStart w:id="280" w:name="_Toc12027"/>
      <w:bookmarkEnd w:id="280"/>
      <w:bookmarkStart w:id="281" w:name="_Toc490667837"/>
      <w:bookmarkEnd w:id="281"/>
      <w:bookmarkStart w:id="282" w:name="_Toc144974508"/>
      <w:bookmarkEnd w:id="282"/>
      <w:bookmarkStart w:id="283" w:name="_Toc152042317"/>
      <w:bookmarkEnd w:id="283"/>
      <w:bookmarkStart w:id="284" w:name="_Toc23678"/>
      <w:bookmarkEnd w:id="284"/>
      <w:bookmarkStart w:id="285" w:name="_Toc152045541"/>
      <w:bookmarkEnd w:id="285"/>
      <w:bookmarkStart w:id="286" w:name="_Toc31195"/>
      <w:bookmarkEnd w:id="286"/>
      <w:bookmarkStart w:id="287" w:name="_Toc31725"/>
      <w:bookmarkEnd w:id="287"/>
      <w:bookmarkStart w:id="288" w:name="_Toc144974509"/>
      <w:bookmarkEnd w:id="288"/>
      <w:bookmarkStart w:id="289" w:name="_Toc284"/>
      <w:bookmarkEnd w:id="289"/>
      <w:bookmarkStart w:id="290" w:name="_Toc152045540"/>
      <w:bookmarkEnd w:id="290"/>
      <w:bookmarkStart w:id="291" w:name="_Toc3853"/>
      <w:bookmarkEnd w:id="291"/>
      <w:bookmarkStart w:id="292" w:name="_Toc18589"/>
      <w:bookmarkEnd w:id="292"/>
      <w:bookmarkStart w:id="293" w:name="_Toc28009"/>
      <w:bookmarkEnd w:id="293"/>
      <w:bookmarkStart w:id="294" w:name="_Toc12562"/>
      <w:bookmarkEnd w:id="294"/>
      <w:bookmarkStart w:id="295" w:name="_Toc11744"/>
      <w:bookmarkEnd w:id="295"/>
      <w:bookmarkStart w:id="296" w:name="_Toc338"/>
      <w:bookmarkEnd w:id="296"/>
      <w:bookmarkStart w:id="297" w:name="_Toc455867778"/>
      <w:bookmarkEnd w:id="297"/>
      <w:bookmarkStart w:id="298" w:name="_Toc455080118"/>
      <w:bookmarkEnd w:id="298"/>
      <w:bookmarkStart w:id="299" w:name="_Toc13675"/>
      <w:bookmarkEnd w:id="299"/>
      <w:bookmarkStart w:id="300" w:name="_Toc25208"/>
      <w:bookmarkEnd w:id="300"/>
      <w:bookmarkStart w:id="301" w:name="_Toc23635"/>
      <w:bookmarkEnd w:id="301"/>
      <w:bookmarkStart w:id="302" w:name="_Toc9182"/>
      <w:bookmarkEnd w:id="302"/>
      <w:bookmarkStart w:id="303" w:name="_Toc455080119"/>
      <w:bookmarkEnd w:id="303"/>
      <w:bookmarkStart w:id="304" w:name="_Toc466298101"/>
      <w:bookmarkEnd w:id="304"/>
      <w:bookmarkStart w:id="305" w:name="_Toc2508"/>
      <w:bookmarkEnd w:id="305"/>
      <w:bookmarkStart w:id="306" w:name="_Toc318450684"/>
      <w:bookmarkEnd w:id="306"/>
      <w:bookmarkStart w:id="307" w:name="_Toc466298102"/>
      <w:bookmarkEnd w:id="307"/>
      <w:bookmarkStart w:id="308" w:name="_Toc27570"/>
      <w:bookmarkEnd w:id="308"/>
      <w:bookmarkStart w:id="309" w:name="_Toc318450685"/>
      <w:bookmarkEnd w:id="309"/>
      <w:bookmarkStart w:id="310" w:name="_Toc24262"/>
      <w:bookmarkEnd w:id="310"/>
      <w:bookmarkStart w:id="311" w:name="_Toc27823"/>
      <w:bookmarkEnd w:id="311"/>
      <w:bookmarkStart w:id="312" w:name="_Toc16298"/>
      <w:bookmarkStart w:id="313" w:name="_Toc27625"/>
      <w:bookmarkStart w:id="314" w:name="_Toc9830"/>
      <w:r>
        <w:rPr>
          <w:rFonts w:hint="eastAsia" w:ascii="宋体" w:hAnsi="宋体" w:eastAsia="宋体" w:cs="宋体"/>
          <w:b/>
          <w:bCs/>
          <w:color w:val="auto"/>
          <w:sz w:val="21"/>
          <w:szCs w:val="21"/>
          <w:highlight w:val="none"/>
        </w:rPr>
        <w:t>1.10 现场踏勘</w:t>
      </w:r>
      <w:bookmarkEnd w:id="312"/>
      <w:bookmarkEnd w:id="313"/>
      <w:bookmarkEnd w:id="314"/>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不组织，潜在供应商自行踏勘，与之相关的所有费用自行承担。</w:t>
      </w:r>
    </w:p>
    <w:p>
      <w:pPr>
        <w:pStyle w:val="31"/>
        <w:spacing w:line="360" w:lineRule="auto"/>
        <w:ind w:firstLine="422"/>
        <w:outlineLvl w:val="0"/>
        <w:rPr>
          <w:rFonts w:hint="eastAsia" w:ascii="宋体" w:hAnsi="宋体" w:eastAsia="宋体" w:cs="宋体"/>
          <w:b/>
          <w:bCs/>
          <w:color w:val="auto"/>
          <w:sz w:val="21"/>
          <w:szCs w:val="21"/>
          <w:highlight w:val="none"/>
        </w:rPr>
      </w:pPr>
      <w:bookmarkStart w:id="315" w:name="_Toc13577"/>
      <w:bookmarkEnd w:id="315"/>
      <w:bookmarkStart w:id="316" w:name="_Toc222"/>
      <w:bookmarkEnd w:id="316"/>
      <w:bookmarkStart w:id="317" w:name="_Toc24798"/>
      <w:bookmarkStart w:id="318" w:name="_Toc23247"/>
      <w:bookmarkStart w:id="319" w:name="_Toc22158"/>
      <w:r>
        <w:rPr>
          <w:rFonts w:hint="eastAsia" w:ascii="宋体" w:hAnsi="宋体" w:eastAsia="宋体" w:cs="宋体"/>
          <w:b/>
          <w:bCs/>
          <w:color w:val="auto"/>
          <w:sz w:val="21"/>
          <w:szCs w:val="21"/>
          <w:highlight w:val="none"/>
        </w:rPr>
        <w:t>1.11分包</w:t>
      </w:r>
      <w:bookmarkEnd w:id="317"/>
      <w:bookmarkEnd w:id="318"/>
      <w:bookmarkEnd w:id="319"/>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是否允许分包：见供应商须知前附表。</w:t>
      </w:r>
      <w:bookmarkStart w:id="320" w:name="_Toc455080120"/>
      <w:bookmarkEnd w:id="320"/>
      <w:bookmarkStart w:id="321" w:name="_Toc152042318"/>
      <w:bookmarkEnd w:id="321"/>
      <w:bookmarkStart w:id="322" w:name="_Toc144974510"/>
      <w:bookmarkEnd w:id="322"/>
      <w:bookmarkStart w:id="323" w:name="_Toc152045542"/>
      <w:bookmarkEnd w:id="323"/>
    </w:p>
    <w:p>
      <w:pPr>
        <w:numPr>
          <w:ilvl w:val="0"/>
          <w:numId w:val="4"/>
        </w:numPr>
        <w:spacing w:line="360" w:lineRule="auto"/>
        <w:ind w:left="0" w:firstLine="0"/>
        <w:outlineLvl w:val="1"/>
        <w:rPr>
          <w:rFonts w:hint="eastAsia" w:ascii="宋体" w:hAnsi="宋体" w:eastAsia="宋体" w:cs="宋体"/>
          <w:b/>
          <w:bCs/>
          <w:color w:val="auto"/>
          <w:szCs w:val="21"/>
          <w:highlight w:val="none"/>
        </w:rPr>
      </w:pPr>
      <w:bookmarkStart w:id="324" w:name="_Toc15078"/>
      <w:bookmarkEnd w:id="324"/>
      <w:bookmarkStart w:id="325" w:name="_Toc4766"/>
      <w:bookmarkEnd w:id="325"/>
      <w:bookmarkStart w:id="326" w:name="_Toc12453"/>
      <w:bookmarkEnd w:id="326"/>
      <w:bookmarkStart w:id="327" w:name="_Toc18569"/>
      <w:r>
        <w:rPr>
          <w:rFonts w:hint="eastAsia" w:ascii="宋体" w:hAnsi="宋体" w:eastAsia="宋体" w:cs="宋体"/>
          <w:b/>
          <w:bCs/>
          <w:color w:val="auto"/>
          <w:szCs w:val="21"/>
          <w:highlight w:val="none"/>
        </w:rPr>
        <w:t>磋商文件</w:t>
      </w:r>
      <w:bookmarkEnd w:id="327"/>
    </w:p>
    <w:p>
      <w:pPr>
        <w:pStyle w:val="31"/>
        <w:spacing w:line="360" w:lineRule="auto"/>
        <w:ind w:firstLine="422"/>
        <w:outlineLvl w:val="0"/>
        <w:rPr>
          <w:rFonts w:hint="eastAsia" w:ascii="宋体" w:hAnsi="宋体" w:eastAsia="宋体" w:cs="宋体"/>
          <w:b/>
          <w:bCs/>
          <w:color w:val="auto"/>
          <w:sz w:val="21"/>
          <w:szCs w:val="21"/>
          <w:highlight w:val="none"/>
        </w:rPr>
      </w:pPr>
      <w:bookmarkStart w:id="328" w:name="_Toc28771"/>
      <w:bookmarkEnd w:id="328"/>
      <w:bookmarkStart w:id="329" w:name="_Toc11567"/>
      <w:bookmarkEnd w:id="329"/>
      <w:bookmarkStart w:id="330" w:name="_Toc23649"/>
      <w:bookmarkEnd w:id="330"/>
      <w:bookmarkStart w:id="331" w:name="_Toc11599"/>
      <w:bookmarkEnd w:id="331"/>
      <w:bookmarkStart w:id="332" w:name="_Toc152045543"/>
      <w:bookmarkEnd w:id="332"/>
      <w:bookmarkStart w:id="333" w:name="_Toc32711"/>
      <w:bookmarkEnd w:id="333"/>
      <w:bookmarkStart w:id="334" w:name="_Toc466298104"/>
      <w:bookmarkEnd w:id="334"/>
      <w:bookmarkStart w:id="335" w:name="_Toc455867781"/>
      <w:bookmarkEnd w:id="335"/>
      <w:bookmarkStart w:id="336" w:name="_Toc12640"/>
      <w:bookmarkEnd w:id="336"/>
      <w:bookmarkStart w:id="337" w:name="_Toc13000"/>
      <w:bookmarkEnd w:id="337"/>
      <w:bookmarkStart w:id="338" w:name="_Toc12004"/>
      <w:bookmarkEnd w:id="338"/>
      <w:bookmarkStart w:id="339" w:name="_Toc3982"/>
      <w:bookmarkEnd w:id="339"/>
      <w:bookmarkStart w:id="340" w:name="_Toc7999"/>
      <w:bookmarkEnd w:id="340"/>
      <w:bookmarkStart w:id="341" w:name="_Toc9780"/>
      <w:bookmarkEnd w:id="341"/>
      <w:bookmarkStart w:id="342" w:name="_Toc318450687"/>
      <w:bookmarkEnd w:id="342"/>
      <w:bookmarkStart w:id="343" w:name="_Toc144974511"/>
      <w:bookmarkEnd w:id="343"/>
      <w:bookmarkStart w:id="344" w:name="_Toc455080121"/>
      <w:bookmarkEnd w:id="344"/>
      <w:bookmarkStart w:id="345" w:name="_Toc152042319"/>
      <w:bookmarkEnd w:id="345"/>
      <w:bookmarkStart w:id="346" w:name="_Toc490667840"/>
      <w:bookmarkEnd w:id="346"/>
      <w:bookmarkStart w:id="347" w:name="_Toc1008"/>
      <w:bookmarkEnd w:id="347"/>
      <w:bookmarkStart w:id="348" w:name="_Toc13152"/>
      <w:bookmarkStart w:id="349" w:name="_Toc11041"/>
      <w:bookmarkStart w:id="350" w:name="_Toc2417"/>
      <w:r>
        <w:rPr>
          <w:rFonts w:hint="eastAsia" w:ascii="宋体" w:hAnsi="宋体" w:eastAsia="宋体" w:cs="宋体"/>
          <w:b/>
          <w:bCs/>
          <w:color w:val="auto"/>
          <w:sz w:val="21"/>
          <w:szCs w:val="21"/>
          <w:highlight w:val="none"/>
        </w:rPr>
        <w:t>2.1 磋商文件的组成</w:t>
      </w:r>
      <w:bookmarkEnd w:id="348"/>
      <w:bookmarkEnd w:id="349"/>
      <w:bookmarkEnd w:id="350"/>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本磋商文件包括：</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（3）评审办法；</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（4）合同文本；</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（5）工程量清单；</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（6）竞争性磋商响应文件格式；</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（7）供应商须知前附表规定的其他材料。</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根据本章第2.2款和第2.3款对磋商文件所作的澄清、修改，构成磋商文件的组成部分。</w:t>
      </w:r>
    </w:p>
    <w:p>
      <w:pPr>
        <w:pStyle w:val="31"/>
        <w:spacing w:line="360" w:lineRule="auto"/>
        <w:ind w:firstLine="422"/>
        <w:outlineLvl w:val="0"/>
        <w:rPr>
          <w:rFonts w:hint="eastAsia" w:ascii="宋体" w:hAnsi="宋体" w:eastAsia="宋体" w:cs="宋体"/>
          <w:b/>
          <w:bCs/>
          <w:color w:val="auto"/>
          <w:sz w:val="21"/>
          <w:szCs w:val="21"/>
          <w:highlight w:val="none"/>
        </w:rPr>
      </w:pPr>
      <w:bookmarkStart w:id="351" w:name="_Toc152045546"/>
      <w:bookmarkEnd w:id="351"/>
      <w:bookmarkStart w:id="352" w:name="_Toc152042322"/>
      <w:bookmarkEnd w:id="352"/>
      <w:bookmarkStart w:id="353" w:name="_Toc15658"/>
      <w:bookmarkEnd w:id="353"/>
      <w:bookmarkStart w:id="354" w:name="_Toc25655"/>
      <w:bookmarkEnd w:id="354"/>
      <w:bookmarkStart w:id="355" w:name="_Toc455080124"/>
      <w:bookmarkEnd w:id="355"/>
      <w:bookmarkStart w:id="356" w:name="_Toc144974514"/>
      <w:bookmarkEnd w:id="356"/>
      <w:bookmarkStart w:id="357" w:name="_Toc4001"/>
      <w:bookmarkEnd w:id="357"/>
      <w:bookmarkStart w:id="358" w:name="_Toc9128"/>
      <w:bookmarkStart w:id="359" w:name="_Toc1088"/>
      <w:bookmarkStart w:id="360" w:name="_Toc8853"/>
      <w:r>
        <w:rPr>
          <w:rFonts w:hint="eastAsia" w:ascii="宋体" w:hAnsi="宋体" w:eastAsia="宋体" w:cs="宋体"/>
          <w:b/>
          <w:bCs/>
          <w:color w:val="auto"/>
          <w:sz w:val="21"/>
          <w:szCs w:val="21"/>
          <w:highlight w:val="none"/>
        </w:rPr>
        <w:t>2.2 磋商文件的澄清</w:t>
      </w:r>
      <w:bookmarkEnd w:id="358"/>
      <w:bookmarkEnd w:id="359"/>
      <w:bookmarkEnd w:id="360"/>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2.2.1 供应商应仔细阅读和检查磋商文件的全部内容。</w:t>
      </w:r>
      <w:r>
        <w:rPr>
          <w:rFonts w:hint="eastAsia" w:ascii="宋体" w:hAnsi="宋体" w:eastAsia="宋体" w:cs="宋体"/>
          <w:color w:val="auto"/>
          <w:szCs w:val="21"/>
          <w:highlight w:val="none"/>
        </w:rPr>
        <w:t>如发现缺页或附件不全，应及时向采购人提出，以便补齐。</w:t>
      </w:r>
      <w:r>
        <w:rPr>
          <w:rFonts w:hint="eastAsia" w:ascii="宋体" w:hAnsi="宋体" w:eastAsia="宋体" w:cs="宋体"/>
          <w:color w:val="auto"/>
          <w:highlight w:val="none"/>
        </w:rPr>
        <w:t>如有疑问，应在供应商须知前附表规定的时间前</w:t>
      </w:r>
      <w:r>
        <w:rPr>
          <w:rFonts w:hint="eastAsia" w:ascii="宋体" w:hAnsi="宋体" w:eastAsia="宋体" w:cs="宋体"/>
          <w:color w:val="auto"/>
          <w:szCs w:val="21"/>
          <w:highlight w:val="none"/>
        </w:rPr>
        <w:t>以书面形式（包括信函、电报、传真等可以有形表现所载内容的形式，下同），</w:t>
      </w:r>
      <w:r>
        <w:rPr>
          <w:rFonts w:hint="eastAsia" w:ascii="宋体" w:hAnsi="宋体" w:eastAsia="宋体" w:cs="宋体"/>
          <w:color w:val="auto"/>
          <w:highlight w:val="none"/>
        </w:rPr>
        <w:t>要求采购人对磋商文件予以澄清。</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2.2.2 磋商文件的澄清将在供应商须知前附表规定的响应文件提交截止时间5天前在信阳市公共资源交易系统“变更公告”或“答疑文件”</w:t>
      </w:r>
      <w:r>
        <w:rPr>
          <w:rFonts w:hint="eastAsia" w:ascii="宋体" w:hAnsi="宋体" w:eastAsia="宋体" w:cs="宋体"/>
          <w:color w:val="auto"/>
          <w:szCs w:val="21"/>
          <w:highlight w:val="none"/>
        </w:rPr>
        <w:t>将澄清内容予以发布，</w:t>
      </w:r>
      <w:r>
        <w:rPr>
          <w:rFonts w:hint="eastAsia" w:ascii="宋体" w:hAnsi="宋体" w:eastAsia="宋体" w:cs="宋体"/>
          <w:color w:val="auto"/>
          <w:highlight w:val="none"/>
        </w:rPr>
        <w:t>但不指明澄清问题的来源。如果澄清的内容可能影响响应文件编制且发出的时间距响应文件提交截止时间不足5天，相应延长响应文件提交截止时间。</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2.2.3 供应商应在响应文件</w:t>
      </w:r>
      <w:r>
        <w:rPr>
          <w:rFonts w:hint="eastAsia" w:ascii="宋体" w:hAnsi="宋体" w:eastAsia="宋体" w:cs="宋体"/>
          <w:color w:val="auto"/>
          <w:highlight w:val="none"/>
        </w:rPr>
        <w:t>提交</w:t>
      </w:r>
      <w:r>
        <w:rPr>
          <w:rFonts w:hint="eastAsia" w:ascii="宋体" w:hAnsi="宋体" w:eastAsia="宋体" w:cs="宋体"/>
          <w:color w:val="auto"/>
          <w:szCs w:val="21"/>
          <w:highlight w:val="none"/>
        </w:rPr>
        <w:t>截止时间前及时查看澄清内容，因供应商未及时查看而造成的后果自负。</w:t>
      </w:r>
    </w:p>
    <w:p>
      <w:pPr>
        <w:pStyle w:val="31"/>
        <w:spacing w:line="360" w:lineRule="auto"/>
        <w:ind w:firstLine="422"/>
        <w:outlineLvl w:val="0"/>
        <w:rPr>
          <w:rFonts w:hint="eastAsia" w:ascii="宋体" w:hAnsi="宋体" w:eastAsia="宋体" w:cs="宋体"/>
          <w:b/>
          <w:bCs/>
          <w:color w:val="auto"/>
          <w:sz w:val="21"/>
          <w:szCs w:val="21"/>
          <w:highlight w:val="none"/>
        </w:rPr>
      </w:pPr>
      <w:bookmarkStart w:id="361" w:name="_Toc8263"/>
      <w:bookmarkEnd w:id="361"/>
      <w:bookmarkStart w:id="362" w:name="_Toc20292"/>
      <w:bookmarkEnd w:id="362"/>
      <w:bookmarkStart w:id="363" w:name="_Toc6826"/>
      <w:bookmarkEnd w:id="363"/>
      <w:bookmarkStart w:id="364" w:name="_Toc19737"/>
      <w:bookmarkStart w:id="365" w:name="_Toc28716"/>
      <w:bookmarkStart w:id="366" w:name="_Toc1426"/>
      <w:r>
        <w:rPr>
          <w:rFonts w:hint="eastAsia" w:ascii="宋体" w:hAnsi="宋体" w:eastAsia="宋体" w:cs="宋体"/>
          <w:b/>
          <w:bCs/>
          <w:color w:val="auto"/>
          <w:sz w:val="21"/>
          <w:szCs w:val="21"/>
          <w:highlight w:val="none"/>
        </w:rPr>
        <w:t>2.3 磋商文件的修改</w:t>
      </w:r>
      <w:bookmarkEnd w:id="364"/>
      <w:bookmarkEnd w:id="365"/>
      <w:bookmarkEnd w:id="366"/>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2.3.1 在响应文件提交截止时间5天前，采购人可以修改磋商文件。如有修改，应在信阳市公共资源交易系统“变更公告”或“答疑文件”</w:t>
      </w:r>
      <w:r>
        <w:rPr>
          <w:rFonts w:hint="eastAsia" w:ascii="宋体" w:hAnsi="宋体" w:eastAsia="宋体" w:cs="宋体"/>
          <w:color w:val="auto"/>
          <w:szCs w:val="21"/>
          <w:highlight w:val="none"/>
        </w:rPr>
        <w:t>将修改内容予以发布</w:t>
      </w:r>
      <w:r>
        <w:rPr>
          <w:rFonts w:hint="eastAsia" w:ascii="宋体" w:hAnsi="宋体" w:eastAsia="宋体" w:cs="宋体"/>
          <w:color w:val="auto"/>
          <w:highlight w:val="none"/>
        </w:rPr>
        <w:t>。如果修改的内容可能影响响应文件编制且发出的时间距响应文件提交截止时间不足5天，相应延长响应文件提交截止时间。</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2.3.2 当磋商文件的澄清、修改、补充等在同一内容的表述上不一致时，</w:t>
      </w:r>
      <w:r>
        <w:rPr>
          <w:rFonts w:hint="eastAsia" w:ascii="宋体" w:hAnsi="宋体" w:eastAsia="宋体" w:cs="宋体"/>
          <w:color w:val="auto"/>
          <w:szCs w:val="21"/>
          <w:highlight w:val="none"/>
        </w:rPr>
        <w:t>以最后在信阳市公共资源交易系统发出的文件为准。</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2.3.3 </w:t>
      </w:r>
      <w:r>
        <w:rPr>
          <w:rFonts w:hint="eastAsia" w:ascii="宋体" w:hAnsi="宋体" w:eastAsia="宋体" w:cs="宋体"/>
          <w:color w:val="auto"/>
          <w:szCs w:val="21"/>
          <w:highlight w:val="none"/>
        </w:rPr>
        <w:t>供应商应在响应文件提交截止时间前及时查看修改内容，因供应商未及时查看而造成的后果自负。</w:t>
      </w:r>
    </w:p>
    <w:p>
      <w:pPr>
        <w:pStyle w:val="30"/>
        <w:spacing w:before="0" w:line="360" w:lineRule="auto"/>
        <w:rPr>
          <w:rFonts w:hint="eastAsia" w:ascii="宋体" w:hAnsi="宋体" w:eastAsia="宋体" w:cs="宋体"/>
          <w:b/>
          <w:bCs/>
          <w:color w:val="auto"/>
          <w:sz w:val="21"/>
          <w:szCs w:val="21"/>
          <w:highlight w:val="none"/>
        </w:rPr>
      </w:pPr>
      <w:bookmarkStart w:id="367" w:name="_Toc4666"/>
      <w:bookmarkEnd w:id="367"/>
      <w:bookmarkStart w:id="368" w:name="_Toc12469"/>
      <w:bookmarkEnd w:id="368"/>
      <w:bookmarkStart w:id="369" w:name="_Toc12457"/>
      <w:bookmarkEnd w:id="369"/>
      <w:bookmarkStart w:id="370" w:name="_Toc12574"/>
      <w:r>
        <w:rPr>
          <w:rFonts w:hint="eastAsia" w:ascii="宋体" w:hAnsi="宋体" w:eastAsia="宋体" w:cs="宋体"/>
          <w:b/>
          <w:bCs/>
          <w:color w:val="auto"/>
          <w:sz w:val="21"/>
          <w:szCs w:val="21"/>
          <w:highlight w:val="none"/>
        </w:rPr>
        <w:t>3. 响应文件</w:t>
      </w:r>
      <w:bookmarkEnd w:id="370"/>
    </w:p>
    <w:p>
      <w:pPr>
        <w:pStyle w:val="31"/>
        <w:spacing w:line="360" w:lineRule="auto"/>
        <w:ind w:firstLine="422"/>
        <w:outlineLvl w:val="9"/>
        <w:rPr>
          <w:rFonts w:hint="eastAsia" w:ascii="宋体" w:hAnsi="宋体" w:eastAsia="宋体" w:cs="宋体"/>
          <w:b/>
          <w:bCs/>
          <w:color w:val="auto"/>
          <w:sz w:val="21"/>
          <w:szCs w:val="21"/>
          <w:highlight w:val="none"/>
        </w:rPr>
      </w:pPr>
      <w:bookmarkStart w:id="371" w:name="_Toc189"/>
      <w:bookmarkEnd w:id="371"/>
      <w:bookmarkStart w:id="372" w:name="_Toc9273"/>
      <w:bookmarkEnd w:id="372"/>
      <w:bookmarkStart w:id="373" w:name="_Toc152045547"/>
      <w:bookmarkEnd w:id="373"/>
      <w:bookmarkStart w:id="374" w:name="_Toc520"/>
      <w:bookmarkEnd w:id="374"/>
      <w:bookmarkStart w:id="375" w:name="_Toc152042323"/>
      <w:bookmarkEnd w:id="375"/>
      <w:bookmarkStart w:id="376" w:name="_Toc24440"/>
      <w:bookmarkEnd w:id="376"/>
      <w:bookmarkStart w:id="377" w:name="_Toc318450691"/>
      <w:bookmarkEnd w:id="377"/>
      <w:bookmarkStart w:id="378" w:name="_Toc10096"/>
      <w:bookmarkEnd w:id="378"/>
      <w:bookmarkStart w:id="379" w:name="_Toc27373"/>
      <w:bookmarkEnd w:id="379"/>
      <w:bookmarkStart w:id="380" w:name="_Toc490667844"/>
      <w:bookmarkEnd w:id="380"/>
      <w:bookmarkStart w:id="381" w:name="_Toc16198"/>
      <w:bookmarkEnd w:id="381"/>
      <w:bookmarkStart w:id="382" w:name="_Toc15810"/>
      <w:bookmarkEnd w:id="382"/>
      <w:bookmarkStart w:id="383" w:name="_Toc144974515"/>
      <w:bookmarkEnd w:id="383"/>
      <w:r>
        <w:rPr>
          <w:rFonts w:hint="eastAsia" w:ascii="宋体" w:hAnsi="宋体" w:eastAsia="宋体" w:cs="宋体"/>
          <w:b/>
          <w:bCs/>
          <w:color w:val="auto"/>
          <w:sz w:val="21"/>
          <w:szCs w:val="21"/>
          <w:highlight w:val="none"/>
        </w:rPr>
        <w:t>3.1 响应文件的组成</w:t>
      </w:r>
    </w:p>
    <w:p>
      <w:pPr>
        <w:pStyle w:val="31"/>
        <w:spacing w:line="360" w:lineRule="auto"/>
        <w:ind w:firstLine="420"/>
        <w:outlineLvl w:val="9"/>
        <w:rPr>
          <w:rFonts w:hint="eastAsia" w:ascii="宋体" w:hAnsi="宋体" w:eastAsia="宋体" w:cs="宋体"/>
          <w:color w:val="auto"/>
          <w:sz w:val="21"/>
          <w:szCs w:val="21"/>
          <w:highlight w:val="none"/>
        </w:rPr>
      </w:pPr>
      <w:bookmarkStart w:id="384" w:name="_Toc490667845"/>
      <w:bookmarkEnd w:id="384"/>
      <w:bookmarkStart w:id="385" w:name="_Toc8768"/>
      <w:bookmarkEnd w:id="385"/>
      <w:bookmarkStart w:id="386" w:name="_Toc22864"/>
      <w:bookmarkEnd w:id="386"/>
      <w:bookmarkStart w:id="387" w:name="_Toc21708"/>
      <w:bookmarkEnd w:id="387"/>
      <w:bookmarkStart w:id="388" w:name="_Toc466298108"/>
      <w:bookmarkEnd w:id="388"/>
      <w:bookmarkStart w:id="389" w:name="_Toc12237"/>
      <w:bookmarkEnd w:id="389"/>
      <w:bookmarkStart w:id="390" w:name="_Toc31433"/>
      <w:bookmarkEnd w:id="390"/>
      <w:bookmarkStart w:id="391" w:name="_Toc779"/>
      <w:bookmarkEnd w:id="391"/>
      <w:bookmarkStart w:id="392" w:name="_Toc18750"/>
      <w:bookmarkEnd w:id="392"/>
      <w:bookmarkStart w:id="393" w:name="_Toc31931"/>
      <w:bookmarkEnd w:id="393"/>
      <w:bookmarkStart w:id="394" w:name="_Toc13280"/>
      <w:bookmarkEnd w:id="394"/>
      <w:bookmarkStart w:id="395" w:name="_Toc28157"/>
      <w:bookmarkEnd w:id="395"/>
      <w:bookmarkStart w:id="396" w:name="_Toc455867785"/>
      <w:bookmarkEnd w:id="396"/>
      <w:bookmarkStart w:id="397" w:name="_Toc455080125"/>
      <w:bookmarkEnd w:id="397"/>
      <w:r>
        <w:rPr>
          <w:rFonts w:hint="eastAsia" w:ascii="宋体" w:hAnsi="宋体" w:eastAsia="宋体" w:cs="宋体"/>
          <w:color w:val="auto"/>
          <w:sz w:val="21"/>
          <w:szCs w:val="21"/>
          <w:highlight w:val="none"/>
        </w:rPr>
        <w:t>详见</w:t>
      </w:r>
      <w:bookmarkStart w:id="398" w:name="_Toc899"/>
      <w:bookmarkEnd w:id="398"/>
      <w:bookmarkStart w:id="399" w:name="_Toc279156232"/>
      <w:bookmarkEnd w:id="399"/>
      <w:bookmarkStart w:id="400" w:name="_Toc152042324"/>
      <w:bookmarkEnd w:id="400"/>
      <w:bookmarkStart w:id="401" w:name="_Toc318450692"/>
      <w:bookmarkEnd w:id="401"/>
      <w:bookmarkStart w:id="402" w:name="_Toc26291"/>
      <w:bookmarkEnd w:id="402"/>
      <w:bookmarkStart w:id="403" w:name="_Toc152045548"/>
      <w:bookmarkEnd w:id="403"/>
      <w:bookmarkStart w:id="404" w:name="_Toc144974516"/>
      <w:bookmarkEnd w:id="404"/>
      <w:r>
        <w:rPr>
          <w:rFonts w:hint="eastAsia" w:ascii="宋体" w:hAnsi="宋体" w:eastAsia="宋体" w:cs="宋体"/>
          <w:color w:val="auto"/>
          <w:sz w:val="21"/>
          <w:szCs w:val="21"/>
          <w:highlight w:val="none"/>
        </w:rPr>
        <w:t>第六章“竞争性磋商响应文件格式”。</w:t>
      </w:r>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3.2 磋商报价</w:t>
      </w:r>
      <w:bookmarkStart w:id="405" w:name="_Toc21600"/>
      <w:bookmarkEnd w:id="405"/>
      <w:bookmarkStart w:id="406" w:name="_Toc7910"/>
      <w:bookmarkEnd w:id="406"/>
      <w:bookmarkStart w:id="407" w:name="_Toc25387"/>
      <w:bookmarkEnd w:id="407"/>
      <w:bookmarkStart w:id="408" w:name="_Toc2425"/>
      <w:bookmarkEnd w:id="408"/>
      <w:bookmarkStart w:id="409" w:name="_Toc12402"/>
      <w:bookmarkEnd w:id="409"/>
      <w:bookmarkStart w:id="410" w:name="_Toc3624"/>
      <w:bookmarkEnd w:id="410"/>
      <w:bookmarkStart w:id="411" w:name="_Toc318450693"/>
      <w:bookmarkEnd w:id="411"/>
      <w:bookmarkStart w:id="412" w:name="_Toc490667846"/>
      <w:bookmarkEnd w:id="412"/>
      <w:bookmarkStart w:id="413" w:name="_Toc152045549"/>
      <w:bookmarkEnd w:id="413"/>
      <w:bookmarkStart w:id="414" w:name="_Toc11968"/>
      <w:bookmarkEnd w:id="414"/>
      <w:bookmarkStart w:id="415" w:name="_Toc21680"/>
      <w:bookmarkEnd w:id="415"/>
      <w:bookmarkStart w:id="416" w:name="_Toc455867786"/>
      <w:bookmarkEnd w:id="416"/>
      <w:bookmarkStart w:id="417" w:name="_Toc6105"/>
      <w:bookmarkEnd w:id="417"/>
      <w:bookmarkStart w:id="418" w:name="_Toc7105"/>
      <w:bookmarkEnd w:id="418"/>
      <w:bookmarkStart w:id="419" w:name="_Toc29133"/>
      <w:bookmarkEnd w:id="419"/>
      <w:bookmarkStart w:id="420" w:name="_Toc455080126"/>
      <w:bookmarkEnd w:id="420"/>
      <w:bookmarkStart w:id="421" w:name="_Toc466298109"/>
      <w:bookmarkEnd w:id="421"/>
      <w:bookmarkStart w:id="422" w:name="_Toc144974517"/>
      <w:bookmarkEnd w:id="422"/>
      <w:bookmarkStart w:id="423" w:name="_Toc152042325"/>
      <w:bookmarkEnd w:id="423"/>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 本项目的磋商报价应按照磋商文件、补充通知、答疑纪要、现场情况、承包范围，并充分考虑施工期间各类材料、人工市场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供应商应充分了解该项目的总体情况以及影响磋商报价的其它要素，考虑施工期间的价格风险因素，成交价在合同实施期内不得调整，同时也不因市场价格变动而调整。</w:t>
      </w:r>
    </w:p>
    <w:p>
      <w:pPr>
        <w:pStyle w:val="31"/>
        <w:spacing w:line="360" w:lineRule="auto"/>
        <w:ind w:firstLine="420"/>
        <w:outlineLvl w:val="0"/>
        <w:rPr>
          <w:rFonts w:hint="eastAsia" w:ascii="宋体" w:hAnsi="宋体" w:eastAsia="宋体" w:cs="宋体"/>
          <w:color w:val="auto"/>
          <w:sz w:val="21"/>
          <w:szCs w:val="21"/>
          <w:highlight w:val="none"/>
        </w:rPr>
      </w:pPr>
      <w:bookmarkStart w:id="424" w:name="_Toc4789"/>
      <w:bookmarkEnd w:id="424"/>
      <w:bookmarkStart w:id="425" w:name="_Toc20792"/>
      <w:bookmarkEnd w:id="425"/>
      <w:bookmarkStart w:id="426" w:name="_Toc22477"/>
      <w:bookmarkStart w:id="427" w:name="_Toc12952"/>
      <w:bookmarkStart w:id="428" w:name="_Toc25589"/>
      <w:r>
        <w:rPr>
          <w:rFonts w:hint="eastAsia" w:ascii="宋体" w:hAnsi="宋体" w:eastAsia="宋体" w:cs="宋体"/>
          <w:color w:val="auto"/>
          <w:sz w:val="21"/>
          <w:szCs w:val="21"/>
          <w:highlight w:val="none"/>
        </w:rPr>
        <w:t>3.2.3 响应报价表中的大写金额和小写金额不一致的，以大写金额为准。</w:t>
      </w:r>
      <w:bookmarkEnd w:id="426"/>
      <w:bookmarkEnd w:id="427"/>
      <w:bookmarkEnd w:id="428"/>
    </w:p>
    <w:p>
      <w:pPr>
        <w:pStyle w:val="31"/>
        <w:spacing w:line="360" w:lineRule="auto"/>
        <w:ind w:firstLine="420"/>
        <w:outlineLvl w:val="0"/>
        <w:rPr>
          <w:rFonts w:hint="eastAsia" w:ascii="宋体" w:hAnsi="宋体" w:eastAsia="宋体" w:cs="宋体"/>
          <w:color w:val="auto"/>
          <w:sz w:val="21"/>
          <w:szCs w:val="21"/>
          <w:highlight w:val="none"/>
        </w:rPr>
      </w:pPr>
      <w:bookmarkStart w:id="429" w:name="_Toc25341"/>
      <w:bookmarkEnd w:id="429"/>
      <w:bookmarkStart w:id="430" w:name="_Toc4174"/>
      <w:bookmarkEnd w:id="430"/>
      <w:bookmarkStart w:id="431" w:name="_Toc56"/>
      <w:bookmarkStart w:id="432" w:name="_Toc10334"/>
      <w:bookmarkStart w:id="433" w:name="_Toc17894"/>
      <w:r>
        <w:rPr>
          <w:rFonts w:hint="eastAsia" w:ascii="宋体" w:hAnsi="宋体" w:eastAsia="宋体" w:cs="宋体"/>
          <w:color w:val="auto"/>
          <w:sz w:val="21"/>
          <w:szCs w:val="21"/>
          <w:highlight w:val="none"/>
        </w:rPr>
        <w:t>3.2.4 供应商的报价明显低于其他通过符合性审查供应商的报价，有可能影响施工质量或者不能诚信履约的，磋商委员会应当要求其在磋商现场合理的时间内提供书面说明，必要时提交相关证明材料；供应商不能证明其报价合理性的，磋商委员会应当将其作为无效投标处理。</w:t>
      </w:r>
      <w:bookmarkEnd w:id="431"/>
      <w:bookmarkEnd w:id="432"/>
      <w:bookmarkEnd w:id="433"/>
      <w:r>
        <w:rPr>
          <w:rFonts w:hint="eastAsia" w:ascii="宋体" w:hAnsi="宋体" w:eastAsia="宋体" w:cs="宋体"/>
          <w:color w:val="auto"/>
          <w:sz w:val="21"/>
          <w:szCs w:val="21"/>
          <w:highlight w:val="none"/>
        </w:rPr>
        <w:t xml:space="preserve"> </w:t>
      </w:r>
    </w:p>
    <w:p>
      <w:pPr>
        <w:pStyle w:val="31"/>
        <w:spacing w:line="360" w:lineRule="auto"/>
        <w:ind w:firstLine="422"/>
        <w:outlineLvl w:val="0"/>
        <w:rPr>
          <w:rFonts w:hint="eastAsia" w:ascii="宋体" w:hAnsi="宋体" w:eastAsia="宋体" w:cs="宋体"/>
          <w:b/>
          <w:bCs/>
          <w:color w:val="auto"/>
          <w:sz w:val="21"/>
          <w:szCs w:val="21"/>
          <w:highlight w:val="none"/>
        </w:rPr>
      </w:pPr>
      <w:bookmarkStart w:id="434" w:name="_Toc179"/>
      <w:bookmarkEnd w:id="434"/>
      <w:bookmarkStart w:id="435" w:name="_Toc10498"/>
      <w:bookmarkEnd w:id="435"/>
      <w:bookmarkStart w:id="436" w:name="_Toc7046"/>
      <w:bookmarkStart w:id="437" w:name="_Toc13184"/>
      <w:bookmarkStart w:id="438" w:name="_Toc17608"/>
      <w:r>
        <w:rPr>
          <w:rFonts w:hint="eastAsia" w:ascii="宋体" w:hAnsi="宋体" w:eastAsia="宋体" w:cs="宋体"/>
          <w:b/>
          <w:bCs/>
          <w:color w:val="auto"/>
          <w:sz w:val="21"/>
          <w:szCs w:val="21"/>
          <w:highlight w:val="none"/>
        </w:rPr>
        <w:t>3.3 磋商有效期</w:t>
      </w:r>
      <w:bookmarkEnd w:id="436"/>
      <w:bookmarkEnd w:id="437"/>
      <w:bookmarkEnd w:id="438"/>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在供应商须知前附表规定的磋商有效期内，供应商不得要求撤销或修改其响应文件。</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出现特殊情况需要延长磋商有效期的，采购人以书面形式通知所有供应商延长磋商有效期。供应商同意延长的，但不得要求或被允许修改或撤销其响应文件；供应商拒绝延长的，其响应文件失效。</w:t>
      </w:r>
      <w:bookmarkStart w:id="439" w:name="_Toc455867787"/>
      <w:bookmarkEnd w:id="439"/>
      <w:bookmarkStart w:id="440" w:name="_Toc7057"/>
      <w:bookmarkEnd w:id="440"/>
      <w:bookmarkStart w:id="441" w:name="_Toc466298110"/>
      <w:bookmarkEnd w:id="441"/>
      <w:bookmarkStart w:id="442" w:name="_Toc318450694"/>
      <w:bookmarkEnd w:id="442"/>
      <w:bookmarkStart w:id="443" w:name="_Toc455080127"/>
      <w:bookmarkEnd w:id="443"/>
      <w:bookmarkStart w:id="444" w:name="_Toc8406"/>
      <w:bookmarkEnd w:id="444"/>
      <w:bookmarkStart w:id="445" w:name="_Toc7618"/>
      <w:bookmarkEnd w:id="445"/>
      <w:bookmarkStart w:id="446" w:name="_Toc144974518"/>
      <w:bookmarkEnd w:id="446"/>
      <w:bookmarkStart w:id="447" w:name="_Toc2505"/>
      <w:bookmarkEnd w:id="447"/>
      <w:bookmarkStart w:id="448" w:name="_Toc13921"/>
      <w:bookmarkEnd w:id="448"/>
      <w:bookmarkStart w:id="449" w:name="_Toc490667847"/>
      <w:bookmarkEnd w:id="449"/>
      <w:bookmarkStart w:id="450" w:name="_Toc7973"/>
      <w:bookmarkEnd w:id="450"/>
      <w:bookmarkStart w:id="451" w:name="_Toc152045550"/>
      <w:bookmarkEnd w:id="451"/>
      <w:bookmarkStart w:id="452" w:name="_Toc152042326"/>
      <w:bookmarkEnd w:id="452"/>
      <w:bookmarkStart w:id="453" w:name="_Toc22634"/>
      <w:bookmarkEnd w:id="453"/>
      <w:bookmarkStart w:id="454" w:name="_Toc10370"/>
      <w:bookmarkEnd w:id="454"/>
      <w:bookmarkStart w:id="455" w:name="_Toc30697"/>
      <w:bookmarkEnd w:id="455"/>
      <w:bookmarkStart w:id="456" w:name="_Toc4165"/>
      <w:bookmarkEnd w:id="456"/>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3.4 磋商保证金</w:t>
      </w:r>
      <w:bookmarkStart w:id="457" w:name="_Toc318450695"/>
      <w:bookmarkEnd w:id="457"/>
      <w:bookmarkStart w:id="458" w:name="_Toc152042328"/>
      <w:bookmarkEnd w:id="458"/>
      <w:bookmarkStart w:id="459" w:name="_Toc152045552"/>
      <w:bookmarkEnd w:id="459"/>
      <w:bookmarkStart w:id="460" w:name="_Toc144974520"/>
      <w:bookmarkEnd w:id="460"/>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无。</w:t>
      </w:r>
      <w:bookmarkStart w:id="461" w:name="_Toc16747"/>
      <w:bookmarkEnd w:id="461"/>
      <w:bookmarkStart w:id="462" w:name="_Toc490667848"/>
      <w:bookmarkEnd w:id="462"/>
      <w:bookmarkStart w:id="463" w:name="_Toc22384"/>
      <w:bookmarkEnd w:id="463"/>
      <w:bookmarkStart w:id="464" w:name="_Toc20328"/>
      <w:bookmarkEnd w:id="464"/>
      <w:bookmarkStart w:id="465" w:name="_Toc13680"/>
      <w:bookmarkEnd w:id="465"/>
      <w:bookmarkStart w:id="466" w:name="_Toc11077"/>
      <w:bookmarkEnd w:id="466"/>
      <w:bookmarkStart w:id="467" w:name="_Toc2794"/>
      <w:bookmarkEnd w:id="467"/>
      <w:bookmarkStart w:id="468" w:name="_Toc455080128"/>
      <w:bookmarkEnd w:id="468"/>
      <w:bookmarkStart w:id="469" w:name="_Toc27579"/>
      <w:bookmarkEnd w:id="469"/>
      <w:bookmarkStart w:id="470" w:name="_Toc22527"/>
      <w:bookmarkEnd w:id="470"/>
      <w:bookmarkStart w:id="471" w:name="_Toc15547"/>
      <w:bookmarkEnd w:id="471"/>
      <w:bookmarkStart w:id="472" w:name="_Toc17153"/>
      <w:bookmarkEnd w:id="472"/>
      <w:bookmarkStart w:id="473" w:name="_Toc455867788"/>
      <w:bookmarkEnd w:id="473"/>
      <w:bookmarkStart w:id="474" w:name="_Toc466298111"/>
      <w:bookmarkEnd w:id="474"/>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3.5 资格审查资料</w:t>
      </w:r>
      <w:bookmarkStart w:id="475" w:name="_Toc19724"/>
      <w:bookmarkEnd w:id="475"/>
      <w:bookmarkStart w:id="476" w:name="_Toc152045553"/>
      <w:bookmarkEnd w:id="476"/>
      <w:bookmarkStart w:id="477" w:name="_Toc26258"/>
      <w:bookmarkEnd w:id="477"/>
      <w:bookmarkStart w:id="478" w:name="_Toc9015"/>
      <w:bookmarkEnd w:id="478"/>
      <w:bookmarkStart w:id="479" w:name="_Toc152042329"/>
      <w:bookmarkEnd w:id="479"/>
      <w:bookmarkStart w:id="480" w:name="_Toc11694"/>
      <w:bookmarkEnd w:id="480"/>
      <w:bookmarkStart w:id="481" w:name="_Toc318450696"/>
      <w:bookmarkEnd w:id="481"/>
      <w:bookmarkStart w:id="482" w:name="_Toc4586"/>
      <w:bookmarkEnd w:id="482"/>
      <w:bookmarkStart w:id="483" w:name="_Toc3286"/>
      <w:bookmarkEnd w:id="483"/>
      <w:bookmarkStart w:id="484" w:name="_Toc455867789"/>
      <w:bookmarkEnd w:id="484"/>
      <w:bookmarkStart w:id="485" w:name="_Toc18915"/>
      <w:bookmarkEnd w:id="485"/>
      <w:bookmarkStart w:id="486" w:name="_Toc30442"/>
      <w:bookmarkEnd w:id="486"/>
      <w:bookmarkStart w:id="487" w:name="_Toc466298112"/>
      <w:bookmarkEnd w:id="487"/>
      <w:bookmarkStart w:id="488" w:name="_Toc455080129"/>
      <w:bookmarkEnd w:id="488"/>
      <w:bookmarkStart w:id="489" w:name="_Toc1228"/>
      <w:bookmarkEnd w:id="489"/>
      <w:bookmarkStart w:id="490" w:name="_Toc5132"/>
      <w:bookmarkEnd w:id="490"/>
      <w:bookmarkStart w:id="491" w:name="_Toc490667849"/>
      <w:bookmarkEnd w:id="491"/>
      <w:bookmarkStart w:id="492" w:name="_Toc144974521"/>
      <w:bookmarkEnd w:id="492"/>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按照第二章供应商须知表“供应商须知前附表”1.5.1要求，提供其他相关材料。</w:t>
      </w:r>
      <w:bookmarkStart w:id="493" w:name="_Toc24859"/>
      <w:bookmarkEnd w:id="493"/>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3.6 备选方案</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除供应商须知前附表另有规定外，供应商不得递交备选磋商方案。</w:t>
      </w:r>
    </w:p>
    <w:p>
      <w:pPr>
        <w:pStyle w:val="31"/>
        <w:spacing w:line="360" w:lineRule="auto"/>
        <w:ind w:firstLine="422"/>
        <w:outlineLvl w:val="0"/>
        <w:rPr>
          <w:rFonts w:hint="eastAsia" w:ascii="宋体" w:hAnsi="宋体" w:eastAsia="宋体" w:cs="宋体"/>
          <w:b/>
          <w:bCs/>
          <w:color w:val="auto"/>
          <w:sz w:val="21"/>
          <w:szCs w:val="21"/>
          <w:highlight w:val="none"/>
        </w:rPr>
      </w:pPr>
      <w:bookmarkStart w:id="494" w:name="_Toc25620"/>
      <w:bookmarkEnd w:id="494"/>
      <w:bookmarkStart w:id="495" w:name="_Toc11944"/>
      <w:bookmarkEnd w:id="495"/>
      <w:bookmarkStart w:id="496" w:name="_Toc455080130"/>
      <w:bookmarkEnd w:id="496"/>
      <w:bookmarkStart w:id="497" w:name="_Toc466298113"/>
      <w:bookmarkEnd w:id="497"/>
      <w:bookmarkStart w:id="498" w:name="_Toc29608"/>
      <w:bookmarkEnd w:id="498"/>
      <w:bookmarkStart w:id="499" w:name="_Toc144974522"/>
      <w:bookmarkEnd w:id="499"/>
      <w:bookmarkStart w:id="500" w:name="_Toc152045554"/>
      <w:bookmarkEnd w:id="500"/>
      <w:bookmarkStart w:id="501" w:name="_Toc7626"/>
      <w:bookmarkEnd w:id="501"/>
      <w:bookmarkStart w:id="502" w:name="_Toc152042330"/>
      <w:bookmarkEnd w:id="502"/>
      <w:bookmarkStart w:id="503" w:name="_Toc7966"/>
      <w:bookmarkEnd w:id="503"/>
      <w:bookmarkStart w:id="504" w:name="_Toc17697"/>
      <w:bookmarkEnd w:id="504"/>
      <w:bookmarkStart w:id="505" w:name="_Toc490667850"/>
      <w:bookmarkEnd w:id="505"/>
      <w:bookmarkStart w:id="506" w:name="_Toc18912"/>
      <w:bookmarkEnd w:id="506"/>
      <w:bookmarkStart w:id="507" w:name="_Toc318450697"/>
      <w:bookmarkEnd w:id="507"/>
      <w:bookmarkStart w:id="508" w:name="_Toc12541"/>
      <w:bookmarkEnd w:id="508"/>
      <w:bookmarkStart w:id="509" w:name="_Toc12275"/>
      <w:bookmarkEnd w:id="509"/>
      <w:bookmarkStart w:id="510" w:name="_Toc455867790"/>
      <w:bookmarkEnd w:id="510"/>
      <w:bookmarkStart w:id="511" w:name="_Toc6323"/>
      <w:bookmarkEnd w:id="511"/>
      <w:bookmarkStart w:id="512" w:name="_Toc28656"/>
      <w:bookmarkEnd w:id="512"/>
      <w:bookmarkStart w:id="513" w:name="_Toc5516"/>
      <w:bookmarkEnd w:id="513"/>
      <w:bookmarkStart w:id="514" w:name="_Toc17903"/>
      <w:bookmarkStart w:id="515" w:name="_Toc20031"/>
      <w:bookmarkStart w:id="516" w:name="_Toc25045"/>
      <w:r>
        <w:rPr>
          <w:rFonts w:hint="eastAsia" w:ascii="宋体" w:hAnsi="宋体" w:eastAsia="宋体" w:cs="宋体"/>
          <w:b/>
          <w:bCs/>
          <w:color w:val="auto"/>
          <w:sz w:val="21"/>
          <w:szCs w:val="21"/>
          <w:highlight w:val="none"/>
        </w:rPr>
        <w:t>3.7 响应文件的编制</w:t>
      </w:r>
      <w:bookmarkEnd w:id="514"/>
      <w:bookmarkEnd w:id="515"/>
      <w:bookmarkEnd w:id="516"/>
    </w:p>
    <w:p>
      <w:pPr>
        <w:spacing w:line="360" w:lineRule="auto"/>
        <w:ind w:firstLine="420"/>
        <w:rPr>
          <w:rFonts w:hint="eastAsia" w:ascii="宋体" w:hAnsi="宋体" w:eastAsia="宋体" w:cs="宋体"/>
          <w:color w:val="auto"/>
          <w:szCs w:val="21"/>
          <w:highlight w:val="none"/>
        </w:rPr>
      </w:pPr>
      <w:bookmarkStart w:id="517" w:name="_Toc144974523"/>
      <w:bookmarkEnd w:id="517"/>
      <w:bookmarkStart w:id="518" w:name="_Toc455080131"/>
      <w:bookmarkEnd w:id="518"/>
      <w:bookmarkStart w:id="519" w:name="_Toc152045555"/>
      <w:bookmarkEnd w:id="519"/>
      <w:bookmarkStart w:id="520" w:name="_Toc152042331"/>
      <w:bookmarkEnd w:id="520"/>
      <w:r>
        <w:rPr>
          <w:rFonts w:hint="eastAsia" w:ascii="宋体" w:hAnsi="宋体" w:eastAsia="宋体" w:cs="宋体"/>
          <w:color w:val="auto"/>
          <w:szCs w:val="21"/>
          <w:highlight w:val="none"/>
        </w:rPr>
        <w:t>3.7.1 响应文件应按第六章“竞争性磋商响应文件格式”进行编写，如有必要，可以增加附页，作为响应文件的组成部分。其中，磋商函附录在满足磋商文件实质性要求的基础上，可以提出比磋商文件要求更有利于采购人的承诺。</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 响应文件应当对磋商文件有关计划工期、磋商有效期、质量要求、采购内容作出响应。</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 3响应文件应使用信阳市公共资源交易系统响应文件制作专用工具软件编制，响应文件格式为“*.XYTF”。电子响应文件签字或盖章的具体要求见供应商须知前附表。磋商文件费用网上支付，支付成功后，方可上传电子响应文件。（政府采购类项目不收取磋商文件费用）。供应商须在响应文件递交截止时间前制作并提交。</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3.7.4 响应文件份数见供应商须知前附表。</w:t>
      </w:r>
      <w:bookmarkStart w:id="521" w:name="_Toc19433"/>
      <w:bookmarkEnd w:id="521"/>
    </w:p>
    <w:p>
      <w:pPr>
        <w:spacing w:line="360" w:lineRule="auto"/>
        <w:ind w:firstLine="422"/>
        <w:outlineLvl w:val="1"/>
        <w:rPr>
          <w:rFonts w:hint="eastAsia" w:ascii="宋体" w:hAnsi="宋体" w:eastAsia="宋体" w:cs="宋体"/>
          <w:b/>
          <w:bCs/>
          <w:color w:val="auto"/>
          <w:szCs w:val="21"/>
          <w:highlight w:val="none"/>
        </w:rPr>
      </w:pPr>
      <w:bookmarkStart w:id="522" w:name="_Toc29105"/>
      <w:r>
        <w:rPr>
          <w:rFonts w:hint="eastAsia" w:ascii="宋体" w:hAnsi="宋体" w:eastAsia="宋体" w:cs="宋体"/>
          <w:b/>
          <w:bCs/>
          <w:color w:val="auto"/>
          <w:szCs w:val="21"/>
          <w:highlight w:val="none"/>
        </w:rPr>
        <w:t>4. 磋商</w:t>
      </w:r>
      <w:bookmarkEnd w:id="522"/>
      <w:bookmarkStart w:id="523" w:name="_Toc318450699"/>
      <w:bookmarkEnd w:id="523"/>
      <w:bookmarkStart w:id="524" w:name="_Toc466298115"/>
      <w:bookmarkEnd w:id="524"/>
      <w:bookmarkStart w:id="525" w:name="_Toc455867792"/>
      <w:bookmarkEnd w:id="525"/>
      <w:bookmarkStart w:id="526" w:name="_Toc144974524"/>
      <w:bookmarkEnd w:id="526"/>
      <w:bookmarkStart w:id="527" w:name="_Toc490667852"/>
      <w:bookmarkEnd w:id="527"/>
      <w:bookmarkStart w:id="528" w:name="_Toc18820"/>
      <w:bookmarkEnd w:id="528"/>
      <w:bookmarkStart w:id="529" w:name="_Toc22961"/>
      <w:bookmarkEnd w:id="529"/>
      <w:bookmarkStart w:id="530" w:name="_Toc455080132"/>
      <w:bookmarkEnd w:id="530"/>
      <w:bookmarkStart w:id="531" w:name="_Toc26583"/>
      <w:bookmarkEnd w:id="531"/>
      <w:bookmarkStart w:id="532" w:name="_Toc31492"/>
      <w:bookmarkEnd w:id="532"/>
      <w:bookmarkStart w:id="533" w:name="_Toc152045556"/>
      <w:bookmarkEnd w:id="533"/>
      <w:bookmarkStart w:id="534" w:name="_Toc16783"/>
      <w:bookmarkEnd w:id="534"/>
      <w:bookmarkStart w:id="535" w:name="_Toc26550"/>
      <w:bookmarkEnd w:id="535"/>
      <w:bookmarkStart w:id="536" w:name="_Toc16962"/>
      <w:bookmarkEnd w:id="536"/>
      <w:bookmarkStart w:id="537" w:name="_Toc152042332"/>
      <w:bookmarkEnd w:id="537"/>
      <w:bookmarkStart w:id="538" w:name="_Toc21145"/>
      <w:bookmarkEnd w:id="538"/>
      <w:bookmarkStart w:id="539" w:name="_Toc11243"/>
      <w:bookmarkEnd w:id="539"/>
      <w:bookmarkStart w:id="540" w:name="_Toc16344"/>
      <w:bookmarkEnd w:id="540"/>
    </w:p>
    <w:p>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4.1 响应文件的上传</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4.1.1网上上传的电子响应文件应使用供应商数字证书认证并加密。</w:t>
      </w:r>
    </w:p>
    <w:p>
      <w:pPr>
        <w:pStyle w:val="31"/>
        <w:spacing w:line="360" w:lineRule="auto"/>
        <w:ind w:firstLine="422"/>
        <w:outlineLvl w:val="0"/>
        <w:rPr>
          <w:rFonts w:hint="eastAsia" w:ascii="宋体" w:hAnsi="宋体" w:eastAsia="宋体" w:cs="宋体"/>
          <w:b/>
          <w:bCs/>
          <w:color w:val="auto"/>
          <w:sz w:val="21"/>
          <w:szCs w:val="21"/>
          <w:highlight w:val="none"/>
        </w:rPr>
      </w:pPr>
      <w:bookmarkStart w:id="541" w:name="_Toc490667853"/>
      <w:bookmarkEnd w:id="541"/>
      <w:bookmarkStart w:id="542" w:name="_Toc144974525"/>
      <w:bookmarkEnd w:id="542"/>
      <w:bookmarkStart w:id="543" w:name="_Toc14158"/>
      <w:bookmarkEnd w:id="543"/>
      <w:bookmarkStart w:id="544" w:name="_Toc462"/>
      <w:bookmarkEnd w:id="544"/>
      <w:bookmarkStart w:id="545" w:name="_Toc7663"/>
      <w:bookmarkEnd w:id="545"/>
      <w:bookmarkStart w:id="546" w:name="_Toc152042333"/>
      <w:bookmarkEnd w:id="546"/>
      <w:bookmarkStart w:id="547" w:name="_Toc152045557"/>
      <w:bookmarkEnd w:id="547"/>
      <w:bookmarkStart w:id="548" w:name="_Toc455867793"/>
      <w:bookmarkEnd w:id="548"/>
      <w:bookmarkStart w:id="549" w:name="_Toc20873"/>
      <w:bookmarkEnd w:id="549"/>
      <w:bookmarkStart w:id="550" w:name="_Toc318450700"/>
      <w:bookmarkEnd w:id="550"/>
      <w:bookmarkStart w:id="551" w:name="_Toc20259"/>
      <w:bookmarkEnd w:id="551"/>
      <w:bookmarkStart w:id="552" w:name="_Toc466298116"/>
      <w:bookmarkEnd w:id="552"/>
      <w:bookmarkStart w:id="553" w:name="_Toc455080133"/>
      <w:bookmarkEnd w:id="553"/>
      <w:bookmarkStart w:id="554" w:name="_Toc21072"/>
      <w:bookmarkEnd w:id="554"/>
      <w:bookmarkStart w:id="555" w:name="_Toc28272"/>
      <w:bookmarkEnd w:id="555"/>
      <w:bookmarkStart w:id="556" w:name="_Toc16832"/>
      <w:bookmarkEnd w:id="556"/>
      <w:bookmarkStart w:id="557" w:name="_Toc8754"/>
      <w:bookmarkEnd w:id="557"/>
      <w:bookmarkStart w:id="558" w:name="_Toc27132"/>
      <w:bookmarkEnd w:id="558"/>
      <w:bookmarkStart w:id="559" w:name="_Toc21897"/>
      <w:bookmarkEnd w:id="559"/>
      <w:bookmarkStart w:id="560" w:name="_Toc4767"/>
      <w:bookmarkEnd w:id="560"/>
      <w:bookmarkStart w:id="561" w:name="_Toc19653"/>
      <w:bookmarkStart w:id="562" w:name="_Toc14332"/>
      <w:bookmarkStart w:id="563" w:name="_Toc4232"/>
      <w:r>
        <w:rPr>
          <w:rFonts w:hint="eastAsia" w:ascii="宋体" w:hAnsi="宋体" w:eastAsia="宋体" w:cs="宋体"/>
          <w:b/>
          <w:bCs/>
          <w:color w:val="auto"/>
          <w:sz w:val="21"/>
          <w:szCs w:val="21"/>
          <w:highlight w:val="none"/>
        </w:rPr>
        <w:t>4.2 响应文件的递交</w:t>
      </w:r>
      <w:bookmarkEnd w:id="561"/>
      <w:bookmarkEnd w:id="562"/>
      <w:bookmarkEnd w:id="563"/>
    </w:p>
    <w:p>
      <w:pPr>
        <w:spacing w:line="360" w:lineRule="auto"/>
        <w:ind w:firstLine="420"/>
        <w:rPr>
          <w:rFonts w:hint="eastAsia" w:ascii="宋体" w:hAnsi="宋体" w:eastAsia="宋体" w:cs="宋体"/>
          <w:color w:val="auto"/>
          <w:szCs w:val="21"/>
          <w:highlight w:val="none"/>
        </w:rPr>
      </w:pPr>
      <w:bookmarkStart w:id="564" w:name="_Toc20281"/>
      <w:bookmarkEnd w:id="564"/>
      <w:bookmarkStart w:id="565" w:name="_Toc17161"/>
      <w:bookmarkEnd w:id="565"/>
      <w:bookmarkStart w:id="566" w:name="_Toc11817"/>
      <w:bookmarkEnd w:id="566"/>
      <w:bookmarkStart w:id="567" w:name="_Toc152045558"/>
      <w:bookmarkEnd w:id="567"/>
      <w:bookmarkStart w:id="568" w:name="_Toc455867794"/>
      <w:bookmarkEnd w:id="568"/>
      <w:bookmarkStart w:id="569" w:name="_Toc30860"/>
      <w:bookmarkEnd w:id="569"/>
      <w:bookmarkStart w:id="570" w:name="_Toc490667854"/>
      <w:bookmarkEnd w:id="570"/>
      <w:bookmarkStart w:id="571" w:name="_Toc21890"/>
      <w:bookmarkEnd w:id="571"/>
      <w:bookmarkStart w:id="572" w:name="_Toc466298117"/>
      <w:bookmarkEnd w:id="572"/>
      <w:bookmarkStart w:id="573" w:name="_Toc318450701"/>
      <w:bookmarkEnd w:id="573"/>
      <w:bookmarkStart w:id="574" w:name="_Toc2952"/>
      <w:bookmarkEnd w:id="574"/>
      <w:bookmarkStart w:id="575" w:name="_Toc152042334"/>
      <w:bookmarkEnd w:id="575"/>
      <w:bookmarkStart w:id="576" w:name="_Toc144974526"/>
      <w:bookmarkEnd w:id="576"/>
      <w:bookmarkStart w:id="577" w:name="_Toc26684"/>
      <w:bookmarkEnd w:id="577"/>
      <w:bookmarkStart w:id="578" w:name="_Toc5102"/>
      <w:bookmarkEnd w:id="578"/>
      <w:bookmarkStart w:id="579" w:name="_Toc19951"/>
      <w:bookmarkEnd w:id="579"/>
      <w:bookmarkStart w:id="580" w:name="_Toc455080134"/>
      <w:bookmarkEnd w:id="580"/>
      <w:r>
        <w:rPr>
          <w:rFonts w:hint="eastAsia" w:ascii="宋体" w:hAnsi="宋体" w:eastAsia="宋体" w:cs="宋体"/>
          <w:color w:val="auto"/>
          <w:szCs w:val="21"/>
          <w:highlight w:val="none"/>
        </w:rPr>
        <w:t>4.2.1电子响应文件的递交</w:t>
      </w:r>
    </w:p>
    <w:p>
      <w:pPr>
        <w:spacing w:line="360" w:lineRule="auto"/>
        <w:ind w:firstLine="420"/>
        <w:rPr>
          <w:rFonts w:hint="eastAsia" w:ascii="宋体" w:hAnsi="宋体" w:eastAsia="宋体" w:cs="宋体"/>
          <w:color w:val="auto"/>
          <w:highlight w:val="none"/>
          <w:shd w:val="clear" w:fill="FFFFFF"/>
        </w:rPr>
      </w:pPr>
      <w:r>
        <w:rPr>
          <w:rFonts w:hint="eastAsia" w:ascii="宋体" w:hAnsi="宋体" w:eastAsia="宋体" w:cs="宋体"/>
          <w:color w:val="auto"/>
          <w:szCs w:val="21"/>
          <w:highlight w:val="none"/>
        </w:rPr>
        <w:t>各供应商应在响应文件提交时间前上传加密的电子响应文件（*.XYTF）到会员系统的指定位置。上传的电子响应文件应使用供应商CA数字证书认证并加密。上传时必须得到交易系统“上传成功”的确认回复后方为上传成功。请供应商在上传前务必认真检查上传响应文件是否完整、正确。</w:t>
      </w:r>
    </w:p>
    <w:p>
      <w:pPr>
        <w:pStyle w:val="31"/>
        <w:spacing w:line="360" w:lineRule="auto"/>
        <w:ind w:firstLine="422"/>
        <w:outlineLvl w:val="0"/>
        <w:rPr>
          <w:rFonts w:hint="eastAsia" w:ascii="宋体" w:hAnsi="宋体" w:eastAsia="宋体" w:cs="宋体"/>
          <w:b/>
          <w:bCs/>
          <w:color w:val="auto"/>
          <w:sz w:val="21"/>
          <w:szCs w:val="21"/>
          <w:highlight w:val="none"/>
        </w:rPr>
      </w:pPr>
      <w:bookmarkStart w:id="581" w:name="_Toc667"/>
      <w:bookmarkEnd w:id="581"/>
      <w:bookmarkStart w:id="582" w:name="_Toc30201"/>
      <w:bookmarkEnd w:id="582"/>
      <w:bookmarkStart w:id="583" w:name="_Toc1790"/>
      <w:bookmarkEnd w:id="583"/>
      <w:bookmarkStart w:id="584" w:name="_Toc28707"/>
      <w:bookmarkStart w:id="585" w:name="_Toc15048"/>
      <w:bookmarkStart w:id="586" w:name="_Toc12351"/>
      <w:r>
        <w:rPr>
          <w:rFonts w:hint="eastAsia" w:ascii="宋体" w:hAnsi="宋体" w:eastAsia="宋体" w:cs="宋体"/>
          <w:b/>
          <w:bCs/>
          <w:color w:val="auto"/>
          <w:sz w:val="21"/>
          <w:szCs w:val="21"/>
          <w:highlight w:val="none"/>
        </w:rPr>
        <w:t>4.3 响应文件的修改与撤回</w:t>
      </w:r>
      <w:bookmarkEnd w:id="584"/>
      <w:bookmarkEnd w:id="585"/>
      <w:bookmarkEnd w:id="586"/>
    </w:p>
    <w:p>
      <w:pPr>
        <w:spacing w:line="360" w:lineRule="auto"/>
        <w:ind w:firstLine="420"/>
        <w:rPr>
          <w:rFonts w:hint="eastAsia" w:ascii="宋体" w:hAnsi="宋体" w:eastAsia="宋体" w:cs="宋体"/>
          <w:color w:val="auto"/>
          <w:szCs w:val="21"/>
          <w:highlight w:val="none"/>
        </w:rPr>
      </w:pPr>
      <w:bookmarkStart w:id="587" w:name="_Toc152042335"/>
      <w:bookmarkEnd w:id="587"/>
      <w:bookmarkStart w:id="588" w:name="_Toc144974527"/>
      <w:bookmarkEnd w:id="588"/>
      <w:bookmarkStart w:id="589" w:name="_Toc152045559"/>
      <w:bookmarkEnd w:id="589"/>
      <w:bookmarkStart w:id="590" w:name="_Toc455080135"/>
      <w:bookmarkEnd w:id="590"/>
      <w:r>
        <w:rPr>
          <w:rFonts w:hint="eastAsia" w:ascii="宋体" w:hAnsi="宋体" w:eastAsia="宋体" w:cs="宋体"/>
          <w:color w:val="auto"/>
          <w:szCs w:val="21"/>
          <w:highlight w:val="none"/>
        </w:rPr>
        <w:t>4.3.1 在第一章“竞争性磋商公告”规定的响应文件提交时间前，供应商可以多次修改或撤回已递交的响应文件，最终响应文件以响应文件提交时间前完成上传至信阳市公共资源交易中心交易系统最后一份响应文件为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4.3.2修改的响应文件应按照本章第3.7条、第4.2条规定进行编制和递交。</w:t>
      </w:r>
    </w:p>
    <w:p>
      <w:pPr>
        <w:numPr>
          <w:ilvl w:val="0"/>
          <w:numId w:val="5"/>
        </w:numPr>
        <w:spacing w:line="360" w:lineRule="auto"/>
        <w:ind w:left="0" w:firstLine="0"/>
        <w:outlineLvl w:val="1"/>
        <w:rPr>
          <w:rFonts w:hint="eastAsia" w:ascii="宋体" w:hAnsi="宋体" w:eastAsia="宋体" w:cs="宋体"/>
          <w:b/>
          <w:bCs/>
          <w:color w:val="auto"/>
          <w:szCs w:val="21"/>
          <w:highlight w:val="none"/>
        </w:rPr>
      </w:pPr>
      <w:bookmarkStart w:id="591" w:name="_Toc17076"/>
      <w:bookmarkEnd w:id="591"/>
      <w:bookmarkStart w:id="592" w:name="_Toc16272"/>
      <w:bookmarkEnd w:id="592"/>
      <w:bookmarkStart w:id="593" w:name="_Toc14969"/>
      <w:bookmarkEnd w:id="593"/>
      <w:bookmarkStart w:id="594" w:name="_Toc4037"/>
      <w:r>
        <w:rPr>
          <w:rFonts w:hint="eastAsia" w:ascii="宋体" w:hAnsi="宋体" w:eastAsia="宋体" w:cs="宋体"/>
          <w:b/>
          <w:bCs/>
          <w:color w:val="auto"/>
          <w:szCs w:val="21"/>
          <w:highlight w:val="none"/>
        </w:rPr>
        <w:t>磋商开始</w:t>
      </w:r>
      <w:bookmarkEnd w:id="594"/>
      <w:bookmarkStart w:id="595" w:name="_Toc318450703"/>
      <w:bookmarkEnd w:id="595"/>
      <w:bookmarkStart w:id="596" w:name="_Toc20333"/>
      <w:bookmarkEnd w:id="596"/>
      <w:bookmarkStart w:id="597" w:name="_Toc14"/>
      <w:bookmarkEnd w:id="597"/>
      <w:bookmarkStart w:id="598" w:name="_Toc455867796"/>
      <w:bookmarkEnd w:id="598"/>
      <w:bookmarkStart w:id="599" w:name="_Toc490667856"/>
      <w:bookmarkEnd w:id="599"/>
      <w:bookmarkStart w:id="600" w:name="_Toc16040"/>
      <w:bookmarkEnd w:id="600"/>
      <w:bookmarkStart w:id="601" w:name="_Toc144974528"/>
      <w:bookmarkEnd w:id="601"/>
      <w:bookmarkStart w:id="602" w:name="_Toc9969"/>
      <w:bookmarkEnd w:id="602"/>
      <w:bookmarkStart w:id="603" w:name="_Toc25809"/>
      <w:bookmarkEnd w:id="603"/>
      <w:bookmarkStart w:id="604" w:name="_Toc26426"/>
      <w:bookmarkEnd w:id="604"/>
      <w:bookmarkStart w:id="605" w:name="_Toc20660"/>
      <w:bookmarkEnd w:id="605"/>
      <w:bookmarkStart w:id="606" w:name="_Toc152045560"/>
      <w:bookmarkEnd w:id="606"/>
      <w:bookmarkStart w:id="607" w:name="_Toc25533"/>
      <w:bookmarkEnd w:id="607"/>
      <w:bookmarkStart w:id="608" w:name="_Toc6763"/>
      <w:bookmarkEnd w:id="608"/>
      <w:bookmarkStart w:id="609" w:name="_Toc455080136"/>
      <w:bookmarkEnd w:id="609"/>
      <w:bookmarkStart w:id="610" w:name="_Toc466298119"/>
      <w:bookmarkEnd w:id="610"/>
      <w:bookmarkStart w:id="611" w:name="_Toc152042336"/>
      <w:bookmarkEnd w:id="611"/>
    </w:p>
    <w:p>
      <w:pPr>
        <w:spacing w:line="360" w:lineRule="auto"/>
        <w:ind w:firstLine="422"/>
        <w:rPr>
          <w:rFonts w:hint="eastAsia" w:ascii="宋体" w:hAnsi="宋体" w:eastAsia="宋体" w:cs="宋体"/>
          <w:b/>
          <w:bCs/>
          <w:color w:val="auto"/>
          <w:szCs w:val="21"/>
          <w:highlight w:val="none"/>
        </w:rPr>
      </w:pPr>
      <w:bookmarkStart w:id="612" w:name="_Toc747"/>
      <w:bookmarkEnd w:id="612"/>
      <w:bookmarkStart w:id="613" w:name="_Toc11148"/>
      <w:bookmarkEnd w:id="613"/>
      <w:bookmarkStart w:id="614" w:name="_Toc9328"/>
      <w:bookmarkEnd w:id="614"/>
      <w:bookmarkStart w:id="615" w:name="_Toc152042337"/>
      <w:bookmarkEnd w:id="615"/>
      <w:bookmarkStart w:id="616" w:name="_Toc3865"/>
      <w:bookmarkEnd w:id="616"/>
      <w:bookmarkStart w:id="617" w:name="_Toc17491"/>
      <w:bookmarkEnd w:id="617"/>
      <w:bookmarkStart w:id="618" w:name="_Toc25911"/>
      <w:bookmarkEnd w:id="618"/>
      <w:bookmarkStart w:id="619" w:name="_Toc455080137"/>
      <w:bookmarkEnd w:id="619"/>
      <w:bookmarkStart w:id="620" w:name="_Toc455867797"/>
      <w:bookmarkEnd w:id="620"/>
      <w:bookmarkStart w:id="621" w:name="_Toc144974529"/>
      <w:bookmarkEnd w:id="621"/>
      <w:bookmarkStart w:id="622" w:name="_Toc490667857"/>
      <w:bookmarkEnd w:id="622"/>
      <w:bookmarkStart w:id="623" w:name="_Toc318450704"/>
      <w:bookmarkEnd w:id="623"/>
      <w:bookmarkStart w:id="624" w:name="_Toc152045561"/>
      <w:bookmarkEnd w:id="624"/>
      <w:bookmarkStart w:id="625" w:name="_Toc466298120"/>
      <w:bookmarkEnd w:id="625"/>
      <w:bookmarkStart w:id="626" w:name="_Toc18582"/>
      <w:bookmarkEnd w:id="626"/>
      <w:bookmarkStart w:id="627" w:name="_Toc30792"/>
      <w:bookmarkEnd w:id="627"/>
      <w:bookmarkStart w:id="628" w:name="_Toc30965"/>
      <w:bookmarkEnd w:id="628"/>
      <w:bookmarkStart w:id="629" w:name="_Toc30074"/>
      <w:bookmarkEnd w:id="629"/>
      <w:r>
        <w:rPr>
          <w:rFonts w:hint="eastAsia" w:ascii="宋体" w:hAnsi="宋体" w:eastAsia="宋体" w:cs="宋体"/>
          <w:b/>
          <w:bCs/>
          <w:color w:val="auto"/>
          <w:szCs w:val="21"/>
          <w:highlight w:val="none"/>
        </w:rPr>
        <w:t>5.1 磋商时间和地点</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 采购人在本章规定的响应文件提交时间（开标时间）和供应商须知前附表规定的地点开标。</w:t>
      </w:r>
    </w:p>
    <w:p>
      <w:pPr>
        <w:spacing w:line="360" w:lineRule="auto"/>
        <w:ind w:firstLine="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5.1.2 本项目采用“不见面开标”交易方式</w:t>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21"/>
          <w:highlight w:val="none"/>
        </w:rPr>
        <w:t>，供应商无需寄送和递交非加密的电子响应文件，无需到现场参加开标会议，无需到达现场提交原件资料。</w:t>
      </w:r>
      <w:r>
        <w:rPr>
          <w:rFonts w:hint="eastAsia" w:ascii="宋体" w:hAnsi="宋体" w:eastAsia="宋体" w:cs="宋体"/>
          <w:b/>
          <w:bCs/>
          <w:color w:val="auto"/>
          <w:szCs w:val="21"/>
          <w:highlight w:val="none"/>
        </w:rPr>
        <w:fldChar w:fldCharType="end"/>
      </w:r>
    </w:p>
    <w:p>
      <w:pPr>
        <w:spacing w:line="360" w:lineRule="auto"/>
        <w:ind w:firstLine="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供应商应当在响应文件提交时间前，使用供应商CA数字证书登录不见面开标大厅，在线签到并准时参加开标活动，并在规定时间内完成响应文件解密、答疑澄清等。</w:t>
      </w:r>
    </w:p>
    <w:p>
      <w:pPr>
        <w:spacing w:line="360" w:lineRule="auto"/>
        <w:ind w:firstLine="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需在解密开始后10分钟内完成解密（当供应商过多时，解密时间可以适当延长）。在响应文件解密过程中，因供应商原因（如供应商准备不到位、电脑网络问题等），造成无法及时解密的，将被退回响应文件。</w:t>
      </w:r>
    </w:p>
    <w:p>
      <w:pPr>
        <w:spacing w:line="360" w:lineRule="auto"/>
        <w:ind w:firstLine="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不见面开标服务的具体事宜，请查阅信阳市公共资源交易中心网站首页—下载中心—信阳市不见面开标大厅系统操作手册。</w:t>
      </w:r>
    </w:p>
    <w:p>
      <w:pPr>
        <w:spacing w:line="360" w:lineRule="auto"/>
        <w:ind w:firstLine="42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开标过程中，供应商如有异议，须在开标结束前通过系统提出，否则视同认可开标记录。开标结束后，对开标记录的任何异议不再接受。 </w:t>
      </w:r>
    </w:p>
    <w:p>
      <w:pPr>
        <w:pStyle w:val="31"/>
        <w:spacing w:line="360" w:lineRule="auto"/>
        <w:ind w:firstLine="422"/>
        <w:outlineLvl w:val="0"/>
        <w:rPr>
          <w:rFonts w:hint="eastAsia" w:ascii="宋体" w:hAnsi="宋体" w:eastAsia="宋体" w:cs="宋体"/>
          <w:b/>
          <w:bCs/>
          <w:color w:val="auto"/>
          <w:sz w:val="21"/>
          <w:szCs w:val="21"/>
          <w:highlight w:val="none"/>
        </w:rPr>
      </w:pPr>
      <w:bookmarkStart w:id="630" w:name="_Toc25522"/>
      <w:bookmarkEnd w:id="630"/>
      <w:bookmarkStart w:id="631" w:name="_Toc11822"/>
      <w:bookmarkEnd w:id="631"/>
      <w:bookmarkStart w:id="632" w:name="_Toc21887"/>
      <w:bookmarkStart w:id="633" w:name="_Toc23821"/>
      <w:bookmarkStart w:id="634" w:name="_Toc27387"/>
      <w:r>
        <w:rPr>
          <w:rFonts w:hint="eastAsia" w:ascii="宋体" w:hAnsi="宋体" w:eastAsia="宋体" w:cs="宋体"/>
          <w:b/>
          <w:bCs/>
          <w:color w:val="auto"/>
          <w:sz w:val="21"/>
          <w:szCs w:val="21"/>
          <w:highlight w:val="none"/>
        </w:rPr>
        <w:t>5.2 磋商程序</w:t>
      </w:r>
      <w:bookmarkEnd w:id="632"/>
      <w:bookmarkEnd w:id="633"/>
      <w:bookmarkEnd w:id="634"/>
    </w:p>
    <w:p>
      <w:pPr>
        <w:pStyle w:val="31"/>
        <w:spacing w:line="360" w:lineRule="auto"/>
        <w:ind w:firstLine="420"/>
        <w:outlineLvl w:val="0"/>
        <w:rPr>
          <w:rFonts w:hint="eastAsia" w:ascii="宋体" w:hAnsi="宋体" w:eastAsia="宋体" w:cs="宋体"/>
          <w:b/>
          <w:bCs/>
          <w:color w:val="auto"/>
          <w:sz w:val="21"/>
          <w:szCs w:val="21"/>
          <w:highlight w:val="none"/>
        </w:rPr>
      </w:pPr>
      <w:bookmarkStart w:id="635" w:name="_Toc14173"/>
      <w:bookmarkEnd w:id="635"/>
      <w:bookmarkStart w:id="636" w:name="_Toc144974530"/>
      <w:bookmarkEnd w:id="636"/>
      <w:bookmarkStart w:id="637" w:name="_Toc32650"/>
      <w:bookmarkEnd w:id="637"/>
      <w:bookmarkStart w:id="638" w:name="_Toc30403"/>
      <w:bookmarkEnd w:id="638"/>
      <w:bookmarkStart w:id="639" w:name="_Toc152045562"/>
      <w:bookmarkEnd w:id="639"/>
      <w:bookmarkStart w:id="640" w:name="_Toc152042338"/>
      <w:bookmarkEnd w:id="640"/>
      <w:bookmarkStart w:id="641" w:name="_Toc6051"/>
      <w:bookmarkStart w:id="642" w:name="_Toc9053"/>
      <w:bookmarkStart w:id="643" w:name="_Toc4036"/>
      <w:r>
        <w:rPr>
          <w:rFonts w:hint="eastAsia" w:ascii="宋体" w:hAnsi="宋体" w:eastAsia="宋体" w:cs="宋体"/>
          <w:color w:val="auto"/>
          <w:sz w:val="21"/>
          <w:szCs w:val="21"/>
          <w:highlight w:val="none"/>
        </w:rPr>
        <w:t>5.2.1 磋商小组对磋商文件进行熟悉确认。</w:t>
      </w:r>
      <w:bookmarkEnd w:id="641"/>
      <w:bookmarkEnd w:id="642"/>
      <w:bookmarkEnd w:id="643"/>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5.2.2 磋商小组推选组长，讨论、通过磋商工作流程和磋商要点。</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5.2.3 资格评审审查：磋商开始后，采购人依据磋商文件规定，对供应商进行审查，以确定磋商供应商是否具备参与磋商的资格。</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5.2.4 符合性审审查：磋商开始后，磋商小组依据磋商文件规定，对通过资格评审的供应商进行审查，以确定磋商供应商是否具备参与磋商的资格。</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5.2.5 磋商小组对通过资格性和符合性审查的响应文件进行评估，确定与各竞标人磋商的具体内容。</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5.2.6 磋商过程中，磋商小组可以根据磋商情况实质性变动招标需求中的技术、服务要求以及合同草案条款，但不得变动磋商文件中的其他内容。实质性变动的内容需经采购人(业主)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5.2.7 磋商小组对符合招标需求的供应商进行两轮报价；供应商只有通过资格评审、符合性评审后方可进入下一轮报价，在规定的时间内同时提交报价，最终报价不得超过响应文件中报价。</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5.2.8 经磋商确定最终招标需求，由磋商小组采用综合评分法对通过初步评审的供应商的响应文件进行综合评分。</w:t>
      </w:r>
    </w:p>
    <w:p>
      <w:pPr>
        <w:pStyle w:val="30"/>
        <w:spacing w:before="0" w:line="360" w:lineRule="auto"/>
        <w:rPr>
          <w:rFonts w:hint="eastAsia" w:ascii="宋体" w:hAnsi="宋体" w:eastAsia="宋体" w:cs="宋体"/>
          <w:b/>
          <w:bCs/>
          <w:color w:val="auto"/>
          <w:sz w:val="21"/>
          <w:szCs w:val="21"/>
          <w:highlight w:val="none"/>
        </w:rPr>
      </w:pPr>
      <w:bookmarkStart w:id="644" w:name="_Toc12920"/>
      <w:bookmarkEnd w:id="644"/>
      <w:bookmarkStart w:id="645" w:name="_Toc3118"/>
      <w:bookmarkEnd w:id="645"/>
      <w:bookmarkStart w:id="646" w:name="_Toc455080138"/>
      <w:bookmarkEnd w:id="646"/>
      <w:bookmarkStart w:id="647" w:name="_Toc14039"/>
      <w:bookmarkEnd w:id="647"/>
      <w:bookmarkStart w:id="648" w:name="_Toc28131"/>
      <w:r>
        <w:rPr>
          <w:rFonts w:hint="eastAsia" w:ascii="宋体" w:hAnsi="宋体" w:eastAsia="宋体" w:cs="宋体"/>
          <w:b/>
          <w:bCs/>
          <w:color w:val="auto"/>
          <w:sz w:val="21"/>
          <w:szCs w:val="21"/>
          <w:highlight w:val="none"/>
        </w:rPr>
        <w:t>6. 磋商小组</w:t>
      </w:r>
      <w:bookmarkEnd w:id="648"/>
    </w:p>
    <w:p>
      <w:pPr>
        <w:pStyle w:val="31"/>
        <w:spacing w:line="360" w:lineRule="auto"/>
        <w:ind w:firstLine="422"/>
        <w:outlineLvl w:val="0"/>
        <w:rPr>
          <w:rFonts w:hint="eastAsia" w:ascii="宋体" w:hAnsi="宋体" w:eastAsia="宋体" w:cs="宋体"/>
          <w:b/>
          <w:bCs/>
          <w:color w:val="auto"/>
          <w:sz w:val="21"/>
          <w:szCs w:val="21"/>
          <w:highlight w:val="none"/>
        </w:rPr>
      </w:pPr>
      <w:bookmarkStart w:id="649" w:name="_Toc22250"/>
      <w:bookmarkEnd w:id="649"/>
      <w:bookmarkStart w:id="650" w:name="_Toc318450706"/>
      <w:bookmarkEnd w:id="650"/>
      <w:bookmarkStart w:id="651" w:name="_Toc1546"/>
      <w:bookmarkEnd w:id="651"/>
      <w:bookmarkStart w:id="652" w:name="_Toc8157"/>
      <w:bookmarkEnd w:id="652"/>
      <w:bookmarkStart w:id="653" w:name="_Toc18985"/>
      <w:bookmarkEnd w:id="653"/>
      <w:bookmarkStart w:id="654" w:name="_Toc26098"/>
      <w:bookmarkEnd w:id="654"/>
      <w:bookmarkStart w:id="655" w:name="_Toc144974531"/>
      <w:bookmarkEnd w:id="655"/>
      <w:bookmarkStart w:id="656" w:name="_Toc490667859"/>
      <w:bookmarkEnd w:id="656"/>
      <w:bookmarkStart w:id="657" w:name="_Toc152042339"/>
      <w:bookmarkEnd w:id="657"/>
      <w:bookmarkStart w:id="658" w:name="_Toc9808"/>
      <w:bookmarkEnd w:id="658"/>
      <w:bookmarkStart w:id="659" w:name="_Toc23138"/>
      <w:bookmarkEnd w:id="659"/>
      <w:bookmarkStart w:id="660" w:name="_Toc466298122"/>
      <w:bookmarkEnd w:id="660"/>
      <w:bookmarkStart w:id="661" w:name="_Toc152045563"/>
      <w:bookmarkEnd w:id="661"/>
      <w:bookmarkStart w:id="662" w:name="_Toc455080139"/>
      <w:bookmarkEnd w:id="662"/>
      <w:bookmarkStart w:id="663" w:name="_Toc1574"/>
      <w:bookmarkEnd w:id="663"/>
      <w:bookmarkStart w:id="664" w:name="_Toc8725"/>
      <w:bookmarkEnd w:id="664"/>
      <w:bookmarkStart w:id="665" w:name="_Toc455867799"/>
      <w:bookmarkEnd w:id="665"/>
      <w:bookmarkStart w:id="666" w:name="_Toc13978"/>
      <w:bookmarkEnd w:id="666"/>
      <w:bookmarkStart w:id="667" w:name="_Toc783"/>
      <w:bookmarkEnd w:id="667"/>
      <w:bookmarkStart w:id="668" w:name="_Toc26813"/>
      <w:bookmarkEnd w:id="668"/>
      <w:bookmarkStart w:id="669" w:name="_Toc32089"/>
      <w:bookmarkStart w:id="670" w:name="_Toc5654"/>
      <w:bookmarkStart w:id="671" w:name="_Toc32291"/>
      <w:r>
        <w:rPr>
          <w:rFonts w:hint="eastAsia" w:ascii="宋体" w:hAnsi="宋体" w:eastAsia="宋体" w:cs="宋体"/>
          <w:b/>
          <w:bCs/>
          <w:color w:val="auto"/>
          <w:sz w:val="21"/>
          <w:szCs w:val="21"/>
          <w:highlight w:val="none"/>
        </w:rPr>
        <w:t>6.1 磋商小组</w:t>
      </w:r>
      <w:bookmarkEnd w:id="669"/>
      <w:bookmarkEnd w:id="670"/>
      <w:bookmarkEnd w:id="671"/>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磋商由采购人依法组建的磋商小组负责。磋商小组由采购人代表以及有关技术、经济等方面的专家组成。磋商小组成员人数以及技术、经济等方面专家的确定方式见供应商须知前附表。</w:t>
      </w:r>
    </w:p>
    <w:p>
      <w:pPr>
        <w:pStyle w:val="31"/>
        <w:tabs>
          <w:tab w:val="left" w:pos="2620"/>
        </w:tabs>
        <w:spacing w:line="360" w:lineRule="auto"/>
        <w:ind w:firstLine="422"/>
        <w:outlineLvl w:val="0"/>
        <w:rPr>
          <w:rFonts w:hint="eastAsia" w:ascii="宋体" w:hAnsi="宋体" w:eastAsia="宋体" w:cs="宋体"/>
          <w:b/>
          <w:bCs/>
          <w:color w:val="auto"/>
          <w:sz w:val="21"/>
          <w:szCs w:val="21"/>
          <w:highlight w:val="none"/>
        </w:rPr>
      </w:pPr>
      <w:bookmarkStart w:id="672" w:name="_Toc8248"/>
      <w:bookmarkEnd w:id="672"/>
      <w:bookmarkStart w:id="673" w:name="_Toc490667860"/>
      <w:bookmarkEnd w:id="673"/>
      <w:bookmarkStart w:id="674" w:name="_Toc21102"/>
      <w:bookmarkEnd w:id="674"/>
      <w:bookmarkStart w:id="675" w:name="_Toc7286"/>
      <w:bookmarkEnd w:id="675"/>
      <w:bookmarkStart w:id="676" w:name="_Toc22143"/>
      <w:bookmarkEnd w:id="676"/>
      <w:bookmarkStart w:id="677" w:name="_Toc9532"/>
      <w:bookmarkEnd w:id="677"/>
      <w:bookmarkStart w:id="678" w:name="_Toc13368"/>
      <w:bookmarkEnd w:id="678"/>
      <w:bookmarkStart w:id="679" w:name="_Toc455080140"/>
      <w:bookmarkEnd w:id="679"/>
      <w:bookmarkStart w:id="680" w:name="_Toc455867800"/>
      <w:bookmarkEnd w:id="680"/>
      <w:bookmarkStart w:id="681" w:name="_Toc27035"/>
      <w:bookmarkEnd w:id="681"/>
      <w:bookmarkStart w:id="682" w:name="_Toc318450707"/>
      <w:bookmarkEnd w:id="682"/>
      <w:bookmarkStart w:id="683" w:name="_Toc152045564"/>
      <w:bookmarkEnd w:id="683"/>
      <w:bookmarkStart w:id="684" w:name="_Toc29042"/>
      <w:bookmarkEnd w:id="684"/>
      <w:bookmarkStart w:id="685" w:name="_Toc4435"/>
      <w:bookmarkEnd w:id="685"/>
      <w:bookmarkStart w:id="686" w:name="_Toc25721"/>
      <w:bookmarkEnd w:id="686"/>
      <w:bookmarkStart w:id="687" w:name="_Toc11040"/>
      <w:bookmarkEnd w:id="687"/>
      <w:bookmarkStart w:id="688" w:name="_Toc152042340"/>
      <w:bookmarkEnd w:id="688"/>
      <w:bookmarkStart w:id="689" w:name="_Toc8240"/>
      <w:bookmarkEnd w:id="689"/>
      <w:bookmarkStart w:id="690" w:name="_Toc144974532"/>
      <w:bookmarkEnd w:id="690"/>
      <w:bookmarkStart w:id="691" w:name="_Toc466298123"/>
      <w:bookmarkEnd w:id="691"/>
      <w:bookmarkStart w:id="692" w:name="_Toc25945"/>
      <w:bookmarkStart w:id="693" w:name="_Toc6378"/>
      <w:bookmarkStart w:id="694" w:name="_Toc20508"/>
      <w:r>
        <w:rPr>
          <w:rFonts w:hint="eastAsia" w:ascii="宋体" w:hAnsi="宋体" w:eastAsia="宋体" w:cs="宋体"/>
          <w:b/>
          <w:bCs/>
          <w:color w:val="auto"/>
          <w:sz w:val="21"/>
          <w:szCs w:val="21"/>
          <w:highlight w:val="none"/>
        </w:rPr>
        <w:t>6.2 磋商原则</w:t>
      </w:r>
      <w:bookmarkEnd w:id="692"/>
      <w:bookmarkEnd w:id="693"/>
      <w:bookmarkEnd w:id="694"/>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磋商活动遵循公平、公正、科学和择优的原则。</w:t>
      </w:r>
      <w:bookmarkStart w:id="695" w:name="_Toc318450708"/>
      <w:bookmarkEnd w:id="695"/>
      <w:bookmarkStart w:id="696" w:name="_Toc18756"/>
      <w:bookmarkEnd w:id="696"/>
      <w:bookmarkStart w:id="697" w:name="_Toc490667861"/>
      <w:bookmarkEnd w:id="697"/>
      <w:bookmarkStart w:id="698" w:name="_Toc144974533"/>
      <w:bookmarkEnd w:id="698"/>
      <w:bookmarkStart w:id="699" w:name="_Toc20062"/>
      <w:bookmarkEnd w:id="699"/>
      <w:bookmarkStart w:id="700" w:name="_Toc24358"/>
      <w:bookmarkEnd w:id="700"/>
      <w:bookmarkStart w:id="701" w:name="_Toc27036"/>
      <w:bookmarkEnd w:id="701"/>
      <w:bookmarkStart w:id="702" w:name="_Toc466298124"/>
      <w:bookmarkEnd w:id="702"/>
      <w:bookmarkStart w:id="703" w:name="_Toc7890"/>
      <w:bookmarkEnd w:id="703"/>
      <w:bookmarkStart w:id="704" w:name="_Toc152045565"/>
      <w:bookmarkEnd w:id="704"/>
      <w:bookmarkStart w:id="705" w:name="_Toc16725"/>
      <w:bookmarkEnd w:id="705"/>
      <w:bookmarkStart w:id="706" w:name="_Toc8705"/>
      <w:bookmarkEnd w:id="706"/>
      <w:bookmarkStart w:id="707" w:name="_Toc28734"/>
      <w:bookmarkEnd w:id="707"/>
      <w:bookmarkStart w:id="708" w:name="_Toc3606"/>
      <w:bookmarkEnd w:id="708"/>
      <w:bookmarkStart w:id="709" w:name="_Toc152042341"/>
      <w:bookmarkEnd w:id="709"/>
      <w:bookmarkStart w:id="710" w:name="_Toc455080141"/>
      <w:bookmarkEnd w:id="710"/>
      <w:bookmarkStart w:id="711" w:name="_Toc455867801"/>
      <w:bookmarkEnd w:id="711"/>
      <w:bookmarkStart w:id="712" w:name="_Toc15595"/>
      <w:bookmarkEnd w:id="712"/>
    </w:p>
    <w:p>
      <w:pPr>
        <w:spacing w:line="360" w:lineRule="auto"/>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6.3 磋商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磋商小组按照第三章“评审办法”规定的方法、评审因素、标准和程序对响应文件进行评审。第三章“评审办法”没有规定的方法、评审因素和标准，不作为评标依据。</w:t>
      </w:r>
    </w:p>
    <w:p>
      <w:pPr>
        <w:pStyle w:val="30"/>
        <w:spacing w:before="0" w:line="360" w:lineRule="auto"/>
        <w:rPr>
          <w:rFonts w:hint="eastAsia" w:ascii="宋体" w:hAnsi="宋体" w:eastAsia="宋体" w:cs="宋体"/>
          <w:b/>
          <w:bCs/>
          <w:color w:val="auto"/>
          <w:sz w:val="21"/>
          <w:szCs w:val="21"/>
          <w:highlight w:val="none"/>
        </w:rPr>
      </w:pPr>
      <w:bookmarkStart w:id="713" w:name="_Toc9522"/>
      <w:bookmarkEnd w:id="713"/>
      <w:bookmarkStart w:id="714" w:name="_Toc152045566"/>
      <w:bookmarkEnd w:id="714"/>
      <w:bookmarkStart w:id="715" w:name="_Toc455080142"/>
      <w:bookmarkEnd w:id="715"/>
      <w:bookmarkStart w:id="716" w:name="_Toc144974534"/>
      <w:bookmarkEnd w:id="716"/>
      <w:bookmarkStart w:id="717" w:name="_Toc19125"/>
      <w:bookmarkEnd w:id="717"/>
      <w:bookmarkStart w:id="718" w:name="_Toc152042342"/>
      <w:bookmarkEnd w:id="718"/>
      <w:bookmarkStart w:id="719" w:name="_Toc1726"/>
      <w:bookmarkEnd w:id="719"/>
      <w:bookmarkStart w:id="720" w:name="_Toc29060"/>
      <w:r>
        <w:rPr>
          <w:rFonts w:hint="eastAsia" w:ascii="宋体" w:hAnsi="宋体" w:eastAsia="宋体" w:cs="宋体"/>
          <w:b/>
          <w:bCs/>
          <w:color w:val="auto"/>
          <w:sz w:val="21"/>
          <w:szCs w:val="21"/>
          <w:highlight w:val="none"/>
        </w:rPr>
        <w:t>7. 合同授予</w:t>
      </w:r>
      <w:bookmarkEnd w:id="720"/>
    </w:p>
    <w:p>
      <w:pPr>
        <w:pStyle w:val="31"/>
        <w:spacing w:line="360" w:lineRule="auto"/>
        <w:ind w:firstLine="422"/>
        <w:outlineLvl w:val="0"/>
        <w:rPr>
          <w:rFonts w:hint="eastAsia" w:ascii="宋体" w:hAnsi="宋体" w:eastAsia="宋体" w:cs="宋体"/>
          <w:b/>
          <w:bCs/>
          <w:color w:val="auto"/>
          <w:sz w:val="21"/>
          <w:szCs w:val="21"/>
          <w:highlight w:val="none"/>
        </w:rPr>
      </w:pPr>
      <w:bookmarkStart w:id="721" w:name="_Toc318450710"/>
      <w:bookmarkEnd w:id="721"/>
      <w:bookmarkStart w:id="722" w:name="_Toc29664"/>
      <w:bookmarkEnd w:id="722"/>
      <w:bookmarkStart w:id="723" w:name="_Toc455080143"/>
      <w:bookmarkEnd w:id="723"/>
      <w:bookmarkStart w:id="724" w:name="_Toc490667863"/>
      <w:bookmarkEnd w:id="724"/>
      <w:bookmarkStart w:id="725" w:name="_Toc29686"/>
      <w:bookmarkEnd w:id="725"/>
      <w:bookmarkStart w:id="726" w:name="_Toc28919"/>
      <w:bookmarkEnd w:id="726"/>
      <w:bookmarkStart w:id="727" w:name="_Toc11409"/>
      <w:bookmarkEnd w:id="727"/>
      <w:bookmarkStart w:id="728" w:name="_Toc17143"/>
      <w:bookmarkEnd w:id="728"/>
      <w:bookmarkStart w:id="729" w:name="_Toc14528"/>
      <w:bookmarkEnd w:id="729"/>
      <w:bookmarkStart w:id="730" w:name="_Toc19111"/>
      <w:bookmarkEnd w:id="730"/>
      <w:bookmarkStart w:id="731" w:name="_Toc466298126"/>
      <w:bookmarkEnd w:id="731"/>
      <w:bookmarkStart w:id="732" w:name="_Toc455867803"/>
      <w:bookmarkEnd w:id="732"/>
      <w:bookmarkStart w:id="733" w:name="_Toc144974535"/>
      <w:bookmarkEnd w:id="733"/>
      <w:bookmarkStart w:id="734" w:name="_Toc17660"/>
      <w:bookmarkEnd w:id="734"/>
      <w:bookmarkStart w:id="735" w:name="_Toc22461"/>
      <w:bookmarkEnd w:id="735"/>
      <w:bookmarkStart w:id="736" w:name="_Toc152042343"/>
      <w:bookmarkEnd w:id="736"/>
      <w:bookmarkStart w:id="737" w:name="_Toc152045567"/>
      <w:bookmarkEnd w:id="737"/>
      <w:bookmarkStart w:id="738" w:name="_Toc7358"/>
      <w:bookmarkEnd w:id="738"/>
      <w:bookmarkStart w:id="739" w:name="_Toc20777"/>
      <w:bookmarkEnd w:id="739"/>
      <w:bookmarkStart w:id="740" w:name="_Toc25316"/>
      <w:bookmarkEnd w:id="740"/>
      <w:bookmarkStart w:id="741" w:name="_Toc13209"/>
      <w:bookmarkStart w:id="742" w:name="_Toc10895"/>
      <w:bookmarkStart w:id="743" w:name="_Toc29498"/>
      <w:r>
        <w:rPr>
          <w:rFonts w:hint="eastAsia" w:ascii="宋体" w:hAnsi="宋体" w:eastAsia="宋体" w:cs="宋体"/>
          <w:b/>
          <w:bCs/>
          <w:color w:val="auto"/>
          <w:sz w:val="21"/>
          <w:szCs w:val="21"/>
          <w:highlight w:val="none"/>
        </w:rPr>
        <w:t>7.1 定标方式</w:t>
      </w:r>
      <w:bookmarkEnd w:id="741"/>
      <w:bookmarkEnd w:id="742"/>
      <w:bookmarkEnd w:id="743"/>
    </w:p>
    <w:p>
      <w:pPr>
        <w:spacing w:line="360" w:lineRule="auto"/>
        <w:ind w:firstLine="420"/>
        <w:rPr>
          <w:rFonts w:hint="eastAsia" w:ascii="宋体" w:hAnsi="宋体" w:eastAsia="宋体" w:cs="宋体"/>
          <w:color w:val="auto"/>
          <w:szCs w:val="21"/>
          <w:highlight w:val="none"/>
        </w:rPr>
      </w:pPr>
      <w:bookmarkStart w:id="744" w:name="_Toc10868"/>
      <w:bookmarkEnd w:id="744"/>
      <w:bookmarkStart w:id="745" w:name="_Toc144974536"/>
      <w:bookmarkEnd w:id="745"/>
      <w:bookmarkStart w:id="746" w:name="_Toc28254"/>
      <w:bookmarkEnd w:id="746"/>
      <w:bookmarkStart w:id="747" w:name="_Toc7066"/>
      <w:bookmarkEnd w:id="747"/>
      <w:bookmarkStart w:id="748" w:name="_Toc152042344"/>
      <w:bookmarkEnd w:id="748"/>
      <w:bookmarkStart w:id="749" w:name="_Toc318450711"/>
      <w:bookmarkEnd w:id="749"/>
      <w:bookmarkStart w:id="750" w:name="_Toc152045568"/>
      <w:bookmarkEnd w:id="750"/>
      <w:r>
        <w:rPr>
          <w:rFonts w:hint="eastAsia" w:ascii="宋体" w:hAnsi="宋体" w:eastAsia="宋体" w:cs="宋体"/>
          <w:color w:val="auto"/>
          <w:szCs w:val="21"/>
          <w:highlight w:val="none"/>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pPr>
        <w:pStyle w:val="31"/>
        <w:spacing w:line="360" w:lineRule="auto"/>
        <w:ind w:firstLine="422"/>
        <w:outlineLvl w:val="0"/>
        <w:rPr>
          <w:rFonts w:hint="eastAsia" w:ascii="宋体" w:hAnsi="宋体" w:eastAsia="宋体" w:cs="宋体"/>
          <w:b/>
          <w:bCs/>
          <w:color w:val="auto"/>
          <w:sz w:val="21"/>
          <w:szCs w:val="21"/>
          <w:highlight w:val="none"/>
        </w:rPr>
      </w:pPr>
      <w:bookmarkStart w:id="751" w:name="_Toc5668"/>
      <w:bookmarkEnd w:id="751"/>
      <w:bookmarkStart w:id="752" w:name="_Toc9897"/>
      <w:bookmarkEnd w:id="752"/>
      <w:bookmarkStart w:id="753" w:name="_Toc16163"/>
      <w:bookmarkEnd w:id="753"/>
      <w:bookmarkStart w:id="754" w:name="_Toc17425"/>
      <w:bookmarkEnd w:id="754"/>
      <w:bookmarkStart w:id="755" w:name="_Toc455080144"/>
      <w:bookmarkEnd w:id="755"/>
      <w:bookmarkStart w:id="756" w:name="_Toc466298127"/>
      <w:bookmarkEnd w:id="756"/>
      <w:bookmarkStart w:id="757" w:name="_Toc28177"/>
      <w:bookmarkEnd w:id="757"/>
      <w:bookmarkStart w:id="758" w:name="_Toc29569"/>
      <w:bookmarkEnd w:id="758"/>
      <w:bookmarkStart w:id="759" w:name="_Toc15825"/>
      <w:bookmarkEnd w:id="759"/>
      <w:bookmarkStart w:id="760" w:name="_Toc9775"/>
      <w:bookmarkEnd w:id="760"/>
      <w:bookmarkStart w:id="761" w:name="_Toc5428"/>
      <w:bookmarkEnd w:id="761"/>
      <w:bookmarkStart w:id="762" w:name="_Toc455867804"/>
      <w:bookmarkEnd w:id="762"/>
      <w:bookmarkStart w:id="763" w:name="_Toc490667864"/>
      <w:bookmarkEnd w:id="763"/>
      <w:bookmarkStart w:id="764" w:name="_Toc24820"/>
      <w:bookmarkStart w:id="765" w:name="_Toc11737"/>
      <w:bookmarkStart w:id="766" w:name="_Toc15866"/>
      <w:r>
        <w:rPr>
          <w:rFonts w:hint="eastAsia" w:ascii="宋体" w:hAnsi="宋体" w:eastAsia="宋体" w:cs="宋体"/>
          <w:b/>
          <w:bCs/>
          <w:color w:val="auto"/>
          <w:sz w:val="21"/>
          <w:szCs w:val="21"/>
          <w:highlight w:val="none"/>
        </w:rPr>
        <w:t>7.2 成交通知</w:t>
      </w:r>
      <w:bookmarkEnd w:id="764"/>
      <w:bookmarkEnd w:id="765"/>
      <w:bookmarkEnd w:id="766"/>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在本章第3.3.1款规定的磋商有效期内，采购人以书面形式向成交人发出成交通知书。</w:t>
      </w:r>
    </w:p>
    <w:p>
      <w:pPr>
        <w:pStyle w:val="31"/>
        <w:spacing w:line="360" w:lineRule="auto"/>
        <w:ind w:firstLine="422"/>
        <w:outlineLvl w:val="0"/>
        <w:rPr>
          <w:rFonts w:hint="eastAsia" w:ascii="宋体" w:hAnsi="宋体" w:eastAsia="宋体" w:cs="宋体"/>
          <w:b/>
          <w:bCs/>
          <w:color w:val="auto"/>
          <w:sz w:val="21"/>
          <w:szCs w:val="21"/>
          <w:highlight w:val="none"/>
        </w:rPr>
      </w:pPr>
      <w:bookmarkStart w:id="767" w:name="_Toc318450712"/>
      <w:bookmarkEnd w:id="767"/>
      <w:bookmarkStart w:id="768" w:name="_Toc455080145"/>
      <w:bookmarkEnd w:id="768"/>
      <w:bookmarkStart w:id="769" w:name="_Toc26017"/>
      <w:bookmarkEnd w:id="769"/>
      <w:bookmarkStart w:id="770" w:name="_Toc466298128"/>
      <w:bookmarkEnd w:id="770"/>
      <w:bookmarkStart w:id="771" w:name="_Toc13147"/>
      <w:bookmarkEnd w:id="771"/>
      <w:bookmarkStart w:id="772" w:name="_Toc10082"/>
      <w:bookmarkEnd w:id="772"/>
      <w:bookmarkStart w:id="773" w:name="_Toc26760"/>
      <w:bookmarkEnd w:id="773"/>
      <w:bookmarkStart w:id="774" w:name="_Toc152042346"/>
      <w:bookmarkEnd w:id="774"/>
      <w:bookmarkStart w:id="775" w:name="_Toc12663"/>
      <w:bookmarkEnd w:id="775"/>
      <w:bookmarkStart w:id="776" w:name="_Toc26915"/>
      <w:bookmarkEnd w:id="776"/>
      <w:bookmarkStart w:id="777" w:name="_Toc455867805"/>
      <w:bookmarkEnd w:id="777"/>
      <w:bookmarkStart w:id="778" w:name="_Toc21271"/>
      <w:bookmarkEnd w:id="778"/>
      <w:bookmarkStart w:id="779" w:name="_Toc27666"/>
      <w:bookmarkEnd w:id="779"/>
      <w:bookmarkStart w:id="780" w:name="_Toc144974538"/>
      <w:bookmarkEnd w:id="780"/>
      <w:bookmarkStart w:id="781" w:name="_Toc24026"/>
      <w:bookmarkEnd w:id="781"/>
      <w:bookmarkStart w:id="782" w:name="_Toc490667865"/>
      <w:bookmarkEnd w:id="782"/>
      <w:bookmarkStart w:id="783" w:name="_Toc26655"/>
      <w:bookmarkEnd w:id="783"/>
      <w:bookmarkStart w:id="784" w:name="_Toc15458"/>
      <w:bookmarkEnd w:id="784"/>
      <w:bookmarkStart w:id="785" w:name="_Toc8886"/>
      <w:bookmarkEnd w:id="785"/>
      <w:bookmarkStart w:id="786" w:name="_Toc152045570"/>
      <w:bookmarkEnd w:id="786"/>
      <w:bookmarkStart w:id="787" w:name="_Toc28548"/>
      <w:bookmarkStart w:id="788" w:name="_Toc27608"/>
      <w:bookmarkStart w:id="789" w:name="_Toc646"/>
      <w:r>
        <w:rPr>
          <w:rFonts w:hint="eastAsia" w:ascii="宋体" w:hAnsi="宋体" w:eastAsia="宋体" w:cs="宋体"/>
          <w:b/>
          <w:bCs/>
          <w:color w:val="auto"/>
          <w:sz w:val="21"/>
          <w:szCs w:val="21"/>
          <w:highlight w:val="none"/>
        </w:rPr>
        <w:t>7.3 签订合同</w:t>
      </w:r>
      <w:bookmarkEnd w:id="787"/>
      <w:bookmarkEnd w:id="788"/>
      <w:bookmarkEnd w:id="789"/>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采购人和成交人应当自成交通知书发出之日起15天内</w:t>
      </w:r>
      <w:r>
        <w:rPr>
          <w:rFonts w:hint="eastAsia" w:ascii="宋体" w:hAnsi="宋体" w:eastAsia="宋体" w:cs="宋体"/>
          <w:b/>
          <w:bCs/>
          <w:color w:val="auto"/>
          <w:szCs w:val="21"/>
          <w:highlight w:val="none"/>
        </w:rPr>
        <w:t>（鼓励成交通知书发出之日起1天内）</w:t>
      </w:r>
      <w:r>
        <w:rPr>
          <w:rFonts w:hint="eastAsia" w:ascii="宋体" w:hAnsi="宋体" w:eastAsia="宋体" w:cs="宋体"/>
          <w:color w:val="auto"/>
          <w:szCs w:val="21"/>
          <w:highlight w:val="none"/>
        </w:rPr>
        <w:t xml:space="preserve">，根据磋商文件和成交人的响应文件订立书面合同。成交人无正当理由拒签合同的，采购人取消其成交资格；给采购人造成的损失的，成交人还应当对超过部分予以赔偿。 </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7.3.2 发出成交通知书后，采购人无正当理由拒签合同的，给成交人造成损失的，还应当赔偿损失。  </w:t>
      </w:r>
      <w:bookmarkStart w:id="790" w:name="_Toc152042350"/>
      <w:bookmarkEnd w:id="790"/>
      <w:bookmarkStart w:id="791" w:name="_Toc144974542"/>
      <w:bookmarkEnd w:id="791"/>
      <w:bookmarkStart w:id="792" w:name="_Toc152045574"/>
      <w:bookmarkEnd w:id="792"/>
    </w:p>
    <w:p>
      <w:pPr>
        <w:pStyle w:val="30"/>
        <w:spacing w:before="0" w:line="360" w:lineRule="auto"/>
        <w:rPr>
          <w:rFonts w:hint="eastAsia" w:ascii="宋体" w:hAnsi="宋体" w:eastAsia="宋体" w:cs="宋体"/>
          <w:b/>
          <w:bCs/>
          <w:color w:val="auto"/>
          <w:sz w:val="21"/>
          <w:szCs w:val="21"/>
          <w:highlight w:val="none"/>
        </w:rPr>
      </w:pPr>
      <w:bookmarkStart w:id="793" w:name="_Toc19520"/>
      <w:bookmarkEnd w:id="793"/>
      <w:bookmarkStart w:id="794" w:name="_Toc21747"/>
      <w:bookmarkEnd w:id="794"/>
      <w:bookmarkStart w:id="795" w:name="_Toc16866"/>
      <w:bookmarkEnd w:id="795"/>
      <w:bookmarkStart w:id="796" w:name="_Toc455080146"/>
      <w:bookmarkEnd w:id="796"/>
      <w:bookmarkStart w:id="797" w:name="_Toc18731"/>
      <w:r>
        <w:rPr>
          <w:rFonts w:hint="eastAsia" w:ascii="宋体" w:hAnsi="宋体" w:eastAsia="宋体" w:cs="宋体"/>
          <w:b/>
          <w:bCs/>
          <w:color w:val="auto"/>
          <w:sz w:val="21"/>
          <w:szCs w:val="21"/>
          <w:highlight w:val="none"/>
        </w:rPr>
        <w:t>8. 重新招标</w:t>
      </w:r>
      <w:bookmarkEnd w:id="797"/>
    </w:p>
    <w:p>
      <w:pPr>
        <w:spacing w:line="360" w:lineRule="auto"/>
        <w:ind w:firstLine="422"/>
        <w:rPr>
          <w:rFonts w:hint="eastAsia" w:ascii="宋体" w:hAnsi="宋体" w:eastAsia="宋体" w:cs="宋体"/>
          <w:color w:val="auto"/>
          <w:szCs w:val="21"/>
          <w:highlight w:val="none"/>
        </w:rPr>
      </w:pPr>
      <w:bookmarkStart w:id="798" w:name="_Toc16556"/>
      <w:bookmarkEnd w:id="798"/>
      <w:r>
        <w:rPr>
          <w:rFonts w:hint="eastAsia" w:ascii="宋体" w:hAnsi="宋体" w:eastAsia="宋体" w:cs="宋体"/>
          <w:b/>
          <w:bCs/>
          <w:color w:val="auto"/>
          <w:szCs w:val="21"/>
          <w:highlight w:val="none"/>
        </w:rPr>
        <w:t>8.1 重新招标</w:t>
      </w:r>
    </w:p>
    <w:p>
      <w:pPr>
        <w:spacing w:line="360" w:lineRule="auto"/>
        <w:ind w:firstLine="420"/>
        <w:rPr>
          <w:rFonts w:hint="eastAsia" w:ascii="宋体" w:hAnsi="宋体" w:eastAsia="宋体" w:cs="宋体"/>
          <w:color w:val="auto"/>
          <w:szCs w:val="21"/>
          <w:highlight w:val="none"/>
        </w:rPr>
      </w:pPr>
      <w:bookmarkStart w:id="799" w:name="_Toc9985"/>
      <w:bookmarkEnd w:id="799"/>
      <w:r>
        <w:rPr>
          <w:rFonts w:hint="eastAsia" w:ascii="宋体" w:hAnsi="宋体" w:eastAsia="宋体" w:cs="宋体"/>
          <w:color w:val="auto"/>
          <w:szCs w:val="21"/>
          <w:highlight w:val="none"/>
        </w:rPr>
        <w:t>有下列情形之一的，采购人将重新招标：</w:t>
      </w:r>
      <w:bookmarkStart w:id="800" w:name="_Toc25063"/>
      <w:bookmarkEnd w:id="800"/>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（1）提交响应文件截止时间止，供应商少于3个的； </w:t>
      </w:r>
    </w:p>
    <w:p>
      <w:pPr>
        <w:spacing w:line="360" w:lineRule="auto"/>
        <w:ind w:firstLine="420"/>
        <w:rPr>
          <w:rFonts w:hint="eastAsia" w:ascii="宋体" w:hAnsi="宋体" w:eastAsia="宋体" w:cs="宋体"/>
          <w:color w:val="auto"/>
          <w:szCs w:val="21"/>
          <w:highlight w:val="none"/>
        </w:rPr>
      </w:pPr>
      <w:bookmarkStart w:id="801" w:name="_Toc17911"/>
      <w:bookmarkEnd w:id="801"/>
      <w:r>
        <w:rPr>
          <w:rFonts w:hint="eastAsia" w:ascii="宋体" w:hAnsi="宋体" w:eastAsia="宋体" w:cs="宋体"/>
          <w:color w:val="auto"/>
          <w:szCs w:val="21"/>
          <w:highlight w:val="none"/>
        </w:rPr>
        <w:t>（2）经磋商小组评审后否决所有响应文件的。</w:t>
      </w:r>
    </w:p>
    <w:p>
      <w:pPr>
        <w:pStyle w:val="30"/>
        <w:spacing w:before="0" w:line="360" w:lineRule="auto"/>
        <w:rPr>
          <w:rFonts w:hint="eastAsia" w:ascii="宋体" w:hAnsi="宋体" w:eastAsia="宋体" w:cs="宋体"/>
          <w:b/>
          <w:bCs/>
          <w:color w:val="auto"/>
          <w:sz w:val="21"/>
          <w:szCs w:val="21"/>
          <w:highlight w:val="none"/>
        </w:rPr>
      </w:pPr>
      <w:bookmarkStart w:id="802" w:name="_Toc9307"/>
      <w:bookmarkEnd w:id="802"/>
      <w:bookmarkStart w:id="803" w:name="_Toc792"/>
      <w:bookmarkEnd w:id="803"/>
      <w:bookmarkStart w:id="804" w:name="_Toc9996"/>
      <w:bookmarkEnd w:id="804"/>
      <w:bookmarkStart w:id="805" w:name="_Toc455080147"/>
      <w:bookmarkEnd w:id="805"/>
      <w:bookmarkStart w:id="806" w:name="_Toc17997"/>
      <w:r>
        <w:rPr>
          <w:rFonts w:hint="eastAsia" w:ascii="宋体" w:hAnsi="宋体" w:eastAsia="宋体" w:cs="宋体"/>
          <w:b/>
          <w:bCs/>
          <w:color w:val="auto"/>
          <w:sz w:val="21"/>
          <w:szCs w:val="21"/>
          <w:highlight w:val="none"/>
        </w:rPr>
        <w:t>9. 纪律和监督</w:t>
      </w:r>
      <w:bookmarkEnd w:id="806"/>
    </w:p>
    <w:p>
      <w:pPr>
        <w:pStyle w:val="31"/>
        <w:spacing w:line="360" w:lineRule="auto"/>
        <w:ind w:firstLine="422"/>
        <w:outlineLvl w:val="0"/>
        <w:rPr>
          <w:rFonts w:hint="eastAsia" w:ascii="宋体" w:hAnsi="宋体" w:eastAsia="宋体" w:cs="宋体"/>
          <w:b/>
          <w:bCs/>
          <w:color w:val="auto"/>
          <w:sz w:val="21"/>
          <w:szCs w:val="21"/>
          <w:highlight w:val="none"/>
        </w:rPr>
      </w:pPr>
      <w:bookmarkStart w:id="807" w:name="_Toc20009"/>
      <w:bookmarkEnd w:id="807"/>
      <w:bookmarkStart w:id="808" w:name="_Toc12992"/>
      <w:bookmarkEnd w:id="808"/>
      <w:bookmarkStart w:id="809" w:name="_Toc15592"/>
      <w:bookmarkEnd w:id="809"/>
      <w:bookmarkStart w:id="810" w:name="_Toc23752"/>
      <w:bookmarkEnd w:id="810"/>
      <w:bookmarkStart w:id="811" w:name="_Toc1282"/>
      <w:bookmarkEnd w:id="811"/>
      <w:bookmarkStart w:id="812" w:name="_Toc318450714"/>
      <w:bookmarkEnd w:id="812"/>
      <w:bookmarkStart w:id="813" w:name="_Toc15769"/>
      <w:bookmarkEnd w:id="813"/>
      <w:bookmarkStart w:id="814" w:name="_Toc152042351"/>
      <w:bookmarkEnd w:id="814"/>
      <w:bookmarkStart w:id="815" w:name="_Toc490667868"/>
      <w:bookmarkEnd w:id="815"/>
      <w:bookmarkStart w:id="816" w:name="_Toc455080148"/>
      <w:bookmarkEnd w:id="816"/>
      <w:bookmarkStart w:id="817" w:name="_Toc455867808"/>
      <w:bookmarkEnd w:id="817"/>
      <w:bookmarkStart w:id="818" w:name="_Toc466298131"/>
      <w:bookmarkEnd w:id="818"/>
      <w:bookmarkStart w:id="819" w:name="_Toc697"/>
      <w:bookmarkEnd w:id="819"/>
      <w:bookmarkStart w:id="820" w:name="_Toc13970"/>
      <w:bookmarkEnd w:id="820"/>
      <w:bookmarkStart w:id="821" w:name="_Toc152045575"/>
      <w:bookmarkEnd w:id="821"/>
      <w:bookmarkStart w:id="822" w:name="_Toc144974543"/>
      <w:bookmarkEnd w:id="822"/>
      <w:bookmarkStart w:id="823" w:name="_Toc19159"/>
      <w:bookmarkEnd w:id="823"/>
      <w:bookmarkStart w:id="824" w:name="_Toc269"/>
      <w:bookmarkEnd w:id="824"/>
      <w:bookmarkStart w:id="825" w:name="_Toc27836"/>
      <w:bookmarkEnd w:id="825"/>
      <w:bookmarkStart w:id="826" w:name="_Toc28300"/>
      <w:bookmarkEnd w:id="826"/>
      <w:bookmarkStart w:id="827" w:name="_Toc12479"/>
      <w:bookmarkStart w:id="828" w:name="_Toc29159"/>
      <w:bookmarkStart w:id="829" w:name="_Toc32161"/>
      <w:r>
        <w:rPr>
          <w:rFonts w:hint="eastAsia" w:ascii="宋体" w:hAnsi="宋体" w:eastAsia="宋体" w:cs="宋体"/>
          <w:b/>
          <w:bCs/>
          <w:color w:val="auto"/>
          <w:sz w:val="21"/>
          <w:szCs w:val="21"/>
          <w:highlight w:val="none"/>
        </w:rPr>
        <w:t>9.1 对采购人的纪律要求</w:t>
      </w:r>
      <w:bookmarkEnd w:id="827"/>
      <w:bookmarkEnd w:id="828"/>
      <w:bookmarkEnd w:id="829"/>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采购人不得泄漏磋商活动中应当保密的情况和资料，不得与供应商串通损害国家利益、社会公共利益或者他人合法权益。</w:t>
      </w:r>
    </w:p>
    <w:p>
      <w:pPr>
        <w:pStyle w:val="31"/>
        <w:spacing w:line="360" w:lineRule="auto"/>
        <w:ind w:firstLine="422"/>
        <w:outlineLvl w:val="0"/>
        <w:rPr>
          <w:rFonts w:hint="eastAsia" w:ascii="宋体" w:hAnsi="宋体" w:eastAsia="宋体" w:cs="宋体"/>
          <w:color w:val="auto"/>
          <w:sz w:val="21"/>
          <w:szCs w:val="21"/>
          <w:highlight w:val="none"/>
        </w:rPr>
      </w:pPr>
      <w:bookmarkStart w:id="830" w:name="_Toc152042352"/>
      <w:bookmarkEnd w:id="830"/>
      <w:bookmarkStart w:id="831" w:name="_Toc152045576"/>
      <w:bookmarkEnd w:id="831"/>
      <w:bookmarkStart w:id="832" w:name="_Toc27698"/>
      <w:bookmarkEnd w:id="832"/>
      <w:bookmarkStart w:id="833" w:name="_Toc455080149"/>
      <w:bookmarkEnd w:id="833"/>
      <w:bookmarkStart w:id="834" w:name="_Toc7572"/>
      <w:bookmarkEnd w:id="834"/>
      <w:bookmarkStart w:id="835" w:name="_Toc23055"/>
      <w:bookmarkEnd w:id="835"/>
      <w:bookmarkStart w:id="836" w:name="_Toc144974544"/>
      <w:bookmarkEnd w:id="836"/>
      <w:bookmarkStart w:id="837" w:name="_Toc21646"/>
      <w:bookmarkEnd w:id="837"/>
      <w:bookmarkStart w:id="838" w:name="_Toc17040"/>
      <w:bookmarkEnd w:id="838"/>
      <w:bookmarkStart w:id="839" w:name="_Toc8990"/>
      <w:bookmarkEnd w:id="839"/>
      <w:bookmarkStart w:id="840" w:name="_Toc455867809"/>
      <w:bookmarkEnd w:id="840"/>
      <w:bookmarkStart w:id="841" w:name="_Toc3089"/>
      <w:bookmarkEnd w:id="841"/>
      <w:bookmarkStart w:id="842" w:name="_Toc1743"/>
      <w:bookmarkEnd w:id="842"/>
      <w:bookmarkStart w:id="843" w:name="_Toc18204"/>
      <w:bookmarkEnd w:id="843"/>
      <w:bookmarkStart w:id="844" w:name="_Toc318450715"/>
      <w:bookmarkEnd w:id="844"/>
      <w:bookmarkStart w:id="845" w:name="_Toc466298132"/>
      <w:bookmarkEnd w:id="845"/>
      <w:bookmarkStart w:id="846" w:name="_Toc18604"/>
      <w:bookmarkEnd w:id="846"/>
      <w:bookmarkStart w:id="847" w:name="_Toc490667869"/>
      <w:bookmarkEnd w:id="847"/>
      <w:bookmarkStart w:id="848" w:name="_Toc20261"/>
      <w:bookmarkEnd w:id="848"/>
      <w:bookmarkStart w:id="849" w:name="_Toc19167"/>
      <w:bookmarkEnd w:id="849"/>
      <w:bookmarkStart w:id="850" w:name="_Toc8929"/>
      <w:bookmarkStart w:id="851" w:name="_Toc5638"/>
      <w:bookmarkStart w:id="852" w:name="_Toc903"/>
      <w:r>
        <w:rPr>
          <w:rFonts w:hint="eastAsia" w:ascii="宋体" w:hAnsi="宋体" w:eastAsia="宋体" w:cs="宋体"/>
          <w:b/>
          <w:bCs/>
          <w:color w:val="auto"/>
          <w:sz w:val="21"/>
          <w:szCs w:val="21"/>
          <w:highlight w:val="none"/>
        </w:rPr>
        <w:t>9.2 对供应商的纪律要求</w:t>
      </w:r>
      <w:bookmarkEnd w:id="850"/>
      <w:bookmarkEnd w:id="851"/>
      <w:bookmarkEnd w:id="852"/>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供应商不得相互串通或者与采购人串通，不得向采购人或者谈判小组行贿谋取成交，不得以他人名义或者以其他方式弄虚作假骗取成交；供应商不得以任何方式干扰、影响评审工作。</w:t>
      </w:r>
    </w:p>
    <w:p>
      <w:pPr>
        <w:pStyle w:val="31"/>
        <w:spacing w:line="360" w:lineRule="auto"/>
        <w:ind w:firstLine="422"/>
        <w:outlineLvl w:val="0"/>
        <w:rPr>
          <w:rFonts w:hint="eastAsia" w:ascii="宋体" w:hAnsi="宋体" w:eastAsia="宋体" w:cs="宋体"/>
          <w:b/>
          <w:bCs/>
          <w:color w:val="auto"/>
          <w:sz w:val="21"/>
          <w:szCs w:val="21"/>
          <w:highlight w:val="none"/>
        </w:rPr>
      </w:pPr>
      <w:bookmarkStart w:id="853" w:name="_Toc25211"/>
      <w:bookmarkEnd w:id="853"/>
      <w:bookmarkStart w:id="854" w:name="_Toc152045577"/>
      <w:bookmarkEnd w:id="854"/>
      <w:bookmarkStart w:id="855" w:name="_Toc27619"/>
      <w:bookmarkEnd w:id="855"/>
      <w:bookmarkStart w:id="856" w:name="_Toc466298133"/>
      <w:bookmarkEnd w:id="856"/>
      <w:bookmarkStart w:id="857" w:name="_Toc490667870"/>
      <w:bookmarkEnd w:id="857"/>
      <w:bookmarkStart w:id="858" w:name="_Toc144974545"/>
      <w:bookmarkEnd w:id="858"/>
      <w:bookmarkStart w:id="859" w:name="_Toc31001"/>
      <w:bookmarkEnd w:id="859"/>
      <w:bookmarkStart w:id="860" w:name="_Toc455867810"/>
      <w:bookmarkEnd w:id="860"/>
      <w:bookmarkStart w:id="861" w:name="_Toc152042353"/>
      <w:bookmarkEnd w:id="861"/>
      <w:bookmarkStart w:id="862" w:name="_Toc318450716"/>
      <w:bookmarkEnd w:id="862"/>
      <w:bookmarkStart w:id="863" w:name="_Toc32320"/>
      <w:bookmarkEnd w:id="863"/>
      <w:bookmarkStart w:id="864" w:name="_Toc12177"/>
      <w:bookmarkEnd w:id="864"/>
      <w:bookmarkStart w:id="865" w:name="_Toc7107"/>
      <w:bookmarkEnd w:id="865"/>
      <w:bookmarkStart w:id="866" w:name="_Toc7439"/>
      <w:bookmarkEnd w:id="866"/>
      <w:bookmarkStart w:id="867" w:name="_Toc455080150"/>
      <w:bookmarkEnd w:id="867"/>
      <w:bookmarkStart w:id="868" w:name="_Toc24359"/>
      <w:bookmarkEnd w:id="868"/>
      <w:bookmarkStart w:id="869" w:name="_Toc25241"/>
      <w:bookmarkEnd w:id="869"/>
      <w:bookmarkStart w:id="870" w:name="_Toc30153"/>
      <w:bookmarkEnd w:id="870"/>
      <w:bookmarkStart w:id="871" w:name="_Toc28813"/>
      <w:bookmarkEnd w:id="871"/>
      <w:bookmarkStart w:id="872" w:name="_Toc19965"/>
      <w:bookmarkEnd w:id="872"/>
      <w:bookmarkStart w:id="873" w:name="_Toc22797"/>
      <w:bookmarkStart w:id="874" w:name="_Toc10633"/>
      <w:bookmarkStart w:id="875" w:name="_Toc23598"/>
      <w:r>
        <w:rPr>
          <w:rFonts w:hint="eastAsia" w:ascii="宋体" w:hAnsi="宋体" w:eastAsia="宋体" w:cs="宋体"/>
          <w:b/>
          <w:bCs/>
          <w:color w:val="auto"/>
          <w:sz w:val="21"/>
          <w:szCs w:val="21"/>
          <w:highlight w:val="none"/>
        </w:rPr>
        <w:t>9.3 对磋商小组成员的纪律要求</w:t>
      </w:r>
      <w:bookmarkEnd w:id="873"/>
      <w:bookmarkEnd w:id="874"/>
      <w:bookmarkEnd w:id="875"/>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pPr>
        <w:pStyle w:val="31"/>
        <w:spacing w:line="360" w:lineRule="auto"/>
        <w:ind w:firstLine="422"/>
        <w:outlineLvl w:val="0"/>
        <w:rPr>
          <w:rFonts w:hint="eastAsia" w:ascii="宋体" w:hAnsi="宋体" w:eastAsia="宋体" w:cs="宋体"/>
          <w:color w:val="auto"/>
          <w:sz w:val="21"/>
          <w:szCs w:val="21"/>
          <w:highlight w:val="none"/>
        </w:rPr>
      </w:pPr>
      <w:bookmarkStart w:id="876" w:name="_Toc144974546"/>
      <w:bookmarkEnd w:id="876"/>
      <w:bookmarkStart w:id="877" w:name="_Toc27559"/>
      <w:bookmarkEnd w:id="877"/>
      <w:bookmarkStart w:id="878" w:name="_Toc19485"/>
      <w:bookmarkEnd w:id="878"/>
      <w:bookmarkStart w:id="879" w:name="_Toc152042354"/>
      <w:bookmarkEnd w:id="879"/>
      <w:bookmarkStart w:id="880" w:name="_Toc318450717"/>
      <w:bookmarkEnd w:id="880"/>
      <w:bookmarkStart w:id="881" w:name="_Toc490667871"/>
      <w:bookmarkEnd w:id="881"/>
      <w:bookmarkStart w:id="882" w:name="_Toc15958"/>
      <w:bookmarkEnd w:id="882"/>
      <w:bookmarkStart w:id="883" w:name="_Toc17734"/>
      <w:bookmarkEnd w:id="883"/>
      <w:bookmarkStart w:id="884" w:name="_Toc152045578"/>
      <w:bookmarkEnd w:id="884"/>
      <w:bookmarkStart w:id="885" w:name="_Toc7368"/>
      <w:bookmarkEnd w:id="885"/>
      <w:bookmarkStart w:id="886" w:name="_Toc235"/>
      <w:bookmarkEnd w:id="886"/>
      <w:bookmarkStart w:id="887" w:name="_Toc1295"/>
      <w:bookmarkEnd w:id="887"/>
      <w:bookmarkStart w:id="888" w:name="_Toc26462"/>
      <w:bookmarkEnd w:id="888"/>
      <w:bookmarkStart w:id="889" w:name="_Toc466298134"/>
      <w:bookmarkEnd w:id="889"/>
      <w:bookmarkStart w:id="890" w:name="_Toc20546"/>
      <w:bookmarkEnd w:id="890"/>
      <w:bookmarkStart w:id="891" w:name="_Toc455080151"/>
      <w:bookmarkEnd w:id="891"/>
      <w:bookmarkStart w:id="892" w:name="_Toc455867811"/>
      <w:bookmarkEnd w:id="892"/>
      <w:bookmarkStart w:id="893" w:name="_Toc23717"/>
      <w:bookmarkEnd w:id="893"/>
      <w:bookmarkStart w:id="894" w:name="_Toc24"/>
      <w:bookmarkEnd w:id="894"/>
      <w:bookmarkStart w:id="895" w:name="_Toc9063"/>
      <w:bookmarkEnd w:id="895"/>
      <w:bookmarkStart w:id="896" w:name="_Toc8764"/>
      <w:bookmarkStart w:id="897" w:name="_Toc12783"/>
      <w:bookmarkStart w:id="898" w:name="_Toc17093"/>
      <w:r>
        <w:rPr>
          <w:rFonts w:hint="eastAsia" w:ascii="宋体" w:hAnsi="宋体" w:eastAsia="宋体" w:cs="宋体"/>
          <w:b/>
          <w:bCs/>
          <w:color w:val="auto"/>
          <w:sz w:val="21"/>
          <w:szCs w:val="21"/>
          <w:highlight w:val="none"/>
        </w:rPr>
        <w:t>9.4 对与评标活动有关的工作人员的纪律要求</w:t>
      </w:r>
      <w:bookmarkEnd w:id="896"/>
      <w:bookmarkEnd w:id="897"/>
      <w:bookmarkEnd w:id="898"/>
    </w:p>
    <w:p>
      <w:pPr>
        <w:spacing w:line="360" w:lineRule="auto"/>
        <w:ind w:firstLine="420"/>
        <w:rPr>
          <w:rFonts w:hint="eastAsia" w:ascii="宋体" w:hAnsi="宋体" w:eastAsia="宋体" w:cs="宋体"/>
          <w:color w:val="auto"/>
          <w:szCs w:val="21"/>
          <w:highlight w:val="none"/>
        </w:rPr>
      </w:pPr>
      <w:bookmarkStart w:id="899" w:name="_Toc152042355"/>
      <w:bookmarkEnd w:id="899"/>
      <w:r>
        <w:rPr>
          <w:rFonts w:hint="eastAsia" w:ascii="宋体" w:hAnsi="宋体" w:eastAsia="宋体" w:cs="宋体"/>
          <w:color w:val="auto"/>
          <w:szCs w:val="21"/>
          <w:highlight w:val="none"/>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p>
    <w:p>
      <w:pPr>
        <w:pStyle w:val="31"/>
        <w:spacing w:line="360" w:lineRule="auto"/>
        <w:ind w:firstLine="422"/>
        <w:outlineLvl w:val="0"/>
        <w:rPr>
          <w:rFonts w:hint="eastAsia" w:ascii="宋体" w:hAnsi="宋体" w:eastAsia="宋体" w:cs="宋体"/>
          <w:b/>
          <w:bCs/>
          <w:color w:val="auto"/>
          <w:sz w:val="21"/>
          <w:szCs w:val="21"/>
          <w:highlight w:val="none"/>
        </w:rPr>
      </w:pPr>
      <w:bookmarkStart w:id="900" w:name="_Toc490667872"/>
      <w:bookmarkEnd w:id="900"/>
      <w:bookmarkStart w:id="901" w:name="_Toc17735"/>
      <w:bookmarkEnd w:id="901"/>
      <w:bookmarkStart w:id="902" w:name="_Toc455080152"/>
      <w:bookmarkEnd w:id="902"/>
      <w:bookmarkStart w:id="903" w:name="_Toc1820"/>
      <w:bookmarkEnd w:id="903"/>
      <w:bookmarkStart w:id="904" w:name="_Toc6199"/>
      <w:bookmarkEnd w:id="904"/>
      <w:bookmarkStart w:id="905" w:name="_Toc11811"/>
      <w:bookmarkEnd w:id="905"/>
      <w:bookmarkStart w:id="906" w:name="_Toc32675"/>
      <w:bookmarkEnd w:id="906"/>
      <w:bookmarkStart w:id="907" w:name="_Toc3617"/>
      <w:bookmarkEnd w:id="907"/>
      <w:bookmarkStart w:id="908" w:name="_Toc25751"/>
      <w:bookmarkEnd w:id="908"/>
      <w:bookmarkStart w:id="909" w:name="_Toc152045579"/>
      <w:bookmarkEnd w:id="909"/>
      <w:bookmarkStart w:id="910" w:name="_Toc24617"/>
      <w:bookmarkEnd w:id="910"/>
      <w:bookmarkStart w:id="911" w:name="_Toc31010"/>
      <w:bookmarkEnd w:id="911"/>
      <w:bookmarkStart w:id="912" w:name="_Toc152042356"/>
      <w:bookmarkEnd w:id="912"/>
      <w:bookmarkStart w:id="913" w:name="_Toc455867812"/>
      <w:bookmarkEnd w:id="913"/>
      <w:bookmarkStart w:id="914" w:name="_Toc5504"/>
      <w:bookmarkEnd w:id="914"/>
      <w:bookmarkStart w:id="915" w:name="_Toc318450718"/>
      <w:bookmarkEnd w:id="915"/>
      <w:bookmarkStart w:id="916" w:name="_Toc8074"/>
      <w:bookmarkEnd w:id="916"/>
      <w:bookmarkStart w:id="917" w:name="_Toc3303"/>
      <w:bookmarkEnd w:id="917"/>
      <w:bookmarkStart w:id="918" w:name="_Toc466298135"/>
      <w:bookmarkEnd w:id="918"/>
      <w:bookmarkStart w:id="919" w:name="_Toc28320"/>
      <w:bookmarkStart w:id="920" w:name="_Toc32294"/>
      <w:bookmarkStart w:id="921" w:name="_Toc22895"/>
      <w:r>
        <w:rPr>
          <w:rFonts w:hint="eastAsia" w:ascii="宋体" w:hAnsi="宋体" w:eastAsia="宋体" w:cs="宋体"/>
          <w:b/>
          <w:bCs/>
          <w:color w:val="auto"/>
          <w:sz w:val="21"/>
          <w:szCs w:val="21"/>
          <w:highlight w:val="none"/>
        </w:rPr>
        <w:t>9.5 投诉</w:t>
      </w:r>
      <w:bookmarkEnd w:id="919"/>
      <w:bookmarkEnd w:id="920"/>
      <w:bookmarkEnd w:id="921"/>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供应商和其他利害关系人认为本次磋商活动违反法律、法规和规章规定的，有权向有关行政监督部门投诉。</w:t>
      </w:r>
    </w:p>
    <w:p>
      <w:pPr>
        <w:pStyle w:val="30"/>
        <w:spacing w:before="0" w:line="360" w:lineRule="auto"/>
        <w:rPr>
          <w:rFonts w:hint="eastAsia" w:ascii="宋体" w:hAnsi="宋体" w:eastAsia="宋体" w:cs="宋体"/>
          <w:b/>
          <w:bCs/>
          <w:color w:val="auto"/>
          <w:sz w:val="21"/>
          <w:szCs w:val="21"/>
          <w:highlight w:val="none"/>
        </w:rPr>
      </w:pPr>
      <w:bookmarkStart w:id="922" w:name="_Toc14221"/>
      <w:bookmarkEnd w:id="922"/>
      <w:bookmarkStart w:id="923" w:name="_Toc28564"/>
      <w:bookmarkEnd w:id="923"/>
      <w:bookmarkStart w:id="924" w:name="_Toc4314"/>
      <w:bookmarkEnd w:id="924"/>
      <w:bookmarkStart w:id="925" w:name="_Toc152045580"/>
      <w:bookmarkEnd w:id="925"/>
      <w:bookmarkStart w:id="926" w:name="_Toc144974547"/>
      <w:bookmarkEnd w:id="926"/>
      <w:bookmarkStart w:id="927" w:name="_Toc152042357"/>
      <w:bookmarkEnd w:id="927"/>
      <w:bookmarkStart w:id="928" w:name="_Toc455080153"/>
      <w:bookmarkEnd w:id="928"/>
      <w:bookmarkStart w:id="929" w:name="_Toc16912"/>
      <w:r>
        <w:rPr>
          <w:rFonts w:hint="eastAsia" w:ascii="宋体" w:hAnsi="宋体" w:eastAsia="宋体" w:cs="宋体"/>
          <w:b/>
          <w:bCs/>
          <w:color w:val="auto"/>
          <w:sz w:val="21"/>
          <w:szCs w:val="21"/>
          <w:highlight w:val="none"/>
        </w:rPr>
        <w:t>10. 需要补充的其他内容</w:t>
      </w:r>
      <w:bookmarkEnd w:id="929"/>
    </w:p>
    <w:p>
      <w:pPr>
        <w:spacing w:line="360" w:lineRule="auto"/>
        <w:ind w:firstLine="420"/>
        <w:outlineLvl w:val="0"/>
        <w:rPr>
          <w:rFonts w:hint="eastAsia" w:ascii="宋体" w:hAnsi="宋体" w:eastAsia="宋体" w:cs="宋体"/>
          <w:color w:val="auto"/>
          <w:highlight w:val="none"/>
        </w:rPr>
        <w:sectPr>
          <w:footerReference r:id="rId5" w:type="default"/>
          <w:footnotePr>
            <w:numFmt w:val="decimal"/>
          </w:footnotePr>
          <w:endnotePr>
            <w:numFmt w:val="decimal"/>
          </w:endnotePr>
          <w:pgSz w:w="11905" w:h="16838"/>
          <w:pgMar w:top="1440" w:right="1803" w:bottom="1440" w:left="1803" w:header="794" w:footer="850" w:gutter="0"/>
          <w:pgNumType w:fmt="decimal"/>
          <w:cols w:space="720" w:num="1"/>
        </w:sectPr>
      </w:pPr>
      <w:bookmarkStart w:id="930" w:name="_Toc14763"/>
      <w:bookmarkEnd w:id="930"/>
      <w:bookmarkStart w:id="931" w:name="_Toc466298137"/>
      <w:bookmarkEnd w:id="931"/>
      <w:bookmarkStart w:id="932" w:name="_Toc490667874"/>
      <w:bookmarkEnd w:id="932"/>
      <w:bookmarkStart w:id="933" w:name="_Toc455867814"/>
      <w:bookmarkEnd w:id="933"/>
      <w:bookmarkStart w:id="934" w:name="_Toc22486"/>
      <w:bookmarkEnd w:id="934"/>
      <w:bookmarkStart w:id="935" w:name="_Toc22330"/>
      <w:bookmarkEnd w:id="935"/>
      <w:bookmarkStart w:id="936" w:name="_Toc3604"/>
      <w:bookmarkEnd w:id="936"/>
      <w:bookmarkStart w:id="937" w:name="_Toc455080154"/>
      <w:bookmarkEnd w:id="937"/>
      <w:bookmarkStart w:id="938" w:name="_Toc17627"/>
      <w:bookmarkEnd w:id="938"/>
      <w:bookmarkStart w:id="939" w:name="_Toc5176"/>
      <w:bookmarkEnd w:id="939"/>
      <w:bookmarkStart w:id="940" w:name="_Toc17494"/>
      <w:bookmarkStart w:id="941" w:name="_Toc19127"/>
      <w:bookmarkStart w:id="942" w:name="_Toc19610"/>
      <w:r>
        <w:rPr>
          <w:rFonts w:hint="eastAsia" w:ascii="宋体" w:hAnsi="宋体" w:eastAsia="宋体" w:cs="宋体"/>
          <w:color w:val="auto"/>
          <w:szCs w:val="21"/>
          <w:highlight w:val="none"/>
        </w:rPr>
        <w:t>需要补充的其他内容：见供应商须知前附表。</w:t>
      </w:r>
      <w:bookmarkEnd w:id="940"/>
      <w:bookmarkEnd w:id="941"/>
      <w:bookmarkEnd w:id="942"/>
      <w:bookmarkStart w:id="943" w:name="_Toc14024"/>
      <w:bookmarkEnd w:id="943"/>
      <w:bookmarkStart w:id="944" w:name="_Toc152042387"/>
      <w:bookmarkEnd w:id="944"/>
      <w:bookmarkStart w:id="945" w:name="_Toc152045609"/>
      <w:bookmarkEnd w:id="945"/>
      <w:bookmarkStart w:id="946" w:name="_Toc144974565"/>
      <w:bookmarkEnd w:id="946"/>
      <w:bookmarkStart w:id="947" w:name="_Toc152042375"/>
      <w:bookmarkEnd w:id="947"/>
      <w:bookmarkStart w:id="948" w:name="_Toc144974577"/>
      <w:bookmarkEnd w:id="948"/>
      <w:bookmarkStart w:id="949" w:name="_Toc152045598"/>
      <w:bookmarkEnd w:id="949"/>
    </w:p>
    <w:p>
      <w:pPr>
        <w:jc w:val="center"/>
        <w:outlineLvl w:val="0"/>
        <w:rPr>
          <w:rFonts w:hint="eastAsia" w:ascii="宋体" w:hAnsi="宋体" w:eastAsia="宋体" w:cs="宋体"/>
          <w:bCs/>
          <w:color w:val="auto"/>
          <w:sz w:val="32"/>
          <w:szCs w:val="32"/>
          <w:highlight w:val="none"/>
        </w:rPr>
      </w:pPr>
      <w:bookmarkStart w:id="950" w:name="_Toc30223"/>
      <w:bookmarkEnd w:id="950"/>
      <w:bookmarkStart w:id="951" w:name="_Toc27122"/>
      <w:bookmarkEnd w:id="951"/>
      <w:bookmarkStart w:id="952" w:name="_Toc21079"/>
      <w:r>
        <w:rPr>
          <w:rFonts w:hint="eastAsia" w:ascii="宋体" w:hAnsi="宋体" w:eastAsia="宋体" w:cs="宋体"/>
          <w:b/>
          <w:color w:val="auto"/>
          <w:kern w:val="0"/>
          <w:sz w:val="32"/>
          <w:szCs w:val="32"/>
          <w:highlight w:val="none"/>
        </w:rPr>
        <w:t>第三章  评审办法（综合评分法）</w:t>
      </w:r>
      <w:bookmarkEnd w:id="952"/>
    </w:p>
    <w:p>
      <w:pPr>
        <w:jc w:val="center"/>
        <w:outlineLvl w:val="1"/>
        <w:rPr>
          <w:rFonts w:hint="eastAsia" w:ascii="宋体" w:hAnsi="宋体" w:eastAsia="宋体" w:cs="宋体"/>
          <w:color w:val="auto"/>
          <w:sz w:val="24"/>
          <w:highlight w:val="none"/>
        </w:rPr>
      </w:pPr>
      <w:bookmarkStart w:id="953" w:name="_Toc455080156"/>
      <w:bookmarkEnd w:id="953"/>
      <w:bookmarkStart w:id="954" w:name="_Toc466298139"/>
      <w:bookmarkEnd w:id="954"/>
      <w:bookmarkStart w:id="955" w:name="_Toc152042376"/>
      <w:bookmarkEnd w:id="955"/>
      <w:bookmarkStart w:id="956" w:name="_Toc152045599"/>
      <w:bookmarkEnd w:id="956"/>
      <w:bookmarkStart w:id="957" w:name="_Toc144974566"/>
      <w:bookmarkEnd w:id="957"/>
      <w:bookmarkStart w:id="958" w:name="_Toc29356"/>
      <w:bookmarkEnd w:id="958"/>
      <w:bookmarkStart w:id="959" w:name="_Toc318450721"/>
      <w:bookmarkEnd w:id="959"/>
      <w:bookmarkStart w:id="960" w:name="_Toc27806"/>
      <w:bookmarkEnd w:id="960"/>
      <w:bookmarkStart w:id="961" w:name="_Toc28069"/>
      <w:bookmarkEnd w:id="961"/>
      <w:bookmarkStart w:id="962" w:name="_Toc30026"/>
      <w:bookmarkEnd w:id="962"/>
      <w:bookmarkStart w:id="963" w:name="_Toc281405527"/>
      <w:bookmarkEnd w:id="963"/>
      <w:bookmarkStart w:id="964" w:name="_Toc455867816"/>
      <w:bookmarkEnd w:id="964"/>
      <w:bookmarkStart w:id="965" w:name="_Toc30015"/>
      <w:r>
        <w:rPr>
          <w:rFonts w:hint="eastAsia" w:ascii="宋体" w:hAnsi="宋体" w:eastAsia="宋体" w:cs="宋体"/>
          <w:color w:val="auto"/>
          <w:sz w:val="24"/>
          <w:highlight w:val="none"/>
        </w:rPr>
        <w:t>评审办法前附表</w:t>
      </w:r>
      <w:bookmarkEnd w:id="965"/>
    </w:p>
    <w:p>
      <w:pPr>
        <w:jc w:val="center"/>
        <w:outlineLvl w:val="9"/>
        <w:rPr>
          <w:rFonts w:hint="eastAsia" w:ascii="宋体" w:hAnsi="宋体" w:eastAsia="宋体" w:cs="宋体"/>
          <w:color w:val="auto"/>
          <w:sz w:val="24"/>
          <w:highlight w:val="none"/>
        </w:rPr>
      </w:pPr>
    </w:p>
    <w:tbl>
      <w:tblPr>
        <w:tblStyle w:val="23"/>
        <w:tblW w:w="9498" w:type="dxa"/>
        <w:jc w:val="center"/>
        <w:tblLayout w:type="fixed"/>
        <w:tblCellMar>
          <w:top w:w="0" w:type="dxa"/>
          <w:left w:w="10" w:type="dxa"/>
          <w:bottom w:w="0" w:type="dxa"/>
          <w:right w:w="10" w:type="dxa"/>
        </w:tblCellMar>
      </w:tblPr>
      <w:tblGrid>
        <w:gridCol w:w="793"/>
        <w:gridCol w:w="1228"/>
        <w:gridCol w:w="1831"/>
        <w:gridCol w:w="467"/>
        <w:gridCol w:w="4169"/>
        <w:gridCol w:w="1010"/>
      </w:tblGrid>
      <w:tr>
        <w:tblPrEx>
          <w:tblCellMar>
            <w:top w:w="0" w:type="dxa"/>
            <w:left w:w="10" w:type="dxa"/>
            <w:bottom w:w="0" w:type="dxa"/>
            <w:right w:w="10" w:type="dxa"/>
          </w:tblCellMar>
        </w:tblPrEx>
        <w:trPr>
          <w:trHeight w:val="588" w:hRule="atLeast"/>
          <w:jc w:val="center"/>
        </w:trPr>
        <w:tc>
          <w:tcPr>
            <w:tcW w:w="202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评审标准</w:t>
            </w:r>
          </w:p>
        </w:tc>
      </w:tr>
      <w:tr>
        <w:tblPrEx>
          <w:tblCellMar>
            <w:top w:w="0" w:type="dxa"/>
            <w:left w:w="10" w:type="dxa"/>
            <w:bottom w:w="0" w:type="dxa"/>
            <w:right w:w="10" w:type="dxa"/>
          </w:tblCellMar>
        </w:tblPrEx>
        <w:trPr>
          <w:trHeight w:val="1745" w:hRule="atLeast"/>
          <w:jc w:val="center"/>
        </w:trPr>
        <w:tc>
          <w:tcPr>
            <w:tcW w:w="79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122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资格评审</w:t>
            </w:r>
          </w:p>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   准</w:t>
            </w: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符合《中华人民共和国政府采购法》第22条规定</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符合供应商须知前附表第1.5.1项的规定</w:t>
            </w:r>
          </w:p>
        </w:tc>
      </w:tr>
      <w:tr>
        <w:tblPrEx>
          <w:tblCellMar>
            <w:top w:w="0" w:type="dxa"/>
            <w:left w:w="10" w:type="dxa"/>
            <w:bottom w:w="0" w:type="dxa"/>
            <w:right w:w="10" w:type="dxa"/>
          </w:tblCellMar>
        </w:tblPrEx>
        <w:trPr>
          <w:trHeight w:val="588"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信誉要求</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符合供应商须知前附表第1.5.1项的规定</w:t>
            </w:r>
          </w:p>
        </w:tc>
      </w:tr>
      <w:tr>
        <w:tblPrEx>
          <w:tblCellMar>
            <w:top w:w="0" w:type="dxa"/>
            <w:left w:w="10" w:type="dxa"/>
            <w:bottom w:w="0" w:type="dxa"/>
            <w:right w:w="10" w:type="dxa"/>
          </w:tblCellMar>
        </w:tblPrEx>
        <w:trPr>
          <w:trHeight w:val="588"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资质</w:t>
            </w:r>
            <w:r>
              <w:rPr>
                <w:rFonts w:hint="eastAsia" w:ascii="宋体" w:hAnsi="宋体" w:eastAsia="宋体" w:cs="宋体"/>
                <w:color w:val="auto"/>
                <w:szCs w:val="21"/>
                <w:highlight w:val="none"/>
                <w:lang w:val="en-US" w:eastAsia="zh-CN"/>
              </w:rPr>
              <w:t>要求</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符合供应商须知前附表第1.5.1项的规定</w:t>
            </w:r>
          </w:p>
        </w:tc>
      </w:tr>
      <w:tr>
        <w:tblPrEx>
          <w:tblCellMar>
            <w:top w:w="0" w:type="dxa"/>
            <w:left w:w="10" w:type="dxa"/>
            <w:bottom w:w="0" w:type="dxa"/>
            <w:right w:w="10" w:type="dxa"/>
          </w:tblCellMar>
        </w:tblPrEx>
        <w:trPr>
          <w:trHeight w:val="588"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szCs w:val="21"/>
                <w:highlight w:val="none"/>
              </w:rPr>
              <w:t>项目经理</w:t>
            </w:r>
            <w:r>
              <w:rPr>
                <w:rFonts w:hint="eastAsia" w:ascii="宋体" w:hAnsi="宋体" w:eastAsia="宋体" w:cs="宋体"/>
                <w:color w:val="auto"/>
                <w:szCs w:val="21"/>
                <w:highlight w:val="none"/>
                <w:lang w:val="en-US" w:eastAsia="zh-CN"/>
              </w:rPr>
              <w:t>要求</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符合供应商须知前附表第1.5.1项的规定</w:t>
            </w:r>
          </w:p>
        </w:tc>
      </w:tr>
      <w:tr>
        <w:tblPrEx>
          <w:tblCellMar>
            <w:top w:w="0" w:type="dxa"/>
            <w:left w:w="10" w:type="dxa"/>
            <w:bottom w:w="0" w:type="dxa"/>
            <w:right w:w="10" w:type="dxa"/>
          </w:tblCellMar>
        </w:tblPrEx>
        <w:trPr>
          <w:trHeight w:val="588"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安全生产许可证</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符合供应商须知前附表第1.5.1项的规定</w:t>
            </w:r>
          </w:p>
        </w:tc>
      </w:tr>
      <w:tr>
        <w:tblPrEx>
          <w:tblCellMar>
            <w:top w:w="0" w:type="dxa"/>
            <w:left w:w="10" w:type="dxa"/>
            <w:bottom w:w="0" w:type="dxa"/>
            <w:right w:w="10" w:type="dxa"/>
          </w:tblCellMar>
        </w:tblPrEx>
        <w:trPr>
          <w:trHeight w:val="588"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leftChars="0" w:right="0" w:rightChars="0"/>
              <w:jc w:val="center"/>
              <w:textAlignment w:val="auto"/>
              <w:rPr>
                <w:rFonts w:hint="eastAsia" w:ascii="宋体" w:hAnsi="宋体" w:eastAsia="宋体" w:cs="宋体"/>
                <w:color w:val="auto"/>
                <w:kern w:val="1"/>
                <w:sz w:val="21"/>
                <w:szCs w:val="21"/>
                <w:highlight w:val="none"/>
                <w:lang w:val="en-US" w:eastAsia="zh-CN" w:bidi="ar-SA"/>
              </w:rPr>
            </w:pPr>
            <w:r>
              <w:rPr>
                <w:rFonts w:hint="eastAsia" w:ascii="宋体" w:hAnsi="宋体" w:eastAsia="宋体" w:cs="宋体"/>
                <w:color w:val="auto"/>
                <w:szCs w:val="21"/>
                <w:highlight w:val="none"/>
              </w:rPr>
              <w:t>其他要求</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符合供应商须知前附表第1.5.1项的规定</w:t>
            </w:r>
          </w:p>
        </w:tc>
      </w:tr>
      <w:tr>
        <w:tblPrEx>
          <w:tblCellMar>
            <w:top w:w="0" w:type="dxa"/>
            <w:left w:w="10" w:type="dxa"/>
            <w:bottom w:w="0" w:type="dxa"/>
            <w:right w:w="10" w:type="dxa"/>
          </w:tblCellMar>
        </w:tblPrEx>
        <w:trPr>
          <w:trHeight w:val="588" w:hRule="atLeast"/>
          <w:jc w:val="center"/>
        </w:trPr>
        <w:tc>
          <w:tcPr>
            <w:tcW w:w="79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6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122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 应 性</w:t>
            </w:r>
          </w:p>
          <w:p>
            <w:pPr>
              <w:keepNext w:val="0"/>
              <w:keepLines w:val="0"/>
              <w:pageBreakBefore w:val="0"/>
              <w:widowControl/>
              <w:kinsoku/>
              <w:wordWrap/>
              <w:overflowPunct/>
              <w:topLinePunct w:val="0"/>
              <w:autoSpaceDE/>
              <w:autoSpaceDN/>
              <w:bidi w:val="0"/>
              <w:adjustRightInd/>
              <w:snapToGrid/>
              <w:spacing w:line="6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评审标准</w:t>
            </w: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与营业执照、资质证书、安全生产许可证一致</w:t>
            </w:r>
          </w:p>
        </w:tc>
      </w:tr>
      <w:tr>
        <w:tblPrEx>
          <w:tblCellMar>
            <w:top w:w="0" w:type="dxa"/>
            <w:left w:w="10" w:type="dxa"/>
            <w:bottom w:w="0" w:type="dxa"/>
            <w:right w:w="10" w:type="dxa"/>
          </w:tblCellMar>
        </w:tblPrEx>
        <w:trPr>
          <w:trHeight w:val="1167"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磋商函签字盖章</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符合“竞争性磋商响应文件格式”磋商函签字盖章的要求</w:t>
            </w:r>
          </w:p>
        </w:tc>
      </w:tr>
      <w:tr>
        <w:tblPrEx>
          <w:tblCellMar>
            <w:top w:w="0" w:type="dxa"/>
            <w:left w:w="10" w:type="dxa"/>
            <w:bottom w:w="0" w:type="dxa"/>
            <w:right w:w="10" w:type="dxa"/>
          </w:tblCellMar>
        </w:tblPrEx>
        <w:trPr>
          <w:trHeight w:val="588"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响应文件格式</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符合“竞争性磋商响应文件格式”的要求</w:t>
            </w:r>
          </w:p>
        </w:tc>
      </w:tr>
      <w:tr>
        <w:tblPrEx>
          <w:tblCellMar>
            <w:top w:w="0" w:type="dxa"/>
            <w:left w:w="10" w:type="dxa"/>
            <w:bottom w:w="0" w:type="dxa"/>
            <w:right w:w="10" w:type="dxa"/>
          </w:tblCellMar>
        </w:tblPrEx>
        <w:trPr>
          <w:trHeight w:val="588"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报价唯一</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只能有一个有效报价（第一次报价）</w:t>
            </w:r>
          </w:p>
        </w:tc>
      </w:tr>
      <w:tr>
        <w:tblPrEx>
          <w:tblCellMar>
            <w:top w:w="0" w:type="dxa"/>
            <w:left w:w="10" w:type="dxa"/>
            <w:bottom w:w="0" w:type="dxa"/>
            <w:right w:w="10" w:type="dxa"/>
          </w:tblCellMar>
        </w:tblPrEx>
        <w:trPr>
          <w:trHeight w:val="588"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响应内容</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符合第二章“供应商须知”第1.4.1项规定</w:t>
            </w:r>
          </w:p>
        </w:tc>
      </w:tr>
      <w:tr>
        <w:tblPrEx>
          <w:tblCellMar>
            <w:top w:w="0" w:type="dxa"/>
            <w:left w:w="10" w:type="dxa"/>
            <w:bottom w:w="0" w:type="dxa"/>
            <w:right w:w="10" w:type="dxa"/>
          </w:tblCellMar>
        </w:tblPrEx>
        <w:trPr>
          <w:trHeight w:val="588"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计划工期</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符合第二章“供应商须知”第1.4.2项规定</w:t>
            </w:r>
          </w:p>
        </w:tc>
      </w:tr>
      <w:tr>
        <w:tblPrEx>
          <w:tblCellMar>
            <w:top w:w="0" w:type="dxa"/>
            <w:left w:w="10" w:type="dxa"/>
            <w:bottom w:w="0" w:type="dxa"/>
            <w:right w:w="10" w:type="dxa"/>
          </w:tblCellMar>
        </w:tblPrEx>
        <w:trPr>
          <w:trHeight w:val="588"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质量要求</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符合第二章“供应商须知”第1.4.3项规定</w:t>
            </w:r>
          </w:p>
        </w:tc>
      </w:tr>
      <w:tr>
        <w:tblPrEx>
          <w:tblCellMar>
            <w:top w:w="0" w:type="dxa"/>
            <w:left w:w="10" w:type="dxa"/>
            <w:bottom w:w="0" w:type="dxa"/>
            <w:right w:w="10" w:type="dxa"/>
          </w:tblCellMar>
        </w:tblPrEx>
        <w:trPr>
          <w:trHeight w:val="588"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磋商有效期</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符合第二章“供应商须知”第3.3.1项规定</w:t>
            </w:r>
          </w:p>
        </w:tc>
      </w:tr>
      <w:tr>
        <w:tblPrEx>
          <w:tblCellMar>
            <w:top w:w="0" w:type="dxa"/>
            <w:left w:w="10" w:type="dxa"/>
            <w:bottom w:w="0" w:type="dxa"/>
            <w:right w:w="10" w:type="dxa"/>
          </w:tblCellMar>
        </w:tblPrEx>
        <w:trPr>
          <w:trHeight w:val="588"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highlight w:val="none"/>
              </w:rPr>
            </w:pP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磋商报价</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64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磋商报价在规定的报价要求范围之内，未超出预算价</w:t>
            </w:r>
          </w:p>
        </w:tc>
      </w:tr>
      <w:tr>
        <w:tblPrEx>
          <w:tblCellMar>
            <w:top w:w="0" w:type="dxa"/>
            <w:left w:w="10" w:type="dxa"/>
            <w:bottom w:w="0" w:type="dxa"/>
            <w:right w:w="10" w:type="dxa"/>
          </w:tblCellMar>
        </w:tblPrEx>
        <w:trPr>
          <w:trHeight w:val="1456" w:hRule="atLeast"/>
          <w:jc w:val="center"/>
        </w:trPr>
        <w:tc>
          <w:tcPr>
            <w:tcW w:w="202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Cs w:val="21"/>
                <w:highlight w:val="none"/>
              </w:rPr>
            </w:pPr>
            <w:bookmarkStart w:id="966" w:name="_Toc318450722"/>
            <w:bookmarkEnd w:id="966"/>
            <w:bookmarkStart w:id="967" w:name="_Toc152042377"/>
            <w:bookmarkEnd w:id="967"/>
            <w:bookmarkStart w:id="968" w:name="_Toc144974567"/>
            <w:bookmarkEnd w:id="968"/>
            <w:bookmarkStart w:id="969" w:name="_Toc31578"/>
            <w:bookmarkEnd w:id="969"/>
            <w:bookmarkStart w:id="970" w:name="_Toc281405528"/>
            <w:bookmarkEnd w:id="970"/>
            <w:bookmarkStart w:id="971" w:name="_Toc152045600"/>
            <w:bookmarkEnd w:id="971"/>
            <w:r>
              <w:rPr>
                <w:rFonts w:hint="eastAsia" w:ascii="宋体" w:hAnsi="宋体" w:eastAsia="宋体" w:cs="宋体"/>
                <w:color w:val="auto"/>
                <w:szCs w:val="21"/>
                <w:highlight w:val="none"/>
              </w:rPr>
              <w:t>2.2.1</w:t>
            </w: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分值构成（100分）</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商务标：30分</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技术标：50分</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综合标：20分</w:t>
            </w:r>
          </w:p>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供应商综合得分=商务标+技术标+综合标</w:t>
            </w:r>
          </w:p>
        </w:tc>
      </w:tr>
      <w:tr>
        <w:tblPrEx>
          <w:tblCellMar>
            <w:top w:w="0" w:type="dxa"/>
            <w:left w:w="10" w:type="dxa"/>
            <w:bottom w:w="0" w:type="dxa"/>
            <w:right w:w="10" w:type="dxa"/>
          </w:tblCellMar>
        </w:tblPrEx>
        <w:trPr>
          <w:trHeight w:val="371" w:hRule="atLeast"/>
          <w:jc w:val="center"/>
        </w:trPr>
        <w:tc>
          <w:tcPr>
            <w:tcW w:w="202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1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1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1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评分标准</w:t>
            </w:r>
          </w:p>
        </w:tc>
      </w:tr>
      <w:tr>
        <w:tblPrEx>
          <w:tblCellMar>
            <w:top w:w="0" w:type="dxa"/>
            <w:left w:w="10" w:type="dxa"/>
            <w:bottom w:w="0" w:type="dxa"/>
            <w:right w:w="10" w:type="dxa"/>
          </w:tblCellMar>
        </w:tblPrEx>
        <w:trPr>
          <w:trHeight w:val="4349" w:hRule="atLeast"/>
          <w:jc w:val="center"/>
        </w:trPr>
        <w:tc>
          <w:tcPr>
            <w:tcW w:w="7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2.2.2（1）</w:t>
            </w:r>
          </w:p>
        </w:tc>
        <w:tc>
          <w:tcPr>
            <w:tcW w:w="12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21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商务标</w:t>
            </w:r>
          </w:p>
          <w:p>
            <w:pPr>
              <w:keepNext w:val="0"/>
              <w:keepLines w:val="0"/>
              <w:pageBreakBefore w:val="0"/>
              <w:widowControl w:val="0"/>
              <w:kinsoku/>
              <w:wordWrap/>
              <w:overflowPunct/>
              <w:topLinePunct w:val="0"/>
              <w:autoSpaceDE/>
              <w:autoSpaceDN/>
              <w:bidi w:val="0"/>
              <w:adjustRightInd/>
              <w:snapToGrid/>
              <w:spacing w:line="400" w:lineRule="exact"/>
              <w:ind w:left="0" w:right="0" w:firstLine="21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30分</w:t>
            </w:r>
          </w:p>
        </w:tc>
        <w:tc>
          <w:tcPr>
            <w:tcW w:w="229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10"/>
              <w:jc w:val="center"/>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right="0" w:firstLine="1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磋商最终报价得分</w:t>
            </w:r>
          </w:p>
          <w:p>
            <w:pPr>
              <w:keepNext w:val="0"/>
              <w:keepLines w:val="0"/>
              <w:pageBreakBefore w:val="0"/>
              <w:widowControl w:val="0"/>
              <w:kinsoku/>
              <w:wordWrap/>
              <w:overflowPunct/>
              <w:topLinePunct w:val="0"/>
              <w:autoSpaceDE/>
              <w:autoSpaceDN/>
              <w:bidi w:val="0"/>
              <w:adjustRightInd/>
              <w:snapToGrid/>
              <w:spacing w:line="400" w:lineRule="exact"/>
              <w:ind w:left="0" w:right="0" w:firstLine="1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（30分）</w:t>
            </w:r>
          </w:p>
          <w:p>
            <w:pPr>
              <w:keepNext w:val="0"/>
              <w:keepLines w:val="0"/>
              <w:pageBreakBefore w:val="0"/>
              <w:widowControl w:val="0"/>
              <w:kinsoku/>
              <w:wordWrap/>
              <w:overflowPunct/>
              <w:topLinePunct w:val="0"/>
              <w:autoSpaceDE/>
              <w:autoSpaceDN/>
              <w:bidi w:val="0"/>
              <w:adjustRightInd/>
              <w:snapToGrid/>
              <w:spacing w:line="400" w:lineRule="exact"/>
              <w:ind w:left="0" w:right="0" w:firstLine="10"/>
              <w:jc w:val="center"/>
              <w:textAlignment w:val="auto"/>
              <w:rPr>
                <w:rFonts w:hint="eastAsia" w:ascii="宋体" w:hAnsi="宋体" w:eastAsia="宋体" w:cs="宋体"/>
                <w:color w:val="auto"/>
                <w:szCs w:val="21"/>
                <w:highlight w:val="none"/>
              </w:rPr>
            </w:pPr>
          </w:p>
        </w:tc>
        <w:tc>
          <w:tcPr>
            <w:tcW w:w="517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1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价格分应当采用低价优先法计算，即满足磋商文件要求且最终磋商价格最低的磋商报价为磋商基准价，其价格分为满分。其他供应商的价格分统一按照下列公式计算：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400" w:lineRule="exact"/>
              <w:ind w:left="0" w:right="0" w:firstLine="1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磋商报价得分=（磋商基准价/磋商报价）×30</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注：1.价格分计算保留小数点后二位；</w:t>
            </w:r>
          </w:p>
          <w:p>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的报价明显低于其他通过符合性审查供应商的报价，有可能影响施工质量或者不能诚信履约的，磋商小组应当要求其在磋商现场合理的时间内提供书面说明，必要时提交相关证明材料；供应商不能证明其报价合理性的，磋商小组应当将其作为无效投标处理。 </w:t>
            </w:r>
          </w:p>
        </w:tc>
      </w:tr>
      <w:tr>
        <w:tblPrEx>
          <w:tblCellMar>
            <w:top w:w="0" w:type="dxa"/>
            <w:left w:w="10" w:type="dxa"/>
            <w:bottom w:w="0" w:type="dxa"/>
            <w:right w:w="10" w:type="dxa"/>
          </w:tblCellMar>
        </w:tblPrEx>
        <w:trPr>
          <w:trHeight w:val="511" w:hRule="atLeast"/>
          <w:jc w:val="center"/>
        </w:trPr>
        <w:tc>
          <w:tcPr>
            <w:tcW w:w="79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2.2.2（2）</w:t>
            </w:r>
          </w:p>
        </w:tc>
        <w:tc>
          <w:tcPr>
            <w:tcW w:w="122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Cs/>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技术标</w:t>
            </w: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（50分）</w:t>
            </w:r>
          </w:p>
        </w:tc>
        <w:tc>
          <w:tcPr>
            <w:tcW w:w="2298" w:type="dxa"/>
            <w:gridSpan w:val="2"/>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施工组织方案内容</w:t>
            </w: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（40分）</w:t>
            </w:r>
          </w:p>
        </w:tc>
        <w:tc>
          <w:tcPr>
            <w:tcW w:w="41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内容完整性和编制说明</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3分</w:t>
            </w:r>
          </w:p>
        </w:tc>
      </w:tr>
      <w:tr>
        <w:tblPrEx>
          <w:tblCellMar>
            <w:top w:w="0" w:type="dxa"/>
            <w:left w:w="10" w:type="dxa"/>
            <w:bottom w:w="0" w:type="dxa"/>
            <w:right w:w="10" w:type="dxa"/>
          </w:tblCellMar>
        </w:tblPrEx>
        <w:trPr>
          <w:trHeight w:val="52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2298"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4169"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施工方案与技术措施</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5分</w:t>
            </w:r>
          </w:p>
        </w:tc>
      </w:tr>
      <w:tr>
        <w:tblPrEx>
          <w:tblCellMar>
            <w:top w:w="0" w:type="dxa"/>
            <w:left w:w="10" w:type="dxa"/>
            <w:bottom w:w="0" w:type="dxa"/>
            <w:right w:w="10" w:type="dxa"/>
          </w:tblCellMar>
        </w:tblPrEx>
        <w:trPr>
          <w:trHeight w:val="528"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2298"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4169"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质量管理体系与措施</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4分</w:t>
            </w:r>
          </w:p>
        </w:tc>
      </w:tr>
      <w:tr>
        <w:tblPrEx>
          <w:tblCellMar>
            <w:top w:w="0" w:type="dxa"/>
            <w:left w:w="10" w:type="dxa"/>
            <w:bottom w:w="0" w:type="dxa"/>
            <w:right w:w="10" w:type="dxa"/>
          </w:tblCellMar>
        </w:tblPrEx>
        <w:trPr>
          <w:trHeight w:val="489"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2298"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4169"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安全管理体系与措施</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4分</w:t>
            </w:r>
          </w:p>
        </w:tc>
      </w:tr>
      <w:tr>
        <w:tblPrEx>
          <w:tblCellMar>
            <w:top w:w="0" w:type="dxa"/>
            <w:left w:w="10" w:type="dxa"/>
            <w:bottom w:w="0" w:type="dxa"/>
            <w:right w:w="10" w:type="dxa"/>
          </w:tblCellMar>
        </w:tblPrEx>
        <w:trPr>
          <w:trHeight w:val="454"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2298"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4169"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文明及环保管理体系与措施</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4分</w:t>
            </w:r>
          </w:p>
        </w:tc>
      </w:tr>
      <w:tr>
        <w:tblPrEx>
          <w:tblCellMar>
            <w:top w:w="0" w:type="dxa"/>
            <w:left w:w="10" w:type="dxa"/>
            <w:bottom w:w="0" w:type="dxa"/>
            <w:right w:w="10" w:type="dxa"/>
          </w:tblCellMar>
        </w:tblPrEx>
        <w:trPr>
          <w:trHeight w:val="465"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2298"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4169"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工程进度计划与措施</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4分</w:t>
            </w:r>
          </w:p>
        </w:tc>
      </w:tr>
      <w:tr>
        <w:tblPrEx>
          <w:tblCellMar>
            <w:top w:w="0" w:type="dxa"/>
            <w:left w:w="10" w:type="dxa"/>
            <w:bottom w:w="0" w:type="dxa"/>
            <w:right w:w="10" w:type="dxa"/>
          </w:tblCellMar>
        </w:tblPrEx>
        <w:trPr>
          <w:trHeight w:val="463"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2298"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4169"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扬尘污染防治方案</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4分</w:t>
            </w:r>
          </w:p>
        </w:tc>
      </w:tr>
      <w:tr>
        <w:tblPrEx>
          <w:tblCellMar>
            <w:top w:w="0" w:type="dxa"/>
            <w:left w:w="10" w:type="dxa"/>
            <w:bottom w:w="0" w:type="dxa"/>
            <w:right w:w="10" w:type="dxa"/>
          </w:tblCellMar>
        </w:tblPrEx>
        <w:trPr>
          <w:trHeight w:val="733"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2298"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4169"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针对项目实际，对关键施工技术、工艺及重点、难点的分析和解决方案</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5分</w:t>
            </w:r>
          </w:p>
        </w:tc>
      </w:tr>
      <w:tr>
        <w:tblPrEx>
          <w:tblCellMar>
            <w:top w:w="0" w:type="dxa"/>
            <w:left w:w="10" w:type="dxa"/>
            <w:bottom w:w="0" w:type="dxa"/>
            <w:right w:w="10" w:type="dxa"/>
          </w:tblCellMar>
        </w:tblPrEx>
        <w:trPr>
          <w:trHeight w:val="733"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2298"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4169"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采用新工艺、新技术、新设备、新材料等的程度</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4分</w:t>
            </w:r>
          </w:p>
        </w:tc>
      </w:tr>
      <w:tr>
        <w:tblPrEx>
          <w:tblCellMar>
            <w:top w:w="0" w:type="dxa"/>
            <w:left w:w="10" w:type="dxa"/>
            <w:bottom w:w="0" w:type="dxa"/>
            <w:right w:w="10" w:type="dxa"/>
          </w:tblCellMar>
        </w:tblPrEx>
        <w:trPr>
          <w:trHeight w:val="733"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2298"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4169"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资源配备计划</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3分</w:t>
            </w:r>
          </w:p>
        </w:tc>
      </w:tr>
      <w:tr>
        <w:tblPrEx>
          <w:tblCellMar>
            <w:top w:w="0" w:type="dxa"/>
            <w:left w:w="10" w:type="dxa"/>
            <w:bottom w:w="0" w:type="dxa"/>
            <w:right w:w="10" w:type="dxa"/>
          </w:tblCellMar>
        </w:tblPrEx>
        <w:trPr>
          <w:trHeight w:val="493"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textAlignment w:val="auto"/>
              <w:rPr>
                <w:rFonts w:hint="eastAsia" w:ascii="宋体" w:hAnsi="宋体" w:eastAsia="宋体" w:cs="宋体"/>
                <w:color w:val="auto"/>
                <w:highlight w:val="none"/>
              </w:rPr>
            </w:pPr>
          </w:p>
        </w:tc>
        <w:tc>
          <w:tcPr>
            <w:tcW w:w="747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b/>
                <w:color w:val="auto"/>
                <w:highlight w:val="none"/>
              </w:rPr>
              <w:t>说明：以上每项有则按所示分值得分，缺项经半数以上评委确认该项不得分。</w:t>
            </w:r>
          </w:p>
        </w:tc>
      </w:tr>
      <w:tr>
        <w:tblPrEx>
          <w:tblCellMar>
            <w:top w:w="0" w:type="dxa"/>
            <w:left w:w="10" w:type="dxa"/>
            <w:bottom w:w="0" w:type="dxa"/>
            <w:right w:w="10" w:type="dxa"/>
          </w:tblCellMar>
        </w:tblPrEx>
        <w:trPr>
          <w:trHeight w:val="986"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auto"/>
                <w:highlight w:val="none"/>
              </w:rPr>
            </w:pPr>
          </w:p>
        </w:tc>
        <w:tc>
          <w:tcPr>
            <w:tcW w:w="183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施工组织方案水平（10分）</w:t>
            </w:r>
          </w:p>
        </w:tc>
        <w:tc>
          <w:tcPr>
            <w:tcW w:w="46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firstLine="1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有关“施工组织”内容是否齐全、准确、清晰及表达的准确性、条理性等，按优得</w:t>
            </w:r>
            <w:r>
              <w:rPr>
                <w:rFonts w:hint="eastAsia" w:ascii="宋体" w:hAnsi="宋体" w:cs="宋体"/>
                <w:color w:val="auto"/>
                <w:highlight w:val="none"/>
                <w:lang w:val="en-US" w:eastAsia="zh-CN"/>
              </w:rPr>
              <w:t>5</w:t>
            </w:r>
            <w:r>
              <w:rPr>
                <w:rFonts w:hint="eastAsia" w:ascii="宋体" w:hAnsi="宋体" w:eastAsia="宋体" w:cs="宋体"/>
                <w:color w:val="auto"/>
                <w:highlight w:val="none"/>
              </w:rPr>
              <w:t>分，良得</w:t>
            </w:r>
            <w:r>
              <w:rPr>
                <w:rFonts w:hint="eastAsia" w:ascii="宋体" w:hAnsi="宋体" w:cs="宋体"/>
                <w:color w:val="auto"/>
                <w:highlight w:val="none"/>
                <w:lang w:val="en-US" w:eastAsia="zh-CN"/>
              </w:rPr>
              <w:t>3</w:t>
            </w:r>
            <w:r>
              <w:rPr>
                <w:rFonts w:hint="eastAsia" w:ascii="宋体" w:hAnsi="宋体" w:eastAsia="宋体" w:cs="宋体"/>
                <w:color w:val="auto"/>
                <w:highlight w:val="none"/>
              </w:rPr>
              <w:t>分，一般得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差0.5分</w:t>
            </w:r>
            <w:r>
              <w:rPr>
                <w:rFonts w:hint="eastAsia" w:ascii="宋体" w:hAnsi="宋体" w:eastAsia="宋体" w:cs="宋体"/>
                <w:color w:val="auto"/>
                <w:highlight w:val="none"/>
              </w:rPr>
              <w:t>进行打分。</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0.5</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分</w:t>
            </w:r>
          </w:p>
        </w:tc>
      </w:tr>
      <w:tr>
        <w:tblPrEx>
          <w:tblCellMar>
            <w:top w:w="0" w:type="dxa"/>
            <w:left w:w="10" w:type="dxa"/>
            <w:bottom w:w="0" w:type="dxa"/>
            <w:right w:w="10" w:type="dxa"/>
          </w:tblCellMar>
        </w:tblPrEx>
        <w:trPr>
          <w:trHeight w:val="1311"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auto"/>
                <w:highlight w:val="none"/>
              </w:rPr>
            </w:pPr>
          </w:p>
        </w:tc>
        <w:tc>
          <w:tcPr>
            <w:tcW w:w="183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auto"/>
                <w:highlight w:val="none"/>
              </w:rPr>
            </w:pPr>
          </w:p>
        </w:tc>
        <w:tc>
          <w:tcPr>
            <w:tcW w:w="46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firstLine="1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有关“施工组织”各项主要内容的措施是否稳妥、计划是否周密、流水段的划分、各项交叉作业是否科学、切合实际，合理可行，按优得</w:t>
            </w:r>
            <w:r>
              <w:rPr>
                <w:rFonts w:hint="eastAsia" w:ascii="宋体" w:hAnsi="宋体" w:cs="宋体"/>
                <w:color w:val="auto"/>
                <w:highlight w:val="none"/>
                <w:lang w:val="en-US" w:eastAsia="zh-CN"/>
              </w:rPr>
              <w:t>5</w:t>
            </w:r>
            <w:r>
              <w:rPr>
                <w:rFonts w:hint="eastAsia" w:ascii="宋体" w:hAnsi="宋体" w:eastAsia="宋体" w:cs="宋体"/>
                <w:color w:val="auto"/>
                <w:highlight w:val="none"/>
              </w:rPr>
              <w:t>分，良得</w:t>
            </w:r>
            <w:r>
              <w:rPr>
                <w:rFonts w:hint="eastAsia" w:ascii="宋体" w:hAnsi="宋体" w:cs="宋体"/>
                <w:color w:val="auto"/>
                <w:highlight w:val="none"/>
                <w:lang w:val="en-US" w:eastAsia="zh-CN"/>
              </w:rPr>
              <w:t>3</w:t>
            </w:r>
            <w:r>
              <w:rPr>
                <w:rFonts w:hint="eastAsia" w:ascii="宋体" w:hAnsi="宋体" w:eastAsia="宋体" w:cs="宋体"/>
                <w:color w:val="auto"/>
                <w:highlight w:val="none"/>
              </w:rPr>
              <w:t>分，一般得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差0.5分</w:t>
            </w:r>
            <w:r>
              <w:rPr>
                <w:rFonts w:hint="eastAsia" w:ascii="宋体" w:hAnsi="宋体" w:eastAsia="宋体" w:cs="宋体"/>
                <w:color w:val="auto"/>
                <w:highlight w:val="none"/>
              </w:rPr>
              <w:t>进行打分。</w:t>
            </w:r>
          </w:p>
        </w:tc>
        <w:tc>
          <w:tcPr>
            <w:tcW w:w="1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0.5</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分</w:t>
            </w:r>
          </w:p>
        </w:tc>
      </w:tr>
      <w:tr>
        <w:tblPrEx>
          <w:tblCellMar>
            <w:top w:w="0" w:type="dxa"/>
            <w:left w:w="10" w:type="dxa"/>
            <w:bottom w:w="0" w:type="dxa"/>
            <w:right w:w="10" w:type="dxa"/>
          </w:tblCellMar>
        </w:tblPrEx>
        <w:trPr>
          <w:trHeight w:val="246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auto"/>
                <w:highlight w:val="none"/>
              </w:rPr>
            </w:pPr>
          </w:p>
        </w:tc>
        <w:tc>
          <w:tcPr>
            <w:tcW w:w="122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综合标</w:t>
            </w:r>
          </w:p>
          <w:p>
            <w:pPr>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（20分）</w:t>
            </w:r>
          </w:p>
        </w:tc>
        <w:tc>
          <w:tcPr>
            <w:tcW w:w="18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firstLine="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履职尽责承诺</w:t>
            </w:r>
          </w:p>
          <w:p>
            <w:pPr>
              <w:keepNext w:val="0"/>
              <w:keepLines w:val="0"/>
              <w:pageBreakBefore w:val="0"/>
              <w:kinsoku/>
              <w:wordWrap/>
              <w:overflowPunct/>
              <w:topLinePunct w:val="0"/>
              <w:autoSpaceDE/>
              <w:autoSpaceDN/>
              <w:bidi w:val="0"/>
              <w:adjustRightInd/>
              <w:snapToGrid/>
              <w:spacing w:line="360" w:lineRule="exact"/>
              <w:ind w:left="0" w:right="0" w:firstLine="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w:t>
            </w:r>
          </w:p>
        </w:tc>
        <w:tc>
          <w:tcPr>
            <w:tcW w:w="564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firstLine="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根据供应商书面保证技术措施落实到位的承诺和落实不到位的处理承诺，其中包括各关键岗位人员（项目负责人、技术负责人及相关技术人员、质量员、安全员、材料员等）的在岗、更换等履职尽责承诺，提供承包商履约保证的全面、详实、可行、合法有效等情况横向比较打分优得5分，良得3分，一般得1分，</w:t>
            </w:r>
            <w:r>
              <w:rPr>
                <w:rFonts w:hint="eastAsia" w:ascii="宋体" w:hAnsi="宋体" w:cs="宋体"/>
                <w:color w:val="auto"/>
                <w:highlight w:val="none"/>
                <w:lang w:val="en-US" w:eastAsia="zh-CN"/>
              </w:rPr>
              <w:t>差得0.5分，</w:t>
            </w:r>
            <w:r>
              <w:rPr>
                <w:rFonts w:hint="eastAsia" w:ascii="宋体" w:hAnsi="宋体" w:eastAsia="宋体" w:cs="宋体"/>
                <w:color w:val="auto"/>
                <w:szCs w:val="21"/>
                <w:highlight w:val="none"/>
              </w:rPr>
              <w:t>未提供履职尽责承诺不得分。</w:t>
            </w:r>
          </w:p>
        </w:tc>
      </w:tr>
      <w:tr>
        <w:tblPrEx>
          <w:tblCellMar>
            <w:top w:w="0" w:type="dxa"/>
            <w:left w:w="10" w:type="dxa"/>
            <w:bottom w:w="0" w:type="dxa"/>
            <w:right w:w="10" w:type="dxa"/>
          </w:tblCellMar>
        </w:tblPrEx>
        <w:trPr>
          <w:trHeight w:val="1311"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auto"/>
                <w:highlight w:val="none"/>
              </w:rPr>
            </w:pPr>
          </w:p>
        </w:tc>
        <w:tc>
          <w:tcPr>
            <w:tcW w:w="18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firstLine="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类似业绩</w:t>
            </w:r>
          </w:p>
          <w:p>
            <w:pPr>
              <w:keepNext w:val="0"/>
              <w:keepLines w:val="0"/>
              <w:pageBreakBefore w:val="0"/>
              <w:kinsoku/>
              <w:wordWrap/>
              <w:overflowPunct/>
              <w:topLinePunct w:val="0"/>
              <w:autoSpaceDE/>
              <w:autoSpaceDN/>
              <w:bidi w:val="0"/>
              <w:adjustRightInd/>
              <w:snapToGrid/>
              <w:spacing w:line="360" w:lineRule="exact"/>
              <w:ind w:left="0" w:right="0" w:firstLine="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c>
          <w:tcPr>
            <w:tcW w:w="564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firstLine="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供应商20</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年6月1日以来（时间以合同签订时间为准）承担过类似业绩的，每有一项得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分，最多得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r>
              <w:rPr>
                <w:rFonts w:hint="eastAsia" w:ascii="宋体" w:hAnsi="宋体" w:eastAsia="宋体" w:cs="宋体"/>
                <w:b/>
                <w:bCs/>
                <w:color w:val="auto"/>
                <w:szCs w:val="21"/>
                <w:highlight w:val="none"/>
              </w:rPr>
              <w:t>（注：响应文件附中标通知书和合同协议书原件的扫描件</w:t>
            </w:r>
            <w:r>
              <w:rPr>
                <w:rFonts w:hint="eastAsia" w:ascii="宋体" w:hAnsi="宋体" w:eastAsia="宋体" w:cs="宋体"/>
                <w:b/>
                <w:bCs/>
                <w:color w:val="auto"/>
                <w:szCs w:val="21"/>
                <w:highlight w:val="none"/>
                <w:lang w:eastAsia="zh-CN"/>
              </w:rPr>
              <w:t>，缺项或不提供不得分</w:t>
            </w:r>
            <w:r>
              <w:rPr>
                <w:rFonts w:hint="eastAsia" w:ascii="宋体" w:hAnsi="宋体" w:eastAsia="宋体" w:cs="宋体"/>
                <w:b/>
                <w:bCs/>
                <w:color w:val="auto"/>
                <w:szCs w:val="21"/>
                <w:highlight w:val="none"/>
              </w:rPr>
              <w:t>）</w:t>
            </w:r>
          </w:p>
        </w:tc>
      </w:tr>
      <w:tr>
        <w:tblPrEx>
          <w:tblCellMar>
            <w:top w:w="0" w:type="dxa"/>
            <w:left w:w="10" w:type="dxa"/>
            <w:bottom w:w="0" w:type="dxa"/>
            <w:right w:w="10" w:type="dxa"/>
          </w:tblCellMar>
        </w:tblPrEx>
        <w:trPr>
          <w:trHeight w:val="1864"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auto"/>
                <w:highlight w:val="none"/>
              </w:rPr>
            </w:pPr>
          </w:p>
        </w:tc>
        <w:tc>
          <w:tcPr>
            <w:tcW w:w="18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firstLine="0"/>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企业荣誉</w:t>
            </w:r>
          </w:p>
          <w:p>
            <w:pPr>
              <w:keepNext w:val="0"/>
              <w:keepLines w:val="0"/>
              <w:pageBreakBefore w:val="0"/>
              <w:kinsoku/>
              <w:wordWrap/>
              <w:overflowPunct/>
              <w:topLinePunct w:val="0"/>
              <w:autoSpaceDE/>
              <w:autoSpaceDN/>
              <w:bidi w:val="0"/>
              <w:adjustRightInd/>
              <w:snapToGrid/>
              <w:spacing w:line="360" w:lineRule="exact"/>
              <w:ind w:left="0" w:right="0" w:firstLine="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tc>
        <w:tc>
          <w:tcPr>
            <w:tcW w:w="564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left="0" w:right="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年6月1日以来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证书颁发日期为准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具有先进企业、安全先进企业、质量管理先进企业的得3分，</w:t>
            </w:r>
            <w:r>
              <w:rPr>
                <w:rFonts w:hint="eastAsia" w:ascii="宋体" w:hAnsi="宋体" w:eastAsia="宋体" w:cs="宋体"/>
                <w:color w:val="auto"/>
                <w:szCs w:val="21"/>
                <w:highlight w:val="none"/>
              </w:rPr>
              <w:t>每缺一个扣1分，扣完为止。</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注：</w:t>
            </w:r>
            <w:r>
              <w:rPr>
                <w:rFonts w:hint="eastAsia" w:ascii="宋体" w:hAnsi="宋体" w:cs="宋体"/>
                <w:b/>
                <w:bCs/>
                <w:color w:val="auto"/>
                <w:szCs w:val="21"/>
                <w:highlight w:val="none"/>
                <w:lang w:val="en-US" w:eastAsia="zh-CN"/>
              </w:rPr>
              <w:t>提供相关证书</w:t>
            </w:r>
            <w:r>
              <w:rPr>
                <w:rFonts w:hint="eastAsia" w:ascii="宋体" w:hAnsi="宋体" w:eastAsia="宋体" w:cs="宋体"/>
                <w:b/>
                <w:bCs/>
                <w:color w:val="auto"/>
                <w:szCs w:val="21"/>
                <w:highlight w:val="none"/>
              </w:rPr>
              <w:t>原件的扫描件</w:t>
            </w:r>
            <w:r>
              <w:rPr>
                <w:rFonts w:hint="eastAsia" w:ascii="宋体" w:hAnsi="宋体" w:cs="宋体"/>
                <w:b/>
                <w:bCs/>
                <w:color w:val="auto"/>
                <w:szCs w:val="21"/>
                <w:highlight w:val="none"/>
                <w:lang w:val="en-US" w:eastAsia="zh-CN"/>
              </w:rPr>
              <w:t>）</w:t>
            </w:r>
          </w:p>
        </w:tc>
      </w:tr>
      <w:tr>
        <w:tblPrEx>
          <w:tblCellMar>
            <w:top w:w="0" w:type="dxa"/>
            <w:left w:w="10" w:type="dxa"/>
            <w:bottom w:w="0" w:type="dxa"/>
            <w:right w:w="10" w:type="dxa"/>
          </w:tblCellMar>
        </w:tblPrEx>
        <w:trPr>
          <w:trHeight w:val="1417"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auto"/>
                <w:highlight w:val="none"/>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auto"/>
                <w:highlight w:val="none"/>
              </w:rPr>
            </w:pPr>
          </w:p>
        </w:tc>
        <w:tc>
          <w:tcPr>
            <w:tcW w:w="18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项目管理机构</w:t>
            </w:r>
          </w:p>
          <w:p>
            <w:pPr>
              <w:keepNext w:val="0"/>
              <w:keepLines w:val="0"/>
              <w:pageBreakBefore w:val="0"/>
              <w:widowControl/>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6</w:t>
            </w:r>
            <w:r>
              <w:rPr>
                <w:rFonts w:hint="eastAsia" w:ascii="宋体" w:hAnsi="宋体" w:eastAsia="宋体" w:cs="宋体"/>
                <w:color w:val="auto"/>
                <w:highlight w:val="none"/>
              </w:rPr>
              <w:t>分）</w:t>
            </w:r>
          </w:p>
        </w:tc>
        <w:tc>
          <w:tcPr>
            <w:tcW w:w="564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项目管理机构拟投入人员除项目经理及技术负责人外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同时</w:t>
            </w:r>
            <w:r>
              <w:rPr>
                <w:rFonts w:hint="eastAsia" w:ascii="宋体" w:hAnsi="宋体" w:eastAsia="宋体" w:cs="宋体"/>
                <w:color w:val="auto"/>
                <w:szCs w:val="21"/>
                <w:highlight w:val="none"/>
              </w:rPr>
              <w:t>配备质量员（质检员）、资料员、材料员、安全员、施工员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预算</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lang w:val="en-US" w:eastAsia="zh-CN"/>
              </w:rPr>
              <w:t>员</w:t>
            </w:r>
            <w:r>
              <w:rPr>
                <w:rFonts w:hint="eastAsia" w:ascii="宋体" w:hAnsi="宋体" w:eastAsia="宋体" w:cs="宋体"/>
                <w:color w:val="auto"/>
                <w:szCs w:val="21"/>
                <w:highlight w:val="none"/>
              </w:rPr>
              <w:t>齐全的得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分，每缺一个扣1分，扣完为止。</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注：需提供</w:t>
            </w:r>
            <w:r>
              <w:rPr>
                <w:rFonts w:hint="eastAsia" w:ascii="宋体" w:hAnsi="宋体" w:eastAsia="宋体" w:cs="宋体"/>
                <w:b/>
                <w:bCs/>
                <w:color w:val="auto"/>
                <w:szCs w:val="21"/>
                <w:highlight w:val="none"/>
                <w:lang w:val="en-US" w:eastAsia="zh-CN"/>
              </w:rPr>
              <w:t>有效期内人员</w:t>
            </w:r>
            <w:r>
              <w:rPr>
                <w:rFonts w:hint="eastAsia" w:ascii="宋体" w:hAnsi="宋体" w:eastAsia="宋体" w:cs="宋体"/>
                <w:b/>
                <w:bCs/>
                <w:color w:val="auto"/>
                <w:szCs w:val="21"/>
                <w:highlight w:val="none"/>
              </w:rPr>
              <w:t>岗位证书原件的扫描件</w:t>
            </w:r>
            <w:r>
              <w:rPr>
                <w:rFonts w:hint="eastAsia" w:ascii="宋体" w:hAnsi="宋体" w:cs="宋体"/>
                <w:b/>
                <w:bCs/>
                <w:color w:val="auto"/>
                <w:szCs w:val="21"/>
                <w:highlight w:val="none"/>
                <w:lang w:eastAsia="zh-CN"/>
              </w:rPr>
              <w:t>）</w:t>
            </w:r>
          </w:p>
        </w:tc>
      </w:tr>
    </w:tbl>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highlight w:val="none"/>
        </w:rPr>
      </w:pPr>
    </w:p>
    <w:p>
      <w:pPr>
        <w:keepNext w:val="0"/>
        <w:keepLines w:val="0"/>
        <w:pageBreakBefore w:val="0"/>
        <w:kinsoku/>
        <w:wordWrap/>
        <w:overflowPunct/>
        <w:topLinePunct w:val="0"/>
        <w:autoSpaceDE/>
        <w:autoSpaceDN/>
        <w:bidi w:val="0"/>
        <w:adjustRightInd/>
        <w:snapToGrid/>
        <w:spacing w:line="360" w:lineRule="exact"/>
        <w:ind w:firstLine="422"/>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注：资格性审查和符合性审查的内容只要有一条不满足，则响应文件无效，将不进入竞争性磋商程序，磋商小组应告知提交响应文件的供应商。</w:t>
      </w:r>
    </w:p>
    <w:p>
      <w:pPr>
        <w:rPr>
          <w:rFonts w:hint="eastAsia" w:ascii="宋体" w:hAnsi="宋体" w:eastAsia="宋体" w:cs="宋体"/>
          <w:color w:val="auto"/>
          <w:highlight w:val="none"/>
        </w:rPr>
        <w:sectPr>
          <w:footerReference r:id="rId6" w:type="default"/>
          <w:footnotePr>
            <w:numFmt w:val="decimal"/>
          </w:footnotePr>
          <w:endnotePr>
            <w:numFmt w:val="decimal"/>
          </w:endnotePr>
          <w:pgSz w:w="11905" w:h="16838"/>
          <w:pgMar w:top="1440" w:right="1803" w:bottom="1318" w:left="1803" w:header="794" w:footer="850" w:gutter="0"/>
          <w:pgNumType w:fmt="decimal"/>
          <w:cols w:space="720" w:num="1"/>
        </w:sectPr>
      </w:pPr>
    </w:p>
    <w:p>
      <w:pPr>
        <w:spacing w:line="360" w:lineRule="auto"/>
        <w:outlineLvl w:val="1"/>
        <w:rPr>
          <w:rFonts w:hint="eastAsia" w:ascii="宋体" w:hAnsi="宋体" w:eastAsia="宋体" w:cs="宋体"/>
          <w:b/>
          <w:bCs/>
          <w:color w:val="auto"/>
          <w:szCs w:val="21"/>
          <w:highlight w:val="none"/>
        </w:rPr>
      </w:pPr>
      <w:bookmarkStart w:id="972" w:name="_Toc17603"/>
      <w:bookmarkEnd w:id="972"/>
      <w:bookmarkStart w:id="973" w:name="_Toc32391"/>
      <w:bookmarkEnd w:id="973"/>
      <w:bookmarkStart w:id="974" w:name="_Toc17310"/>
      <w:r>
        <w:rPr>
          <w:rFonts w:hint="eastAsia" w:ascii="宋体" w:hAnsi="宋体" w:eastAsia="宋体" w:cs="宋体"/>
          <w:b/>
          <w:bCs/>
          <w:color w:val="auto"/>
          <w:szCs w:val="21"/>
          <w:highlight w:val="none"/>
        </w:rPr>
        <w:t>1. 评审方法</w:t>
      </w:r>
      <w:bookmarkEnd w:id="974"/>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评审采用综合评分法。磋商小组对满足磋商文件实质性要求的响应文件，按照本章规定的评分标准进行打分，并按得分由高到低顺序推荐成交候选人，综合评分相等时，以报价得分高的优先；报价得分也相等的，由采购人自行确定。</w:t>
      </w:r>
      <w:bookmarkStart w:id="975" w:name="_Toc144974568"/>
      <w:bookmarkEnd w:id="975"/>
      <w:bookmarkStart w:id="976" w:name="_Toc455867817"/>
      <w:bookmarkEnd w:id="976"/>
      <w:bookmarkStart w:id="977" w:name="_Toc455080157"/>
      <w:bookmarkEnd w:id="977"/>
      <w:bookmarkStart w:id="978" w:name="_Toc152045601"/>
      <w:bookmarkEnd w:id="978"/>
      <w:bookmarkStart w:id="979" w:name="_Toc24936"/>
      <w:bookmarkEnd w:id="979"/>
      <w:bookmarkStart w:id="980" w:name="_Toc490667876"/>
      <w:bookmarkEnd w:id="980"/>
      <w:bookmarkStart w:id="981" w:name="_Toc152042378"/>
      <w:bookmarkEnd w:id="981"/>
      <w:bookmarkStart w:id="982" w:name="_Toc26131"/>
      <w:bookmarkEnd w:id="982"/>
      <w:bookmarkStart w:id="983" w:name="_Toc29362"/>
      <w:bookmarkEnd w:id="983"/>
      <w:bookmarkStart w:id="984" w:name="_Toc318450723"/>
      <w:bookmarkEnd w:id="984"/>
      <w:bookmarkStart w:id="985" w:name="_Toc6612"/>
      <w:bookmarkEnd w:id="985"/>
      <w:bookmarkStart w:id="986" w:name="_Toc20837"/>
      <w:bookmarkEnd w:id="986"/>
      <w:bookmarkStart w:id="987" w:name="_Toc466298140"/>
      <w:bookmarkEnd w:id="987"/>
      <w:bookmarkStart w:id="988" w:name="_Toc281405529"/>
      <w:bookmarkEnd w:id="988"/>
    </w:p>
    <w:p>
      <w:pPr>
        <w:numPr>
          <w:ilvl w:val="0"/>
          <w:numId w:val="0"/>
        </w:numPr>
        <w:spacing w:line="360" w:lineRule="auto"/>
        <w:outlineLvl w:val="1"/>
        <w:rPr>
          <w:rFonts w:hint="eastAsia" w:ascii="宋体" w:hAnsi="宋体" w:eastAsia="宋体" w:cs="宋体"/>
          <w:b/>
          <w:bCs/>
          <w:color w:val="auto"/>
          <w:szCs w:val="21"/>
          <w:highlight w:val="none"/>
        </w:rPr>
      </w:pPr>
      <w:bookmarkStart w:id="989" w:name="_Toc30960"/>
      <w:r>
        <w:rPr>
          <w:rFonts w:hint="eastAsia" w:ascii="宋体" w:hAnsi="宋体" w:eastAsia="宋体" w:cs="宋体"/>
          <w:b/>
          <w:bCs/>
          <w:color w:val="auto"/>
          <w:szCs w:val="21"/>
          <w:highlight w:val="none"/>
        </w:rPr>
        <w:t>2. 评审标准</w:t>
      </w:r>
      <w:bookmarkEnd w:id="989"/>
      <w:bookmarkStart w:id="990" w:name="_Toc6711"/>
      <w:bookmarkEnd w:id="990"/>
      <w:bookmarkStart w:id="991" w:name="_Toc144974569"/>
      <w:bookmarkEnd w:id="991"/>
      <w:bookmarkStart w:id="992" w:name="_Toc152042379"/>
      <w:bookmarkEnd w:id="992"/>
      <w:bookmarkStart w:id="993" w:name="_Toc15813"/>
      <w:bookmarkEnd w:id="993"/>
      <w:bookmarkStart w:id="994" w:name="_Toc466298141"/>
      <w:bookmarkEnd w:id="994"/>
      <w:bookmarkStart w:id="995" w:name="_Toc21120"/>
      <w:bookmarkEnd w:id="995"/>
      <w:bookmarkStart w:id="996" w:name="_Toc2867"/>
      <w:bookmarkEnd w:id="996"/>
      <w:bookmarkStart w:id="997" w:name="_Toc11223"/>
      <w:bookmarkEnd w:id="997"/>
      <w:bookmarkStart w:id="998" w:name="_Toc490667877"/>
      <w:bookmarkEnd w:id="998"/>
      <w:bookmarkStart w:id="999" w:name="_Toc318450724"/>
      <w:bookmarkEnd w:id="999"/>
      <w:bookmarkStart w:id="1000" w:name="_Toc455867818"/>
      <w:bookmarkEnd w:id="1000"/>
      <w:bookmarkStart w:id="1001" w:name="_Toc281405530"/>
      <w:bookmarkEnd w:id="1001"/>
      <w:bookmarkStart w:id="1002" w:name="_Toc152045602"/>
      <w:bookmarkEnd w:id="1002"/>
      <w:bookmarkStart w:id="1003" w:name="_Toc31037"/>
      <w:bookmarkEnd w:id="1003"/>
      <w:bookmarkStart w:id="1004" w:name="_Toc455080158"/>
      <w:bookmarkEnd w:id="1004"/>
      <w:bookmarkStart w:id="1005" w:name="_Toc25637"/>
      <w:bookmarkEnd w:id="1005"/>
      <w:bookmarkStart w:id="1006" w:name="_Toc19934"/>
      <w:bookmarkEnd w:id="1006"/>
      <w:bookmarkStart w:id="1007" w:name="_Toc24558"/>
      <w:bookmarkEnd w:id="1007"/>
    </w:p>
    <w:p>
      <w:pPr>
        <w:numPr>
          <w:ilvl w:val="0"/>
          <w:numId w:val="0"/>
        </w:num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 初步评审标准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2.1.1资格评审标准：见评审办法前附表。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2.1.2符合性评审标准：见评审办法前附表。</w:t>
      </w:r>
    </w:p>
    <w:p>
      <w:pPr>
        <w:pStyle w:val="31"/>
        <w:spacing w:line="360" w:lineRule="auto"/>
        <w:ind w:firstLine="422"/>
        <w:outlineLvl w:val="0"/>
        <w:rPr>
          <w:rFonts w:hint="eastAsia" w:ascii="宋体" w:hAnsi="宋体" w:eastAsia="宋体" w:cs="宋体"/>
          <w:b/>
          <w:bCs/>
          <w:color w:val="auto"/>
          <w:sz w:val="21"/>
          <w:szCs w:val="21"/>
          <w:highlight w:val="none"/>
        </w:rPr>
      </w:pPr>
      <w:bookmarkStart w:id="1008" w:name="_Toc152045603"/>
      <w:bookmarkEnd w:id="1008"/>
      <w:bookmarkStart w:id="1009" w:name="_Toc25492"/>
      <w:bookmarkEnd w:id="1009"/>
      <w:bookmarkStart w:id="1010" w:name="_Toc10510"/>
      <w:bookmarkEnd w:id="1010"/>
      <w:bookmarkStart w:id="1011" w:name="_Toc466298142"/>
      <w:bookmarkEnd w:id="1011"/>
      <w:bookmarkStart w:id="1012" w:name="_Toc455080160"/>
      <w:bookmarkEnd w:id="1012"/>
      <w:bookmarkStart w:id="1013" w:name="_Toc12013"/>
      <w:bookmarkEnd w:id="1013"/>
      <w:bookmarkStart w:id="1014" w:name="_Toc455867819"/>
      <w:bookmarkEnd w:id="1014"/>
      <w:bookmarkStart w:id="1015" w:name="_Toc30189"/>
      <w:bookmarkEnd w:id="1015"/>
      <w:bookmarkStart w:id="1016" w:name="_Toc16479"/>
      <w:bookmarkEnd w:id="1016"/>
      <w:bookmarkStart w:id="1017" w:name="_Toc24825"/>
      <w:bookmarkEnd w:id="1017"/>
      <w:bookmarkStart w:id="1018" w:name="_Toc32314"/>
      <w:bookmarkEnd w:id="1018"/>
      <w:bookmarkStart w:id="1019" w:name="_Toc11061"/>
      <w:bookmarkEnd w:id="1019"/>
      <w:bookmarkStart w:id="1020" w:name="_Toc18127"/>
      <w:bookmarkEnd w:id="1020"/>
      <w:bookmarkStart w:id="1021" w:name="_Toc29297"/>
      <w:bookmarkEnd w:id="1021"/>
      <w:bookmarkStart w:id="1022" w:name="_Toc26179"/>
      <w:bookmarkEnd w:id="1022"/>
      <w:bookmarkStart w:id="1023" w:name="_Toc455080159"/>
      <w:bookmarkEnd w:id="1023"/>
      <w:bookmarkStart w:id="1024" w:name="_Toc281405532"/>
      <w:bookmarkEnd w:id="1024"/>
      <w:bookmarkStart w:id="1025" w:name="_Toc21970"/>
      <w:bookmarkEnd w:id="1025"/>
      <w:bookmarkStart w:id="1026" w:name="_Toc144974570"/>
      <w:bookmarkEnd w:id="1026"/>
      <w:bookmarkStart w:id="1027" w:name="_Toc28365"/>
      <w:bookmarkEnd w:id="1027"/>
      <w:bookmarkStart w:id="1028" w:name="_Toc281405531"/>
      <w:bookmarkEnd w:id="1028"/>
      <w:bookmarkStart w:id="1029" w:name="_Toc7284"/>
      <w:bookmarkEnd w:id="1029"/>
      <w:bookmarkStart w:id="1030" w:name="_Toc17308"/>
      <w:bookmarkEnd w:id="1030"/>
      <w:bookmarkStart w:id="1031" w:name="_Toc318450725"/>
      <w:bookmarkEnd w:id="1031"/>
      <w:bookmarkStart w:id="1032" w:name="_Toc22439"/>
      <w:bookmarkEnd w:id="1032"/>
      <w:bookmarkStart w:id="1033" w:name="_Toc455867820"/>
      <w:bookmarkEnd w:id="1033"/>
      <w:bookmarkStart w:id="1034" w:name="_Toc490667878"/>
      <w:bookmarkEnd w:id="1034"/>
      <w:bookmarkStart w:id="1035" w:name="_Toc152042380"/>
      <w:bookmarkEnd w:id="1035"/>
      <w:bookmarkStart w:id="1036" w:name="_Toc318450726"/>
      <w:bookmarkEnd w:id="1036"/>
      <w:bookmarkStart w:id="1037" w:name="_Toc466298143"/>
      <w:bookmarkEnd w:id="1037"/>
      <w:bookmarkStart w:id="1038" w:name="_Toc490667879"/>
      <w:bookmarkEnd w:id="1038"/>
      <w:bookmarkStart w:id="1039" w:name="_Toc21314"/>
      <w:bookmarkStart w:id="1040" w:name="_Toc8481"/>
      <w:bookmarkStart w:id="1041" w:name="_Toc26269"/>
      <w:r>
        <w:rPr>
          <w:rFonts w:hint="eastAsia" w:ascii="宋体" w:hAnsi="宋体" w:eastAsia="宋体" w:cs="宋体"/>
          <w:b/>
          <w:bCs/>
          <w:color w:val="auto"/>
          <w:sz w:val="21"/>
          <w:szCs w:val="21"/>
          <w:highlight w:val="none"/>
        </w:rPr>
        <w:t>2.2 分值构成与评分标准</w:t>
      </w:r>
      <w:bookmarkEnd w:id="1039"/>
      <w:bookmarkEnd w:id="1040"/>
      <w:bookmarkEnd w:id="1041"/>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分值构成</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（1）商务标：见评标办法前附表；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（2）技术标：见评标办法前附表；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（3）综合标：见评标办法前附表。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评分标准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2.2.2.1商务标评分标准：见评标办法前附表；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2.2.2.2技术标评分标准：见评标办法前附表；</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2.2.2.3综合标评分标准：见评标办法前附表。</w:t>
      </w:r>
    </w:p>
    <w:p>
      <w:pPr>
        <w:pStyle w:val="30"/>
        <w:spacing w:before="0" w:line="360" w:lineRule="auto"/>
        <w:rPr>
          <w:rFonts w:hint="eastAsia" w:ascii="宋体" w:hAnsi="宋体" w:eastAsia="宋体" w:cs="宋体"/>
          <w:b/>
          <w:bCs/>
          <w:color w:val="auto"/>
          <w:sz w:val="21"/>
          <w:szCs w:val="21"/>
          <w:highlight w:val="none"/>
        </w:rPr>
      </w:pPr>
      <w:bookmarkStart w:id="1042" w:name="_Toc5498"/>
      <w:bookmarkEnd w:id="1042"/>
      <w:bookmarkStart w:id="1043" w:name="_Toc4265"/>
      <w:bookmarkEnd w:id="1043"/>
      <w:bookmarkStart w:id="1044" w:name="_Toc26589"/>
      <w:r>
        <w:rPr>
          <w:rFonts w:hint="eastAsia" w:ascii="宋体" w:hAnsi="宋体" w:eastAsia="宋体" w:cs="宋体"/>
          <w:b/>
          <w:bCs/>
          <w:color w:val="auto"/>
          <w:sz w:val="21"/>
          <w:szCs w:val="21"/>
          <w:highlight w:val="none"/>
        </w:rPr>
        <w:t>3. 评审程序</w:t>
      </w:r>
      <w:bookmarkEnd w:id="1044"/>
    </w:p>
    <w:p>
      <w:pPr>
        <w:pStyle w:val="31"/>
        <w:spacing w:line="360" w:lineRule="auto"/>
        <w:ind w:firstLine="422"/>
        <w:outlineLvl w:val="0"/>
        <w:rPr>
          <w:rFonts w:hint="eastAsia" w:ascii="宋体" w:hAnsi="宋体" w:eastAsia="宋体" w:cs="宋体"/>
          <w:b/>
          <w:bCs/>
          <w:color w:val="auto"/>
          <w:sz w:val="21"/>
          <w:szCs w:val="21"/>
          <w:highlight w:val="none"/>
        </w:rPr>
      </w:pPr>
      <w:bookmarkStart w:id="1045" w:name="_Toc9433"/>
      <w:bookmarkEnd w:id="1045"/>
      <w:bookmarkStart w:id="1046" w:name="_Toc455080161"/>
      <w:bookmarkEnd w:id="1046"/>
      <w:bookmarkStart w:id="1047" w:name="_Toc281405533"/>
      <w:bookmarkEnd w:id="1047"/>
      <w:bookmarkStart w:id="1048" w:name="_Toc455867821"/>
      <w:bookmarkEnd w:id="1048"/>
      <w:bookmarkStart w:id="1049" w:name="_Toc5427"/>
      <w:bookmarkEnd w:id="1049"/>
      <w:bookmarkStart w:id="1050" w:name="_Toc2410"/>
      <w:bookmarkEnd w:id="1050"/>
      <w:bookmarkStart w:id="1051" w:name="_Toc466298144"/>
      <w:bookmarkEnd w:id="1051"/>
      <w:bookmarkStart w:id="1052" w:name="_Toc30986"/>
      <w:bookmarkEnd w:id="1052"/>
      <w:bookmarkStart w:id="1053" w:name="_Toc16892"/>
      <w:bookmarkEnd w:id="1053"/>
      <w:bookmarkStart w:id="1054" w:name="_Toc490667880"/>
      <w:bookmarkEnd w:id="1054"/>
      <w:bookmarkStart w:id="1055" w:name="_Toc7272"/>
      <w:bookmarkEnd w:id="1055"/>
      <w:bookmarkStart w:id="1056" w:name="_Toc18886"/>
      <w:bookmarkEnd w:id="1056"/>
      <w:bookmarkStart w:id="1057" w:name="_Toc2170"/>
      <w:bookmarkEnd w:id="1057"/>
      <w:bookmarkStart w:id="1058" w:name="_Toc29092"/>
      <w:bookmarkEnd w:id="1058"/>
      <w:bookmarkStart w:id="1059" w:name="_Toc4089"/>
      <w:bookmarkEnd w:id="1059"/>
      <w:bookmarkStart w:id="1060" w:name="_Toc29614"/>
      <w:bookmarkEnd w:id="1060"/>
      <w:bookmarkStart w:id="1061" w:name="_Toc14633"/>
      <w:bookmarkEnd w:id="1061"/>
      <w:bookmarkStart w:id="1062" w:name="_Toc318450727"/>
      <w:bookmarkEnd w:id="1062"/>
      <w:bookmarkStart w:id="1063" w:name="_Toc13846"/>
      <w:bookmarkStart w:id="1064" w:name="_Toc22831"/>
      <w:bookmarkStart w:id="1065" w:name="_Toc27575"/>
      <w:r>
        <w:rPr>
          <w:rFonts w:hint="eastAsia" w:ascii="宋体" w:hAnsi="宋体" w:eastAsia="宋体" w:cs="宋体"/>
          <w:b/>
          <w:bCs/>
          <w:color w:val="auto"/>
          <w:sz w:val="21"/>
          <w:szCs w:val="21"/>
          <w:highlight w:val="none"/>
        </w:rPr>
        <w:t>3.1 初步评审</w:t>
      </w:r>
      <w:bookmarkEnd w:id="1063"/>
      <w:bookmarkEnd w:id="1064"/>
      <w:bookmarkEnd w:id="1065"/>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 磋商小组依据本章第2.1款规定的标准对响应文件进行初步评审。有一项不符合评审标准的，作废标处理。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 供应商有以下情形之一的，其响应文件作无效处理：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（1）串通或弄虚作假或有其他违法行为的；</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（2）不按磋商小组要求澄清、说明或补正的；</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（3）未按规定格式填写、内容不全或关键字迹模糊、无法辨认的；</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（4）响应文件附有采购人不能接受的条件；</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（5）不符合磋商文件规定的其他实质性要求。</w:t>
      </w:r>
    </w:p>
    <w:p>
      <w:pPr>
        <w:pStyle w:val="31"/>
        <w:spacing w:line="360" w:lineRule="auto"/>
        <w:ind w:firstLine="422"/>
        <w:outlineLvl w:val="0"/>
        <w:rPr>
          <w:rFonts w:hint="eastAsia" w:ascii="宋体" w:hAnsi="宋体" w:eastAsia="宋体" w:cs="宋体"/>
          <w:b/>
          <w:bCs/>
          <w:color w:val="auto"/>
          <w:sz w:val="21"/>
          <w:szCs w:val="21"/>
          <w:highlight w:val="none"/>
        </w:rPr>
      </w:pPr>
      <w:bookmarkStart w:id="1066" w:name="_Toc318450728"/>
      <w:bookmarkEnd w:id="1066"/>
      <w:bookmarkStart w:id="1067" w:name="_Toc32292"/>
      <w:bookmarkEnd w:id="1067"/>
      <w:bookmarkStart w:id="1068" w:name="_Toc26280"/>
      <w:bookmarkEnd w:id="1068"/>
      <w:bookmarkStart w:id="1069" w:name="_Toc455867822"/>
      <w:bookmarkEnd w:id="1069"/>
      <w:bookmarkStart w:id="1070" w:name="_Toc281405534"/>
      <w:bookmarkEnd w:id="1070"/>
      <w:bookmarkStart w:id="1071" w:name="_Toc13386"/>
      <w:bookmarkEnd w:id="1071"/>
      <w:bookmarkStart w:id="1072" w:name="_Toc490667881"/>
      <w:bookmarkEnd w:id="1072"/>
      <w:bookmarkStart w:id="1073" w:name="_Toc16964"/>
      <w:bookmarkEnd w:id="1073"/>
      <w:bookmarkStart w:id="1074" w:name="_Toc22101"/>
      <w:bookmarkEnd w:id="1074"/>
      <w:bookmarkStart w:id="1075" w:name="_Toc21570"/>
      <w:bookmarkEnd w:id="1075"/>
      <w:bookmarkStart w:id="1076" w:name="_Toc10692"/>
      <w:bookmarkEnd w:id="1076"/>
      <w:bookmarkStart w:id="1077" w:name="_Toc26049"/>
      <w:bookmarkEnd w:id="1077"/>
      <w:bookmarkStart w:id="1078" w:name="_Toc21032"/>
      <w:bookmarkEnd w:id="1078"/>
      <w:bookmarkStart w:id="1079" w:name="_Toc10379"/>
      <w:bookmarkEnd w:id="1079"/>
      <w:bookmarkStart w:id="1080" w:name="_Toc12406"/>
      <w:bookmarkEnd w:id="1080"/>
      <w:bookmarkStart w:id="1081" w:name="_Toc7121"/>
      <w:bookmarkEnd w:id="1081"/>
      <w:bookmarkStart w:id="1082" w:name="_Toc455080162"/>
      <w:bookmarkEnd w:id="1082"/>
      <w:bookmarkStart w:id="1083" w:name="_Toc466298145"/>
      <w:bookmarkEnd w:id="1083"/>
      <w:bookmarkStart w:id="1084" w:name="_Toc22023"/>
      <w:bookmarkStart w:id="1085" w:name="_Toc27078"/>
      <w:bookmarkStart w:id="1086" w:name="_Toc898"/>
      <w:r>
        <w:rPr>
          <w:rFonts w:hint="eastAsia" w:ascii="宋体" w:hAnsi="宋体" w:eastAsia="宋体" w:cs="宋体"/>
          <w:b/>
          <w:bCs/>
          <w:color w:val="auto"/>
          <w:sz w:val="21"/>
          <w:szCs w:val="21"/>
          <w:highlight w:val="none"/>
        </w:rPr>
        <w:t>3.2 详细评审</w:t>
      </w:r>
      <w:bookmarkEnd w:id="1084"/>
      <w:bookmarkEnd w:id="1085"/>
      <w:bookmarkEnd w:id="1086"/>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 磋商小组按本章第2.2款规定的量化因素和分值进行打分，并计算出综合评分得分。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评分分值计算保留小数点后两位，小数点后第三位“四舍五入”。</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供应商的最终得分以全部小组成员打分的算术平均值为准，作为该供应商的最终得分。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在磋商过程中，凡遇到磋商文件中无界定或界定不清、前后不一致使磋商小组意见有分歧且又难以协商一致的问题，均由磋商小组予以表决，获半数以上同意的即为通过，未获半数同意的即为否决。</w:t>
      </w:r>
    </w:p>
    <w:p>
      <w:pPr>
        <w:pStyle w:val="31"/>
        <w:spacing w:line="360" w:lineRule="auto"/>
        <w:ind w:firstLine="422"/>
        <w:outlineLvl w:val="0"/>
        <w:rPr>
          <w:rFonts w:hint="eastAsia" w:ascii="宋体" w:hAnsi="宋体" w:eastAsia="宋体" w:cs="宋体"/>
          <w:b/>
          <w:bCs/>
          <w:color w:val="auto"/>
          <w:sz w:val="21"/>
          <w:szCs w:val="21"/>
          <w:highlight w:val="none"/>
        </w:rPr>
      </w:pPr>
      <w:bookmarkStart w:id="1087" w:name="_Toc8342"/>
      <w:bookmarkEnd w:id="1087"/>
      <w:bookmarkStart w:id="1088" w:name="_Toc455867823"/>
      <w:bookmarkEnd w:id="1088"/>
      <w:bookmarkStart w:id="1089" w:name="_Toc455080163"/>
      <w:bookmarkEnd w:id="1089"/>
      <w:bookmarkStart w:id="1090" w:name="_Toc987"/>
      <w:bookmarkEnd w:id="1090"/>
      <w:bookmarkStart w:id="1091" w:name="_Toc22084"/>
      <w:bookmarkEnd w:id="1091"/>
      <w:bookmarkStart w:id="1092" w:name="_Toc10153"/>
      <w:bookmarkEnd w:id="1092"/>
      <w:bookmarkStart w:id="1093" w:name="_Toc318450729"/>
      <w:bookmarkEnd w:id="1093"/>
      <w:bookmarkStart w:id="1094" w:name="_Toc281405535"/>
      <w:bookmarkEnd w:id="1094"/>
      <w:bookmarkStart w:id="1095" w:name="_Toc466298146"/>
      <w:bookmarkEnd w:id="1095"/>
      <w:bookmarkStart w:id="1096" w:name="_Toc490667882"/>
      <w:bookmarkEnd w:id="1096"/>
      <w:bookmarkStart w:id="1097" w:name="_Toc2657"/>
      <w:bookmarkEnd w:id="1097"/>
      <w:bookmarkStart w:id="1098" w:name="_Toc28633"/>
      <w:bookmarkEnd w:id="1098"/>
      <w:bookmarkStart w:id="1099" w:name="_Toc331"/>
      <w:bookmarkEnd w:id="1099"/>
      <w:bookmarkStart w:id="1100" w:name="_Toc12374"/>
      <w:bookmarkEnd w:id="1100"/>
      <w:bookmarkStart w:id="1101" w:name="_Toc24862"/>
      <w:bookmarkEnd w:id="1101"/>
      <w:bookmarkStart w:id="1102" w:name="_Toc11958"/>
      <w:bookmarkEnd w:id="1102"/>
      <w:bookmarkStart w:id="1103" w:name="_Toc4797"/>
      <w:bookmarkEnd w:id="1103"/>
      <w:bookmarkStart w:id="1104" w:name="_Toc8813"/>
      <w:bookmarkEnd w:id="1104"/>
      <w:bookmarkStart w:id="1105" w:name="_Toc24648"/>
      <w:bookmarkStart w:id="1106" w:name="_Toc20335"/>
      <w:bookmarkStart w:id="1107" w:name="_Toc29214"/>
      <w:r>
        <w:rPr>
          <w:rFonts w:hint="eastAsia" w:ascii="宋体" w:hAnsi="宋体" w:eastAsia="宋体" w:cs="宋体"/>
          <w:b/>
          <w:bCs/>
          <w:color w:val="auto"/>
          <w:sz w:val="21"/>
          <w:szCs w:val="21"/>
          <w:highlight w:val="none"/>
        </w:rPr>
        <w:t>3.3 响应文件的澄清和补正</w:t>
      </w:r>
      <w:bookmarkEnd w:id="1105"/>
      <w:bookmarkEnd w:id="1106"/>
      <w:bookmarkEnd w:id="1107"/>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在磋商过程中，磋商小组可以通过电子平台澄清说明要求供应商对所提交的响应文件中不明确的内容进行书面澄清或说明，或者对细微偏离进行补正。磋商小组不接受供应商主动提出的澄清、说明或补正。</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澄清、说明和补正不得超出响应文件的范围或者改变响应文件的实质性内容（算术性错误修正的除外）。供应商的书面澄清、说明和补正属于响应文件的组成部分。</w:t>
      </w:r>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磋商小组对供应商提交的澄清、说明或补正有疑问的，可以要求供应商进一步澄清、说明或补正，直至满足磋商小组的要求。</w:t>
      </w:r>
    </w:p>
    <w:p>
      <w:pPr>
        <w:pStyle w:val="31"/>
        <w:spacing w:line="360" w:lineRule="auto"/>
        <w:ind w:firstLine="420"/>
        <w:outlineLvl w:val="0"/>
        <w:rPr>
          <w:rFonts w:hint="eastAsia" w:ascii="宋体" w:hAnsi="宋体" w:eastAsia="宋体" w:cs="宋体"/>
          <w:color w:val="auto"/>
          <w:sz w:val="21"/>
          <w:szCs w:val="21"/>
          <w:highlight w:val="none"/>
        </w:rPr>
      </w:pPr>
      <w:bookmarkStart w:id="1108" w:name="_Toc318450730"/>
      <w:bookmarkEnd w:id="1108"/>
      <w:bookmarkStart w:id="1109" w:name="_Toc4648"/>
      <w:bookmarkEnd w:id="1109"/>
      <w:bookmarkStart w:id="1110" w:name="_Toc32183"/>
      <w:bookmarkEnd w:id="1110"/>
      <w:bookmarkStart w:id="1111" w:name="_Toc490667883"/>
      <w:bookmarkEnd w:id="1111"/>
      <w:bookmarkStart w:id="1112" w:name="_Toc466298147"/>
      <w:bookmarkEnd w:id="1112"/>
      <w:bookmarkStart w:id="1113" w:name="_Toc1857"/>
      <w:bookmarkEnd w:id="1113"/>
      <w:bookmarkStart w:id="1114" w:name="_Toc22049"/>
      <w:bookmarkEnd w:id="1114"/>
      <w:bookmarkStart w:id="1115" w:name="_Toc22986"/>
      <w:bookmarkEnd w:id="1115"/>
      <w:bookmarkStart w:id="1116" w:name="_Toc5903"/>
      <w:bookmarkEnd w:id="1116"/>
      <w:bookmarkStart w:id="1117" w:name="_Toc30053"/>
      <w:bookmarkEnd w:id="1117"/>
      <w:bookmarkStart w:id="1118" w:name="_Toc22682"/>
      <w:bookmarkEnd w:id="1118"/>
      <w:bookmarkStart w:id="1119" w:name="_Toc455080164"/>
      <w:bookmarkEnd w:id="1119"/>
      <w:bookmarkStart w:id="1120" w:name="_Toc26894"/>
      <w:bookmarkEnd w:id="1120"/>
      <w:bookmarkStart w:id="1121" w:name="_Toc19453"/>
      <w:bookmarkEnd w:id="1121"/>
      <w:bookmarkStart w:id="1122" w:name="_Toc455867824"/>
      <w:bookmarkEnd w:id="1122"/>
      <w:bookmarkStart w:id="1123" w:name="_Toc281405536"/>
      <w:bookmarkEnd w:id="1123"/>
      <w:bookmarkStart w:id="1124" w:name="_Toc19938"/>
      <w:bookmarkEnd w:id="1124"/>
      <w:bookmarkStart w:id="1125" w:name="_Toc1667"/>
      <w:bookmarkEnd w:id="1125"/>
      <w:bookmarkStart w:id="1126" w:name="_Toc32040"/>
      <w:bookmarkStart w:id="1127" w:name="_Toc1806"/>
      <w:bookmarkStart w:id="1128" w:name="_Toc11363"/>
      <w:r>
        <w:rPr>
          <w:rFonts w:hint="eastAsia" w:ascii="宋体" w:hAnsi="宋体" w:eastAsia="宋体" w:cs="宋体"/>
          <w:color w:val="auto"/>
          <w:sz w:val="21"/>
          <w:szCs w:val="21"/>
          <w:highlight w:val="none"/>
        </w:rPr>
        <w:t>3.4 评审结果</w:t>
      </w:r>
      <w:bookmarkEnd w:id="1126"/>
      <w:bookmarkEnd w:id="1127"/>
      <w:bookmarkEnd w:id="1128"/>
    </w:p>
    <w:p>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3.4.1除第二章“供应商须知”前附表授权直接确定成交人外，磋商小组按照得分由高到低的顺序推荐成交候选人。</w:t>
      </w:r>
    </w:p>
    <w:p>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3.4.2 磋商小组完成评审后，应当向采购人提交书面评审报告。</w:t>
      </w:r>
    </w:p>
    <w:p>
      <w:pPr>
        <w:rPr>
          <w:rFonts w:hint="eastAsia" w:ascii="宋体" w:hAnsi="宋体" w:eastAsia="宋体" w:cs="宋体"/>
          <w:color w:val="auto"/>
          <w:highlight w:val="none"/>
        </w:rPr>
        <w:sectPr>
          <w:footerReference r:id="rId7" w:type="default"/>
          <w:footnotePr>
            <w:numFmt w:val="decimal"/>
          </w:footnotePr>
          <w:endnotePr>
            <w:numFmt w:val="decimal"/>
          </w:endnotePr>
          <w:pgSz w:w="11905" w:h="16838"/>
          <w:pgMar w:top="1440" w:right="1803" w:bottom="1440" w:left="1803" w:header="794" w:footer="850" w:gutter="0"/>
          <w:pgNumType w:fmt="decimal"/>
          <w:cols w:space="720" w:num="1"/>
        </w:sectPr>
      </w:pPr>
    </w:p>
    <w:p>
      <w:pPr>
        <w:pStyle w:val="9"/>
        <w:numPr>
          <w:ilvl w:val="0"/>
          <w:numId w:val="6"/>
        </w:numPr>
        <w:ind w:left="459" w:firstLine="0"/>
        <w:jc w:val="center"/>
        <w:outlineLvl w:val="0"/>
        <w:rPr>
          <w:rFonts w:hint="eastAsia" w:ascii="宋体" w:hAnsi="宋体" w:eastAsia="宋体" w:cs="宋体"/>
          <w:bCs w:val="0"/>
          <w:color w:val="auto"/>
          <w:sz w:val="28"/>
          <w:szCs w:val="28"/>
          <w:highlight w:val="none"/>
        </w:rPr>
      </w:pPr>
      <w:bookmarkStart w:id="1129" w:name="_Toc152042575"/>
      <w:bookmarkEnd w:id="1129"/>
      <w:bookmarkStart w:id="1130" w:name="_Toc144974855"/>
      <w:bookmarkEnd w:id="1130"/>
      <w:bookmarkStart w:id="1131" w:name="_Toc152045786"/>
      <w:bookmarkEnd w:id="1131"/>
      <w:bookmarkStart w:id="1132" w:name="_Toc31782"/>
      <w:bookmarkEnd w:id="1132"/>
      <w:bookmarkStart w:id="1133" w:name="_Toc30627"/>
      <w:bookmarkEnd w:id="1133"/>
      <w:r>
        <w:rPr>
          <w:rFonts w:hint="eastAsia" w:ascii="宋体" w:hAnsi="宋体" w:eastAsia="宋体" w:cs="宋体"/>
          <w:bCs w:val="0"/>
          <w:color w:val="auto"/>
          <w:sz w:val="28"/>
          <w:szCs w:val="28"/>
          <w:highlight w:val="none"/>
        </w:rPr>
        <w:t xml:space="preserve">  </w:t>
      </w:r>
      <w:bookmarkStart w:id="1134" w:name="_Toc30163"/>
      <w:bookmarkEnd w:id="1134"/>
      <w:bookmarkStart w:id="1135" w:name="_Toc16984"/>
      <w:bookmarkEnd w:id="1135"/>
      <w:bookmarkStart w:id="1136" w:name="_Toc9075"/>
      <w:r>
        <w:rPr>
          <w:rFonts w:hint="eastAsia" w:ascii="宋体" w:hAnsi="宋体" w:eastAsia="宋体" w:cs="宋体"/>
          <w:bCs w:val="0"/>
          <w:color w:val="auto"/>
          <w:sz w:val="28"/>
          <w:szCs w:val="28"/>
          <w:highlight w:val="none"/>
        </w:rPr>
        <w:t>合同文本（仅供参考）</w:t>
      </w:r>
      <w:bookmarkEnd w:id="1136"/>
    </w:p>
    <w:p>
      <w:pPr>
        <w:rPr>
          <w:rFonts w:hint="eastAsia" w:ascii="宋体" w:hAnsi="宋体" w:eastAsia="宋体" w:cs="宋体"/>
          <w:bCs w:val="0"/>
          <w:color w:val="auto"/>
          <w:sz w:val="28"/>
          <w:szCs w:val="28"/>
          <w:highlight w:val="none"/>
        </w:rPr>
      </w:pPr>
    </w:p>
    <w:p>
      <w:pPr>
        <w:pStyle w:val="3"/>
        <w:rPr>
          <w:rFonts w:hint="eastAsia" w:ascii="宋体" w:hAnsi="宋体" w:eastAsia="宋体" w:cs="宋体"/>
          <w:bCs w:val="0"/>
          <w:color w:val="auto"/>
          <w:sz w:val="28"/>
          <w:szCs w:val="28"/>
          <w:highlight w:val="none"/>
        </w:rPr>
      </w:pPr>
    </w:p>
    <w:p>
      <w:pPr>
        <w:rPr>
          <w:rFonts w:hint="eastAsia" w:ascii="宋体" w:hAnsi="宋体" w:eastAsia="宋体" w:cs="宋体"/>
          <w:color w:val="auto"/>
          <w:highlight w:val="none"/>
        </w:rPr>
      </w:pPr>
    </w:p>
    <w:p>
      <w:pPr>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（GF—2017—0201）</w:t>
      </w: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p>
    <w:p>
      <w:pPr>
        <w:pStyle w:val="3"/>
        <w:rPr>
          <w:rFonts w:hint="eastAsia" w:ascii="宋体" w:hAnsi="宋体" w:eastAsia="宋体" w:cs="宋体"/>
          <w:b/>
          <w:color w:val="auto"/>
          <w:sz w:val="32"/>
          <w:szCs w:val="32"/>
          <w:highlight w:val="none"/>
        </w:rPr>
      </w:pPr>
    </w:p>
    <w:p>
      <w:pPr>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建设工程施工合同</w:t>
      </w: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（示范文本）</w:t>
      </w: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p>
    <w:p>
      <w:pPr>
        <w:pStyle w:val="3"/>
        <w:rPr>
          <w:rFonts w:hint="eastAsia" w:ascii="宋体" w:hAnsi="宋体" w:eastAsia="宋体" w:cs="宋体"/>
          <w:b/>
          <w:color w:val="auto"/>
          <w:sz w:val="32"/>
          <w:szCs w:val="32"/>
          <w:highlight w:val="none"/>
        </w:rPr>
      </w:pPr>
    </w:p>
    <w:p>
      <w:pPr>
        <w:rPr>
          <w:rFonts w:hint="eastAsia" w:ascii="宋体" w:hAnsi="宋体" w:eastAsia="宋体" w:cs="宋体"/>
          <w:color w:val="auto"/>
          <w:highlight w:val="none"/>
        </w:rPr>
      </w:pPr>
    </w:p>
    <w:p>
      <w:pPr>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p>
    <w:p>
      <w:pPr>
        <w:pStyle w:val="3"/>
        <w:rPr>
          <w:rFonts w:hint="eastAsia" w:ascii="宋体" w:hAnsi="宋体" w:eastAsia="宋体" w:cs="宋体"/>
          <w:color w:val="auto"/>
          <w:highlight w:val="none"/>
        </w:rPr>
      </w:pPr>
    </w:p>
    <w:p>
      <w:pPr>
        <w:rPr>
          <w:rFonts w:hint="eastAsia" w:ascii="宋体" w:hAnsi="宋体" w:eastAsia="宋体" w:cs="宋体"/>
          <w:b/>
          <w:color w:val="auto"/>
          <w:sz w:val="32"/>
          <w:szCs w:val="32"/>
          <w:highlight w:val="none"/>
        </w:rPr>
      </w:pPr>
      <w:r>
        <w:rPr>
          <w:rFonts w:hint="eastAsia" w:ascii="宋体" w:hAnsi="宋体" w:eastAsia="宋体" w:cs="宋体"/>
          <w:color w:val="auto"/>
          <w:sz w:val="32"/>
          <w:szCs w:val="32"/>
          <w:highlight w:val="none"/>
        </w:rPr>
        <w:pict>
          <v:rect id="Text Box 2" o:spid="_x0000_s2050" o:spt="1" style="position:absolute;left:0pt;margin-left:292.1pt;margin-top:12.25pt;height:66pt;width:56.75pt;z-index:251660288;mso-width-relative:page;mso-height-relative:page;" filled="f" stroked="t" coordsize="21600,21600">
            <v:path/>
            <v:fill on="f" focussize="0,0"/>
            <v:stroke color="#FFFFFF" joinstyle="miter"/>
            <v:imagedata o:title=""/>
            <o:lock v:ext="edit" aspectratio="f"/>
            <v:textbox>
              <w:txbxContent>
                <w:p>
                  <w:pPr>
                    <w:ind w:right="2719" w:rightChars="1295"/>
                    <w:jc w:val="distribute"/>
                    <w:rPr>
                      <w:b/>
                      <w:color w:val="000000"/>
                      <w:sz w:val="44"/>
                      <w:szCs w:val="44"/>
                    </w:rPr>
                  </w:pPr>
                  <w:r>
                    <w:rPr>
                      <w:rFonts w:hint="eastAsia"/>
                      <w:b/>
                      <w:color w:val="000000"/>
                      <w:sz w:val="44"/>
                      <w:szCs w:val="44"/>
                    </w:rPr>
                    <w:t>制定</w:t>
                  </w:r>
                </w:p>
              </w:txbxContent>
            </v:textbox>
          </v:rect>
        </w:pict>
      </w:r>
    </w:p>
    <w:p>
      <w:pPr>
        <w:ind w:right="2719" w:rightChars="1295"/>
        <w:jc w:val="distribute"/>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住房和城乡建设部</w:t>
      </w:r>
    </w:p>
    <w:p>
      <w:pPr>
        <w:ind w:right="2719" w:rightChars="1295"/>
        <w:jc w:val="distribute"/>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国家工商行政管理总局</w:t>
      </w:r>
    </w:p>
    <w:p>
      <w:pPr>
        <w:rPr>
          <w:rFonts w:hint="eastAsia" w:ascii="宋体" w:hAnsi="宋体" w:eastAsia="宋体" w:cs="宋体"/>
          <w:bCs w:val="0"/>
          <w:color w:val="auto"/>
          <w:sz w:val="28"/>
          <w:szCs w:val="28"/>
          <w:highlight w:val="none"/>
        </w:rPr>
      </w:pPr>
    </w:p>
    <w:p>
      <w:pPr>
        <w:pStyle w:val="3"/>
        <w:rPr>
          <w:rFonts w:hint="eastAsia" w:ascii="宋体" w:hAnsi="宋体" w:eastAsia="宋体" w:cs="宋体"/>
          <w:color w:val="auto"/>
          <w:highlight w:val="none"/>
        </w:rPr>
      </w:pPr>
    </w:p>
    <w:p>
      <w:pPr>
        <w:bidi w:val="0"/>
        <w:rPr>
          <w:rFonts w:hint="eastAsia" w:ascii="宋体" w:hAnsi="宋体" w:eastAsia="宋体" w:cs="宋体"/>
          <w:color w:val="auto"/>
          <w:highlight w:val="none"/>
        </w:rPr>
      </w:pPr>
      <w:bookmarkStart w:id="1137" w:name="_Toc27127"/>
      <w:bookmarkEnd w:id="1137"/>
      <w:bookmarkStart w:id="1138" w:name="_Toc11554"/>
      <w:bookmarkEnd w:id="1138"/>
      <w:bookmarkStart w:id="1139" w:name="_Toc6187"/>
    </w:p>
    <w:p>
      <w:pPr>
        <w:pStyle w:val="9"/>
        <w:numPr>
          <w:ilvl w:val="0"/>
          <w:numId w:val="0"/>
        </w:numPr>
        <w:jc w:val="center"/>
        <w:rPr>
          <w:rFonts w:hint="eastAsia" w:ascii="宋体" w:hAnsi="宋体" w:eastAsia="宋体" w:cs="宋体"/>
          <w:b w:val="0"/>
          <w:color w:val="auto"/>
          <w:sz w:val="21"/>
          <w:szCs w:val="21"/>
          <w:highlight w:val="none"/>
        </w:rPr>
      </w:pPr>
      <w:r>
        <w:rPr>
          <w:rFonts w:hint="eastAsia" w:ascii="宋体" w:hAnsi="宋体" w:eastAsia="宋体" w:cs="宋体"/>
          <w:color w:val="auto"/>
          <w:sz w:val="21"/>
          <w:szCs w:val="21"/>
          <w:highlight w:val="none"/>
        </w:rPr>
        <w:t>第一部分 合同协议书</w:t>
      </w:r>
      <w:bookmarkEnd w:id="1139"/>
    </w:p>
    <w:p>
      <w:pPr>
        <w:spacing w:line="420" w:lineRule="exact"/>
        <w:rPr>
          <w:rFonts w:hint="eastAsia" w:ascii="宋体" w:hAnsi="宋体" w:eastAsia="宋体" w:cs="宋体"/>
          <w:bCs/>
          <w:color w:val="auto"/>
          <w:szCs w:val="21"/>
          <w:highlight w:val="none"/>
          <w:u w:val="single" w:color="auto"/>
        </w:rPr>
      </w:pPr>
      <w:r>
        <w:rPr>
          <w:rFonts w:hint="eastAsia" w:ascii="宋体" w:hAnsi="宋体" w:eastAsia="宋体" w:cs="宋体"/>
          <w:bCs/>
          <w:color w:val="auto"/>
          <w:szCs w:val="21"/>
          <w:highlight w:val="none"/>
        </w:rPr>
        <w:t>发包人（全称）：</w:t>
      </w:r>
      <w:r>
        <w:rPr>
          <w:rFonts w:hint="eastAsia" w:ascii="宋体" w:hAnsi="宋体" w:eastAsia="宋体" w:cs="宋体"/>
          <w:bCs/>
          <w:color w:val="auto"/>
          <w:szCs w:val="21"/>
          <w:highlight w:val="none"/>
          <w:u w:val="single" w:color="auto"/>
        </w:rPr>
        <w:t>                       </w:t>
      </w:r>
    </w:p>
    <w:p>
      <w:pPr>
        <w:spacing w:line="420" w:lineRule="exact"/>
        <w:rPr>
          <w:rFonts w:hint="eastAsia" w:ascii="宋体" w:hAnsi="宋体" w:eastAsia="宋体" w:cs="宋体"/>
          <w:bCs/>
          <w:color w:val="auto"/>
          <w:szCs w:val="21"/>
          <w:highlight w:val="none"/>
          <w:u w:val="single" w:color="auto"/>
        </w:rPr>
      </w:pPr>
      <w:r>
        <w:rPr>
          <w:rFonts w:hint="eastAsia" w:ascii="宋体" w:hAnsi="宋体" w:eastAsia="宋体" w:cs="宋体"/>
          <w:bCs/>
          <w:color w:val="auto"/>
          <w:szCs w:val="21"/>
          <w:highlight w:val="none"/>
        </w:rPr>
        <w:t>承包人（全称）：</w:t>
      </w:r>
      <w:r>
        <w:rPr>
          <w:rFonts w:hint="eastAsia" w:ascii="宋体" w:hAnsi="宋体" w:eastAsia="宋体" w:cs="宋体"/>
          <w:bCs/>
          <w:color w:val="auto"/>
          <w:szCs w:val="21"/>
          <w:highlight w:val="none"/>
          <w:u w:val="single" w:color="auto"/>
        </w:rPr>
        <w:t>                      </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根据《中华人民共和国民法典》、《中华人民共和国建筑法》及有关法律规定，遵循平等、自愿、公平和诚实信用的原则，双方就</w:t>
      </w:r>
      <w:r>
        <w:rPr>
          <w:rFonts w:hint="eastAsia" w:ascii="宋体" w:hAnsi="宋体" w:eastAsia="宋体" w:cs="宋体"/>
          <w:color w:val="auto"/>
          <w:szCs w:val="21"/>
          <w:highlight w:val="none"/>
          <w:u w:val="single" w:color="auto"/>
        </w:rPr>
        <w:t xml:space="preserve">                       </w:t>
      </w:r>
      <w:r>
        <w:rPr>
          <w:rFonts w:hint="eastAsia" w:ascii="宋体" w:hAnsi="宋体" w:eastAsia="宋体" w:cs="宋体"/>
          <w:color w:val="auto"/>
          <w:szCs w:val="21"/>
          <w:highlight w:val="none"/>
        </w:rPr>
        <w:t>工程施工及有关事项协商一致，共同达成如下协议：</w:t>
      </w:r>
    </w:p>
    <w:p>
      <w:pPr>
        <w:pStyle w:val="11"/>
        <w:numPr>
          <w:ilvl w:val="0"/>
          <w:numId w:val="0"/>
        </w:numPr>
        <w:spacing w:before="0" w:after="0" w:line="420" w:lineRule="exact"/>
        <w:ind w:left="0"/>
        <w:rPr>
          <w:rFonts w:hint="eastAsia" w:ascii="宋体" w:hAnsi="宋体" w:eastAsia="宋体" w:cs="宋体"/>
          <w:bCs w:val="0"/>
          <w:color w:val="auto"/>
          <w:sz w:val="21"/>
          <w:szCs w:val="21"/>
          <w:highlight w:val="none"/>
        </w:rPr>
      </w:pPr>
      <w:bookmarkStart w:id="1140" w:name="_Toc351203481"/>
      <w:bookmarkEnd w:id="1140"/>
      <w:r>
        <w:rPr>
          <w:rFonts w:hint="eastAsia" w:ascii="宋体" w:hAnsi="宋体" w:eastAsia="宋体" w:cs="宋体"/>
          <w:b w:val="0"/>
          <w:color w:val="auto"/>
          <w:sz w:val="21"/>
          <w:szCs w:val="21"/>
          <w:highlight w:val="none"/>
        </w:rPr>
        <w:t>一、工程概况</w:t>
      </w:r>
    </w:p>
    <w:p>
      <w:pPr>
        <w:spacing w:line="420" w:lineRule="exact"/>
        <w:ind w:firstLine="411"/>
        <w:rPr>
          <w:rFonts w:hint="eastAsia" w:ascii="宋体" w:hAnsi="宋体" w:eastAsia="宋体" w:cs="宋体"/>
          <w:color w:val="auto"/>
          <w:szCs w:val="21"/>
          <w:highlight w:val="none"/>
          <w:u w:val="single" w:color="auto"/>
        </w:rPr>
      </w:pPr>
      <w:r>
        <w:rPr>
          <w:rFonts w:hint="eastAsia" w:ascii="宋体" w:hAnsi="宋体" w:eastAsia="宋体" w:cs="宋体"/>
          <w:bCs/>
          <w:color w:val="auto"/>
          <w:szCs w:val="21"/>
          <w:highlight w:val="none"/>
        </w:rPr>
        <w:t>1.工程名称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color="auto"/>
        </w:rPr>
        <w:t xml:space="preserve">       </w:t>
      </w:r>
      <w:r>
        <w:rPr>
          <w:rFonts w:hint="eastAsia" w:ascii="宋体" w:hAnsi="宋体" w:eastAsia="宋体" w:cs="宋体"/>
          <w:color w:val="auto"/>
          <w:szCs w:val="21"/>
          <w:highlight w:val="none"/>
        </w:rPr>
        <w:t>。</w:t>
      </w:r>
    </w:p>
    <w:p>
      <w:pPr>
        <w:spacing w:line="420" w:lineRule="exact"/>
        <w:ind w:firstLine="4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2.工程地点：</w:t>
      </w:r>
      <w:r>
        <w:rPr>
          <w:rFonts w:hint="eastAsia" w:ascii="宋体" w:hAnsi="宋体" w:eastAsia="宋体" w:cs="宋体"/>
          <w:color w:val="auto"/>
          <w:szCs w:val="21"/>
          <w:highlight w:val="none"/>
          <w:u w:val="single" w:color="auto"/>
        </w:rPr>
        <w:t xml:space="preserve">       </w:t>
      </w:r>
      <w:r>
        <w:rPr>
          <w:rFonts w:hint="eastAsia" w:ascii="宋体" w:hAnsi="宋体" w:eastAsia="宋体" w:cs="宋体"/>
          <w:color w:val="auto"/>
          <w:szCs w:val="21"/>
          <w:highlight w:val="none"/>
        </w:rPr>
        <w:t>。</w:t>
      </w:r>
    </w:p>
    <w:p>
      <w:pPr>
        <w:spacing w:line="420" w:lineRule="exact"/>
        <w:ind w:firstLine="4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3.工程立项批准文号：</w:t>
      </w:r>
      <w:r>
        <w:rPr>
          <w:rFonts w:hint="eastAsia" w:ascii="宋体" w:hAnsi="宋体" w:eastAsia="宋体" w:cs="宋体"/>
          <w:color w:val="auto"/>
          <w:szCs w:val="21"/>
          <w:highlight w:val="none"/>
          <w:u w:val="single" w:color="auto"/>
        </w:rPr>
        <w:t xml:space="preserve">       </w:t>
      </w:r>
      <w:r>
        <w:rPr>
          <w:rFonts w:hint="eastAsia" w:ascii="宋体" w:hAnsi="宋体" w:eastAsia="宋体" w:cs="宋体"/>
          <w:bCs/>
          <w:color w:val="auto"/>
          <w:szCs w:val="21"/>
          <w:highlight w:val="none"/>
        </w:rPr>
        <w:t>。</w:t>
      </w:r>
    </w:p>
    <w:p>
      <w:pPr>
        <w:spacing w:line="420" w:lineRule="exact"/>
        <w:ind w:firstLine="4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4.资金来源：</w:t>
      </w:r>
      <w:r>
        <w:rPr>
          <w:rFonts w:hint="eastAsia" w:ascii="宋体" w:hAnsi="宋体" w:eastAsia="宋体" w:cs="宋体"/>
          <w:color w:val="auto"/>
          <w:szCs w:val="21"/>
          <w:highlight w:val="none"/>
          <w:u w:val="single" w:color="auto"/>
        </w:rPr>
        <w:t xml:space="preserve">       </w:t>
      </w:r>
      <w:r>
        <w:rPr>
          <w:rFonts w:hint="eastAsia" w:ascii="宋体" w:hAnsi="宋体" w:eastAsia="宋体" w:cs="宋体"/>
          <w:bCs/>
          <w:color w:val="auto"/>
          <w:szCs w:val="21"/>
          <w:highlight w:val="none"/>
        </w:rPr>
        <w:t>。</w:t>
      </w:r>
    </w:p>
    <w:p>
      <w:pPr>
        <w:spacing w:line="420" w:lineRule="exact"/>
        <w:ind w:firstLine="4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5.工程内容：</w:t>
      </w:r>
      <w:r>
        <w:rPr>
          <w:rFonts w:hint="eastAsia" w:ascii="宋体" w:hAnsi="宋体" w:eastAsia="宋体" w:cs="宋体"/>
          <w:color w:val="auto"/>
          <w:szCs w:val="21"/>
          <w:highlight w:val="none"/>
          <w:u w:val="single" w:color="auto"/>
        </w:rPr>
        <w:t xml:space="preserve">       </w:t>
      </w:r>
      <w:r>
        <w:rPr>
          <w:rFonts w:hint="eastAsia" w:ascii="宋体" w:hAnsi="宋体" w:eastAsia="宋体" w:cs="宋体"/>
          <w:bCs/>
          <w:color w:val="auto"/>
          <w:szCs w:val="21"/>
          <w:highlight w:val="none"/>
        </w:rPr>
        <w:t>。</w:t>
      </w:r>
    </w:p>
    <w:p>
      <w:pPr>
        <w:spacing w:line="420" w:lineRule="exact"/>
        <w:ind w:firstLine="411"/>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群体工程应附《承包人承揽工程项目一览表》（附件1）。</w:t>
      </w:r>
    </w:p>
    <w:p>
      <w:pPr>
        <w:spacing w:line="420" w:lineRule="exact"/>
        <w:ind w:firstLine="4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6.工程承包范围：</w:t>
      </w:r>
    </w:p>
    <w:p>
      <w:pPr>
        <w:spacing w:line="420" w:lineRule="exact"/>
        <w:ind w:firstLine="405"/>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color="auto"/>
        </w:rPr>
        <w:t>   </w:t>
      </w:r>
      <w:r>
        <w:rPr>
          <w:rFonts w:hint="eastAsia" w:ascii="宋体" w:hAnsi="宋体" w:eastAsia="宋体" w:cs="宋体"/>
          <w:color w:val="auto"/>
          <w:szCs w:val="21"/>
          <w:highlight w:val="none"/>
        </w:rPr>
        <w:t>。</w:t>
      </w:r>
      <w:bookmarkStart w:id="1141" w:name="_Toc351203482"/>
      <w:bookmarkEnd w:id="1141"/>
    </w:p>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二、合同工期</w:t>
      </w:r>
    </w:p>
    <w:p>
      <w:pPr>
        <w:spacing w:line="42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计划开工日期：</w:t>
      </w:r>
      <w:r>
        <w:rPr>
          <w:rFonts w:hint="eastAsia" w:ascii="宋体" w:hAnsi="宋体" w:eastAsia="宋体" w:cs="宋体"/>
          <w:color w:val="auto"/>
          <w:szCs w:val="21"/>
          <w:highlight w:val="none"/>
          <w:u w:val="single" w:color="auto"/>
        </w:rPr>
        <w:t></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color="auto"/>
        </w:rPr>
        <w:t></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color="auto"/>
        </w:rPr>
        <w:t></w:t>
      </w:r>
      <w:r>
        <w:rPr>
          <w:rFonts w:hint="eastAsia" w:ascii="宋体" w:hAnsi="宋体" w:eastAsia="宋体" w:cs="宋体"/>
          <w:color w:val="auto"/>
          <w:szCs w:val="21"/>
          <w:highlight w:val="none"/>
        </w:rPr>
        <w:t>日。</w:t>
      </w:r>
    </w:p>
    <w:p>
      <w:pPr>
        <w:spacing w:line="42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计划竣工日期：</w:t>
      </w:r>
      <w:r>
        <w:rPr>
          <w:rFonts w:hint="eastAsia" w:ascii="宋体" w:hAnsi="宋体" w:eastAsia="宋体" w:cs="宋体"/>
          <w:color w:val="auto"/>
          <w:szCs w:val="21"/>
          <w:highlight w:val="none"/>
          <w:u w:val="single" w:color="auto"/>
        </w:rPr>
        <w:t></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color="auto"/>
        </w:rPr>
        <w:t></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color="auto"/>
        </w:rPr>
        <w:t></w:t>
      </w:r>
      <w:r>
        <w:rPr>
          <w:rFonts w:hint="eastAsia" w:ascii="宋体" w:hAnsi="宋体" w:eastAsia="宋体" w:cs="宋体"/>
          <w:color w:val="auto"/>
          <w:szCs w:val="21"/>
          <w:highlight w:val="none"/>
        </w:rPr>
        <w:t>日。</w:t>
      </w:r>
    </w:p>
    <w:p>
      <w:pPr>
        <w:spacing w:line="42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工期总日历天数：</w:t>
      </w:r>
      <w:r>
        <w:rPr>
          <w:rFonts w:hint="eastAsia" w:ascii="宋体" w:hAnsi="宋体" w:eastAsia="宋体" w:cs="宋体"/>
          <w:color w:val="auto"/>
          <w:szCs w:val="21"/>
          <w:highlight w:val="none"/>
          <w:u w:val="single" w:color="auto"/>
        </w:rPr>
        <w:t></w:t>
      </w:r>
      <w:r>
        <w:rPr>
          <w:rFonts w:hint="eastAsia" w:ascii="宋体" w:hAnsi="宋体" w:eastAsia="宋体" w:cs="宋体"/>
          <w:color w:val="auto"/>
          <w:szCs w:val="21"/>
          <w:highlight w:val="none"/>
        </w:rPr>
        <w:t>天。工期总日历天数与根据前述计划开竣工日期计算的工期天数不一致的，以工期总日历天数为准。</w:t>
      </w:r>
    </w:p>
    <w:p>
      <w:pPr>
        <w:pStyle w:val="11"/>
        <w:numPr>
          <w:ilvl w:val="0"/>
          <w:numId w:val="0"/>
        </w:numPr>
        <w:spacing w:before="0" w:after="0" w:line="420" w:lineRule="exact"/>
        <w:ind w:left="0"/>
        <w:rPr>
          <w:rFonts w:hint="eastAsia" w:ascii="宋体" w:hAnsi="宋体" w:eastAsia="宋体" w:cs="宋体"/>
          <w:bCs w:val="0"/>
          <w:color w:val="auto"/>
          <w:sz w:val="21"/>
          <w:szCs w:val="21"/>
          <w:highlight w:val="none"/>
        </w:rPr>
      </w:pPr>
      <w:bookmarkStart w:id="1142" w:name="_Toc351203483"/>
      <w:bookmarkEnd w:id="1142"/>
      <w:r>
        <w:rPr>
          <w:rFonts w:hint="eastAsia" w:ascii="宋体" w:hAnsi="宋体" w:eastAsia="宋体" w:cs="宋体"/>
          <w:b w:val="0"/>
          <w:color w:val="auto"/>
          <w:sz w:val="21"/>
          <w:szCs w:val="21"/>
          <w:highlight w:val="none"/>
        </w:rPr>
        <w:t>三、质量标准</w:t>
      </w:r>
    </w:p>
    <w:p>
      <w:pPr>
        <w:spacing w:line="42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工程质量符合</w:t>
      </w:r>
      <w:r>
        <w:rPr>
          <w:rFonts w:hint="eastAsia" w:ascii="宋体" w:hAnsi="宋体" w:eastAsia="宋体" w:cs="宋体"/>
          <w:color w:val="auto"/>
          <w:szCs w:val="21"/>
          <w:highlight w:val="none"/>
          <w:u w:val="single" w:color="auto"/>
        </w:rPr>
        <w:t></w:t>
      </w:r>
      <w:r>
        <w:rPr>
          <w:rFonts w:hint="eastAsia" w:ascii="宋体" w:hAnsi="宋体" w:eastAsia="宋体" w:cs="宋体"/>
          <w:color w:val="auto"/>
          <w:szCs w:val="21"/>
          <w:highlight w:val="none"/>
        </w:rPr>
        <w:t>标准。</w:t>
      </w:r>
    </w:p>
    <w:p>
      <w:pPr>
        <w:pStyle w:val="11"/>
        <w:numPr>
          <w:ilvl w:val="0"/>
          <w:numId w:val="0"/>
        </w:numPr>
        <w:spacing w:before="0" w:after="0" w:line="420" w:lineRule="exact"/>
        <w:ind w:left="0"/>
        <w:rPr>
          <w:rFonts w:hint="eastAsia" w:ascii="宋体" w:hAnsi="宋体" w:eastAsia="宋体" w:cs="宋体"/>
          <w:bCs w:val="0"/>
          <w:color w:val="auto"/>
          <w:sz w:val="21"/>
          <w:szCs w:val="21"/>
          <w:highlight w:val="none"/>
        </w:rPr>
      </w:pPr>
      <w:bookmarkStart w:id="1143" w:name="_Toc351203484"/>
      <w:bookmarkEnd w:id="1143"/>
      <w:r>
        <w:rPr>
          <w:rFonts w:hint="eastAsia" w:ascii="宋体" w:hAnsi="宋体" w:eastAsia="宋体" w:cs="宋体"/>
          <w:b w:val="0"/>
          <w:color w:val="auto"/>
          <w:sz w:val="21"/>
          <w:szCs w:val="21"/>
          <w:highlight w:val="none"/>
        </w:rPr>
        <w:t>四、签约合同价与合同价格形式</w:t>
      </w:r>
      <w:r>
        <w:rPr>
          <w:rFonts w:hint="eastAsia" w:ascii="宋体" w:hAnsi="宋体" w:eastAsia="宋体" w:cs="宋体"/>
          <w:b w:val="0"/>
          <w:color w:val="auto"/>
          <w:sz w:val="21"/>
          <w:szCs w:val="21"/>
          <w:highlight w:val="none"/>
        </w:rPr>
        <w:tab/>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1.签约合同价为：</w:t>
      </w:r>
    </w:p>
    <w:p>
      <w:pPr>
        <w:spacing w:line="420" w:lineRule="exact"/>
        <w:ind w:firstLine="525"/>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color="auto"/>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color="auto"/>
        </w:rPr>
        <w:t xml:space="preserve">            </w:t>
      </w:r>
      <w:r>
        <w:rPr>
          <w:rFonts w:hint="eastAsia" w:ascii="宋体" w:hAnsi="宋体" w:eastAsia="宋体" w:cs="宋体"/>
          <w:color w:val="auto"/>
          <w:szCs w:val="21"/>
          <w:highlight w:val="none"/>
        </w:rPr>
        <w:t>元)；</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（1）安全文明施工费：</w:t>
      </w:r>
    </w:p>
    <w:p>
      <w:pPr>
        <w:spacing w:line="420" w:lineRule="exact"/>
        <w:ind w:firstLine="945"/>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color="auto"/>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color="auto"/>
        </w:rPr>
        <w:t xml:space="preserve">          </w:t>
      </w:r>
      <w:r>
        <w:rPr>
          <w:rFonts w:hint="eastAsia" w:ascii="宋体" w:hAnsi="宋体" w:eastAsia="宋体" w:cs="宋体"/>
          <w:color w:val="auto"/>
          <w:szCs w:val="21"/>
          <w:highlight w:val="none"/>
        </w:rPr>
        <w:t>元)；</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（2）材料和工程设备暂估价金额：</w:t>
      </w:r>
    </w:p>
    <w:p>
      <w:pPr>
        <w:spacing w:line="420" w:lineRule="exact"/>
        <w:ind w:firstLine="945"/>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color="auto"/>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color="auto"/>
        </w:rPr>
        <w:t xml:space="preserve">          </w:t>
      </w:r>
      <w:r>
        <w:rPr>
          <w:rFonts w:hint="eastAsia" w:ascii="宋体" w:hAnsi="宋体" w:eastAsia="宋体" w:cs="宋体"/>
          <w:color w:val="auto"/>
          <w:szCs w:val="21"/>
          <w:highlight w:val="none"/>
        </w:rPr>
        <w:t>元)；</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（3）专业工程暂估价金额：</w:t>
      </w:r>
    </w:p>
    <w:p>
      <w:pPr>
        <w:spacing w:line="420" w:lineRule="exact"/>
        <w:ind w:firstLine="945"/>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color="auto"/>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color="auto"/>
        </w:rPr>
        <w:t xml:space="preserve">          </w:t>
      </w:r>
      <w:r>
        <w:rPr>
          <w:rFonts w:hint="eastAsia" w:ascii="宋体" w:hAnsi="宋体" w:eastAsia="宋体" w:cs="宋体"/>
          <w:color w:val="auto"/>
          <w:szCs w:val="21"/>
          <w:highlight w:val="none"/>
        </w:rPr>
        <w:t>元)；</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（4）暂列金额：</w:t>
      </w:r>
    </w:p>
    <w:p>
      <w:pPr>
        <w:spacing w:line="420" w:lineRule="exact"/>
        <w:ind w:firstLine="945"/>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color="auto"/>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color="auto"/>
        </w:rPr>
        <w:t xml:space="preserve">          </w:t>
      </w:r>
      <w:r>
        <w:rPr>
          <w:rFonts w:hint="eastAsia" w:ascii="宋体" w:hAnsi="宋体" w:eastAsia="宋体" w:cs="宋体"/>
          <w:color w:val="auto"/>
          <w:szCs w:val="21"/>
          <w:highlight w:val="none"/>
        </w:rPr>
        <w:t>元)。</w:t>
      </w:r>
    </w:p>
    <w:p>
      <w:pPr>
        <w:spacing w:line="420" w:lineRule="exact"/>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2.合同价格形式：</w:t>
      </w:r>
      <w:r>
        <w:rPr>
          <w:rFonts w:hint="eastAsia" w:ascii="宋体" w:hAnsi="宋体" w:eastAsia="宋体" w:cs="宋体"/>
          <w:bCs/>
          <w:color w:val="auto"/>
          <w:szCs w:val="21"/>
          <w:highlight w:val="none"/>
          <w:u w:val="single" w:color="auto"/>
        </w:rPr>
        <w:t>                      </w:t>
      </w:r>
      <w:r>
        <w:rPr>
          <w:rFonts w:hint="eastAsia" w:ascii="宋体" w:hAnsi="宋体" w:eastAsia="宋体" w:cs="宋体"/>
          <w:bCs/>
          <w:color w:val="auto"/>
          <w:szCs w:val="21"/>
          <w:highlight w:val="none"/>
        </w:rPr>
        <w:t>。</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3.付款方式：</w:t>
      </w:r>
      <w:bookmarkStart w:id="1144" w:name="_Toc351203485"/>
      <w:bookmarkEnd w:id="1144"/>
      <w:r>
        <w:rPr>
          <w:rFonts w:hint="eastAsia" w:ascii="宋体" w:hAnsi="宋体" w:eastAsia="宋体" w:cs="宋体"/>
          <w:color w:val="auto"/>
          <w:szCs w:val="21"/>
          <w:highlight w:val="none"/>
          <w:u w:val="single" w:color="auto"/>
        </w:rPr>
        <w:t>双方自行约定。</w:t>
      </w:r>
    </w:p>
    <w:p>
      <w:pPr>
        <w:spacing w:line="42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五、项目经理</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承包人项目经理：</w:t>
      </w:r>
      <w:r>
        <w:rPr>
          <w:rFonts w:hint="eastAsia" w:ascii="宋体" w:hAnsi="宋体" w:eastAsia="宋体" w:cs="宋体"/>
          <w:color w:val="auto"/>
          <w:szCs w:val="21"/>
          <w:highlight w:val="none"/>
          <w:u w:val="single" w:color="auto"/>
        </w:rPr>
        <w:t>                     </w:t>
      </w:r>
      <w:r>
        <w:rPr>
          <w:rFonts w:hint="eastAsia" w:ascii="宋体" w:hAnsi="宋体" w:eastAsia="宋体" w:cs="宋体"/>
          <w:color w:val="auto"/>
          <w:szCs w:val="21"/>
          <w:highlight w:val="none"/>
        </w:rPr>
        <w:t>。</w:t>
      </w:r>
    </w:p>
    <w:p>
      <w:pPr>
        <w:pStyle w:val="11"/>
        <w:numPr>
          <w:ilvl w:val="0"/>
          <w:numId w:val="0"/>
        </w:numPr>
        <w:spacing w:before="0" w:after="0" w:line="420" w:lineRule="exact"/>
        <w:ind w:left="0"/>
        <w:rPr>
          <w:rFonts w:hint="eastAsia" w:ascii="宋体" w:hAnsi="宋体" w:eastAsia="宋体" w:cs="宋体"/>
          <w:bCs w:val="0"/>
          <w:color w:val="auto"/>
          <w:sz w:val="21"/>
          <w:szCs w:val="21"/>
          <w:highlight w:val="none"/>
        </w:rPr>
      </w:pPr>
      <w:bookmarkStart w:id="1145" w:name="_Toc351203486"/>
      <w:bookmarkEnd w:id="1145"/>
      <w:r>
        <w:rPr>
          <w:rFonts w:hint="eastAsia" w:ascii="宋体" w:hAnsi="宋体" w:eastAsia="宋体" w:cs="宋体"/>
          <w:b w:val="0"/>
          <w:color w:val="auto"/>
          <w:sz w:val="21"/>
          <w:szCs w:val="21"/>
          <w:highlight w:val="none"/>
        </w:rPr>
        <w:t>六、合同文件构成</w:t>
      </w:r>
    </w:p>
    <w:p>
      <w:pPr>
        <w:spacing w:line="420" w:lineRule="exact"/>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本协议书与下列文件一起构成合同文件：</w:t>
      </w:r>
    </w:p>
    <w:p>
      <w:pPr>
        <w:spacing w:line="42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（1）中标通知书（如果有）；</w:t>
      </w:r>
    </w:p>
    <w:p>
      <w:pPr>
        <w:spacing w:line="42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（2）投标函及其附录（如果有）； </w:t>
      </w:r>
    </w:p>
    <w:p>
      <w:pPr>
        <w:spacing w:line="42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（3）专用合同条款及其附件；</w:t>
      </w:r>
    </w:p>
    <w:p>
      <w:pPr>
        <w:spacing w:line="42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（4）通用合同条款；</w:t>
      </w:r>
    </w:p>
    <w:p>
      <w:pPr>
        <w:spacing w:line="42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（5）技术标准和要求；</w:t>
      </w:r>
    </w:p>
    <w:p>
      <w:pPr>
        <w:spacing w:line="42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（6）图纸；</w:t>
      </w:r>
    </w:p>
    <w:p>
      <w:pPr>
        <w:spacing w:line="42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（7）已标价工程量清单或预算书；</w:t>
      </w:r>
    </w:p>
    <w:p>
      <w:pPr>
        <w:spacing w:line="42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（8）其他合同文件。</w:t>
      </w:r>
    </w:p>
    <w:p>
      <w:pPr>
        <w:spacing w:line="42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在合同订立及履行过程中形成的与合同有关的文件均构成合同文件组成部分。</w:t>
      </w:r>
    </w:p>
    <w:p>
      <w:pPr>
        <w:spacing w:line="42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pStyle w:val="11"/>
        <w:numPr>
          <w:ilvl w:val="0"/>
          <w:numId w:val="0"/>
        </w:numPr>
        <w:spacing w:before="0" w:after="0" w:line="420" w:lineRule="exact"/>
        <w:ind w:left="0"/>
        <w:rPr>
          <w:rFonts w:hint="eastAsia" w:ascii="宋体" w:hAnsi="宋体" w:eastAsia="宋体" w:cs="宋体"/>
          <w:b w:val="0"/>
          <w:bCs w:val="0"/>
          <w:color w:val="auto"/>
          <w:sz w:val="21"/>
          <w:szCs w:val="21"/>
          <w:highlight w:val="none"/>
        </w:rPr>
      </w:pPr>
      <w:bookmarkStart w:id="1146" w:name="_Toc351203487"/>
      <w:bookmarkEnd w:id="1146"/>
      <w:r>
        <w:rPr>
          <w:rFonts w:hint="eastAsia" w:ascii="宋体" w:hAnsi="宋体" w:eastAsia="宋体" w:cs="宋体"/>
          <w:b w:val="0"/>
          <w:color w:val="auto"/>
          <w:sz w:val="21"/>
          <w:szCs w:val="21"/>
          <w:highlight w:val="none"/>
        </w:rPr>
        <w:t>七、承诺</w:t>
      </w:r>
    </w:p>
    <w:p>
      <w:pPr>
        <w:spacing w:line="420" w:lineRule="exact"/>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1.发包人承诺按照法律规定履行项目审批手续、筹集工程建设资金并按照合同约定的期限和方式支付合同价款。</w:t>
      </w:r>
    </w:p>
    <w:p>
      <w:pPr>
        <w:spacing w:line="420" w:lineRule="exact"/>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pPr>
        <w:spacing w:line="420" w:lineRule="exact"/>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3.发包人和承包人通过招投标形式签订合同的，双方理解并承诺不再就同一工程另行签订与合同实质性内容相背离的协议。</w:t>
      </w:r>
    </w:p>
    <w:p>
      <w:pPr>
        <w:spacing w:line="420" w:lineRule="exact"/>
        <w:rPr>
          <w:rFonts w:hint="eastAsia" w:ascii="宋体" w:hAnsi="宋体" w:eastAsia="宋体" w:cs="宋体"/>
          <w:bCs/>
          <w:color w:val="auto"/>
          <w:szCs w:val="21"/>
          <w:highlight w:val="none"/>
        </w:rPr>
      </w:pPr>
      <w:bookmarkStart w:id="1147" w:name="_Toc351203488"/>
      <w:bookmarkEnd w:id="1147"/>
      <w:r>
        <w:rPr>
          <w:rFonts w:hint="eastAsia" w:ascii="宋体" w:hAnsi="宋体" w:eastAsia="宋体" w:cs="宋体"/>
          <w:bCs/>
          <w:color w:val="auto"/>
          <w:szCs w:val="21"/>
          <w:highlight w:val="none"/>
        </w:rPr>
        <w:t>八、词语含义</w:t>
      </w:r>
    </w:p>
    <w:p>
      <w:pPr>
        <w:spacing w:line="420" w:lineRule="exact"/>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本协议书中词语含义与第二部分通用合同条款中赋予的含义相同。</w:t>
      </w:r>
    </w:p>
    <w:p>
      <w:pPr>
        <w:pStyle w:val="11"/>
        <w:numPr>
          <w:ilvl w:val="0"/>
          <w:numId w:val="0"/>
        </w:numPr>
        <w:spacing w:before="0" w:after="0" w:line="420" w:lineRule="exact"/>
        <w:ind w:left="0"/>
        <w:rPr>
          <w:rFonts w:hint="eastAsia" w:ascii="宋体" w:hAnsi="宋体" w:eastAsia="宋体" w:cs="宋体"/>
          <w:bCs w:val="0"/>
          <w:color w:val="auto"/>
          <w:sz w:val="21"/>
          <w:szCs w:val="21"/>
          <w:highlight w:val="none"/>
        </w:rPr>
      </w:pPr>
      <w:bookmarkStart w:id="1148" w:name="_Toc351203489"/>
      <w:bookmarkEnd w:id="1148"/>
      <w:r>
        <w:rPr>
          <w:rFonts w:hint="eastAsia" w:ascii="宋体" w:hAnsi="宋体" w:eastAsia="宋体" w:cs="宋体"/>
          <w:b w:val="0"/>
          <w:color w:val="auto"/>
          <w:sz w:val="21"/>
          <w:szCs w:val="21"/>
          <w:highlight w:val="none"/>
        </w:rPr>
        <w:t>九、签订时间</w:t>
      </w:r>
    </w:p>
    <w:p>
      <w:pPr>
        <w:spacing w:line="420" w:lineRule="exact"/>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本合同于</w:t>
      </w:r>
      <w:r>
        <w:rPr>
          <w:rFonts w:hint="eastAsia" w:ascii="宋体" w:hAnsi="宋体" w:eastAsia="宋体" w:cs="宋体"/>
          <w:bCs/>
          <w:color w:val="auto"/>
          <w:szCs w:val="21"/>
          <w:highlight w:val="none"/>
          <w:u w:val="single" w:color="auto"/>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color="auto"/>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color="auto"/>
        </w:rPr>
        <w:t xml:space="preserve">    </w:t>
      </w:r>
      <w:r>
        <w:rPr>
          <w:rFonts w:hint="eastAsia" w:ascii="宋体" w:hAnsi="宋体" w:eastAsia="宋体" w:cs="宋体"/>
          <w:bCs/>
          <w:color w:val="auto"/>
          <w:szCs w:val="21"/>
          <w:highlight w:val="none"/>
        </w:rPr>
        <w:t>日签订。</w:t>
      </w:r>
    </w:p>
    <w:p>
      <w:pPr>
        <w:spacing w:line="420" w:lineRule="exact"/>
        <w:rPr>
          <w:rFonts w:hint="eastAsia" w:ascii="宋体" w:hAnsi="宋体" w:eastAsia="宋体" w:cs="宋体"/>
          <w:color w:val="auto"/>
          <w:szCs w:val="21"/>
          <w:highlight w:val="none"/>
        </w:rPr>
      </w:pPr>
      <w:bookmarkStart w:id="1149" w:name="_Toc351203490"/>
      <w:bookmarkEnd w:id="1149"/>
      <w:r>
        <w:rPr>
          <w:rFonts w:hint="eastAsia" w:ascii="宋体" w:hAnsi="宋体" w:eastAsia="宋体" w:cs="宋体"/>
          <w:color w:val="auto"/>
          <w:szCs w:val="21"/>
          <w:highlight w:val="none"/>
        </w:rPr>
        <w:t>十、签订地点</w:t>
      </w:r>
    </w:p>
    <w:p>
      <w:pPr>
        <w:spacing w:line="420" w:lineRule="exact"/>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本合同在</w:t>
      </w:r>
      <w:r>
        <w:rPr>
          <w:rFonts w:hint="eastAsia" w:ascii="宋体" w:hAnsi="宋体" w:eastAsia="宋体" w:cs="宋体"/>
          <w:bCs/>
          <w:color w:val="auto"/>
          <w:szCs w:val="21"/>
          <w:highlight w:val="none"/>
          <w:u w:val="single" w:color="auto"/>
        </w:rPr>
        <w:t xml:space="preserve">                                    </w:t>
      </w:r>
      <w:r>
        <w:rPr>
          <w:rFonts w:hint="eastAsia" w:ascii="宋体" w:hAnsi="宋体" w:eastAsia="宋体" w:cs="宋体"/>
          <w:bCs/>
          <w:color w:val="auto"/>
          <w:szCs w:val="21"/>
          <w:highlight w:val="none"/>
        </w:rPr>
        <w:t>签订。</w:t>
      </w:r>
    </w:p>
    <w:p>
      <w:pPr>
        <w:pStyle w:val="11"/>
        <w:numPr>
          <w:ilvl w:val="0"/>
          <w:numId w:val="0"/>
        </w:numPr>
        <w:spacing w:before="0" w:after="0" w:line="420" w:lineRule="exact"/>
        <w:ind w:left="0"/>
        <w:rPr>
          <w:rFonts w:hint="eastAsia" w:ascii="宋体" w:hAnsi="宋体" w:eastAsia="宋体" w:cs="宋体"/>
          <w:bCs w:val="0"/>
          <w:color w:val="auto"/>
          <w:sz w:val="21"/>
          <w:szCs w:val="21"/>
          <w:highlight w:val="none"/>
        </w:rPr>
      </w:pPr>
      <w:bookmarkStart w:id="1150" w:name="_Toc351203491"/>
      <w:bookmarkEnd w:id="1150"/>
      <w:r>
        <w:rPr>
          <w:rFonts w:hint="eastAsia" w:ascii="宋体" w:hAnsi="宋体" w:eastAsia="宋体" w:cs="宋体"/>
          <w:b w:val="0"/>
          <w:color w:val="auto"/>
          <w:sz w:val="21"/>
          <w:szCs w:val="21"/>
          <w:highlight w:val="none"/>
        </w:rPr>
        <w:t>十一、补充协议</w:t>
      </w:r>
    </w:p>
    <w:p>
      <w:pPr>
        <w:spacing w:line="420" w:lineRule="exact"/>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合同未尽事宜，合同当事人另行签订补充协议，补充协议是合同的组成部分。</w:t>
      </w:r>
      <w:bookmarkStart w:id="1151" w:name="_Toc351203492"/>
      <w:bookmarkEnd w:id="1151"/>
    </w:p>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十二、合同生效</w:t>
      </w:r>
    </w:p>
    <w:p>
      <w:pPr>
        <w:spacing w:line="420" w:lineRule="exact"/>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本合同自</w:t>
      </w:r>
      <w:r>
        <w:rPr>
          <w:rFonts w:hint="eastAsia" w:ascii="宋体" w:hAnsi="宋体" w:eastAsia="宋体" w:cs="宋体"/>
          <w:bCs/>
          <w:color w:val="auto"/>
          <w:szCs w:val="21"/>
          <w:highlight w:val="none"/>
          <w:u w:val="single" w:color="auto"/>
        </w:rPr>
        <w:t xml:space="preserve">                                   </w:t>
      </w:r>
      <w:r>
        <w:rPr>
          <w:rFonts w:hint="eastAsia" w:ascii="宋体" w:hAnsi="宋体" w:eastAsia="宋体" w:cs="宋体"/>
          <w:bCs/>
          <w:color w:val="auto"/>
          <w:szCs w:val="21"/>
          <w:highlight w:val="none"/>
        </w:rPr>
        <w:t>生效。</w:t>
      </w:r>
    </w:p>
    <w:p>
      <w:pPr>
        <w:pStyle w:val="11"/>
        <w:numPr>
          <w:ilvl w:val="0"/>
          <w:numId w:val="0"/>
        </w:numPr>
        <w:spacing w:before="0" w:after="0" w:line="420" w:lineRule="exact"/>
        <w:ind w:left="0"/>
        <w:rPr>
          <w:rFonts w:hint="eastAsia" w:ascii="宋体" w:hAnsi="宋体" w:eastAsia="宋体" w:cs="宋体"/>
          <w:bCs w:val="0"/>
          <w:color w:val="auto"/>
          <w:sz w:val="21"/>
          <w:szCs w:val="21"/>
          <w:highlight w:val="none"/>
        </w:rPr>
      </w:pPr>
      <w:bookmarkStart w:id="1152" w:name="_Toc351203493"/>
      <w:bookmarkEnd w:id="1152"/>
      <w:r>
        <w:rPr>
          <w:rFonts w:hint="eastAsia" w:ascii="宋体" w:hAnsi="宋体" w:eastAsia="宋体" w:cs="宋体"/>
          <w:b w:val="0"/>
          <w:color w:val="auto"/>
          <w:sz w:val="21"/>
          <w:szCs w:val="21"/>
          <w:highlight w:val="none"/>
        </w:rPr>
        <w:t>十三、合同份数</w:t>
      </w:r>
    </w:p>
    <w:p>
      <w:pPr>
        <w:spacing w:line="420" w:lineRule="exact"/>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本合同一式</w:t>
      </w:r>
      <w:r>
        <w:rPr>
          <w:rFonts w:hint="eastAsia" w:ascii="宋体" w:hAnsi="宋体" w:eastAsia="宋体" w:cs="宋体"/>
          <w:bCs/>
          <w:color w:val="auto"/>
          <w:szCs w:val="21"/>
          <w:highlight w:val="none"/>
          <w:u w:val="single" w:color="auto"/>
        </w:rPr>
        <w:t xml:space="preserve">    </w:t>
      </w:r>
      <w:r>
        <w:rPr>
          <w:rFonts w:hint="eastAsia" w:ascii="宋体" w:hAnsi="宋体" w:eastAsia="宋体" w:cs="宋体"/>
          <w:bCs/>
          <w:color w:val="auto"/>
          <w:szCs w:val="21"/>
          <w:highlight w:val="none"/>
        </w:rPr>
        <w:t>份，均具有同等法律效力，发包人执</w:t>
      </w:r>
      <w:r>
        <w:rPr>
          <w:rFonts w:hint="eastAsia" w:ascii="宋体" w:hAnsi="宋体" w:eastAsia="宋体" w:cs="宋体"/>
          <w:bCs/>
          <w:color w:val="auto"/>
          <w:szCs w:val="21"/>
          <w:highlight w:val="none"/>
          <w:u w:val="single" w:color="auto"/>
        </w:rPr>
        <w:t xml:space="preserve">    </w:t>
      </w:r>
      <w:r>
        <w:rPr>
          <w:rFonts w:hint="eastAsia" w:ascii="宋体" w:hAnsi="宋体" w:eastAsia="宋体" w:cs="宋体"/>
          <w:bCs/>
          <w:color w:val="auto"/>
          <w:szCs w:val="21"/>
          <w:highlight w:val="none"/>
        </w:rPr>
        <w:t>份，承包人执</w:t>
      </w:r>
      <w:r>
        <w:rPr>
          <w:rFonts w:hint="eastAsia" w:ascii="宋体" w:hAnsi="宋体" w:eastAsia="宋体" w:cs="宋体"/>
          <w:bCs/>
          <w:color w:val="auto"/>
          <w:szCs w:val="21"/>
          <w:highlight w:val="none"/>
          <w:u w:val="single" w:color="auto"/>
        </w:rPr>
        <w:t xml:space="preserve">    </w:t>
      </w:r>
      <w:r>
        <w:rPr>
          <w:rFonts w:hint="eastAsia" w:ascii="宋体" w:hAnsi="宋体" w:eastAsia="宋体" w:cs="宋体"/>
          <w:bCs/>
          <w:color w:val="auto"/>
          <w:szCs w:val="21"/>
          <w:highlight w:val="none"/>
        </w:rPr>
        <w:t>份。</w:t>
      </w:r>
    </w:p>
    <w:p>
      <w:pPr>
        <w:spacing w:line="420" w:lineRule="exact"/>
        <w:rPr>
          <w:rFonts w:hint="eastAsia" w:ascii="宋体" w:hAnsi="宋体" w:eastAsia="宋体" w:cs="宋体"/>
          <w:color w:val="auto"/>
          <w:szCs w:val="21"/>
          <w:highlight w:val="none"/>
        </w:rPr>
      </w:pP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  (公章)             承包人：  (公章)</w:t>
      </w:r>
    </w:p>
    <w:p>
      <w:pPr>
        <w:spacing w:line="420" w:lineRule="exact"/>
        <w:rPr>
          <w:rFonts w:hint="eastAsia" w:ascii="宋体" w:hAnsi="宋体" w:eastAsia="宋体" w:cs="宋体"/>
          <w:color w:val="auto"/>
          <w:szCs w:val="21"/>
          <w:highlight w:val="none"/>
          <w:u w:val="single" w:color="auto"/>
        </w:rPr>
      </w:pPr>
      <w:r>
        <w:rPr>
          <w:rFonts w:hint="eastAsia" w:ascii="宋体" w:hAnsi="宋体" w:eastAsia="宋体" w:cs="宋体"/>
          <w:color w:val="auto"/>
          <w:szCs w:val="21"/>
          <w:highlight w:val="none"/>
        </w:rPr>
        <w:t xml:space="preserve">                                 </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                    （签字）</w:t>
      </w:r>
    </w:p>
    <w:p>
      <w:pPr>
        <w:spacing w:line="420" w:lineRule="exact"/>
        <w:rPr>
          <w:rFonts w:hint="eastAsia" w:ascii="宋体" w:hAnsi="宋体" w:eastAsia="宋体" w:cs="宋体"/>
          <w:color w:val="auto"/>
          <w:szCs w:val="21"/>
          <w:highlight w:val="none"/>
          <w:u w:val="single" w:color="auto"/>
        </w:rPr>
      </w:pPr>
    </w:p>
    <w:p>
      <w:pPr>
        <w:tabs>
          <w:tab w:val="left" w:pos="4410"/>
        </w:tabs>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组织机构代码：</w:t>
      </w:r>
      <w:r>
        <w:rPr>
          <w:rFonts w:hint="eastAsia" w:ascii="宋体" w:hAnsi="宋体" w:eastAsia="宋体" w:cs="宋体"/>
          <w:color w:val="auto"/>
          <w:szCs w:val="21"/>
          <w:highlight w:val="none"/>
          <w:u w:val="single" w:color="auto"/>
        </w:rPr>
        <w:t xml:space="preserve">       </w:t>
      </w:r>
      <w:r>
        <w:rPr>
          <w:rFonts w:hint="eastAsia" w:ascii="宋体" w:hAnsi="宋体" w:eastAsia="宋体" w:cs="宋体"/>
          <w:color w:val="auto"/>
          <w:szCs w:val="21"/>
          <w:highlight w:val="none"/>
        </w:rPr>
        <w:t xml:space="preserve">  组织机构代码：</w:t>
      </w:r>
      <w:r>
        <w:rPr>
          <w:rFonts w:hint="eastAsia" w:ascii="宋体" w:hAnsi="宋体" w:eastAsia="宋体" w:cs="宋体"/>
          <w:color w:val="auto"/>
          <w:szCs w:val="21"/>
          <w:highlight w:val="none"/>
          <w:u w:val="single" w:color="auto"/>
        </w:rPr>
        <w:t xml:space="preserve">          </w:t>
      </w:r>
      <w:r>
        <w:rPr>
          <w:rFonts w:hint="eastAsia" w:ascii="宋体" w:hAnsi="宋体" w:eastAsia="宋体" w:cs="宋体"/>
          <w:color w:val="auto"/>
          <w:szCs w:val="21"/>
          <w:highlight w:val="none"/>
        </w:rPr>
        <w:t xml:space="preserve"> </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color="auto"/>
        </w:rPr>
        <w:t xml:space="preserve">     </w:t>
      </w:r>
      <w:r>
        <w:rPr>
          <w:rFonts w:hint="eastAsia" w:ascii="宋体" w:hAnsi="宋体" w:eastAsia="宋体" w:cs="宋体"/>
          <w:color w:val="auto"/>
          <w:szCs w:val="21"/>
          <w:highlight w:val="none"/>
        </w:rPr>
        <w:t xml:space="preserve">  地  址：</w:t>
      </w:r>
      <w:r>
        <w:rPr>
          <w:rFonts w:hint="eastAsia" w:ascii="宋体" w:hAnsi="宋体" w:eastAsia="宋体" w:cs="宋体"/>
          <w:color w:val="auto"/>
          <w:szCs w:val="21"/>
          <w:highlight w:val="none"/>
          <w:u w:val="single" w:color="auto"/>
        </w:rPr>
        <w:t xml:space="preserve">        </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color="auto"/>
        </w:rPr>
        <w:t xml:space="preserve">  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color="auto"/>
        </w:rPr>
        <w:t xml:space="preserve">   </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color="auto"/>
        </w:rPr>
        <w:t xml:space="preserve">           </w:t>
      </w:r>
      <w:r>
        <w:rPr>
          <w:rFonts w:hint="eastAsia" w:ascii="宋体" w:hAnsi="宋体" w:eastAsia="宋体" w:cs="宋体"/>
          <w:color w:val="auto"/>
          <w:szCs w:val="21"/>
          <w:highlight w:val="none"/>
        </w:rPr>
        <w:t xml:space="preserve">  法定代表人：</w:t>
      </w:r>
      <w:r>
        <w:rPr>
          <w:rFonts w:hint="eastAsia" w:ascii="宋体" w:hAnsi="宋体" w:eastAsia="宋体" w:cs="宋体"/>
          <w:color w:val="auto"/>
          <w:szCs w:val="21"/>
          <w:highlight w:val="none"/>
          <w:u w:val="single" w:color="auto"/>
        </w:rPr>
        <w:t xml:space="preserve">             </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color="auto"/>
        </w:rPr>
        <w:t xml:space="preserve">           </w:t>
      </w:r>
      <w:r>
        <w:rPr>
          <w:rFonts w:hint="eastAsia" w:ascii="宋体" w:hAnsi="宋体" w:eastAsia="宋体" w:cs="宋体"/>
          <w:color w:val="auto"/>
          <w:szCs w:val="21"/>
          <w:highlight w:val="none"/>
        </w:rPr>
        <w:t xml:space="preserve">  委托代理人：</w:t>
      </w:r>
      <w:r>
        <w:rPr>
          <w:rFonts w:hint="eastAsia" w:ascii="宋体" w:hAnsi="宋体" w:eastAsia="宋体" w:cs="宋体"/>
          <w:color w:val="auto"/>
          <w:szCs w:val="21"/>
          <w:highlight w:val="none"/>
          <w:u w:val="single" w:color="auto"/>
        </w:rPr>
        <w:t xml:space="preserve">             </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color="auto"/>
        </w:rPr>
        <w:t xml:space="preserve">   </w:t>
      </w:r>
      <w:r>
        <w:rPr>
          <w:rFonts w:hint="eastAsia" w:ascii="宋体" w:hAnsi="宋体" w:eastAsia="宋体" w:cs="宋体"/>
          <w:color w:val="auto"/>
          <w:szCs w:val="21"/>
          <w:highlight w:val="none"/>
        </w:rPr>
        <w:t xml:space="preserve">  电  话：</w:t>
      </w:r>
      <w:r>
        <w:rPr>
          <w:rFonts w:hint="eastAsia" w:ascii="宋体" w:hAnsi="宋体" w:eastAsia="宋体" w:cs="宋体"/>
          <w:color w:val="auto"/>
          <w:szCs w:val="21"/>
          <w:highlight w:val="none"/>
          <w:u w:val="single" w:color="auto"/>
        </w:rPr>
        <w:t xml:space="preserve">     </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color="auto"/>
        </w:rPr>
        <w:t xml:space="preserve">   </w:t>
      </w:r>
      <w:r>
        <w:rPr>
          <w:rFonts w:hint="eastAsia" w:ascii="宋体" w:hAnsi="宋体" w:eastAsia="宋体" w:cs="宋体"/>
          <w:color w:val="auto"/>
          <w:szCs w:val="21"/>
          <w:highlight w:val="none"/>
        </w:rPr>
        <w:t xml:space="preserve">  传  真：</w:t>
      </w:r>
      <w:r>
        <w:rPr>
          <w:rFonts w:hint="eastAsia" w:ascii="宋体" w:hAnsi="宋体" w:eastAsia="宋体" w:cs="宋体"/>
          <w:color w:val="auto"/>
          <w:szCs w:val="21"/>
          <w:highlight w:val="none"/>
          <w:u w:val="single" w:color="auto"/>
        </w:rPr>
        <w:t xml:space="preserve">     </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color="auto"/>
        </w:rPr>
        <w:t xml:space="preserve">                 </w:t>
      </w:r>
      <w:r>
        <w:rPr>
          <w:rFonts w:hint="eastAsia" w:ascii="宋体" w:hAnsi="宋体" w:eastAsia="宋体" w:cs="宋体"/>
          <w:color w:val="auto"/>
          <w:szCs w:val="21"/>
          <w:highlight w:val="none"/>
        </w:rPr>
        <w:t xml:space="preserve">  电子信箱：</w:t>
      </w:r>
      <w:r>
        <w:rPr>
          <w:rFonts w:hint="eastAsia" w:ascii="宋体" w:hAnsi="宋体" w:eastAsia="宋体" w:cs="宋体"/>
          <w:color w:val="auto"/>
          <w:szCs w:val="21"/>
          <w:highlight w:val="none"/>
          <w:u w:val="single" w:color="auto"/>
        </w:rPr>
        <w:t xml:space="preserve">   </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color="auto"/>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color="auto"/>
        </w:rPr>
        <w:t xml:space="preserve">   </w:t>
      </w:r>
    </w:p>
    <w:p>
      <w:pPr>
        <w:spacing w:line="4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r>
        <w:rPr>
          <w:rFonts w:hint="eastAsia" w:ascii="宋体" w:hAnsi="宋体" w:eastAsia="宋体" w:cs="宋体"/>
          <w:color w:val="auto"/>
          <w:szCs w:val="21"/>
          <w:highlight w:val="none"/>
          <w:u w:val="single" w:color="auto"/>
        </w:rPr>
        <w:t xml:space="preserve">       </w:t>
      </w:r>
      <w:r>
        <w:rPr>
          <w:rFonts w:hint="eastAsia" w:ascii="宋体" w:hAnsi="宋体" w:eastAsia="宋体" w:cs="宋体"/>
          <w:color w:val="auto"/>
          <w:szCs w:val="21"/>
          <w:highlight w:val="none"/>
        </w:rPr>
        <w:t xml:space="preserve">   账  号：</w:t>
      </w:r>
      <w:r>
        <w:rPr>
          <w:rFonts w:hint="eastAsia" w:ascii="宋体" w:hAnsi="宋体" w:eastAsia="宋体" w:cs="宋体"/>
          <w:color w:val="auto"/>
          <w:szCs w:val="21"/>
          <w:highlight w:val="none"/>
          <w:u w:val="single" w:color="auto"/>
        </w:rPr>
        <w:t xml:space="preserve">     </w:t>
      </w:r>
    </w:p>
    <w:p>
      <w:pPr>
        <w:pStyle w:val="9"/>
        <w:numPr>
          <w:ilvl w:val="0"/>
          <w:numId w:val="0"/>
        </w:numPr>
        <w:tabs>
          <w:tab w:val="left" w:pos="945"/>
          <w:tab w:val="left" w:pos="1155"/>
        </w:tabs>
        <w:outlineLvl w:val="9"/>
        <w:rPr>
          <w:rFonts w:hint="eastAsia" w:ascii="宋体" w:hAnsi="宋体" w:eastAsia="宋体" w:cs="宋体"/>
          <w:b/>
          <w:bCs/>
          <w:color w:val="auto"/>
          <w:sz w:val="21"/>
          <w:szCs w:val="21"/>
          <w:highlight w:val="none"/>
        </w:rPr>
      </w:pPr>
    </w:p>
    <w:p>
      <w:pPr>
        <w:pStyle w:val="9"/>
        <w:numPr>
          <w:ilvl w:val="0"/>
          <w:numId w:val="0"/>
        </w:numPr>
        <w:tabs>
          <w:tab w:val="left" w:pos="945"/>
          <w:tab w:val="left" w:pos="1155"/>
        </w:tabs>
        <w:outlineLvl w:val="9"/>
        <w:rPr>
          <w:rFonts w:hint="eastAsia" w:ascii="宋体" w:hAnsi="宋体" w:eastAsia="宋体" w:cs="宋体"/>
          <w:b/>
          <w:bCs/>
          <w:color w:val="auto"/>
          <w:sz w:val="21"/>
          <w:szCs w:val="21"/>
          <w:highlight w:val="none"/>
        </w:rPr>
      </w:pPr>
    </w:p>
    <w:p>
      <w:pPr>
        <w:rPr>
          <w:rFonts w:hint="eastAsia" w:ascii="宋体" w:hAnsi="宋体" w:eastAsia="宋体" w:cs="宋体"/>
          <w:color w:val="auto"/>
          <w:highlight w:val="none"/>
        </w:rPr>
        <w:sectPr>
          <w:footerReference r:id="rId8" w:type="default"/>
          <w:footnotePr>
            <w:numFmt w:val="decimal"/>
          </w:footnotePr>
          <w:endnotePr>
            <w:numFmt w:val="decimal"/>
          </w:endnotePr>
          <w:pgSz w:w="11905" w:h="16838"/>
          <w:pgMar w:top="1440" w:right="1803" w:bottom="1440" w:left="1803" w:header="737" w:footer="964" w:gutter="0"/>
          <w:pgNumType w:fmt="decimal"/>
          <w:cols w:space="720" w:num="1"/>
        </w:sectPr>
      </w:pPr>
    </w:p>
    <w:p>
      <w:pPr>
        <w:pStyle w:val="9"/>
        <w:numPr>
          <w:ilvl w:val="0"/>
          <w:numId w:val="0"/>
        </w:numPr>
        <w:ind w:left="0"/>
        <w:jc w:val="center"/>
        <w:rPr>
          <w:rFonts w:hint="eastAsia" w:ascii="宋体" w:hAnsi="宋体" w:eastAsia="宋体" w:cs="宋体"/>
          <w:color w:val="auto"/>
          <w:sz w:val="21"/>
          <w:szCs w:val="21"/>
          <w:highlight w:val="none"/>
        </w:rPr>
      </w:pPr>
      <w:bookmarkStart w:id="1153" w:name="_Toc9894"/>
      <w:bookmarkEnd w:id="1153"/>
      <w:bookmarkStart w:id="1154" w:name="_Toc3966"/>
      <w:bookmarkEnd w:id="1154"/>
      <w:bookmarkStart w:id="1155" w:name="_Toc24889"/>
      <w:r>
        <w:rPr>
          <w:rFonts w:hint="eastAsia" w:ascii="宋体" w:hAnsi="宋体" w:eastAsia="宋体" w:cs="宋体"/>
          <w:color w:val="auto"/>
          <w:sz w:val="21"/>
          <w:szCs w:val="21"/>
          <w:highlight w:val="none"/>
        </w:rPr>
        <w:t>第二节 通用合同条款</w:t>
      </w:r>
      <w:bookmarkEnd w:id="1155"/>
    </w:p>
    <w:p>
      <w:pPr>
        <w:spacing w:line="440" w:lineRule="exact"/>
        <w:ind w:firstLine="84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采用（GF—2017—0201）标准合同文件中通用合同条款（此处略）。</w:t>
      </w:r>
    </w:p>
    <w:p>
      <w:pPr>
        <w:pStyle w:val="10"/>
        <w:numPr>
          <w:ilvl w:val="0"/>
          <w:numId w:val="0"/>
        </w:numPr>
        <w:spacing w:before="0" w:after="0" w:line="420" w:lineRule="exact"/>
        <w:ind w:left="0"/>
        <w:outlineLvl w:val="9"/>
        <w:rPr>
          <w:rFonts w:hint="eastAsia" w:ascii="宋体" w:hAnsi="宋体" w:eastAsia="宋体" w:cs="宋体"/>
          <w:color w:val="auto"/>
          <w:sz w:val="21"/>
          <w:szCs w:val="21"/>
          <w:highlight w:val="none"/>
        </w:rPr>
      </w:pPr>
      <w:bookmarkStart w:id="1156" w:name="_Toc14756"/>
      <w:bookmarkEnd w:id="1156"/>
    </w:p>
    <w:p>
      <w:pPr>
        <w:pStyle w:val="10"/>
        <w:numPr>
          <w:ilvl w:val="0"/>
          <w:numId w:val="0"/>
        </w:numPr>
        <w:spacing w:before="0" w:after="0" w:line="420" w:lineRule="exact"/>
        <w:ind w:left="0"/>
        <w:jc w:val="center"/>
        <w:outlineLvl w:val="9"/>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9"/>
        <w:numPr>
          <w:ilvl w:val="0"/>
          <w:numId w:val="0"/>
        </w:numPr>
        <w:spacing w:before="0" w:after="0" w:line="420" w:lineRule="exact"/>
        <w:ind w:left="0"/>
        <w:jc w:val="center"/>
        <w:outlineLvl w:val="9"/>
        <w:rPr>
          <w:rFonts w:hint="eastAsia" w:ascii="宋体" w:hAnsi="宋体" w:eastAsia="宋体" w:cs="宋体"/>
          <w:color w:val="auto"/>
          <w:sz w:val="21"/>
          <w:szCs w:val="21"/>
          <w:highlight w:val="none"/>
        </w:rPr>
      </w:pPr>
      <w:bookmarkStart w:id="1157" w:name="_Toc11876"/>
      <w:bookmarkEnd w:id="1157"/>
    </w:p>
    <w:p>
      <w:pPr>
        <w:pStyle w:val="9"/>
        <w:numPr>
          <w:ilvl w:val="0"/>
          <w:numId w:val="0"/>
        </w:numPr>
        <w:spacing w:before="0" w:after="0" w:line="420" w:lineRule="exact"/>
        <w:ind w:left="0"/>
        <w:jc w:val="center"/>
        <w:outlineLvl w:val="9"/>
        <w:rPr>
          <w:rFonts w:hint="eastAsia" w:ascii="宋体" w:hAnsi="宋体" w:eastAsia="宋体" w:cs="宋体"/>
          <w:color w:val="auto"/>
          <w:sz w:val="21"/>
          <w:szCs w:val="21"/>
          <w:highlight w:val="none"/>
        </w:rPr>
      </w:pPr>
    </w:p>
    <w:p>
      <w:pPr>
        <w:pStyle w:val="9"/>
        <w:numPr>
          <w:ilvl w:val="0"/>
          <w:numId w:val="0"/>
        </w:numPr>
        <w:spacing w:before="0" w:after="0" w:line="420" w:lineRule="exact"/>
        <w:ind w:left="0"/>
        <w:jc w:val="center"/>
        <w:outlineLvl w:val="9"/>
        <w:rPr>
          <w:rFonts w:hint="eastAsia" w:ascii="宋体" w:hAnsi="宋体" w:eastAsia="宋体" w:cs="宋体"/>
          <w:color w:val="auto"/>
          <w:sz w:val="21"/>
          <w:szCs w:val="21"/>
          <w:highlight w:val="none"/>
        </w:rPr>
      </w:pPr>
    </w:p>
    <w:p>
      <w:pPr>
        <w:pStyle w:val="9"/>
        <w:numPr>
          <w:ilvl w:val="0"/>
          <w:numId w:val="0"/>
        </w:numPr>
        <w:spacing w:before="0" w:after="0" w:line="420" w:lineRule="exact"/>
        <w:ind w:left="0"/>
        <w:jc w:val="center"/>
        <w:outlineLvl w:val="9"/>
        <w:rPr>
          <w:rFonts w:hint="eastAsia" w:ascii="宋体" w:hAnsi="宋体" w:eastAsia="宋体" w:cs="宋体"/>
          <w:color w:val="auto"/>
          <w:sz w:val="21"/>
          <w:szCs w:val="21"/>
          <w:highlight w:val="none"/>
        </w:rPr>
      </w:pPr>
    </w:p>
    <w:p>
      <w:pPr>
        <w:pStyle w:val="9"/>
        <w:numPr>
          <w:ilvl w:val="0"/>
          <w:numId w:val="0"/>
        </w:numPr>
        <w:spacing w:before="0" w:after="0" w:line="420" w:lineRule="exact"/>
        <w:ind w:left="0"/>
        <w:jc w:val="center"/>
        <w:rPr>
          <w:rFonts w:hint="eastAsia" w:ascii="宋体" w:hAnsi="宋体" w:eastAsia="宋体" w:cs="宋体"/>
          <w:color w:val="auto"/>
          <w:sz w:val="21"/>
          <w:szCs w:val="21"/>
          <w:highlight w:val="none"/>
        </w:rPr>
      </w:pPr>
      <w:bookmarkStart w:id="1158" w:name="_Toc130"/>
      <w:bookmarkEnd w:id="1158"/>
      <w:bookmarkStart w:id="1159" w:name="_Toc18596"/>
      <w:bookmarkEnd w:id="1159"/>
      <w:bookmarkStart w:id="1160" w:name="_Toc12701"/>
      <w:r>
        <w:rPr>
          <w:rFonts w:hint="eastAsia" w:ascii="宋体" w:hAnsi="宋体" w:eastAsia="宋体" w:cs="宋体"/>
          <w:color w:val="auto"/>
          <w:sz w:val="21"/>
          <w:szCs w:val="21"/>
          <w:highlight w:val="none"/>
        </w:rPr>
        <w:t>第三部分 专用合同条款</w:t>
      </w:r>
      <w:bookmarkEnd w:id="1160"/>
    </w:p>
    <w:p>
      <w:pPr>
        <w:spacing w:line="440" w:lineRule="exact"/>
        <w:ind w:firstLine="84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采用（GF—2017—0201）标准合同文件中通用合同条款（此处略）。</w:t>
      </w:r>
    </w:p>
    <w:p>
      <w:pPr>
        <w:pStyle w:val="8"/>
        <w:numPr>
          <w:ilvl w:val="0"/>
          <w:numId w:val="0"/>
        </w:numPr>
        <w:spacing w:before="120" w:after="120" w:line="400" w:lineRule="exact"/>
        <w:ind w:left="0"/>
        <w:jc w:val="center"/>
        <w:outlineLvl w:val="9"/>
        <w:rPr>
          <w:rFonts w:hint="eastAsia" w:ascii="宋体" w:hAnsi="宋体" w:eastAsia="宋体" w:cs="宋体"/>
          <w:color w:val="auto"/>
          <w:sz w:val="28"/>
          <w:szCs w:val="28"/>
          <w:highlight w:val="none"/>
        </w:rPr>
      </w:pPr>
    </w:p>
    <w:p>
      <w:pPr>
        <w:pStyle w:val="8"/>
        <w:numPr>
          <w:ilvl w:val="0"/>
          <w:numId w:val="0"/>
        </w:numPr>
        <w:spacing w:before="120" w:after="120" w:line="400" w:lineRule="exact"/>
        <w:ind w:left="0"/>
        <w:jc w:val="center"/>
        <w:outlineLvl w:val="9"/>
        <w:rPr>
          <w:rFonts w:hint="eastAsia" w:ascii="宋体" w:hAnsi="宋体" w:eastAsia="宋体" w:cs="宋体"/>
          <w:color w:val="auto"/>
          <w:sz w:val="28"/>
          <w:szCs w:val="28"/>
          <w:highlight w:val="none"/>
        </w:rPr>
      </w:pPr>
    </w:p>
    <w:p>
      <w:pPr>
        <w:pStyle w:val="8"/>
        <w:numPr>
          <w:ilvl w:val="0"/>
          <w:numId w:val="0"/>
        </w:numPr>
        <w:spacing w:before="120" w:after="120" w:line="400" w:lineRule="exact"/>
        <w:ind w:left="0"/>
        <w:jc w:val="center"/>
        <w:outlineLvl w:val="9"/>
        <w:rPr>
          <w:rFonts w:hint="eastAsia" w:ascii="宋体" w:hAnsi="宋体" w:eastAsia="宋体" w:cs="宋体"/>
          <w:color w:val="auto"/>
          <w:sz w:val="28"/>
          <w:szCs w:val="28"/>
          <w:highlight w:val="none"/>
        </w:rPr>
      </w:pPr>
    </w:p>
    <w:p>
      <w:pPr>
        <w:pStyle w:val="8"/>
        <w:numPr>
          <w:ilvl w:val="0"/>
          <w:numId w:val="0"/>
        </w:numPr>
        <w:spacing w:before="120" w:after="120" w:line="400" w:lineRule="exact"/>
        <w:ind w:left="0"/>
        <w:jc w:val="center"/>
        <w:outlineLvl w:val="9"/>
        <w:rPr>
          <w:rFonts w:hint="eastAsia" w:ascii="宋体" w:hAnsi="宋体" w:eastAsia="宋体" w:cs="宋体"/>
          <w:color w:val="auto"/>
          <w:sz w:val="28"/>
          <w:szCs w:val="28"/>
          <w:highlight w:val="none"/>
        </w:rPr>
      </w:pPr>
    </w:p>
    <w:p>
      <w:pPr>
        <w:pStyle w:val="8"/>
        <w:numPr>
          <w:ilvl w:val="0"/>
          <w:numId w:val="0"/>
        </w:numPr>
        <w:spacing w:before="120" w:after="120" w:line="400" w:lineRule="exact"/>
        <w:ind w:left="0"/>
        <w:jc w:val="center"/>
        <w:outlineLvl w:val="9"/>
        <w:rPr>
          <w:rFonts w:hint="eastAsia" w:ascii="宋体" w:hAnsi="宋体" w:eastAsia="宋体" w:cs="宋体"/>
          <w:color w:val="auto"/>
          <w:sz w:val="28"/>
          <w:szCs w:val="28"/>
          <w:highlight w:val="none"/>
        </w:rPr>
      </w:pPr>
    </w:p>
    <w:p>
      <w:pPr>
        <w:pStyle w:val="9"/>
        <w:numPr>
          <w:ilvl w:val="1"/>
          <w:numId w:val="0"/>
        </w:numPr>
        <w:ind w:leftChars="0"/>
        <w:outlineLvl w:val="9"/>
        <w:rPr>
          <w:rFonts w:hint="eastAsia" w:ascii="宋体" w:hAnsi="宋体" w:eastAsia="宋体" w:cs="宋体"/>
          <w:color w:val="auto"/>
          <w:szCs w:val="28"/>
          <w:highlight w:val="none"/>
        </w:rPr>
      </w:pPr>
    </w:p>
    <w:p>
      <w:pPr>
        <w:pStyle w:val="9"/>
        <w:numPr>
          <w:ilvl w:val="0"/>
          <w:numId w:val="0"/>
        </w:numPr>
        <w:tabs>
          <w:tab w:val="left" w:pos="945"/>
          <w:tab w:val="left" w:pos="1155"/>
        </w:tabs>
        <w:rPr>
          <w:rFonts w:hint="eastAsia" w:ascii="宋体" w:hAnsi="宋体" w:eastAsia="宋体" w:cs="宋体"/>
          <w:b/>
          <w:bCs/>
          <w:color w:val="auto"/>
          <w:sz w:val="21"/>
          <w:szCs w:val="21"/>
          <w:highlight w:val="none"/>
        </w:rPr>
      </w:pPr>
      <w:bookmarkStart w:id="1161" w:name="_Toc6715"/>
      <w:r>
        <w:rPr>
          <w:rFonts w:hint="eastAsia" w:ascii="宋体" w:hAnsi="宋体" w:eastAsia="宋体" w:cs="宋体"/>
          <w:b/>
          <w:bCs/>
          <w:color w:val="auto"/>
          <w:sz w:val="21"/>
          <w:szCs w:val="21"/>
          <w:highlight w:val="none"/>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bookmarkEnd w:id="1161"/>
    </w:p>
    <w:p>
      <w:pPr>
        <w:rPr>
          <w:rFonts w:hint="eastAsia" w:ascii="宋体" w:hAnsi="宋体" w:eastAsia="宋体" w:cs="宋体"/>
          <w:b/>
          <w:bCs/>
          <w:color w:val="auto"/>
          <w:szCs w:val="21"/>
          <w:highlight w:val="none"/>
        </w:rPr>
      </w:pPr>
    </w:p>
    <w:p>
      <w:pPr>
        <w:bidi w:val="0"/>
        <w:rPr>
          <w:rFonts w:hint="eastAsia" w:ascii="宋体" w:hAnsi="宋体" w:eastAsia="宋体" w:cs="宋体"/>
          <w:color w:val="auto"/>
          <w:highlight w:val="none"/>
        </w:rPr>
      </w:pPr>
      <w:bookmarkStart w:id="1162" w:name="_Toc17013"/>
      <w:bookmarkEnd w:id="1162"/>
      <w:bookmarkStart w:id="1163" w:name="_Toc4706"/>
      <w:bookmarkEnd w:id="1163"/>
    </w:p>
    <w:p>
      <w:pPr>
        <w:pStyle w:val="8"/>
        <w:numPr>
          <w:ilvl w:val="0"/>
          <w:numId w:val="0"/>
        </w:numPr>
        <w:spacing w:before="120" w:after="120" w:line="400" w:lineRule="exact"/>
        <w:ind w:left="0"/>
        <w:jc w:val="both"/>
        <w:outlineLvl w:val="9"/>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pStyle w:val="8"/>
        <w:numPr>
          <w:ilvl w:val="0"/>
          <w:numId w:val="0"/>
        </w:numPr>
        <w:spacing w:before="120" w:after="120" w:line="400" w:lineRule="exact"/>
        <w:ind w:left="0"/>
        <w:jc w:val="center"/>
        <w:rPr>
          <w:rFonts w:hint="eastAsia" w:ascii="宋体" w:hAnsi="宋体" w:eastAsia="宋体" w:cs="宋体"/>
          <w:b/>
          <w:bCs/>
          <w:color w:val="auto"/>
          <w:sz w:val="28"/>
          <w:szCs w:val="28"/>
          <w:highlight w:val="none"/>
        </w:rPr>
      </w:pPr>
      <w:bookmarkStart w:id="1164" w:name="_Toc32176"/>
      <w:r>
        <w:rPr>
          <w:rFonts w:hint="eastAsia" w:ascii="宋体" w:hAnsi="宋体" w:eastAsia="宋体" w:cs="宋体"/>
          <w:b/>
          <w:bCs/>
          <w:color w:val="auto"/>
          <w:sz w:val="28"/>
          <w:szCs w:val="28"/>
          <w:highlight w:val="none"/>
        </w:rPr>
        <w:t>第五章   工程量清单</w:t>
      </w:r>
      <w:bookmarkEnd w:id="1164"/>
    </w:p>
    <w:p>
      <w:pPr>
        <w:rPr>
          <w:rFonts w:hint="eastAsia" w:ascii="宋体" w:hAnsi="宋体" w:eastAsia="宋体" w:cs="宋体"/>
          <w:color w:val="auto"/>
          <w:highlight w:val="none"/>
        </w:rPr>
      </w:pPr>
    </w:p>
    <w:p>
      <w:pPr>
        <w:jc w:val="center"/>
        <w:rPr>
          <w:rFonts w:hint="eastAsia" w:ascii="宋体" w:hAnsi="宋体" w:eastAsia="宋体" w:cs="宋体"/>
          <w:bCs w:val="0"/>
          <w:color w:val="auto"/>
          <w:sz w:val="28"/>
          <w:szCs w:val="28"/>
          <w:highlight w:val="none"/>
        </w:rPr>
      </w:pPr>
      <w:bookmarkStart w:id="1165" w:name="_Toc15188"/>
      <w:r>
        <w:rPr>
          <w:rFonts w:hint="eastAsia" w:ascii="宋体" w:hAnsi="宋体" w:cs="宋体"/>
          <w:bCs w:val="0"/>
          <w:color w:val="auto"/>
          <w:sz w:val="28"/>
          <w:szCs w:val="28"/>
          <w:highlight w:val="none"/>
          <w:lang w:eastAsia="zh-CN"/>
        </w:rPr>
        <w:t>（</w:t>
      </w:r>
      <w:r>
        <w:rPr>
          <w:rFonts w:hint="eastAsia" w:ascii="宋体" w:hAnsi="宋体" w:cs="宋体"/>
          <w:bCs w:val="0"/>
          <w:color w:val="auto"/>
          <w:sz w:val="28"/>
          <w:szCs w:val="28"/>
          <w:highlight w:val="none"/>
          <w:lang w:val="en-US" w:eastAsia="zh-CN"/>
        </w:rPr>
        <w:t>另附</w:t>
      </w:r>
      <w:r>
        <w:rPr>
          <w:rFonts w:hint="eastAsia" w:ascii="宋体" w:hAnsi="宋体" w:cs="宋体"/>
          <w:bCs w:val="0"/>
          <w:color w:val="auto"/>
          <w:sz w:val="28"/>
          <w:szCs w:val="28"/>
          <w:highlight w:val="none"/>
          <w:lang w:eastAsia="zh-CN"/>
        </w:rPr>
        <w:t>）</w:t>
      </w:r>
    </w:p>
    <w:p>
      <w:pPr>
        <w:pStyle w:val="8"/>
        <w:numPr>
          <w:ilvl w:val="0"/>
          <w:numId w:val="0"/>
        </w:numPr>
        <w:spacing w:before="120" w:after="120" w:line="400" w:lineRule="exact"/>
        <w:ind w:left="0"/>
        <w:jc w:val="center"/>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br w:type="page"/>
      </w:r>
    </w:p>
    <w:p>
      <w:pPr>
        <w:pStyle w:val="8"/>
        <w:numPr>
          <w:ilvl w:val="0"/>
          <w:numId w:val="0"/>
        </w:numPr>
        <w:spacing w:before="120" w:after="120" w:line="400" w:lineRule="exact"/>
        <w:ind w:left="0"/>
        <w:jc w:val="center"/>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第六章  竞争性磋商响应文件格式</w:t>
      </w:r>
      <w:bookmarkEnd w:id="1165"/>
    </w:p>
    <w:p>
      <w:pPr>
        <w:spacing w:line="400" w:lineRule="exact"/>
        <w:rPr>
          <w:rFonts w:hint="eastAsia" w:ascii="宋体" w:hAnsi="宋体" w:eastAsia="宋体" w:cs="宋体"/>
          <w:color w:val="auto"/>
          <w:highlight w:val="none"/>
        </w:rPr>
      </w:pPr>
    </w:p>
    <w:p>
      <w:pPr>
        <w:spacing w:line="440" w:lineRule="exact"/>
        <w:jc w:val="righ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p>
    <w:p>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u w:val="single" w:color="auto"/>
        </w:rPr>
        <w:t xml:space="preserve">                          </w:t>
      </w:r>
      <w:r>
        <w:rPr>
          <w:rFonts w:hint="eastAsia" w:ascii="宋体" w:hAnsi="宋体" w:eastAsia="宋体" w:cs="宋体"/>
          <w:b/>
          <w:bCs/>
          <w:color w:val="auto"/>
          <w:sz w:val="30"/>
          <w:szCs w:val="30"/>
          <w:highlight w:val="none"/>
        </w:rPr>
        <w:t>（项目名称）</w:t>
      </w:r>
    </w:p>
    <w:p>
      <w:pPr>
        <w:jc w:val="center"/>
        <w:rPr>
          <w:rFonts w:hint="eastAsia" w:ascii="宋体" w:hAnsi="宋体" w:eastAsia="宋体" w:cs="宋体"/>
          <w:color w:val="auto"/>
          <w:sz w:val="28"/>
          <w:szCs w:val="28"/>
          <w:highlight w:val="none"/>
        </w:rPr>
      </w:pPr>
    </w:p>
    <w:p>
      <w:pPr>
        <w:jc w:val="center"/>
        <w:rPr>
          <w:rFonts w:hint="eastAsia" w:ascii="宋体" w:hAnsi="宋体" w:eastAsia="宋体" w:cs="宋体"/>
          <w:color w:val="auto"/>
          <w:sz w:val="28"/>
          <w:szCs w:val="28"/>
          <w:highlight w:val="none"/>
        </w:rPr>
      </w:pPr>
    </w:p>
    <w:p>
      <w:pPr>
        <w:pStyle w:val="5"/>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5"/>
        <w:rPr>
          <w:rFonts w:hint="eastAsia" w:ascii="宋体" w:hAnsi="宋体" w:eastAsia="宋体" w:cs="宋体"/>
          <w:color w:val="auto"/>
          <w:highlight w:val="none"/>
        </w:rPr>
      </w:pPr>
    </w:p>
    <w:p>
      <w:pPr>
        <w:ind w:firstLine="0"/>
        <w:rPr>
          <w:rFonts w:hint="eastAsia" w:ascii="宋体" w:hAnsi="宋体" w:eastAsia="宋体" w:cs="宋体"/>
          <w:color w:val="auto"/>
          <w:highlight w:val="none"/>
        </w:rPr>
      </w:pPr>
    </w:p>
    <w:p>
      <w:pPr>
        <w:jc w:val="center"/>
        <w:rPr>
          <w:rFonts w:hint="eastAsia" w:ascii="宋体" w:hAnsi="宋体" w:eastAsia="宋体" w:cs="宋体"/>
          <w:color w:val="auto"/>
          <w:sz w:val="72"/>
          <w:szCs w:val="84"/>
          <w:highlight w:val="none"/>
        </w:rPr>
      </w:pPr>
      <w:r>
        <w:rPr>
          <w:rFonts w:hint="eastAsia" w:ascii="宋体" w:hAnsi="宋体" w:eastAsia="宋体" w:cs="宋体"/>
          <w:b/>
          <w:bCs/>
          <w:color w:val="auto"/>
          <w:sz w:val="72"/>
          <w:szCs w:val="84"/>
          <w:highlight w:val="none"/>
        </w:rPr>
        <w:t>响 应 文 件</w:t>
      </w:r>
    </w:p>
    <w:p>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Cs w:val="21"/>
          <w:highlight w:val="none"/>
        </w:rPr>
        <w:t>项目编号：</w:t>
      </w:r>
    </w:p>
    <w:p>
      <w:pPr>
        <w:spacing w:line="400" w:lineRule="exact"/>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pStyle w:val="5"/>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spacing w:line="400" w:lineRule="exact"/>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spacing w:line="48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color="auto"/>
        </w:rPr>
        <w:t xml:space="preserve">                                   </w:t>
      </w:r>
      <w:r>
        <w:rPr>
          <w:rFonts w:hint="eastAsia" w:ascii="宋体" w:hAnsi="宋体" w:eastAsia="宋体" w:cs="宋体"/>
          <w:color w:val="auto"/>
          <w:sz w:val="24"/>
          <w:highlight w:val="none"/>
        </w:rPr>
        <w:t xml:space="preserve"> （单位电子签章）</w:t>
      </w:r>
    </w:p>
    <w:p>
      <w:pPr>
        <w:spacing w:line="48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color="auto"/>
        </w:rPr>
        <w:t xml:space="preserve">                </w:t>
      </w:r>
      <w:r>
        <w:rPr>
          <w:rFonts w:hint="eastAsia" w:ascii="宋体" w:hAnsi="宋体" w:eastAsia="宋体" w:cs="宋体"/>
          <w:color w:val="auto"/>
          <w:sz w:val="24"/>
          <w:highlight w:val="none"/>
        </w:rPr>
        <w:t>（电子签名或盖章）</w:t>
      </w:r>
    </w:p>
    <w:p>
      <w:pPr>
        <w:spacing w:line="48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color="auto"/>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color="auto"/>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color="auto"/>
        </w:rPr>
        <w:t xml:space="preserve">        </w:t>
      </w:r>
      <w:r>
        <w:rPr>
          <w:rFonts w:hint="eastAsia" w:ascii="宋体" w:hAnsi="宋体" w:eastAsia="宋体" w:cs="宋体"/>
          <w:color w:val="auto"/>
          <w:sz w:val="24"/>
          <w:highlight w:val="none"/>
        </w:rPr>
        <w:t>日</w:t>
      </w:r>
    </w:p>
    <w:p>
      <w:pPr>
        <w:spacing w:line="400" w:lineRule="exact"/>
        <w:rPr>
          <w:rFonts w:hint="eastAsia" w:ascii="宋体" w:hAnsi="宋体" w:eastAsia="宋体" w:cs="宋体"/>
          <w:color w:val="auto"/>
          <w:sz w:val="22"/>
          <w:szCs w:val="28"/>
          <w:highlight w:val="none"/>
        </w:rPr>
      </w:pPr>
    </w:p>
    <w:p>
      <w:pPr>
        <w:pStyle w:val="30"/>
        <w:jc w:val="center"/>
        <w:outlineLvl w:val="9"/>
        <w:rPr>
          <w:rFonts w:hint="eastAsia" w:ascii="宋体" w:hAnsi="宋体" w:eastAsia="宋体" w:cs="宋体"/>
          <w:b/>
          <w:bCs/>
          <w:color w:val="auto"/>
          <w:szCs w:val="28"/>
          <w:highlight w:val="none"/>
        </w:rPr>
      </w:pPr>
      <w:bookmarkStart w:id="1166" w:name="_Toc152045787"/>
      <w:bookmarkEnd w:id="1166"/>
      <w:bookmarkStart w:id="1167" w:name="_Toc466298157"/>
      <w:bookmarkEnd w:id="1167"/>
      <w:bookmarkStart w:id="1168" w:name="_Toc152042576"/>
      <w:bookmarkEnd w:id="1168"/>
      <w:bookmarkStart w:id="1169" w:name="_Toc20198"/>
      <w:bookmarkEnd w:id="1169"/>
      <w:bookmarkStart w:id="1170" w:name="_Toc8978"/>
      <w:bookmarkEnd w:id="1170"/>
      <w:bookmarkStart w:id="1171" w:name="_Toc144974856"/>
      <w:bookmarkEnd w:id="1171"/>
    </w:p>
    <w:p>
      <w:pPr>
        <w:rPr>
          <w:rFonts w:hint="eastAsia" w:ascii="宋体" w:hAnsi="宋体" w:eastAsia="宋体" w:cs="宋体"/>
          <w:color w:val="auto"/>
          <w:highlight w:val="none"/>
        </w:rPr>
        <w:sectPr>
          <w:footerReference r:id="rId9" w:type="default"/>
          <w:footnotePr>
            <w:numFmt w:val="decimal"/>
          </w:footnotePr>
          <w:endnotePr>
            <w:numFmt w:val="decimal"/>
          </w:endnotePr>
          <w:pgSz w:w="11905" w:h="16838"/>
          <w:pgMar w:top="1440" w:right="1803" w:bottom="1440" w:left="1803" w:header="850" w:footer="850" w:gutter="0"/>
          <w:pgNumType w:fmt="decimal"/>
          <w:cols w:space="720" w:num="1"/>
        </w:sectPr>
      </w:pPr>
    </w:p>
    <w:p>
      <w:pPr>
        <w:pStyle w:val="30"/>
        <w:jc w:val="center"/>
        <w:rPr>
          <w:rFonts w:hint="eastAsia" w:ascii="宋体" w:hAnsi="宋体" w:eastAsia="宋体" w:cs="宋体"/>
          <w:b/>
          <w:bCs/>
          <w:color w:val="auto"/>
          <w:sz w:val="44"/>
          <w:szCs w:val="44"/>
          <w:highlight w:val="none"/>
        </w:rPr>
      </w:pPr>
      <w:bookmarkStart w:id="1172" w:name="_Toc3273"/>
      <w:bookmarkEnd w:id="1172"/>
      <w:bookmarkStart w:id="1173" w:name="_Toc4086"/>
      <w:bookmarkEnd w:id="1173"/>
      <w:bookmarkStart w:id="1174" w:name="_Toc19088"/>
      <w:r>
        <w:rPr>
          <w:rFonts w:hint="eastAsia" w:ascii="宋体" w:hAnsi="宋体" w:eastAsia="宋体" w:cs="宋体"/>
          <w:b/>
          <w:bCs/>
          <w:color w:val="auto"/>
          <w:sz w:val="44"/>
          <w:szCs w:val="44"/>
          <w:highlight w:val="none"/>
        </w:rPr>
        <w:t>目    录</w:t>
      </w:r>
      <w:bookmarkEnd w:id="1174"/>
    </w:p>
    <w:p>
      <w:pPr>
        <w:pStyle w:val="30"/>
        <w:jc w:val="center"/>
        <w:outlineLvl w:val="9"/>
        <w:rPr>
          <w:rFonts w:hint="eastAsia" w:ascii="宋体" w:hAnsi="宋体" w:eastAsia="宋体" w:cs="宋体"/>
          <w:color w:val="auto"/>
          <w:szCs w:val="28"/>
          <w:highlight w:val="none"/>
        </w:rPr>
      </w:pPr>
    </w:p>
    <w:p>
      <w:pPr>
        <w:pStyle w:val="39"/>
        <w:tabs>
          <w:tab w:val="right" w:leader="dot" w:pos="8299"/>
        </w:tabs>
        <w:spacing w:line="480" w:lineRule="auto"/>
        <w:rPr>
          <w:rFonts w:hint="eastAsia" w:ascii="宋体" w:hAnsi="宋体" w:eastAsia="宋体" w:cs="宋体"/>
          <w:color w:val="auto"/>
          <w:sz w:val="28"/>
          <w:szCs w:val="28"/>
          <w:highlight w:val="none"/>
        </w:rPr>
      </w:pPr>
      <w:bookmarkStart w:id="1175" w:name="_Toc7496"/>
      <w:bookmarkEnd w:id="1175"/>
      <w:bookmarkStart w:id="1176" w:name="_Toc10097"/>
      <w:bookmarkEnd w:id="1176"/>
      <w:bookmarkStart w:id="1177" w:name="_Toc977"/>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_Toc9441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44"/>
          <w:highlight w:val="none"/>
        </w:rPr>
        <w:t>一、磋商函及磋商函附录</w:t>
      </w:r>
      <w:r>
        <w:rPr>
          <w:rFonts w:hint="eastAsia" w:ascii="宋体" w:hAnsi="宋体" w:eastAsia="宋体" w:cs="宋体"/>
          <w:color w:val="auto"/>
          <w:sz w:val="28"/>
          <w:szCs w:val="28"/>
          <w:highlight w:val="none"/>
        </w:rPr>
        <w:fldChar w:fldCharType="end"/>
      </w:r>
    </w:p>
    <w:p>
      <w:pPr>
        <w:pStyle w:val="39"/>
        <w:tabs>
          <w:tab w:val="right" w:leader="dot" w:pos="8299"/>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_Toc21518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44"/>
          <w:highlight w:val="none"/>
        </w:rPr>
        <w:t>二、法定代表人（单位负责人）身份证明</w:t>
      </w:r>
      <w:r>
        <w:rPr>
          <w:rFonts w:hint="eastAsia" w:ascii="宋体" w:hAnsi="宋体" w:eastAsia="宋体" w:cs="宋体"/>
          <w:color w:val="auto"/>
          <w:sz w:val="28"/>
          <w:szCs w:val="28"/>
          <w:highlight w:val="none"/>
        </w:rPr>
        <w:fldChar w:fldCharType="end"/>
      </w:r>
    </w:p>
    <w:p>
      <w:pPr>
        <w:pStyle w:val="39"/>
        <w:tabs>
          <w:tab w:val="right" w:leader="dot" w:pos="8299"/>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_Toc30608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三、法定代表人授权书</w:t>
      </w:r>
      <w:r>
        <w:rPr>
          <w:rFonts w:hint="eastAsia" w:ascii="宋体" w:hAnsi="宋体" w:eastAsia="宋体" w:cs="宋体"/>
          <w:color w:val="auto"/>
          <w:sz w:val="28"/>
          <w:szCs w:val="28"/>
          <w:highlight w:val="none"/>
        </w:rPr>
        <w:fldChar w:fldCharType="end"/>
      </w:r>
    </w:p>
    <w:p>
      <w:pPr>
        <w:pStyle w:val="39"/>
        <w:tabs>
          <w:tab w:val="right" w:leader="dot" w:pos="8299"/>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_Toc32313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四、已标价工程量清单</w:t>
      </w:r>
      <w:r>
        <w:rPr>
          <w:rFonts w:hint="eastAsia" w:ascii="宋体" w:hAnsi="宋体" w:eastAsia="宋体" w:cs="宋体"/>
          <w:color w:val="auto"/>
          <w:sz w:val="28"/>
          <w:szCs w:val="28"/>
          <w:highlight w:val="none"/>
        </w:rPr>
        <w:fldChar w:fldCharType="end"/>
      </w:r>
    </w:p>
    <w:p>
      <w:pPr>
        <w:pStyle w:val="39"/>
        <w:tabs>
          <w:tab w:val="right" w:leader="dot" w:pos="8299"/>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_Toc15517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五、技术部分</w:t>
      </w:r>
      <w:r>
        <w:rPr>
          <w:rFonts w:hint="eastAsia" w:ascii="宋体" w:hAnsi="宋体" w:eastAsia="宋体" w:cs="宋体"/>
          <w:color w:val="auto"/>
          <w:sz w:val="28"/>
          <w:szCs w:val="28"/>
          <w:highlight w:val="none"/>
        </w:rPr>
        <w:fldChar w:fldCharType="end"/>
      </w:r>
    </w:p>
    <w:p>
      <w:pPr>
        <w:pStyle w:val="39"/>
        <w:tabs>
          <w:tab w:val="right" w:leader="dot" w:pos="8299"/>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_Toc22663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六、项目管理机构</w:t>
      </w:r>
      <w:r>
        <w:rPr>
          <w:rFonts w:hint="eastAsia" w:ascii="宋体" w:hAnsi="宋体" w:eastAsia="宋体" w:cs="宋体"/>
          <w:color w:val="auto"/>
          <w:sz w:val="28"/>
          <w:szCs w:val="28"/>
          <w:highlight w:val="none"/>
        </w:rPr>
        <w:fldChar w:fldCharType="end"/>
      </w:r>
    </w:p>
    <w:p>
      <w:pPr>
        <w:pStyle w:val="39"/>
        <w:tabs>
          <w:tab w:val="right" w:leader="dot" w:pos="8299"/>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_Toc11990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七、资格证明材料</w:t>
      </w:r>
      <w:r>
        <w:rPr>
          <w:rFonts w:hint="eastAsia" w:ascii="宋体" w:hAnsi="宋体" w:eastAsia="宋体" w:cs="宋体"/>
          <w:color w:val="auto"/>
          <w:sz w:val="28"/>
          <w:szCs w:val="28"/>
          <w:highlight w:val="none"/>
        </w:rPr>
        <w:fldChar w:fldCharType="end"/>
      </w:r>
    </w:p>
    <w:p>
      <w:pPr>
        <w:pStyle w:val="39"/>
        <w:tabs>
          <w:tab w:val="right" w:leader="dot" w:pos="8299"/>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_Toc9762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八、其他材料</w:t>
      </w:r>
      <w:r>
        <w:rPr>
          <w:rFonts w:hint="eastAsia" w:ascii="宋体" w:hAnsi="宋体" w:eastAsia="宋体" w:cs="宋体"/>
          <w:color w:val="auto"/>
          <w:sz w:val="28"/>
          <w:szCs w:val="28"/>
          <w:highlight w:val="none"/>
        </w:rPr>
        <w:fldChar w:fldCharType="end"/>
      </w:r>
    </w:p>
    <w:bookmarkEnd w:id="1177"/>
    <w:p>
      <w:pPr>
        <w:spacing w:line="540" w:lineRule="exact"/>
        <w:ind w:left="630"/>
        <w:rPr>
          <w:rFonts w:hint="eastAsia" w:ascii="宋体" w:hAnsi="宋体" w:eastAsia="宋体" w:cs="宋体"/>
          <w:color w:val="auto"/>
          <w:highlight w:val="none"/>
        </w:rPr>
      </w:pPr>
    </w:p>
    <w:p>
      <w:pPr>
        <w:spacing w:line="540" w:lineRule="exact"/>
        <w:rPr>
          <w:rFonts w:hint="eastAsia" w:ascii="宋体" w:hAnsi="宋体" w:eastAsia="宋体" w:cs="宋体"/>
          <w:color w:val="auto"/>
          <w:highlight w:val="none"/>
        </w:rPr>
      </w:pPr>
    </w:p>
    <w:p>
      <w:pPr>
        <w:spacing w:line="540" w:lineRule="exact"/>
        <w:rPr>
          <w:rFonts w:hint="eastAsia" w:ascii="宋体" w:hAnsi="宋体" w:eastAsia="宋体" w:cs="宋体"/>
          <w:color w:val="auto"/>
          <w:highlight w:val="none"/>
        </w:rPr>
      </w:pPr>
    </w:p>
    <w:p>
      <w:pPr>
        <w:spacing w:line="540" w:lineRule="exact"/>
        <w:rPr>
          <w:rFonts w:hint="eastAsia" w:ascii="宋体" w:hAnsi="宋体" w:eastAsia="宋体" w:cs="宋体"/>
          <w:color w:val="auto"/>
          <w:highlight w:val="none"/>
        </w:rPr>
      </w:pPr>
    </w:p>
    <w:p>
      <w:pPr>
        <w:spacing w:line="540" w:lineRule="exact"/>
        <w:rPr>
          <w:rFonts w:hint="eastAsia" w:ascii="宋体" w:hAnsi="宋体" w:eastAsia="宋体" w:cs="宋体"/>
          <w:color w:val="auto"/>
          <w:highlight w:val="none"/>
        </w:rPr>
      </w:pPr>
    </w:p>
    <w:p>
      <w:pPr>
        <w:spacing w:line="540" w:lineRule="exact"/>
        <w:rPr>
          <w:rFonts w:hint="eastAsia" w:ascii="宋体" w:hAnsi="宋体" w:eastAsia="宋体" w:cs="宋体"/>
          <w:color w:val="auto"/>
          <w:highlight w:val="none"/>
        </w:rPr>
      </w:pPr>
    </w:p>
    <w:p>
      <w:pPr>
        <w:spacing w:line="540" w:lineRule="exact"/>
        <w:rPr>
          <w:rFonts w:hint="eastAsia" w:ascii="宋体" w:hAnsi="宋体" w:eastAsia="宋体" w:cs="宋体"/>
          <w:color w:val="auto"/>
          <w:highlight w:val="none"/>
        </w:rPr>
      </w:pPr>
    </w:p>
    <w:p>
      <w:pPr>
        <w:spacing w:line="540" w:lineRule="exact"/>
        <w:rPr>
          <w:rFonts w:hint="eastAsia" w:ascii="宋体" w:hAnsi="宋体" w:eastAsia="宋体" w:cs="宋体"/>
          <w:color w:val="auto"/>
          <w:highlight w:val="none"/>
        </w:rPr>
      </w:pPr>
    </w:p>
    <w:p>
      <w:pPr>
        <w:spacing w:line="540" w:lineRule="exact"/>
        <w:rPr>
          <w:rFonts w:hint="eastAsia" w:ascii="宋体" w:hAnsi="宋体" w:eastAsia="宋体" w:cs="宋体"/>
          <w:color w:val="auto"/>
          <w:highlight w:val="none"/>
        </w:rPr>
      </w:pPr>
    </w:p>
    <w:p>
      <w:pPr>
        <w:spacing w:line="540" w:lineRule="exact"/>
        <w:rPr>
          <w:rFonts w:hint="eastAsia" w:ascii="宋体" w:hAnsi="宋体" w:eastAsia="宋体" w:cs="宋体"/>
          <w:color w:val="auto"/>
          <w:sz w:val="20"/>
          <w:szCs w:val="20"/>
          <w:highlight w:val="none"/>
        </w:rPr>
      </w:pPr>
    </w:p>
    <w:p>
      <w:pPr>
        <w:spacing w:line="540" w:lineRule="exact"/>
        <w:rPr>
          <w:rFonts w:hint="eastAsia" w:ascii="宋体" w:hAnsi="宋体" w:eastAsia="宋体" w:cs="宋体"/>
          <w:color w:val="auto"/>
          <w:sz w:val="20"/>
          <w:szCs w:val="20"/>
          <w:highlight w:val="none"/>
        </w:rPr>
      </w:pPr>
    </w:p>
    <w:p>
      <w:pPr>
        <w:spacing w:line="540" w:lineRule="exact"/>
        <w:rPr>
          <w:rFonts w:hint="eastAsia" w:ascii="宋体" w:hAnsi="宋体" w:eastAsia="宋体" w:cs="宋体"/>
          <w:color w:val="auto"/>
          <w:sz w:val="20"/>
          <w:szCs w:val="20"/>
          <w:highlight w:val="none"/>
        </w:rPr>
      </w:pPr>
    </w:p>
    <w:p>
      <w:pPr>
        <w:rPr>
          <w:rFonts w:hint="eastAsia" w:ascii="宋体" w:hAnsi="宋体" w:eastAsia="宋体" w:cs="宋体"/>
          <w:color w:val="auto"/>
          <w:highlight w:val="none"/>
        </w:rPr>
      </w:pPr>
    </w:p>
    <w:p>
      <w:pPr>
        <w:pStyle w:val="30"/>
        <w:numPr>
          <w:ilvl w:val="0"/>
          <w:numId w:val="7"/>
        </w:numPr>
        <w:ind w:left="720" w:hanging="720"/>
        <w:jc w:val="center"/>
        <w:outlineLvl w:val="1"/>
        <w:rPr>
          <w:rFonts w:hint="eastAsia" w:ascii="宋体" w:hAnsi="宋体" w:eastAsia="宋体" w:cs="宋体"/>
          <w:b/>
          <w:color w:val="auto"/>
          <w:szCs w:val="28"/>
          <w:highlight w:val="none"/>
        </w:rPr>
      </w:pPr>
      <w:bookmarkStart w:id="1178" w:name="_Toc1035"/>
      <w:bookmarkEnd w:id="1178"/>
      <w:bookmarkStart w:id="1179" w:name="_Toc15898"/>
      <w:bookmarkEnd w:id="1179"/>
      <w:bookmarkStart w:id="1180" w:name="_Toc9441"/>
      <w:r>
        <w:rPr>
          <w:rFonts w:hint="eastAsia" w:ascii="宋体" w:hAnsi="宋体" w:eastAsia="宋体" w:cs="宋体"/>
          <w:b/>
          <w:color w:val="auto"/>
          <w:szCs w:val="28"/>
          <w:highlight w:val="none"/>
        </w:rPr>
        <w:t>磋商函及磋商函附录</w:t>
      </w:r>
      <w:bookmarkEnd w:id="1180"/>
    </w:p>
    <w:p>
      <w:pPr>
        <w:pStyle w:val="31"/>
        <w:numPr>
          <w:ilvl w:val="0"/>
          <w:numId w:val="8"/>
        </w:numPr>
        <w:ind w:left="720" w:hanging="720"/>
        <w:jc w:val="center"/>
        <w:outlineLvl w:val="9"/>
        <w:rPr>
          <w:rFonts w:hint="eastAsia" w:ascii="宋体" w:hAnsi="宋体" w:eastAsia="宋体" w:cs="宋体"/>
          <w:b/>
          <w:color w:val="auto"/>
          <w:szCs w:val="23"/>
          <w:highlight w:val="none"/>
        </w:rPr>
      </w:pPr>
      <w:bookmarkStart w:id="1181" w:name="_Toc23659"/>
      <w:bookmarkEnd w:id="1181"/>
      <w:bookmarkStart w:id="1182" w:name="_Toc30581"/>
      <w:bookmarkEnd w:id="1182"/>
      <w:bookmarkStart w:id="1183" w:name="_Toc144974858"/>
      <w:bookmarkEnd w:id="1183"/>
      <w:bookmarkStart w:id="1184" w:name="_Toc466298159"/>
      <w:bookmarkEnd w:id="1184"/>
      <w:bookmarkStart w:id="1185" w:name="_Toc8915"/>
      <w:bookmarkEnd w:id="1185"/>
      <w:bookmarkStart w:id="1186" w:name="_Toc18705"/>
      <w:bookmarkEnd w:id="1186"/>
      <w:bookmarkStart w:id="1187" w:name="_Toc11855"/>
      <w:bookmarkEnd w:id="1187"/>
      <w:bookmarkStart w:id="1188" w:name="_Toc23888"/>
      <w:bookmarkEnd w:id="1188"/>
      <w:bookmarkStart w:id="1189" w:name="_Toc152045789"/>
      <w:bookmarkEnd w:id="1189"/>
      <w:bookmarkStart w:id="1190" w:name="_Toc152042578"/>
      <w:bookmarkEnd w:id="1190"/>
      <w:bookmarkStart w:id="1191" w:name="_Toc455080170"/>
      <w:bookmarkEnd w:id="1191"/>
      <w:bookmarkStart w:id="1192" w:name="_Toc5444"/>
      <w:bookmarkEnd w:id="1192"/>
      <w:bookmarkStart w:id="1193" w:name="_Toc318450744"/>
      <w:bookmarkEnd w:id="1193"/>
      <w:bookmarkStart w:id="1194" w:name="_Toc16901"/>
      <w:bookmarkEnd w:id="1194"/>
      <w:bookmarkStart w:id="1195" w:name="_Toc455867830"/>
      <w:bookmarkEnd w:id="1195"/>
      <w:bookmarkStart w:id="1196" w:name="_Toc490667892"/>
      <w:bookmarkEnd w:id="1196"/>
      <w:bookmarkStart w:id="1197" w:name="_Toc6005"/>
      <w:bookmarkEnd w:id="1197"/>
      <w:bookmarkStart w:id="1198" w:name="_Toc26262"/>
      <w:bookmarkEnd w:id="1198"/>
      <w:bookmarkStart w:id="1199" w:name="_Toc129"/>
      <w:r>
        <w:rPr>
          <w:rFonts w:hint="eastAsia" w:ascii="宋体" w:hAnsi="宋体" w:eastAsia="宋体" w:cs="宋体"/>
          <w:b/>
          <w:color w:val="auto"/>
          <w:szCs w:val="23"/>
          <w:highlight w:val="none"/>
        </w:rPr>
        <w:t>磋商函</w:t>
      </w:r>
      <w:bookmarkEnd w:id="1199"/>
    </w:p>
    <w:p>
      <w:pPr>
        <w:pStyle w:val="15"/>
        <w:spacing w:line="420" w:lineRule="exact"/>
        <w:ind w:left="112" w:leftChars="0" w:hanging="112" w:hangingChars="47"/>
        <w:outlineLvl w:val="9"/>
        <w:rPr>
          <w:rFonts w:hint="eastAsia" w:ascii="宋体" w:hAnsi="宋体" w:eastAsia="宋体" w:cs="宋体"/>
          <w:color w:val="auto"/>
          <w:sz w:val="24"/>
          <w:szCs w:val="24"/>
          <w:highlight w:val="none"/>
        </w:rPr>
      </w:pPr>
      <w:bookmarkStart w:id="1200" w:name="_Toc447888814"/>
      <w:bookmarkEnd w:id="1200"/>
      <w:bookmarkStart w:id="1201" w:name="_Toc466298160"/>
      <w:bookmarkEnd w:id="1201"/>
      <w:bookmarkStart w:id="1202" w:name="_Toc19056"/>
      <w:bookmarkEnd w:id="1202"/>
      <w:bookmarkStart w:id="1203" w:name="_Toc490667893"/>
      <w:bookmarkEnd w:id="1203"/>
      <w:r>
        <w:rPr>
          <w:rFonts w:hint="eastAsia" w:ascii="宋体" w:hAnsi="宋体" w:eastAsia="宋体" w:cs="宋体"/>
          <w:color w:val="auto"/>
          <w:sz w:val="24"/>
          <w:szCs w:val="24"/>
          <w:highlight w:val="none"/>
        </w:rPr>
        <w:t>致 ：</w:t>
      </w:r>
      <w:r>
        <w:rPr>
          <w:rFonts w:hint="eastAsia" w:ascii="宋体" w:hAnsi="宋体" w:eastAsia="宋体" w:cs="宋体"/>
          <w:color w:val="auto"/>
          <w:sz w:val="24"/>
          <w:szCs w:val="24"/>
          <w:highlight w:val="none"/>
          <w:u w:val="single"/>
        </w:rPr>
        <w:t>（采购人）</w:t>
      </w:r>
    </w:p>
    <w:p>
      <w:pPr>
        <w:pStyle w:val="15"/>
        <w:spacing w:line="420" w:lineRule="exact"/>
        <w:ind w:left="1"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1．根据已收到的</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的竞争性磋商文件，遵照《中华人民共和国政府采购法》等有关规定，经考察和认真研究本项目竞争性磋商文件及其它有关文件后，愿以人民币（大写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元</w:t>
      </w:r>
      <w:r>
        <w:rPr>
          <w:rFonts w:hint="eastAsia" w:ascii="宋体" w:hAnsi="宋体" w:eastAsia="宋体" w:cs="宋体"/>
          <w:color w:val="auto"/>
          <w:sz w:val="24"/>
          <w:szCs w:val="24"/>
          <w:highlight w:val="none"/>
        </w:rPr>
        <w:t>）的磋商总报价作为第一次磋商报价，按合同约定实施和完成本项目，并承担其任何质量缺陷等问题所造成的任何损失。</w:t>
      </w:r>
    </w:p>
    <w:p>
      <w:pPr>
        <w:pStyle w:val="15"/>
        <w:spacing w:line="420" w:lineRule="exact"/>
        <w:ind w:left="1"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已详细检查全部竞争性磋商文件包括澄清文件、补充通知（如有的话）及有关附件，并完全理解我方必须放弃提出含糊不清或误解的权力，愿按照磋商文件中的条款和要求按最后一次的报价做为最后报价。</w:t>
      </w:r>
    </w:p>
    <w:p>
      <w:pPr>
        <w:pStyle w:val="15"/>
        <w:spacing w:line="420" w:lineRule="exact"/>
        <w:ind w:left="1"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3．我方在此承诺，我方若能成交，保证在</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期限内，全面履行竞争性磋商文件中规定的职责和义务。</w:t>
      </w:r>
    </w:p>
    <w:p>
      <w:pPr>
        <w:pStyle w:val="15"/>
        <w:spacing w:line="420" w:lineRule="exact"/>
        <w:ind w:left="1"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4．如果我方成交，我方保证按合同条款中规定的内容执行；我方保证质量达到国家及行业现行标准规范规定的合格要求，并按竞争性磋商文件和有关规定提交一切资料。</w:t>
      </w:r>
    </w:p>
    <w:p>
      <w:pPr>
        <w:pStyle w:val="15"/>
        <w:spacing w:line="420" w:lineRule="exact"/>
        <w:ind w:left="1"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．我方同意从响应文件</w:t>
      </w:r>
      <w:r>
        <w:rPr>
          <w:rFonts w:hint="eastAsia" w:ascii="宋体" w:hAnsi="宋体" w:eastAsia="宋体" w:cs="宋体"/>
          <w:color w:val="auto"/>
          <w:sz w:val="24"/>
          <w:szCs w:val="24"/>
          <w:highlight w:val="none"/>
          <w:lang w:eastAsia="zh-CN"/>
        </w:rPr>
        <w:t>提</w:t>
      </w:r>
      <w:r>
        <w:rPr>
          <w:rFonts w:hint="eastAsia" w:ascii="宋体" w:hAnsi="宋体" w:eastAsia="宋体" w:cs="宋体"/>
          <w:color w:val="auto"/>
          <w:sz w:val="24"/>
          <w:szCs w:val="24"/>
          <w:highlight w:val="none"/>
        </w:rPr>
        <w:t>交截止日期起</w:t>
      </w:r>
      <w:r>
        <w:rPr>
          <w:rFonts w:hint="eastAsia" w:ascii="宋体" w:hAnsi="宋体" w:eastAsia="宋体" w:cs="宋体"/>
          <w:color w:val="auto"/>
          <w:sz w:val="24"/>
          <w:szCs w:val="24"/>
          <w:highlight w:val="none"/>
          <w:u w:val="single"/>
        </w:rPr>
        <w:t>60</w:t>
      </w:r>
      <w:r>
        <w:rPr>
          <w:rFonts w:hint="eastAsia" w:ascii="宋体" w:hAnsi="宋体" w:eastAsia="宋体" w:cs="宋体"/>
          <w:color w:val="auto"/>
          <w:sz w:val="24"/>
          <w:szCs w:val="24"/>
          <w:highlight w:val="none"/>
          <w:u w:val="single"/>
          <w:lang w:eastAsia="zh-CN"/>
        </w:rPr>
        <w:t>日历天</w:t>
      </w:r>
      <w:r>
        <w:rPr>
          <w:rFonts w:hint="eastAsia" w:ascii="宋体" w:hAnsi="宋体" w:eastAsia="宋体" w:cs="宋体"/>
          <w:color w:val="auto"/>
          <w:sz w:val="24"/>
          <w:szCs w:val="24"/>
          <w:highlight w:val="none"/>
        </w:rPr>
        <w:t>保持磋商响应文件有效，在此有效期内，我方将严格遵守磋商响应文件的承诺，本磋商响应文件对我方具有约束力，并可随时被接受成交。</w:t>
      </w:r>
    </w:p>
    <w:p>
      <w:pPr>
        <w:pStyle w:val="15"/>
        <w:spacing w:line="420" w:lineRule="exact"/>
        <w:ind w:left="1"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．除磋商响应文件所提交的资料外，我方同意随时接受贵方的检查、询问，并根据磋商需要补充贵方要求提交的资料。</w:t>
      </w:r>
    </w:p>
    <w:p>
      <w:pPr>
        <w:pStyle w:val="15"/>
        <w:spacing w:line="420" w:lineRule="exact"/>
        <w:ind w:left="1"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．如果我方成交后，我方没有任何正当理由而拒签合同，同时我方愿意补偿该项工作因我方延误所造成的经济损失。</w:t>
      </w:r>
    </w:p>
    <w:p>
      <w:pPr>
        <w:pStyle w:val="15"/>
        <w:spacing w:line="420" w:lineRule="exact"/>
        <w:ind w:left="1"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．我方愿接受合同条款中规定的合同价款计算和调整方式。</w:t>
      </w:r>
    </w:p>
    <w:p>
      <w:pPr>
        <w:pStyle w:val="15"/>
        <w:spacing w:line="420" w:lineRule="exact"/>
        <w:ind w:left="1"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．除非另外达成协议并生效，贵方的成交通知书和本磋商响应文件将成为约束我方的合同文件组成部分。</w:t>
      </w:r>
    </w:p>
    <w:p>
      <w:pPr>
        <w:pStyle w:val="15"/>
        <w:spacing w:line="420" w:lineRule="exact"/>
        <w:ind w:left="0" w:leftChars="0" w:firstLine="0" w:firstLineChars="0"/>
        <w:outlineLvl w:val="9"/>
        <w:rPr>
          <w:rFonts w:hint="eastAsia" w:ascii="宋体" w:hAnsi="宋体" w:eastAsia="宋体" w:cs="宋体"/>
          <w:color w:val="auto"/>
          <w:sz w:val="24"/>
          <w:szCs w:val="24"/>
          <w:highlight w:val="none"/>
        </w:rPr>
      </w:pPr>
    </w:p>
    <w:p>
      <w:pPr>
        <w:pStyle w:val="15"/>
        <w:spacing w:line="420" w:lineRule="exact"/>
        <w:ind w:left="1" w:leftChars="0" w:firstLine="480" w:firstLineChars="200"/>
        <w:outlineLvl w:val="9"/>
        <w:rPr>
          <w:rFonts w:hint="eastAsia" w:ascii="宋体" w:hAnsi="宋体" w:eastAsia="宋体" w:cs="宋体"/>
          <w:color w:val="auto"/>
          <w:sz w:val="24"/>
          <w:szCs w:val="24"/>
          <w:highlight w:val="none"/>
        </w:rPr>
      </w:pPr>
    </w:p>
    <w:p>
      <w:pPr>
        <w:pStyle w:val="15"/>
        <w:spacing w:line="420" w:lineRule="exact"/>
        <w:ind w:left="126" w:leftChars="60" w:firstLine="1682" w:firstLineChars="70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（单位电子签章）</w:t>
      </w:r>
    </w:p>
    <w:p>
      <w:pPr>
        <w:pStyle w:val="15"/>
        <w:spacing w:line="420" w:lineRule="exact"/>
        <w:ind w:left="126" w:leftChars="60" w:firstLine="1682" w:firstLineChars="70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（电子签名或盖章）</w:t>
      </w:r>
    </w:p>
    <w:p>
      <w:pPr>
        <w:pStyle w:val="15"/>
        <w:spacing w:line="420" w:lineRule="exact"/>
        <w:ind w:left="126" w:leftChars="60" w:firstLine="1682" w:firstLineChars="70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9"/>
        <w:numPr>
          <w:ilvl w:val="0"/>
          <w:numId w:val="0"/>
        </w:numPr>
        <w:ind w:left="0"/>
        <w:jc w:val="center"/>
        <w:rPr>
          <w:rFonts w:hint="eastAsia" w:ascii="宋体" w:hAnsi="宋体" w:eastAsia="宋体" w:cs="宋体"/>
          <w:color w:val="auto"/>
          <w:sz w:val="28"/>
          <w:szCs w:val="28"/>
          <w:highlight w:val="none"/>
        </w:rPr>
      </w:pPr>
      <w:bookmarkStart w:id="1204" w:name="_Toc5675"/>
      <w:r>
        <w:rPr>
          <w:rFonts w:hint="eastAsia" w:ascii="宋体" w:hAnsi="宋体" w:eastAsia="宋体" w:cs="宋体"/>
          <w:color w:val="auto"/>
          <w:sz w:val="28"/>
          <w:szCs w:val="28"/>
          <w:highlight w:val="none"/>
        </w:rPr>
        <w:t>（二）磋商函附录</w:t>
      </w:r>
      <w:bookmarkEnd w:id="1204"/>
    </w:p>
    <w:tbl>
      <w:tblPr>
        <w:tblStyle w:val="23"/>
        <w:tblW w:w="9526" w:type="dxa"/>
        <w:jc w:val="center"/>
        <w:tblLayout w:type="fixed"/>
        <w:tblCellMar>
          <w:top w:w="0" w:type="dxa"/>
          <w:left w:w="10" w:type="dxa"/>
          <w:bottom w:w="0" w:type="dxa"/>
          <w:right w:w="10" w:type="dxa"/>
        </w:tblCellMar>
      </w:tblPr>
      <w:tblGrid>
        <w:gridCol w:w="1982"/>
        <w:gridCol w:w="1313"/>
        <w:gridCol w:w="1525"/>
        <w:gridCol w:w="1359"/>
        <w:gridCol w:w="1648"/>
        <w:gridCol w:w="1699"/>
      </w:tblGrid>
      <w:tr>
        <w:tblPrEx>
          <w:tblCellMar>
            <w:top w:w="0" w:type="dxa"/>
            <w:left w:w="10" w:type="dxa"/>
            <w:bottom w:w="0" w:type="dxa"/>
            <w:right w:w="10" w:type="dxa"/>
          </w:tblCellMar>
        </w:tblPrEx>
        <w:trPr>
          <w:trHeight w:val="850" w:hRule="atLeast"/>
          <w:jc w:val="center"/>
        </w:trPr>
        <w:tc>
          <w:tcPr>
            <w:tcW w:w="19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tc>
        <w:tc>
          <w:tcPr>
            <w:tcW w:w="7544"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850" w:hRule="atLeast"/>
          <w:jc w:val="center"/>
        </w:trPr>
        <w:tc>
          <w:tcPr>
            <w:tcW w:w="19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tc>
        <w:tc>
          <w:tcPr>
            <w:tcW w:w="7544"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850" w:hRule="atLeast"/>
          <w:jc w:val="center"/>
        </w:trPr>
        <w:tc>
          <w:tcPr>
            <w:tcW w:w="19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13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p>
        </w:tc>
        <w:tc>
          <w:tcPr>
            <w:tcW w:w="1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专业和级别</w:t>
            </w:r>
          </w:p>
        </w:tc>
        <w:tc>
          <w:tcPr>
            <w:tcW w:w="13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p>
        </w:tc>
        <w:tc>
          <w:tcPr>
            <w:tcW w:w="16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注册编号</w:t>
            </w:r>
          </w:p>
        </w:tc>
        <w:tc>
          <w:tcPr>
            <w:tcW w:w="1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850" w:hRule="atLeast"/>
          <w:jc w:val="center"/>
        </w:trPr>
        <w:tc>
          <w:tcPr>
            <w:tcW w:w="198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磋商总价（元）</w:t>
            </w:r>
          </w:p>
        </w:tc>
        <w:tc>
          <w:tcPr>
            <w:tcW w:w="419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334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r>
      <w:tr>
        <w:tblPrEx>
          <w:tblCellMar>
            <w:top w:w="0" w:type="dxa"/>
            <w:left w:w="10" w:type="dxa"/>
            <w:bottom w:w="0" w:type="dxa"/>
            <w:right w:w="10" w:type="dxa"/>
          </w:tblCellMar>
        </w:tblPrEx>
        <w:trPr>
          <w:trHeight w:val="850" w:hRule="atLeast"/>
          <w:jc w:val="center"/>
        </w:trPr>
        <w:tc>
          <w:tcPr>
            <w:tcW w:w="198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color w:val="auto"/>
                <w:sz w:val="24"/>
                <w:szCs w:val="32"/>
                <w:highlight w:val="none"/>
              </w:rPr>
            </w:pPr>
          </w:p>
        </w:tc>
        <w:tc>
          <w:tcPr>
            <w:tcW w:w="7544"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color w:val="auto"/>
                <w:sz w:val="24"/>
                <w:szCs w:val="24"/>
                <w:highlight w:val="none"/>
              </w:rPr>
            </w:pPr>
            <w:r>
              <w:rPr>
                <w:rFonts w:hint="eastAsia" w:ascii="宋体" w:hAnsi="宋体" w:eastAsia="宋体" w:cs="宋体"/>
                <w:b/>
                <w:bCs/>
                <w:color w:val="auto"/>
                <w:sz w:val="21"/>
                <w:szCs w:val="21"/>
                <w:highlight w:val="none"/>
              </w:rPr>
              <w:t>（供应商应在此填列第一次报价，但以供应商最后一次的磋商报价为成交价）</w:t>
            </w:r>
          </w:p>
        </w:tc>
      </w:tr>
      <w:tr>
        <w:tblPrEx>
          <w:tblCellMar>
            <w:top w:w="0" w:type="dxa"/>
            <w:left w:w="10" w:type="dxa"/>
            <w:bottom w:w="0" w:type="dxa"/>
            <w:right w:w="10" w:type="dxa"/>
          </w:tblCellMar>
        </w:tblPrEx>
        <w:trPr>
          <w:trHeight w:val="850" w:hRule="atLeast"/>
          <w:jc w:val="center"/>
        </w:trPr>
        <w:tc>
          <w:tcPr>
            <w:tcW w:w="19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响应内容</w:t>
            </w:r>
          </w:p>
        </w:tc>
        <w:tc>
          <w:tcPr>
            <w:tcW w:w="7544"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850" w:hRule="atLeast"/>
          <w:jc w:val="center"/>
        </w:trPr>
        <w:tc>
          <w:tcPr>
            <w:tcW w:w="19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计划</w:t>
            </w:r>
            <w:r>
              <w:rPr>
                <w:rFonts w:hint="eastAsia" w:ascii="宋体" w:hAnsi="宋体" w:eastAsia="宋体" w:cs="宋体"/>
                <w:color w:val="auto"/>
                <w:sz w:val="24"/>
                <w:szCs w:val="24"/>
                <w:highlight w:val="none"/>
              </w:rPr>
              <w:t>工期</w:t>
            </w:r>
          </w:p>
        </w:tc>
        <w:tc>
          <w:tcPr>
            <w:tcW w:w="7544"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850" w:hRule="atLeast"/>
          <w:jc w:val="center"/>
        </w:trPr>
        <w:tc>
          <w:tcPr>
            <w:tcW w:w="19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7544"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850" w:hRule="atLeast"/>
          <w:jc w:val="center"/>
        </w:trPr>
        <w:tc>
          <w:tcPr>
            <w:tcW w:w="19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7544"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850" w:hRule="atLeast"/>
          <w:jc w:val="center"/>
        </w:trPr>
        <w:tc>
          <w:tcPr>
            <w:tcW w:w="19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544"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Cs w:val="21"/>
          <w:highlight w:val="none"/>
        </w:rPr>
      </w:pPr>
    </w:p>
    <w:p>
      <w:pPr>
        <w:pStyle w:val="15"/>
        <w:keepNext w:val="0"/>
        <w:keepLines w:val="0"/>
        <w:pageBreakBefore w:val="0"/>
        <w:widowControl w:val="0"/>
        <w:kinsoku/>
        <w:wordWrap/>
        <w:overflowPunct/>
        <w:topLinePunct w:val="0"/>
        <w:autoSpaceDE/>
        <w:autoSpaceDN/>
        <w:bidi w:val="0"/>
        <w:adjustRightInd/>
        <w:snapToGrid/>
        <w:spacing w:line="500" w:lineRule="exact"/>
        <w:ind w:left="126" w:leftChars="60" w:firstLine="9" w:firstLineChars="4"/>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（单位电子签章）</w:t>
      </w:r>
    </w:p>
    <w:p>
      <w:pPr>
        <w:pStyle w:val="15"/>
        <w:keepNext w:val="0"/>
        <w:keepLines w:val="0"/>
        <w:pageBreakBefore w:val="0"/>
        <w:widowControl w:val="0"/>
        <w:kinsoku/>
        <w:wordWrap/>
        <w:overflowPunct/>
        <w:topLinePunct w:val="0"/>
        <w:autoSpaceDE/>
        <w:autoSpaceDN/>
        <w:bidi w:val="0"/>
        <w:adjustRightInd/>
        <w:snapToGrid/>
        <w:spacing w:line="500" w:lineRule="exact"/>
        <w:ind w:left="126" w:leftChars="60" w:firstLine="1922" w:firstLineChars="8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（电子签名或盖章）</w:t>
      </w:r>
    </w:p>
    <w:p>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default" w:ascii="宋体" w:hAnsi="宋体" w:eastAsia="宋体" w:cs="宋体"/>
          <w:color w:val="auto"/>
          <w:kern w:val="1"/>
          <w:sz w:val="24"/>
          <w:szCs w:val="24"/>
          <w:highlight w:val="none"/>
          <w:lang w:val="en-US" w:eastAsia="zh-CN" w:bidi="ar-SA"/>
        </w:rPr>
      </w:pPr>
      <w:r>
        <w:rPr>
          <w:rFonts w:hint="eastAsia" w:ascii="宋体" w:hAnsi="宋体" w:eastAsia="宋体" w:cs="宋体"/>
          <w:color w:val="auto"/>
          <w:kern w:val="1"/>
          <w:sz w:val="24"/>
          <w:szCs w:val="24"/>
          <w:highlight w:val="none"/>
          <w:lang w:val="en-US" w:eastAsia="zh-CN" w:bidi="ar-SA"/>
        </w:rPr>
        <w:t>年</w:t>
      </w:r>
      <w:r>
        <w:rPr>
          <w:rFonts w:hint="eastAsia" w:ascii="宋体" w:hAnsi="宋体" w:cs="宋体"/>
          <w:color w:val="auto"/>
          <w:kern w:val="1"/>
          <w:sz w:val="24"/>
          <w:szCs w:val="24"/>
          <w:highlight w:val="none"/>
          <w:lang w:val="en-US" w:eastAsia="zh-CN" w:bidi="ar-SA"/>
        </w:rPr>
        <w:t xml:space="preserve">    </w:t>
      </w:r>
      <w:r>
        <w:rPr>
          <w:rFonts w:hint="eastAsia" w:ascii="宋体" w:hAnsi="宋体" w:eastAsia="宋体" w:cs="宋体"/>
          <w:color w:val="auto"/>
          <w:kern w:val="1"/>
          <w:sz w:val="24"/>
          <w:szCs w:val="24"/>
          <w:highlight w:val="none"/>
          <w:lang w:val="en-US" w:eastAsia="zh-CN" w:bidi="ar-SA"/>
        </w:rPr>
        <w:t>月</w:t>
      </w:r>
      <w:r>
        <w:rPr>
          <w:rFonts w:hint="eastAsia" w:ascii="宋体" w:hAnsi="宋体" w:cs="宋体"/>
          <w:color w:val="auto"/>
          <w:kern w:val="1"/>
          <w:sz w:val="24"/>
          <w:szCs w:val="24"/>
          <w:highlight w:val="none"/>
          <w:lang w:val="en-US" w:eastAsia="zh-CN" w:bidi="ar-SA"/>
        </w:rPr>
        <w:t xml:space="preserve">   </w:t>
      </w:r>
      <w:r>
        <w:rPr>
          <w:rFonts w:hint="eastAsia" w:ascii="宋体" w:hAnsi="宋体" w:eastAsia="宋体" w:cs="宋体"/>
          <w:color w:val="auto"/>
          <w:kern w:val="1"/>
          <w:sz w:val="24"/>
          <w:szCs w:val="24"/>
          <w:highlight w:val="none"/>
          <w:lang w:val="en-US" w:eastAsia="zh-CN" w:bidi="ar-SA"/>
        </w:rPr>
        <w:t>日</w:t>
      </w: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注：第二轮报价</w:t>
      </w:r>
    </w:p>
    <w:p>
      <w:pPr>
        <w:spacing w:line="360" w:lineRule="auto"/>
        <w:rPr>
          <w:rFonts w:hint="eastAsia" w:ascii="宋体" w:hAnsi="宋体" w:eastAsia="宋体" w:cs="宋体"/>
          <w:b/>
          <w:bCs/>
          <w:color w:val="auto"/>
          <w:sz w:val="24"/>
          <w:highlight w:val="none"/>
        </w:rPr>
      </w:pPr>
      <w:bookmarkStart w:id="1205" w:name="_Toc7445"/>
      <w:bookmarkEnd w:id="1205"/>
      <w:r>
        <w:rPr>
          <w:rFonts w:hint="eastAsia" w:ascii="宋体" w:hAnsi="宋体" w:eastAsia="宋体" w:cs="宋体"/>
          <w:b/>
          <w:bCs/>
          <w:color w:val="auto"/>
          <w:sz w:val="24"/>
          <w:highlight w:val="none"/>
        </w:rPr>
        <w:t>本项目采用“不见面开标”交易方式，第二轮报价在系统上远程报价，不见面开标服务的具体事宜，请查阅信阳市公共资源交易中心网站首页—下载中心—信阳市不见面开标大厅系统操作手册。</w:t>
      </w:r>
      <w:r>
        <w:rPr>
          <w:rFonts w:hint="eastAsia" w:ascii="宋体" w:hAnsi="宋体" w:eastAsia="宋体" w:cs="宋体"/>
          <w:color w:val="auto"/>
          <w:highlight w:val="none"/>
        </w:rPr>
        <w:br w:type="page"/>
      </w:r>
    </w:p>
    <w:p>
      <w:pPr>
        <w:pStyle w:val="30"/>
        <w:jc w:val="center"/>
        <w:outlineLvl w:val="1"/>
        <w:rPr>
          <w:rFonts w:hint="eastAsia" w:ascii="宋体" w:hAnsi="宋体" w:eastAsia="宋体" w:cs="宋体"/>
          <w:b/>
          <w:color w:val="auto"/>
          <w:szCs w:val="28"/>
          <w:highlight w:val="none"/>
        </w:rPr>
      </w:pPr>
      <w:bookmarkStart w:id="1206" w:name="_Toc14851"/>
      <w:bookmarkEnd w:id="1206"/>
      <w:bookmarkStart w:id="1207" w:name="_Toc29698"/>
      <w:bookmarkEnd w:id="1207"/>
      <w:bookmarkStart w:id="1208" w:name="_Toc21518"/>
      <w:r>
        <w:rPr>
          <w:rFonts w:hint="eastAsia" w:ascii="宋体" w:hAnsi="宋体" w:eastAsia="宋体" w:cs="宋体"/>
          <w:b/>
          <w:color w:val="auto"/>
          <w:szCs w:val="28"/>
          <w:highlight w:val="none"/>
        </w:rPr>
        <w:t>二、法定代表人（单位负责人）身份证明</w:t>
      </w:r>
      <w:bookmarkEnd w:id="1208"/>
    </w:p>
    <w:p>
      <w:pPr>
        <w:spacing w:line="440" w:lineRule="exact"/>
        <w:jc w:val="center"/>
        <w:outlineLvl w:val="9"/>
        <w:rPr>
          <w:rFonts w:hint="eastAsia" w:ascii="宋体" w:hAnsi="宋体" w:eastAsia="宋体" w:cs="宋体"/>
          <w:color w:val="auto"/>
          <w:szCs w:val="21"/>
          <w:highlight w:val="none"/>
        </w:rPr>
      </w:pPr>
    </w:p>
    <w:p>
      <w:pPr>
        <w:spacing w:line="44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 </w:t>
      </w:r>
    </w:p>
    <w:p>
      <w:pPr>
        <w:spacing w:line="44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 </w:t>
      </w:r>
    </w:p>
    <w:p>
      <w:pPr>
        <w:spacing w:line="44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color="auto"/>
        </w:rPr>
        <w:t xml:space="preserve">                                   </w:t>
      </w:r>
    </w:p>
    <w:p>
      <w:pPr>
        <w:spacing w:line="44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 日</w:t>
      </w:r>
    </w:p>
    <w:p>
      <w:pPr>
        <w:spacing w:line="44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color="auto"/>
        </w:rPr>
        <w:t xml:space="preserve">                               </w:t>
      </w:r>
    </w:p>
    <w:p>
      <w:pPr>
        <w:spacing w:line="44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color="auto"/>
        </w:rPr>
        <w:t xml:space="preserve">        </w:t>
      </w:r>
    </w:p>
    <w:p>
      <w:pPr>
        <w:spacing w:line="44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 （供应商名称）的法定代表人。</w:t>
      </w:r>
    </w:p>
    <w:p>
      <w:pPr>
        <w:spacing w:line="440" w:lineRule="exact"/>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440" w:lineRule="exact"/>
        <w:outlineLvl w:val="9"/>
        <w:rPr>
          <w:rFonts w:hint="eastAsia" w:ascii="宋体" w:hAnsi="宋体" w:eastAsia="宋体" w:cs="宋体"/>
          <w:color w:val="auto"/>
          <w:sz w:val="24"/>
          <w:szCs w:val="24"/>
          <w:highlight w:val="none"/>
        </w:rPr>
      </w:pPr>
    </w:p>
    <w:p>
      <w:pPr>
        <w:spacing w:line="440" w:lineRule="exact"/>
        <w:outlineLvl w:val="9"/>
        <w:rPr>
          <w:rFonts w:hint="eastAsia" w:ascii="宋体" w:hAnsi="宋体" w:eastAsia="宋体" w:cs="宋体"/>
          <w:color w:val="auto"/>
          <w:sz w:val="24"/>
          <w:szCs w:val="24"/>
          <w:highlight w:val="none"/>
        </w:rPr>
      </w:pPr>
    </w:p>
    <w:p>
      <w:pPr>
        <w:spacing w:line="440" w:lineRule="exact"/>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（单位电子签章）</w:t>
      </w:r>
    </w:p>
    <w:p>
      <w:pPr>
        <w:spacing w:line="440" w:lineRule="exact"/>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日 </w:t>
      </w:r>
    </w:p>
    <w:p>
      <w:pPr>
        <w:spacing w:line="440" w:lineRule="exact"/>
        <w:outlineLvl w:val="9"/>
        <w:rPr>
          <w:rFonts w:hint="eastAsia" w:ascii="宋体" w:hAnsi="宋体" w:eastAsia="宋体" w:cs="宋体"/>
          <w:color w:val="auto"/>
          <w:szCs w:val="21"/>
          <w:highlight w:val="none"/>
        </w:rPr>
      </w:pPr>
    </w:p>
    <w:p>
      <w:pPr>
        <w:spacing w:line="440" w:lineRule="exact"/>
        <w:outlineLvl w:val="9"/>
        <w:rPr>
          <w:rFonts w:hint="eastAsia" w:ascii="宋体" w:hAnsi="宋体" w:eastAsia="宋体" w:cs="宋体"/>
          <w:color w:val="auto"/>
          <w:szCs w:val="21"/>
          <w:highlight w:val="none"/>
        </w:rPr>
      </w:pPr>
    </w:p>
    <w:tbl>
      <w:tblPr>
        <w:tblStyle w:val="23"/>
        <w:tblW w:w="8528" w:type="dxa"/>
        <w:tblInd w:w="-108" w:type="dxa"/>
        <w:tblLayout w:type="fixed"/>
        <w:tblCellMar>
          <w:top w:w="0" w:type="dxa"/>
          <w:left w:w="10" w:type="dxa"/>
          <w:bottom w:w="0" w:type="dxa"/>
          <w:right w:w="10" w:type="dxa"/>
        </w:tblCellMar>
      </w:tblPr>
      <w:tblGrid>
        <w:gridCol w:w="8528"/>
      </w:tblGrid>
      <w:tr>
        <w:trPr>
          <w:trHeight w:val="4029" w:hRule="atLeast"/>
        </w:trPr>
        <w:tc>
          <w:tcPr>
            <w:tcW w:w="8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法定代表人身份证扫描件</w:t>
            </w:r>
          </w:p>
          <w:p>
            <w:pPr>
              <w:spacing w:line="440" w:lineRule="exact"/>
              <w:jc w:val="center"/>
              <w:outlineLvl w:val="9"/>
              <w:rPr>
                <w:rFonts w:hint="eastAsia" w:ascii="宋体" w:hAnsi="宋体" w:eastAsia="宋体" w:cs="宋体"/>
                <w:color w:val="auto"/>
                <w:szCs w:val="21"/>
                <w:highlight w:val="none"/>
              </w:rPr>
            </w:pPr>
          </w:p>
        </w:tc>
      </w:tr>
    </w:tbl>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Cs w:val="21"/>
          <w:highlight w:val="none"/>
        </w:rPr>
      </w:pPr>
    </w:p>
    <w:p>
      <w:pPr>
        <w:spacing w:line="440" w:lineRule="exact"/>
        <w:rPr>
          <w:rFonts w:hint="eastAsia" w:ascii="宋体" w:hAnsi="宋体" w:eastAsia="宋体" w:cs="宋体"/>
          <w:color w:val="auto"/>
          <w:sz w:val="20"/>
          <w:szCs w:val="20"/>
          <w:highlight w:val="none"/>
        </w:rPr>
      </w:pPr>
    </w:p>
    <w:p>
      <w:pPr>
        <w:spacing w:line="440" w:lineRule="exact"/>
        <w:rPr>
          <w:rFonts w:hint="eastAsia" w:ascii="宋体" w:hAnsi="宋体" w:eastAsia="宋体" w:cs="宋体"/>
          <w:color w:val="auto"/>
          <w:sz w:val="20"/>
          <w:szCs w:val="20"/>
          <w:highlight w:val="none"/>
        </w:rPr>
      </w:pPr>
    </w:p>
    <w:p>
      <w:pPr>
        <w:spacing w:line="440" w:lineRule="exact"/>
        <w:rPr>
          <w:rFonts w:hint="eastAsia" w:ascii="宋体" w:hAnsi="宋体" w:eastAsia="宋体" w:cs="宋体"/>
          <w:color w:val="auto"/>
          <w:sz w:val="20"/>
          <w:szCs w:val="20"/>
          <w:highlight w:val="none"/>
        </w:rPr>
      </w:pPr>
    </w:p>
    <w:p>
      <w:pPr>
        <w:pStyle w:val="9"/>
        <w:numPr>
          <w:ilvl w:val="0"/>
          <w:numId w:val="0"/>
        </w:numPr>
        <w:ind w:left="0"/>
        <w:jc w:val="center"/>
        <w:outlineLvl w:val="1"/>
        <w:rPr>
          <w:rFonts w:hint="eastAsia" w:ascii="宋体" w:hAnsi="宋体" w:eastAsia="宋体" w:cs="宋体"/>
          <w:color w:val="auto"/>
          <w:sz w:val="28"/>
          <w:highlight w:val="none"/>
        </w:rPr>
      </w:pPr>
      <w:bookmarkStart w:id="1209" w:name="_Toc441791190"/>
      <w:bookmarkEnd w:id="1209"/>
      <w:bookmarkStart w:id="1210" w:name="_Toc318989765"/>
      <w:bookmarkEnd w:id="1210"/>
      <w:bookmarkStart w:id="1211" w:name="_Toc26203"/>
      <w:bookmarkEnd w:id="1211"/>
      <w:bookmarkStart w:id="1212" w:name="_Toc202941490"/>
      <w:bookmarkEnd w:id="1212"/>
      <w:bookmarkStart w:id="1213" w:name="_Toc23376"/>
      <w:bookmarkEnd w:id="1213"/>
      <w:bookmarkStart w:id="1214" w:name="_Toc4123"/>
      <w:bookmarkEnd w:id="1214"/>
      <w:bookmarkStart w:id="1215" w:name="_Toc24565"/>
      <w:bookmarkEnd w:id="1215"/>
      <w:bookmarkStart w:id="1216" w:name="_Toc466298162"/>
      <w:bookmarkEnd w:id="1216"/>
      <w:bookmarkStart w:id="1217" w:name="_Toc30608"/>
      <w:r>
        <w:rPr>
          <w:rFonts w:hint="eastAsia" w:ascii="宋体" w:hAnsi="宋体" w:eastAsia="宋体" w:cs="宋体"/>
          <w:color w:val="auto"/>
          <w:sz w:val="28"/>
          <w:highlight w:val="none"/>
        </w:rPr>
        <w:t>三、法定代表人授权书</w:t>
      </w:r>
      <w:bookmarkEnd w:id="1217"/>
    </w:p>
    <w:p>
      <w:pPr>
        <w:spacing w:line="440" w:lineRule="exact"/>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（供应商名称）的法定代表人，现委托</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（项目名称）响应文件、签订合同和处理有关事宜，其法律后果由我方承担。</w:t>
      </w:r>
    </w:p>
    <w:p>
      <w:pPr>
        <w:spacing w:line="44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委托期限：</w:t>
      </w:r>
      <w:r>
        <w:rPr>
          <w:rFonts w:hint="eastAsia" w:ascii="宋体" w:hAnsi="宋体" w:eastAsia="宋体" w:cs="宋体"/>
          <w:color w:val="auto"/>
          <w:sz w:val="24"/>
          <w:szCs w:val="32"/>
          <w:highlight w:val="none"/>
        </w:rPr>
        <w:t>自本委托书签署之日起至磋商有效期期满。</w:t>
      </w:r>
    </w:p>
    <w:p>
      <w:pPr>
        <w:spacing w:line="440" w:lineRule="exact"/>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spacing w:line="440" w:lineRule="exact"/>
        <w:outlineLvl w:val="9"/>
        <w:rPr>
          <w:rFonts w:hint="eastAsia" w:ascii="宋体" w:hAnsi="宋体" w:eastAsia="宋体" w:cs="宋体"/>
          <w:color w:val="auto"/>
          <w:sz w:val="24"/>
          <w:szCs w:val="24"/>
          <w:highlight w:val="none"/>
        </w:rPr>
      </w:pPr>
    </w:p>
    <w:p>
      <w:pPr>
        <w:spacing w:line="440" w:lineRule="exact"/>
        <w:outlineLvl w:val="9"/>
        <w:rPr>
          <w:rFonts w:hint="eastAsia" w:ascii="宋体" w:hAnsi="宋体" w:eastAsia="宋体" w:cs="宋体"/>
          <w:color w:val="auto"/>
          <w:sz w:val="24"/>
          <w:szCs w:val="24"/>
          <w:highlight w:val="none"/>
        </w:rPr>
      </w:pPr>
    </w:p>
    <w:p>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（单位电子签章）</w:t>
      </w:r>
    </w:p>
    <w:p>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（电子签名或盖章）</w:t>
      </w:r>
    </w:p>
    <w:p>
      <w:pPr>
        <w:spacing w:line="440" w:lineRule="exact"/>
        <w:ind w:firstLine="2880" w:firstLineChars="1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none" w:color="auto"/>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none" w:color="auto"/>
        </w:rPr>
        <w:t xml:space="preserve">            </w:t>
      </w:r>
      <w:r>
        <w:rPr>
          <w:rFonts w:hint="eastAsia" w:ascii="宋体" w:hAnsi="宋体" w:eastAsia="宋体" w:cs="宋体"/>
          <w:color w:val="auto"/>
          <w:sz w:val="24"/>
          <w:szCs w:val="24"/>
          <w:highlight w:val="none"/>
          <w:u w:val="single" w:color="auto"/>
        </w:rPr>
        <w:t xml:space="preserve">             </w:t>
      </w:r>
    </w:p>
    <w:p>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委托代理人：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（签字或盖章）</w:t>
      </w:r>
    </w:p>
    <w:p>
      <w:pPr>
        <w:spacing w:line="440" w:lineRule="exact"/>
        <w:ind w:firstLine="2880" w:firstLineChars="1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color="auto"/>
        </w:rPr>
        <w:t xml:space="preserve">                              </w:t>
      </w:r>
    </w:p>
    <w:p>
      <w:pPr>
        <w:spacing w:line="440" w:lineRule="exact"/>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32"/>
          <w:highlight w:val="none"/>
        </w:rPr>
      </w:pPr>
    </w:p>
    <w:tbl>
      <w:tblPr>
        <w:tblStyle w:val="23"/>
        <w:tblW w:w="8528" w:type="dxa"/>
        <w:tblInd w:w="-108" w:type="dxa"/>
        <w:tblLayout w:type="fixed"/>
        <w:tblCellMar>
          <w:top w:w="0" w:type="dxa"/>
          <w:left w:w="10" w:type="dxa"/>
          <w:bottom w:w="0" w:type="dxa"/>
          <w:right w:w="10" w:type="dxa"/>
        </w:tblCellMar>
      </w:tblPr>
      <w:tblGrid>
        <w:gridCol w:w="8528"/>
      </w:tblGrid>
      <w:tr>
        <w:tblPrEx>
          <w:tblCellMar>
            <w:top w:w="0" w:type="dxa"/>
            <w:left w:w="10" w:type="dxa"/>
            <w:bottom w:w="0" w:type="dxa"/>
            <w:right w:w="10" w:type="dxa"/>
          </w:tblCellMar>
        </w:tblPrEx>
        <w:trPr>
          <w:trHeight w:val="3375" w:hRule="atLeast"/>
        </w:trPr>
        <w:tc>
          <w:tcPr>
            <w:tcW w:w="85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委托代理人身份证扫描件及法人身份证扫描件</w:t>
            </w:r>
          </w:p>
          <w:p>
            <w:pPr>
              <w:spacing w:line="440" w:lineRule="exact"/>
              <w:jc w:val="center"/>
              <w:outlineLvl w:val="9"/>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Cs w:val="21"/>
          <w:highlight w:val="none"/>
        </w:rPr>
      </w:pPr>
    </w:p>
    <w:p>
      <w:pPr>
        <w:spacing w:line="440" w:lineRule="exact"/>
        <w:ind w:firstLine="2310"/>
        <w:rPr>
          <w:rFonts w:hint="eastAsia" w:ascii="宋体" w:hAnsi="宋体" w:eastAsia="宋体" w:cs="宋体"/>
          <w:color w:val="auto"/>
          <w:szCs w:val="21"/>
          <w:highlight w:val="none"/>
        </w:rPr>
      </w:pPr>
    </w:p>
    <w:p>
      <w:pPr>
        <w:spacing w:line="400" w:lineRule="exact"/>
        <w:rPr>
          <w:rFonts w:hint="eastAsia" w:ascii="宋体" w:hAnsi="宋体" w:eastAsia="宋体" w:cs="宋体"/>
          <w:color w:val="auto"/>
          <w:sz w:val="20"/>
          <w:szCs w:val="20"/>
          <w:highlight w:val="none"/>
        </w:rPr>
      </w:pPr>
    </w:p>
    <w:p>
      <w:pPr>
        <w:rPr>
          <w:rFonts w:hint="eastAsia" w:ascii="宋体" w:hAnsi="宋体" w:eastAsia="宋体" w:cs="宋体"/>
          <w:color w:val="auto"/>
          <w:highlight w:val="none"/>
        </w:rPr>
      </w:pPr>
      <w:bookmarkStart w:id="1218" w:name="_Toc144974862"/>
      <w:bookmarkEnd w:id="1218"/>
    </w:p>
    <w:p>
      <w:pPr>
        <w:rPr>
          <w:rFonts w:hint="eastAsia" w:ascii="宋体" w:hAnsi="宋体" w:eastAsia="宋体" w:cs="宋体"/>
          <w:color w:val="auto"/>
          <w:highlight w:val="none"/>
        </w:rPr>
      </w:pPr>
    </w:p>
    <w:p>
      <w:pPr>
        <w:pStyle w:val="9"/>
        <w:numPr>
          <w:ilvl w:val="0"/>
          <w:numId w:val="0"/>
        </w:numPr>
        <w:ind w:left="0"/>
        <w:jc w:val="center"/>
        <w:outlineLvl w:val="1"/>
        <w:rPr>
          <w:rFonts w:hint="eastAsia" w:ascii="宋体" w:hAnsi="宋体" w:eastAsia="宋体" w:cs="宋体"/>
          <w:color w:val="auto"/>
          <w:sz w:val="28"/>
          <w:highlight w:val="none"/>
        </w:rPr>
      </w:pPr>
      <w:bookmarkStart w:id="1219" w:name="_Toc21839"/>
      <w:bookmarkEnd w:id="1219"/>
      <w:bookmarkStart w:id="1220" w:name="_Toc475624455"/>
      <w:bookmarkEnd w:id="1220"/>
      <w:bookmarkStart w:id="1221" w:name="_Toc22392"/>
      <w:bookmarkEnd w:id="1221"/>
      <w:bookmarkStart w:id="1222" w:name="_Toc3963"/>
      <w:bookmarkEnd w:id="1222"/>
      <w:bookmarkStart w:id="1223" w:name="_Toc25711"/>
      <w:bookmarkEnd w:id="1223"/>
      <w:bookmarkStart w:id="1224" w:name="_Toc32313"/>
      <w:r>
        <w:rPr>
          <w:rFonts w:hint="eastAsia" w:ascii="宋体" w:hAnsi="宋体" w:eastAsia="宋体" w:cs="宋体"/>
          <w:color w:val="auto"/>
          <w:sz w:val="28"/>
          <w:highlight w:val="none"/>
        </w:rPr>
        <w:t>四、已标价工程量清单</w:t>
      </w:r>
      <w:bookmarkEnd w:id="1224"/>
    </w:p>
    <w:p>
      <w:pPr>
        <w:spacing w:line="360" w:lineRule="auto"/>
        <w:ind w:firstLine="480"/>
        <w:rPr>
          <w:rFonts w:hint="eastAsia" w:ascii="宋体" w:hAnsi="宋体" w:eastAsia="宋体" w:cs="宋体"/>
          <w:color w:val="auto"/>
          <w:sz w:val="24"/>
          <w:highlight w:val="none"/>
        </w:rPr>
      </w:pPr>
    </w:p>
    <w:p>
      <w:pPr>
        <w:spacing w:line="360" w:lineRule="auto"/>
        <w:ind w:firstLine="480"/>
        <w:rPr>
          <w:rFonts w:hint="eastAsia" w:ascii="宋体" w:hAnsi="宋体" w:eastAsia="宋体" w:cs="宋体"/>
          <w:color w:val="auto"/>
          <w:sz w:val="24"/>
          <w:highlight w:val="none"/>
        </w:rPr>
      </w:pPr>
    </w:p>
    <w:p>
      <w:pPr>
        <w:pStyle w:val="9"/>
        <w:numPr>
          <w:ilvl w:val="0"/>
          <w:numId w:val="0"/>
        </w:numPr>
        <w:ind w:left="0"/>
        <w:jc w:val="center"/>
        <w:outlineLvl w:val="9"/>
        <w:rPr>
          <w:rFonts w:hint="eastAsia" w:ascii="宋体" w:hAnsi="宋体" w:eastAsia="宋体" w:cs="宋体"/>
          <w:b w:val="0"/>
          <w:bCs w:val="0"/>
          <w:color w:val="auto"/>
          <w:sz w:val="28"/>
          <w:highlight w:val="none"/>
        </w:rPr>
      </w:pPr>
    </w:p>
    <w:p>
      <w:pPr>
        <w:spacing w:line="460" w:lineRule="exact"/>
        <w:ind w:firstLine="360"/>
        <w:rPr>
          <w:rFonts w:hint="eastAsia" w:ascii="宋体" w:hAnsi="宋体" w:eastAsia="宋体" w:cs="宋体"/>
          <w:color w:val="auto"/>
          <w:sz w:val="24"/>
          <w:highlight w:val="none"/>
        </w:rPr>
      </w:pPr>
    </w:p>
    <w:p>
      <w:pPr>
        <w:spacing w:line="460" w:lineRule="exact"/>
        <w:rPr>
          <w:rFonts w:hint="eastAsia" w:ascii="宋体" w:hAnsi="宋体" w:eastAsia="宋体" w:cs="宋体"/>
          <w:color w:val="auto"/>
          <w:szCs w:val="21"/>
          <w:highlight w:val="none"/>
        </w:rPr>
      </w:pPr>
    </w:p>
    <w:p>
      <w:pPr>
        <w:pStyle w:val="9"/>
        <w:numPr>
          <w:ilvl w:val="0"/>
          <w:numId w:val="0"/>
        </w:numPr>
        <w:ind w:left="0"/>
        <w:jc w:val="center"/>
        <w:outlineLvl w:val="9"/>
        <w:rPr>
          <w:rFonts w:hint="eastAsia" w:ascii="宋体" w:hAnsi="宋体" w:eastAsia="宋体" w:cs="宋体"/>
          <w:color w:val="auto"/>
          <w:sz w:val="28"/>
          <w:highlight w:val="none"/>
        </w:rPr>
      </w:pPr>
      <w:bookmarkStart w:id="1225" w:name="_Toc22948"/>
      <w:bookmarkEnd w:id="1225"/>
      <w:bookmarkStart w:id="1226" w:name="_Toc475624456"/>
      <w:bookmarkEnd w:id="1226"/>
      <w:bookmarkStart w:id="1227" w:name="_Toc5450"/>
      <w:bookmarkEnd w:id="1227"/>
    </w:p>
    <w:p>
      <w:pPr>
        <w:rPr>
          <w:rFonts w:hint="eastAsia" w:ascii="宋体" w:hAnsi="宋体" w:eastAsia="宋体" w:cs="宋体"/>
          <w:color w:val="auto"/>
          <w:highlight w:val="none"/>
        </w:rPr>
        <w:sectPr>
          <w:headerReference r:id="rId10" w:type="default"/>
          <w:footerReference r:id="rId11" w:type="default"/>
          <w:footnotePr>
            <w:numFmt w:val="decimal"/>
          </w:footnotePr>
          <w:endnotePr>
            <w:numFmt w:val="decimal"/>
          </w:endnotePr>
          <w:pgSz w:w="11905" w:h="16838"/>
          <w:pgMar w:top="1440" w:right="1803" w:bottom="1440" w:left="1803" w:header="850" w:footer="850" w:gutter="0"/>
          <w:pgNumType w:fmt="decimal"/>
          <w:cols w:space="720" w:num="1"/>
        </w:sectPr>
      </w:pPr>
    </w:p>
    <w:p>
      <w:pPr>
        <w:pStyle w:val="9"/>
        <w:numPr>
          <w:ilvl w:val="0"/>
          <w:numId w:val="0"/>
        </w:numPr>
        <w:ind w:left="0"/>
        <w:jc w:val="center"/>
        <w:outlineLvl w:val="1"/>
        <w:rPr>
          <w:rFonts w:hint="eastAsia" w:ascii="宋体" w:hAnsi="宋体" w:eastAsia="宋体" w:cs="宋体"/>
          <w:color w:val="auto"/>
          <w:sz w:val="28"/>
          <w:highlight w:val="none"/>
        </w:rPr>
      </w:pPr>
      <w:bookmarkStart w:id="1228" w:name="_Toc28162"/>
      <w:bookmarkEnd w:id="1228"/>
      <w:bookmarkStart w:id="1229" w:name="_Toc5494"/>
      <w:bookmarkEnd w:id="1229"/>
      <w:bookmarkStart w:id="1230" w:name="_Toc15517"/>
      <w:r>
        <w:rPr>
          <w:rFonts w:hint="eastAsia" w:ascii="宋体" w:hAnsi="宋体" w:eastAsia="宋体" w:cs="宋体"/>
          <w:color w:val="auto"/>
          <w:sz w:val="28"/>
          <w:highlight w:val="none"/>
        </w:rPr>
        <w:t>五、技术部分</w:t>
      </w:r>
      <w:bookmarkEnd w:id="1230"/>
    </w:p>
    <w:p>
      <w:pPr>
        <w:spacing w:line="420" w:lineRule="exact"/>
        <w:ind w:firstLine="480"/>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（格式自拟）</w:t>
      </w:r>
    </w:p>
    <w:p>
      <w:pPr>
        <w:spacing w:line="420" w:lineRule="exact"/>
        <w:ind w:firstLine="480"/>
        <w:rPr>
          <w:rFonts w:hint="eastAsia" w:ascii="宋体" w:hAnsi="宋体" w:eastAsia="宋体" w:cs="宋体"/>
          <w:color w:val="auto"/>
          <w:sz w:val="24"/>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rPr>
          <w:rFonts w:hint="eastAsia" w:ascii="宋体" w:hAnsi="宋体" w:eastAsia="宋体" w:cs="宋体"/>
          <w:color w:val="auto"/>
          <w:highlight w:val="none"/>
        </w:rPr>
      </w:pPr>
    </w:p>
    <w:p>
      <w:pPr>
        <w:spacing w:line="420" w:lineRule="exact"/>
        <w:rPr>
          <w:rFonts w:hint="eastAsia" w:ascii="宋体" w:hAnsi="宋体" w:eastAsia="宋体" w:cs="宋体"/>
          <w:color w:val="auto"/>
          <w:szCs w:val="21"/>
          <w:highlight w:val="none"/>
        </w:rPr>
      </w:pPr>
    </w:p>
    <w:p>
      <w:pPr>
        <w:spacing w:line="420" w:lineRule="exact"/>
        <w:rPr>
          <w:rFonts w:hint="eastAsia" w:ascii="宋体" w:hAnsi="宋体" w:eastAsia="宋体" w:cs="宋体"/>
          <w:color w:val="auto"/>
          <w:szCs w:val="21"/>
          <w:highlight w:val="none"/>
        </w:rPr>
      </w:pPr>
    </w:p>
    <w:p>
      <w:pPr>
        <w:pStyle w:val="9"/>
        <w:numPr>
          <w:ilvl w:val="0"/>
          <w:numId w:val="0"/>
        </w:numPr>
        <w:spacing w:before="0" w:after="0" w:line="360" w:lineRule="auto"/>
        <w:ind w:left="0"/>
        <w:jc w:val="center"/>
        <w:outlineLvl w:val="1"/>
        <w:rPr>
          <w:rFonts w:hint="eastAsia" w:ascii="宋体" w:hAnsi="宋体" w:eastAsia="宋体" w:cs="宋体"/>
          <w:color w:val="auto"/>
          <w:sz w:val="28"/>
          <w:highlight w:val="none"/>
        </w:rPr>
      </w:pPr>
      <w:bookmarkStart w:id="1231" w:name="_Toc475624457"/>
      <w:bookmarkEnd w:id="1231"/>
      <w:bookmarkStart w:id="1232" w:name="_Toc1943"/>
      <w:bookmarkEnd w:id="1232"/>
      <w:bookmarkStart w:id="1233" w:name="_Toc7110"/>
      <w:bookmarkEnd w:id="1233"/>
      <w:bookmarkStart w:id="1234" w:name="_Toc5603"/>
      <w:bookmarkEnd w:id="1234"/>
      <w:bookmarkStart w:id="1235" w:name="_Toc17023"/>
      <w:bookmarkEnd w:id="1235"/>
      <w:bookmarkStart w:id="1236" w:name="_Toc22663"/>
      <w:r>
        <w:rPr>
          <w:rFonts w:hint="eastAsia" w:ascii="宋体" w:hAnsi="宋体" w:eastAsia="宋体" w:cs="宋体"/>
          <w:color w:val="auto"/>
          <w:sz w:val="28"/>
          <w:highlight w:val="none"/>
        </w:rPr>
        <w:t>六、项目管理机构</w:t>
      </w:r>
      <w:bookmarkEnd w:id="1236"/>
    </w:p>
    <w:p>
      <w:pPr>
        <w:pStyle w:val="11"/>
        <w:numPr>
          <w:ilvl w:val="0"/>
          <w:numId w:val="0"/>
        </w:numPr>
        <w:spacing w:before="0" w:after="0" w:line="360" w:lineRule="auto"/>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（一）项目管理机构组成表</w:t>
      </w:r>
    </w:p>
    <w:tbl>
      <w:tblPr>
        <w:tblStyle w:val="23"/>
        <w:tblW w:w="9240" w:type="dxa"/>
        <w:tblInd w:w="0" w:type="dxa"/>
        <w:tblLayout w:type="fixed"/>
        <w:tblCellMar>
          <w:top w:w="0" w:type="dxa"/>
          <w:left w:w="10" w:type="dxa"/>
          <w:bottom w:w="0" w:type="dxa"/>
          <w:right w:w="10" w:type="dxa"/>
        </w:tblCellMar>
      </w:tblPr>
      <w:tblGrid>
        <w:gridCol w:w="1027"/>
        <w:gridCol w:w="1028"/>
        <w:gridCol w:w="1027"/>
        <w:gridCol w:w="1643"/>
        <w:gridCol w:w="1116"/>
        <w:gridCol w:w="1142"/>
        <w:gridCol w:w="1231"/>
        <w:gridCol w:w="1026"/>
      </w:tblGrid>
      <w:tr>
        <w:tblPrEx>
          <w:tblCellMar>
            <w:top w:w="0" w:type="dxa"/>
            <w:left w:w="10" w:type="dxa"/>
            <w:bottom w:w="0" w:type="dxa"/>
            <w:right w:w="10" w:type="dxa"/>
          </w:tblCellMar>
        </w:tblPrEx>
        <w:trPr>
          <w:trHeight w:val="697" w:hRule="atLeast"/>
        </w:trPr>
        <w:tc>
          <w:tcPr>
            <w:tcW w:w="102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028"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2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513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02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CellMar>
            <w:top w:w="0" w:type="dxa"/>
            <w:left w:w="10" w:type="dxa"/>
            <w:bottom w:w="0" w:type="dxa"/>
            <w:right w:w="10" w:type="dxa"/>
          </w:tblCellMar>
        </w:tblPrEx>
        <w:trPr>
          <w:trHeight w:val="697" w:hRule="atLeast"/>
        </w:trPr>
        <w:tc>
          <w:tcPr>
            <w:tcW w:w="10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color w:val="auto"/>
                <w:sz w:val="24"/>
                <w:szCs w:val="32"/>
                <w:highlight w:val="none"/>
              </w:rPr>
            </w:pPr>
          </w:p>
        </w:tc>
        <w:tc>
          <w:tcPr>
            <w:tcW w:w="1028"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color w:val="auto"/>
                <w:sz w:val="24"/>
                <w:szCs w:val="32"/>
                <w:highlight w:val="none"/>
              </w:rPr>
            </w:pPr>
          </w:p>
        </w:tc>
        <w:tc>
          <w:tcPr>
            <w:tcW w:w="102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color w:val="auto"/>
                <w:sz w:val="24"/>
                <w:szCs w:val="32"/>
                <w:highlight w:val="none"/>
              </w:rPr>
            </w:pPr>
          </w:p>
        </w:tc>
        <w:tc>
          <w:tcPr>
            <w:tcW w:w="16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11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02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宋体" w:hAnsi="宋体" w:eastAsia="宋体" w:cs="宋体"/>
                <w:color w:val="auto"/>
                <w:sz w:val="24"/>
                <w:szCs w:val="32"/>
                <w:highlight w:val="none"/>
              </w:rPr>
            </w:pPr>
          </w:p>
        </w:tc>
      </w:tr>
      <w:tr>
        <w:tblPrEx>
          <w:tblCellMar>
            <w:top w:w="0" w:type="dxa"/>
            <w:left w:w="10" w:type="dxa"/>
            <w:bottom w:w="0" w:type="dxa"/>
            <w:right w:w="10" w:type="dxa"/>
          </w:tblCellMar>
        </w:tblPrEx>
        <w:trPr>
          <w:trHeight w:val="697" w:hRule="atLeast"/>
        </w:trPr>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p>
        </w:tc>
        <w:tc>
          <w:tcPr>
            <w:tcW w:w="16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p>
        </w:tc>
        <w:tc>
          <w:tcPr>
            <w:tcW w:w="11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p>
        </w:tc>
        <w:tc>
          <w:tcPr>
            <w:tcW w:w="10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97" w:hRule="atLeast"/>
        </w:trPr>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6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1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0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r>
      <w:tr>
        <w:tblPrEx>
          <w:tblCellMar>
            <w:top w:w="0" w:type="dxa"/>
            <w:left w:w="10" w:type="dxa"/>
            <w:bottom w:w="0" w:type="dxa"/>
            <w:right w:w="10" w:type="dxa"/>
          </w:tblCellMar>
        </w:tblPrEx>
        <w:trPr>
          <w:trHeight w:val="697" w:hRule="atLeast"/>
        </w:trPr>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6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1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0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r>
      <w:tr>
        <w:tblPrEx>
          <w:tblCellMar>
            <w:top w:w="0" w:type="dxa"/>
            <w:left w:w="10" w:type="dxa"/>
            <w:bottom w:w="0" w:type="dxa"/>
            <w:right w:w="10" w:type="dxa"/>
          </w:tblCellMar>
        </w:tblPrEx>
        <w:trPr>
          <w:trHeight w:val="697" w:hRule="atLeast"/>
        </w:trPr>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6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1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c>
          <w:tcPr>
            <w:tcW w:w="10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Cs w:val="21"/>
                <w:highlight w:val="none"/>
              </w:rPr>
            </w:pPr>
          </w:p>
        </w:tc>
      </w:tr>
      <w:tr>
        <w:tblPrEx>
          <w:tblCellMar>
            <w:top w:w="0" w:type="dxa"/>
            <w:left w:w="10" w:type="dxa"/>
            <w:bottom w:w="0" w:type="dxa"/>
            <w:right w:w="10" w:type="dxa"/>
          </w:tblCellMar>
        </w:tblPrEx>
        <w:trPr>
          <w:trHeight w:val="697" w:hRule="atLeast"/>
        </w:trPr>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6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1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0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r>
      <w:tr>
        <w:tblPrEx>
          <w:tblCellMar>
            <w:top w:w="0" w:type="dxa"/>
            <w:left w:w="10" w:type="dxa"/>
            <w:bottom w:w="0" w:type="dxa"/>
            <w:right w:w="10" w:type="dxa"/>
          </w:tblCellMar>
        </w:tblPrEx>
        <w:trPr>
          <w:trHeight w:val="697" w:hRule="atLeast"/>
        </w:trPr>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6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1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0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r>
      <w:tr>
        <w:tblPrEx>
          <w:tblCellMar>
            <w:top w:w="0" w:type="dxa"/>
            <w:left w:w="10" w:type="dxa"/>
            <w:bottom w:w="0" w:type="dxa"/>
            <w:right w:w="10" w:type="dxa"/>
          </w:tblCellMar>
        </w:tblPrEx>
        <w:trPr>
          <w:trHeight w:val="697" w:hRule="atLeast"/>
        </w:trPr>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6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1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0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r>
      <w:tr>
        <w:tblPrEx>
          <w:tblCellMar>
            <w:top w:w="0" w:type="dxa"/>
            <w:left w:w="10" w:type="dxa"/>
            <w:bottom w:w="0" w:type="dxa"/>
            <w:right w:w="10" w:type="dxa"/>
          </w:tblCellMar>
        </w:tblPrEx>
        <w:trPr>
          <w:trHeight w:val="697" w:hRule="atLeast"/>
        </w:trPr>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6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1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c>
          <w:tcPr>
            <w:tcW w:w="10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4"/>
                <w:highlight w:val="none"/>
              </w:rPr>
            </w:pPr>
          </w:p>
        </w:tc>
      </w:tr>
      <w:tr>
        <w:tblPrEx>
          <w:tblCellMar>
            <w:top w:w="0" w:type="dxa"/>
            <w:left w:w="10" w:type="dxa"/>
            <w:bottom w:w="0" w:type="dxa"/>
            <w:right w:w="10" w:type="dxa"/>
          </w:tblCellMar>
        </w:tblPrEx>
        <w:trPr>
          <w:trHeight w:val="697" w:hRule="atLeast"/>
        </w:trPr>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6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1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r>
      <w:tr>
        <w:tblPrEx>
          <w:tblCellMar>
            <w:top w:w="0" w:type="dxa"/>
            <w:left w:w="10" w:type="dxa"/>
            <w:bottom w:w="0" w:type="dxa"/>
            <w:right w:w="10" w:type="dxa"/>
          </w:tblCellMar>
        </w:tblPrEx>
        <w:trPr>
          <w:trHeight w:val="697" w:hRule="atLeast"/>
        </w:trPr>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6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1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r>
      <w:tr>
        <w:tblPrEx>
          <w:tblCellMar>
            <w:top w:w="0" w:type="dxa"/>
            <w:left w:w="10" w:type="dxa"/>
            <w:bottom w:w="0" w:type="dxa"/>
            <w:right w:w="10" w:type="dxa"/>
          </w:tblCellMar>
        </w:tblPrEx>
        <w:trPr>
          <w:trHeight w:val="697" w:hRule="atLeast"/>
        </w:trPr>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6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1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r>
      <w:tr>
        <w:tblPrEx>
          <w:tblCellMar>
            <w:top w:w="0" w:type="dxa"/>
            <w:left w:w="10" w:type="dxa"/>
            <w:bottom w:w="0" w:type="dxa"/>
            <w:right w:w="10" w:type="dxa"/>
          </w:tblCellMar>
        </w:tblPrEx>
        <w:trPr>
          <w:trHeight w:val="697" w:hRule="atLeast"/>
        </w:trPr>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6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1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r>
      <w:tr>
        <w:tblPrEx>
          <w:tblCellMar>
            <w:top w:w="0" w:type="dxa"/>
            <w:left w:w="10" w:type="dxa"/>
            <w:bottom w:w="0" w:type="dxa"/>
            <w:right w:w="10" w:type="dxa"/>
          </w:tblCellMar>
        </w:tblPrEx>
        <w:trPr>
          <w:trHeight w:val="697" w:hRule="atLeast"/>
        </w:trPr>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6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1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r>
      <w:tr>
        <w:tblPrEx>
          <w:tblCellMar>
            <w:top w:w="0" w:type="dxa"/>
            <w:left w:w="10" w:type="dxa"/>
            <w:bottom w:w="0" w:type="dxa"/>
            <w:right w:w="10" w:type="dxa"/>
          </w:tblCellMar>
        </w:tblPrEx>
        <w:trPr>
          <w:trHeight w:val="708" w:hRule="atLeast"/>
        </w:trPr>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6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1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1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2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c>
          <w:tcPr>
            <w:tcW w:w="10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eastAsia="宋体" w:cs="宋体"/>
                <w:color w:val="auto"/>
                <w:sz w:val="22"/>
                <w:szCs w:val="21"/>
                <w:highlight w:val="none"/>
              </w:rPr>
            </w:pPr>
          </w:p>
        </w:tc>
      </w:tr>
    </w:tbl>
    <w:p>
      <w:pPr>
        <w:pStyle w:val="11"/>
        <w:numPr>
          <w:ilvl w:val="0"/>
          <w:numId w:val="0"/>
        </w:numPr>
        <w:spacing w:before="0" w:after="0" w:line="360" w:lineRule="auto"/>
        <w:ind w:left="0"/>
        <w:outlineLvl w:val="9"/>
        <w:rPr>
          <w:rFonts w:hint="eastAsia" w:ascii="宋体" w:hAnsi="宋体" w:eastAsia="宋体" w:cs="宋体"/>
          <w:color w:val="auto"/>
          <w:sz w:val="24"/>
          <w:highlight w:val="none"/>
        </w:rPr>
      </w:pPr>
      <w:bookmarkStart w:id="1237" w:name="_Toc320473738"/>
      <w:bookmarkEnd w:id="1237"/>
    </w:p>
    <w:p>
      <w:pPr>
        <w:rPr>
          <w:rFonts w:hint="eastAsia" w:ascii="宋体" w:hAnsi="宋体" w:eastAsia="宋体" w:cs="宋体"/>
          <w:color w:val="auto"/>
          <w:highlight w:val="none"/>
        </w:rPr>
      </w:pPr>
    </w:p>
    <w:p>
      <w:pPr>
        <w:pStyle w:val="11"/>
        <w:numPr>
          <w:ilvl w:val="0"/>
          <w:numId w:val="0"/>
        </w:numPr>
        <w:spacing w:before="0" w:after="0" w:line="360" w:lineRule="auto"/>
        <w:ind w:left="0"/>
        <w:jc w:val="center"/>
        <w:rPr>
          <w:rFonts w:hint="eastAsia" w:ascii="宋体" w:hAnsi="宋体" w:eastAsia="宋体" w:cs="宋体"/>
          <w:color w:val="auto"/>
          <w:sz w:val="32"/>
          <w:szCs w:val="36"/>
          <w:highlight w:val="none"/>
        </w:rPr>
      </w:pPr>
      <w:r>
        <w:rPr>
          <w:rFonts w:hint="eastAsia" w:ascii="宋体" w:hAnsi="宋体" w:eastAsia="宋体" w:cs="宋体"/>
          <w:color w:val="auto"/>
          <w:sz w:val="32"/>
          <w:szCs w:val="36"/>
          <w:highlight w:val="none"/>
        </w:rPr>
        <w:t>（二）主要人员简历表</w:t>
      </w:r>
    </w:p>
    <w:p>
      <w:pPr>
        <w:pStyle w:val="25"/>
        <w:spacing w:line="500" w:lineRule="exact"/>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1、项目经理应附建造师注册证书、安全生产考核合格证书、身份证。</w:t>
      </w:r>
    </w:p>
    <w:p>
      <w:pPr>
        <w:pStyle w:val="25"/>
        <w:spacing w:line="500" w:lineRule="exact"/>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1"/>
          <w:szCs w:val="21"/>
          <w:highlight w:val="none"/>
        </w:rPr>
        <w:t>2、技术负责人应附身份证、职称证（如有）。</w:t>
      </w:r>
    </w:p>
    <w:tbl>
      <w:tblPr>
        <w:tblStyle w:val="23"/>
        <w:tblW w:w="9346" w:type="dxa"/>
        <w:jc w:val="center"/>
        <w:tblLayout w:type="fixed"/>
        <w:tblCellMar>
          <w:top w:w="0" w:type="dxa"/>
          <w:left w:w="10" w:type="dxa"/>
          <w:bottom w:w="0" w:type="dxa"/>
          <w:right w:w="10" w:type="dxa"/>
        </w:tblCellMar>
      </w:tblPr>
      <w:tblGrid>
        <w:gridCol w:w="1555"/>
        <w:gridCol w:w="780"/>
        <w:gridCol w:w="776"/>
        <w:gridCol w:w="1561"/>
        <w:gridCol w:w="1557"/>
        <w:gridCol w:w="779"/>
        <w:gridCol w:w="1071"/>
        <w:gridCol w:w="1267"/>
      </w:tblGrid>
      <w:tr>
        <w:tblPrEx>
          <w:tblCellMar>
            <w:top w:w="0" w:type="dxa"/>
            <w:left w:w="10" w:type="dxa"/>
            <w:bottom w:w="0" w:type="dxa"/>
            <w:right w:w="10" w:type="dxa"/>
          </w:tblCellMar>
        </w:tblPrEx>
        <w:trPr>
          <w:trHeight w:val="686" w:hRule="atLeast"/>
          <w:jc w:val="center"/>
        </w:trPr>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55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 历</w:t>
            </w:r>
          </w:p>
        </w:tc>
        <w:tc>
          <w:tcPr>
            <w:tcW w:w="1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51" w:hRule="atLeast"/>
          <w:jc w:val="center"/>
        </w:trPr>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55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15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5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185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1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729" w:hRule="atLeast"/>
          <w:jc w:val="center"/>
        </w:trPr>
        <w:tc>
          <w:tcPr>
            <w:tcW w:w="15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7791"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tblPrEx>
          <w:tblCellMar>
            <w:top w:w="0" w:type="dxa"/>
            <w:left w:w="10" w:type="dxa"/>
            <w:bottom w:w="0" w:type="dxa"/>
            <w:right w:w="10" w:type="dxa"/>
          </w:tblCellMar>
        </w:tblPrEx>
        <w:trPr>
          <w:trHeight w:val="618" w:hRule="atLeast"/>
          <w:jc w:val="center"/>
        </w:trPr>
        <w:tc>
          <w:tcPr>
            <w:tcW w:w="9346"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CellMar>
            <w:top w:w="0" w:type="dxa"/>
            <w:left w:w="10" w:type="dxa"/>
            <w:bottom w:w="0" w:type="dxa"/>
            <w:right w:w="10" w:type="dxa"/>
          </w:tblCellMar>
        </w:tblPrEx>
        <w:trPr>
          <w:trHeight w:val="699" w:hRule="atLeast"/>
          <w:jc w:val="center"/>
        </w:trPr>
        <w:tc>
          <w:tcPr>
            <w:tcW w:w="233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233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23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33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tblPrEx>
          <w:tblCellMar>
            <w:top w:w="0" w:type="dxa"/>
            <w:left w:w="10" w:type="dxa"/>
            <w:bottom w:w="0" w:type="dxa"/>
            <w:right w:w="10" w:type="dxa"/>
          </w:tblCellMar>
        </w:tblPrEx>
        <w:trPr>
          <w:trHeight w:val="689" w:hRule="atLeast"/>
          <w:jc w:val="center"/>
        </w:trPr>
        <w:tc>
          <w:tcPr>
            <w:tcW w:w="233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89" w:hRule="atLeast"/>
          <w:jc w:val="center"/>
        </w:trPr>
        <w:tc>
          <w:tcPr>
            <w:tcW w:w="233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89" w:hRule="atLeast"/>
          <w:jc w:val="center"/>
        </w:trPr>
        <w:tc>
          <w:tcPr>
            <w:tcW w:w="233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89" w:hRule="atLeast"/>
          <w:jc w:val="center"/>
        </w:trPr>
        <w:tc>
          <w:tcPr>
            <w:tcW w:w="233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89" w:hRule="atLeast"/>
          <w:jc w:val="center"/>
        </w:trPr>
        <w:tc>
          <w:tcPr>
            <w:tcW w:w="233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89" w:hRule="atLeast"/>
          <w:jc w:val="center"/>
        </w:trPr>
        <w:tc>
          <w:tcPr>
            <w:tcW w:w="233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89" w:hRule="atLeast"/>
          <w:jc w:val="center"/>
        </w:trPr>
        <w:tc>
          <w:tcPr>
            <w:tcW w:w="233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689" w:hRule="atLeast"/>
          <w:jc w:val="center"/>
        </w:trPr>
        <w:tc>
          <w:tcPr>
            <w:tcW w:w="233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c>
          <w:tcPr>
            <w:tcW w:w="233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20" w:lineRule="exact"/>
              <w:jc w:val="center"/>
              <w:rPr>
                <w:rFonts w:hint="eastAsia" w:ascii="宋体" w:hAnsi="宋体" w:eastAsia="宋体" w:cs="宋体"/>
                <w:color w:val="auto"/>
                <w:sz w:val="24"/>
                <w:szCs w:val="24"/>
                <w:highlight w:val="none"/>
              </w:rPr>
            </w:pPr>
          </w:p>
        </w:tc>
      </w:tr>
    </w:tbl>
    <w:p>
      <w:pPr>
        <w:pStyle w:val="9"/>
        <w:numPr>
          <w:ilvl w:val="0"/>
          <w:numId w:val="0"/>
        </w:numPr>
        <w:ind w:left="0"/>
        <w:outlineLvl w:val="9"/>
        <w:rPr>
          <w:rFonts w:hint="eastAsia" w:ascii="宋体" w:hAnsi="宋体" w:eastAsia="宋体" w:cs="宋体"/>
          <w:color w:val="auto"/>
          <w:sz w:val="24"/>
          <w:szCs w:val="24"/>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5"/>
        <w:rPr>
          <w:rFonts w:hint="eastAsia" w:ascii="宋体" w:hAnsi="宋体" w:eastAsia="宋体" w:cs="宋体"/>
          <w:color w:val="auto"/>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highlight w:val="none"/>
        </w:rPr>
      </w:pPr>
    </w:p>
    <w:p>
      <w:pPr>
        <w:spacing w:before="312" w:after="156"/>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附承诺书</w:t>
      </w:r>
    </w:p>
    <w:p>
      <w:pPr>
        <w:spacing w:before="312" w:after="156"/>
        <w:jc w:val="center"/>
        <w:outlineLvl w:val="1"/>
        <w:rPr>
          <w:rFonts w:hint="eastAsia" w:ascii="宋体" w:hAnsi="宋体" w:eastAsia="宋体" w:cs="宋体"/>
          <w:b/>
          <w:color w:val="auto"/>
          <w:sz w:val="32"/>
          <w:szCs w:val="32"/>
          <w:highlight w:val="none"/>
        </w:rPr>
      </w:pPr>
      <w:bookmarkStart w:id="1238" w:name="_Toc21750"/>
      <w:r>
        <w:rPr>
          <w:rFonts w:hint="eastAsia" w:ascii="宋体" w:hAnsi="宋体" w:eastAsia="宋体" w:cs="宋体"/>
          <w:b/>
          <w:color w:val="auto"/>
          <w:sz w:val="32"/>
          <w:szCs w:val="32"/>
          <w:highlight w:val="none"/>
        </w:rPr>
        <w:t>项目经理无在建项目承诺书</w:t>
      </w:r>
      <w:bookmarkEnd w:id="1238"/>
    </w:p>
    <w:p>
      <w:pPr>
        <w:spacing w:after="312" w:line="6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position w:val="-4"/>
          <w:sz w:val="24"/>
          <w:szCs w:val="24"/>
          <w:highlight w:val="none"/>
        </w:rPr>
        <w:t>————————</w:t>
      </w:r>
      <w:r>
        <w:rPr>
          <w:rFonts w:hint="eastAsia" w:ascii="宋体" w:hAnsi="宋体" w:eastAsia="宋体" w:cs="宋体"/>
          <w:color w:val="auto"/>
          <w:sz w:val="24"/>
          <w:szCs w:val="24"/>
          <w:highlight w:val="none"/>
        </w:rPr>
        <w:t>（采购人名称）：</w:t>
      </w:r>
    </w:p>
    <w:p>
      <w:pPr>
        <w:spacing w:line="600" w:lineRule="exact"/>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我方在此声明，我方拟派往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（工程名称）（以下简称“本工程”）的项目经理</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（项目经理姓名）现阶段没有担任任何在施建设工程项目的项目经理。</w:t>
      </w:r>
    </w:p>
    <w:p>
      <w:pPr>
        <w:spacing w:line="600" w:lineRule="exact"/>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我方保证上述信息的真实和准确，并愿意承担因我方就此弄虚作假所引起的一切法律后果。</w:t>
      </w:r>
    </w:p>
    <w:p>
      <w:pPr>
        <w:spacing w:line="600" w:lineRule="exact"/>
        <w:ind w:firstLine="420"/>
        <w:outlineLvl w:val="9"/>
        <w:rPr>
          <w:rFonts w:hint="eastAsia" w:ascii="宋体" w:hAnsi="宋体" w:eastAsia="宋体" w:cs="宋体"/>
          <w:color w:val="auto"/>
          <w:sz w:val="24"/>
          <w:szCs w:val="24"/>
          <w:highlight w:val="none"/>
        </w:rPr>
      </w:pPr>
    </w:p>
    <w:p>
      <w:pPr>
        <w:spacing w:line="600" w:lineRule="exact"/>
        <w:ind w:firstLine="420"/>
        <w:outlineLvl w:val="9"/>
        <w:rPr>
          <w:rFonts w:hint="eastAsia" w:ascii="宋体" w:hAnsi="宋体" w:eastAsia="宋体" w:cs="宋体"/>
          <w:color w:val="auto"/>
          <w:sz w:val="24"/>
          <w:szCs w:val="24"/>
          <w:highlight w:val="none"/>
        </w:rPr>
      </w:pPr>
    </w:p>
    <w:p>
      <w:pPr>
        <w:spacing w:line="600" w:lineRule="exact"/>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line="600" w:lineRule="exact"/>
        <w:ind w:firstLine="420"/>
        <w:rPr>
          <w:rFonts w:hint="eastAsia" w:ascii="宋体" w:hAnsi="宋体" w:eastAsia="宋体" w:cs="宋体"/>
          <w:color w:val="auto"/>
          <w:sz w:val="24"/>
          <w:szCs w:val="24"/>
          <w:highlight w:val="none"/>
        </w:rPr>
      </w:pPr>
    </w:p>
    <w:p>
      <w:pPr>
        <w:spacing w:line="600" w:lineRule="exact"/>
        <w:rPr>
          <w:rFonts w:hint="eastAsia" w:ascii="宋体" w:hAnsi="宋体" w:eastAsia="宋体" w:cs="宋体"/>
          <w:color w:val="auto"/>
          <w:sz w:val="24"/>
          <w:szCs w:val="24"/>
          <w:highlight w:val="none"/>
        </w:rPr>
      </w:pPr>
    </w:p>
    <w:p>
      <w:pPr>
        <w:spacing w:line="600" w:lineRule="exact"/>
        <w:ind w:firstLine="420"/>
        <w:rPr>
          <w:rFonts w:hint="eastAsia" w:ascii="宋体" w:hAnsi="宋体" w:eastAsia="宋体" w:cs="宋体"/>
          <w:color w:val="auto"/>
          <w:sz w:val="24"/>
          <w:szCs w:val="24"/>
          <w:highlight w:val="none"/>
        </w:rPr>
      </w:pPr>
    </w:p>
    <w:p>
      <w:pPr>
        <w:spacing w:line="6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（单位电子签章）</w:t>
      </w:r>
    </w:p>
    <w:p>
      <w:pPr>
        <w:spacing w:line="6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法定代表人或其委托代理人：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（电子签名或盖章）</w:t>
      </w:r>
    </w:p>
    <w:p>
      <w:pPr>
        <w:spacing w:line="600" w:lineRule="exact"/>
        <w:ind w:firstLine="2880" w:firstLineChars="1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szCs w:val="21"/>
          <w:highlight w:val="none"/>
        </w:rPr>
      </w:pPr>
    </w:p>
    <w:p>
      <w:pPr>
        <w:pStyle w:val="5"/>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5"/>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5"/>
        <w:rPr>
          <w:rFonts w:hint="eastAsia" w:ascii="宋体" w:hAnsi="宋体" w:eastAsia="宋体" w:cs="宋体"/>
          <w:color w:val="auto"/>
          <w:szCs w:val="21"/>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b/>
          <w:bCs/>
          <w:color w:val="auto"/>
          <w:sz w:val="28"/>
          <w:highlight w:val="none"/>
        </w:rPr>
      </w:pPr>
      <w:bookmarkStart w:id="1239" w:name="_Toc26903"/>
      <w:bookmarkEnd w:id="1239"/>
      <w:bookmarkStart w:id="1240" w:name="_Toc11835"/>
      <w:bookmarkEnd w:id="1240"/>
      <w:bookmarkStart w:id="1241" w:name="_Toc25452"/>
      <w:bookmarkEnd w:id="1241"/>
      <w:bookmarkStart w:id="1242" w:name="_Toc5437"/>
      <w:bookmarkEnd w:id="1242"/>
      <w:bookmarkStart w:id="1243" w:name="_Toc475624458"/>
      <w:bookmarkEnd w:id="1243"/>
      <w:bookmarkStart w:id="1244" w:name="_Toc11990"/>
      <w:r>
        <w:rPr>
          <w:rFonts w:hint="eastAsia" w:ascii="宋体" w:hAnsi="宋体" w:eastAsia="宋体" w:cs="宋体"/>
          <w:b/>
          <w:bCs/>
          <w:color w:val="auto"/>
          <w:sz w:val="28"/>
          <w:highlight w:val="none"/>
        </w:rPr>
        <w:br w:type="page"/>
      </w:r>
    </w:p>
    <w:p>
      <w:pPr>
        <w:numPr>
          <w:ilvl w:val="0"/>
          <w:numId w:val="0"/>
        </w:numPr>
        <w:ind w:left="0"/>
        <w:jc w:val="center"/>
        <w:outlineLvl w:val="1"/>
        <w:rPr>
          <w:rFonts w:hint="eastAsia" w:ascii="宋体" w:hAnsi="宋体" w:eastAsia="宋体" w:cs="宋体"/>
          <w:b/>
          <w:bCs/>
          <w:color w:val="auto"/>
          <w:sz w:val="36"/>
          <w:szCs w:val="32"/>
          <w:highlight w:val="none"/>
        </w:rPr>
      </w:pPr>
      <w:r>
        <w:rPr>
          <w:rFonts w:hint="eastAsia" w:ascii="宋体" w:hAnsi="宋体" w:eastAsia="宋体" w:cs="宋体"/>
          <w:b/>
          <w:bCs/>
          <w:color w:val="auto"/>
          <w:sz w:val="28"/>
          <w:highlight w:val="none"/>
        </w:rPr>
        <w:t>七、资格证明材料</w:t>
      </w:r>
      <w:bookmarkEnd w:id="1244"/>
    </w:p>
    <w:p>
      <w:pPr>
        <w:spacing w:before="312" w:after="156"/>
        <w:jc w:val="center"/>
        <w:outlineLvl w:val="9"/>
        <w:rPr>
          <w:rFonts w:hint="eastAsia" w:ascii="宋体" w:hAnsi="宋体" w:eastAsia="宋体" w:cs="宋体"/>
          <w:b/>
          <w:color w:val="auto"/>
          <w:sz w:val="24"/>
          <w:szCs w:val="24"/>
          <w:highlight w:val="none"/>
        </w:rPr>
      </w:pPr>
      <w:bookmarkStart w:id="1245" w:name="_Toc456185719"/>
      <w:bookmarkEnd w:id="1245"/>
      <w:r>
        <w:rPr>
          <w:rFonts w:hint="eastAsia" w:ascii="宋体" w:hAnsi="宋体" w:eastAsia="宋体" w:cs="宋体"/>
          <w:b/>
          <w:color w:val="auto"/>
          <w:sz w:val="24"/>
          <w:szCs w:val="24"/>
          <w:highlight w:val="none"/>
        </w:rPr>
        <w:t>1、供应商基本情况表</w:t>
      </w:r>
    </w:p>
    <w:tbl>
      <w:tblPr>
        <w:tblStyle w:val="23"/>
        <w:tblW w:w="8505" w:type="dxa"/>
        <w:jc w:val="center"/>
        <w:tblLayout w:type="fixed"/>
        <w:tblCellMar>
          <w:top w:w="0" w:type="dxa"/>
          <w:left w:w="10" w:type="dxa"/>
          <w:bottom w:w="0" w:type="dxa"/>
          <w:right w:w="10" w:type="dxa"/>
        </w:tblCellMar>
      </w:tblPr>
      <w:tblGrid>
        <w:gridCol w:w="1485"/>
        <w:gridCol w:w="1156"/>
        <w:gridCol w:w="762"/>
        <w:gridCol w:w="993"/>
        <w:gridCol w:w="283"/>
        <w:gridCol w:w="195"/>
        <w:gridCol w:w="1246"/>
        <w:gridCol w:w="260"/>
        <w:gridCol w:w="167"/>
        <w:gridCol w:w="542"/>
        <w:gridCol w:w="1416"/>
      </w:tblGrid>
      <w:tr>
        <w:tblPrEx>
          <w:tblCellMar>
            <w:top w:w="0" w:type="dxa"/>
            <w:left w:w="10" w:type="dxa"/>
            <w:bottom w:w="0" w:type="dxa"/>
            <w:right w:w="1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7020"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389"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c>
          <w:tcPr>
            <w:tcW w:w="12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38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67" w:hRule="atLeast"/>
          <w:jc w:val="center"/>
        </w:trPr>
        <w:tc>
          <w:tcPr>
            <w:tcW w:w="14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1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23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c>
          <w:tcPr>
            <w:tcW w:w="12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38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67"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utlineLvl w:val="9"/>
              <w:rPr>
                <w:rFonts w:hint="eastAsia" w:ascii="宋体" w:hAnsi="宋体" w:eastAsia="宋体" w:cs="宋体"/>
                <w:color w:val="auto"/>
                <w:sz w:val="24"/>
                <w:szCs w:val="32"/>
                <w:highlight w:val="none"/>
              </w:rPr>
            </w:pPr>
          </w:p>
        </w:tc>
        <w:tc>
          <w:tcPr>
            <w:tcW w:w="11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23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c>
          <w:tcPr>
            <w:tcW w:w="12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p>
        </w:tc>
        <w:tc>
          <w:tcPr>
            <w:tcW w:w="238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020"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1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c>
          <w:tcPr>
            <w:tcW w:w="127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c>
          <w:tcPr>
            <w:tcW w:w="70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4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1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c>
          <w:tcPr>
            <w:tcW w:w="127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c>
          <w:tcPr>
            <w:tcW w:w="70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4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191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c>
          <w:tcPr>
            <w:tcW w:w="5102"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tblPrEx>
          <w:tblCellMar>
            <w:top w:w="0" w:type="dxa"/>
            <w:left w:w="10" w:type="dxa"/>
            <w:bottom w:w="0" w:type="dxa"/>
            <w:right w:w="1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企业资质等级</w:t>
            </w:r>
          </w:p>
        </w:tc>
        <w:tc>
          <w:tcPr>
            <w:tcW w:w="191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c>
          <w:tcPr>
            <w:tcW w:w="993"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2151"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195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67" w:hRule="atLeast"/>
          <w:jc w:val="center"/>
        </w:trPr>
        <w:tc>
          <w:tcPr>
            <w:tcW w:w="148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1918" w:type="dxa"/>
            <w:gridSpan w:val="2"/>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utlineLvl w:val="9"/>
              <w:rPr>
                <w:rFonts w:hint="eastAsia" w:ascii="宋体" w:hAnsi="宋体" w:eastAsia="宋体" w:cs="宋体"/>
                <w:color w:val="auto"/>
                <w:sz w:val="24"/>
                <w:szCs w:val="32"/>
                <w:highlight w:val="none"/>
              </w:rPr>
            </w:pPr>
          </w:p>
        </w:tc>
        <w:tc>
          <w:tcPr>
            <w:tcW w:w="2151"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高级职称人员</w:t>
            </w:r>
          </w:p>
        </w:tc>
        <w:tc>
          <w:tcPr>
            <w:tcW w:w="195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312"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utlineLvl w:val="9"/>
              <w:rPr>
                <w:rFonts w:hint="eastAsia" w:ascii="宋体" w:hAnsi="宋体" w:eastAsia="宋体" w:cs="宋体"/>
                <w:color w:val="auto"/>
                <w:sz w:val="24"/>
                <w:szCs w:val="32"/>
                <w:highlight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utlineLvl w:val="9"/>
              <w:rPr>
                <w:rFonts w:hint="eastAsia" w:ascii="宋体" w:hAnsi="宋体" w:eastAsia="宋体" w:cs="宋体"/>
                <w:color w:val="auto"/>
                <w:sz w:val="24"/>
                <w:szCs w:val="32"/>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utlineLvl w:val="9"/>
              <w:rPr>
                <w:rFonts w:hint="eastAsia" w:ascii="宋体" w:hAnsi="宋体" w:eastAsia="宋体" w:cs="宋体"/>
                <w:color w:val="auto"/>
                <w:sz w:val="24"/>
                <w:szCs w:val="32"/>
                <w:highlight w:val="none"/>
              </w:rPr>
            </w:pPr>
          </w:p>
        </w:tc>
        <w:tc>
          <w:tcPr>
            <w:tcW w:w="2151" w:type="dxa"/>
            <w:gridSpan w:val="5"/>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中级职称人员</w:t>
            </w:r>
          </w:p>
        </w:tc>
        <w:tc>
          <w:tcPr>
            <w:tcW w:w="1958" w:type="dxa"/>
            <w:gridSpan w:val="2"/>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安全生产许可证有效期</w:t>
            </w:r>
          </w:p>
        </w:tc>
        <w:tc>
          <w:tcPr>
            <w:tcW w:w="191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utlineLvl w:val="9"/>
              <w:rPr>
                <w:rFonts w:hint="eastAsia" w:ascii="宋体" w:hAnsi="宋体" w:eastAsia="宋体" w:cs="宋体"/>
                <w:color w:val="auto"/>
                <w:sz w:val="24"/>
                <w:szCs w:val="32"/>
                <w:highlight w:val="none"/>
              </w:rPr>
            </w:pPr>
          </w:p>
        </w:tc>
        <w:tc>
          <w:tcPr>
            <w:tcW w:w="2151" w:type="dxa"/>
            <w:gridSpan w:val="5"/>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utlineLvl w:val="9"/>
              <w:rPr>
                <w:rFonts w:hint="eastAsia" w:ascii="宋体" w:hAnsi="宋体" w:eastAsia="宋体" w:cs="宋体"/>
                <w:color w:val="auto"/>
                <w:sz w:val="24"/>
                <w:szCs w:val="32"/>
                <w:highlight w:val="none"/>
              </w:rPr>
            </w:pPr>
          </w:p>
        </w:tc>
        <w:tc>
          <w:tcPr>
            <w:tcW w:w="1958"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utlineLvl w:val="9"/>
              <w:rPr>
                <w:rFonts w:hint="eastAsia" w:ascii="宋体" w:hAnsi="宋体" w:eastAsia="宋体" w:cs="宋体"/>
                <w:color w:val="auto"/>
                <w:sz w:val="24"/>
                <w:szCs w:val="32"/>
                <w:highlight w:val="none"/>
              </w:rPr>
            </w:pPr>
          </w:p>
        </w:tc>
      </w:tr>
      <w:tr>
        <w:tblPrEx>
          <w:tblCellMar>
            <w:top w:w="0" w:type="dxa"/>
            <w:left w:w="10" w:type="dxa"/>
            <w:bottom w:w="0" w:type="dxa"/>
            <w:right w:w="1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191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utlineLvl w:val="9"/>
              <w:rPr>
                <w:rFonts w:hint="eastAsia" w:ascii="宋体" w:hAnsi="宋体" w:eastAsia="宋体" w:cs="宋体"/>
                <w:color w:val="auto"/>
                <w:sz w:val="24"/>
                <w:szCs w:val="32"/>
                <w:highlight w:val="none"/>
              </w:rPr>
            </w:pPr>
          </w:p>
        </w:tc>
        <w:tc>
          <w:tcPr>
            <w:tcW w:w="2151"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初级职称人员</w:t>
            </w:r>
          </w:p>
        </w:tc>
        <w:tc>
          <w:tcPr>
            <w:tcW w:w="195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91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utlineLvl w:val="9"/>
              <w:rPr>
                <w:rFonts w:hint="eastAsia" w:ascii="宋体" w:hAnsi="宋体" w:eastAsia="宋体" w:cs="宋体"/>
                <w:color w:val="auto"/>
                <w:sz w:val="24"/>
                <w:szCs w:val="32"/>
                <w:highlight w:val="none"/>
              </w:rPr>
            </w:pPr>
          </w:p>
        </w:tc>
        <w:tc>
          <w:tcPr>
            <w:tcW w:w="2151"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  工</w:t>
            </w:r>
          </w:p>
        </w:tc>
        <w:tc>
          <w:tcPr>
            <w:tcW w:w="195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191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c>
          <w:tcPr>
            <w:tcW w:w="993"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outlineLvl w:val="9"/>
              <w:rPr>
                <w:rFonts w:hint="eastAsia" w:ascii="宋体" w:hAnsi="宋体" w:eastAsia="宋体" w:cs="宋体"/>
                <w:color w:val="auto"/>
                <w:sz w:val="24"/>
                <w:szCs w:val="32"/>
                <w:highlight w:val="none"/>
              </w:rPr>
            </w:pPr>
          </w:p>
        </w:tc>
        <w:tc>
          <w:tcPr>
            <w:tcW w:w="2151"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拟派项目经理姓名</w:t>
            </w:r>
          </w:p>
        </w:tc>
        <w:tc>
          <w:tcPr>
            <w:tcW w:w="195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1417" w:hRule="atLeast"/>
          <w:jc w:val="center"/>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020"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r>
      <w:tr>
        <w:tblPrEx>
          <w:tblCellMar>
            <w:top w:w="0" w:type="dxa"/>
            <w:left w:w="10" w:type="dxa"/>
            <w:bottom w:w="0" w:type="dxa"/>
            <w:right w:w="1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020"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outlineLvl w:val="9"/>
              <w:rPr>
                <w:rFonts w:hint="eastAsia" w:ascii="宋体" w:hAnsi="宋体" w:eastAsia="宋体" w:cs="宋体"/>
                <w:color w:val="auto"/>
                <w:sz w:val="24"/>
                <w:szCs w:val="24"/>
                <w:highlight w:val="none"/>
              </w:rPr>
            </w:pPr>
          </w:p>
        </w:tc>
      </w:tr>
    </w:tbl>
    <w:p>
      <w:pPr>
        <w:pStyle w:val="3"/>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注：根据供应商须知第1.5.1项的要求在后</w:t>
      </w:r>
      <w:r>
        <w:rPr>
          <w:rFonts w:hint="eastAsia" w:ascii="宋体" w:hAnsi="宋体" w:eastAsia="宋体" w:cs="宋体"/>
          <w:b/>
          <w:bCs/>
          <w:color w:val="auto"/>
          <w:sz w:val="24"/>
          <w:szCs w:val="24"/>
          <w:highlight w:val="none"/>
        </w:rPr>
        <w:t>附供应商营业执照、资质证书、安全生产许可证</w:t>
      </w:r>
      <w:bookmarkStart w:id="1246" w:name="_Toc456185720"/>
      <w:bookmarkEnd w:id="1246"/>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“国家企业信用信息公示系统”中公示的公司基础信息等资格审查相关证明材料及</w:t>
      </w:r>
      <w:r>
        <w:rPr>
          <w:rFonts w:hint="eastAsia" w:ascii="宋体" w:hAnsi="宋体" w:eastAsia="宋体" w:cs="宋体"/>
          <w:b/>
          <w:bCs/>
          <w:color w:val="auto"/>
          <w:sz w:val="24"/>
          <w:szCs w:val="24"/>
          <w:highlight w:val="none"/>
          <w:lang w:val="en-US" w:eastAsia="zh-CN"/>
        </w:rPr>
        <w:t>供应商信用承诺函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ab/>
      </w:r>
    </w:p>
    <w:p>
      <w:pPr>
        <w:rPr>
          <w:rFonts w:hint="eastAsia" w:ascii="宋体" w:hAnsi="宋体" w:eastAsia="宋体" w:cs="宋体"/>
          <w:color w:val="auto"/>
          <w:sz w:val="24"/>
          <w:szCs w:val="32"/>
          <w:highlight w:val="none"/>
        </w:rPr>
      </w:pPr>
    </w:p>
    <w:p>
      <w:pPr>
        <w:jc w:val="center"/>
        <w:outlineLvl w:val="9"/>
        <w:rPr>
          <w:rFonts w:hint="eastAsia" w:ascii="宋体" w:hAnsi="宋体" w:eastAsia="宋体" w:cs="宋体"/>
          <w:b/>
          <w:bCs/>
          <w:color w:val="auto"/>
          <w:sz w:val="24"/>
          <w:szCs w:val="24"/>
          <w:highlight w:val="none"/>
        </w:rPr>
      </w:pP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color w:val="auto"/>
          <w:kern w:val="0"/>
          <w:sz w:val="24"/>
          <w:szCs w:val="24"/>
          <w:highlight w:val="none"/>
          <w:lang w:val="en-US" w:eastAsia="zh-CN" w:bidi="ar"/>
        </w:rPr>
      </w:pPr>
      <w:bookmarkStart w:id="1247" w:name="_Toc9762"/>
      <w:r>
        <w:rPr>
          <w:rFonts w:hint="eastAsia" w:ascii="宋体" w:hAnsi="宋体" w:eastAsia="宋体" w:cs="宋体"/>
          <w:b/>
          <w:bCs/>
          <w:color w:val="auto"/>
          <w:kern w:val="0"/>
          <w:sz w:val="24"/>
          <w:szCs w:val="24"/>
          <w:highlight w:val="none"/>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信阳市</w:t>
      </w:r>
      <w:r>
        <w:rPr>
          <w:rFonts w:hint="eastAsia" w:ascii="宋体" w:hAnsi="宋体" w:cs="宋体"/>
          <w:b/>
          <w:bCs/>
          <w:color w:val="auto"/>
          <w:kern w:val="0"/>
          <w:sz w:val="24"/>
          <w:szCs w:val="24"/>
          <w:highlight w:val="none"/>
          <w:lang w:val="en-US" w:eastAsia="zh-CN" w:bidi="ar"/>
        </w:rPr>
        <w:t>新县</w:t>
      </w:r>
      <w:r>
        <w:rPr>
          <w:rFonts w:hint="eastAsia" w:ascii="宋体" w:hAnsi="宋体" w:eastAsia="宋体" w:cs="宋体"/>
          <w:b/>
          <w:bCs/>
          <w:color w:val="auto"/>
          <w:kern w:val="0"/>
          <w:sz w:val="24"/>
          <w:szCs w:val="24"/>
          <w:highlight w:val="none"/>
          <w:lang w:val="en-US" w:eastAsia="zh-CN" w:bidi="ar"/>
        </w:rPr>
        <w:t>政府采购供应商信用承诺函</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（采购人或采购代理机构）：</w:t>
      </w:r>
      <w:r>
        <w:rPr>
          <w:rFonts w:hint="eastAsia" w:ascii="宋体" w:hAnsi="宋体" w:cs="宋体"/>
          <w:color w:val="auto"/>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单位名称（自然人姓名）</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cs="宋体"/>
          <w:color w:val="auto"/>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统一社会信用代码（身份证号码）</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cs="宋体"/>
          <w:color w:val="auto"/>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法定代表人（负责人）</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cs="宋体"/>
          <w:color w:val="auto"/>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u w:val="single"/>
          <w:lang w:val="en-US" w:eastAsia="zh-CN" w:bidi="ar"/>
        </w:rPr>
      </w:pPr>
      <w:r>
        <w:rPr>
          <w:rFonts w:hint="eastAsia" w:ascii="宋体" w:hAnsi="宋体" w:eastAsia="宋体" w:cs="宋体"/>
          <w:color w:val="auto"/>
          <w:kern w:val="0"/>
          <w:sz w:val="24"/>
          <w:szCs w:val="24"/>
          <w:highlight w:val="none"/>
          <w:lang w:val="en-US" w:eastAsia="zh-CN" w:bidi="ar"/>
        </w:rPr>
        <w:t>联系地址和电话</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cs="宋体"/>
          <w:color w:val="auto"/>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为维护公平、公正、公开的政府采购市场秩序，树立诚实守信的政府采购供应商形象，我单位（本人）自愿作出以下承诺：</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具有独立承担民事责任的能力；</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具有良好的商业信誉和健全的财务会计制度； </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具有履行合同所必需的设备和专业技术能力；</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有依法缴纳税收和社会保障资金的良好记录； </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参加政府采购活动前三年内，在经营活动中没有重大违法记录； </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未被列入经营异常名录或者严重违法失信名单、失信被执行人、重大税收违法案件当事人名单、政府采购严重违法失信行为记录名单；</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未被相关监管部门作出行政处罚且尚在处罚有效期内； </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未曾做出虚假采购承诺；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（九）符合法律、行政法规规定的其他条件。</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40" w:firstLineChars="1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法定代表人、负责人、本人或授权代表（签字或盖章）：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40" w:firstLineChars="1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日期：  年  月  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40" w:firstLineChars="1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40" w:firstLineChars="100"/>
        <w:jc w:val="left"/>
        <w:textAlignment w:val="auto"/>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40" w:firstLineChars="1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注：1、供应商须在响应文件中按此模板提供承诺函，未提供视为未实质性响应磋商文件要求，按无效投标处理。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840" w:firstLineChars="3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2、供应商的法定代表人或者授权代表的签字或盖章应真实、有效，如由授权代表签字或盖章的，应提供“法定代表人授权书”。</w:t>
      </w:r>
    </w:p>
    <w:p>
      <w:pPr>
        <w:spacing w:before="312" w:beforeLines="100" w:after="156" w:afterLines="50"/>
        <w:rPr>
          <w:rFonts w:hint="eastAsia" w:ascii="宋体" w:hAnsi="宋体" w:eastAsia="宋体" w:cs="宋体"/>
          <w:b/>
          <w:color w:val="auto"/>
          <w:szCs w:val="21"/>
          <w:highlight w:val="none"/>
        </w:rPr>
      </w:pPr>
    </w:p>
    <w:p>
      <w:pPr>
        <w:spacing w:line="600" w:lineRule="exact"/>
        <w:jc w:val="center"/>
        <w:outlineLvl w:val="1"/>
        <w:rPr>
          <w:rFonts w:hint="eastAsia" w:ascii="宋体" w:hAnsi="宋体" w:eastAsia="宋体" w:cs="宋体"/>
          <w:b/>
          <w:bCs/>
          <w:color w:val="auto"/>
          <w:sz w:val="28"/>
          <w:szCs w:val="28"/>
          <w:highlight w:val="none"/>
        </w:rPr>
      </w:pPr>
    </w:p>
    <w:p>
      <w:pPr>
        <w:spacing w:line="600" w:lineRule="exact"/>
        <w:jc w:val="center"/>
        <w:outlineLvl w:val="1"/>
        <w:rPr>
          <w:rFonts w:hint="eastAsia" w:ascii="宋体" w:hAnsi="宋体" w:eastAsia="宋体" w:cs="宋体"/>
          <w:b/>
          <w:bCs/>
          <w:color w:val="auto"/>
          <w:sz w:val="28"/>
          <w:szCs w:val="28"/>
          <w:highlight w:val="none"/>
        </w:rPr>
      </w:pPr>
    </w:p>
    <w:p>
      <w:pPr>
        <w:spacing w:line="600" w:lineRule="exact"/>
        <w:jc w:val="center"/>
        <w:outlineLvl w:val="1"/>
        <w:rPr>
          <w:rFonts w:hint="eastAsia" w:ascii="宋体" w:hAnsi="宋体" w:eastAsia="宋体" w:cs="宋体"/>
          <w:b/>
          <w:bCs/>
          <w:color w:val="auto"/>
          <w:sz w:val="28"/>
          <w:szCs w:val="28"/>
          <w:highlight w:val="none"/>
        </w:rPr>
      </w:pPr>
    </w:p>
    <w:p>
      <w:pPr>
        <w:spacing w:line="600" w:lineRule="exact"/>
        <w:jc w:val="center"/>
        <w:outlineLvl w:val="1"/>
        <w:rPr>
          <w:rFonts w:hint="eastAsia" w:ascii="宋体" w:hAnsi="宋体" w:eastAsia="宋体" w:cs="宋体"/>
          <w:b/>
          <w:bCs/>
          <w:color w:val="auto"/>
          <w:sz w:val="28"/>
          <w:szCs w:val="28"/>
          <w:highlight w:val="none"/>
        </w:rPr>
      </w:pPr>
    </w:p>
    <w:p>
      <w:pPr>
        <w:spacing w:line="600" w:lineRule="exact"/>
        <w:jc w:val="center"/>
        <w:outlineLvl w:val="1"/>
        <w:rPr>
          <w:rFonts w:hint="eastAsia" w:ascii="宋体" w:hAnsi="宋体" w:eastAsia="宋体" w:cs="宋体"/>
          <w:b/>
          <w:bCs/>
          <w:color w:val="auto"/>
          <w:sz w:val="28"/>
          <w:szCs w:val="28"/>
          <w:highlight w:val="none"/>
        </w:rPr>
      </w:pPr>
    </w:p>
    <w:p>
      <w:pPr>
        <w:spacing w:line="600" w:lineRule="exact"/>
        <w:jc w:val="center"/>
        <w:outlineLvl w:val="1"/>
        <w:rPr>
          <w:rFonts w:hint="eastAsia" w:ascii="宋体" w:hAnsi="宋体" w:eastAsia="宋体" w:cs="宋体"/>
          <w:b/>
          <w:bCs/>
          <w:color w:val="auto"/>
          <w:sz w:val="28"/>
          <w:szCs w:val="28"/>
          <w:highlight w:val="none"/>
        </w:rPr>
      </w:pPr>
    </w:p>
    <w:p>
      <w:pPr>
        <w:spacing w:line="600" w:lineRule="exact"/>
        <w:jc w:val="center"/>
        <w:outlineLvl w:val="1"/>
        <w:rPr>
          <w:rFonts w:hint="eastAsia" w:ascii="宋体" w:hAnsi="宋体" w:eastAsia="宋体" w:cs="宋体"/>
          <w:b/>
          <w:bCs/>
          <w:color w:val="auto"/>
          <w:sz w:val="28"/>
          <w:szCs w:val="28"/>
          <w:highlight w:val="none"/>
        </w:rPr>
      </w:pPr>
    </w:p>
    <w:p>
      <w:pPr>
        <w:spacing w:line="600" w:lineRule="exact"/>
        <w:jc w:val="center"/>
        <w:outlineLvl w:val="1"/>
        <w:rPr>
          <w:rFonts w:hint="eastAsia" w:ascii="宋体" w:hAnsi="宋体" w:eastAsia="宋体" w:cs="宋体"/>
          <w:b/>
          <w:bCs/>
          <w:color w:val="auto"/>
          <w:sz w:val="28"/>
          <w:szCs w:val="28"/>
          <w:highlight w:val="none"/>
        </w:rPr>
      </w:pPr>
    </w:p>
    <w:p>
      <w:pPr>
        <w:spacing w:line="600" w:lineRule="exact"/>
        <w:jc w:val="center"/>
        <w:outlineLvl w:val="1"/>
        <w:rPr>
          <w:rFonts w:hint="eastAsia" w:ascii="宋体" w:hAnsi="宋体" w:eastAsia="宋体" w:cs="宋体"/>
          <w:b/>
          <w:bCs/>
          <w:color w:val="auto"/>
          <w:sz w:val="28"/>
          <w:szCs w:val="28"/>
          <w:highlight w:val="none"/>
        </w:rPr>
      </w:pPr>
    </w:p>
    <w:p>
      <w:pPr>
        <w:spacing w:line="600" w:lineRule="exact"/>
        <w:jc w:val="center"/>
        <w:outlineLvl w:val="1"/>
        <w:rPr>
          <w:rFonts w:hint="eastAsia" w:ascii="宋体" w:hAnsi="宋体" w:eastAsia="宋体" w:cs="宋体"/>
          <w:b/>
          <w:bCs/>
          <w:color w:val="auto"/>
          <w:sz w:val="28"/>
          <w:szCs w:val="28"/>
          <w:highlight w:val="none"/>
        </w:rPr>
      </w:pPr>
    </w:p>
    <w:p>
      <w:pPr>
        <w:spacing w:line="600" w:lineRule="exact"/>
        <w:jc w:val="center"/>
        <w:outlineLvl w:val="1"/>
        <w:rPr>
          <w:rFonts w:hint="eastAsia" w:ascii="宋体" w:hAnsi="宋体" w:eastAsia="宋体" w:cs="宋体"/>
          <w:b/>
          <w:bCs/>
          <w:color w:val="auto"/>
          <w:sz w:val="28"/>
          <w:szCs w:val="28"/>
          <w:highlight w:val="none"/>
        </w:rPr>
      </w:pPr>
    </w:p>
    <w:p>
      <w:pPr>
        <w:spacing w:line="600" w:lineRule="exact"/>
        <w:jc w:val="center"/>
        <w:outlineLvl w:val="1"/>
        <w:rPr>
          <w:rFonts w:hint="eastAsia" w:ascii="宋体" w:hAnsi="宋体" w:eastAsia="宋体" w:cs="宋体"/>
          <w:b/>
          <w:bCs/>
          <w:color w:val="auto"/>
          <w:sz w:val="28"/>
          <w:szCs w:val="28"/>
          <w:highlight w:val="none"/>
        </w:rPr>
      </w:pPr>
    </w:p>
    <w:p>
      <w:pPr>
        <w:spacing w:line="600" w:lineRule="exact"/>
        <w:jc w:val="center"/>
        <w:outlineLvl w:val="1"/>
        <w:rPr>
          <w:rFonts w:hint="eastAsia" w:ascii="宋体" w:hAnsi="宋体" w:eastAsia="宋体" w:cs="宋体"/>
          <w:b/>
          <w:bCs/>
          <w:color w:val="auto"/>
          <w:sz w:val="28"/>
          <w:szCs w:val="28"/>
          <w:highlight w:val="none"/>
        </w:rPr>
      </w:pPr>
    </w:p>
    <w:p>
      <w:pPr>
        <w:spacing w:line="600" w:lineRule="exact"/>
        <w:jc w:val="center"/>
        <w:outlineLvl w:val="1"/>
        <w:rPr>
          <w:rFonts w:hint="eastAsia" w:ascii="宋体" w:hAnsi="宋体" w:eastAsia="宋体" w:cs="宋体"/>
          <w:b/>
          <w:bCs/>
          <w:color w:val="auto"/>
          <w:sz w:val="28"/>
          <w:szCs w:val="28"/>
          <w:highlight w:val="none"/>
        </w:rPr>
      </w:pPr>
    </w:p>
    <w:p>
      <w:pPr>
        <w:spacing w:line="600" w:lineRule="exact"/>
        <w:jc w:val="center"/>
        <w:outlineLvl w:val="1"/>
        <w:rPr>
          <w:rFonts w:hint="eastAsia" w:ascii="宋体" w:hAnsi="宋体" w:eastAsia="宋体" w:cs="宋体"/>
          <w:b/>
          <w:bCs/>
          <w:color w:val="auto"/>
          <w:sz w:val="28"/>
          <w:szCs w:val="28"/>
          <w:highlight w:val="none"/>
        </w:rPr>
      </w:pPr>
    </w:p>
    <w:p>
      <w:pPr>
        <w:spacing w:line="600" w:lineRule="exact"/>
        <w:jc w:val="center"/>
        <w:outlineLvl w:val="1"/>
        <w:rPr>
          <w:rFonts w:hint="eastAsia" w:ascii="宋体" w:hAnsi="宋体" w:eastAsia="宋体" w:cs="宋体"/>
          <w:b/>
          <w:bCs/>
          <w:color w:val="auto"/>
          <w:sz w:val="28"/>
          <w:szCs w:val="28"/>
          <w:highlight w:val="none"/>
        </w:rPr>
      </w:pPr>
    </w:p>
    <w:p>
      <w:pPr>
        <w:spacing w:line="600" w:lineRule="exact"/>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spacing w:line="600" w:lineRule="exact"/>
        <w:jc w:val="center"/>
        <w:outlineLvl w:val="1"/>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八、其他材料</w:t>
      </w:r>
      <w:bookmarkEnd w:id="1247"/>
    </w:p>
    <w:p>
      <w:pPr>
        <w:ind w:firstLine="0"/>
        <w:outlineLvl w:val="9"/>
        <w:rPr>
          <w:rFonts w:hint="eastAsia" w:ascii="宋体" w:hAnsi="宋体" w:eastAsia="宋体" w:cs="宋体"/>
          <w:color w:val="auto"/>
          <w:sz w:val="24"/>
          <w:szCs w:val="24"/>
          <w:highlight w:val="none"/>
        </w:rPr>
      </w:pPr>
    </w:p>
    <w:p>
      <w:pPr>
        <w:spacing w:line="360" w:lineRule="auto"/>
        <w:jc w:val="center"/>
        <w:outlineLvl w:val="9"/>
        <w:rPr>
          <w:rFonts w:hint="eastAsia" w:ascii="宋体" w:hAnsi="宋体" w:eastAsia="宋体" w:cs="宋体"/>
          <w:b/>
          <w:color w:val="auto"/>
          <w:sz w:val="24"/>
          <w:szCs w:val="24"/>
          <w:highlight w:val="none"/>
        </w:rPr>
      </w:pPr>
      <w:bookmarkStart w:id="1248" w:name="_Toc457469585"/>
      <w:bookmarkEnd w:id="1248"/>
      <w:r>
        <w:rPr>
          <w:rFonts w:hint="eastAsia" w:ascii="宋体" w:hAnsi="宋体" w:eastAsia="宋体" w:cs="宋体"/>
          <w:b/>
          <w:color w:val="auto"/>
          <w:sz w:val="24"/>
          <w:szCs w:val="24"/>
          <w:highlight w:val="none"/>
        </w:rPr>
        <w:t>1、反商业贿赂承诺书</w:t>
      </w:r>
    </w:p>
    <w:p>
      <w:pPr>
        <w:ind w:firstLine="210"/>
        <w:outlineLvl w:val="9"/>
        <w:rPr>
          <w:rFonts w:hint="eastAsia" w:ascii="宋体" w:hAnsi="宋体" w:eastAsia="宋体" w:cs="宋体"/>
          <w:color w:val="auto"/>
          <w:sz w:val="24"/>
          <w:szCs w:val="24"/>
          <w:highlight w:val="none"/>
        </w:rPr>
      </w:pPr>
    </w:p>
    <w:p>
      <w:pPr>
        <w:spacing w:line="360" w:lineRule="auto"/>
        <w:ind w:firstLine="63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w:t>
      </w:r>
    </w:p>
    <w:p>
      <w:pPr>
        <w:spacing w:line="360" w:lineRule="auto"/>
        <w:ind w:firstLine="63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color="auto"/>
        </w:rPr>
        <w:t xml:space="preserve">                    （项目名称）  （项目编号：  ）</w:t>
      </w:r>
      <w:r>
        <w:rPr>
          <w:rFonts w:hint="eastAsia" w:ascii="宋体" w:hAnsi="宋体" w:eastAsia="宋体" w:cs="宋体"/>
          <w:color w:val="auto"/>
          <w:sz w:val="24"/>
          <w:szCs w:val="24"/>
          <w:highlight w:val="none"/>
        </w:rPr>
        <w:t>磋商活动中，我方保证做到：</w:t>
      </w:r>
    </w:p>
    <w:p>
      <w:pPr>
        <w:spacing w:line="360" w:lineRule="auto"/>
        <w:ind w:firstLine="630"/>
        <w:jc w:val="left"/>
        <w:outlineLvl w:val="1"/>
        <w:rPr>
          <w:rFonts w:hint="eastAsia" w:ascii="宋体" w:hAnsi="宋体" w:eastAsia="宋体" w:cs="宋体"/>
          <w:color w:val="auto"/>
          <w:sz w:val="24"/>
          <w:szCs w:val="24"/>
          <w:highlight w:val="none"/>
        </w:rPr>
      </w:pPr>
      <w:bookmarkStart w:id="1249" w:name="_Toc20831"/>
      <w:r>
        <w:rPr>
          <w:rFonts w:hint="eastAsia" w:ascii="宋体" w:hAnsi="宋体" w:eastAsia="宋体" w:cs="宋体"/>
          <w:color w:val="auto"/>
          <w:sz w:val="24"/>
          <w:szCs w:val="24"/>
          <w:highlight w:val="none"/>
        </w:rPr>
        <w:t>一、公平竞争参加本次磋商采购活动。</w:t>
      </w:r>
      <w:bookmarkEnd w:id="1249"/>
    </w:p>
    <w:p>
      <w:pPr>
        <w:spacing w:line="360" w:lineRule="auto"/>
        <w:ind w:firstLine="63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63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三、若出现上述行为，我方及参与投标的工作人员愿意接受按照国家法律法规等有关规定给予的处罚。</w:t>
      </w:r>
    </w:p>
    <w:p>
      <w:pPr>
        <w:spacing w:line="360" w:lineRule="auto"/>
        <w:ind w:left="645"/>
        <w:outlineLvl w:val="9"/>
        <w:rPr>
          <w:rFonts w:hint="eastAsia" w:ascii="宋体" w:hAnsi="宋体" w:eastAsia="宋体" w:cs="宋体"/>
          <w:color w:val="auto"/>
          <w:sz w:val="24"/>
          <w:szCs w:val="24"/>
          <w:highlight w:val="none"/>
        </w:rPr>
      </w:pPr>
    </w:p>
    <w:p>
      <w:pPr>
        <w:spacing w:line="360" w:lineRule="auto"/>
        <w:ind w:left="645"/>
        <w:outlineLvl w:val="9"/>
        <w:rPr>
          <w:rFonts w:hint="eastAsia" w:ascii="宋体" w:hAnsi="宋体" w:eastAsia="宋体" w:cs="宋体"/>
          <w:color w:val="auto"/>
          <w:sz w:val="24"/>
          <w:szCs w:val="24"/>
          <w:highlight w:val="none"/>
        </w:rPr>
      </w:pPr>
    </w:p>
    <w:p>
      <w:pPr>
        <w:spacing w:line="360" w:lineRule="auto"/>
        <w:ind w:left="645"/>
        <w:outlineLvl w:val="9"/>
        <w:rPr>
          <w:rFonts w:hint="eastAsia" w:ascii="宋体" w:hAnsi="宋体" w:eastAsia="宋体" w:cs="宋体"/>
          <w:color w:val="auto"/>
          <w:sz w:val="24"/>
          <w:szCs w:val="24"/>
          <w:highlight w:val="none"/>
        </w:rPr>
      </w:pPr>
    </w:p>
    <w:p>
      <w:pPr>
        <w:spacing w:line="360" w:lineRule="auto"/>
        <w:ind w:left="645"/>
        <w:outlineLvl w:val="9"/>
        <w:rPr>
          <w:rFonts w:hint="eastAsia" w:ascii="宋体" w:hAnsi="宋体" w:eastAsia="宋体" w:cs="宋体"/>
          <w:color w:val="auto"/>
          <w:sz w:val="24"/>
          <w:szCs w:val="24"/>
          <w:highlight w:val="none"/>
        </w:rPr>
      </w:pPr>
    </w:p>
    <w:p>
      <w:pPr>
        <w:spacing w:line="360" w:lineRule="auto"/>
        <w:ind w:left="645"/>
        <w:outlineLvl w:val="9"/>
        <w:rPr>
          <w:rFonts w:hint="eastAsia" w:ascii="宋体" w:hAnsi="宋体" w:eastAsia="宋体" w:cs="宋体"/>
          <w:color w:val="auto"/>
          <w:sz w:val="24"/>
          <w:szCs w:val="24"/>
          <w:highlight w:val="none"/>
        </w:rPr>
      </w:pPr>
    </w:p>
    <w:p>
      <w:pPr>
        <w:spacing w:line="360" w:lineRule="auto"/>
        <w:ind w:left="645"/>
        <w:outlineLvl w:val="9"/>
        <w:rPr>
          <w:rFonts w:hint="eastAsia" w:ascii="宋体" w:hAnsi="宋体" w:eastAsia="宋体" w:cs="宋体"/>
          <w:color w:val="auto"/>
          <w:sz w:val="24"/>
          <w:szCs w:val="24"/>
          <w:highlight w:val="none"/>
        </w:rPr>
      </w:pPr>
      <w:bookmarkStart w:id="1250" w:name="_Toc20561"/>
      <w:bookmarkEnd w:id="1250"/>
      <w:bookmarkStart w:id="1251" w:name="_Toc8379"/>
      <w:bookmarkEnd w:id="1251"/>
      <w:bookmarkStart w:id="1252" w:name="_Toc3406"/>
      <w:bookmarkEnd w:id="1252"/>
      <w:bookmarkStart w:id="1253" w:name="_Toc21713"/>
      <w:r>
        <w:rPr>
          <w:rFonts w:hint="eastAsia" w:ascii="宋体" w:hAnsi="宋体" w:eastAsia="宋体" w:cs="宋体"/>
          <w:color w:val="auto"/>
          <w:sz w:val="24"/>
          <w:szCs w:val="24"/>
          <w:highlight w:val="none"/>
        </w:rPr>
        <w:t>供应商（单位电子签章）：</w:t>
      </w:r>
      <w:bookmarkEnd w:id="1253"/>
      <w:r>
        <w:rPr>
          <w:rFonts w:hint="eastAsia" w:ascii="宋体" w:hAnsi="宋体" w:eastAsia="宋体" w:cs="宋体"/>
          <w:color w:val="auto"/>
          <w:sz w:val="24"/>
          <w:szCs w:val="24"/>
          <w:highlight w:val="none"/>
        </w:rPr>
        <w:t>　</w:t>
      </w:r>
    </w:p>
    <w:p>
      <w:pPr>
        <w:spacing w:line="360" w:lineRule="auto"/>
        <w:ind w:left="645"/>
        <w:outlineLvl w:val="9"/>
        <w:rPr>
          <w:rFonts w:hint="eastAsia" w:ascii="宋体" w:hAnsi="宋体" w:eastAsia="宋体" w:cs="宋体"/>
          <w:color w:val="auto"/>
          <w:sz w:val="24"/>
          <w:szCs w:val="24"/>
          <w:highlight w:val="none"/>
        </w:rPr>
      </w:pPr>
    </w:p>
    <w:p>
      <w:pPr>
        <w:spacing w:line="360" w:lineRule="auto"/>
        <w:ind w:left="645"/>
        <w:outlineLvl w:val="9"/>
        <w:rPr>
          <w:rFonts w:hint="eastAsia" w:ascii="宋体" w:hAnsi="宋体" w:eastAsia="宋体" w:cs="宋体"/>
          <w:color w:val="auto"/>
          <w:sz w:val="24"/>
          <w:szCs w:val="24"/>
          <w:highlight w:val="none"/>
        </w:rPr>
      </w:pPr>
      <w:bookmarkStart w:id="1254" w:name="_Toc32762"/>
      <w:bookmarkEnd w:id="1254"/>
      <w:bookmarkStart w:id="1255" w:name="_Toc3127"/>
      <w:bookmarkEnd w:id="1255"/>
      <w:bookmarkStart w:id="1256" w:name="_Toc5607"/>
      <w:bookmarkEnd w:id="1256"/>
      <w:bookmarkStart w:id="1257" w:name="_Toc16559"/>
      <w:r>
        <w:rPr>
          <w:rFonts w:hint="eastAsia" w:ascii="宋体" w:hAnsi="宋体" w:eastAsia="宋体" w:cs="宋体"/>
          <w:color w:val="auto"/>
          <w:sz w:val="24"/>
          <w:szCs w:val="24"/>
          <w:highlight w:val="none"/>
        </w:rPr>
        <w:t>法人代表或授权代表（电子签名或盖章）：</w:t>
      </w:r>
      <w:bookmarkEnd w:id="1257"/>
    </w:p>
    <w:p>
      <w:pPr>
        <w:spacing w:line="360" w:lineRule="auto"/>
        <w:ind w:left="645"/>
        <w:outlineLvl w:val="9"/>
        <w:rPr>
          <w:rFonts w:hint="eastAsia" w:ascii="宋体" w:hAnsi="宋体" w:eastAsia="宋体" w:cs="宋体"/>
          <w:color w:val="auto"/>
          <w:sz w:val="24"/>
          <w:szCs w:val="24"/>
          <w:highlight w:val="none"/>
        </w:rPr>
      </w:pPr>
    </w:p>
    <w:p>
      <w:pPr>
        <w:spacing w:line="360" w:lineRule="auto"/>
        <w:ind w:left="645"/>
        <w:outlineLvl w:val="9"/>
        <w:rPr>
          <w:rFonts w:hint="eastAsia" w:ascii="宋体" w:hAnsi="宋体" w:eastAsia="宋体" w:cs="宋体"/>
          <w:color w:val="auto"/>
          <w:sz w:val="24"/>
          <w:szCs w:val="24"/>
          <w:highlight w:val="none"/>
        </w:rPr>
      </w:pPr>
      <w:bookmarkStart w:id="1258" w:name="_Toc23777"/>
      <w:bookmarkEnd w:id="1258"/>
      <w:bookmarkStart w:id="1259" w:name="_Toc30317"/>
      <w:bookmarkEnd w:id="1259"/>
      <w:bookmarkStart w:id="1260" w:name="_Toc15295"/>
      <w:bookmarkEnd w:id="1260"/>
      <w:bookmarkStart w:id="1261" w:name="_Toc24727"/>
      <w:r>
        <w:rPr>
          <w:rFonts w:hint="eastAsia" w:ascii="宋体" w:hAnsi="宋体" w:eastAsia="宋体" w:cs="宋体"/>
          <w:color w:val="auto"/>
          <w:sz w:val="24"/>
          <w:szCs w:val="24"/>
          <w:highlight w:val="none"/>
        </w:rPr>
        <w:t>日期：    年　　月　　日</w:t>
      </w:r>
      <w:bookmarkEnd w:id="1261"/>
    </w:p>
    <w:p>
      <w:pPr>
        <w:spacing w:line="360" w:lineRule="auto"/>
        <w:ind w:left="645"/>
        <w:outlineLvl w:val="9"/>
        <w:rPr>
          <w:rFonts w:hint="eastAsia" w:ascii="宋体" w:hAnsi="宋体" w:eastAsia="宋体" w:cs="宋体"/>
          <w:color w:val="auto"/>
          <w:szCs w:val="21"/>
          <w:highlight w:val="none"/>
        </w:rPr>
      </w:pPr>
    </w:p>
    <w:p>
      <w:pPr>
        <w:ind w:firstLine="210"/>
        <w:outlineLvl w:val="9"/>
        <w:rPr>
          <w:rFonts w:hint="eastAsia" w:ascii="宋体" w:hAnsi="宋体" w:eastAsia="宋体" w:cs="宋体"/>
          <w:color w:val="auto"/>
          <w:szCs w:val="21"/>
          <w:highlight w:val="none"/>
        </w:rPr>
      </w:pPr>
    </w:p>
    <w:p>
      <w:pPr>
        <w:ind w:firstLine="210"/>
        <w:outlineLvl w:val="9"/>
        <w:rPr>
          <w:rFonts w:hint="eastAsia" w:ascii="宋体" w:hAnsi="宋体" w:eastAsia="宋体" w:cs="宋体"/>
          <w:color w:val="auto"/>
          <w:szCs w:val="21"/>
          <w:highlight w:val="none"/>
        </w:rPr>
      </w:pPr>
    </w:p>
    <w:p>
      <w:pPr>
        <w:pStyle w:val="5"/>
        <w:outlineLvl w:val="9"/>
        <w:rPr>
          <w:rFonts w:hint="eastAsia" w:ascii="宋体" w:hAnsi="宋体" w:eastAsia="宋体" w:cs="宋体"/>
          <w:color w:val="auto"/>
          <w:szCs w:val="21"/>
          <w:highlight w:val="none"/>
        </w:rPr>
      </w:pPr>
    </w:p>
    <w:p>
      <w:pPr>
        <w:outlineLvl w:val="9"/>
        <w:rPr>
          <w:rFonts w:hint="eastAsia" w:ascii="宋体" w:hAnsi="宋体" w:eastAsia="宋体" w:cs="宋体"/>
          <w:color w:val="auto"/>
          <w:szCs w:val="21"/>
          <w:highlight w:val="none"/>
        </w:rPr>
      </w:pPr>
    </w:p>
    <w:p>
      <w:pPr>
        <w:pStyle w:val="5"/>
        <w:outlineLvl w:val="9"/>
        <w:rPr>
          <w:rFonts w:hint="eastAsia" w:ascii="宋体" w:hAnsi="宋体" w:eastAsia="宋体" w:cs="宋体"/>
          <w:color w:val="auto"/>
          <w:szCs w:val="21"/>
          <w:highlight w:val="none"/>
        </w:rPr>
      </w:pPr>
    </w:p>
    <w:p>
      <w:pPr>
        <w:outlineLvl w:val="9"/>
        <w:rPr>
          <w:rFonts w:hint="eastAsia" w:ascii="宋体" w:hAnsi="宋体" w:eastAsia="宋体" w:cs="宋体"/>
          <w:color w:val="auto"/>
          <w:szCs w:val="21"/>
          <w:highlight w:val="none"/>
        </w:rPr>
      </w:pPr>
    </w:p>
    <w:p>
      <w:pPr>
        <w:pStyle w:val="5"/>
        <w:outlineLvl w:val="9"/>
        <w:rPr>
          <w:rFonts w:hint="eastAsia" w:ascii="宋体" w:hAnsi="宋体" w:eastAsia="宋体" w:cs="宋体"/>
          <w:color w:val="auto"/>
          <w:szCs w:val="21"/>
          <w:highlight w:val="none"/>
        </w:rPr>
      </w:pPr>
    </w:p>
    <w:p>
      <w:pPr>
        <w:ind w:firstLine="0"/>
        <w:outlineLvl w:val="9"/>
        <w:rPr>
          <w:rFonts w:hint="eastAsia" w:ascii="宋体" w:hAnsi="宋体" w:eastAsia="宋体" w:cs="宋体"/>
          <w:color w:val="auto"/>
          <w:szCs w:val="21"/>
          <w:highlight w:val="none"/>
        </w:rPr>
      </w:pPr>
    </w:p>
    <w:p>
      <w:pPr>
        <w:spacing w:line="360" w:lineRule="auto"/>
        <w:jc w:val="center"/>
        <w:outlineLvl w:val="9"/>
        <w:rPr>
          <w:rFonts w:hint="eastAsia" w:ascii="宋体" w:hAnsi="宋体" w:eastAsia="宋体" w:cs="宋体"/>
          <w:color w:val="auto"/>
          <w:sz w:val="24"/>
          <w:szCs w:val="24"/>
          <w:highlight w:val="none"/>
        </w:rPr>
      </w:pPr>
      <w:bookmarkStart w:id="1262" w:name="_Toc525210051"/>
      <w:bookmarkEnd w:id="1262"/>
      <w:bookmarkStart w:id="1263" w:name="_Toc523494085"/>
      <w:bookmarkEnd w:id="1263"/>
      <w:r>
        <w:rPr>
          <w:rFonts w:hint="eastAsia" w:ascii="宋体" w:hAnsi="宋体" w:eastAsia="宋体" w:cs="宋体"/>
          <w:b/>
          <w:color w:val="auto"/>
          <w:sz w:val="24"/>
          <w:szCs w:val="24"/>
          <w:highlight w:val="none"/>
        </w:rPr>
        <w:t>2、中小企业声明函（工程）</w:t>
      </w:r>
    </w:p>
    <w:p>
      <w:pPr>
        <w:spacing w:line="400" w:lineRule="exact"/>
        <w:outlineLvl w:val="9"/>
        <w:rPr>
          <w:rFonts w:hint="eastAsia" w:ascii="宋体" w:hAnsi="宋体" w:eastAsia="宋体" w:cs="宋体"/>
          <w:color w:val="auto"/>
          <w:sz w:val="24"/>
          <w:szCs w:val="24"/>
          <w:highlight w:val="none"/>
        </w:rPr>
      </w:pPr>
    </w:p>
    <w:p>
      <w:pPr>
        <w:pStyle w:val="34"/>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（联合体）参加</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（单位名称）的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 xml:space="preserve">（项目名称）采购活动，工程的施工单位全部为符合政策要求的中小企业。相关企业（含联合体中的中小企业、签订分包意向协议的中小企业）的具体情 况如下： </w:t>
      </w:r>
    </w:p>
    <w:p>
      <w:pPr>
        <w:pStyle w:val="34"/>
        <w:numPr>
          <w:ilvl w:val="0"/>
          <w:numId w:val="11"/>
        </w:numPr>
        <w:spacing w:line="360" w:lineRule="auto"/>
        <w:ind w:left="0"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（标的名称）</w:t>
      </w:r>
      <w:r>
        <w:rPr>
          <w:rFonts w:hint="eastAsia" w:ascii="宋体" w:hAnsi="宋体" w:eastAsia="宋体" w:cs="宋体"/>
          <w:color w:val="auto"/>
          <w:sz w:val="24"/>
          <w:szCs w:val="24"/>
          <w:highlight w:val="none"/>
        </w:rPr>
        <w:t xml:space="preserve"> ，属于</w:t>
      </w:r>
      <w:r>
        <w:rPr>
          <w:rFonts w:hint="eastAsia" w:ascii="宋体" w:hAnsi="宋体" w:eastAsia="宋体" w:cs="宋体"/>
          <w:color w:val="auto"/>
          <w:sz w:val="24"/>
          <w:szCs w:val="24"/>
          <w:highlight w:val="none"/>
          <w:u w:val="single" w:color="auto"/>
        </w:rPr>
        <w:t>（建筑业）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color="auto"/>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color="auto"/>
        </w:rPr>
        <w:t>（中型企业、 小型企业、微型企业）</w:t>
      </w:r>
      <w:r>
        <w:rPr>
          <w:rFonts w:hint="eastAsia" w:ascii="宋体" w:hAnsi="宋体" w:eastAsia="宋体" w:cs="宋体"/>
          <w:color w:val="auto"/>
          <w:sz w:val="24"/>
          <w:szCs w:val="24"/>
          <w:highlight w:val="none"/>
        </w:rPr>
        <w:t>；</w:t>
      </w:r>
    </w:p>
    <w:p>
      <w:pPr>
        <w:pStyle w:val="34"/>
        <w:numPr>
          <w:ilvl w:val="0"/>
          <w:numId w:val="11"/>
        </w:numPr>
        <w:spacing w:line="360" w:lineRule="auto"/>
        <w:ind w:left="0"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color="auto"/>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color="auto"/>
        </w:rPr>
        <w:t>（建筑业）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color="auto"/>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color="auto"/>
        </w:rPr>
        <w:t>（中型企业、 小型企业、微型企业）</w:t>
      </w:r>
      <w:r>
        <w:rPr>
          <w:rFonts w:hint="eastAsia" w:ascii="宋体" w:hAnsi="宋体" w:eastAsia="宋体" w:cs="宋体"/>
          <w:color w:val="auto"/>
          <w:sz w:val="24"/>
          <w:szCs w:val="24"/>
          <w:highlight w:val="none"/>
        </w:rPr>
        <w:t>；</w:t>
      </w:r>
    </w:p>
    <w:p>
      <w:pPr>
        <w:pStyle w:val="34"/>
        <w:numPr>
          <w:ilvl w:val="0"/>
          <w:numId w:val="0"/>
        </w:num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34"/>
        <w:numPr>
          <w:ilvl w:val="0"/>
          <w:numId w:val="0"/>
        </w:numPr>
        <w:spacing w:line="360" w:lineRule="auto"/>
        <w:ind w:firstLine="420"/>
        <w:outlineLvl w:val="9"/>
        <w:rPr>
          <w:rFonts w:hint="eastAsia" w:ascii="宋体" w:hAnsi="宋体" w:eastAsia="宋体" w:cs="宋体"/>
          <w:color w:val="auto"/>
          <w:sz w:val="24"/>
          <w:szCs w:val="24"/>
          <w:highlight w:val="none"/>
        </w:rPr>
      </w:pPr>
    </w:p>
    <w:p>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以上企业，不属于大企业的分支机构，不存在控股股东 为大企业的情形，也不存在与大企业的负责人为同一人的情形。</w:t>
      </w:r>
    </w:p>
    <w:p>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本企业对上述声明内容的真实性负责。如有虚假，将依 法承担相应责任。</w:t>
      </w:r>
    </w:p>
    <w:p>
      <w:pPr>
        <w:pStyle w:val="25"/>
        <w:spacing w:line="360" w:lineRule="auto"/>
        <w:ind w:firstLine="2940"/>
        <w:outlineLvl w:val="9"/>
        <w:rPr>
          <w:rFonts w:hint="eastAsia" w:ascii="宋体" w:hAnsi="宋体" w:eastAsia="宋体" w:cs="宋体"/>
          <w:color w:val="auto"/>
          <w:kern w:val="1"/>
          <w:sz w:val="24"/>
          <w:szCs w:val="24"/>
          <w:highlight w:val="none"/>
        </w:rPr>
      </w:pPr>
    </w:p>
    <w:p>
      <w:pPr>
        <w:pStyle w:val="25"/>
        <w:spacing w:line="360" w:lineRule="auto"/>
        <w:ind w:firstLine="2940"/>
        <w:outlineLvl w:val="9"/>
        <w:rPr>
          <w:rFonts w:hint="eastAsia" w:ascii="宋体" w:hAnsi="宋体" w:eastAsia="宋体" w:cs="宋体"/>
          <w:color w:val="auto"/>
          <w:kern w:val="1"/>
          <w:sz w:val="24"/>
          <w:szCs w:val="24"/>
          <w:highlight w:val="none"/>
        </w:rPr>
      </w:pPr>
    </w:p>
    <w:p>
      <w:pPr>
        <w:pStyle w:val="25"/>
        <w:spacing w:line="360" w:lineRule="auto"/>
        <w:ind w:firstLine="2940"/>
        <w:jc w:val="center"/>
        <w:outlineLvl w:val="9"/>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企业名称（单位电子签章）：</w:t>
      </w:r>
      <w:r>
        <w:rPr>
          <w:rFonts w:hint="eastAsia" w:ascii="宋体" w:hAnsi="宋体" w:eastAsia="宋体" w:cs="宋体"/>
          <w:color w:val="auto"/>
          <w:kern w:val="1"/>
          <w:sz w:val="24"/>
          <w:szCs w:val="24"/>
          <w:highlight w:val="none"/>
          <w:u w:val="single" w:color="auto"/>
        </w:rPr>
        <w:t xml:space="preserve">               </w:t>
      </w:r>
      <w:r>
        <w:rPr>
          <w:rFonts w:hint="eastAsia" w:ascii="宋体" w:hAnsi="宋体" w:eastAsia="宋体" w:cs="宋体"/>
          <w:color w:val="auto"/>
          <w:kern w:val="1"/>
          <w:sz w:val="24"/>
          <w:szCs w:val="24"/>
          <w:highlight w:val="none"/>
        </w:rPr>
        <w:t xml:space="preserve">       </w:t>
      </w:r>
    </w:p>
    <w:p>
      <w:pPr>
        <w:pStyle w:val="25"/>
        <w:spacing w:line="360" w:lineRule="auto"/>
        <w:ind w:firstLine="4830"/>
        <w:jc w:val="both"/>
        <w:outlineLvl w:val="9"/>
        <w:rPr>
          <w:rFonts w:hint="eastAsia" w:ascii="宋体" w:hAnsi="宋体" w:eastAsia="宋体" w:cs="宋体"/>
          <w:color w:val="auto"/>
          <w:kern w:val="1"/>
          <w:sz w:val="24"/>
          <w:szCs w:val="24"/>
          <w:highlight w:val="none"/>
          <w:u w:val="single" w:color="auto"/>
        </w:rPr>
      </w:pPr>
      <w:r>
        <w:rPr>
          <w:rFonts w:hint="eastAsia" w:ascii="宋体" w:hAnsi="宋体" w:eastAsia="宋体" w:cs="宋体"/>
          <w:color w:val="auto"/>
          <w:kern w:val="1"/>
          <w:sz w:val="24"/>
          <w:szCs w:val="24"/>
          <w:highlight w:val="none"/>
        </w:rPr>
        <w:t>日期：</w:t>
      </w:r>
      <w:r>
        <w:rPr>
          <w:rFonts w:hint="eastAsia" w:ascii="宋体" w:hAnsi="宋体" w:eastAsia="宋体" w:cs="宋体"/>
          <w:color w:val="auto"/>
          <w:kern w:val="1"/>
          <w:sz w:val="24"/>
          <w:szCs w:val="24"/>
          <w:highlight w:val="none"/>
          <w:u w:val="single" w:color="auto"/>
        </w:rPr>
        <w:t xml:space="preserve">                 </w:t>
      </w:r>
    </w:p>
    <w:p>
      <w:pPr>
        <w:outlineLvl w:val="9"/>
        <w:rPr>
          <w:rFonts w:hint="eastAsia" w:ascii="宋体" w:hAnsi="宋体" w:eastAsia="宋体" w:cs="宋体"/>
          <w:color w:val="auto"/>
          <w:sz w:val="24"/>
          <w:szCs w:val="24"/>
          <w:highlight w:val="none"/>
          <w:u w:val="single" w:color="auto"/>
        </w:rPr>
      </w:pPr>
    </w:p>
    <w:p>
      <w:pPr>
        <w:spacing w:line="360" w:lineRule="auto"/>
        <w:ind w:firstLine="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 从业人员、营业收入、资产总额填报上一年度数据，无上一年度数据的新成立企业可不填报。</w:t>
      </w:r>
    </w:p>
    <w:p>
      <w:pPr>
        <w:spacing w:line="360" w:lineRule="auto"/>
        <w:ind w:firstLine="42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2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32"/>
          <w:highlight w:val="none"/>
        </w:rPr>
        <w:br w:type="page"/>
      </w:r>
    </w:p>
    <w:p>
      <w:pPr>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3、投标承诺函</w:t>
      </w:r>
    </w:p>
    <w:p>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致（采购人及采购代理机构）：</w:t>
      </w:r>
    </w:p>
    <w:p>
      <w:pPr>
        <w:spacing w:line="360" w:lineRule="auto"/>
        <w:ind w:firstLine="45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我公司作为本次采购项目的供应商，根据磋商文件要求，现郑重承诺如下：</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一、具备《中华人民共和国政府采购法》第二十二条第一款和本项目规定的条件：</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 　　</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 　</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 　　</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 　　</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完全接受和满足本项目磋商文件中规定的实质性要求，如对磋商文件有异议，已经在响应文件提交时间届满前依法进行维权救济，不存在对磋商文件有异议的同时又参加投标以求侥幸中标或者为实现其他非法目的的行为。</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三、参加本次招标采购活动，不存在与单位负责人为同一人或者存在直接控股、管理关系的其他供应商参与同一合同项下的政府采购活动的行为。    </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五、参加本次招标采购活动，不存在和其他供应商在同一合同项下的采购项目中，同时委托同一个自然人、同一家庭的人员、同一单位的人员作为代理人的行为。</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六、供应商参加本次政府采购活动要求在近三年内供应商和其法定代表人没有行贿犯罪行为。</w:t>
      </w:r>
    </w:p>
    <w:p>
      <w:pPr>
        <w:spacing w:line="360" w:lineRule="auto"/>
        <w:ind w:firstLine="420"/>
        <w:outlineLvl w:val="1"/>
        <w:rPr>
          <w:rFonts w:hint="eastAsia" w:ascii="宋体" w:hAnsi="宋体" w:eastAsia="宋体" w:cs="宋体"/>
          <w:color w:val="auto"/>
          <w:sz w:val="24"/>
          <w:szCs w:val="24"/>
          <w:highlight w:val="none"/>
        </w:rPr>
      </w:pPr>
      <w:bookmarkStart w:id="1264" w:name="_Toc30506"/>
      <w:r>
        <w:rPr>
          <w:rFonts w:hint="eastAsia" w:ascii="宋体" w:hAnsi="宋体" w:eastAsia="宋体" w:cs="宋体"/>
          <w:color w:val="auto"/>
          <w:sz w:val="24"/>
          <w:szCs w:val="24"/>
          <w:highlight w:val="none"/>
        </w:rPr>
        <w:t>七、参加本次招标采购活动，不存在联合体投标。</w:t>
      </w:r>
      <w:bookmarkEnd w:id="1264"/>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八、响应文件中提供的能够给予我公司带来优惠、好处的任何材料资料和技术、服务、商务等响应承诺情况都是真实的、有效的、合法的。</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如本项目评标过程中需要提供样品，则我公司提供的样品即为中标后将要提供的中标产品，我公司对提供样品的性能和质量负责，因样品存在缺陷或者不符合磋商文件要求导致未能中标的，我公司愿意承担相应不利后果。（如提供样品）    </w:t>
      </w:r>
    </w:p>
    <w:p>
      <w:pPr>
        <w:spacing w:line="360" w:lineRule="auto"/>
        <w:ind w:firstLine="420"/>
        <w:outlineLvl w:val="1"/>
        <w:rPr>
          <w:rFonts w:hint="eastAsia" w:ascii="宋体" w:hAnsi="宋体" w:eastAsia="宋体" w:cs="宋体"/>
          <w:color w:val="auto"/>
          <w:sz w:val="24"/>
          <w:szCs w:val="24"/>
          <w:highlight w:val="none"/>
        </w:rPr>
      </w:pPr>
      <w:bookmarkStart w:id="1265" w:name="_Toc23347"/>
      <w:r>
        <w:rPr>
          <w:rFonts w:hint="eastAsia" w:ascii="宋体" w:hAnsi="宋体" w:eastAsia="宋体" w:cs="宋体"/>
          <w:color w:val="auto"/>
          <w:sz w:val="24"/>
          <w:szCs w:val="24"/>
          <w:highlight w:val="none"/>
        </w:rPr>
        <w:t>十、存在以下行为之一的愿意接受相关部门的处理：</w:t>
      </w:r>
      <w:bookmarkEnd w:id="1265"/>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（二）在采购人确定成交人以前放弃中标候选资格的；</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（三）由于成交人的原因未能按照磋商文件的规定与采购人签订合同；</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（四）由于成交人的原因未能按照磋商文件的规定交纳履约保证金；</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（七）磋商有效期内，供应商在政府采购活动中有违法、违规、违纪行为。</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由此产生的一切法律后果和责任由我公司承担。我公司声明放弃对此提出任何异议和追索的权利。</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本公司对上述承诺的内容事项真实性负责。如经查实上述承诺的内容事项存在虚假，我公司愿意接受以提供虚假材料谋取中标追究法律责任。</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color="auto"/>
        </w:rPr>
        <w:t>                  </w:t>
      </w:r>
      <w:r>
        <w:rPr>
          <w:rFonts w:hint="eastAsia" w:ascii="宋体" w:hAnsi="宋体" w:eastAsia="宋体" w:cs="宋体"/>
          <w:color w:val="auto"/>
          <w:sz w:val="24"/>
          <w:szCs w:val="24"/>
          <w:highlight w:val="none"/>
        </w:rPr>
        <w:t>（单位电子签章）</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color="auto"/>
        </w:rPr>
        <w:t>            </w:t>
      </w:r>
      <w:r>
        <w:rPr>
          <w:rFonts w:hint="eastAsia" w:ascii="宋体" w:hAnsi="宋体" w:eastAsia="宋体" w:cs="宋体"/>
          <w:color w:val="auto"/>
          <w:sz w:val="24"/>
          <w:szCs w:val="24"/>
          <w:highlight w:val="none"/>
        </w:rPr>
        <w:t>（电子签名或盖章）</w:t>
      </w:r>
    </w:p>
    <w:p>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color="auto"/>
        </w:rPr>
        <w:t>              </w:t>
      </w:r>
    </w:p>
    <w:p>
      <w:pPr>
        <w:numPr>
          <w:ilvl w:val="0"/>
          <w:numId w:val="0"/>
        </w:numP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w:t>
      </w:r>
    </w:p>
    <w:p>
      <w:pPr>
        <w:numPr>
          <w:ilvl w:val="0"/>
          <w:numId w:val="0"/>
        </w:numP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w:t>
      </w: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outlineLvl w:val="9"/>
        <w:rPr>
          <w:rFonts w:hint="eastAsia" w:ascii="宋体" w:hAnsi="宋体" w:eastAsia="宋体" w:cs="宋体"/>
          <w:color w:val="auto"/>
          <w:highlight w:val="none"/>
        </w:rPr>
        <w:sectPr>
          <w:headerReference r:id="rId12" w:type="default"/>
          <w:footerReference r:id="rId13" w:type="default"/>
          <w:footnotePr>
            <w:numFmt w:val="decimal"/>
          </w:footnotePr>
          <w:endnotePr>
            <w:numFmt w:val="decimal"/>
          </w:endnotePr>
          <w:pgSz w:w="11905" w:h="16838"/>
          <w:pgMar w:top="1440" w:right="1803" w:bottom="1440" w:left="1803" w:header="850" w:footer="850" w:gutter="0"/>
          <w:pgNumType w:fmt="decimal"/>
          <w:cols w:space="720" w:num="1"/>
        </w:sectPr>
      </w:pPr>
    </w:p>
    <w:p>
      <w:pPr>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32"/>
          <w:highlight w:val="none"/>
        </w:rPr>
        <w:t>4、采购代理服务费承诺函</w:t>
      </w:r>
    </w:p>
    <w:p>
      <w:pPr>
        <w:pStyle w:val="22"/>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jc w:val="both"/>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w:t>
      </w:r>
    </w:p>
    <w:p>
      <w:pPr>
        <w:pStyle w:val="22"/>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360" w:lineRule="auto"/>
        <w:jc w:val="both"/>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致</w:t>
      </w:r>
      <w:r>
        <w:rPr>
          <w:rFonts w:hint="eastAsia" w:ascii="宋体" w:hAnsi="宋体" w:eastAsia="宋体" w:cs="宋体"/>
          <w:color w:val="auto"/>
          <w:spacing w:val="8"/>
          <w:sz w:val="24"/>
          <w:szCs w:val="24"/>
          <w:highlight w:val="none"/>
          <w:u w:val="single" w:color="auto"/>
        </w:rPr>
        <w:t>（采购人及采购代理机构） </w:t>
      </w:r>
      <w:r>
        <w:rPr>
          <w:rFonts w:hint="eastAsia" w:ascii="宋体" w:hAnsi="宋体" w:eastAsia="宋体" w:cs="宋体"/>
          <w:color w:val="auto"/>
          <w:spacing w:val="8"/>
          <w:sz w:val="24"/>
          <w:szCs w:val="24"/>
          <w:highlight w:val="none"/>
        </w:rPr>
        <w:t>：</w:t>
      </w:r>
    </w:p>
    <w:p>
      <w:pPr>
        <w:pStyle w:val="22"/>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360" w:lineRule="auto"/>
        <w:ind w:firstLine="480"/>
        <w:jc w:val="both"/>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我们在贵公司组织的（项目名称：</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，采购编号：</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招标采购中若获中标（成交），我们保证在中标(成交）结果公告发布后2个工作日内，按磋商文件的规定，以支票、银行转账、汇票或现金，向贵公司一次性支付招标代理服务费用。否则，由此产生的一切法律后果和责任由我公司承担。我公司声明放弃对此提出任何异议和追索的权利。</w:t>
      </w:r>
    </w:p>
    <w:p>
      <w:pPr>
        <w:pStyle w:val="22"/>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360" w:lineRule="auto"/>
        <w:ind w:firstLine="452"/>
        <w:jc w:val="both"/>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特此承诺。</w:t>
      </w:r>
    </w:p>
    <w:p>
      <w:pPr>
        <w:pStyle w:val="22"/>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360" w:lineRule="auto"/>
        <w:jc w:val="both"/>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w:t>
      </w:r>
    </w:p>
    <w:p>
      <w:pPr>
        <w:pStyle w:val="22"/>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360" w:lineRule="auto"/>
        <w:jc w:val="both"/>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w:t>
      </w:r>
    </w:p>
    <w:p>
      <w:pPr>
        <w:pStyle w:val="22"/>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360" w:lineRule="auto"/>
        <w:ind w:firstLine="465"/>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供应商名称：</w:t>
      </w:r>
      <w:r>
        <w:rPr>
          <w:rFonts w:hint="eastAsia" w:ascii="宋体" w:hAnsi="宋体" w:eastAsia="宋体" w:cs="宋体"/>
          <w:color w:val="auto"/>
          <w:spacing w:val="8"/>
          <w:sz w:val="24"/>
          <w:szCs w:val="24"/>
          <w:highlight w:val="none"/>
          <w:u w:val="single" w:color="auto"/>
        </w:rPr>
        <w:t>           </w:t>
      </w:r>
      <w:r>
        <w:rPr>
          <w:rFonts w:hint="eastAsia" w:ascii="宋体" w:hAnsi="宋体" w:eastAsia="宋体" w:cs="宋体"/>
          <w:color w:val="auto"/>
          <w:spacing w:val="8"/>
          <w:sz w:val="24"/>
          <w:szCs w:val="24"/>
          <w:highlight w:val="none"/>
        </w:rPr>
        <w:t>（单位电子签章）</w:t>
      </w:r>
    </w:p>
    <w:p>
      <w:pPr>
        <w:pStyle w:val="22"/>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360" w:lineRule="auto"/>
        <w:ind w:firstLine="465"/>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法定代表人或授权代表：</w:t>
      </w:r>
      <w:r>
        <w:rPr>
          <w:rFonts w:hint="eastAsia" w:ascii="宋体" w:hAnsi="宋体" w:eastAsia="宋体" w:cs="宋体"/>
          <w:color w:val="auto"/>
          <w:spacing w:val="8"/>
          <w:sz w:val="24"/>
          <w:szCs w:val="24"/>
          <w:highlight w:val="none"/>
          <w:u w:val="single" w:color="auto"/>
        </w:rPr>
        <w:t>      </w:t>
      </w:r>
      <w:r>
        <w:rPr>
          <w:rFonts w:hint="eastAsia" w:ascii="宋体" w:hAnsi="宋体" w:eastAsia="宋体" w:cs="宋体"/>
          <w:color w:val="auto"/>
          <w:spacing w:val="8"/>
          <w:sz w:val="24"/>
          <w:szCs w:val="24"/>
          <w:highlight w:val="none"/>
        </w:rPr>
        <w:t>（电子签名或盖章）</w:t>
      </w:r>
    </w:p>
    <w:p>
      <w:pPr>
        <w:pStyle w:val="22"/>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360" w:lineRule="auto"/>
        <w:ind w:firstLine="480"/>
        <w:jc w:val="both"/>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日期：</w:t>
      </w:r>
      <w:r>
        <w:rPr>
          <w:rFonts w:hint="eastAsia" w:ascii="宋体" w:hAnsi="宋体" w:eastAsia="宋体" w:cs="宋体"/>
          <w:color w:val="auto"/>
          <w:spacing w:val="8"/>
          <w:sz w:val="24"/>
          <w:szCs w:val="24"/>
          <w:highlight w:val="none"/>
          <w:u w:val="single" w:color="auto"/>
        </w:rPr>
        <w:t>              </w:t>
      </w:r>
    </w:p>
    <w:p>
      <w:pPr>
        <w:pStyle w:val="22"/>
        <w:pBdr>
          <w:top w:val="none" w:color="000000" w:sz="0" w:space="3"/>
          <w:left w:val="none" w:color="000000" w:sz="0" w:space="3"/>
          <w:bottom w:val="none" w:color="000000" w:sz="0" w:space="3"/>
          <w:right w:val="none" w:color="000000" w:sz="0" w:space="3"/>
          <w:between w:val="none" w:color="000000" w:sz="0" w:space="0"/>
        </w:pBdr>
        <w:shd w:val="clear" w:color="000000" w:fill="FFFFFF"/>
        <w:spacing w:before="0" w:beforeAutospacing="0" w:after="0" w:afterAutospacing="0" w:line="360" w:lineRule="auto"/>
        <w:jc w:val="both"/>
        <w:outlineLvl w:val="9"/>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 </w:t>
      </w:r>
    </w:p>
    <w:p>
      <w:pPr>
        <w:outlineLvl w:val="9"/>
        <w:rPr>
          <w:rFonts w:hint="eastAsia" w:ascii="宋体" w:hAnsi="宋体" w:eastAsia="宋体" w:cs="宋体"/>
          <w:color w:val="auto"/>
          <w:szCs w:val="21"/>
          <w:highlight w:val="none"/>
        </w:rPr>
      </w:pPr>
    </w:p>
    <w:p>
      <w:pPr>
        <w:spacing w:line="360" w:lineRule="auto"/>
        <w:jc w:val="center"/>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pStyle w:val="25"/>
        <w:outlineLvl w:val="9"/>
        <w:rPr>
          <w:rFonts w:hint="eastAsia" w:ascii="宋体" w:hAnsi="宋体" w:eastAsia="宋体" w:cs="宋体"/>
          <w:color w:val="auto"/>
          <w:szCs w:val="21"/>
          <w:highlight w:val="none"/>
        </w:rPr>
      </w:pPr>
    </w:p>
    <w:p>
      <w:pPr>
        <w:numPr>
          <w:ilvl w:val="0"/>
          <w:numId w:val="12"/>
        </w:numPr>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供应商认为需要的其它资料</w:t>
      </w:r>
    </w:p>
    <w:p>
      <w:pPr>
        <w:numPr>
          <w:ilvl w:val="0"/>
          <w:numId w:val="0"/>
        </w:numPr>
        <w:jc w:val="center"/>
        <w:outlineLvl w:val="9"/>
        <w:rPr>
          <w:rFonts w:hint="eastAsia" w:ascii="宋体" w:hAnsi="宋体" w:eastAsia="宋体" w:cs="宋体"/>
          <w:b/>
          <w:color w:val="auto"/>
          <w:sz w:val="24"/>
          <w:szCs w:val="24"/>
          <w:highlight w:val="none"/>
        </w:rPr>
      </w:pPr>
    </w:p>
    <w:p>
      <w:pPr>
        <w:numPr>
          <w:ilvl w:val="0"/>
          <w:numId w:val="0"/>
        </w:numPr>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（内容及格式由投标人自拟）</w:t>
      </w:r>
    </w:p>
    <w:p>
      <w:pPr>
        <w:numPr>
          <w:ilvl w:val="0"/>
          <w:numId w:val="0"/>
        </w:numPr>
        <w:jc w:val="both"/>
        <w:outlineLvl w:val="9"/>
        <w:rPr>
          <w:rFonts w:hint="eastAsia" w:ascii="宋体" w:hAnsi="宋体" w:eastAsia="宋体" w:cs="宋体"/>
          <w:b/>
          <w:color w:val="auto"/>
          <w:sz w:val="24"/>
          <w:szCs w:val="24"/>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新县政府采购合同融资操作指南</w:t>
      </w:r>
    </w:p>
    <w:p>
      <w:pPr>
        <w:rPr>
          <w:rFonts w:hint="eastAsia" w:ascii="宋体" w:hAnsi="宋体" w:eastAsia="宋体" w:cs="宋体"/>
          <w:b/>
          <w:color w:val="auto"/>
          <w:szCs w:val="21"/>
          <w:highlight w:val="none"/>
        </w:rPr>
      </w:pPr>
    </w:p>
    <w:p>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各参与我县政府采购活动供应商：</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政府采购合同融资是为进一步缓解中小企业融资难题， 充分发挥政府采购扶持中小微企业发展的政策功能，针对政 府采购中标供应商的“政采 e 贷”金融服务产品。</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“政采 e 贷”是金融机构从河南省电子化政府采购系统 中实时采集政府采购项目的中标公告、合同公告等信息，从 而实现对政府采购中标、成交供应商提供基于政府采购合同 的在线融资服务。</w:t>
      </w:r>
    </w:p>
    <w:p>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一、客户准入标准</w:t>
      </w:r>
    </w:p>
    <w:p>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1、政府采购供应商，且与采购人有效签署 《政府采购合 同》后，均可向拟贷款金融机构申请办理融资业务。</w:t>
      </w:r>
    </w:p>
    <w:p>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2、依法合规、经营正常，具有专业化、批量化生产和采 购人认可的供货能力；</w:t>
      </w:r>
    </w:p>
    <w:p>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3、未列入政府采购严重违法失信行为记录名单；</w:t>
      </w:r>
    </w:p>
    <w:p>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4、在银行的融资无逾期、欠息或垫款情况，且无其他不 良信用纪录。</w:t>
      </w:r>
    </w:p>
    <w:p>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二、产品特点</w:t>
      </w:r>
    </w:p>
    <w:p>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1、贷款期限： 最长 1 年(不同银行有差异)</w:t>
      </w:r>
    </w:p>
    <w:p>
      <w:pPr>
        <w:pStyle w:val="5"/>
        <w:spacing w:line="360" w:lineRule="auto"/>
        <w:ind w:left="0" w:leftChars="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2、贷款金额： 最高 500 万(不同银行有差异)</w:t>
      </w:r>
    </w:p>
    <w:p>
      <w:pPr>
        <w:pStyle w:val="5"/>
        <w:spacing w:line="360" w:lineRule="auto"/>
        <w:ind w:left="0" w:leftChars="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3、担保方式：信用贷款</w:t>
      </w:r>
    </w:p>
    <w:p>
      <w:pPr>
        <w:pStyle w:val="5"/>
        <w:spacing w:line="360" w:lineRule="auto"/>
        <w:ind w:left="0" w:leftChars="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4、提款方式：网银在线“秒级”提款</w:t>
      </w:r>
    </w:p>
    <w:p>
      <w:pPr>
        <w:pStyle w:val="5"/>
        <w:spacing w:line="360" w:lineRule="auto"/>
        <w:ind w:left="0" w:leftChars="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三、基本步骤</w:t>
      </w:r>
    </w:p>
    <w:p>
      <w:pPr>
        <w:pStyle w:val="5"/>
        <w:spacing w:line="360" w:lineRule="auto"/>
        <w:ind w:left="0" w:leftChars="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1、企业中标后，需先确定拟贷款金融机构(中标企业 可通过发布“供应商融资意向登记”让银行获得融资信息， 以便主动联系您 ) ，中标企业需在拟贷款金融机构开立公司 一般结账户或基本存款账户，并以该账户为政府采购合同 的收款账户。</w:t>
      </w:r>
    </w:p>
    <w:p>
      <w:pPr>
        <w:pStyle w:val="5"/>
        <w:spacing w:line="360" w:lineRule="auto"/>
        <w:ind w:left="0" w:leftChars="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2、中标企业签订政府采购合同后(可要求采购人在 15 日内签订合同 ) ，采购人应在 1 个工作日内将政府采购合同 通过河南省电子化采购系统进行合同公告并备案。</w:t>
      </w:r>
    </w:p>
    <w:p>
      <w:pPr>
        <w:pStyle w:val="5"/>
        <w:spacing w:line="360" w:lineRule="auto"/>
        <w:ind w:left="0" w:leftChars="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3、合同备案后，银行金融机构可以抓取合同信息，办理 融资业务。</w:t>
      </w:r>
    </w:p>
    <w:p>
      <w:pPr>
        <w:pStyle w:val="5"/>
        <w:spacing w:line="360" w:lineRule="auto"/>
        <w:ind w:left="0" w:leftChars="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4、采购人无故不及时签订合同的或不在 1 个工作日内进 行合同备案的，中标企业可向新县政府采购事务中心 ( 电话 0376-2980510 )反映。</w:t>
      </w:r>
    </w:p>
    <w:p>
      <w:pPr>
        <w:pStyle w:val="5"/>
        <w:spacing w:line="360" w:lineRule="auto"/>
        <w:ind w:left="0" w:leftChars="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四、融资专项通道指引</w:t>
      </w:r>
    </w:p>
    <w:p>
      <w:pPr>
        <w:pStyle w:val="5"/>
        <w:spacing w:line="360" w:lineRule="auto"/>
        <w:ind w:left="0" w:leftChars="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1.登录新县政府采购网，在首页点击 “河南省政府采购</w:t>
      </w:r>
    </w:p>
    <w:p>
      <w:pPr>
        <w:pStyle w:val="5"/>
        <w:spacing w:line="360" w:lineRule="auto"/>
        <w:ind w:left="0" w:leftChars="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合同融资平台”(如下)</w:t>
      </w:r>
    </w:p>
    <w:p>
      <w:pPr>
        <w:pStyle w:val="5"/>
        <w:spacing w:line="360" w:lineRule="auto"/>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color w:val="auto"/>
          <w:highlight w:val="none"/>
        </w:rPr>
        <w:drawing>
          <wp:inline distT="0" distB="0" distL="114300" distR="114300">
            <wp:extent cx="5481320" cy="396240"/>
            <wp:effectExtent l="0" t="0" r="5080" b="3810"/>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18"/>
                    <a:stretch>
                      <a:fillRect/>
                    </a:stretch>
                  </pic:blipFill>
                  <pic:spPr>
                    <a:xfrm>
                      <a:off x="0" y="0"/>
                      <a:ext cx="5481320" cy="396240"/>
                    </a:xfrm>
                    <a:prstGeom prst="rect">
                      <a:avLst/>
                    </a:prstGeom>
                    <a:noFill/>
                    <a:ln>
                      <a:noFill/>
                    </a:ln>
                  </pic:spPr>
                </pic:pic>
              </a:graphicData>
            </a:graphic>
          </wp:inline>
        </w:drawing>
      </w:r>
    </w:p>
    <w:p>
      <w:pPr>
        <w:pStyle w:val="5"/>
        <w:spacing w:line="360" w:lineRule="auto"/>
        <w:ind w:left="0" w:leftChars="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2.进入页面后，可点击“机构简介”了解各融资机构具体融资方案，业务联系人等信息。(如下)</w:t>
      </w: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r>
        <w:rPr>
          <w:rFonts w:hint="eastAsia" w:ascii="宋体" w:hAnsi="宋体" w:eastAsia="宋体" w:cs="宋体"/>
          <w:color w:val="auto"/>
          <w:highlight w:val="none"/>
        </w:rPr>
        <w:drawing>
          <wp:inline distT="0" distB="0" distL="114300" distR="114300">
            <wp:extent cx="5527040" cy="3232150"/>
            <wp:effectExtent l="0" t="0" r="16510" b="6350"/>
            <wp:docPr id="21" name="图片 3"/>
            <wp:cNvGraphicFramePr/>
            <a:graphic xmlns:a="http://schemas.openxmlformats.org/drawingml/2006/main">
              <a:graphicData uri="http://schemas.openxmlformats.org/drawingml/2006/picture">
                <pic:pic xmlns:pic="http://schemas.openxmlformats.org/drawingml/2006/picture">
                  <pic:nvPicPr>
                    <pic:cNvPr id="21" name="图片 3"/>
                    <pic:cNvPicPr/>
                  </pic:nvPicPr>
                  <pic:blipFill>
                    <a:blip r:embed="rId19"/>
                    <a:stretch>
                      <a:fillRect/>
                    </a:stretch>
                  </pic:blipFill>
                  <pic:spPr>
                    <a:xfrm>
                      <a:off x="0" y="0"/>
                      <a:ext cx="5527040" cy="3232150"/>
                    </a:xfrm>
                    <a:prstGeom prst="rect">
                      <a:avLst/>
                    </a:prstGeom>
                    <a:noFill/>
                    <a:ln>
                      <a:noFill/>
                    </a:ln>
                  </pic:spPr>
                </pic:pic>
              </a:graphicData>
            </a:graphic>
          </wp:inline>
        </w:drawing>
      </w:r>
    </w:p>
    <w:p>
      <w:pPr>
        <w:numPr>
          <w:ilvl w:val="0"/>
          <w:numId w:val="0"/>
        </w:numPr>
        <w:outlineLvl w:val="9"/>
        <w:rPr>
          <w:rFonts w:hint="eastAsia" w:ascii="宋体" w:hAnsi="宋体" w:eastAsia="宋体" w:cs="宋体"/>
          <w:b/>
          <w:color w:val="auto"/>
          <w:szCs w:val="21"/>
          <w:highlight w:val="none"/>
        </w:rPr>
      </w:pPr>
    </w:p>
    <w:p>
      <w:pPr>
        <w:pStyle w:val="5"/>
        <w:spacing w:line="360" w:lineRule="auto"/>
        <w:ind w:left="0" w:leftChars="0"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3.供应商也可同时点击“供应商融资意向登记”，发布融资意向，以便金融机构服务人员主动联系您。</w:t>
      </w:r>
    </w:p>
    <w:p>
      <w:pPr>
        <w:pStyle w:val="5"/>
        <w:spacing w:line="360" w:lineRule="auto"/>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color w:val="auto"/>
          <w:highlight w:val="none"/>
        </w:rPr>
        <w:drawing>
          <wp:inline distT="0" distB="0" distL="114300" distR="114300">
            <wp:extent cx="5516880" cy="2292350"/>
            <wp:effectExtent l="0" t="0" r="7620" b="12700"/>
            <wp:docPr id="22" name="图片 4"/>
            <wp:cNvGraphicFramePr/>
            <a:graphic xmlns:a="http://schemas.openxmlformats.org/drawingml/2006/main">
              <a:graphicData uri="http://schemas.openxmlformats.org/drawingml/2006/picture">
                <pic:pic xmlns:pic="http://schemas.openxmlformats.org/drawingml/2006/picture">
                  <pic:nvPicPr>
                    <pic:cNvPr id="22" name="图片 4"/>
                    <pic:cNvPicPr/>
                  </pic:nvPicPr>
                  <pic:blipFill>
                    <a:blip r:embed="rId20"/>
                    <a:stretch>
                      <a:fillRect/>
                    </a:stretch>
                  </pic:blipFill>
                  <pic:spPr>
                    <a:xfrm>
                      <a:off x="0" y="0"/>
                      <a:ext cx="5516880" cy="2292350"/>
                    </a:xfrm>
                    <a:prstGeom prst="rect">
                      <a:avLst/>
                    </a:prstGeom>
                    <a:noFill/>
                    <a:ln>
                      <a:noFill/>
                    </a:ln>
                  </pic:spPr>
                </pic:pic>
              </a:graphicData>
            </a:graphic>
          </wp:inline>
        </w:drawing>
      </w: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b/>
          <w:color w:val="auto"/>
          <w:szCs w:val="21"/>
          <w:highlight w:val="none"/>
        </w:rPr>
      </w:pPr>
    </w:p>
    <w:p>
      <w:pPr>
        <w:rPr>
          <w:rFonts w:hint="eastAsia" w:ascii="宋体" w:hAnsi="宋体" w:eastAsia="宋体" w:cs="宋体"/>
          <w:b/>
          <w:color w:val="auto"/>
          <w:szCs w:val="21"/>
          <w:highlight w:val="none"/>
        </w:rPr>
      </w:pPr>
    </w:p>
    <w:p>
      <w:pPr>
        <w:pStyle w:val="5"/>
        <w:rPr>
          <w:rFonts w:hint="eastAsia" w:ascii="宋体" w:hAnsi="宋体" w:eastAsia="宋体" w:cs="宋体"/>
          <w:color w:val="auto"/>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color w:val="auto"/>
          <w:szCs w:val="21"/>
          <w:highlight w:val="none"/>
        </w:rPr>
      </w:pPr>
    </w:p>
    <w:p>
      <w:pPr>
        <w:numPr>
          <w:ilvl w:val="0"/>
          <w:numId w:val="0"/>
        </w:numPr>
        <w:outlineLvl w:val="9"/>
        <w:rPr>
          <w:rFonts w:hint="eastAsia" w:ascii="宋体" w:hAnsi="宋体" w:eastAsia="宋体" w:cs="宋体"/>
          <w:b w:val="0"/>
          <w:bCs/>
          <w:color w:val="auto"/>
          <w:sz w:val="40"/>
          <w:szCs w:val="40"/>
          <w:highlight w:val="none"/>
        </w:rPr>
      </w:pPr>
      <w:r>
        <w:rPr>
          <w:rFonts w:hint="eastAsia" w:ascii="宋体" w:hAnsi="宋体" w:eastAsia="宋体" w:cs="宋体"/>
          <w:b w:val="0"/>
          <w:bCs/>
          <w:color w:val="auto"/>
          <w:sz w:val="40"/>
          <w:szCs w:val="40"/>
          <w:highlight w:val="none"/>
        </w:rPr>
        <w:t>附件 2：</w:t>
      </w:r>
    </w:p>
    <w:p>
      <w:pPr>
        <w:numPr>
          <w:ilvl w:val="0"/>
          <w:numId w:val="0"/>
        </w:numPr>
        <w:outlineLvl w:val="9"/>
        <w:rPr>
          <w:rFonts w:hint="eastAsia" w:ascii="宋体" w:hAnsi="宋体" w:eastAsia="宋体" w:cs="宋体"/>
          <w:b w:val="0"/>
          <w:bCs/>
          <w:color w:val="auto"/>
          <w:szCs w:val="21"/>
          <w:highlight w:val="none"/>
        </w:rPr>
      </w:pPr>
    </w:p>
    <w:p>
      <w:pPr>
        <w:numPr>
          <w:ilvl w:val="0"/>
          <w:numId w:val="0"/>
        </w:numPr>
        <w:outlineLvl w:val="9"/>
        <w:rPr>
          <w:rFonts w:hint="eastAsia" w:ascii="宋体" w:hAnsi="宋体" w:eastAsia="宋体" w:cs="宋体"/>
          <w:b w:val="0"/>
          <w:bCs/>
          <w:color w:val="auto"/>
          <w:szCs w:val="21"/>
          <w:highlight w:val="none"/>
        </w:rPr>
      </w:pPr>
    </w:p>
    <w:p>
      <w:pPr>
        <w:numPr>
          <w:ilvl w:val="0"/>
          <w:numId w:val="0"/>
        </w:numPr>
        <w:jc w:val="center"/>
        <w:outlineLvl w:val="9"/>
        <w:rPr>
          <w:rFonts w:hint="eastAsia" w:ascii="宋体" w:hAnsi="宋体" w:eastAsia="宋体" w:cs="宋体"/>
          <w:b w:val="0"/>
          <w:bCs/>
          <w:color w:val="auto"/>
          <w:sz w:val="48"/>
          <w:szCs w:val="48"/>
          <w:highlight w:val="none"/>
        </w:rPr>
      </w:pPr>
      <w:r>
        <w:rPr>
          <w:rFonts w:hint="eastAsia" w:ascii="宋体" w:hAnsi="宋体" w:eastAsia="宋体" w:cs="宋体"/>
          <w:b w:val="0"/>
          <w:bCs/>
          <w:color w:val="auto"/>
          <w:sz w:val="48"/>
          <w:szCs w:val="48"/>
          <w:highlight w:val="none"/>
        </w:rPr>
        <w:t>新县政府采购合同融资政策告知函</w:t>
      </w:r>
    </w:p>
    <w:p>
      <w:pPr>
        <w:numPr>
          <w:ilvl w:val="0"/>
          <w:numId w:val="0"/>
        </w:numPr>
        <w:outlineLvl w:val="9"/>
        <w:rPr>
          <w:rFonts w:hint="eastAsia" w:ascii="宋体" w:hAnsi="宋体" w:eastAsia="宋体" w:cs="宋体"/>
          <w:b w:val="0"/>
          <w:bCs/>
          <w:color w:val="auto"/>
          <w:szCs w:val="21"/>
          <w:highlight w:val="none"/>
        </w:rPr>
      </w:pPr>
    </w:p>
    <w:p>
      <w:pPr>
        <w:numPr>
          <w:ilvl w:val="0"/>
          <w:numId w:val="0"/>
        </w:numPr>
        <w:outlineLvl w:val="9"/>
        <w:rPr>
          <w:rFonts w:hint="eastAsia" w:ascii="宋体" w:hAnsi="宋体" w:eastAsia="宋体" w:cs="宋体"/>
          <w:b w:val="0"/>
          <w:bCs/>
          <w:color w:val="auto"/>
          <w:szCs w:val="21"/>
          <w:highlight w:val="none"/>
        </w:rPr>
      </w:pPr>
    </w:p>
    <w:p>
      <w:pPr>
        <w:numPr>
          <w:ilvl w:val="0"/>
          <w:numId w:val="0"/>
        </w:numPr>
        <w:spacing w:line="480" w:lineRule="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各供应商：</w:t>
      </w:r>
    </w:p>
    <w:p>
      <w:pPr>
        <w:numPr>
          <w:ilvl w:val="0"/>
          <w:numId w:val="0"/>
        </w:numPr>
        <w:spacing w:line="480" w:lineRule="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欢迎贵公司参与新县政府采购活动！</w:t>
      </w:r>
    </w:p>
    <w:p>
      <w:pPr>
        <w:numPr>
          <w:ilvl w:val="0"/>
          <w:numId w:val="0"/>
        </w:numPr>
        <w:spacing w:line="480" w:lineRule="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政府采购合同融资是新县财政局支持中小微企业发展，针对参与政府采购活动的供应商融资难、融资贵问题推出的 一项融资政策。贵公司若成为本次政府采购项目的中标成交 供应商，可持政府采购合同向融资服务机构申请贷款，无需抵押、担保，融资服务机构将根据 《河南省政府采购合同融 资工作实施方案》(豫财购 [2017]10 号 )、《深入推进政府采 购合同融资工作实施方案》(豫财办 [2020]33 号) 等规定，  按照双方自愿的原则提供便捷、优惠的贷款服务。</w:t>
      </w:r>
    </w:p>
    <w:p>
      <w:pPr>
        <w:numPr>
          <w:ilvl w:val="0"/>
          <w:numId w:val="0"/>
        </w:numPr>
        <w:spacing w:line="480" w:lineRule="auto"/>
        <w:outlineLvl w:val="9"/>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贷款渠道和提供贷款的金融机构，可在新县政府采购网 “河南省政府采购合同融资平台”查询联系。</w:t>
      </w:r>
    </w:p>
    <w:p>
      <w:pPr>
        <w:numPr>
          <w:ilvl w:val="0"/>
          <w:numId w:val="0"/>
        </w:numPr>
        <w:rPr>
          <w:rFonts w:hint="eastAsia" w:ascii="宋体" w:hAnsi="宋体" w:eastAsia="宋体" w:cs="宋体"/>
          <w:b/>
          <w:color w:val="auto"/>
          <w:szCs w:val="21"/>
          <w:highlight w:val="none"/>
        </w:rPr>
      </w:pPr>
    </w:p>
    <w:p>
      <w:pPr>
        <w:numPr>
          <w:ilvl w:val="0"/>
          <w:numId w:val="0"/>
        </w:numPr>
        <w:rPr>
          <w:rFonts w:hint="eastAsia" w:ascii="宋体" w:hAnsi="宋体" w:eastAsia="宋体" w:cs="宋体"/>
          <w:b/>
          <w:color w:val="auto"/>
          <w:szCs w:val="21"/>
          <w:highlight w:val="none"/>
        </w:rPr>
      </w:pPr>
    </w:p>
    <w:p>
      <w:pPr>
        <w:numPr>
          <w:ilvl w:val="0"/>
          <w:numId w:val="0"/>
        </w:numPr>
        <w:rPr>
          <w:rFonts w:hint="eastAsia" w:ascii="宋体" w:hAnsi="宋体" w:eastAsia="宋体" w:cs="宋体"/>
          <w:b/>
          <w:color w:val="auto"/>
          <w:szCs w:val="21"/>
          <w:highlight w:val="none"/>
        </w:rPr>
      </w:pPr>
    </w:p>
    <w:p>
      <w:pPr>
        <w:numPr>
          <w:ilvl w:val="0"/>
          <w:numId w:val="0"/>
        </w:numPr>
        <w:rPr>
          <w:rFonts w:hint="eastAsia" w:ascii="宋体" w:hAnsi="宋体" w:eastAsia="宋体" w:cs="宋体"/>
          <w:b/>
          <w:color w:val="auto"/>
          <w:szCs w:val="21"/>
          <w:highlight w:val="none"/>
        </w:rPr>
      </w:pPr>
    </w:p>
    <w:p>
      <w:pPr>
        <w:numPr>
          <w:ilvl w:val="0"/>
          <w:numId w:val="0"/>
        </w:numPr>
        <w:rPr>
          <w:rFonts w:hint="eastAsia" w:ascii="宋体" w:hAnsi="宋体" w:eastAsia="宋体" w:cs="宋体"/>
          <w:b/>
          <w:color w:val="auto"/>
          <w:szCs w:val="21"/>
          <w:highlight w:val="none"/>
        </w:rPr>
      </w:pPr>
    </w:p>
    <w:p>
      <w:pPr>
        <w:numPr>
          <w:ilvl w:val="0"/>
          <w:numId w:val="0"/>
        </w:numPr>
        <w:rPr>
          <w:rFonts w:hint="eastAsia" w:ascii="宋体" w:hAnsi="宋体" w:eastAsia="宋体" w:cs="宋体"/>
          <w:b/>
          <w:color w:val="auto"/>
          <w:szCs w:val="21"/>
          <w:highlight w:val="none"/>
        </w:rPr>
      </w:pPr>
    </w:p>
    <w:p>
      <w:pPr>
        <w:numPr>
          <w:ilvl w:val="0"/>
          <w:numId w:val="0"/>
        </w:numPr>
        <w:rPr>
          <w:rFonts w:hint="eastAsia" w:ascii="宋体" w:hAnsi="宋体" w:eastAsia="宋体" w:cs="宋体"/>
          <w:b/>
          <w:color w:val="auto"/>
          <w:szCs w:val="21"/>
          <w:highlight w:val="none"/>
        </w:rPr>
      </w:pPr>
    </w:p>
    <w:p>
      <w:pPr>
        <w:numPr>
          <w:ilvl w:val="0"/>
          <w:numId w:val="0"/>
        </w:numPr>
        <w:rPr>
          <w:rFonts w:hint="eastAsia" w:ascii="宋体" w:hAnsi="宋体" w:eastAsia="宋体" w:cs="宋体"/>
          <w:b/>
          <w:color w:val="auto"/>
          <w:szCs w:val="21"/>
          <w:highlight w:val="none"/>
        </w:rPr>
      </w:pPr>
    </w:p>
    <w:p>
      <w:pPr>
        <w:numPr>
          <w:ilvl w:val="0"/>
          <w:numId w:val="0"/>
        </w:numPr>
        <w:rPr>
          <w:rFonts w:hint="eastAsia" w:ascii="宋体" w:hAnsi="宋体" w:eastAsia="宋体" w:cs="宋体"/>
          <w:b/>
          <w:color w:val="auto"/>
          <w:szCs w:val="21"/>
          <w:highlight w:val="none"/>
        </w:rPr>
      </w:pPr>
    </w:p>
    <w:p>
      <w:pPr>
        <w:numPr>
          <w:ilvl w:val="0"/>
          <w:numId w:val="0"/>
        </w:numPr>
        <w:rPr>
          <w:rFonts w:hint="eastAsia" w:ascii="宋体" w:hAnsi="宋体" w:eastAsia="宋体" w:cs="宋体"/>
          <w:b/>
          <w:color w:val="auto"/>
          <w:szCs w:val="21"/>
          <w:highlight w:val="none"/>
        </w:rPr>
      </w:pPr>
    </w:p>
    <w:sectPr>
      <w:headerReference r:id="rId14" w:type="default"/>
      <w:footerReference r:id="rId15" w:type="default"/>
      <w:footnotePr>
        <w:numFmt w:val="decimal"/>
      </w:footnotePr>
      <w:endnotePr>
        <w:numFmt w:val="decimal"/>
      </w:endnotePr>
      <w:pgSz w:w="11905" w:h="16838"/>
      <w:pgMar w:top="1440" w:right="1803" w:bottom="1440" w:left="1803" w:header="850" w:footer="85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828800" cy="1828800"/>
              <wp:effectExtent l="0" t="0" r="0" b="0"/>
              <wp:wrapNone/>
              <wp:docPr id="1025"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w="15875">
                        <a:noFill/>
                      </a:ln>
                    </wps:spPr>
                    <wps:txbx>
                      <w:txbxContent>
                        <w:p>
                          <w:r>
                            <w:fldChar w:fldCharType="begin"/>
                          </w:r>
                          <w:r>
                            <w:instrText xml:space="preserve"> PAGE \* Arabic </w:instrText>
                          </w:r>
                          <w:r>
                            <w:fldChar w:fldCharType="separate"/>
                          </w:r>
                          <w:r>
                            <w:t>1</w:t>
                          </w:r>
                          <w:r>
                            <w:fldChar w:fldCharType="end"/>
                          </w:r>
                        </w:p>
                      </w:txbxContent>
                    </wps:txbx>
                    <wps:bodyPr spcFirstLastPara="1" vertOverflow="clip" horzOverflow="clip" wrap="none" lIns="0" tIns="0" rIns="0" bIns="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allowincell="f" o:gfxdata="UEsDBAoAAAAAAIdO4kAAAAAAAAAAAAAAAAAEAAAAZHJzL1BLAwQUAAAACACHTuJAKLnTbdEAAAAF&#10;AQAADwAAAGRycy9kb3ducmV2LnhtbE2PT0vEQAzF74LfYYjgzZ1uC1Jrp3tY8CIIuq6e0062U+1k&#10;Smf2j356owh6CXm88PJ79erkR3WgOQ6BDSwXGSjiLtiBewPb57urElRMyBbHwGTggyKsmvOzGisb&#10;jvxEh03qlYRwrNCAS2mqtI6dI49xESZi8XZh9phEzr22Mx4l3I86z7Jr7XFg+eBworWj7n2z9wYK&#10;bB/dLi/Kgm/w5f7h9U2vt5/GXF4ss1tQiU7p7xi+8QUdGmFqw55tVKMBKZJ+pnh5WYpsfxfd1Po/&#10;ffMFUEsDBBQAAAAIAIdO4kC84E9I6AEAAM0DAAAOAAAAZHJzL2Uyb0RvYy54bWytU82O0zAQviPx&#10;DpbvNGlRoYqarpCqIqQVW2nZB3Adu7HkP3ncJuUB4A04ceHOc/U5GDtpF5XLHrg4M7bzzfd9M17e&#10;9UaTowignK3pdFJSIix3jbL7mj592bxZUAKR2YZpZ0VNTwLo3er1q2XnKzFzrdONCARBLFSdr2kb&#10;o6+KAngrDIOJ88LioXTBsIhp2BdNYB2iG13MyvJd0bnQ+OC4AMDd9XBIR8TwEkAnpeJi7fjBCBsH&#10;1CA0iygJWuWBrjJbKQWPD1KCiETXFJXGvGIRjHdpLVZLVu0D863iIwX2Ego3mgxTFoteodYsMnII&#10;6h8oo3hw4GSccGeKQUh2BFVMyxtvHlvmRdaCVoO/mg7/D5Z/Pm4DUQ1OQjmbU2KZwZ6ff3w///x9&#10;/vWNvE0OdR4qvPjot2HMAMMkt5fBpC8KIX129XR1VfSRcNycLmaLRYmGczy7JIhTPP/uA8SPwhmS&#10;gpoGbFt2kx3vIQ5XL1dSNes2SmvcZ5W2pEPU+eL9PP9xPUJ0bbFI4j6wTVHsd/0oYeeaE0oHzzcK&#10;q94ziFsWsPlTmp5HfMBFaofoXCtPSevC19u9DgenphbfCSX6k8W+pBm7BOES7MYgEQb/4RCRf5aV&#10;KA08RqbY5WzMOJFpjP7O863nV7j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i5023RAAAABQEA&#10;AA8AAAAAAAAAAQAgAAAAIgAAAGRycy9kb3ducmV2LnhtbFBLAQIUABQAAAAIAIdO4kC84E9I6AEA&#10;AM0DAAAOAAAAAAAAAAEAIAAAACABAABkcnMvZTJvRG9jLnhtbFBLBQYAAAAABgAGAFkBAAB6BQAA&#10;AAA=&#10;">
              <v:fill on="f" focussize="0,0"/>
              <v:stroke on="f" weight="1.25pt"/>
              <v:imagedata o:title=""/>
              <o:lock v:ext="edit" aspectratio="f"/>
              <v:textbox inset="0mm,0mm,0mm,0mm" style="mso-fit-shape-to-text:t;">
                <w:txbxContent>
                  <w:p>
                    <w:r>
                      <w:fldChar w:fldCharType="begin"/>
                    </w:r>
                    <w:r>
                      <w:instrText xml:space="preserve"> PAGE \* Arabic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_x0000_s3076" o:spid="_x0000_s307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828800" cy="1828800"/>
              <wp:effectExtent l="0" t="0" r="0" b="0"/>
              <wp:wrapNone/>
              <wp:docPr id="1026"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w="15875">
                        <a:noFill/>
                      </a:ln>
                    </wps:spPr>
                    <wps:txbx>
                      <w:txbxContent>
                        <w:p>
                          <w:r>
                            <w:fldChar w:fldCharType="begin"/>
                          </w:r>
                          <w:r>
                            <w:instrText xml:space="preserve"> PAGE \* Arabic </w:instrText>
                          </w:r>
                          <w:r>
                            <w:fldChar w:fldCharType="separate"/>
                          </w:r>
                          <w:r>
                            <w:t>23</w:t>
                          </w:r>
                          <w:r>
                            <w:fldChar w:fldCharType="end"/>
                          </w:r>
                        </w:p>
                      </w:txbxContent>
                    </wps:txbx>
                    <wps:bodyPr spcFirstLastPara="1" vertOverflow="clip" horzOverflow="clip" wrap="none" lIns="0" tIns="0" rIns="0" bIns="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allowincell="f" o:gfxdata="UEsDBAoAAAAAAIdO4kAAAAAAAAAAAAAAAAAEAAAAZHJzL1BLAwQUAAAACACHTuJAKLnTbdEAAAAF&#10;AQAADwAAAGRycy9kb3ducmV2LnhtbE2PT0vEQAzF74LfYYjgzZ1uC1Jrp3tY8CIIuq6e0062U+1k&#10;Smf2j356owh6CXm88PJ79erkR3WgOQ6BDSwXGSjiLtiBewPb57urElRMyBbHwGTggyKsmvOzGisb&#10;jvxEh03qlYRwrNCAS2mqtI6dI49xESZi8XZh9phEzr22Mx4l3I86z7Jr7XFg+eBworWj7n2z9wYK&#10;bB/dLi/Kgm/w5f7h9U2vt5/GXF4ss1tQiU7p7xi+8QUdGmFqw55tVKMBKZJ+pnh5WYpsfxfd1Po/&#10;ffMFUEsDBBQAAAAIAIdO4kCAMEpm6AEAAM0DAAAOAAAAZHJzL2Uyb0RvYy54bWytU0tu2zAQ3Rfo&#10;HQjua8kGkhiC5SCA4aJA0BhIewCaIi0C/IFDW3IP0N6gq26677l8jg4p2SncTRbZUDMk9ea9N8PF&#10;fW80OYgAytmaTiclJcJy1yi7q+nXL+sPc0ogMtsw7ayo6VEAvV++f7fofCVmrnW6EYEgiIWq8zVt&#10;Y/RVUQBvhWEwcV5YPJQuGBYxDbuiCaxDdKOLWVneFp0LjQ+OCwDcXQ2HdEQMrwF0UiouVo7vjbBx&#10;QA1Cs4iSoFUe6DKzlVLw+CQliEh0TVFpzCsWwXib1mK5YNUuMN8qPlJgr6FwpckwZbHoBWrFIiP7&#10;oP6DMooHB07GCXemGIRkR1DFtLzy5rllXmQtaDX4i+nwdrD882ETiGpwEsrZLSWWGez56eeP068/&#10;p9/fyV1yqPNQ4cVnvwljBhgmub0MJn1RCOmzq8eLq6KPhOPmdD6bz0s0nOPZOUGc4uV3HyB+FM6Q&#10;FNQ0YNuym+zwCHG4er6Sqlm3VlrjPqu0JR2i3szvbvIflyNE1xaLJO4D2xTFftuPErauOaJ08Hyt&#10;sOojg7hhAZs/pel5xCdcpHaIzrXylLQufLve63BwamrxnVCiP1nsS5qxcxDOwXYMEmHwD/uI/LOs&#10;RGngMTLFLmdjxolMY/Rvnm+9vML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i5023RAAAABQEA&#10;AA8AAAAAAAAAAQAgAAAAIgAAAGRycy9kb3ducmV2LnhtbFBLAQIUABQAAAAIAIdO4kCAMEpm6AEA&#10;AM0DAAAOAAAAAAAAAAEAIAAAACABAABkcnMvZTJvRG9jLnhtbFBLBQYAAAAABgAGAFkBAAB6BQAA&#10;AAA=&#10;">
              <v:fill on="f" focussize="0,0"/>
              <v:stroke on="f" weight="1.25pt"/>
              <v:imagedata o:title=""/>
              <o:lock v:ext="edit" aspectratio="f"/>
              <v:textbox inset="0mm,0mm,0mm,0mm" style="mso-fit-shape-to-text:t;">
                <w:txbxContent>
                  <w:p>
                    <w:r>
                      <w:fldChar w:fldCharType="begin"/>
                    </w:r>
                    <w:r>
                      <w:instrText xml:space="preserve"> PAGE \* Arabic </w:instrText>
                    </w:r>
                    <w:r>
                      <w:fldChar w:fldCharType="separate"/>
                    </w:r>
                    <w:r>
                      <w:t>23</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828800" cy="1828800"/>
              <wp:effectExtent l="0" t="0" r="0" b="0"/>
              <wp:wrapNone/>
              <wp:docPr id="1027"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w="15875">
                        <a:noFill/>
                      </a:ln>
                    </wps:spPr>
                    <wps:txbx>
                      <w:txbxContent>
                        <w:p>
                          <w:r>
                            <w:fldChar w:fldCharType="begin"/>
                          </w:r>
                          <w:r>
                            <w:instrText xml:space="preserve"> PAGE \* Arabic </w:instrText>
                          </w:r>
                          <w:r>
                            <w:fldChar w:fldCharType="separate"/>
                          </w:r>
                          <w:r>
                            <w:t>26</w:t>
                          </w:r>
                          <w:r>
                            <w:fldChar w:fldCharType="end"/>
                          </w:r>
                        </w:p>
                      </w:txbxContent>
                    </wps:txbx>
                    <wps:bodyPr spcFirstLastPara="1" vertOverflow="clip" horzOverflow="clip" wrap="none" lIns="0" tIns="0" rIns="0" bIns="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allowincell="f" o:gfxdata="UEsDBAoAAAAAAIdO4kAAAAAAAAAAAAAAAAAEAAAAZHJzL1BLAwQUAAAACACHTuJAKLnTbdEAAAAF&#10;AQAADwAAAGRycy9kb3ducmV2LnhtbE2PT0vEQAzF74LfYYjgzZ1uC1Jrp3tY8CIIuq6e0062U+1k&#10;Smf2j356owh6CXm88PJ79erkR3WgOQ6BDSwXGSjiLtiBewPb57urElRMyBbHwGTggyKsmvOzGisb&#10;jvxEh03qlYRwrNCAS2mqtI6dI49xESZi8XZh9phEzr22Mx4l3I86z7Jr7XFg+eBworWj7n2z9wYK&#10;bB/dLi/Kgm/w5f7h9U2vt5/GXF4ss1tQiU7p7xi+8QUdGmFqw55tVKMBKZJ+pnh5WYpsfxfd1Po/&#10;ffMFUEsDBBQAAAAIAIdO4kDC4tXx6AEAAM0DAAAOAAAAZHJzL2Uyb0RvYy54bWytU0tu2zAQ3Rfo&#10;HQjua8kG0giC5aCA4aJA0BhIewCaIi0C/IFDW3IP0N6gq26677lyjg4p2QncTRbdUDMk9ea9N8Pl&#10;3WA0OYoAytmGzmclJcJy1yq7b+jXL5t3FSUQmW2ZdlY09CSA3q3evln2vhYL1zndikAQxELd+4Z2&#10;Mfq6KIB3wjCYOS8sHkoXDIuYhn3RBtYjutHFoizfF70LrQ+OCwDcXY+HdEIMrwF0Uiou1o4fjLBx&#10;RA1Cs4iSoFMe6CqzlVLw+CAliEh0Q1FpzCsWwXiX1mK1ZPU+MN8pPlFgr6FwpckwZbHoBWrNIiOH&#10;oP6BMooHB07GGXemGIVkR1DFvLzy5rFjXmQtaDX4i+nw/2D55+M2ENXiJJSLW0osM9jzp58/nn79&#10;efr9nVTJod5DjRcf/TZMGWCY5A4ymPRFIWTIrp4uroohEo6b82pRVSUazvHsnCBO8fy7DxA/CmdI&#10;ChoasG3ZTXa8hzhePV9J1azbKK1xn9Xakh5Rb6rbm/zH5QjRtcUiifvINkVx2A2ThJ1rTygdPN8o&#10;rHrPIG5ZwObPaXoe8QEXqR2ic608JZ0L3673ehychlp8J5ToTxb7kmbsHIRzsJuCRBj8h0NE/llW&#10;ojTymJhil7Mx00SmMXqZ51vPr3D1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i5023RAAAABQEA&#10;AA8AAAAAAAAAAQAgAAAAIgAAAGRycy9kb3ducmV2LnhtbFBLAQIUABQAAAAIAIdO4kDC4tXx6AEA&#10;AM0DAAAOAAAAAAAAAAEAIAAAACABAABkcnMvZTJvRG9jLnhtbFBLBQYAAAAABgAGAFkBAAB6BQAA&#10;AAA=&#10;">
              <v:fill on="f" focussize="0,0"/>
              <v:stroke on="f" weight="1.25pt"/>
              <v:imagedata o:title=""/>
              <o:lock v:ext="edit" aspectratio="f"/>
              <v:textbox inset="0mm,0mm,0mm,0mm" style="mso-fit-shape-to-text:t;">
                <w:txbxContent>
                  <w:p>
                    <w:r>
                      <w:fldChar w:fldCharType="begin"/>
                    </w:r>
                    <w:r>
                      <w:instrText xml:space="preserve"> PAGE \* Arabic </w:instrText>
                    </w:r>
                    <w:r>
                      <w:fldChar w:fldCharType="separate"/>
                    </w:r>
                    <w:r>
                      <w:t>26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828800" cy="1828800"/>
              <wp:effectExtent l="0" t="0" r="0" b="0"/>
              <wp:wrapNone/>
              <wp:docPr id="1078" name="文本框 6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
                            <w:fldChar w:fldCharType="begin"/>
                          </w:r>
                          <w:r>
                            <w:instrText xml:space="preserve"> PAGE \* Arabic </w:instrText>
                          </w:r>
                          <w:r>
                            <w:fldChar w:fldCharType="separate"/>
                          </w:r>
                          <w:r>
                            <w:t>97</w:t>
                          </w:r>
                          <w:r>
                            <w:fldChar w:fldCharType="end"/>
                          </w:r>
                        </w:p>
                      </w:txbxContent>
                    </wps:txbx>
                    <wps:bodyPr spcFirstLastPara="1" vertOverflow="clip" horzOverflow="clip" wrap="none" lIns="0" tIns="0" rIns="0" bIns="0">
                      <a:spAutoFit/>
                    </wps:bodyPr>
                  </wps:wsp>
                </a:graphicData>
              </a:graphic>
            </wp:anchor>
          </w:drawing>
        </mc:Choice>
        <mc:Fallback>
          <w:pict>
            <v:rect id="文本框 61" o:spid="_x0000_s1026" o:spt="1" style="position:absolute;left:0pt;margin-top:0pt;height:144pt;width:144pt;mso-position-horizontal:center;mso-position-horizontal-relative:margin;mso-wrap-style:none;z-index:251659264;mso-width-relative:page;mso-height-relative:page;" filled="f" stroked="f" coordsize="21600,21600" o:allowincell="f"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KxUNfgAQAAxAMAAA4AAABkcnMvZTJvRG9jLnhtbK1TzY7TMBC+I/EO&#10;lu80SQ9LFTVdIVVFSCu20sIDuI7TWPKfZtwm5QHgDThx4c5z9TkYJ2kXymUPXJyZsfP5+74ZL+97&#10;a9hRAWrvKl7Mcs6Uk77Wbl/xz582bxacYRSuFsY7VfGTQn6/ev1q2YVSzX3rTa2AEYjDsgsVb2MM&#10;ZZahbJUVOPNBOdpsPFgRKYV9VoPoCN2abJ7nd1nnoQ7gpUKk6nrc5BMivATQN42Wau3lwSoXR1RQ&#10;RkSShK0OyFcD26ZRMj42DarITMVJaRxWuoTiXVqz1VKUexCh1XKiIF5C4UaTFdrRpVeotYiCHUD/&#10;A2W1BI++iTPpbTYKGRwhFUV+481TK4IatJDVGK6m4/+DlR+PW2C6pknI31LnnbDU8/P3b+cfv84/&#10;v7K7IlnUBSzp5FPYwpQhhUlv34BNX1LC+sHW09VW1UcmqVgs5otFTo5L2rskhJM9/x4A43vlLUtB&#10;xYH6Ntgpjg8Yx6OXI+k25zfaGKqL0ri/CoSZKlliPHJMUex3/UR85+sTKcYgN5ruehAYtwKo5wVP&#10;ryI+0tIY31VcGh04az18ua11NC8Vd/Q8ODMfHLUjjdYlgEuwm4JEEMO7QyTWg5hEaeQxMaXmDnZM&#10;g5im5898OPX8+F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l1uVLQAAAABQEAAA8AAAAAAAAA&#10;AQAgAAAAIgAAAGRycy9kb3ducmV2LnhtbFBLAQIUABQAAAAIAIdO4kCisVDX4AEAAMQDAAAOAAAA&#10;AAAAAAEAIAAAAB8BAABkcnMvZTJvRG9jLnhtbFBLBQYAAAAABgAGAFkBAABxBQAAAAA=&#10;">
              <v:fill on="f" focussize="0,0"/>
              <v:stroke on="f"/>
              <v:imagedata o:title=""/>
              <o:lock v:ext="edit" aspectratio="f"/>
              <v:textbox inset="0mm,0mm,0mm,0mm" style="mso-fit-shape-to-text:t;">
                <w:txbxContent>
                  <w:p>
                    <w:r>
                      <w:fldChar w:fldCharType="begin"/>
                    </w:r>
                    <w:r>
                      <w:instrText xml:space="preserve"> PAGE \* Arabic </w:instrText>
                    </w:r>
                    <w:r>
                      <w:fldChar w:fldCharType="separate"/>
                    </w:r>
                    <w:r>
                      <w:t>97</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828800" cy="1828800"/>
              <wp:effectExtent l="0" t="0" r="0" b="0"/>
              <wp:wrapNone/>
              <wp:docPr id="1081" name="文本框 6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
                            <w:fldChar w:fldCharType="begin"/>
                          </w:r>
                          <w:r>
                            <w:instrText xml:space="preserve"> PAGE \* Arabic </w:instrText>
                          </w:r>
                          <w:r>
                            <w:fldChar w:fldCharType="separate"/>
                          </w:r>
                          <w:r>
                            <w:t>101</w:t>
                          </w:r>
                          <w:r>
                            <w:fldChar w:fldCharType="end"/>
                          </w:r>
                        </w:p>
                      </w:txbxContent>
                    </wps:txbx>
                    <wps:bodyPr spcFirstLastPara="1" vertOverflow="clip" horzOverflow="clip" wrap="none" lIns="0" tIns="0" rIns="0" bIns="0">
                      <a:spAutoFit/>
                    </wps:bodyPr>
                  </wps:wsp>
                </a:graphicData>
              </a:graphic>
            </wp:anchor>
          </w:drawing>
        </mc:Choice>
        <mc:Fallback>
          <w:pict>
            <v:rect id="文本框 64" o:spid="_x0000_s1026" o:spt="1" style="position:absolute;left:0pt;margin-top:0pt;height:144pt;width:144pt;mso-position-horizontal:center;mso-position-horizontal-relative:margin;mso-wrap-style:none;z-index:251659264;mso-width-relative:page;mso-height-relative:page;" filled="f" stroked="f" coordsize="21600,21600" o:allowincell="f"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4/u/HgAQAAxAMAAA4AAABkcnMvZTJvRG9jLnhtbK1TzY7TMBC+I/EO&#10;lu80aYVWUdR0hVQVIa3YSgsP4DpOY8l/mnGblAeAN+DEhTvP1edgnKRdKJc9cHFmxs7n7/tmvLzv&#10;rWFHBai9q/h8lnOmnPS1dvuKf/60eVNwhlG4WhjvVMVPCvn96vWrZRdKtfCtN7UCRiAOyy5UvI0x&#10;lFmGslVW4MwH5Wiz8WBFpBT2WQ2iI3RrskWe32WdhzqAlwqRqutxk0+I8BJA3zRaqrWXB6tcHFFB&#10;GRFJErY6IF8NbJtGyfjYNKgiMxUnpXFY6RKKd2nNVktR7kGEVsuJgngJhRtNVmhHl16h1iIKdgD9&#10;D5TVEjz6Js6kt9koZHCEVMzzG2+eWhHUoIWsxnA1Hf8frPx43ALTNU1CXsw5c8JSz8/fv51//Dr/&#10;/Mru3iaLuoAlnXwKW5gypDDp7Ruw6UtKWD/YerraqvrIJBXnxaIocnJc0t4lIZzs+fcAGN8rb1kK&#10;Kg7Ut8FOcXzAOB69HEm3Ob/RxlBdlMb9VSDMVMkS45FjimK/6yfiO1+fSDEGudF014PAuBVAPSfx&#10;9CriIy2N8V3FpdGBs9bDl9taR/NScUfPgzPzwVE70mhdArgEuylIBDG8O0RiPYhJlEYeE1Nq7mDH&#10;NIhpev7Mh1PPj2/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l1uVLQAAAABQEAAA8AAAAAAAAA&#10;AQAgAAAAIgAAAGRycy9kb3ducmV2LnhtbFBLAQIUABQAAAAIAIdO4kBOP7vx4AEAAMQDAAAOAAAA&#10;AAAAAAEAIAAAAB8BAABkcnMvZTJvRG9jLnhtbFBLBQYAAAAABgAGAFkBAABxBQAAAAA=&#10;">
              <v:fill on="f" focussize="0,0"/>
              <v:stroke on="f"/>
              <v:imagedata o:title=""/>
              <o:lock v:ext="edit" aspectratio="f"/>
              <v:textbox inset="0mm,0mm,0mm,0mm" style="mso-fit-shape-to-text:t;">
                <w:txbxContent>
                  <w:p>
                    <w:r>
                      <w:fldChar w:fldCharType="begin"/>
                    </w:r>
                    <w:r>
                      <w:instrText xml:space="preserve"> PAGE \* Arabic </w:instrText>
                    </w:r>
                    <w:r>
                      <w:fldChar w:fldCharType="separate"/>
                    </w:r>
                    <w:r>
                      <w:t>101</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828800" cy="1828800"/>
              <wp:effectExtent l="0" t="0" r="0" b="0"/>
              <wp:wrapNone/>
              <wp:docPr id="1083" name="文本框 6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
                            <w:fldChar w:fldCharType="begin"/>
                          </w:r>
                          <w:r>
                            <w:instrText xml:space="preserve"> PAGE \* Arabic </w:instrText>
                          </w:r>
                          <w:r>
                            <w:fldChar w:fldCharType="separate"/>
                          </w:r>
                          <w:r>
                            <w:t>111</w:t>
                          </w:r>
                          <w:r>
                            <w:fldChar w:fldCharType="end"/>
                          </w:r>
                        </w:p>
                      </w:txbxContent>
                    </wps:txbx>
                    <wps:bodyPr spcFirstLastPara="1" vertOverflow="clip" horzOverflow="clip" wrap="none" lIns="0" tIns="0" rIns="0" bIns="0">
                      <a:spAutoFit/>
                    </wps:bodyPr>
                  </wps:wsp>
                </a:graphicData>
              </a:graphic>
            </wp:anchor>
          </w:drawing>
        </mc:Choice>
        <mc:Fallback>
          <w:pict>
            <v:rect id="文本框 66" o:spid="_x0000_s1026" o:spt="1" style="position:absolute;left:0pt;margin-top:0pt;height:144pt;width:144pt;mso-position-horizontal:center;mso-position-horizontal-relative:margin;mso-wrap-style:none;z-index:251659264;mso-width-relative:page;mso-height-relative:page;" filled="f" stroked="f" coordsize="21600,21600" o:allowincell="f"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RXYnjgAQAAxAMAAA4AAABkcnMvZTJvRG9jLnhtbK1TzYrbMBC+F/oO&#10;QvfGTgohmDjLQshSWLqBbR9AkeVYoD9mlNjpA7Rv0FMvvfe58hwd2U62TS976EWeGcmfvu+b0fKu&#10;s4YdFaD2ruTTSc6ZctJX2u1L/vnT5t2CM4zCVcJ4p0p+UsjvVm/fLNtQqJlvvKkUMAJxWLSh5E2M&#10;ocgylI2yAic+KEebtQcrIqWwzyoQLaFbk83yfJ61HqoAXipEqq6HTT4iwmsAfV1rqdZeHqxycUAF&#10;ZUQkSdjogHzVs61rJeNTXaOKzJSclMZ+pUso3qU1Wy1FsQcRGi1HCuI1FG40WaEdXXqFWoso2AH0&#10;P1BWS/Do6ziR3maDkN4RUjHNb7x5bkRQvRayGsPVdPx/sPLjcQtMVzQJ+eI9Z05Y6vn5+7fzj1/n&#10;n1/ZfJ4sagMWdPI5bGHMkMKkt6vBpi8pYV1v6+lqq+oik1ScLmaLRU6OS9q7JISTvfweAOOD8pal&#10;oORAfevtFMdHjMPRy5F0m/MbbQzVRWHcXwXCTJUsMR44pih2u24kvvPViRRjkBtNdz0KjFsB1PMp&#10;T68iPtFSG9+WXBodOGs8fLmttTQvJXf0PDgzHxy1I43WJYBLsBuDRBDD/SES615MojTwGJlSc3s7&#10;xkFM0/Nn3p96eX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l1uVLQAAAABQEAAA8AAAAAAAAA&#10;AQAgAAAAIgAAAGRycy9kb3ducmV2LnhtbFBLAQIUABQAAAAIAIdO4kC0V2J44AEAAMQDAAAOAAAA&#10;AAAAAAEAIAAAAB8BAABkcnMvZTJvRG9jLnhtbFBLBQYAAAAABgAGAFkBAABxBQAAAAA=&#10;">
              <v:fill on="f" focussize="0,0"/>
              <v:stroke on="f"/>
              <v:imagedata o:title=""/>
              <o:lock v:ext="edit" aspectratio="f"/>
              <v:textbox inset="0mm,0mm,0mm,0mm" style="mso-fit-shape-to-text:t;">
                <w:txbxContent>
                  <w:p>
                    <w:r>
                      <w:fldChar w:fldCharType="begin"/>
                    </w:r>
                    <w:r>
                      <w:instrText xml:space="preserve"> PAGE \* Arabic </w:instrText>
                    </w:r>
                    <w:r>
                      <w:fldChar w:fldCharType="separate"/>
                    </w:r>
                    <w:r>
                      <w:t>111</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828800" cy="1828800"/>
              <wp:effectExtent l="0" t="0" r="0" b="0"/>
              <wp:wrapNone/>
              <wp:docPr id="1084" name="文本框 6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
                            <w:fldChar w:fldCharType="begin"/>
                          </w:r>
                          <w:r>
                            <w:instrText xml:space="preserve"> PAGE \* Arabic </w:instrText>
                          </w:r>
                          <w:r>
                            <w:fldChar w:fldCharType="separate"/>
                          </w:r>
                          <w:r>
                            <w:t>115</w:t>
                          </w:r>
                          <w:r>
                            <w:fldChar w:fldCharType="end"/>
                          </w:r>
                        </w:p>
                      </w:txbxContent>
                    </wps:txbx>
                    <wps:bodyPr spcFirstLastPara="1" vertOverflow="clip" horzOverflow="clip" wrap="none" lIns="0" tIns="0" rIns="0" bIns="0">
                      <a:spAutoFit/>
                    </wps:bodyPr>
                  </wps:wsp>
                </a:graphicData>
              </a:graphic>
            </wp:anchor>
          </w:drawing>
        </mc:Choice>
        <mc:Fallback>
          <w:pict>
            <v:rect id="文本框 67" o:spid="_x0000_s1026" o:spt="1" style="position:absolute;left:0pt;margin-top:0pt;height:144pt;width:144pt;mso-position-horizontal:center;mso-position-horizontal-relative:margin;mso-wrap-style:none;z-index:251659264;mso-width-relative:page;mso-height-relative:page;" filled="f" stroked="f" coordsize="21600,21600" o:allowincell="f"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55yUXhAQAAxAMAAA4AAABkcnMvZTJvRG9jLnhtbK1TS27bMBDdF+gd&#10;CO5ryUaRGoLlIIDhokDQGEh7AJqiLAL8YYa25B6gvUFX3XTfc/kcHUqyk7qbLLKhZobU43tvhovb&#10;zhp2UIDau5JPJzlnyklfabcr+dcv63dzzjAKVwnjnSr5USG/Xb59s2hDoWa+8aZSwAjEYdGGkjcx&#10;hiLLUDbKCpz4oBxt1h6siJTCLqtAtIRuTTbL85us9VAF8FIhUnU1bPIREV4C6OtaS7Xycm+ViwMq&#10;KCMiScJGB+TLnm1dKxkf6hpVZKbkpDT2K11C8Tat2XIhih2I0Gg5UhAvoXClyQrt6NIL1EpEwfag&#10;/4OyWoJHX8eJ9DYbhPSOkIppfuXNYyOC6rWQ1RgupuPrwcrPhw0wXdEk5PP3nDlhqeennz9Ov/6c&#10;fn9nNx+SRW3Agk4+hg2MGVKY9HY12PQlJazrbT1ebFVdZJKK0/lsPs/JcUl754RwsqffA2D8qLxl&#10;KSg5UN96O8XhHuNw9Hwk3eb8WhtDdVEY90+BMFMlS4wHjimK3bYbiW99dSTFGORa0133AuNGAPV8&#10;ytOriA+01Ma3JZdGB84aD9+uay3NS8kdPQ/OzCdH7UijdQ7gHGzHIBHEcLePxLoXkygNPEam1Nze&#10;jnEQ0/Q8z/tTT49v+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5dblS0AAAAAUBAAAPAAAAAAAA&#10;AAEAIAAAACIAAABkcnMvZG93bnJldi54bWxQSwECFAAUAAAACACHTuJAbnnJReEBAADEAwAADgAA&#10;AAAAAAABACAAAAAfAQAAZHJzL2Uyb0RvYy54bWxQSwUGAAAAAAYABgBZAQAAcgUAAAAA&#10;">
              <v:fill on="f" focussize="0,0"/>
              <v:stroke on="f"/>
              <v:imagedata o:title=""/>
              <o:lock v:ext="edit" aspectratio="f"/>
              <v:textbox inset="0mm,0mm,0mm,0mm" style="mso-fit-shape-to-text:t;">
                <w:txbxContent>
                  <w:p>
                    <w:r>
                      <w:fldChar w:fldCharType="begin"/>
                    </w:r>
                    <w:r>
                      <w:instrText xml:space="preserve"> PAGE \* Arabic </w:instrText>
                    </w:r>
                    <w:r>
                      <w:fldChar w:fldCharType="separate"/>
                    </w:r>
                    <w:r>
                      <w:t>115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1"/>
        <w:numId w:val="0"/>
      </w:numPr>
      <w:pBdr>
        <w:bottom w:val="none" w:color="auto" w:sz="0" w:space="0"/>
      </w:pBdr>
      <w:spacing w:line="240" w:lineRule="auto"/>
      <w:ind w:leftChars="0"/>
      <w:jc w:val="right"/>
      <w:outlineLvl w:val="0"/>
      <w:rPr>
        <w:rFonts w:hint="eastAsia" w:ascii="仿宋" w:hAnsi="仿宋" w:eastAsia="仿宋" w:cs="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bottom w:val="none" w:color="000000" w:sz="0" w:space="0"/>
        <w:right w:val="none" w:color="000000" w:sz="0" w:space="3"/>
        <w:between w:val="none" w:color="000000" w:sz="0" w:space="0"/>
      </w:pBdr>
      <w:shd w:val="clear"/>
      <w:jc w:val="right"/>
      <w:rPr>
        <w:i/>
        <w:iCs/>
        <w:color w:val="0000FF"/>
        <w:sz w:val="18"/>
        <w:szCs w:val="18"/>
      </w:rPr>
    </w:pPr>
    <w:r>
      <w:rPr>
        <w:i/>
        <w:iCs/>
        <w:color w:val="0000FF"/>
        <w:sz w:val="18"/>
        <w:szCs w:val="18"/>
      </w:rPr>
      <w:t xml:space="preserve">     </w:t>
    </w:r>
  </w:p>
  <w:p>
    <w:pPr>
      <w:pBdr>
        <w:top w:val="none" w:color="000000" w:sz="0" w:space="3"/>
        <w:left w:val="none" w:color="000000" w:sz="0" w:space="3"/>
        <w:bottom w:val="none" w:color="000000" w:sz="0" w:space="1"/>
        <w:right w:val="none" w:color="000000" w:sz="0" w:space="3"/>
        <w:between w:val="none" w:color="000000" w:sz="0" w:space="0"/>
      </w:pBdr>
      <w:shd w:val="clea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bottom w:val="none" w:color="000000" w:sz="0" w:space="0"/>
        <w:right w:val="none" w:color="000000" w:sz="0" w:space="3"/>
        <w:between w:val="none" w:color="000000" w:sz="0" w:space="0"/>
      </w:pBdr>
      <w:shd w:val="clear"/>
      <w:jc w:val="right"/>
      <w:rPr>
        <w:i/>
        <w:iCs/>
        <w:color w:val="0000FF"/>
        <w:sz w:val="18"/>
        <w:szCs w:val="18"/>
      </w:rPr>
    </w:pPr>
    <w:r>
      <w:rPr>
        <w:i/>
        <w:iCs/>
        <w:color w:val="0000FF"/>
        <w:sz w:val="18"/>
        <w:szCs w:val="18"/>
      </w:rPr>
      <w:t xml:space="preserve">     </w:t>
    </w:r>
  </w:p>
  <w:p>
    <w:pPr>
      <w:pBdr>
        <w:top w:val="none" w:color="000000" w:sz="0" w:space="3"/>
        <w:left w:val="none" w:color="000000" w:sz="0" w:space="3"/>
        <w:bottom w:val="none" w:color="000000" w:sz="0" w:space="1"/>
        <w:right w:val="none" w:color="000000" w:sz="0" w:space="3"/>
        <w:between w:val="none" w:color="000000" w:sz="0" w:space="0"/>
      </w:pBdr>
      <w:shd w:val="clea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bottom w:val="none" w:color="000000" w:sz="0" w:space="0"/>
        <w:right w:val="none" w:color="000000" w:sz="0" w:space="3"/>
        <w:between w:val="none" w:color="000000" w:sz="0" w:space="0"/>
      </w:pBdr>
      <w:shd w:val="clear"/>
      <w:jc w:val="right"/>
      <w:rPr>
        <w:i/>
        <w:iCs/>
        <w:color w:val="0000FF"/>
        <w:sz w:val="18"/>
        <w:szCs w:val="18"/>
      </w:rPr>
    </w:pPr>
    <w:r>
      <w:rPr>
        <w:i/>
        <w:iCs/>
        <w:color w:val="0000FF"/>
        <w:sz w:val="18"/>
        <w:szCs w:val="18"/>
      </w:rPr>
      <w:t xml:space="preserve">     </w:t>
    </w:r>
  </w:p>
  <w:p>
    <w:pPr>
      <w:pBdr>
        <w:top w:val="none" w:color="000000" w:sz="0" w:space="3"/>
        <w:left w:val="none" w:color="000000" w:sz="0" w:space="3"/>
        <w:bottom w:val="none" w:color="000000" w:sz="0" w:space="1"/>
        <w:right w:val="none" w:color="000000" w:sz="0" w:space="3"/>
        <w:between w:val="none" w:color="000000" w:sz="0" w:space="0"/>
      </w:pBdr>
      <w:shd w:val="clea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08322"/>
    <w:multiLevelType w:val="singleLevel"/>
    <w:tmpl w:val="B5E08322"/>
    <w:lvl w:ilvl="0" w:tentative="0">
      <w:start w:val="1"/>
      <w:numFmt w:val="chineseCounting"/>
      <w:suff w:val="nothing"/>
      <w:lvlText w:val="%1、"/>
      <w:lvlJc w:val="left"/>
      <w:rPr>
        <w:rFonts w:hint="eastAsia"/>
      </w:rPr>
    </w:lvl>
  </w:abstractNum>
  <w:abstractNum w:abstractNumId="1">
    <w:nsid w:val="B5E306ED"/>
    <w:multiLevelType w:val="multilevel"/>
    <w:tmpl w:val="B5E306ED"/>
    <w:lvl w:ilvl="0" w:tentative="0">
      <w:start w:val="1"/>
      <w:numFmt w:val="japaneseCounting"/>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2">
    <w:nsid w:val="BF205925"/>
    <w:multiLevelType w:val="singleLevel"/>
    <w:tmpl w:val="BF205925"/>
    <w:lvl w:ilvl="0" w:tentative="0">
      <w:start w:val="4"/>
      <w:numFmt w:val="chineseCounting"/>
      <w:suff w:val="space"/>
      <w:lvlText w:val="第%1章"/>
      <w:lvlJc w:val="left"/>
      <w:pPr>
        <w:ind w:left="0" w:firstLine="0"/>
      </w:pPr>
    </w:lvl>
  </w:abstractNum>
  <w:abstractNum w:abstractNumId="3">
    <w:nsid w:val="CF092B84"/>
    <w:multiLevelType w:val="singleLevel"/>
    <w:tmpl w:val="CF092B84"/>
    <w:lvl w:ilvl="0" w:tentative="0">
      <w:start w:val="2"/>
      <w:numFmt w:val="decimal"/>
      <w:suff w:val="space"/>
      <w:lvlText w:val="%1."/>
      <w:lvlJc w:val="left"/>
      <w:pPr>
        <w:ind w:left="0" w:firstLine="0"/>
      </w:pPr>
    </w:lvl>
  </w:abstractNum>
  <w:abstractNum w:abstractNumId="4">
    <w:nsid w:val="EBCB24C2"/>
    <w:multiLevelType w:val="singleLevel"/>
    <w:tmpl w:val="EBCB24C2"/>
    <w:lvl w:ilvl="0" w:tentative="0">
      <w:start w:val="2"/>
      <w:numFmt w:val="chineseCounting"/>
      <w:suff w:val="nothing"/>
      <w:lvlText w:val="（%1）"/>
      <w:lvlJc w:val="left"/>
      <w:rPr>
        <w:rFonts w:hint="eastAsia"/>
      </w:rPr>
    </w:lvl>
  </w:abstractNum>
  <w:abstractNum w:abstractNumId="5">
    <w:nsid w:val="F9DCC58F"/>
    <w:multiLevelType w:val="singleLevel"/>
    <w:tmpl w:val="F9DCC58F"/>
    <w:lvl w:ilvl="0" w:tentative="0">
      <w:start w:val="5"/>
      <w:numFmt w:val="decimal"/>
      <w:suff w:val="nothing"/>
      <w:lvlText w:val="%1、"/>
      <w:lvlJc w:val="left"/>
    </w:lvl>
  </w:abstractNum>
  <w:abstractNum w:abstractNumId="6">
    <w:nsid w:val="0053208E"/>
    <w:multiLevelType w:val="multilevel"/>
    <w:tmpl w:val="0053208E"/>
    <w:lvl w:ilvl="0" w:tentative="0">
      <w:start w:val="1"/>
      <w:numFmt w:val="decimal"/>
      <w:pStyle w:val="8"/>
      <w:suff w:val="nothing"/>
      <w:lvlText w:val="第%1章 "/>
      <w:lvlJc w:val="left"/>
      <w:pPr>
        <w:ind w:left="0" w:firstLine="0"/>
      </w:pPr>
    </w:lvl>
    <w:lvl w:ilvl="1" w:tentative="0">
      <w:start w:val="1"/>
      <w:numFmt w:val="decimal"/>
      <w:pStyle w:val="9"/>
      <w:suff w:val="nothing"/>
      <w:lvlText w:val="    %2、"/>
      <w:lvlJc w:val="left"/>
      <w:pPr>
        <w:ind w:left="-8" w:firstLine="0"/>
      </w:pPr>
    </w:lvl>
    <w:lvl w:ilvl="2" w:tentative="0">
      <w:start w:val="1"/>
      <w:numFmt w:val="decimal"/>
      <w:pStyle w:val="10"/>
      <w:suff w:val="nothing"/>
      <w:lvlText w:val="    %2.%3 "/>
      <w:lvlJc w:val="left"/>
      <w:pPr>
        <w:ind w:left="459" w:firstLine="0"/>
      </w:pPr>
    </w:lvl>
    <w:lvl w:ilvl="3" w:tentative="0">
      <w:start w:val="1"/>
      <w:numFmt w:val="decimal"/>
      <w:pStyle w:val="11"/>
      <w:suff w:val="nothing"/>
      <w:lvlText w:val="    %2.%3.%4  "/>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7">
    <w:nsid w:val="03D62ECE"/>
    <w:multiLevelType w:val="multilevel"/>
    <w:tmpl w:val="03D62ECE"/>
    <w:lvl w:ilvl="0" w:tentative="0">
      <w:start w:val="1"/>
      <w:numFmt w:val="japaneseCounting"/>
      <w:lvlText w:val="（%1）"/>
      <w:lvlJc w:val="left"/>
      <w:pPr>
        <w:ind w:left="0" w:firstLine="0"/>
      </w:pPr>
    </w:lvl>
    <w:lvl w:ilvl="1" w:tentative="0">
      <w:start w:val="1"/>
      <w:numFmt w:val="lowerLetter"/>
      <w:lvlText w:val="%2)"/>
      <w:lvlJc w:val="left"/>
      <w:pPr>
        <w:ind w:left="420" w:firstLine="0"/>
      </w:pPr>
    </w:lvl>
    <w:lvl w:ilvl="2" w:tentative="0">
      <w:start w:val="1"/>
      <w:numFmt w:val="lowerRoman"/>
      <w:lvlText w:val="%3."/>
      <w:lvlJc w:val="left"/>
      <w:pPr>
        <w:ind w:left="840" w:firstLine="0"/>
      </w:pPr>
    </w:lvl>
    <w:lvl w:ilvl="3" w:tentative="0">
      <w:start w:val="1"/>
      <w:numFmt w:val="decimal"/>
      <w:lvlText w:val="%4."/>
      <w:lvlJc w:val="left"/>
      <w:pPr>
        <w:ind w:left="1260" w:firstLine="0"/>
      </w:pPr>
    </w:lvl>
    <w:lvl w:ilvl="4" w:tentative="0">
      <w:start w:val="1"/>
      <w:numFmt w:val="lowerLetter"/>
      <w:lvlText w:val="%5)"/>
      <w:lvlJc w:val="left"/>
      <w:pPr>
        <w:ind w:left="1680" w:firstLine="0"/>
      </w:pPr>
    </w:lvl>
    <w:lvl w:ilvl="5" w:tentative="0">
      <w:start w:val="1"/>
      <w:numFmt w:val="lowerRoman"/>
      <w:lvlText w:val="%6."/>
      <w:lvlJc w:val="left"/>
      <w:pPr>
        <w:ind w:left="2100" w:firstLine="0"/>
      </w:pPr>
    </w:lvl>
    <w:lvl w:ilvl="6" w:tentative="0">
      <w:start w:val="1"/>
      <w:numFmt w:val="decimal"/>
      <w:lvlText w:val="%7."/>
      <w:lvlJc w:val="left"/>
      <w:pPr>
        <w:ind w:left="2520" w:firstLine="0"/>
      </w:pPr>
    </w:lvl>
    <w:lvl w:ilvl="7" w:tentative="0">
      <w:start w:val="1"/>
      <w:numFmt w:val="lowerLetter"/>
      <w:lvlText w:val="%8)"/>
      <w:lvlJc w:val="left"/>
      <w:pPr>
        <w:ind w:left="2940" w:firstLine="0"/>
      </w:pPr>
    </w:lvl>
    <w:lvl w:ilvl="8" w:tentative="0">
      <w:start w:val="1"/>
      <w:numFmt w:val="lowerRoman"/>
      <w:lvlText w:val="%9."/>
      <w:lvlJc w:val="left"/>
      <w:pPr>
        <w:ind w:left="3360" w:firstLine="0"/>
      </w:pPr>
    </w:lvl>
  </w:abstractNum>
  <w:abstractNum w:abstractNumId="8">
    <w:nsid w:val="25B654F3"/>
    <w:multiLevelType w:val="singleLevel"/>
    <w:tmpl w:val="25B654F3"/>
    <w:lvl w:ilvl="0" w:tentative="0">
      <w:start w:val="1"/>
      <w:numFmt w:val="decimal"/>
      <w:suff w:val="nothing"/>
      <w:lvlText w:val="%1、"/>
      <w:lvlJc w:val="left"/>
      <w:pPr>
        <w:ind w:left="0" w:firstLine="0"/>
      </w:pPr>
    </w:lvl>
  </w:abstractNum>
  <w:abstractNum w:abstractNumId="9">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10">
    <w:nsid w:val="4A1EEF5A"/>
    <w:multiLevelType w:val="singleLevel"/>
    <w:tmpl w:val="4A1EEF5A"/>
    <w:lvl w:ilvl="0" w:tentative="0">
      <w:start w:val="5"/>
      <w:numFmt w:val="decimal"/>
      <w:lvlText w:val="%1."/>
      <w:lvlJc w:val="left"/>
      <w:pPr>
        <w:tabs>
          <w:tab w:val="left" w:pos="312"/>
        </w:tabs>
      </w:pPr>
    </w:lvl>
  </w:abstractNum>
  <w:abstractNum w:abstractNumId="11">
    <w:nsid w:val="59ADCABA"/>
    <w:multiLevelType w:val="singleLevel"/>
    <w:tmpl w:val="59ADCABA"/>
    <w:lvl w:ilvl="0" w:tentative="0">
      <w:start w:val="5"/>
      <w:numFmt w:val="decimal"/>
      <w:suff w:val="space"/>
      <w:lvlText w:val="%1."/>
      <w:lvlJc w:val="left"/>
      <w:pPr>
        <w:ind w:left="0" w:firstLine="0"/>
      </w:pPr>
    </w:lvl>
  </w:abstractNum>
  <w:num w:numId="1">
    <w:abstractNumId w:val="6"/>
  </w:num>
  <w:num w:numId="2">
    <w:abstractNumId w:val="10"/>
  </w:num>
  <w:num w:numId="3">
    <w:abstractNumId w:val="4"/>
  </w:num>
  <w:num w:numId="4">
    <w:abstractNumId w:val="3"/>
  </w:num>
  <w:num w:numId="5">
    <w:abstractNumId w:val="11"/>
  </w:num>
  <w:num w:numId="6">
    <w:abstractNumId w:val="2"/>
  </w:num>
  <w:num w:numId="7">
    <w:abstractNumId w:val="1"/>
  </w:num>
  <w:num w:numId="8">
    <w:abstractNumId w:val="7"/>
  </w:num>
  <w:num w:numId="9">
    <w:abstractNumId w:val="0"/>
  </w:num>
  <w:num w:numId="10">
    <w:abstractNumId w:val="9"/>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8546688"/>
  <w:drawingGridVerticalSpacing w:val="18546688"/>
  <w:displayHorizontalDrawingGridEvery w:val="1"/>
  <w:displayVerticalDrawingGridEvery w:val="1"/>
  <w:noPunctuationKerning w:val="1"/>
  <w:hdrShapeDefaults>
    <o:shapelayout v:ext="edit">
      <o:idmap v:ext="edit" data="3"/>
    </o:shapelayout>
  </w:hdrShapeDefaults>
  <w:endnotePr>
    <w:numFmt w:val="decimal"/>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NWIyMGVhMmZkOGFiODlkODkzNmNiNjU2NjFjNmVjMTEifQ=="/>
  </w:docVars>
  <w:rsids>
    <w:rsidRoot w:val="00000000"/>
    <w:rsid w:val="00FA6989"/>
    <w:rsid w:val="03035EC4"/>
    <w:rsid w:val="03604B36"/>
    <w:rsid w:val="03C323C7"/>
    <w:rsid w:val="044B1541"/>
    <w:rsid w:val="06383B48"/>
    <w:rsid w:val="069A3EBB"/>
    <w:rsid w:val="0A473DB1"/>
    <w:rsid w:val="0A4F320E"/>
    <w:rsid w:val="0B23493A"/>
    <w:rsid w:val="0B41524D"/>
    <w:rsid w:val="0BF13E09"/>
    <w:rsid w:val="0C317DD4"/>
    <w:rsid w:val="0D0A6153"/>
    <w:rsid w:val="0E17259F"/>
    <w:rsid w:val="0E1A1D85"/>
    <w:rsid w:val="0E897FD6"/>
    <w:rsid w:val="0F311A88"/>
    <w:rsid w:val="0FAC1044"/>
    <w:rsid w:val="104A6842"/>
    <w:rsid w:val="10AE3DAA"/>
    <w:rsid w:val="11411B4D"/>
    <w:rsid w:val="119B31DD"/>
    <w:rsid w:val="1319085D"/>
    <w:rsid w:val="134F30AF"/>
    <w:rsid w:val="14166EBF"/>
    <w:rsid w:val="142F448D"/>
    <w:rsid w:val="15BA6327"/>
    <w:rsid w:val="1813615F"/>
    <w:rsid w:val="189D5A8C"/>
    <w:rsid w:val="18D113C4"/>
    <w:rsid w:val="19F62F45"/>
    <w:rsid w:val="1A3F0478"/>
    <w:rsid w:val="1A7C5313"/>
    <w:rsid w:val="1B416BA3"/>
    <w:rsid w:val="1BD9502D"/>
    <w:rsid w:val="1BE24AA9"/>
    <w:rsid w:val="1CAA46E6"/>
    <w:rsid w:val="1CCB4690"/>
    <w:rsid w:val="1F274302"/>
    <w:rsid w:val="1FAE2A78"/>
    <w:rsid w:val="1FD06AC9"/>
    <w:rsid w:val="20F0762F"/>
    <w:rsid w:val="21B87493"/>
    <w:rsid w:val="223E208E"/>
    <w:rsid w:val="237228F6"/>
    <w:rsid w:val="23E63281"/>
    <w:rsid w:val="2419493C"/>
    <w:rsid w:val="25161CCA"/>
    <w:rsid w:val="25965131"/>
    <w:rsid w:val="27637EA1"/>
    <w:rsid w:val="27CB43C4"/>
    <w:rsid w:val="298F4F7D"/>
    <w:rsid w:val="2A73489F"/>
    <w:rsid w:val="2AE66EF2"/>
    <w:rsid w:val="2C1712E1"/>
    <w:rsid w:val="2E1D524D"/>
    <w:rsid w:val="2E512F0F"/>
    <w:rsid w:val="2F4D2071"/>
    <w:rsid w:val="312122C3"/>
    <w:rsid w:val="31AE1C97"/>
    <w:rsid w:val="33145217"/>
    <w:rsid w:val="331E2268"/>
    <w:rsid w:val="346911EC"/>
    <w:rsid w:val="34AD6FC4"/>
    <w:rsid w:val="3553600F"/>
    <w:rsid w:val="3617392A"/>
    <w:rsid w:val="36883259"/>
    <w:rsid w:val="36C56482"/>
    <w:rsid w:val="3870241E"/>
    <w:rsid w:val="38942CA3"/>
    <w:rsid w:val="38DB3D3B"/>
    <w:rsid w:val="392441CB"/>
    <w:rsid w:val="393A4A95"/>
    <w:rsid w:val="39C676A1"/>
    <w:rsid w:val="39D77315"/>
    <w:rsid w:val="3A2D6818"/>
    <w:rsid w:val="3A4D65EF"/>
    <w:rsid w:val="3A871162"/>
    <w:rsid w:val="3AE66F54"/>
    <w:rsid w:val="3B2356E3"/>
    <w:rsid w:val="3EB412B6"/>
    <w:rsid w:val="3F4C7741"/>
    <w:rsid w:val="414601C0"/>
    <w:rsid w:val="421E3893"/>
    <w:rsid w:val="42806B99"/>
    <w:rsid w:val="438D657A"/>
    <w:rsid w:val="439E5B55"/>
    <w:rsid w:val="44007517"/>
    <w:rsid w:val="457F0FBD"/>
    <w:rsid w:val="45B41D10"/>
    <w:rsid w:val="47D47AF4"/>
    <w:rsid w:val="4800731A"/>
    <w:rsid w:val="48D969F1"/>
    <w:rsid w:val="48D96E73"/>
    <w:rsid w:val="495E5890"/>
    <w:rsid w:val="49920446"/>
    <w:rsid w:val="49E113CD"/>
    <w:rsid w:val="49F93A21"/>
    <w:rsid w:val="4A73314E"/>
    <w:rsid w:val="4A7C59F6"/>
    <w:rsid w:val="4AD625B4"/>
    <w:rsid w:val="4C6C3C08"/>
    <w:rsid w:val="4EA5104B"/>
    <w:rsid w:val="5043660C"/>
    <w:rsid w:val="508A631B"/>
    <w:rsid w:val="50FA6453"/>
    <w:rsid w:val="512E314A"/>
    <w:rsid w:val="52462715"/>
    <w:rsid w:val="532A5B93"/>
    <w:rsid w:val="53405D67"/>
    <w:rsid w:val="53F71F19"/>
    <w:rsid w:val="54EB4EAE"/>
    <w:rsid w:val="552E2271"/>
    <w:rsid w:val="55450A62"/>
    <w:rsid w:val="56466840"/>
    <w:rsid w:val="56666EE2"/>
    <w:rsid w:val="57FD5624"/>
    <w:rsid w:val="58100152"/>
    <w:rsid w:val="590D1E3A"/>
    <w:rsid w:val="59522AF0"/>
    <w:rsid w:val="59B64EB2"/>
    <w:rsid w:val="5A163799"/>
    <w:rsid w:val="5A296BA4"/>
    <w:rsid w:val="5BB73D3C"/>
    <w:rsid w:val="5C084598"/>
    <w:rsid w:val="5E436A40"/>
    <w:rsid w:val="5ECA42C0"/>
    <w:rsid w:val="5FE21C0A"/>
    <w:rsid w:val="60106D23"/>
    <w:rsid w:val="60501A72"/>
    <w:rsid w:val="60534C78"/>
    <w:rsid w:val="61227EAA"/>
    <w:rsid w:val="61406582"/>
    <w:rsid w:val="62214B27"/>
    <w:rsid w:val="623B7475"/>
    <w:rsid w:val="63F06DDA"/>
    <w:rsid w:val="647A399E"/>
    <w:rsid w:val="66377F53"/>
    <w:rsid w:val="67941A60"/>
    <w:rsid w:val="68555C15"/>
    <w:rsid w:val="6946229B"/>
    <w:rsid w:val="69715C5E"/>
    <w:rsid w:val="69A433D3"/>
    <w:rsid w:val="6A077F06"/>
    <w:rsid w:val="6AAF6C52"/>
    <w:rsid w:val="6AF107A6"/>
    <w:rsid w:val="6BC51967"/>
    <w:rsid w:val="6E0F1600"/>
    <w:rsid w:val="6E364F94"/>
    <w:rsid w:val="6E757671"/>
    <w:rsid w:val="6F2F0361"/>
    <w:rsid w:val="6F751AEC"/>
    <w:rsid w:val="6F9F1B25"/>
    <w:rsid w:val="6FCE2D1C"/>
    <w:rsid w:val="71B763EC"/>
    <w:rsid w:val="722C0B88"/>
    <w:rsid w:val="72965B82"/>
    <w:rsid w:val="73B62219"/>
    <w:rsid w:val="744E6514"/>
    <w:rsid w:val="77226B83"/>
    <w:rsid w:val="77771F09"/>
    <w:rsid w:val="78047EB1"/>
    <w:rsid w:val="78487048"/>
    <w:rsid w:val="78DB1794"/>
    <w:rsid w:val="7A35234F"/>
    <w:rsid w:val="7A4B4267"/>
    <w:rsid w:val="7BF44D52"/>
    <w:rsid w:val="7D3E52AA"/>
    <w:rsid w:val="7EC17318"/>
    <w:rsid w:val="7FAD48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1"/>
      <w:sz w:val="21"/>
      <w:szCs w:val="24"/>
      <w:lang w:val="en-US" w:eastAsia="zh-CN" w:bidi="ar-SA"/>
    </w:rPr>
  </w:style>
  <w:style w:type="paragraph" w:styleId="8">
    <w:name w:val="heading 1"/>
    <w:next w:val="1"/>
    <w:qFormat/>
    <w:uiPriority w:val="0"/>
    <w:pPr>
      <w:keepNext/>
      <w:keepLines/>
      <w:widowControl w:val="0"/>
      <w:numPr>
        <w:ilvl w:val="0"/>
        <w:numId w:val="1"/>
      </w:numPr>
      <w:spacing w:before="340" w:after="330" w:line="576" w:lineRule="auto"/>
      <w:ind w:left="0" w:firstLine="0"/>
      <w:jc w:val="both"/>
      <w:outlineLvl w:val="0"/>
    </w:pPr>
    <w:rPr>
      <w:rFonts w:ascii="Times New Roman" w:hAnsi="Times New Roman" w:eastAsia="宋体" w:cs="Times New Roman"/>
      <w:b/>
      <w:bCs/>
      <w:kern w:val="1"/>
      <w:sz w:val="44"/>
      <w:szCs w:val="44"/>
      <w:lang w:val="en-US" w:eastAsia="zh-CN" w:bidi="ar-SA"/>
    </w:rPr>
  </w:style>
  <w:style w:type="paragraph" w:styleId="9">
    <w:name w:val="heading 2"/>
    <w:basedOn w:val="1"/>
    <w:next w:val="1"/>
    <w:qFormat/>
    <w:uiPriority w:val="0"/>
    <w:pPr>
      <w:keepNext/>
      <w:keepLines/>
      <w:widowControl w:val="0"/>
      <w:numPr>
        <w:ilvl w:val="1"/>
        <w:numId w:val="1"/>
      </w:numPr>
      <w:spacing w:before="260" w:after="260" w:line="415" w:lineRule="auto"/>
      <w:ind w:left="0" w:firstLine="0"/>
      <w:jc w:val="both"/>
      <w:outlineLvl w:val="1"/>
    </w:pPr>
    <w:rPr>
      <w:rFonts w:ascii="Arial" w:hAnsi="Arial" w:eastAsia="黑体" w:cs="Times New Roman"/>
      <w:b/>
      <w:bCs/>
      <w:kern w:val="1"/>
      <w:sz w:val="32"/>
      <w:szCs w:val="32"/>
      <w:lang w:val="en-US" w:eastAsia="zh-CN" w:bidi="ar-SA"/>
    </w:rPr>
  </w:style>
  <w:style w:type="paragraph" w:styleId="10">
    <w:name w:val="heading 3"/>
    <w:next w:val="1"/>
    <w:qFormat/>
    <w:uiPriority w:val="0"/>
    <w:pPr>
      <w:keepNext/>
      <w:keepLines/>
      <w:widowControl w:val="0"/>
      <w:numPr>
        <w:ilvl w:val="2"/>
        <w:numId w:val="1"/>
      </w:numPr>
      <w:spacing w:before="260" w:after="260" w:line="415" w:lineRule="auto"/>
      <w:ind w:left="459" w:firstLine="0"/>
      <w:jc w:val="both"/>
      <w:outlineLvl w:val="2"/>
    </w:pPr>
    <w:rPr>
      <w:rFonts w:ascii="Times New Roman" w:hAnsi="Times New Roman" w:eastAsia="仿宋_GB2312" w:cs="Times New Roman"/>
      <w:b/>
      <w:bCs/>
      <w:kern w:val="1"/>
      <w:sz w:val="32"/>
      <w:szCs w:val="32"/>
      <w:lang w:val="en-US" w:eastAsia="zh-CN" w:bidi="ar-SA"/>
    </w:rPr>
  </w:style>
  <w:style w:type="paragraph" w:styleId="11">
    <w:name w:val="heading 4"/>
    <w:next w:val="1"/>
    <w:qFormat/>
    <w:uiPriority w:val="0"/>
    <w:pPr>
      <w:keepNext/>
      <w:keepLines/>
      <w:widowControl w:val="0"/>
      <w:numPr>
        <w:ilvl w:val="3"/>
        <w:numId w:val="1"/>
      </w:numPr>
      <w:spacing w:before="280" w:after="290" w:line="374" w:lineRule="auto"/>
      <w:ind w:left="0" w:firstLine="0"/>
      <w:jc w:val="both"/>
      <w:outlineLvl w:val="3"/>
    </w:pPr>
    <w:rPr>
      <w:rFonts w:ascii="Arial" w:hAnsi="Arial" w:eastAsia="黑体" w:cs="Times New Roman"/>
      <w:b/>
      <w:bCs/>
      <w:kern w:val="1"/>
      <w:sz w:val="28"/>
      <w:szCs w:val="28"/>
      <w:lang w:val="en-US" w:eastAsia="zh-CN" w:bidi="ar-SA"/>
    </w:rPr>
  </w:style>
  <w:style w:type="paragraph" w:styleId="12">
    <w:name w:val="heading 9"/>
    <w:basedOn w:val="1"/>
    <w:next w:val="1"/>
    <w:unhideWhenUsed/>
    <w:qFormat/>
    <w:uiPriority w:val="99"/>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4">
    <w:name w:val="Default Paragraph Font"/>
    <w:qFormat/>
    <w:uiPriority w:val="0"/>
    <w:rPr>
      <w:kern w:val="0"/>
      <w:sz w:val="20"/>
      <w:szCs w:val="20"/>
      <w:lang w:val="en-US" w:eastAsia="zh-CN" w:bidi="ar-SA"/>
    </w:rPr>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widowControl w:val="0"/>
      <w:ind w:firstLine="420"/>
      <w:jc w:val="both"/>
    </w:pPr>
    <w:rPr>
      <w:rFonts w:ascii="Times New Roman" w:hAnsi="Times New Roman" w:eastAsia="宋体" w:cs="Times New Roman"/>
      <w:kern w:val="1"/>
      <w:sz w:val="21"/>
      <w:szCs w:val="24"/>
      <w:lang w:val="en-US" w:eastAsia="zh-CN" w:bidi="ar-SA"/>
    </w:rPr>
  </w:style>
  <w:style w:type="paragraph" w:styleId="3">
    <w:name w:val="Body Text"/>
    <w:basedOn w:val="1"/>
    <w:next w:val="4"/>
    <w:qFormat/>
    <w:uiPriority w:val="0"/>
    <w:pPr>
      <w:widowControl w:val="0"/>
      <w:spacing w:after="120"/>
      <w:jc w:val="both"/>
    </w:pPr>
    <w:rPr>
      <w:rFonts w:ascii="Times New Roman" w:hAnsi="Times New Roman" w:eastAsia="宋体" w:cs="Times New Roman"/>
      <w:kern w:val="1"/>
      <w:sz w:val="20"/>
      <w:szCs w:val="24"/>
      <w:lang w:val="en-US" w:eastAsia="zh-CN" w:bidi="ar-SA"/>
    </w:rPr>
  </w:style>
  <w:style w:type="paragraph" w:styleId="4">
    <w:name w:val="Body Text 2"/>
    <w:basedOn w:val="1"/>
    <w:next w:val="1"/>
    <w:qFormat/>
    <w:uiPriority w:val="0"/>
    <w:pPr>
      <w:widowControl w:val="0"/>
      <w:spacing w:line="700" w:lineRule="exact"/>
      <w:jc w:val="both"/>
    </w:pPr>
    <w:rPr>
      <w:rFonts w:ascii="Times New Roman" w:hAnsi="Times New Roman" w:eastAsia="宋体" w:cs="Times New Roman"/>
      <w:kern w:val="1"/>
      <w:sz w:val="28"/>
      <w:szCs w:val="24"/>
      <w:lang w:val="en-US" w:eastAsia="zh-CN" w:bidi="ar-SA"/>
    </w:rPr>
  </w:style>
  <w:style w:type="paragraph" w:styleId="5">
    <w:name w:val="Body Text First Indent 2"/>
    <w:basedOn w:val="6"/>
    <w:next w:val="1"/>
    <w:qFormat/>
    <w:uiPriority w:val="0"/>
    <w:pPr>
      <w:widowControl/>
      <w:ind w:firstLine="200"/>
      <w:jc w:val="left"/>
    </w:pPr>
    <w:rPr>
      <w:rFonts w:ascii="Calibri" w:hAnsi="Calibri" w:eastAsia="宋体" w:cs="Times New Roman"/>
      <w:kern w:val="1"/>
      <w:sz w:val="28"/>
      <w:szCs w:val="24"/>
      <w:lang w:val="en-US" w:eastAsia="zh-CN" w:bidi="ar-SA"/>
    </w:rPr>
  </w:style>
  <w:style w:type="paragraph" w:styleId="6">
    <w:name w:val="Body Text Indent"/>
    <w:basedOn w:val="1"/>
    <w:next w:val="7"/>
    <w:qFormat/>
    <w:uiPriority w:val="0"/>
    <w:pPr>
      <w:widowControl w:val="0"/>
      <w:spacing w:after="120"/>
      <w:ind w:left="420"/>
      <w:jc w:val="both"/>
    </w:pPr>
    <w:rPr>
      <w:rFonts w:ascii="Times New Roman" w:hAnsi="Times New Roman" w:eastAsia="宋体" w:cs="Times New Roman"/>
      <w:kern w:val="1"/>
      <w:sz w:val="20"/>
      <w:szCs w:val="24"/>
      <w:lang w:val="en-US" w:eastAsia="zh-CN" w:bidi="ar-SA"/>
    </w:rPr>
  </w:style>
  <w:style w:type="paragraph" w:styleId="7">
    <w:name w:val="envelope return"/>
    <w:basedOn w:val="1"/>
    <w:qFormat/>
    <w:uiPriority w:val="0"/>
    <w:pPr>
      <w:widowControl w:val="0"/>
      <w:jc w:val="both"/>
    </w:pPr>
    <w:rPr>
      <w:rFonts w:ascii="Arial" w:hAnsi="Arial" w:eastAsia="宋体" w:cs="Times New Roman"/>
      <w:kern w:val="1"/>
      <w:sz w:val="21"/>
      <w:szCs w:val="24"/>
      <w:lang w:val="en-US" w:eastAsia="zh-CN" w:bidi="ar-SA"/>
    </w:rPr>
  </w:style>
  <w:style w:type="paragraph" w:styleId="13">
    <w:name w:val="Normal Indent"/>
    <w:basedOn w:val="1"/>
    <w:qFormat/>
    <w:uiPriority w:val="0"/>
    <w:pPr>
      <w:widowControl w:val="0"/>
      <w:ind w:firstLine="420"/>
      <w:jc w:val="both"/>
    </w:pPr>
    <w:rPr>
      <w:rFonts w:ascii="Times New Roman" w:hAnsi="Times New Roman" w:eastAsia="宋体" w:cs="Times New Roman"/>
      <w:kern w:val="1"/>
      <w:sz w:val="21"/>
      <w:szCs w:val="24"/>
      <w:lang w:val="en-US" w:eastAsia="zh-CN" w:bidi="ar-SA"/>
    </w:rPr>
  </w:style>
  <w:style w:type="paragraph" w:styleId="14">
    <w:name w:val="Body Text 3"/>
    <w:basedOn w:val="1"/>
    <w:qFormat/>
    <w:uiPriority w:val="0"/>
    <w:pPr>
      <w:widowControl w:val="0"/>
      <w:jc w:val="both"/>
    </w:pPr>
    <w:rPr>
      <w:rFonts w:ascii="Times New Roman" w:hAnsi="Times New Roman" w:eastAsia="宋体" w:cs="Times New Roman"/>
      <w:kern w:val="1"/>
      <w:sz w:val="24"/>
      <w:szCs w:val="20"/>
      <w:lang w:val="en-US" w:eastAsia="zh-CN" w:bidi="ar-SA"/>
    </w:rPr>
  </w:style>
  <w:style w:type="paragraph" w:styleId="15">
    <w:name w:val="List 2"/>
    <w:basedOn w:val="1"/>
    <w:qFormat/>
    <w:uiPriority w:val="0"/>
    <w:pPr>
      <w:widowControl w:val="0"/>
      <w:ind w:left="100" w:hanging="200"/>
      <w:jc w:val="both"/>
    </w:pPr>
    <w:rPr>
      <w:rFonts w:ascii="Times New Roman" w:hAnsi="Times New Roman" w:eastAsia="宋体" w:cs="Times New Roman"/>
      <w:kern w:val="1"/>
      <w:sz w:val="21"/>
      <w:szCs w:val="24"/>
      <w:lang w:val="en-US" w:eastAsia="zh-CN" w:bidi="ar-SA"/>
    </w:rPr>
  </w:style>
  <w:style w:type="paragraph" w:styleId="16">
    <w:name w:val="toc 3"/>
    <w:next w:val="1"/>
    <w:qFormat/>
    <w:uiPriority w:val="0"/>
    <w:pPr>
      <w:widowControl w:val="0"/>
      <w:ind w:left="840"/>
      <w:jc w:val="both"/>
    </w:pPr>
    <w:rPr>
      <w:rFonts w:ascii="Times New Roman" w:hAnsi="Times New Roman" w:eastAsia="宋体" w:cs="Times New Roman"/>
      <w:kern w:val="1"/>
      <w:sz w:val="21"/>
      <w:szCs w:val="24"/>
      <w:lang w:val="en-US" w:eastAsia="zh-CN" w:bidi="ar-SA"/>
    </w:rPr>
  </w:style>
  <w:style w:type="paragraph" w:styleId="17">
    <w:name w:val="footer"/>
    <w:qFormat/>
    <w:uiPriority w:val="0"/>
    <w:pPr>
      <w:widowControl w:val="0"/>
      <w:tabs>
        <w:tab w:val="center" w:pos="4153"/>
        <w:tab w:val="right" w:pos="8306"/>
      </w:tabs>
      <w:jc w:val="left"/>
    </w:pPr>
    <w:rPr>
      <w:rFonts w:ascii="Times New Roman" w:hAnsi="Times New Roman" w:eastAsia="宋体" w:cs="Times New Roman"/>
      <w:kern w:val="1"/>
      <w:sz w:val="18"/>
      <w:szCs w:val="18"/>
      <w:lang w:val="en-US" w:eastAsia="zh-CN" w:bidi="ar-SA"/>
    </w:rPr>
  </w:style>
  <w:style w:type="paragraph" w:styleId="18">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shd w:val="clear"/>
      <w:tabs>
        <w:tab w:val="center" w:pos="4153"/>
        <w:tab w:val="right" w:pos="8306"/>
      </w:tabs>
      <w:jc w:val="center"/>
    </w:pPr>
    <w:rPr>
      <w:rFonts w:ascii="Times New Roman" w:hAnsi="Times New Roman" w:eastAsia="宋体" w:cs="Times New Roman"/>
      <w:kern w:val="1"/>
      <w:sz w:val="18"/>
      <w:szCs w:val="18"/>
      <w:lang w:val="en-US" w:eastAsia="zh-CN" w:bidi="ar-SA"/>
    </w:rPr>
  </w:style>
  <w:style w:type="paragraph" w:styleId="19">
    <w:name w:val="toc 1"/>
    <w:next w:val="1"/>
    <w:qFormat/>
    <w:uiPriority w:val="0"/>
    <w:pPr>
      <w:widowControl/>
      <w:spacing w:after="100" w:line="276" w:lineRule="auto"/>
      <w:jc w:val="center"/>
    </w:pPr>
    <w:rPr>
      <w:rFonts w:ascii="Calibri" w:hAnsi="Calibri" w:eastAsia="宋体" w:cs="Times New Roman"/>
      <w:kern w:val="1"/>
      <w:sz w:val="22"/>
      <w:szCs w:val="22"/>
      <w:lang w:val="en-US" w:eastAsia="zh-CN" w:bidi="ar-SA"/>
    </w:rPr>
  </w:style>
  <w:style w:type="paragraph" w:styleId="20">
    <w:name w:val="footnote text"/>
    <w:qFormat/>
    <w:uiPriority w:val="0"/>
    <w:pPr>
      <w:widowControl w:val="0"/>
      <w:jc w:val="both"/>
    </w:pPr>
    <w:rPr>
      <w:rFonts w:ascii="Times New Roman" w:hAnsi="Times New Roman" w:eastAsia="宋体" w:cs="Times New Roman"/>
      <w:kern w:val="1"/>
      <w:sz w:val="20"/>
      <w:szCs w:val="20"/>
      <w:lang w:val="en-US" w:eastAsia="zh-CN" w:bidi="ar-SA"/>
    </w:rPr>
  </w:style>
  <w:style w:type="paragraph" w:styleId="21">
    <w:name w:val="toc 2"/>
    <w:next w:val="1"/>
    <w:qFormat/>
    <w:uiPriority w:val="0"/>
    <w:pPr>
      <w:widowControl/>
      <w:spacing w:after="100" w:line="276" w:lineRule="auto"/>
      <w:ind w:left="220"/>
      <w:jc w:val="left"/>
    </w:pPr>
    <w:rPr>
      <w:rFonts w:ascii="Calibri" w:hAnsi="Calibri" w:eastAsia="宋体" w:cs="Times New Roman"/>
      <w:kern w:val="1"/>
      <w:sz w:val="22"/>
      <w:szCs w:val="22"/>
      <w:lang w:val="en-US" w:eastAsia="zh-CN" w:bidi="ar-SA"/>
    </w:rPr>
  </w:style>
  <w:style w:type="paragraph" w:styleId="2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1"/>
      <w:sz w:val="24"/>
      <w:szCs w:val="24"/>
      <w:lang w:val="en-US" w:eastAsia="zh-CN" w:bidi="ar-SA"/>
    </w:rPr>
  </w:style>
  <w:style w:type="paragraph" w:customStyle="1" w:styleId="25">
    <w:name w:val="Default"/>
    <w:next w:val="1"/>
    <w:qFormat/>
    <w:uiPriority w:val="0"/>
    <w:pPr>
      <w:widowControl w:val="0"/>
      <w:jc w:val="left"/>
    </w:pPr>
    <w:rPr>
      <w:rFonts w:ascii="宋体" w:hAnsi="宋体" w:eastAsia="宋体" w:cs="宋体"/>
      <w:kern w:val="0"/>
      <w:sz w:val="24"/>
      <w:szCs w:val="24"/>
      <w:lang w:val="en-US" w:eastAsia="zh-CN" w:bidi="ar-SA"/>
    </w:rPr>
  </w:style>
  <w:style w:type="paragraph" w:customStyle="1" w:styleId="26">
    <w:name w:val="annotation text"/>
    <w:qFormat/>
    <w:uiPriority w:val="0"/>
    <w:pPr>
      <w:widowControl w:val="0"/>
      <w:jc w:val="left"/>
    </w:pPr>
    <w:rPr>
      <w:rFonts w:ascii="Times New Roman" w:hAnsi="Times New Roman" w:eastAsia="宋体" w:cs="Times New Roman"/>
      <w:kern w:val="1"/>
      <w:sz w:val="20"/>
      <w:szCs w:val="24"/>
      <w:lang w:val="en-US" w:eastAsia="zh-CN" w:bidi="ar-SA"/>
    </w:rPr>
  </w:style>
  <w:style w:type="paragraph" w:customStyle="1" w:styleId="27">
    <w:name w:val="*正文"/>
    <w:qFormat/>
    <w:uiPriority w:val="0"/>
    <w:pPr>
      <w:widowControl/>
      <w:ind w:firstLine="482"/>
      <w:jc w:val="both"/>
    </w:pPr>
    <w:rPr>
      <w:rFonts w:ascii="微软雅黑" w:hAnsi="微软雅黑" w:eastAsia="微软雅黑" w:cs="Times New Roman"/>
      <w:kern w:val="1"/>
      <w:sz w:val="21"/>
      <w:szCs w:val="32"/>
      <w:lang w:val="en-US" w:eastAsia="zh-CN" w:bidi="ar-SA"/>
    </w:rPr>
  </w:style>
  <w:style w:type="paragraph" w:customStyle="1" w:styleId="28">
    <w:name w:val="WPSOffice手动目录 1"/>
    <w:qFormat/>
    <w:uiPriority w:val="0"/>
    <w:pPr>
      <w:widowControl/>
      <w:jc w:val="left"/>
    </w:pPr>
    <w:rPr>
      <w:rFonts w:ascii="Times New Roman" w:hAnsi="Times New Roman" w:eastAsia="宋体" w:cs="Times New Roman"/>
      <w:kern w:val="0"/>
      <w:sz w:val="20"/>
      <w:szCs w:val="20"/>
      <w:lang w:val="en-US" w:eastAsia="zh-CN" w:bidi="ar-SA"/>
    </w:rPr>
  </w:style>
  <w:style w:type="paragraph" w:customStyle="1" w:styleId="29">
    <w:name w:val="正文_0"/>
    <w:qFormat/>
    <w:uiPriority w:val="0"/>
    <w:pPr>
      <w:widowControl w:val="0"/>
      <w:jc w:val="both"/>
    </w:pPr>
    <w:rPr>
      <w:rFonts w:ascii="Times New Roman" w:hAnsi="Times New Roman" w:eastAsia="宋体" w:cs="Times New Roman"/>
      <w:kern w:val="1"/>
      <w:sz w:val="21"/>
      <w:szCs w:val="24"/>
      <w:lang w:val="en-US" w:eastAsia="zh-CN" w:bidi="ar-SA"/>
    </w:rPr>
  </w:style>
  <w:style w:type="paragraph" w:customStyle="1" w:styleId="30">
    <w:name w:val="样式 标题 2 + Times New Roman 四号 非加粗 段前: 5 磅 段后: 0 磅 行距: 固定值 20..."/>
    <w:basedOn w:val="9"/>
    <w:qFormat/>
    <w:uiPriority w:val="0"/>
    <w:pPr>
      <w:numPr>
        <w:ilvl w:val="0"/>
        <w:numId w:val="0"/>
      </w:numPr>
      <w:spacing w:before="100" w:after="0" w:line="400" w:lineRule="exact"/>
      <w:ind w:left="0"/>
    </w:pPr>
    <w:rPr>
      <w:rFonts w:ascii="Times New Roman" w:hAnsi="Times New Roman" w:cs="宋体"/>
      <w:b w:val="0"/>
      <w:bCs w:val="0"/>
      <w:sz w:val="28"/>
      <w:szCs w:val="20"/>
    </w:rPr>
  </w:style>
  <w:style w:type="paragraph" w:customStyle="1" w:styleId="31">
    <w:name w:val="样式 标题 3 + (中文) 黑体 小四 非加粗 段前: 7.8 磅 段后: 0 磅 行距: 固定值 20 磅"/>
    <w:basedOn w:val="10"/>
    <w:qFormat/>
    <w:uiPriority w:val="0"/>
    <w:pPr>
      <w:numPr>
        <w:ilvl w:val="0"/>
        <w:numId w:val="0"/>
      </w:numPr>
      <w:spacing w:before="0" w:after="0" w:line="400" w:lineRule="exact"/>
      <w:ind w:left="0"/>
    </w:pPr>
    <w:rPr>
      <w:rFonts w:eastAsia="黑体" w:cs="宋体"/>
      <w:b w:val="0"/>
      <w:bCs w:val="0"/>
      <w:sz w:val="24"/>
      <w:szCs w:val="20"/>
    </w:rPr>
  </w:style>
  <w:style w:type="paragraph" w:customStyle="1" w:styleId="32">
    <w:name w:val="List Paragraph"/>
    <w:qFormat/>
    <w:uiPriority w:val="0"/>
    <w:pPr>
      <w:widowControl w:val="0"/>
      <w:ind w:firstLine="420"/>
      <w:jc w:val="both"/>
    </w:pPr>
    <w:rPr>
      <w:rFonts w:ascii="Calibri" w:hAnsi="Calibri" w:eastAsia="宋体" w:cs="Times New Roman"/>
      <w:kern w:val="1"/>
      <w:sz w:val="21"/>
      <w:szCs w:val="20"/>
      <w:lang w:val="en-US" w:eastAsia="zh-CN" w:bidi="ar-SA"/>
    </w:rPr>
  </w:style>
  <w:style w:type="paragraph" w:customStyle="1" w:styleId="33">
    <w:name w:val="Normal_51"/>
    <w:qFormat/>
    <w:uiPriority w:val="0"/>
    <w:pPr>
      <w:widowControl/>
      <w:spacing w:before="120" w:after="240"/>
      <w:jc w:val="both"/>
    </w:pPr>
    <w:rPr>
      <w:rFonts w:ascii="Times New Roman" w:hAnsi="Times New Roman" w:eastAsia="Calibri" w:cs="Times New Roman"/>
      <w:kern w:val="0"/>
      <w:sz w:val="22"/>
      <w:szCs w:val="22"/>
      <w:lang w:val="ru-RU" w:eastAsia="zh-CN" w:bidi="ar-SA"/>
    </w:rPr>
  </w:style>
  <w:style w:type="paragraph" w:customStyle="1" w:styleId="34">
    <w:name w:val="正文_5_0"/>
    <w:qFormat/>
    <w:uiPriority w:val="0"/>
    <w:pPr>
      <w:widowControl w:val="0"/>
      <w:jc w:val="both"/>
    </w:pPr>
    <w:rPr>
      <w:rFonts w:ascii="Calibri" w:hAnsi="Calibri" w:eastAsia="宋体" w:cs="Times New Roman"/>
      <w:kern w:val="1"/>
      <w:sz w:val="21"/>
      <w:szCs w:val="24"/>
      <w:lang w:val="en-US" w:eastAsia="zh-CN" w:bidi="ar-SA"/>
    </w:rPr>
  </w:style>
  <w:style w:type="paragraph" w:customStyle="1" w:styleId="35">
    <w:name w:val="正文1"/>
    <w:next w:val="8"/>
    <w:qFormat/>
    <w:uiPriority w:val="0"/>
    <w:pPr>
      <w:widowControl w:val="0"/>
      <w:spacing w:line="360" w:lineRule="atLeast"/>
      <w:jc w:val="left"/>
    </w:pPr>
    <w:rPr>
      <w:rFonts w:ascii="宋体" w:hAnsi="宋体" w:eastAsia="宋体" w:cs="Times New Roman"/>
      <w:kern w:val="1"/>
      <w:sz w:val="24"/>
      <w:szCs w:val="20"/>
      <w:lang w:val="en-US" w:eastAsia="zh-CN" w:bidi="ar-SA"/>
    </w:rPr>
  </w:style>
  <w:style w:type="paragraph" w:customStyle="1" w:styleId="36">
    <w:name w:val="style4"/>
    <w:basedOn w:val="8"/>
    <w:next w:val="9"/>
    <w:qFormat/>
    <w:uiPriority w:val="0"/>
    <w:pPr>
      <w:widowControl/>
      <w:spacing w:before="100" w:beforeAutospacing="1" w:after="100" w:afterAutospacing="1"/>
    </w:pPr>
    <w:rPr>
      <w:sz w:val="18"/>
    </w:rPr>
  </w:style>
  <w:style w:type="paragraph" w:customStyle="1" w:styleId="37">
    <w:name w:val="正文文本1"/>
    <w:next w:val="36"/>
    <w:qFormat/>
    <w:uiPriority w:val="0"/>
    <w:pPr>
      <w:widowControl w:val="0"/>
      <w:spacing w:after="120"/>
      <w:jc w:val="both"/>
    </w:pPr>
    <w:rPr>
      <w:rFonts w:ascii="Times New Roman" w:hAnsi="Times New Roman" w:eastAsia="宋体" w:cs="Times New Roman"/>
      <w:kern w:val="1"/>
      <w:sz w:val="20"/>
      <w:szCs w:val="24"/>
      <w:lang w:val="en-US" w:eastAsia="zh-CN" w:bidi="ar-SA"/>
    </w:rPr>
  </w:style>
  <w:style w:type="paragraph" w:customStyle="1" w:styleId="38">
    <w:name w:val="2"/>
    <w:qFormat/>
    <w:uiPriority w:val="0"/>
    <w:pPr>
      <w:widowControl w:val="0"/>
      <w:jc w:val="both"/>
    </w:pPr>
    <w:rPr>
      <w:rFonts w:ascii="Times New Roman" w:hAnsi="Times New Roman" w:eastAsia="宋体" w:cs="Times New Roman"/>
      <w:kern w:val="0"/>
      <w:sz w:val="21"/>
      <w:szCs w:val="20"/>
      <w:lang w:val="en-US" w:eastAsia="zh-CN" w:bidi="ar-SA"/>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宋体"/>
        <a:cs typeface="Times New Roman"/>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3075" textRotate="1"/>
    <customShpInfo spid="_x0000_s307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21598</Words>
  <Characters>22795</Characters>
  <Lines>0</Lines>
  <Paragraphs>0</Paragraphs>
  <TotalTime>22</TotalTime>
  <ScaleCrop>false</ScaleCrop>
  <LinksUpToDate>false</LinksUpToDate>
  <CharactersWithSpaces>25184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2023-05-05T01:39:00Z</dcterms:created>
  <dc:creator>蓝天</dc:creator>
  <cp:lastModifiedBy>NTKO</cp:lastModifiedBy>
  <cp:lastPrinted>2023-06-27T00:11:00Z</cp:lastPrinted>
  <dcterms:modified xsi:type="dcterms:W3CDTF">2023-09-28T02:00:41Z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3F1B72297D8345D4B623C9363A47B6B3_12</vt:lpwstr>
  </property>
</Properties>
</file>