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F064">
      <w:pPr>
        <w:spacing w:before="156" w:beforeLines="50" w:after="156" w:afterLines="50" w:line="160" w:lineRule="atLeast"/>
        <w:jc w:val="center"/>
        <w:rPr>
          <w:rFonts w:hint="eastAsia"/>
          <w:b/>
          <w:bCs/>
          <w:sz w:val="40"/>
          <w:szCs w:val="48"/>
          <w:lang w:val="en-US" w:eastAsia="zh-CN"/>
        </w:rPr>
      </w:pPr>
      <w:r>
        <w:rPr>
          <w:rFonts w:hint="eastAsia"/>
          <w:b/>
          <w:bCs/>
          <w:sz w:val="40"/>
          <w:szCs w:val="48"/>
          <w:lang w:val="en-US" w:eastAsia="zh-CN"/>
        </w:rPr>
        <w:t>新县住房和城乡建设局新县城市体检和城市</w:t>
      </w:r>
    </w:p>
    <w:p w14:paraId="700C1AE8">
      <w:pPr>
        <w:spacing w:before="156" w:beforeLines="50" w:after="156" w:afterLines="50" w:line="160" w:lineRule="atLeast"/>
        <w:jc w:val="center"/>
        <w:rPr>
          <w:rFonts w:hint="eastAsia"/>
          <w:b/>
          <w:bCs/>
          <w:sz w:val="40"/>
          <w:szCs w:val="48"/>
          <w:lang w:val="en-US" w:eastAsia="zh-CN"/>
        </w:rPr>
      </w:pPr>
      <w:r>
        <w:rPr>
          <w:rFonts w:hint="eastAsia"/>
          <w:b/>
          <w:bCs/>
          <w:sz w:val="40"/>
          <w:szCs w:val="48"/>
          <w:lang w:val="en-US" w:eastAsia="zh-CN"/>
        </w:rPr>
        <w:t>更新规划（2025-2035年）项目</w:t>
      </w:r>
    </w:p>
    <w:p w14:paraId="7023235F">
      <w:pPr>
        <w:pStyle w:val="5"/>
        <w:rPr>
          <w:rFonts w:hint="eastAsia"/>
          <w:lang w:val="en-US" w:eastAsia="zh-CN"/>
        </w:rPr>
      </w:pPr>
    </w:p>
    <w:p w14:paraId="31BAF2F6">
      <w:pPr>
        <w:spacing w:before="156" w:beforeLines="50" w:after="156" w:afterLines="50" w:line="160" w:lineRule="atLeast"/>
        <w:jc w:val="center"/>
        <w:rPr>
          <w:rFonts w:hint="eastAsia" w:ascii="华文楷体" w:hAnsi="华文楷体" w:eastAsia="华文楷体"/>
          <w:b/>
          <w:spacing w:val="20"/>
          <w:sz w:val="72"/>
          <w:szCs w:val="72"/>
        </w:rPr>
      </w:pPr>
      <w:r>
        <w:rPr>
          <w:rFonts w:hint="eastAsia" w:ascii="华文楷体" w:hAnsi="华文楷体" w:eastAsia="华文楷体"/>
          <w:b/>
          <w:spacing w:val="20"/>
          <w:sz w:val="72"/>
          <w:szCs w:val="72"/>
        </w:rPr>
        <w:t>竞争性磋商文件</w:t>
      </w:r>
    </w:p>
    <w:p w14:paraId="063F86E7">
      <w:pPr>
        <w:spacing w:before="156" w:beforeLines="50" w:after="156" w:afterLines="50" w:line="160" w:lineRule="atLeast"/>
        <w:jc w:val="center"/>
        <w:rPr>
          <w:rFonts w:hint="default" w:ascii="华文楷体" w:hAnsi="华文楷体" w:eastAsia="华文楷体"/>
          <w:b/>
          <w:color w:val="000000"/>
          <w:sz w:val="28"/>
          <w:szCs w:val="28"/>
          <w:lang w:val="en-US"/>
        </w:rPr>
      </w:pPr>
      <w:r>
        <w:rPr>
          <w:rFonts w:hint="eastAsia" w:ascii="华文楷体" w:hAnsi="华文楷体" w:eastAsia="华文楷体"/>
          <w:b/>
          <w:color w:val="000000"/>
          <w:sz w:val="28"/>
          <w:szCs w:val="28"/>
        </w:rPr>
        <w:t>采购编号：</w:t>
      </w:r>
      <w:r>
        <w:rPr>
          <w:rFonts w:hint="eastAsia" w:ascii="华文楷体" w:hAnsi="华文楷体" w:eastAsia="华文楷体" w:cs="Times New Roman"/>
          <w:b/>
          <w:color w:val="000000"/>
          <w:sz w:val="28"/>
          <w:szCs w:val="28"/>
          <w:lang w:val="en-US" w:eastAsia="zh-CN"/>
        </w:rPr>
        <w:t>新财磋商采购-2026-11</w:t>
      </w:r>
    </w:p>
    <w:p w14:paraId="5C2D0CE7">
      <w:pPr>
        <w:spacing w:before="156" w:beforeLines="50" w:after="156" w:afterLines="50" w:line="160" w:lineRule="atLeast"/>
        <w:jc w:val="center"/>
        <w:rPr>
          <w:rFonts w:hint="eastAsia" w:ascii="华文楷体" w:hAnsi="华文楷体" w:eastAsia="华文楷体" w:cs="宋体"/>
          <w:b/>
          <w:sz w:val="32"/>
          <w:szCs w:val="32"/>
          <w:highlight w:val="yellow"/>
        </w:rPr>
      </w:pPr>
    </w:p>
    <w:p w14:paraId="26497703">
      <w:pPr>
        <w:spacing w:line="360" w:lineRule="auto"/>
        <w:jc w:val="center"/>
        <w:rPr>
          <w:rFonts w:hint="eastAsia" w:ascii="华文楷体" w:hAnsi="华文楷体" w:eastAsia="华文楷体"/>
          <w:b/>
        </w:rPr>
      </w:pPr>
      <w:r>
        <w:rPr>
          <w:rFonts w:hint="eastAsia" w:ascii="Times New Roman" w:hAnsi="Times New Roman" w:eastAsia="宋体" w:cs="Times New Roman"/>
          <w:kern w:val="2"/>
          <w:sz w:val="32"/>
          <w:szCs w:val="32"/>
          <w:lang w:val="en-US" w:eastAsia="zh-CN" w:bidi="ar-SA"/>
        </w:rPr>
        <w:drawing>
          <wp:inline distT="0" distB="0" distL="114300" distR="114300">
            <wp:extent cx="2296160" cy="2296160"/>
            <wp:effectExtent l="0" t="0" r="8890" b="8890"/>
            <wp:docPr id="1" name="图片 1" descr="建业招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业招标"/>
                    <pic:cNvPicPr>
                      <a:picLocks noChangeAspect="1"/>
                    </pic:cNvPicPr>
                  </pic:nvPicPr>
                  <pic:blipFill>
                    <a:blip r:embed="rId18">
                      <a:lum/>
                    </a:blip>
                    <a:stretch>
                      <a:fillRect/>
                    </a:stretch>
                  </pic:blipFill>
                  <pic:spPr>
                    <a:xfrm>
                      <a:off x="0" y="0"/>
                      <a:ext cx="2296160" cy="2296160"/>
                    </a:xfrm>
                    <a:prstGeom prst="rect">
                      <a:avLst/>
                    </a:prstGeom>
                    <a:noFill/>
                    <a:ln>
                      <a:noFill/>
                    </a:ln>
                  </pic:spPr>
                </pic:pic>
              </a:graphicData>
            </a:graphic>
          </wp:inline>
        </w:drawing>
      </w:r>
    </w:p>
    <w:p w14:paraId="0520C206">
      <w:pPr>
        <w:pStyle w:val="5"/>
        <w:ind w:left="0" w:leftChars="0" w:firstLine="0" w:firstLineChars="0"/>
        <w:rPr>
          <w:rFonts w:hint="eastAsia"/>
        </w:rPr>
      </w:pPr>
    </w:p>
    <w:p w14:paraId="6E1C4FF8">
      <w:pPr>
        <w:pStyle w:val="5"/>
        <w:rPr>
          <w:rFonts w:hint="eastAsia" w:ascii="华文楷体" w:hAnsi="华文楷体" w:eastAsia="华文楷体"/>
        </w:rPr>
      </w:pPr>
    </w:p>
    <w:p w14:paraId="32CDDA08">
      <w:pPr>
        <w:pStyle w:val="9"/>
        <w:ind w:firstLine="2249" w:firstLineChars="800"/>
        <w:jc w:val="left"/>
        <w:rPr>
          <w:rFonts w:hint="default" w:ascii="新宋体" w:eastAsia="新宋体" w:cs="宋体"/>
          <w:b/>
          <w:bCs w:val="0"/>
          <w:sz w:val="28"/>
          <w:szCs w:val="22"/>
          <w:lang w:val="en-US" w:eastAsia="zh-CN" w:bidi="zh-CN"/>
        </w:rPr>
      </w:pPr>
      <w:bookmarkStart w:id="0" w:name="_Toc9329"/>
      <w:r>
        <w:rPr>
          <w:rFonts w:hint="eastAsia" w:ascii="新宋体" w:hAnsi="宋体" w:eastAsia="新宋体" w:cs="宋体"/>
          <w:b/>
          <w:bCs w:val="0"/>
          <w:sz w:val="28"/>
          <w:szCs w:val="22"/>
          <w:lang w:val="zh-CN" w:eastAsia="zh-CN" w:bidi="zh-CN"/>
        </w:rPr>
        <w:t>采</w:t>
      </w:r>
      <w:r>
        <w:rPr>
          <w:rFonts w:hint="eastAsia" w:ascii="新宋体" w:eastAsia="新宋体" w:cs="宋体"/>
          <w:b/>
          <w:bCs w:val="0"/>
          <w:sz w:val="28"/>
          <w:szCs w:val="22"/>
          <w:lang w:val="en-US" w:eastAsia="zh-CN" w:bidi="zh-CN"/>
        </w:rPr>
        <w:t xml:space="preserve"> </w:t>
      </w:r>
      <w:r>
        <w:rPr>
          <w:rFonts w:hint="eastAsia" w:ascii="新宋体" w:hAnsi="宋体" w:eastAsia="新宋体" w:cs="宋体"/>
          <w:b/>
          <w:bCs w:val="0"/>
          <w:sz w:val="28"/>
          <w:szCs w:val="22"/>
          <w:lang w:val="zh-CN" w:eastAsia="zh-CN" w:bidi="zh-CN"/>
        </w:rPr>
        <w:t>购</w:t>
      </w:r>
      <w:r>
        <w:rPr>
          <w:rFonts w:hint="eastAsia" w:ascii="新宋体" w:eastAsia="新宋体" w:cs="宋体"/>
          <w:b/>
          <w:bCs w:val="0"/>
          <w:sz w:val="28"/>
          <w:szCs w:val="22"/>
          <w:lang w:val="en-US" w:eastAsia="zh-CN" w:bidi="zh-CN"/>
        </w:rPr>
        <w:t xml:space="preserve"> </w:t>
      </w:r>
      <w:r>
        <w:rPr>
          <w:rFonts w:hint="eastAsia" w:ascii="新宋体" w:hAnsi="宋体" w:eastAsia="新宋体" w:cs="宋体"/>
          <w:b/>
          <w:bCs w:val="0"/>
          <w:sz w:val="28"/>
          <w:szCs w:val="22"/>
          <w:lang w:val="zh-CN" w:eastAsia="zh-CN" w:bidi="zh-CN"/>
        </w:rPr>
        <w:t>人：</w:t>
      </w:r>
      <w:r>
        <w:rPr>
          <w:rFonts w:hint="eastAsia" w:ascii="新宋体" w:eastAsia="新宋体" w:cs="宋体"/>
          <w:b/>
          <w:bCs w:val="0"/>
          <w:sz w:val="28"/>
          <w:szCs w:val="22"/>
          <w:lang w:val="en-US" w:eastAsia="zh-CN" w:bidi="zh-CN"/>
        </w:rPr>
        <w:t>新县住房和城乡建设局</w:t>
      </w:r>
      <w:bookmarkEnd w:id="0"/>
    </w:p>
    <w:p w14:paraId="790054A2">
      <w:pPr>
        <w:rPr>
          <w:rFonts w:hint="eastAsia"/>
          <w:lang w:val="zh-CN" w:eastAsia="zh-CN"/>
        </w:rPr>
      </w:pPr>
    </w:p>
    <w:p w14:paraId="4BB8BCED">
      <w:pPr>
        <w:tabs>
          <w:tab w:val="left" w:pos="3483"/>
        </w:tabs>
        <w:spacing w:before="1" w:line="417" w:lineRule="auto"/>
        <w:ind w:right="490" w:rightChars="0" w:firstLine="2249" w:firstLineChars="800"/>
        <w:jc w:val="left"/>
        <w:rPr>
          <w:rFonts w:hint="eastAsia" w:ascii="新宋体" w:eastAsia="新宋体" w:cs="宋体"/>
          <w:b/>
          <w:bCs w:val="0"/>
          <w:sz w:val="28"/>
          <w:szCs w:val="22"/>
          <w:lang w:val="en-US" w:eastAsia="zh-CN" w:bidi="zh-CN"/>
        </w:rPr>
      </w:pPr>
      <w:r>
        <w:rPr>
          <w:rFonts w:hint="eastAsia" w:ascii="新宋体" w:hAnsi="宋体" w:eastAsia="新宋体" w:cs="宋体"/>
          <w:b/>
          <w:bCs w:val="0"/>
          <w:sz w:val="28"/>
          <w:szCs w:val="22"/>
          <w:lang w:val="zh-CN" w:eastAsia="zh-CN" w:bidi="zh-CN"/>
        </w:rPr>
        <w:t>代理机构：</w:t>
      </w:r>
      <w:r>
        <w:rPr>
          <w:rFonts w:hint="eastAsia" w:ascii="新宋体" w:eastAsia="新宋体" w:cs="宋体"/>
          <w:b/>
          <w:bCs w:val="0"/>
          <w:sz w:val="28"/>
          <w:szCs w:val="22"/>
          <w:lang w:val="en-US" w:eastAsia="zh-CN" w:bidi="zh-CN"/>
        </w:rPr>
        <w:t>新县建业造价师事务所有限责任公司</w:t>
      </w:r>
    </w:p>
    <w:p w14:paraId="6C2FE51E">
      <w:pPr>
        <w:pStyle w:val="2"/>
        <w:rPr>
          <w:rFonts w:hint="default"/>
          <w:lang w:val="en-US" w:eastAsia="zh-CN"/>
        </w:rPr>
      </w:pPr>
    </w:p>
    <w:p w14:paraId="151D3A2B">
      <w:pPr>
        <w:tabs>
          <w:tab w:val="left" w:pos="3483"/>
        </w:tabs>
        <w:spacing w:before="1" w:line="417" w:lineRule="auto"/>
        <w:ind w:right="2524" w:firstLine="2249" w:firstLineChars="800"/>
        <w:jc w:val="left"/>
        <w:rPr>
          <w:rFonts w:ascii="新宋体" w:eastAsia="新宋体"/>
          <w:b/>
          <w:sz w:val="28"/>
        </w:rPr>
        <w:sectPr>
          <w:footerReference r:id="rId5" w:type="first"/>
          <w:headerReference r:id="rId3" w:type="default"/>
          <w:footerReference r:id="rId4" w:type="default"/>
          <w:type w:val="continuous"/>
          <w:pgSz w:w="11910" w:h="16840"/>
          <w:pgMar w:top="1580" w:right="840" w:bottom="280" w:left="1120" w:header="720" w:footer="720" w:gutter="0"/>
          <w:cols w:space="720" w:num="1"/>
        </w:sectPr>
      </w:pPr>
      <w:r>
        <w:rPr>
          <w:rFonts w:hint="eastAsia" w:ascii="新宋体" w:hAnsi="宋体" w:eastAsia="新宋体" w:cs="宋体"/>
          <w:b/>
          <w:bCs w:val="0"/>
          <w:sz w:val="28"/>
          <w:szCs w:val="22"/>
          <w:lang w:val="zh-CN" w:eastAsia="zh-CN" w:bidi="zh-CN"/>
        </w:rPr>
        <w:t>日</w:t>
      </w:r>
      <w:r>
        <w:rPr>
          <w:rFonts w:hint="eastAsia" w:ascii="新宋体" w:eastAsia="新宋体" w:cs="宋体"/>
          <w:b/>
          <w:bCs w:val="0"/>
          <w:sz w:val="28"/>
          <w:szCs w:val="22"/>
          <w:lang w:val="en-US" w:eastAsia="zh-CN" w:bidi="zh-CN"/>
        </w:rPr>
        <w:t xml:space="preserve">    </w:t>
      </w:r>
      <w:r>
        <w:rPr>
          <w:rFonts w:hint="eastAsia" w:ascii="新宋体" w:hAnsi="宋体" w:eastAsia="新宋体" w:cs="宋体"/>
          <w:b/>
          <w:bCs w:val="0"/>
          <w:sz w:val="28"/>
          <w:szCs w:val="22"/>
          <w:lang w:val="zh-CN" w:eastAsia="zh-CN" w:bidi="zh-CN"/>
        </w:rPr>
        <w:t>期：</w:t>
      </w:r>
      <w:r>
        <w:rPr>
          <w:rFonts w:hint="eastAsia" w:ascii="新宋体" w:eastAsia="新宋体" w:cs="宋体"/>
          <w:b/>
          <w:bCs w:val="0"/>
          <w:sz w:val="28"/>
          <w:szCs w:val="22"/>
          <w:lang w:val="en-US" w:eastAsia="zh-CN" w:bidi="zh-CN"/>
        </w:rPr>
        <w:t xml:space="preserve">  2026 年 02 月</w:t>
      </w:r>
    </w:p>
    <w:p w14:paraId="3CC4541E">
      <w:pPr>
        <w:spacing w:line="795" w:lineRule="exact"/>
        <w:jc w:val="center"/>
        <w:rPr>
          <w:rFonts w:ascii="微软雅黑" w:eastAsia="微软雅黑"/>
          <w:sz w:val="44"/>
        </w:rPr>
      </w:pPr>
      <w:r>
        <w:rPr>
          <w:rFonts w:hint="eastAsia" w:ascii="微软雅黑" w:eastAsia="微软雅黑"/>
          <w:sz w:val="44"/>
        </w:rPr>
        <w:t>特别提示</w:t>
      </w:r>
    </w:p>
    <w:p w14:paraId="0D8E34E4">
      <w:pPr>
        <w:pStyle w:val="11"/>
        <w:spacing w:before="144"/>
        <w:rPr>
          <w:rFonts w:ascii="微软雅黑" w:eastAsia="微软雅黑"/>
        </w:rPr>
      </w:pPr>
      <w:r>
        <w:rPr>
          <w:rFonts w:hint="eastAsia" w:ascii="微软雅黑" w:eastAsia="微软雅黑"/>
          <w:u w:val="double"/>
        </w:rPr>
        <w:t>一、投标人（供应商）注册</w:t>
      </w:r>
    </w:p>
    <w:p w14:paraId="63D2C96B">
      <w:pPr>
        <w:pStyle w:val="3"/>
        <w:spacing w:before="59" w:line="271" w:lineRule="auto"/>
        <w:ind w:left="680" w:right="662" w:firstLine="480"/>
        <w:jc w:val="both"/>
        <w:rPr>
          <w:rFonts w:ascii="微软雅黑" w:hAnsi="微软雅黑" w:eastAsia="微软雅黑"/>
        </w:rPr>
      </w:pPr>
      <w:r>
        <w:rPr>
          <w:rFonts w:hint="eastAsia" w:ascii="微软雅黑" w:hAnsi="微软雅黑" w:eastAsia="微软雅黑"/>
          <w:spacing w:val="-1"/>
        </w:rPr>
        <w:t>凡有意参加本项目的投标人</w:t>
      </w:r>
      <w:r>
        <w:rPr>
          <w:rFonts w:hint="eastAsia" w:ascii="微软雅黑" w:hAnsi="微软雅黑" w:eastAsia="微软雅黑"/>
        </w:rPr>
        <w:t>（供应商</w:t>
      </w:r>
      <w:r>
        <w:rPr>
          <w:rFonts w:hint="eastAsia" w:ascii="微软雅黑" w:hAnsi="微软雅黑" w:eastAsia="微软雅黑"/>
          <w:spacing w:val="-9"/>
        </w:rPr>
        <w:t>）</w:t>
      </w:r>
      <w:r>
        <w:rPr>
          <w:rFonts w:hint="eastAsia" w:ascii="微软雅黑" w:hAnsi="微软雅黑" w:eastAsia="微软雅黑"/>
          <w:spacing w:val="-6"/>
        </w:rPr>
        <w:t>，请登陆“全国公共资源交易中心</w:t>
      </w:r>
      <w:r>
        <w:rPr>
          <w:rFonts w:hint="eastAsia" w:ascii="微软雅黑" w:hAnsi="微软雅黑" w:eastAsia="微软雅黑"/>
        </w:rPr>
        <w:t>（河</w:t>
      </w:r>
      <w:r>
        <w:rPr>
          <w:rFonts w:hint="eastAsia" w:ascii="微软雅黑" w:hAnsi="微软雅黑" w:eastAsia="微软雅黑"/>
          <w:spacing w:val="2"/>
        </w:rPr>
        <w:t>南省</w:t>
      </w:r>
      <w:r>
        <w:rPr>
          <w:rFonts w:hint="eastAsia" w:ascii="微软雅黑" w:hAnsi="微软雅黑" w:eastAsia="微软雅黑"/>
          <w:b/>
        </w:rPr>
        <w:t>·</w:t>
      </w:r>
      <w:r>
        <w:rPr>
          <w:rFonts w:hint="eastAsia" w:ascii="微软雅黑" w:hAnsi="微软雅黑" w:eastAsia="微软雅黑"/>
          <w:b/>
          <w:spacing w:val="2"/>
        </w:rPr>
        <w:t>信阳市</w:t>
      </w:r>
      <w:r>
        <w:rPr>
          <w:rFonts w:hint="eastAsia" w:ascii="微软雅黑" w:hAnsi="微软雅黑" w:eastAsia="微软雅黑"/>
        </w:rPr>
        <w:t>）（</w:t>
      </w:r>
      <w:r>
        <w:fldChar w:fldCharType="begin"/>
      </w:r>
      <w:r>
        <w:instrText xml:space="preserve"> HYPERLINK "http://www.xyggzyjy.cn/" \h </w:instrText>
      </w:r>
      <w:r>
        <w:fldChar w:fldCharType="separate"/>
      </w:r>
      <w:r>
        <w:rPr>
          <w:rFonts w:hint="eastAsia" w:ascii="微软雅黑" w:hAnsi="微软雅黑" w:eastAsia="微软雅黑"/>
        </w:rPr>
        <w:t>https://ggzyjy.xinyang.gov.cn/</w:t>
      </w:r>
      <w:r>
        <w:rPr>
          <w:rFonts w:hint="eastAsia" w:ascii="微软雅黑" w:hAnsi="微软雅黑" w:eastAsia="微软雅黑"/>
        </w:rPr>
        <w:fldChar w:fldCharType="end"/>
      </w:r>
      <w:r>
        <w:rPr>
          <w:rFonts w:hint="eastAsia" w:ascii="微软雅黑" w:hAnsi="微软雅黑" w:eastAsia="微软雅黑"/>
        </w:rPr>
        <w:t>）”网站进行交易主体自主注册，按网站公告</w:t>
      </w:r>
      <w:r>
        <w:rPr>
          <w:rFonts w:hint="eastAsia" w:ascii="微软雅黑" w:hAnsi="微软雅黑" w:eastAsia="微软雅黑"/>
          <w:spacing w:val="-3"/>
        </w:rPr>
        <w:t>通知有关要求填报企业信息并上传有关原件扫描件至诚信库，不需携带原件到信阳</w:t>
      </w:r>
      <w:r>
        <w:rPr>
          <w:rFonts w:hint="eastAsia" w:ascii="微软雅黑" w:hAnsi="微软雅黑" w:eastAsia="微软雅黑"/>
          <w:spacing w:val="-2"/>
        </w:rPr>
        <w:t>市公共资源交易中心进行审核。投标人</w:t>
      </w:r>
      <w:r>
        <w:rPr>
          <w:rFonts w:hint="eastAsia" w:ascii="微软雅黑" w:hAnsi="微软雅黑" w:eastAsia="微软雅黑"/>
        </w:rPr>
        <w:t>（供应商</w:t>
      </w:r>
      <w:r>
        <w:rPr>
          <w:rFonts w:hint="eastAsia" w:ascii="微软雅黑" w:hAnsi="微软雅黑" w:eastAsia="微软雅黑"/>
          <w:spacing w:val="-10"/>
        </w:rPr>
        <w:t>）</w:t>
      </w:r>
      <w:r>
        <w:rPr>
          <w:rFonts w:hint="eastAsia" w:ascii="微软雅黑" w:hAnsi="微软雅黑" w:eastAsia="微软雅黑"/>
          <w:spacing w:val="-2"/>
        </w:rPr>
        <w:t>应对所上传材料的真实性、合法</w:t>
      </w:r>
      <w:r>
        <w:rPr>
          <w:rFonts w:hint="eastAsia" w:ascii="微软雅黑" w:hAnsi="微软雅黑" w:eastAsia="微软雅黑"/>
        </w:rPr>
        <w:t>性、有效性负责，其上传的信息将全部对外公示，接受社会监督。</w:t>
      </w:r>
    </w:p>
    <w:p w14:paraId="62DC0E3B">
      <w:pPr>
        <w:pStyle w:val="11"/>
        <w:spacing w:line="441" w:lineRule="exact"/>
        <w:jc w:val="both"/>
        <w:rPr>
          <w:rFonts w:ascii="微软雅黑" w:eastAsia="微软雅黑"/>
        </w:rPr>
      </w:pPr>
      <w:r>
        <w:rPr>
          <w:rFonts w:hint="eastAsia" w:ascii="微软雅黑" w:eastAsia="微软雅黑"/>
          <w:u w:val="double"/>
        </w:rPr>
        <w:t>二、办理 CA 数字证书</w:t>
      </w:r>
    </w:p>
    <w:p w14:paraId="2BCA3A65">
      <w:pPr>
        <w:pStyle w:val="3"/>
        <w:spacing w:before="59" w:line="271" w:lineRule="auto"/>
        <w:ind w:left="680" w:right="666" w:firstLine="480"/>
        <w:jc w:val="both"/>
        <w:rPr>
          <w:rFonts w:ascii="微软雅黑" w:eastAsia="微软雅黑"/>
        </w:rPr>
      </w:pPr>
      <w:r>
        <w:rPr>
          <w:rFonts w:hint="eastAsia" w:ascii="微软雅黑" w:eastAsia="微软雅黑"/>
          <w:spacing w:val="-3"/>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4DF73FE3">
      <w:pPr>
        <w:pStyle w:val="11"/>
        <w:spacing w:line="442" w:lineRule="exact"/>
        <w:rPr>
          <w:rFonts w:ascii="微软雅黑" w:eastAsia="微软雅黑"/>
        </w:rPr>
      </w:pPr>
      <w:r>
        <w:rPr>
          <w:rFonts w:hint="eastAsia" w:ascii="微软雅黑" w:eastAsia="微软雅黑"/>
          <w:u w:val="double"/>
        </w:rPr>
        <w:t>三、招标（采购）文件获取方式</w:t>
      </w:r>
    </w:p>
    <w:p w14:paraId="3A4B4E19">
      <w:pPr>
        <w:pStyle w:val="3"/>
        <w:spacing w:before="57" w:line="271" w:lineRule="auto"/>
        <w:ind w:left="680" w:right="662" w:firstLine="480"/>
        <w:jc w:val="both"/>
        <w:rPr>
          <w:rFonts w:ascii="微软雅黑" w:hAnsi="微软雅黑" w:eastAsia="微软雅黑"/>
        </w:rPr>
      </w:pPr>
      <w:r>
        <w:rPr>
          <w:rFonts w:hint="eastAsia" w:ascii="微软雅黑" w:hAnsi="微软雅黑" w:eastAsia="微软雅黑"/>
          <w:spacing w:val="-2"/>
        </w:rPr>
        <w:t>投标人</w:t>
      </w:r>
      <w:r>
        <w:rPr>
          <w:rFonts w:hint="eastAsia" w:ascii="微软雅黑" w:hAnsi="微软雅黑" w:eastAsia="微软雅黑"/>
        </w:rPr>
        <w:t>（供应商</w:t>
      </w:r>
      <w:r>
        <w:rPr>
          <w:rFonts w:hint="eastAsia" w:ascii="微软雅黑" w:hAnsi="微软雅黑" w:eastAsia="微软雅黑"/>
          <w:spacing w:val="-5"/>
        </w:rPr>
        <w:t>）</w:t>
      </w:r>
      <w:r>
        <w:rPr>
          <w:rFonts w:hint="eastAsia" w:ascii="微软雅黑" w:hAnsi="微软雅黑" w:eastAsia="微软雅黑"/>
          <w:spacing w:val="-6"/>
        </w:rPr>
        <w:t xml:space="preserve">凭 </w:t>
      </w:r>
      <w:r>
        <w:rPr>
          <w:rFonts w:hint="eastAsia" w:ascii="微软雅黑" w:hAnsi="微软雅黑" w:eastAsia="微软雅黑"/>
        </w:rPr>
        <w:t>CA</w:t>
      </w:r>
      <w:r>
        <w:rPr>
          <w:rFonts w:hint="eastAsia" w:ascii="微软雅黑" w:hAnsi="微软雅黑" w:eastAsia="微软雅黑"/>
          <w:spacing w:val="-5"/>
        </w:rPr>
        <w:t xml:space="preserve"> 数字证书登陆会员系统后，即可按网上提示免费下载</w:t>
      </w:r>
      <w:r>
        <w:rPr>
          <w:rFonts w:hint="eastAsia" w:ascii="微软雅黑" w:hAnsi="微软雅黑" w:eastAsia="微软雅黑"/>
          <w:spacing w:val="-8"/>
        </w:rPr>
        <w:t>招标</w:t>
      </w:r>
      <w:r>
        <w:rPr>
          <w:rFonts w:hint="eastAsia" w:ascii="微软雅黑" w:hAnsi="微软雅黑" w:eastAsia="微软雅黑"/>
        </w:rPr>
        <w:t>（采购</w:t>
      </w:r>
      <w:r>
        <w:rPr>
          <w:rFonts w:hint="eastAsia" w:ascii="微软雅黑" w:hAnsi="微软雅黑" w:eastAsia="微软雅黑"/>
          <w:spacing w:val="-17"/>
        </w:rPr>
        <w:t>）</w:t>
      </w:r>
      <w:r>
        <w:rPr>
          <w:rFonts w:hint="eastAsia" w:ascii="微软雅黑" w:hAnsi="微软雅黑" w:eastAsia="微软雅黑"/>
          <w:spacing w:val="-3"/>
        </w:rPr>
        <w:t>文件及资料</w:t>
      </w:r>
      <w:r>
        <w:rPr>
          <w:rFonts w:hint="eastAsia" w:ascii="微软雅黑" w:hAnsi="微软雅黑" w:eastAsia="微软雅黑"/>
        </w:rPr>
        <w:t>（操作程序详见信阳市公共资源交易中心网站下载中心栏</w:t>
      </w:r>
      <w:r>
        <w:rPr>
          <w:rFonts w:hint="eastAsia" w:ascii="微软雅黑" w:hAnsi="微软雅黑" w:eastAsia="微软雅黑"/>
          <w:spacing w:val="-1"/>
        </w:rPr>
        <w:t>目里投标人操作手册</w:t>
      </w:r>
      <w:r>
        <w:rPr>
          <w:rFonts w:hint="eastAsia" w:ascii="微软雅黑" w:hAnsi="微软雅黑" w:eastAsia="微软雅黑"/>
          <w:spacing w:val="-15"/>
        </w:rPr>
        <w:t>）</w:t>
      </w:r>
      <w:r>
        <w:rPr>
          <w:rFonts w:hint="eastAsia" w:ascii="微软雅黑" w:hAnsi="微软雅黑" w:eastAsia="微软雅黑"/>
          <w:spacing w:val="-4"/>
        </w:rPr>
        <w:t>。招标文件(</w:t>
      </w:r>
      <w:r>
        <w:rPr>
          <w:rFonts w:hint="eastAsia" w:ascii="微软雅黑" w:hAnsi="微软雅黑" w:eastAsia="微软雅黑"/>
        </w:rPr>
        <w:t>*.XYZF</w:t>
      </w:r>
      <w:r>
        <w:rPr>
          <w:rFonts w:hint="eastAsia" w:ascii="微软雅黑" w:hAnsi="微软雅黑" w:eastAsia="微软雅黑"/>
          <w:spacing w:val="-6"/>
        </w:rPr>
        <w:t xml:space="preserve"> 格式)下载后需使用“信阳市投标文件制</w:t>
      </w:r>
      <w:r>
        <w:rPr>
          <w:rFonts w:hint="eastAsia" w:ascii="微软雅黑" w:hAnsi="微软雅黑" w:eastAsia="微软雅黑"/>
        </w:rPr>
        <w:t>作工具软件”打开（该工具软件可在“全国公共资源交易中心（河南省</w:t>
      </w:r>
      <w:r>
        <w:rPr>
          <w:rFonts w:hint="eastAsia" w:ascii="微软雅黑" w:hAnsi="微软雅黑" w:eastAsia="微软雅黑"/>
          <w:b/>
        </w:rPr>
        <w:t>·信阳市</w:t>
      </w:r>
      <w:r>
        <w:rPr>
          <w:rFonts w:hint="eastAsia" w:ascii="微软雅黑" w:hAnsi="微软雅黑" w:eastAsia="微软雅黑"/>
        </w:rPr>
        <w:t>）</w:t>
      </w:r>
    </w:p>
    <w:p w14:paraId="38904317">
      <w:pPr>
        <w:pStyle w:val="3"/>
        <w:spacing w:before="2"/>
        <w:ind w:left="680"/>
        <w:rPr>
          <w:rFonts w:ascii="微软雅黑" w:hAnsi="微软雅黑" w:eastAsia="微软雅黑"/>
        </w:rPr>
      </w:pPr>
      <w:r>
        <w:fldChar w:fldCharType="begin"/>
      </w:r>
      <w:r>
        <w:instrText xml:space="preserve"> HYPERLINK "http://www.xyggzyjy.cn/" \h </w:instrText>
      </w:r>
      <w:r>
        <w:fldChar w:fldCharType="separate"/>
      </w:r>
      <w:r>
        <w:rPr>
          <w:rFonts w:hint="eastAsia" w:ascii="微软雅黑" w:hAnsi="微软雅黑" w:eastAsia="微软雅黑"/>
        </w:rPr>
        <w:t>（https://ggzyjy.xinyang.gov.cn/</w:t>
      </w:r>
      <w:r>
        <w:rPr>
          <w:rFonts w:hint="eastAsia" w:ascii="微软雅黑" w:hAnsi="微软雅黑" w:eastAsia="微软雅黑"/>
        </w:rPr>
        <w:fldChar w:fldCharType="end"/>
      </w:r>
      <w:r>
        <w:rPr>
          <w:rFonts w:hint="eastAsia" w:ascii="微软雅黑" w:hAnsi="微软雅黑" w:eastAsia="微软雅黑"/>
        </w:rPr>
        <w:t>）”网站下载中心栏目内下载或在招标文件领取页面下载）。</w:t>
      </w:r>
    </w:p>
    <w:p w14:paraId="342183F4">
      <w:pPr>
        <w:pStyle w:val="11"/>
        <w:spacing w:before="57"/>
        <w:rPr>
          <w:rFonts w:ascii="微软雅黑" w:eastAsia="微软雅黑"/>
        </w:rPr>
      </w:pPr>
      <w:r>
        <w:rPr>
          <w:rFonts w:hint="eastAsia" w:ascii="微软雅黑" w:eastAsia="微软雅黑"/>
          <w:u w:val="double"/>
        </w:rPr>
        <w:t>四、投标（响应）文件制作</w:t>
      </w:r>
    </w:p>
    <w:p w14:paraId="445AA65D">
      <w:pPr>
        <w:pStyle w:val="3"/>
        <w:spacing w:before="57" w:line="271" w:lineRule="auto"/>
        <w:ind w:left="680" w:right="609" w:firstLine="480"/>
        <w:rPr>
          <w:rFonts w:ascii="微软雅黑" w:hAnsi="微软雅黑" w:eastAsia="微软雅黑"/>
        </w:rPr>
      </w:pPr>
      <w:r>
        <w:rPr>
          <w:rFonts w:hint="eastAsia" w:ascii="微软雅黑" w:hAnsi="微软雅黑" w:eastAsia="微软雅黑"/>
        </w:rPr>
        <w:t>投标（响应）文件应使用信阳市公共资源交易系统投标文件制作专用工具软件编制，投标（响应）文件格式为“*.XYTF”。</w:t>
      </w:r>
    </w:p>
    <w:p w14:paraId="08687E03">
      <w:pPr>
        <w:pStyle w:val="3"/>
        <w:spacing w:before="1"/>
        <w:ind w:left="1160"/>
        <w:rPr>
          <w:rFonts w:ascii="微软雅黑" w:eastAsia="微软雅黑"/>
        </w:rPr>
      </w:pPr>
      <w:r>
        <w:rPr>
          <w:rFonts w:hint="eastAsia" w:ascii="微软雅黑" w:eastAsia="微软雅黑"/>
        </w:rPr>
        <w:t>投标人（供应商）须在投标（响应）文件递交截止时间前制作并提交。</w:t>
      </w:r>
    </w:p>
    <w:p w14:paraId="34F29B94">
      <w:pPr>
        <w:pStyle w:val="11"/>
        <w:spacing w:before="57"/>
        <w:rPr>
          <w:rFonts w:ascii="微软雅黑" w:eastAsia="微软雅黑"/>
        </w:rPr>
      </w:pPr>
      <w:r>
        <w:rPr>
          <w:rFonts w:hint="eastAsia" w:ascii="微软雅黑" w:eastAsia="微软雅黑"/>
          <w:u w:val="double"/>
        </w:rPr>
        <w:t>五、投标（响应）文件的签字和盖章要求</w:t>
      </w:r>
    </w:p>
    <w:p w14:paraId="286E531B">
      <w:pPr>
        <w:pStyle w:val="3"/>
        <w:spacing w:before="176"/>
        <w:ind w:left="1160"/>
        <w:rPr>
          <w:rFonts w:ascii="微软雅黑" w:eastAsia="微软雅黑"/>
        </w:rPr>
      </w:pPr>
      <w:r>
        <w:rPr>
          <w:rFonts w:hint="eastAsia" w:ascii="微软雅黑" w:eastAsia="微软雅黑"/>
        </w:rPr>
        <w:t>1、投标文件（响应）格式中所有要求投标人（供应商）加盖公章的地方都须</w:t>
      </w:r>
    </w:p>
    <w:p w14:paraId="6A5CCDD1">
      <w:pPr>
        <w:rPr>
          <w:rFonts w:ascii="微软雅黑" w:eastAsia="微软雅黑"/>
        </w:rPr>
        <w:sectPr>
          <w:headerReference r:id="rId6" w:type="default"/>
          <w:footerReference r:id="rId7" w:type="default"/>
          <w:pgSz w:w="11910" w:h="16840"/>
          <w:pgMar w:top="1380" w:right="840" w:bottom="1400" w:left="1120" w:header="852" w:footer="1215" w:gutter="0"/>
          <w:pgNumType w:start="1"/>
          <w:cols w:space="720" w:num="1"/>
        </w:sectPr>
      </w:pPr>
    </w:p>
    <w:p w14:paraId="51B92159">
      <w:pPr>
        <w:pStyle w:val="3"/>
        <w:spacing w:before="135"/>
        <w:ind w:left="680"/>
        <w:rPr>
          <w:rFonts w:ascii="微软雅黑" w:eastAsia="微软雅黑"/>
        </w:rPr>
      </w:pPr>
      <w:r>
        <w:rPr>
          <w:rFonts w:hint="eastAsia" w:ascii="微软雅黑" w:eastAsia="微软雅黑"/>
        </w:rPr>
        <w:t>加盖投标人（供应商）的 CA 印章。</w:t>
      </w:r>
    </w:p>
    <w:p w14:paraId="3AAA4D0E">
      <w:pPr>
        <w:spacing w:before="59" w:line="271" w:lineRule="auto"/>
        <w:ind w:left="552" w:right="729" w:firstLine="600"/>
        <w:rPr>
          <w:rFonts w:ascii="微软雅黑" w:eastAsia="微软雅黑"/>
          <w:b/>
          <w:sz w:val="24"/>
        </w:rPr>
      </w:pPr>
      <w:r>
        <w:rPr>
          <w:rFonts w:hint="eastAsia" w:ascii="微软雅黑" w:eastAsia="微软雅黑"/>
          <w:sz w:val="24"/>
        </w:rPr>
        <w:t>2、投标文件（响应）格式中所有要求法定代表人或其委托代理人签字或盖章的地方</w:t>
      </w:r>
      <w:r>
        <w:rPr>
          <w:rFonts w:hint="eastAsia" w:ascii="微软雅黑" w:eastAsia="微软雅黑"/>
          <w:b/>
          <w:sz w:val="24"/>
        </w:rPr>
        <w:t>（不含授权委托书委托人签字）</w:t>
      </w:r>
      <w:r>
        <w:rPr>
          <w:rFonts w:hint="eastAsia" w:ascii="微软雅黑" w:eastAsia="微软雅黑"/>
          <w:sz w:val="24"/>
        </w:rPr>
        <w:t xml:space="preserve">都须加盖法定代表人 </w:t>
      </w:r>
      <w:r>
        <w:rPr>
          <w:rFonts w:hint="eastAsia" w:ascii="微软雅黑" w:eastAsia="微软雅黑"/>
          <w:b/>
          <w:sz w:val="24"/>
        </w:rPr>
        <w:t>CA 印章。</w:t>
      </w:r>
    </w:p>
    <w:p w14:paraId="19612E0E">
      <w:pPr>
        <w:pStyle w:val="11"/>
        <w:spacing w:line="441" w:lineRule="exact"/>
        <w:rPr>
          <w:rFonts w:ascii="微软雅黑" w:eastAsia="微软雅黑"/>
        </w:rPr>
      </w:pPr>
      <w:r>
        <w:rPr>
          <w:rFonts w:hint="eastAsia" w:ascii="微软雅黑" w:eastAsia="微软雅黑"/>
          <w:u w:val="double"/>
        </w:rPr>
        <w:t>六、投标文件份数</w:t>
      </w:r>
    </w:p>
    <w:p w14:paraId="3866E04F">
      <w:pPr>
        <w:pStyle w:val="3"/>
        <w:spacing w:before="180"/>
        <w:ind w:left="1160"/>
        <w:rPr>
          <w:rFonts w:ascii="微软雅黑" w:eastAsia="微软雅黑"/>
        </w:rPr>
      </w:pPr>
      <w:r>
        <w:rPr>
          <w:rFonts w:hint="eastAsia" w:ascii="微软雅黑" w:eastAsia="微软雅黑"/>
          <w:spacing w:val="-7"/>
        </w:rPr>
        <w:t>加密的电子投标</w:t>
      </w:r>
      <w:r>
        <w:rPr>
          <w:rFonts w:hint="eastAsia" w:ascii="微软雅黑" w:eastAsia="微软雅黑"/>
        </w:rPr>
        <w:t>（响应</w:t>
      </w:r>
      <w:r>
        <w:rPr>
          <w:rFonts w:hint="eastAsia" w:ascii="微软雅黑" w:eastAsia="微软雅黑"/>
          <w:spacing w:val="-46"/>
        </w:rPr>
        <w:t>）</w:t>
      </w:r>
      <w:r>
        <w:rPr>
          <w:rFonts w:hint="eastAsia" w:ascii="微软雅黑" w:eastAsia="微软雅黑"/>
          <w:spacing w:val="-12"/>
        </w:rPr>
        <w:t>文件壹份</w:t>
      </w:r>
      <w:r>
        <w:rPr>
          <w:rFonts w:hint="eastAsia" w:ascii="微软雅黑" w:eastAsia="微软雅黑"/>
        </w:rPr>
        <w:t>（*.XYTF 格式，在会员系统指定位置上传</w:t>
      </w:r>
      <w:r>
        <w:rPr>
          <w:rFonts w:hint="eastAsia" w:ascii="微软雅黑" w:eastAsia="微软雅黑"/>
          <w:spacing w:val="-121"/>
        </w:rPr>
        <w:t>）</w:t>
      </w:r>
      <w:r>
        <w:rPr>
          <w:rFonts w:hint="eastAsia" w:ascii="微软雅黑" w:eastAsia="微软雅黑"/>
        </w:rPr>
        <w:t>。</w:t>
      </w:r>
    </w:p>
    <w:p w14:paraId="49DD50C2">
      <w:pPr>
        <w:pStyle w:val="11"/>
        <w:spacing w:before="56"/>
        <w:rPr>
          <w:rFonts w:ascii="微软雅黑" w:eastAsia="微软雅黑"/>
        </w:rPr>
      </w:pPr>
      <w:r>
        <w:rPr>
          <w:rFonts w:hint="eastAsia" w:ascii="微软雅黑" w:eastAsia="微软雅黑"/>
          <w:u w:val="double"/>
        </w:rPr>
        <w:t>七、投标（响应）文件的递交</w:t>
      </w:r>
    </w:p>
    <w:p w14:paraId="65441BDD">
      <w:pPr>
        <w:pStyle w:val="3"/>
        <w:spacing w:before="177"/>
        <w:ind w:left="1160"/>
        <w:rPr>
          <w:rFonts w:ascii="微软雅黑" w:eastAsia="微软雅黑"/>
        </w:rPr>
      </w:pPr>
      <w:r>
        <w:rPr>
          <w:rFonts w:hint="eastAsia" w:ascii="微软雅黑" w:eastAsia="微软雅黑"/>
        </w:rPr>
        <w:t>1、电子投标（响应）文件的递交</w:t>
      </w:r>
    </w:p>
    <w:p w14:paraId="5294BFDC">
      <w:pPr>
        <w:pStyle w:val="3"/>
        <w:spacing w:before="59"/>
        <w:ind w:left="1160"/>
        <w:rPr>
          <w:rFonts w:ascii="微软雅黑" w:eastAsia="微软雅黑"/>
        </w:rPr>
      </w:pPr>
      <w:r>
        <w:rPr>
          <w:rFonts w:hint="eastAsia" w:ascii="微软雅黑" w:eastAsia="微软雅黑"/>
        </w:rPr>
        <w:t>各投标（供应商）人应在投标截止时间前上传加密的电子投标（响应）文件</w:t>
      </w:r>
    </w:p>
    <w:p w14:paraId="5D112FFA">
      <w:pPr>
        <w:pStyle w:val="3"/>
        <w:spacing w:before="57" w:line="271" w:lineRule="auto"/>
        <w:ind w:left="680" w:right="549" w:hanging="120"/>
        <w:jc w:val="center"/>
        <w:rPr>
          <w:rFonts w:ascii="微软雅黑" w:hAnsi="微软雅黑" w:eastAsia="微软雅黑"/>
          <w:spacing w:val="-6"/>
        </w:rPr>
      </w:pPr>
      <w:r>
        <w:rPr>
          <w:rFonts w:hint="eastAsia" w:ascii="微软雅黑" w:hAnsi="微软雅黑" w:eastAsia="微软雅黑"/>
        </w:rPr>
        <w:t>（*.XYTF）</w:t>
      </w:r>
      <w:r>
        <w:rPr>
          <w:rFonts w:hint="eastAsia" w:ascii="微软雅黑" w:hAnsi="微软雅黑" w:eastAsia="微软雅黑"/>
          <w:spacing w:val="-3"/>
        </w:rPr>
        <w:t xml:space="preserve">到会员系统的指定位置。上传的电子投标文件应使用投标人 </w:t>
      </w:r>
      <w:r>
        <w:rPr>
          <w:rFonts w:hint="eastAsia" w:ascii="微软雅黑" w:hAnsi="微软雅黑" w:eastAsia="微软雅黑"/>
        </w:rPr>
        <w:t>CA</w:t>
      </w:r>
      <w:r>
        <w:rPr>
          <w:rFonts w:hint="eastAsia" w:ascii="微软雅黑" w:hAnsi="微软雅黑" w:eastAsia="微软雅黑"/>
          <w:spacing w:val="-5"/>
        </w:rPr>
        <w:t xml:space="preserve"> 数字证 </w:t>
      </w:r>
      <w:r>
        <w:rPr>
          <w:rFonts w:hint="eastAsia" w:ascii="微软雅黑" w:hAnsi="微软雅黑" w:eastAsia="微软雅黑"/>
          <w:spacing w:val="-15"/>
        </w:rPr>
        <w:t>书认证并加密。上传时必须得到交易系统“上传成功”的确认回复后方为上传成功。</w:t>
      </w:r>
      <w:r>
        <w:rPr>
          <w:rFonts w:hint="eastAsia" w:ascii="微软雅黑" w:hAnsi="微软雅黑" w:eastAsia="微软雅黑"/>
          <w:spacing w:val="-9"/>
        </w:rPr>
        <w:t>请投标人</w:t>
      </w:r>
      <w:r>
        <w:rPr>
          <w:rFonts w:hint="eastAsia" w:ascii="微软雅黑" w:hAnsi="微软雅黑" w:eastAsia="微软雅黑"/>
        </w:rPr>
        <w:t>（供应商</w:t>
      </w:r>
      <w:r>
        <w:rPr>
          <w:rFonts w:hint="eastAsia" w:ascii="微软雅黑" w:hAnsi="微软雅黑" w:eastAsia="微软雅黑"/>
          <w:spacing w:val="-34"/>
        </w:rPr>
        <w:t>）</w:t>
      </w:r>
      <w:r>
        <w:rPr>
          <w:rFonts w:hint="eastAsia" w:ascii="微软雅黑" w:hAnsi="微软雅黑" w:eastAsia="微软雅黑"/>
          <w:spacing w:val="-3"/>
        </w:rPr>
        <w:t>在上传前务必认真检查上传投标</w:t>
      </w:r>
      <w:r>
        <w:rPr>
          <w:rFonts w:hint="eastAsia" w:ascii="微软雅黑" w:hAnsi="微软雅黑" w:eastAsia="微软雅黑"/>
        </w:rPr>
        <w:t>（响应</w:t>
      </w:r>
      <w:r>
        <w:rPr>
          <w:rFonts w:hint="eastAsia" w:ascii="微软雅黑" w:hAnsi="微软雅黑" w:eastAsia="微软雅黑"/>
          <w:spacing w:val="-34"/>
        </w:rPr>
        <w:t>）</w:t>
      </w:r>
      <w:r>
        <w:rPr>
          <w:rFonts w:hint="eastAsia" w:ascii="微软雅黑" w:hAnsi="微软雅黑" w:eastAsia="微软雅黑"/>
          <w:spacing w:val="-6"/>
        </w:rPr>
        <w:t>文件是否完整、正确。</w:t>
      </w:r>
    </w:p>
    <w:p w14:paraId="725E8D92">
      <w:pPr>
        <w:pStyle w:val="3"/>
        <w:spacing w:before="57" w:line="271" w:lineRule="auto"/>
        <w:ind w:left="680" w:right="549" w:hanging="120"/>
        <w:jc w:val="center"/>
        <w:rPr>
          <w:rFonts w:ascii="微软雅黑" w:hAnsi="微软雅黑" w:eastAsia="微软雅黑"/>
        </w:rPr>
      </w:pPr>
      <w:r>
        <w:rPr>
          <w:rFonts w:hint="eastAsia" w:ascii="微软雅黑" w:hAnsi="微软雅黑" w:eastAsia="微软雅黑"/>
          <w:spacing w:val="-6"/>
        </w:rPr>
        <w:t xml:space="preserve"> </w:t>
      </w:r>
      <w:r>
        <w:rPr>
          <w:rFonts w:hint="eastAsia" w:ascii="微软雅黑" w:hAnsi="微软雅黑" w:eastAsia="微软雅黑"/>
        </w:rPr>
        <w:t>2、除电子投标（响应）文件外，不再接受任何纸质文件、资料原件等。</w:t>
      </w:r>
    </w:p>
    <w:p w14:paraId="506CA2D1">
      <w:pPr>
        <w:pStyle w:val="11"/>
        <w:spacing w:line="442" w:lineRule="exact"/>
        <w:ind w:left="662" w:right="7567"/>
        <w:jc w:val="center"/>
        <w:rPr>
          <w:rFonts w:ascii="微软雅黑" w:eastAsia="微软雅黑"/>
        </w:rPr>
      </w:pPr>
      <w:r>
        <w:rPr>
          <w:rFonts w:hint="eastAsia" w:ascii="微软雅黑" w:eastAsia="微软雅黑"/>
          <w:u w:val="double"/>
        </w:rPr>
        <w:t>八、澄清与变更</w:t>
      </w:r>
    </w:p>
    <w:p w14:paraId="55A082B0">
      <w:pPr>
        <w:pStyle w:val="3"/>
        <w:spacing w:before="60" w:line="271" w:lineRule="auto"/>
        <w:ind w:left="680" w:right="664" w:firstLine="480"/>
        <w:jc w:val="both"/>
        <w:rPr>
          <w:rFonts w:ascii="微软雅黑" w:hAnsi="微软雅黑" w:eastAsia="微软雅黑"/>
        </w:rPr>
      </w:pPr>
      <w:r>
        <w:rPr>
          <w:rFonts w:hint="eastAsia" w:ascii="微软雅黑" w:hAnsi="微软雅黑" w:eastAsia="微软雅黑"/>
          <w:spacing w:val="-4"/>
        </w:rPr>
        <w:t>如有疑问，以书面形式</w:t>
      </w:r>
      <w:r>
        <w:rPr>
          <w:rFonts w:hint="eastAsia" w:ascii="微软雅黑" w:hAnsi="微软雅黑" w:eastAsia="微软雅黑"/>
        </w:rPr>
        <w:t>（</w:t>
      </w:r>
      <w:r>
        <w:rPr>
          <w:rFonts w:hint="eastAsia" w:ascii="微软雅黑" w:hAnsi="微软雅黑" w:eastAsia="微软雅黑"/>
          <w:spacing w:val="-5"/>
        </w:rPr>
        <w:t>包括信函、电报、传真等可以有形表现所载内容的形</w:t>
      </w:r>
      <w:r>
        <w:rPr>
          <w:rFonts w:hint="eastAsia" w:ascii="微软雅黑" w:hAnsi="微软雅黑" w:eastAsia="微软雅黑"/>
        </w:rPr>
        <w:t>式</w:t>
      </w:r>
      <w:r>
        <w:rPr>
          <w:rFonts w:hint="eastAsia" w:ascii="微软雅黑" w:hAnsi="微软雅黑" w:eastAsia="微软雅黑"/>
          <w:spacing w:val="-7"/>
        </w:rPr>
        <w:t>）</w:t>
      </w:r>
      <w:r>
        <w:rPr>
          <w:rFonts w:hint="eastAsia" w:ascii="微软雅黑" w:hAnsi="微软雅黑" w:eastAsia="微软雅黑"/>
          <w:spacing w:val="-4"/>
        </w:rPr>
        <w:t>，要求招标人</w:t>
      </w:r>
      <w:r>
        <w:rPr>
          <w:rFonts w:hint="eastAsia" w:ascii="微软雅黑" w:hAnsi="微软雅黑" w:eastAsia="微软雅黑"/>
        </w:rPr>
        <w:t>（采购人</w:t>
      </w:r>
      <w:r>
        <w:rPr>
          <w:rFonts w:hint="eastAsia" w:ascii="微软雅黑" w:hAnsi="微软雅黑" w:eastAsia="微软雅黑"/>
          <w:spacing w:val="-5"/>
        </w:rPr>
        <w:t>）</w:t>
      </w:r>
      <w:r>
        <w:rPr>
          <w:rFonts w:hint="eastAsia" w:ascii="微软雅黑" w:hAnsi="微软雅黑" w:eastAsia="微软雅黑"/>
          <w:spacing w:val="-3"/>
        </w:rPr>
        <w:t>对招标</w:t>
      </w:r>
      <w:r>
        <w:rPr>
          <w:rFonts w:hint="eastAsia" w:ascii="微软雅黑" w:hAnsi="微软雅黑" w:eastAsia="微软雅黑"/>
        </w:rPr>
        <w:t>（采购</w:t>
      </w:r>
      <w:r>
        <w:rPr>
          <w:rFonts w:hint="eastAsia" w:ascii="微软雅黑" w:hAnsi="微软雅黑" w:eastAsia="微软雅黑"/>
          <w:spacing w:val="-5"/>
        </w:rPr>
        <w:t>）</w:t>
      </w:r>
      <w:r>
        <w:rPr>
          <w:rFonts w:hint="eastAsia" w:ascii="微软雅黑" w:hAnsi="微软雅黑" w:eastAsia="微软雅黑"/>
          <w:spacing w:val="-3"/>
        </w:rPr>
        <w:t>文件予以澄清。澄清或修改的内容在</w:t>
      </w:r>
      <w:r>
        <w:rPr>
          <w:rFonts w:hint="eastAsia" w:ascii="微软雅黑" w:hAnsi="微软雅黑" w:eastAsia="微软雅黑"/>
          <w:spacing w:val="-6"/>
        </w:rPr>
        <w:t>信阳市公共资源交易系统“变更公告”或“答疑文件”菜单进行发布，投标人</w:t>
      </w:r>
      <w:r>
        <w:rPr>
          <w:rFonts w:hint="eastAsia" w:ascii="微软雅黑" w:hAnsi="微软雅黑" w:eastAsia="微软雅黑"/>
        </w:rPr>
        <w:t>（供应商</w:t>
      </w:r>
      <w:r>
        <w:rPr>
          <w:rFonts w:hint="eastAsia" w:ascii="微软雅黑" w:hAnsi="微软雅黑" w:eastAsia="微软雅黑"/>
          <w:spacing w:val="-12"/>
        </w:rPr>
        <w:t>）</w:t>
      </w:r>
      <w:r>
        <w:rPr>
          <w:rFonts w:hint="eastAsia" w:ascii="微软雅黑" w:hAnsi="微软雅黑" w:eastAsia="微软雅黑"/>
          <w:spacing w:val="-3"/>
        </w:rPr>
        <w:t>应在投标</w:t>
      </w:r>
      <w:r>
        <w:rPr>
          <w:rFonts w:hint="eastAsia" w:ascii="微软雅黑" w:hAnsi="微软雅黑" w:eastAsia="微软雅黑"/>
        </w:rPr>
        <w:t>（响应</w:t>
      </w:r>
      <w:r>
        <w:rPr>
          <w:rFonts w:hint="eastAsia" w:ascii="微软雅黑" w:hAnsi="微软雅黑" w:eastAsia="微软雅黑"/>
          <w:spacing w:val="-12"/>
        </w:rPr>
        <w:t>）</w:t>
      </w:r>
      <w:r>
        <w:rPr>
          <w:rFonts w:hint="eastAsia" w:ascii="微软雅黑" w:hAnsi="微软雅黑" w:eastAsia="微软雅黑"/>
          <w:spacing w:val="-2"/>
        </w:rPr>
        <w:t>文件递交截止时间前及时查看澄清或修改内容，因投标人</w:t>
      </w:r>
    </w:p>
    <w:p w14:paraId="2536C1B9">
      <w:pPr>
        <w:pStyle w:val="3"/>
        <w:spacing w:line="442" w:lineRule="exact"/>
        <w:ind w:left="680"/>
        <w:rPr>
          <w:rFonts w:ascii="微软雅黑" w:eastAsia="微软雅黑"/>
        </w:rPr>
      </w:pPr>
      <w:r>
        <w:rPr>
          <w:rFonts w:hint="eastAsia" w:ascii="微软雅黑" w:eastAsia="微软雅黑"/>
        </w:rPr>
        <w:t>（采购人）未及时查看而造成的后果自负。</w:t>
      </w:r>
    </w:p>
    <w:p w14:paraId="2E57C22F">
      <w:pPr>
        <w:pStyle w:val="11"/>
        <w:spacing w:before="56"/>
        <w:rPr>
          <w:rFonts w:ascii="微软雅黑" w:eastAsia="微软雅黑"/>
        </w:rPr>
      </w:pPr>
      <w:r>
        <w:rPr>
          <w:rFonts w:hint="eastAsia" w:ascii="微软雅黑" w:eastAsia="微软雅黑"/>
          <w:u w:val="double"/>
        </w:rPr>
        <w:t xml:space="preserve">九、其他注意事项 </w:t>
      </w:r>
    </w:p>
    <w:p w14:paraId="3E4D8218">
      <w:pPr>
        <w:pStyle w:val="3"/>
        <w:spacing w:before="1" w:line="271" w:lineRule="auto"/>
        <w:ind w:right="669" w:firstLine="480" w:firstLineChars="200"/>
        <w:rPr>
          <w:rFonts w:ascii="微软雅黑" w:eastAsia="微软雅黑"/>
          <w:spacing w:val="-1"/>
        </w:rPr>
      </w:pPr>
      <w:r>
        <w:rPr>
          <w:rFonts w:hint="eastAsia" w:ascii="微软雅黑" w:eastAsia="微软雅黑"/>
        </w:rPr>
        <w:t>1</w:t>
      </w:r>
      <w:r>
        <w:rPr>
          <w:rFonts w:hint="eastAsia" w:ascii="微软雅黑" w:eastAsia="微软雅黑"/>
          <w:spacing w:val="-5"/>
        </w:rPr>
        <w:t>、投标人</w:t>
      </w:r>
      <w:r>
        <w:rPr>
          <w:rFonts w:hint="eastAsia" w:ascii="微软雅黑" w:eastAsia="微软雅黑"/>
        </w:rPr>
        <w:t>（供应商</w:t>
      </w:r>
      <w:r>
        <w:rPr>
          <w:rFonts w:hint="eastAsia" w:ascii="微软雅黑" w:eastAsia="微软雅黑"/>
          <w:spacing w:val="-10"/>
        </w:rPr>
        <w:t>）</w:t>
      </w:r>
      <w:r>
        <w:rPr>
          <w:rFonts w:hint="eastAsia" w:ascii="微软雅黑" w:eastAsia="微软雅黑"/>
          <w:spacing w:val="-2"/>
        </w:rPr>
        <w:t>编制投标</w:t>
      </w:r>
      <w:r>
        <w:rPr>
          <w:rFonts w:hint="eastAsia" w:ascii="微软雅黑" w:eastAsia="微软雅黑"/>
        </w:rPr>
        <w:t>（响应</w:t>
      </w:r>
      <w:r>
        <w:rPr>
          <w:rFonts w:hint="eastAsia" w:ascii="微软雅黑" w:eastAsia="微软雅黑"/>
          <w:spacing w:val="-10"/>
        </w:rPr>
        <w:t>）</w:t>
      </w:r>
      <w:r>
        <w:rPr>
          <w:rFonts w:hint="eastAsia" w:ascii="微软雅黑" w:eastAsia="微软雅黑"/>
          <w:spacing w:val="-4"/>
        </w:rPr>
        <w:t>文件时，涉及营业执照、资质、业绩、</w:t>
      </w:r>
      <w:r>
        <w:rPr>
          <w:rFonts w:hint="eastAsia" w:ascii="微软雅黑" w:eastAsia="微软雅黑"/>
        </w:rPr>
        <w:t>获奖、人员、财务、 社保、纳税、各类证书等内容，可在</w:t>
      </w:r>
      <w:r>
        <w:rPr>
          <w:rFonts w:hint="eastAsia" w:ascii="微软雅黑" w:eastAsia="微软雅黑"/>
          <w:spacing w:val="-1"/>
        </w:rPr>
        <w:t>交易中心主体信用信息中录入。</w:t>
      </w:r>
    </w:p>
    <w:p w14:paraId="5C8EE0A0">
      <w:pPr>
        <w:pStyle w:val="3"/>
        <w:spacing w:before="1" w:line="271" w:lineRule="auto"/>
        <w:ind w:right="669" w:firstLine="476" w:firstLineChars="200"/>
        <w:rPr>
          <w:rFonts w:ascii="微软雅黑" w:eastAsia="微软雅黑"/>
          <w:spacing w:val="-1"/>
          <w:szCs w:val="22"/>
        </w:rPr>
      </w:pPr>
      <w:r>
        <w:rPr>
          <w:rFonts w:hint="eastAsia" w:ascii="微软雅黑" w:eastAsia="微软雅黑"/>
          <w:spacing w:val="-1"/>
          <w:szCs w:val="22"/>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623FE201">
      <w:pPr>
        <w:pStyle w:val="3"/>
        <w:spacing w:before="1" w:line="271" w:lineRule="auto"/>
        <w:ind w:right="669" w:firstLine="476" w:firstLineChars="200"/>
        <w:rPr>
          <w:rFonts w:ascii="微软雅黑" w:eastAsia="微软雅黑"/>
          <w:spacing w:val="-1"/>
          <w:szCs w:val="22"/>
        </w:rPr>
      </w:pPr>
      <w:r>
        <w:rPr>
          <w:rFonts w:hint="eastAsia" w:ascii="微软雅黑" w:eastAsia="微软雅黑"/>
          <w:spacing w:val="-1"/>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67F87BBA">
      <w:pPr>
        <w:pStyle w:val="3"/>
        <w:spacing w:before="1" w:line="271" w:lineRule="auto"/>
        <w:ind w:right="669" w:firstLine="476" w:firstLineChars="200"/>
        <w:rPr>
          <w:rFonts w:ascii="微软雅黑" w:eastAsia="微软雅黑"/>
          <w:spacing w:val="-1"/>
          <w:szCs w:val="22"/>
        </w:rPr>
      </w:pPr>
      <w:r>
        <w:rPr>
          <w:rFonts w:hint="eastAsia" w:ascii="微软雅黑" w:eastAsia="微软雅黑"/>
          <w:spacing w:val="-1"/>
          <w:szCs w:val="22"/>
        </w:rPr>
        <w:t>4、中标企业认为投标文件中资料涉及商业秘密的，可以要求代理机构对相关信息模糊处理后公示。</w:t>
      </w:r>
    </w:p>
    <w:p w14:paraId="75675CF0">
      <w:pPr>
        <w:pStyle w:val="3"/>
        <w:spacing w:before="60" w:line="271" w:lineRule="auto"/>
        <w:ind w:left="680" w:right="549" w:firstLine="480"/>
        <w:rPr>
          <w:rFonts w:ascii="微软雅黑" w:eastAsia="微软雅黑"/>
        </w:rPr>
        <w:sectPr>
          <w:footerReference r:id="rId8" w:type="default"/>
          <w:pgSz w:w="11910" w:h="16840"/>
          <w:pgMar w:top="1380" w:right="840" w:bottom="1400" w:left="1120" w:header="852" w:footer="1215" w:gutter="0"/>
          <w:cols w:space="720" w:num="1"/>
        </w:sectPr>
      </w:pPr>
    </w:p>
    <w:p w14:paraId="4AE3F628">
      <w:pPr>
        <w:pStyle w:val="3"/>
        <w:spacing w:before="1" w:line="271" w:lineRule="auto"/>
        <w:ind w:right="669" w:firstLine="476" w:firstLineChars="200"/>
        <w:rPr>
          <w:rFonts w:ascii="微软雅黑" w:eastAsia="微软雅黑"/>
        </w:rPr>
      </w:pPr>
      <w:r>
        <w:rPr>
          <w:rFonts w:hint="eastAsia" w:ascii="微软雅黑" w:eastAsia="微软雅黑"/>
          <w:spacing w:val="-1"/>
          <w:szCs w:val="22"/>
        </w:rPr>
        <w:t>5、潜在投标人（供应商）有异议的，可以在公告发布之日起七个工作日内，以书面形式同时向采购人与招标代理机构提交质疑函和必要的证明材料。质疑函应当包括下列内容：（ 一）投标人（供应商）的姓名或者名称、地址、邮编、联系人及联系电话；（ 二）质疑项目的名称、编号；（三）具体、明确的质疑事项和与质疑事项相关的请求；（四）事实依据；（五）必要的法律依据；（六）提出质疑的日期。投标人（供应商）为自然人的，应当由本人签字； 投标人（供应商）为法人 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09DED09C">
      <w:pPr>
        <w:pStyle w:val="11"/>
        <w:spacing w:before="1"/>
        <w:ind w:left="0" w:firstLine="480" w:firstLineChars="200"/>
        <w:rPr>
          <w:rFonts w:ascii="微软雅黑" w:eastAsia="微软雅黑"/>
        </w:rPr>
      </w:pPr>
      <w:r>
        <w:rPr>
          <w:rFonts w:hint="eastAsia" w:ascii="微软雅黑" w:eastAsia="微软雅黑"/>
          <w:u w:val="double"/>
        </w:rPr>
        <w:t>十、特别提醒</w:t>
      </w:r>
    </w:p>
    <w:p w14:paraId="30D277C6">
      <w:pPr>
        <w:pStyle w:val="3"/>
        <w:spacing w:before="56"/>
        <w:ind w:firstLine="480" w:firstLineChars="200"/>
        <w:rPr>
          <w:rFonts w:ascii="微软雅黑" w:eastAsia="微软雅黑"/>
        </w:rPr>
      </w:pPr>
      <w:r>
        <w:rPr>
          <w:rFonts w:hint="eastAsia" w:ascii="微软雅黑" w:eastAsia="微软雅黑"/>
        </w:rPr>
        <w:t>投标文件中的扫描件，在确保清晰的前提下，每张最好控制在 500kb 内，生成的 加密电子投标文件最好不要超过 50MB。</w:t>
      </w:r>
    </w:p>
    <w:p w14:paraId="2A3F7AF0">
      <w:pPr>
        <w:rPr>
          <w:rFonts w:ascii="微软雅黑" w:eastAsia="微软雅黑"/>
        </w:rPr>
        <w:sectPr>
          <w:pgSz w:w="11910" w:h="16840"/>
          <w:pgMar w:top="1380" w:right="840" w:bottom="1400" w:left="1120" w:header="852" w:footer="1215" w:gutter="0"/>
          <w:cols w:space="720" w:num="1"/>
        </w:sectPr>
      </w:pPr>
    </w:p>
    <w:p w14:paraId="767023CF">
      <w:pPr>
        <w:pStyle w:val="3"/>
        <w:spacing w:before="14"/>
        <w:rPr>
          <w:rFonts w:ascii="微软雅黑"/>
          <w:sz w:val="5"/>
        </w:rPr>
      </w:pPr>
    </w:p>
    <w:p w14:paraId="17641B90">
      <w:pPr>
        <w:jc w:val="center"/>
      </w:pPr>
      <w:r>
        <w:rPr>
          <w:sz w:val="40"/>
          <w:szCs w:val="44"/>
        </w:rPr>
        <w:t>目</w:t>
      </w:r>
      <w:r>
        <w:rPr>
          <w:rFonts w:hint="eastAsia"/>
          <w:sz w:val="40"/>
          <w:szCs w:val="44"/>
          <w:lang w:val="en-US"/>
        </w:rPr>
        <w:t xml:space="preserve"> </w:t>
      </w:r>
      <w:r>
        <w:rPr>
          <w:sz w:val="40"/>
          <w:szCs w:val="44"/>
        </w:rPr>
        <w:t>录</w:t>
      </w:r>
    </w:p>
    <w:p w14:paraId="2B9C44BC">
      <w:pPr>
        <w:pStyle w:val="25"/>
        <w:tabs>
          <w:tab w:val="right" w:leader="dot" w:pos="9950"/>
        </w:tabs>
      </w:pPr>
      <w:r>
        <w:rPr>
          <w:rFonts w:ascii="Times New Roman" w:eastAsia="Times New Roman"/>
        </w:rPr>
        <w:fldChar w:fldCharType="begin"/>
      </w:r>
      <w:r>
        <w:rPr>
          <w:rFonts w:ascii="Times New Roman" w:eastAsia="Times New Roman"/>
        </w:rPr>
        <w:instrText xml:space="preserve">TOC \o "1-3" \h \u </w:instrText>
      </w:r>
      <w:r>
        <w:rPr>
          <w:rFonts w:ascii="Times New Roman" w:eastAsia="Times New Roman"/>
        </w:rPr>
        <w:fldChar w:fldCharType="separate"/>
      </w:r>
      <w:r>
        <w:rPr>
          <w:rFonts w:ascii="Times New Roman" w:eastAsia="Times New Roman"/>
        </w:rPr>
        <w:fldChar w:fldCharType="begin"/>
      </w:r>
      <w:r>
        <w:rPr>
          <w:rFonts w:ascii="Times New Roman" w:eastAsia="Times New Roman"/>
        </w:rPr>
        <w:instrText xml:space="preserve"> HYPERLINK \l _Toc9329 </w:instrText>
      </w:r>
      <w:r>
        <w:rPr>
          <w:rFonts w:ascii="Times New Roman" w:eastAsia="Times New Roman"/>
        </w:rPr>
        <w:fldChar w:fldCharType="separate"/>
      </w:r>
      <w:r>
        <w:rPr>
          <w:rFonts w:hint="eastAsia" w:ascii="新宋体" w:hAnsi="宋体" w:eastAsia="新宋体" w:cs="宋体"/>
          <w:bCs w:val="0"/>
          <w:szCs w:val="22"/>
          <w:lang w:val="zh-CN" w:eastAsia="zh-CN" w:bidi="zh-CN"/>
        </w:rPr>
        <w:t>采</w:t>
      </w:r>
      <w:r>
        <w:rPr>
          <w:rFonts w:hint="eastAsia" w:ascii="新宋体" w:eastAsia="新宋体" w:cs="宋体"/>
          <w:bCs w:val="0"/>
          <w:szCs w:val="22"/>
          <w:lang w:val="en-US" w:eastAsia="zh-CN" w:bidi="zh-CN"/>
        </w:rPr>
        <w:t xml:space="preserve"> </w:t>
      </w:r>
      <w:r>
        <w:rPr>
          <w:rFonts w:hint="eastAsia" w:ascii="新宋体" w:hAnsi="宋体" w:eastAsia="新宋体" w:cs="宋体"/>
          <w:bCs w:val="0"/>
          <w:szCs w:val="22"/>
          <w:lang w:val="zh-CN" w:eastAsia="zh-CN" w:bidi="zh-CN"/>
        </w:rPr>
        <w:t>购</w:t>
      </w:r>
      <w:r>
        <w:rPr>
          <w:rFonts w:hint="eastAsia" w:ascii="新宋体" w:eastAsia="新宋体" w:cs="宋体"/>
          <w:bCs w:val="0"/>
          <w:szCs w:val="22"/>
          <w:lang w:val="en-US" w:eastAsia="zh-CN" w:bidi="zh-CN"/>
        </w:rPr>
        <w:t xml:space="preserve"> </w:t>
      </w:r>
      <w:r>
        <w:rPr>
          <w:rFonts w:hint="eastAsia" w:ascii="新宋体" w:hAnsi="宋体" w:eastAsia="新宋体" w:cs="宋体"/>
          <w:bCs w:val="0"/>
          <w:szCs w:val="22"/>
          <w:lang w:val="zh-CN" w:eastAsia="zh-CN" w:bidi="zh-CN"/>
        </w:rPr>
        <w:t>人：</w:t>
      </w:r>
      <w:r>
        <w:rPr>
          <w:rFonts w:hint="eastAsia" w:ascii="新宋体" w:eastAsia="新宋体" w:cs="宋体"/>
          <w:bCs w:val="0"/>
          <w:szCs w:val="22"/>
          <w:lang w:val="en-US" w:eastAsia="zh-CN" w:bidi="zh-CN"/>
        </w:rPr>
        <w:t>新县住房和城乡建设局</w:t>
      </w:r>
      <w:r>
        <w:tab/>
      </w:r>
      <w:r>
        <w:fldChar w:fldCharType="begin"/>
      </w:r>
      <w:r>
        <w:instrText xml:space="preserve"> PAGEREF _Toc9329 \h </w:instrText>
      </w:r>
      <w:r>
        <w:fldChar w:fldCharType="separate"/>
      </w:r>
      <w:r>
        <w:t>1</w:t>
      </w:r>
      <w:r>
        <w:fldChar w:fldCharType="end"/>
      </w:r>
      <w:r>
        <w:rPr>
          <w:rFonts w:ascii="Times New Roman" w:eastAsia="Times New Roman"/>
        </w:rPr>
        <w:fldChar w:fldCharType="end"/>
      </w:r>
    </w:p>
    <w:p w14:paraId="1A1B8D50">
      <w:pPr>
        <w:pStyle w:val="24"/>
        <w:tabs>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_Toc19950 </w:instrText>
      </w:r>
      <w:r>
        <w:rPr>
          <w:rFonts w:ascii="Times New Roman" w:eastAsia="Times New Roman"/>
        </w:rPr>
        <w:fldChar w:fldCharType="separate"/>
      </w:r>
      <w:r>
        <w:rPr>
          <w:rFonts w:hint="eastAsia"/>
          <w:szCs w:val="30"/>
        </w:rPr>
        <w:t>第一章 竞争性磋商公告</w:t>
      </w:r>
      <w:r>
        <w:tab/>
      </w:r>
      <w:r>
        <w:fldChar w:fldCharType="begin"/>
      </w:r>
      <w:r>
        <w:instrText xml:space="preserve"> PAGEREF _Toc19950 \h </w:instrText>
      </w:r>
      <w:r>
        <w:fldChar w:fldCharType="separate"/>
      </w:r>
      <w:r>
        <w:t>5</w:t>
      </w:r>
      <w:r>
        <w:fldChar w:fldCharType="end"/>
      </w:r>
      <w:r>
        <w:rPr>
          <w:rFonts w:ascii="Times New Roman" w:eastAsia="Times New Roman"/>
        </w:rPr>
        <w:fldChar w:fldCharType="end"/>
      </w:r>
    </w:p>
    <w:p w14:paraId="4E0AFA20">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_Toc20860 </w:instrText>
      </w:r>
      <w:r>
        <w:rPr>
          <w:rFonts w:ascii="Times New Roman" w:eastAsia="Times New Roman"/>
        </w:rPr>
        <w:fldChar w:fldCharType="separate"/>
      </w:r>
      <w:r>
        <w:rPr>
          <w:rFonts w:hint="eastAsia" w:ascii="宋体" w:hAnsi="宋体" w:eastAsia="宋体" w:cs="宋体"/>
          <w:bCs/>
          <w:kern w:val="0"/>
          <w:szCs w:val="24"/>
          <w:shd w:val="clear" w:color="auto" w:fill="FFFFFF"/>
          <w:lang w:val="zh-CN" w:eastAsia="zh-CN" w:bidi="zh-CN"/>
        </w:rPr>
        <w:t>一、项目基本情况</w:t>
      </w:r>
      <w:r>
        <w:tab/>
      </w:r>
      <w:r>
        <w:fldChar w:fldCharType="begin"/>
      </w:r>
      <w:r>
        <w:instrText xml:space="preserve"> PAGEREF _Toc20860 \h </w:instrText>
      </w:r>
      <w:r>
        <w:fldChar w:fldCharType="separate"/>
      </w:r>
      <w:r>
        <w:t>5</w:t>
      </w:r>
      <w:r>
        <w:fldChar w:fldCharType="end"/>
      </w:r>
      <w:r>
        <w:rPr>
          <w:rFonts w:ascii="Times New Roman" w:eastAsia="Times New Roman"/>
        </w:rPr>
        <w:fldChar w:fldCharType="end"/>
      </w:r>
    </w:p>
    <w:p w14:paraId="46DC3F6F">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_Toc30960 </w:instrText>
      </w:r>
      <w:r>
        <w:rPr>
          <w:rFonts w:ascii="Times New Roman" w:eastAsia="Times New Roman"/>
        </w:rPr>
        <w:fldChar w:fldCharType="separate"/>
      </w:r>
      <w:r>
        <w:rPr>
          <w:rFonts w:hint="eastAsia" w:ascii="宋体" w:hAnsi="宋体" w:eastAsia="宋体" w:cs="宋体"/>
          <w:bCs/>
          <w:kern w:val="0"/>
          <w:szCs w:val="24"/>
          <w:shd w:val="clear" w:color="auto" w:fill="FFFFFF"/>
          <w:lang w:val="en-US" w:eastAsia="zh-CN" w:bidi="ar-SA"/>
        </w:rPr>
        <w:t>三、获取采购文件</w:t>
      </w:r>
      <w:r>
        <w:tab/>
      </w:r>
      <w:r>
        <w:fldChar w:fldCharType="begin"/>
      </w:r>
      <w:r>
        <w:instrText xml:space="preserve"> PAGEREF _Toc30960 \h </w:instrText>
      </w:r>
      <w:r>
        <w:fldChar w:fldCharType="separate"/>
      </w:r>
      <w:r>
        <w:t>7</w:t>
      </w:r>
      <w:r>
        <w:fldChar w:fldCharType="end"/>
      </w:r>
      <w:r>
        <w:rPr>
          <w:rFonts w:ascii="Times New Roman" w:eastAsia="Times New Roman"/>
        </w:rPr>
        <w:fldChar w:fldCharType="end"/>
      </w:r>
    </w:p>
    <w:p w14:paraId="33AFB7A6">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_Toc5553 </w:instrText>
      </w:r>
      <w:r>
        <w:rPr>
          <w:rFonts w:ascii="Times New Roman" w:eastAsia="Times New Roman"/>
        </w:rPr>
        <w:fldChar w:fldCharType="separate"/>
      </w:r>
      <w:r>
        <w:rPr>
          <w:rFonts w:hint="eastAsia" w:ascii="宋体" w:hAnsi="宋体" w:eastAsia="宋体" w:cs="宋体"/>
          <w:bCs/>
          <w:kern w:val="0"/>
          <w:szCs w:val="24"/>
          <w:shd w:val="clear" w:color="auto" w:fill="FFFFFF"/>
          <w:lang w:val="en-US" w:eastAsia="zh-CN" w:bidi="ar-SA"/>
        </w:rPr>
        <w:t>四、响应文件提交</w:t>
      </w:r>
      <w:r>
        <w:tab/>
      </w:r>
      <w:r>
        <w:fldChar w:fldCharType="begin"/>
      </w:r>
      <w:r>
        <w:instrText xml:space="preserve"> PAGEREF _Toc5553 \h </w:instrText>
      </w:r>
      <w:r>
        <w:fldChar w:fldCharType="separate"/>
      </w:r>
      <w:r>
        <w:t>7</w:t>
      </w:r>
      <w:r>
        <w:fldChar w:fldCharType="end"/>
      </w:r>
      <w:r>
        <w:rPr>
          <w:rFonts w:ascii="Times New Roman" w:eastAsia="Times New Roman"/>
        </w:rPr>
        <w:fldChar w:fldCharType="end"/>
      </w:r>
    </w:p>
    <w:p w14:paraId="53522D97">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_Toc18885 </w:instrText>
      </w:r>
      <w:r>
        <w:rPr>
          <w:rFonts w:ascii="Times New Roman" w:eastAsia="Times New Roman"/>
        </w:rPr>
        <w:fldChar w:fldCharType="separate"/>
      </w:r>
      <w:r>
        <w:rPr>
          <w:rFonts w:hint="eastAsia" w:ascii="宋体" w:hAnsi="宋体" w:eastAsia="宋体" w:cs="宋体"/>
          <w:bCs/>
          <w:kern w:val="0"/>
          <w:szCs w:val="24"/>
          <w:shd w:val="clear" w:color="auto" w:fill="FFFFFF"/>
          <w:lang w:val="en-US" w:eastAsia="zh-CN" w:bidi="ar-SA"/>
        </w:rPr>
        <w:t>五、响应文件开启</w:t>
      </w:r>
      <w:r>
        <w:tab/>
      </w:r>
      <w:r>
        <w:fldChar w:fldCharType="begin"/>
      </w:r>
      <w:r>
        <w:instrText xml:space="preserve"> PAGEREF _Toc18885 \h </w:instrText>
      </w:r>
      <w:r>
        <w:fldChar w:fldCharType="separate"/>
      </w:r>
      <w:r>
        <w:t>7</w:t>
      </w:r>
      <w:r>
        <w:fldChar w:fldCharType="end"/>
      </w:r>
      <w:r>
        <w:rPr>
          <w:rFonts w:ascii="Times New Roman" w:eastAsia="Times New Roman"/>
        </w:rPr>
        <w:fldChar w:fldCharType="end"/>
      </w:r>
    </w:p>
    <w:p w14:paraId="581ACE59">
      <w:pPr>
        <w:pStyle w:val="24"/>
        <w:tabs>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_Toc879 </w:instrText>
      </w:r>
      <w:r>
        <w:rPr>
          <w:rFonts w:ascii="Times New Roman" w:eastAsia="Times New Roman"/>
        </w:rPr>
        <w:fldChar w:fldCharType="separate"/>
      </w:r>
      <w:r>
        <w:rPr>
          <w:rFonts w:hint="eastAsia" w:ascii="黑体" w:eastAsia="黑体"/>
          <w:szCs w:val="32"/>
        </w:rPr>
        <w:t>第二章 供应商须知</w:t>
      </w:r>
      <w:r>
        <w:tab/>
      </w:r>
      <w:r>
        <w:fldChar w:fldCharType="begin"/>
      </w:r>
      <w:r>
        <w:instrText xml:space="preserve"> PAGEREF _Toc879 \h </w:instrText>
      </w:r>
      <w:r>
        <w:fldChar w:fldCharType="separate"/>
      </w:r>
      <w:r>
        <w:t>9</w:t>
      </w:r>
      <w:r>
        <w:fldChar w:fldCharType="end"/>
      </w:r>
      <w:r>
        <w:rPr>
          <w:rFonts w:ascii="Times New Roman" w:eastAsia="Times New Roman"/>
        </w:rPr>
        <w:fldChar w:fldCharType="end"/>
      </w:r>
    </w:p>
    <w:p w14:paraId="7867E89D">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_Toc13806 </w:instrText>
      </w:r>
      <w:r>
        <w:rPr>
          <w:rFonts w:ascii="Times New Roman" w:eastAsia="Times New Roman"/>
        </w:rPr>
        <w:fldChar w:fldCharType="separate"/>
      </w:r>
      <w:r>
        <w:rPr>
          <w:rFonts w:hint="eastAsia" w:ascii="黑体" w:hAnsi="宋体" w:eastAsia="黑体"/>
        </w:rPr>
        <w:t>供应商须知前附表</w:t>
      </w:r>
      <w:r>
        <w:tab/>
      </w:r>
      <w:r>
        <w:fldChar w:fldCharType="begin"/>
      </w:r>
      <w:r>
        <w:instrText xml:space="preserve"> PAGEREF _Toc13806 \h </w:instrText>
      </w:r>
      <w:r>
        <w:fldChar w:fldCharType="separate"/>
      </w:r>
      <w:r>
        <w:t>9</w:t>
      </w:r>
      <w:r>
        <w:fldChar w:fldCharType="end"/>
      </w:r>
      <w:r>
        <w:rPr>
          <w:rFonts w:ascii="Times New Roman" w:eastAsia="Times New Roman"/>
        </w:rPr>
        <w:fldChar w:fldCharType="end"/>
      </w:r>
    </w:p>
    <w:p w14:paraId="003517F7">
      <w:pPr>
        <w:pStyle w:val="24"/>
        <w:tabs>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_Toc7275 </w:instrText>
      </w:r>
      <w:r>
        <w:rPr>
          <w:rFonts w:ascii="Times New Roman" w:eastAsia="Times New Roman"/>
        </w:rPr>
        <w:fldChar w:fldCharType="separate"/>
      </w:r>
      <w:r>
        <w:rPr>
          <w:rFonts w:hint="eastAsia" w:ascii="宋体" w:hAnsi="宋体" w:cs="宋体"/>
          <w:kern w:val="44"/>
          <w:szCs w:val="32"/>
        </w:rPr>
        <w:t xml:space="preserve">第三章 </w:t>
      </w:r>
      <w:r>
        <w:rPr>
          <w:rFonts w:hint="eastAsia" w:ascii="宋体" w:hAnsi="宋体" w:cs="宋体"/>
          <w:kern w:val="44"/>
          <w:szCs w:val="32"/>
          <w:highlight w:val="none"/>
        </w:rPr>
        <w:t>评审办法（综合评分法）</w:t>
      </w:r>
      <w:r>
        <w:tab/>
      </w:r>
      <w:r>
        <w:fldChar w:fldCharType="begin"/>
      </w:r>
      <w:r>
        <w:instrText xml:space="preserve"> PAGEREF _Toc7275 \h </w:instrText>
      </w:r>
      <w:r>
        <w:fldChar w:fldCharType="separate"/>
      </w:r>
      <w:r>
        <w:t>22</w:t>
      </w:r>
      <w:r>
        <w:fldChar w:fldCharType="end"/>
      </w:r>
      <w:r>
        <w:rPr>
          <w:rFonts w:ascii="Times New Roman" w:eastAsia="Times New Roman"/>
        </w:rPr>
        <w:fldChar w:fldCharType="end"/>
      </w:r>
    </w:p>
    <w:p w14:paraId="412CA85F">
      <w:pPr>
        <w:pStyle w:val="24"/>
        <w:tabs>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_Toc22965 </w:instrText>
      </w:r>
      <w:r>
        <w:rPr>
          <w:rFonts w:ascii="Times New Roman" w:eastAsia="Times New Roman"/>
        </w:rPr>
        <w:fldChar w:fldCharType="separate"/>
      </w:r>
      <w:r>
        <w:rPr>
          <w:rFonts w:hint="eastAsia" w:ascii="宋体" w:hAnsi="宋体" w:eastAsia="宋体" w:cs="宋体"/>
          <w:bCs/>
          <w:szCs w:val="21"/>
        </w:rPr>
        <w:t>附件：废标条件</w:t>
      </w:r>
      <w:r>
        <w:tab/>
      </w:r>
      <w:r>
        <w:fldChar w:fldCharType="begin"/>
      </w:r>
      <w:r>
        <w:instrText xml:space="preserve"> PAGEREF _Toc22965 \h </w:instrText>
      </w:r>
      <w:r>
        <w:fldChar w:fldCharType="separate"/>
      </w:r>
      <w:r>
        <w:t>28</w:t>
      </w:r>
      <w:r>
        <w:fldChar w:fldCharType="end"/>
      </w:r>
      <w:r>
        <w:rPr>
          <w:rFonts w:ascii="Times New Roman" w:eastAsia="Times New Roman"/>
        </w:rPr>
        <w:fldChar w:fldCharType="end"/>
      </w:r>
    </w:p>
    <w:p w14:paraId="1CE005C4">
      <w:pPr>
        <w:pStyle w:val="24"/>
        <w:tabs>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_Toc20360 </w:instrText>
      </w:r>
      <w:r>
        <w:rPr>
          <w:rFonts w:ascii="Times New Roman" w:eastAsia="Times New Roman"/>
        </w:rPr>
        <w:fldChar w:fldCharType="separate"/>
      </w:r>
      <w:r>
        <w:rPr>
          <w:rFonts w:hint="eastAsia" w:ascii="宋体" w:hAnsi="宋体" w:eastAsia="宋体" w:cs="宋体"/>
          <w:bCs/>
          <w:szCs w:val="32"/>
          <w:highlight w:val="none"/>
          <w:lang w:val="en-US" w:eastAsia="zh-CN"/>
        </w:rPr>
        <w:t>第四章</w:t>
      </w:r>
      <w:r>
        <w:rPr>
          <w:rFonts w:hint="eastAsia" w:ascii="宋体" w:hAnsi="宋体" w:eastAsia="宋体" w:cs="宋体"/>
          <w:bCs/>
          <w:szCs w:val="32"/>
          <w:highlight w:val="none"/>
        </w:rPr>
        <w:t xml:space="preserve"> </w:t>
      </w:r>
      <w:r>
        <w:rPr>
          <w:rFonts w:hint="eastAsia" w:ascii="宋体" w:hAnsi="宋体" w:eastAsia="宋体" w:cs="宋体"/>
          <w:szCs w:val="32"/>
          <w:highlight w:val="none"/>
        </w:rPr>
        <w:t>河南省政府采购合同（</w:t>
      </w:r>
      <w:r>
        <w:rPr>
          <w:rFonts w:hint="eastAsia" w:ascii="宋体" w:hAnsi="宋体" w:eastAsia="宋体" w:cs="宋体"/>
          <w:szCs w:val="32"/>
          <w:highlight w:val="none"/>
          <w:lang w:eastAsia="zh-CN"/>
        </w:rPr>
        <w:t>参考文本，</w:t>
      </w:r>
      <w:r>
        <w:rPr>
          <w:rFonts w:hint="eastAsia" w:ascii="宋体" w:hAnsi="宋体" w:eastAsia="宋体" w:cs="宋体"/>
          <w:szCs w:val="32"/>
          <w:highlight w:val="none"/>
          <w:lang w:val="en-US" w:eastAsia="zh-CN"/>
        </w:rPr>
        <w:t>以实际签订合同为准</w:t>
      </w:r>
      <w:r>
        <w:rPr>
          <w:rFonts w:hint="eastAsia" w:ascii="宋体" w:hAnsi="宋体" w:eastAsia="宋体" w:cs="宋体"/>
          <w:szCs w:val="32"/>
          <w:highlight w:val="none"/>
        </w:rPr>
        <w:t>）</w:t>
      </w:r>
      <w:r>
        <w:tab/>
      </w:r>
      <w:r>
        <w:fldChar w:fldCharType="begin"/>
      </w:r>
      <w:r>
        <w:instrText xml:space="preserve"> PAGEREF _Toc20360 \h </w:instrText>
      </w:r>
      <w:r>
        <w:fldChar w:fldCharType="separate"/>
      </w:r>
      <w:r>
        <w:t>25</w:t>
      </w:r>
      <w:r>
        <w:fldChar w:fldCharType="end"/>
      </w:r>
      <w:r>
        <w:rPr>
          <w:rFonts w:ascii="Times New Roman" w:eastAsia="Times New Roman"/>
        </w:rPr>
        <w:fldChar w:fldCharType="end"/>
      </w:r>
    </w:p>
    <w:p w14:paraId="55FC6697">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_Toc9511 </w:instrText>
      </w:r>
      <w:r>
        <w:rPr>
          <w:rFonts w:ascii="Times New Roman" w:eastAsia="Times New Roman"/>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_Toc9511 \h </w:instrText>
      </w:r>
      <w:r>
        <w:fldChar w:fldCharType="separate"/>
      </w:r>
      <w:r>
        <w:t>37</w:t>
      </w:r>
      <w:r>
        <w:fldChar w:fldCharType="end"/>
      </w:r>
      <w:r>
        <w:rPr>
          <w:rFonts w:ascii="Times New Roman" w:eastAsia="Times New Roman"/>
        </w:rPr>
        <w:fldChar w:fldCharType="end"/>
      </w:r>
    </w:p>
    <w:p w14:paraId="68DC7B10">
      <w:pPr>
        <w:pStyle w:val="24"/>
        <w:tabs>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_Toc32367 </w:instrText>
      </w:r>
      <w:r>
        <w:rPr>
          <w:rFonts w:ascii="Times New Roman" w:eastAsia="Times New Roman"/>
        </w:rPr>
        <w:fldChar w:fldCharType="separate"/>
      </w:r>
      <w:r>
        <w:t>第五章</w:t>
      </w:r>
      <w:r>
        <w:rPr>
          <w:rFonts w:hint="eastAsia"/>
          <w:lang w:val="en-US" w:eastAsia="zh-CN"/>
        </w:rPr>
        <w:t xml:space="preserve"> 采购需求</w:t>
      </w:r>
      <w:r>
        <w:tab/>
      </w:r>
      <w:r>
        <w:fldChar w:fldCharType="begin"/>
      </w:r>
      <w:r>
        <w:instrText xml:space="preserve"> PAGEREF _Toc32367 \h </w:instrText>
      </w:r>
      <w:r>
        <w:fldChar w:fldCharType="separate"/>
      </w:r>
      <w:r>
        <w:t>38</w:t>
      </w:r>
      <w:r>
        <w:fldChar w:fldCharType="end"/>
      </w:r>
      <w:r>
        <w:rPr>
          <w:rFonts w:ascii="Times New Roman" w:eastAsia="Times New Roman"/>
        </w:rPr>
        <w:fldChar w:fldCharType="end"/>
      </w:r>
    </w:p>
    <w:p w14:paraId="7D2E3732">
      <w:pPr>
        <w:pStyle w:val="24"/>
        <w:tabs>
          <w:tab w:val="right" w:pos="2400"/>
          <w:tab w:val="right" w:leader="dot" w:pos="9950"/>
        </w:tabs>
      </w:pPr>
      <w:r>
        <w:rPr>
          <w:rFonts w:hint="eastAsia" w:ascii="Times New Roman" w:eastAsia="宋体"/>
          <w:lang w:val="en-US" w:eastAsia="zh-CN"/>
        </w:rPr>
        <w:t xml:space="preserve">                </w:t>
      </w:r>
      <w:r>
        <w:rPr>
          <w:rFonts w:ascii="Times New Roman" w:eastAsia="Times New Roman"/>
        </w:rPr>
        <w:fldChar w:fldCharType="begin"/>
      </w:r>
      <w:r>
        <w:rPr>
          <w:rFonts w:ascii="Times New Roman" w:eastAsia="Times New Roman"/>
        </w:rPr>
        <w:instrText xml:space="preserve"> HYPERLINK \l _Toc9690 </w:instrText>
      </w:r>
      <w:r>
        <w:rPr>
          <w:rFonts w:ascii="Times New Roman" w:eastAsia="Times New Roman"/>
        </w:rPr>
        <w:fldChar w:fldCharType="separate"/>
      </w:r>
      <w:r>
        <w:t>第六章</w:t>
      </w:r>
      <w:r>
        <w:tab/>
      </w:r>
      <w:r>
        <w:t>竞争性磋商响应文件格式</w:t>
      </w:r>
      <w:r>
        <w:tab/>
      </w:r>
      <w:r>
        <w:fldChar w:fldCharType="begin"/>
      </w:r>
      <w:r>
        <w:instrText xml:space="preserve"> PAGEREF _Toc9690 \h </w:instrText>
      </w:r>
      <w:r>
        <w:fldChar w:fldCharType="separate"/>
      </w:r>
      <w:r>
        <w:t>43</w:t>
      </w:r>
      <w:r>
        <w:fldChar w:fldCharType="end"/>
      </w:r>
      <w:r>
        <w:rPr>
          <w:rFonts w:ascii="Times New Roman" w:eastAsia="Times New Roman"/>
        </w:rPr>
        <w:fldChar w:fldCharType="end"/>
      </w:r>
    </w:p>
    <w:p w14:paraId="7F673422">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_Toc4290 </w:instrText>
      </w:r>
      <w:r>
        <w:rPr>
          <w:rFonts w:ascii="Times New Roman" w:eastAsia="Times New Roman"/>
        </w:rPr>
        <w:fldChar w:fldCharType="separate"/>
      </w:r>
      <w:r>
        <w:rPr>
          <w:rFonts w:hint="eastAsia"/>
        </w:rPr>
        <w:t>一、磋商函</w:t>
      </w:r>
      <w:r>
        <w:tab/>
      </w:r>
      <w:r>
        <w:fldChar w:fldCharType="begin"/>
      </w:r>
      <w:r>
        <w:instrText xml:space="preserve"> PAGEREF _Toc4290 \h </w:instrText>
      </w:r>
      <w:r>
        <w:fldChar w:fldCharType="separate"/>
      </w:r>
      <w:r>
        <w:t>45</w:t>
      </w:r>
      <w:r>
        <w:fldChar w:fldCharType="end"/>
      </w:r>
      <w:r>
        <w:rPr>
          <w:rFonts w:ascii="Times New Roman" w:eastAsia="Times New Roman"/>
        </w:rPr>
        <w:fldChar w:fldCharType="end"/>
      </w:r>
    </w:p>
    <w:p w14:paraId="6ADEA757">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_Toc31676 </w:instrText>
      </w:r>
      <w:r>
        <w:rPr>
          <w:rFonts w:ascii="Times New Roman" w:eastAsia="Times New Roman"/>
        </w:rPr>
        <w:fldChar w:fldCharType="separate"/>
      </w:r>
      <w:r>
        <w:rPr>
          <w:rFonts w:hint="eastAsia"/>
        </w:rPr>
        <w:t>二、磋商函附录</w:t>
      </w:r>
      <w:r>
        <w:tab/>
      </w:r>
      <w:r>
        <w:fldChar w:fldCharType="begin"/>
      </w:r>
      <w:r>
        <w:instrText xml:space="preserve"> PAGEREF _Toc31676 \h </w:instrText>
      </w:r>
      <w:r>
        <w:fldChar w:fldCharType="separate"/>
      </w:r>
      <w:r>
        <w:t>46</w:t>
      </w:r>
      <w:r>
        <w:fldChar w:fldCharType="end"/>
      </w:r>
      <w:r>
        <w:rPr>
          <w:rFonts w:ascii="Times New Roman" w:eastAsia="Times New Roman"/>
        </w:rPr>
        <w:fldChar w:fldCharType="end"/>
      </w:r>
    </w:p>
    <w:p w14:paraId="1392CE7A">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_Toc2602 </w:instrText>
      </w:r>
      <w:r>
        <w:rPr>
          <w:rFonts w:ascii="Times New Roman" w:eastAsia="Times New Roman"/>
        </w:rPr>
        <w:fldChar w:fldCharType="separate"/>
      </w:r>
      <w:r>
        <w:rPr>
          <w:rFonts w:hint="eastAsia"/>
        </w:rPr>
        <w:t>三、法定代表人身份证明或法定代表人授权委托书</w:t>
      </w:r>
      <w:r>
        <w:tab/>
      </w:r>
      <w:r>
        <w:fldChar w:fldCharType="begin"/>
      </w:r>
      <w:r>
        <w:instrText xml:space="preserve"> PAGEREF _Toc2602 \h </w:instrText>
      </w:r>
      <w:r>
        <w:fldChar w:fldCharType="separate"/>
      </w:r>
      <w:r>
        <w:t>47</w:t>
      </w:r>
      <w:r>
        <w:fldChar w:fldCharType="end"/>
      </w:r>
      <w:r>
        <w:rPr>
          <w:rFonts w:ascii="Times New Roman" w:eastAsia="Times New Roman"/>
        </w:rPr>
        <w:fldChar w:fldCharType="end"/>
      </w:r>
    </w:p>
    <w:p w14:paraId="3923D27B">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_Toc14720 </w:instrText>
      </w:r>
      <w:r>
        <w:rPr>
          <w:rFonts w:ascii="Times New Roman" w:eastAsia="Times New Roman"/>
        </w:rPr>
        <w:fldChar w:fldCharType="separate"/>
      </w:r>
      <w:r>
        <w:rPr>
          <w:rFonts w:hint="eastAsia"/>
        </w:rPr>
        <w:t>四、 中小企业声明函</w:t>
      </w:r>
      <w:r>
        <w:tab/>
      </w:r>
      <w:r>
        <w:fldChar w:fldCharType="begin"/>
      </w:r>
      <w:r>
        <w:instrText xml:space="preserve"> PAGEREF _Toc14720 \h </w:instrText>
      </w:r>
      <w:r>
        <w:fldChar w:fldCharType="separate"/>
      </w:r>
      <w:r>
        <w:t>49</w:t>
      </w:r>
      <w:r>
        <w:fldChar w:fldCharType="end"/>
      </w:r>
      <w:r>
        <w:rPr>
          <w:rFonts w:ascii="Times New Roman" w:eastAsia="Times New Roman"/>
        </w:rPr>
        <w:fldChar w:fldCharType="end"/>
      </w:r>
    </w:p>
    <w:p w14:paraId="76B71CA0">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_Toc397 </w:instrText>
      </w:r>
      <w:r>
        <w:rPr>
          <w:rFonts w:ascii="Times New Roman" w:eastAsia="Times New Roman"/>
        </w:rPr>
        <w:fldChar w:fldCharType="separate"/>
      </w:r>
      <w:r>
        <w:rPr>
          <w:rFonts w:hint="eastAsia"/>
          <w:lang w:val="en-US"/>
        </w:rPr>
        <w:t>五、资格审查资料</w:t>
      </w:r>
      <w:r>
        <w:tab/>
      </w:r>
      <w:r>
        <w:fldChar w:fldCharType="begin"/>
      </w:r>
      <w:r>
        <w:instrText xml:space="preserve"> PAGEREF _Toc397 \h </w:instrText>
      </w:r>
      <w:r>
        <w:fldChar w:fldCharType="separate"/>
      </w:r>
      <w:r>
        <w:t>52</w:t>
      </w:r>
      <w:r>
        <w:fldChar w:fldCharType="end"/>
      </w:r>
      <w:r>
        <w:rPr>
          <w:rFonts w:ascii="Times New Roman" w:eastAsia="Times New Roman"/>
        </w:rPr>
        <w:fldChar w:fldCharType="end"/>
      </w:r>
    </w:p>
    <w:p w14:paraId="2C40803C">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_Toc13677 </w:instrText>
      </w:r>
      <w:r>
        <w:rPr>
          <w:rFonts w:ascii="Times New Roman" w:eastAsia="Times New Roman"/>
        </w:rPr>
        <w:fldChar w:fldCharType="separate"/>
      </w:r>
      <w:r>
        <w:rPr>
          <w:rFonts w:hint="eastAsia"/>
          <w:lang w:val="en-US"/>
        </w:rPr>
        <w:t>六、声明</w:t>
      </w:r>
      <w:r>
        <w:tab/>
      </w:r>
      <w:r>
        <w:fldChar w:fldCharType="begin"/>
      </w:r>
      <w:r>
        <w:instrText xml:space="preserve"> PAGEREF _Toc13677 \h </w:instrText>
      </w:r>
      <w:r>
        <w:fldChar w:fldCharType="separate"/>
      </w:r>
      <w:r>
        <w:t>54</w:t>
      </w:r>
      <w:r>
        <w:fldChar w:fldCharType="end"/>
      </w:r>
      <w:r>
        <w:rPr>
          <w:rFonts w:ascii="Times New Roman" w:eastAsia="Times New Roman"/>
        </w:rPr>
        <w:fldChar w:fldCharType="end"/>
      </w:r>
    </w:p>
    <w:p w14:paraId="025E8B5F">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_Toc2856 </w:instrText>
      </w:r>
      <w:r>
        <w:rPr>
          <w:rFonts w:ascii="Times New Roman" w:eastAsia="Times New Roman"/>
        </w:rPr>
        <w:fldChar w:fldCharType="separate"/>
      </w:r>
      <w:r>
        <w:rPr>
          <w:rFonts w:hint="eastAsia"/>
          <w:lang w:val="en-US"/>
        </w:rPr>
        <w:t>七、技术部分（格式自拟）</w:t>
      </w:r>
      <w:r>
        <w:tab/>
      </w:r>
      <w:r>
        <w:fldChar w:fldCharType="begin"/>
      </w:r>
      <w:r>
        <w:instrText xml:space="preserve"> PAGEREF _Toc2856 \h </w:instrText>
      </w:r>
      <w:r>
        <w:fldChar w:fldCharType="separate"/>
      </w:r>
      <w:r>
        <w:t>55</w:t>
      </w:r>
      <w:r>
        <w:fldChar w:fldCharType="end"/>
      </w:r>
      <w:r>
        <w:rPr>
          <w:rFonts w:ascii="Times New Roman" w:eastAsia="Times New Roman"/>
        </w:rPr>
        <w:fldChar w:fldCharType="end"/>
      </w:r>
    </w:p>
    <w:p w14:paraId="29CBBB23">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_Toc13715 </w:instrText>
      </w:r>
      <w:r>
        <w:rPr>
          <w:rFonts w:ascii="Times New Roman" w:eastAsia="Times New Roman"/>
        </w:rPr>
        <w:fldChar w:fldCharType="separate"/>
      </w:r>
      <w:r>
        <w:rPr>
          <w:rFonts w:hint="eastAsia"/>
          <w:lang w:val="en-US" w:eastAsia="zh-CN"/>
        </w:rPr>
        <w:t>八</w:t>
      </w:r>
      <w:r>
        <w:rPr>
          <w:rFonts w:hint="eastAsia"/>
          <w:lang w:val="en-US"/>
        </w:rPr>
        <w:t>、综合</w:t>
      </w:r>
      <w:r>
        <w:rPr>
          <w:rFonts w:hint="eastAsia"/>
          <w:lang w:val="en-US" w:eastAsia="zh-CN"/>
        </w:rPr>
        <w:t>部分</w:t>
      </w:r>
      <w:r>
        <w:rPr>
          <w:rFonts w:hint="eastAsia" w:ascii="宋体" w:hAnsi="宋体" w:eastAsia="宋体" w:cs="宋体"/>
          <w:bCs/>
          <w:lang w:val="en-US"/>
        </w:rPr>
        <w:t>（格式自拟）</w:t>
      </w:r>
      <w:r>
        <w:tab/>
      </w:r>
      <w:r>
        <w:fldChar w:fldCharType="begin"/>
      </w:r>
      <w:r>
        <w:instrText xml:space="preserve"> PAGEREF _Toc13715 \h </w:instrText>
      </w:r>
      <w:r>
        <w:fldChar w:fldCharType="separate"/>
      </w:r>
      <w:r>
        <w:t>55</w:t>
      </w:r>
      <w:r>
        <w:fldChar w:fldCharType="end"/>
      </w:r>
      <w:r>
        <w:rPr>
          <w:rFonts w:ascii="Times New Roman" w:eastAsia="Times New Roman"/>
        </w:rPr>
        <w:fldChar w:fldCharType="end"/>
      </w:r>
    </w:p>
    <w:p w14:paraId="1B8BB837">
      <w:pPr>
        <w:pStyle w:val="25"/>
        <w:tabs>
          <w:tab w:val="right" w:leader="dot" w:pos="9950"/>
        </w:tabs>
      </w:pPr>
      <w:r>
        <w:rPr>
          <w:rFonts w:ascii="Times New Roman" w:eastAsia="Times New Roman"/>
        </w:rPr>
        <w:fldChar w:fldCharType="begin"/>
      </w:r>
      <w:r>
        <w:rPr>
          <w:rFonts w:ascii="Times New Roman" w:eastAsia="Times New Roman"/>
        </w:rPr>
        <w:instrText xml:space="preserve"> HYPERLINK \l _Toc29808 </w:instrText>
      </w:r>
      <w:r>
        <w:rPr>
          <w:rFonts w:ascii="Times New Roman" w:eastAsia="Times New Roman"/>
        </w:rPr>
        <w:fldChar w:fldCharType="separate"/>
      </w:r>
      <w:r>
        <w:rPr>
          <w:rFonts w:hint="eastAsia"/>
          <w:szCs w:val="22"/>
          <w:lang w:val="en-US"/>
        </w:rPr>
        <w:t>十、其他资料</w:t>
      </w:r>
      <w:r>
        <w:tab/>
      </w:r>
      <w:r>
        <w:fldChar w:fldCharType="begin"/>
      </w:r>
      <w:r>
        <w:instrText xml:space="preserve"> PAGEREF _Toc29808 \h </w:instrText>
      </w:r>
      <w:r>
        <w:fldChar w:fldCharType="separate"/>
      </w:r>
      <w:r>
        <w:t>56</w:t>
      </w:r>
      <w:r>
        <w:fldChar w:fldCharType="end"/>
      </w:r>
      <w:r>
        <w:rPr>
          <w:rFonts w:ascii="Times New Roman" w:eastAsia="Times New Roman"/>
        </w:rPr>
        <w:fldChar w:fldCharType="end"/>
      </w:r>
    </w:p>
    <w:p w14:paraId="73206E3C">
      <w:pPr>
        <w:rPr>
          <w:rFonts w:ascii="Times New Roman" w:eastAsia="Times New Roman"/>
        </w:rPr>
        <w:sectPr>
          <w:footerReference r:id="rId9" w:type="default"/>
          <w:pgSz w:w="11910" w:h="16840"/>
          <w:pgMar w:top="1380" w:right="840" w:bottom="1400" w:left="1120" w:header="852" w:footer="1215" w:gutter="0"/>
          <w:cols w:space="720" w:num="1"/>
        </w:sectPr>
      </w:pPr>
      <w:r>
        <w:rPr>
          <w:rFonts w:ascii="Times New Roman" w:eastAsia="Times New Roman"/>
        </w:rPr>
        <w:fldChar w:fldCharType="end"/>
      </w:r>
    </w:p>
    <w:p w14:paraId="5C12918F">
      <w:pPr>
        <w:pStyle w:val="8"/>
        <w:rPr>
          <w:rFonts w:hint="eastAsia" w:ascii="宋体" w:hAnsi="宋体" w:cs="仿宋"/>
          <w:b w:val="0"/>
          <w:spacing w:val="-6"/>
          <w:sz w:val="24"/>
        </w:rPr>
      </w:pPr>
      <w:bookmarkStart w:id="1" w:name="_bookmark3"/>
      <w:bookmarkEnd w:id="1"/>
      <w:bookmarkStart w:id="2" w:name="1._总则"/>
      <w:bookmarkEnd w:id="2"/>
      <w:bookmarkStart w:id="3" w:name="_Toc18863"/>
      <w:bookmarkStart w:id="4" w:name="_Toc351564124"/>
      <w:bookmarkStart w:id="5" w:name="_Toc2764832"/>
      <w:bookmarkStart w:id="6" w:name="_Toc19950"/>
      <w:r>
        <w:rPr>
          <w:rFonts w:hint="eastAsia"/>
          <w:sz w:val="30"/>
          <w:szCs w:val="30"/>
        </w:rPr>
        <w:t xml:space="preserve">第一章 </w:t>
      </w:r>
      <w:bookmarkEnd w:id="3"/>
      <w:bookmarkEnd w:id="4"/>
      <w:r>
        <w:rPr>
          <w:rFonts w:hint="eastAsia"/>
          <w:sz w:val="30"/>
          <w:szCs w:val="30"/>
        </w:rPr>
        <w:t>竞争性磋商公告</w:t>
      </w:r>
      <w:bookmarkEnd w:id="5"/>
      <w:bookmarkEnd w:id="6"/>
    </w:p>
    <w:p w14:paraId="6242ED80">
      <w:pPr>
        <w:rPr>
          <w:rFonts w:ascii="宋体" w:hAnsi="宋体"/>
        </w:rPr>
      </w:pPr>
      <w:bookmarkStart w:id="7" w:name="_Toc28359012"/>
      <w:bookmarkStart w:id="8" w:name="_Toc35393629"/>
      <w:bookmarkStart w:id="9" w:name="_Toc35393798"/>
      <w:bookmarkStart w:id="10" w:name="_Toc28359089"/>
    </w:p>
    <w:p w14:paraId="2BBF741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14:paraId="7E649E3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u w:val="single"/>
          <w:lang w:val="en-US" w:eastAsia="zh-CN"/>
        </w:rPr>
        <w:t>新县住房和城乡建设局</w:t>
      </w:r>
      <w:r>
        <w:rPr>
          <w:rFonts w:hint="eastAsia" w:ascii="宋体" w:hAnsi="宋体" w:eastAsia="宋体" w:cs="Times New Roman"/>
          <w:sz w:val="24"/>
          <w:u w:val="single"/>
          <w:lang w:val="en-US" w:eastAsia="zh-CN"/>
        </w:rPr>
        <w:t>新县城市体检和城市更新规划（2025-2035年）</w:t>
      </w:r>
      <w:r>
        <w:rPr>
          <w:rFonts w:hint="default" w:ascii="宋体" w:hAnsi="宋体" w:eastAsia="宋体" w:cs="Times New Roman"/>
          <w:sz w:val="24"/>
          <w:u w:val="single"/>
          <w:lang w:val="en-US" w:eastAsia="zh-CN"/>
        </w:rPr>
        <w:t>项目</w:t>
      </w:r>
      <w:r>
        <w:rPr>
          <w:rFonts w:hint="eastAsia" w:ascii="宋体" w:hAnsi="宋体" w:eastAsia="宋体" w:cs="Times New Roman"/>
          <w:sz w:val="24"/>
          <w:u w:val="single"/>
          <w:lang w:val="en-US" w:eastAsia="zh-CN"/>
        </w:rPr>
        <w:t xml:space="preserve"> </w:t>
      </w:r>
      <w:r>
        <w:rPr>
          <w:rFonts w:hint="eastAsia" w:ascii="宋体" w:hAnsi="宋体"/>
          <w:sz w:val="24"/>
        </w:rPr>
        <w:t>的潜在供应商应在</w:t>
      </w:r>
      <w:r>
        <w:rPr>
          <w:rFonts w:hint="eastAsia"/>
          <w:color w:val="333333"/>
          <w:u w:val="single"/>
          <w:lang w:val="en-US"/>
        </w:rPr>
        <w:t>“</w:t>
      </w:r>
      <w:r>
        <w:rPr>
          <w:rFonts w:hint="eastAsia"/>
          <w:color w:val="333333"/>
          <w:sz w:val="24"/>
          <w:szCs w:val="24"/>
          <w:u w:val="single"/>
        </w:rPr>
        <w:t>全国公共资源交易平台</w:t>
      </w:r>
      <w:r>
        <w:rPr>
          <w:rFonts w:hint="eastAsia"/>
          <w:color w:val="333333"/>
          <w:sz w:val="24"/>
          <w:szCs w:val="24"/>
          <w:u w:val="single"/>
          <w:lang w:val="en-US"/>
        </w:rPr>
        <w:t>（</w:t>
      </w:r>
      <w:r>
        <w:rPr>
          <w:rFonts w:hint="eastAsia"/>
          <w:color w:val="333333"/>
          <w:sz w:val="24"/>
          <w:szCs w:val="24"/>
          <w:u w:val="single"/>
        </w:rPr>
        <w:t>河南省</w:t>
      </w:r>
      <w:r>
        <w:rPr>
          <w:rFonts w:hint="eastAsia"/>
          <w:color w:val="333333"/>
          <w:sz w:val="24"/>
          <w:szCs w:val="24"/>
          <w:u w:val="single"/>
          <w:lang w:val="en-US"/>
        </w:rPr>
        <w:t>·</w:t>
      </w:r>
      <w:r>
        <w:rPr>
          <w:rFonts w:hint="eastAsia"/>
          <w:color w:val="333333"/>
          <w:sz w:val="24"/>
          <w:szCs w:val="24"/>
          <w:u w:val="single"/>
        </w:rPr>
        <w:t>新县</w:t>
      </w:r>
      <w:r>
        <w:rPr>
          <w:rFonts w:hint="eastAsia"/>
          <w:color w:val="333333"/>
          <w:sz w:val="24"/>
          <w:szCs w:val="24"/>
          <w:u w:val="single"/>
          <w:lang w:val="en-US"/>
        </w:rPr>
        <w:t>）</w:t>
      </w:r>
      <w:r>
        <w:rPr>
          <w:rFonts w:hint="eastAsia"/>
          <w:color w:val="auto"/>
          <w:sz w:val="24"/>
          <w:szCs w:val="24"/>
          <w:u w:val="single"/>
          <w:lang w:val="en-US"/>
        </w:rPr>
        <w:t>（</w:t>
      </w:r>
      <w:r>
        <w:rPr>
          <w:color w:val="auto"/>
        </w:rPr>
        <w:fldChar w:fldCharType="begin"/>
      </w:r>
      <w:r>
        <w:rPr>
          <w:color w:val="auto"/>
        </w:rPr>
        <w:instrText xml:space="preserve"> HYPERLINK "http://xinxian.xyggzyjy.cn/）获取磋商文件，并与2025年02月" </w:instrText>
      </w:r>
      <w:r>
        <w:rPr>
          <w:color w:val="auto"/>
        </w:rPr>
        <w:fldChar w:fldCharType="separate"/>
      </w:r>
      <w:r>
        <w:rPr>
          <w:rStyle w:val="37"/>
          <w:rFonts w:hint="eastAsia"/>
          <w:color w:val="auto"/>
          <w:sz w:val="24"/>
          <w:szCs w:val="24"/>
          <w:lang w:val="en-US"/>
        </w:rPr>
        <w:t>http://xinxian.xyggzyjy.cn/</w:t>
      </w:r>
      <w:r>
        <w:rPr>
          <w:rStyle w:val="37"/>
          <w:rFonts w:ascii="Times New Roman" w:hAnsi="Times New Roman" w:cs="Times New Roman"/>
          <w:color w:val="auto"/>
          <w:sz w:val="24"/>
          <w:szCs w:val="24"/>
          <w:lang w:val="en-US"/>
        </w:rPr>
        <w:t>）</w:t>
      </w:r>
      <w:r>
        <w:rPr>
          <w:rStyle w:val="37"/>
          <w:rFonts w:hint="eastAsia"/>
          <w:color w:val="auto"/>
          <w:sz w:val="24"/>
          <w:szCs w:val="24"/>
          <w:lang w:val="en-US" w:bidi="ar"/>
        </w:rPr>
        <w:t>获取磋商文件，并与</w:t>
      </w:r>
      <w:r>
        <w:rPr>
          <w:rStyle w:val="37"/>
          <w:rFonts w:hint="eastAsia"/>
          <w:color w:val="auto"/>
          <w:sz w:val="24"/>
          <w:szCs w:val="24"/>
          <w:lang w:val="en-US" w:eastAsia="zh-CN" w:bidi="ar"/>
        </w:rPr>
        <w:t xml:space="preserve"> 2026</w:t>
      </w:r>
      <w:r>
        <w:rPr>
          <w:rStyle w:val="37"/>
          <w:rFonts w:hint="eastAsia"/>
          <w:color w:val="auto"/>
          <w:sz w:val="24"/>
          <w:szCs w:val="24"/>
          <w:lang w:val="en-US" w:bidi="ar"/>
        </w:rPr>
        <w:t>年</w:t>
      </w:r>
      <w:r>
        <w:rPr>
          <w:rStyle w:val="37"/>
          <w:rFonts w:hint="eastAsia"/>
          <w:color w:val="auto"/>
          <w:sz w:val="24"/>
          <w:szCs w:val="24"/>
          <w:lang w:val="en-US" w:eastAsia="zh-CN" w:bidi="ar"/>
        </w:rPr>
        <w:t xml:space="preserve"> 02 </w:t>
      </w:r>
      <w:r>
        <w:rPr>
          <w:rStyle w:val="37"/>
          <w:rFonts w:hint="eastAsia"/>
          <w:color w:val="auto"/>
          <w:sz w:val="24"/>
          <w:szCs w:val="24"/>
          <w:lang w:val="en-US" w:bidi="ar"/>
        </w:rPr>
        <w:t>月</w:t>
      </w:r>
      <w:r>
        <w:rPr>
          <w:rStyle w:val="37"/>
          <w:rFonts w:hint="eastAsia"/>
          <w:color w:val="auto"/>
          <w:sz w:val="24"/>
          <w:szCs w:val="24"/>
          <w:lang w:val="en-US" w:bidi="ar"/>
        </w:rPr>
        <w:fldChar w:fldCharType="end"/>
      </w:r>
      <w:r>
        <w:rPr>
          <w:rStyle w:val="37"/>
          <w:rFonts w:hint="eastAsia"/>
          <w:color w:val="auto"/>
          <w:sz w:val="24"/>
          <w:szCs w:val="24"/>
          <w:lang w:val="en-US" w:eastAsia="zh-CN" w:bidi="ar"/>
        </w:rPr>
        <w:t xml:space="preserve"> 28 </w:t>
      </w:r>
      <w:r>
        <w:rPr>
          <w:sz w:val="24"/>
          <w:szCs w:val="24"/>
          <w:lang w:val="en-US" w:bidi="ar"/>
        </w:rPr>
        <w:t>日</w:t>
      </w:r>
      <w:r>
        <w:rPr>
          <w:rFonts w:hint="eastAsia"/>
          <w:sz w:val="24"/>
          <w:szCs w:val="24"/>
          <w:lang w:val="en-US" w:bidi="ar"/>
        </w:rPr>
        <w:t>0</w:t>
      </w:r>
      <w:r>
        <w:rPr>
          <w:sz w:val="24"/>
          <w:szCs w:val="24"/>
          <w:lang w:val="en-US" w:bidi="ar"/>
        </w:rPr>
        <w:t>9</w:t>
      </w:r>
      <w:r>
        <w:rPr>
          <w:rFonts w:hint="eastAsia"/>
          <w:sz w:val="24"/>
          <w:szCs w:val="24"/>
          <w:lang w:val="en-US" w:bidi="ar"/>
        </w:rPr>
        <w:t>时</w:t>
      </w:r>
      <w:r>
        <w:rPr>
          <w:sz w:val="24"/>
          <w:szCs w:val="24"/>
          <w:lang w:val="en-US" w:bidi="ar"/>
        </w:rPr>
        <w:t>00</w:t>
      </w:r>
      <w:r>
        <w:rPr>
          <w:rFonts w:hint="eastAsia"/>
          <w:sz w:val="24"/>
          <w:szCs w:val="24"/>
          <w:lang w:val="en-US" w:bidi="ar"/>
        </w:rPr>
        <w:t>分</w:t>
      </w:r>
      <w:r>
        <w:rPr>
          <w:rFonts w:hint="eastAsia"/>
          <w:color w:val="333333"/>
          <w:sz w:val="24"/>
          <w:szCs w:val="24"/>
          <w:lang w:val="en-US" w:bidi="ar"/>
        </w:rPr>
        <w:t>（北京时间）前上传响应文件。</w:t>
      </w:r>
    </w:p>
    <w:p w14:paraId="2012FA1E">
      <w:pPr>
        <w:rPr>
          <w:rFonts w:ascii="宋体" w:hAnsi="宋体"/>
          <w:sz w:val="24"/>
        </w:rPr>
      </w:pPr>
    </w:p>
    <w:p w14:paraId="6E867E6C">
      <w:pPr>
        <w:pStyle w:val="9"/>
        <w:jc w:val="left"/>
        <w:rPr>
          <w:rFonts w:hint="eastAsia" w:ascii="宋体" w:hAnsi="宋体" w:eastAsia="宋体" w:cs="宋体"/>
          <w:b/>
          <w:bCs/>
          <w:color w:val="000000"/>
          <w:kern w:val="0"/>
          <w:sz w:val="22"/>
          <w:szCs w:val="24"/>
          <w:shd w:val="clear" w:color="auto" w:fill="FFFFFF"/>
          <w:lang w:val="zh-CN" w:eastAsia="zh-CN" w:bidi="zh-CN"/>
        </w:rPr>
      </w:pPr>
      <w:bookmarkStart w:id="11" w:name="_Toc20860"/>
      <w:r>
        <w:rPr>
          <w:rFonts w:hint="eastAsia" w:ascii="宋体" w:hAnsi="宋体" w:eastAsia="宋体" w:cs="宋体"/>
          <w:b/>
          <w:bCs/>
          <w:color w:val="000000"/>
          <w:kern w:val="0"/>
          <w:sz w:val="22"/>
          <w:szCs w:val="24"/>
          <w:shd w:val="clear" w:color="auto" w:fill="FFFFFF"/>
          <w:lang w:val="zh-CN" w:eastAsia="zh-CN" w:bidi="zh-CN"/>
        </w:rPr>
        <w:t>一、项目基本情况</w:t>
      </w:r>
      <w:bookmarkEnd w:id="7"/>
      <w:bookmarkEnd w:id="8"/>
      <w:bookmarkEnd w:id="9"/>
      <w:bookmarkEnd w:id="10"/>
      <w:bookmarkEnd w:id="11"/>
    </w:p>
    <w:p w14:paraId="32E60685">
      <w:pPr>
        <w:spacing w:line="360" w:lineRule="auto"/>
        <w:ind w:firstLine="440" w:firstLineChars="200"/>
        <w:rPr>
          <w:rFonts w:hint="default" w:ascii="宋体" w:hAnsi="宋体" w:eastAsia="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rPr>
        <w:t xml:space="preserve">1.项目编号： </w:t>
      </w:r>
      <w:r>
        <w:rPr>
          <w:rFonts w:hint="eastAsia" w:ascii="宋体" w:hAnsi="宋体" w:eastAsia="宋体" w:cs="宋体"/>
          <w:color w:val="000000"/>
          <w:kern w:val="0"/>
          <w:szCs w:val="21"/>
          <w:shd w:val="clear" w:color="auto" w:fill="FFFFFF"/>
          <w:lang w:val="en-US"/>
        </w:rPr>
        <w:t>新财磋商采购-202</w:t>
      </w:r>
      <w:r>
        <w:rPr>
          <w:rFonts w:hint="eastAsia" w:ascii="宋体" w:hAnsi="宋体" w:eastAsia="宋体" w:cs="宋体"/>
          <w:color w:val="000000"/>
          <w:kern w:val="0"/>
          <w:szCs w:val="21"/>
          <w:shd w:val="clear" w:color="auto" w:fill="FFFFFF"/>
          <w:lang w:val="en-US" w:eastAsia="zh-CN"/>
        </w:rPr>
        <w:t>6</w:t>
      </w:r>
      <w:r>
        <w:rPr>
          <w:rFonts w:hint="eastAsia" w:ascii="宋体" w:hAnsi="宋体" w:eastAsia="宋体" w:cs="宋体"/>
          <w:color w:val="000000"/>
          <w:kern w:val="0"/>
          <w:szCs w:val="21"/>
          <w:shd w:val="clear" w:color="auto" w:fill="FFFFFF"/>
          <w:lang w:val="en-US"/>
        </w:rPr>
        <w:t>-</w:t>
      </w:r>
      <w:r>
        <w:rPr>
          <w:rFonts w:hint="eastAsia" w:cs="宋体"/>
          <w:color w:val="000000"/>
          <w:kern w:val="0"/>
          <w:szCs w:val="21"/>
          <w:shd w:val="clear" w:color="auto" w:fill="FFFFFF"/>
          <w:lang w:val="en-US" w:eastAsia="zh-CN"/>
        </w:rPr>
        <w:t>11</w:t>
      </w:r>
    </w:p>
    <w:p w14:paraId="06184319">
      <w:pPr>
        <w:spacing w:line="360" w:lineRule="auto"/>
        <w:ind w:firstLine="440" w:firstLineChars="20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2.项目名称：</w:t>
      </w:r>
      <w:r>
        <w:rPr>
          <w:rFonts w:hint="eastAsia" w:ascii="宋体" w:hAnsi="宋体" w:eastAsia="宋体" w:cs="宋体"/>
          <w:color w:val="000000"/>
          <w:kern w:val="0"/>
          <w:szCs w:val="21"/>
          <w:shd w:val="clear" w:color="auto" w:fill="FFFFFF"/>
          <w:lang w:val="en-US" w:eastAsia="zh-CN"/>
        </w:rPr>
        <w:t>新县住房和城乡建设局新县城市体检和城市更新规划（2025-2035年）</w:t>
      </w:r>
      <w:r>
        <w:rPr>
          <w:rFonts w:hint="default" w:ascii="宋体" w:hAnsi="宋体" w:eastAsia="宋体" w:cs="宋体"/>
          <w:color w:val="000000"/>
          <w:kern w:val="0"/>
          <w:szCs w:val="21"/>
          <w:shd w:val="clear" w:color="auto" w:fill="FFFFFF"/>
          <w:lang w:val="en-US" w:eastAsia="zh-CN"/>
        </w:rPr>
        <w:t>项目</w:t>
      </w:r>
    </w:p>
    <w:p w14:paraId="3F6AE436">
      <w:pPr>
        <w:spacing w:line="360" w:lineRule="auto"/>
        <w:ind w:firstLine="440" w:firstLineChars="20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3.采购方式：</w:t>
      </w:r>
      <w:r>
        <w:rPr>
          <w:rFonts w:hint="eastAsia" w:ascii="宋体" w:hAnsi="宋体" w:eastAsia="宋体" w:cs="宋体"/>
          <w:color w:val="000000"/>
          <w:kern w:val="0"/>
          <w:szCs w:val="21"/>
          <w:shd w:val="clear" w:color="auto" w:fill="FFFFFF"/>
          <w:lang w:val="en-US" w:eastAsia="zh-CN"/>
        </w:rPr>
        <w:t xml:space="preserve">竞争性磋商 </w:t>
      </w:r>
    </w:p>
    <w:p w14:paraId="1063C005">
      <w:pPr>
        <w:spacing w:line="360" w:lineRule="auto"/>
        <w:ind w:firstLine="440" w:firstLineChars="200"/>
        <w:rPr>
          <w:rFonts w:hint="default" w:ascii="宋体" w:hAnsi="宋体" w:eastAsia="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rPr>
        <w:t>4.预算金额：</w:t>
      </w:r>
      <w:r>
        <w:rPr>
          <w:rFonts w:hint="eastAsia" w:ascii="宋体" w:hAnsi="宋体" w:cs="宋体"/>
          <w:color w:val="000000"/>
          <w:kern w:val="0"/>
          <w:szCs w:val="21"/>
          <w:shd w:val="clear" w:color="auto" w:fill="FFFFFF"/>
          <w:lang w:val="en-US" w:eastAsia="zh-CN"/>
        </w:rPr>
        <w:t>1280000元</w:t>
      </w:r>
    </w:p>
    <w:p w14:paraId="792B5EFD">
      <w:pPr>
        <w:spacing w:line="360" w:lineRule="auto"/>
        <w:ind w:firstLine="440" w:firstLineChars="200"/>
        <w:rPr>
          <w:rFonts w:hint="default" w:ascii="宋体" w:hAnsi="宋体" w:eastAsia="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rPr>
        <w:t>最高限价：</w:t>
      </w:r>
      <w:r>
        <w:rPr>
          <w:rFonts w:hint="eastAsia" w:ascii="宋体" w:hAnsi="宋体" w:cs="宋体"/>
          <w:color w:val="000000"/>
          <w:kern w:val="0"/>
          <w:szCs w:val="21"/>
          <w:shd w:val="clear" w:color="auto" w:fill="FFFFFF"/>
          <w:lang w:val="en-US" w:eastAsia="zh-CN"/>
        </w:rPr>
        <w:t>1280000元</w:t>
      </w:r>
    </w:p>
    <w:tbl>
      <w:tblPr>
        <w:tblStyle w:val="27"/>
        <w:tblW w:w="884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85"/>
        <w:gridCol w:w="2574"/>
        <w:gridCol w:w="2040"/>
        <w:gridCol w:w="1799"/>
        <w:gridCol w:w="1943"/>
      </w:tblGrid>
      <w:tr w14:paraId="5393B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9" w:hRule="atLeast"/>
          <w:tblCellSpacing w:w="0" w:type="dxa"/>
          <w:jc w:val="center"/>
        </w:trPr>
        <w:tc>
          <w:tcPr>
            <w:tcW w:w="511" w:type="dxa"/>
            <w:shd w:val="clear" w:color="auto" w:fill="FFFFFF"/>
            <w:noWrap w:val="0"/>
            <w:vAlign w:val="center"/>
          </w:tcPr>
          <w:p w14:paraId="05850279">
            <w:pPr>
              <w:spacing w:line="360" w:lineRule="auto"/>
              <w:jc w:val="center"/>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序号</w:t>
            </w:r>
          </w:p>
        </w:tc>
        <w:tc>
          <w:tcPr>
            <w:tcW w:w="2276" w:type="dxa"/>
            <w:shd w:val="clear" w:color="auto" w:fill="FFFFFF"/>
            <w:noWrap w:val="0"/>
            <w:vAlign w:val="center"/>
          </w:tcPr>
          <w:p w14:paraId="1A3243B4">
            <w:pPr>
              <w:spacing w:line="360" w:lineRule="auto"/>
              <w:jc w:val="center"/>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包号</w:t>
            </w:r>
          </w:p>
        </w:tc>
        <w:tc>
          <w:tcPr>
            <w:tcW w:w="2175" w:type="dxa"/>
            <w:shd w:val="clear" w:color="auto" w:fill="FFFFFF"/>
            <w:noWrap w:val="0"/>
            <w:vAlign w:val="center"/>
          </w:tcPr>
          <w:p w14:paraId="31330A0A">
            <w:pPr>
              <w:spacing w:line="360" w:lineRule="auto"/>
              <w:jc w:val="center"/>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包名称</w:t>
            </w:r>
          </w:p>
        </w:tc>
        <w:tc>
          <w:tcPr>
            <w:tcW w:w="1860" w:type="dxa"/>
            <w:shd w:val="clear" w:color="auto" w:fill="FFFFFF"/>
            <w:noWrap w:val="0"/>
            <w:vAlign w:val="center"/>
          </w:tcPr>
          <w:p w14:paraId="7F719B1D">
            <w:pPr>
              <w:spacing w:line="360" w:lineRule="auto"/>
              <w:jc w:val="center"/>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包预算（元）</w:t>
            </w:r>
          </w:p>
        </w:tc>
        <w:tc>
          <w:tcPr>
            <w:tcW w:w="2019" w:type="dxa"/>
            <w:shd w:val="clear" w:color="auto" w:fill="FFFFFF"/>
            <w:noWrap w:val="0"/>
            <w:vAlign w:val="center"/>
          </w:tcPr>
          <w:p w14:paraId="5B8CEFCB">
            <w:pPr>
              <w:spacing w:line="360" w:lineRule="auto"/>
              <w:jc w:val="center"/>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包最高限价（元）</w:t>
            </w:r>
          </w:p>
        </w:tc>
      </w:tr>
      <w:tr w14:paraId="7C075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9" w:hRule="atLeast"/>
          <w:tblCellSpacing w:w="0" w:type="dxa"/>
          <w:jc w:val="center"/>
        </w:trPr>
        <w:tc>
          <w:tcPr>
            <w:tcW w:w="0" w:type="auto"/>
            <w:shd w:val="clear" w:color="auto" w:fill="FFFFFF"/>
            <w:noWrap w:val="0"/>
            <w:vAlign w:val="center"/>
          </w:tcPr>
          <w:p w14:paraId="21561A78">
            <w:pPr>
              <w:spacing w:line="360" w:lineRule="auto"/>
              <w:jc w:val="center"/>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w:t>
            </w:r>
          </w:p>
        </w:tc>
        <w:tc>
          <w:tcPr>
            <w:tcW w:w="0" w:type="auto"/>
            <w:shd w:val="clear" w:color="auto" w:fill="FFFFFF"/>
            <w:noWrap w:val="0"/>
            <w:vAlign w:val="center"/>
          </w:tcPr>
          <w:p w14:paraId="450A686C">
            <w:pPr>
              <w:spacing w:line="360" w:lineRule="auto"/>
              <w:ind w:firstLine="420" w:firstLineChars="200"/>
              <w:jc w:val="center"/>
              <w:rPr>
                <w:rFonts w:hint="default" w:ascii="宋体" w:hAnsi="宋体" w:cs="宋体"/>
                <w:color w:val="000000"/>
                <w:kern w:val="0"/>
                <w:szCs w:val="21"/>
                <w:shd w:val="clear" w:color="auto" w:fill="FFFFFF"/>
                <w:lang w:val="en-US"/>
              </w:rPr>
            </w:pPr>
            <w:r>
              <w:rPr>
                <w:rFonts w:hint="eastAsia" w:ascii="宋体" w:hAnsi="宋体" w:eastAsia="宋体" w:cs="宋体"/>
                <w:color w:val="auto"/>
                <w:sz w:val="21"/>
                <w:szCs w:val="21"/>
                <w:highlight w:val="none"/>
                <w:lang w:val="en-US" w:eastAsia="zh-CN"/>
              </w:rPr>
              <w:t>新财磋商采购-2026-</w:t>
            </w:r>
            <w:r>
              <w:rPr>
                <w:rFonts w:hint="eastAsia" w:cs="宋体"/>
                <w:color w:val="auto"/>
                <w:sz w:val="21"/>
                <w:szCs w:val="21"/>
                <w:highlight w:val="none"/>
                <w:lang w:val="en-US" w:eastAsia="zh-CN"/>
              </w:rPr>
              <w:t>11-1</w:t>
            </w:r>
          </w:p>
        </w:tc>
        <w:tc>
          <w:tcPr>
            <w:tcW w:w="2175" w:type="dxa"/>
            <w:shd w:val="clear" w:color="auto" w:fill="FFFFFF"/>
            <w:noWrap w:val="0"/>
            <w:vAlign w:val="center"/>
          </w:tcPr>
          <w:p w14:paraId="58105060">
            <w:pPr>
              <w:spacing w:line="360" w:lineRule="auto"/>
              <w:jc w:val="center"/>
              <w:rPr>
                <w:rFonts w:hint="eastAsia" w:ascii="宋体" w:hAnsi="宋体" w:cs="宋体"/>
                <w:color w:val="000000"/>
                <w:kern w:val="0"/>
                <w:szCs w:val="21"/>
                <w:shd w:val="clear" w:color="auto" w:fill="FFFFFF"/>
              </w:rPr>
            </w:pPr>
            <w:r>
              <w:rPr>
                <w:rFonts w:hint="eastAsia" w:ascii="宋体" w:hAnsi="宋体" w:eastAsia="宋体" w:cs="宋体"/>
                <w:color w:val="000000"/>
                <w:kern w:val="0"/>
                <w:szCs w:val="21"/>
                <w:shd w:val="clear" w:color="auto" w:fill="FFFFFF"/>
                <w:lang w:val="en-US" w:eastAsia="zh-CN"/>
              </w:rPr>
              <w:t>新县住房和城乡建设局新县城市体检和城市更新规划（2025-2035年）</w:t>
            </w:r>
            <w:r>
              <w:rPr>
                <w:rFonts w:hint="default" w:ascii="宋体" w:hAnsi="宋体" w:eastAsia="宋体" w:cs="宋体"/>
                <w:color w:val="000000"/>
                <w:kern w:val="0"/>
                <w:szCs w:val="21"/>
                <w:shd w:val="clear" w:color="auto" w:fill="FFFFFF"/>
                <w:lang w:val="en-US" w:eastAsia="zh-CN"/>
              </w:rPr>
              <w:t>项目</w:t>
            </w:r>
          </w:p>
        </w:tc>
        <w:tc>
          <w:tcPr>
            <w:tcW w:w="1860" w:type="dxa"/>
            <w:shd w:val="clear" w:color="auto" w:fill="FFFFFF"/>
            <w:noWrap w:val="0"/>
            <w:vAlign w:val="center"/>
          </w:tcPr>
          <w:p w14:paraId="44387A49">
            <w:pPr>
              <w:spacing w:line="360" w:lineRule="auto"/>
              <w:ind w:firstLine="440" w:firstLineChars="200"/>
              <w:jc w:val="center"/>
              <w:rPr>
                <w:rFonts w:hint="default" w:ascii="宋体" w:hAnsi="宋体" w:eastAsia="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lang w:val="en-US" w:eastAsia="zh-CN"/>
              </w:rPr>
              <w:t>1280000</w:t>
            </w:r>
          </w:p>
        </w:tc>
        <w:tc>
          <w:tcPr>
            <w:tcW w:w="2019" w:type="dxa"/>
            <w:shd w:val="clear" w:color="auto" w:fill="FFFFFF"/>
            <w:noWrap w:val="0"/>
            <w:vAlign w:val="center"/>
          </w:tcPr>
          <w:p w14:paraId="3FE1D2F6">
            <w:pPr>
              <w:spacing w:line="360" w:lineRule="auto"/>
              <w:ind w:firstLine="440" w:firstLineChars="200"/>
              <w:jc w:val="center"/>
              <w:rPr>
                <w:rFonts w:hint="default" w:ascii="宋体" w:hAnsi="宋体" w:eastAsia="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lang w:val="en-US" w:eastAsia="zh-CN"/>
              </w:rPr>
              <w:t>1280000</w:t>
            </w:r>
          </w:p>
        </w:tc>
      </w:tr>
    </w:tbl>
    <w:p w14:paraId="358F802B">
      <w:pPr>
        <w:numPr>
          <w:ilvl w:val="0"/>
          <w:numId w:val="1"/>
        </w:numPr>
        <w:spacing w:line="400" w:lineRule="exact"/>
        <w:ind w:firstLine="440" w:firstLineChars="20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采购需求：（包括但不限于标的的名称、数量、简要技术需求或服务要求等）</w:t>
      </w:r>
    </w:p>
    <w:p w14:paraId="614E0F3B">
      <w:pPr>
        <w:spacing w:line="360" w:lineRule="auto"/>
        <w:ind w:firstLine="440" w:firstLineChars="200"/>
        <w:rPr>
          <w:rFonts w:hint="eastAsia" w:ascii="宋体" w:hAnsi="宋体" w:cs="宋体"/>
          <w:szCs w:val="21"/>
        </w:rPr>
      </w:pPr>
      <w:r>
        <w:rPr>
          <w:rFonts w:hint="eastAsia" w:ascii="宋体" w:hAnsi="宋体" w:cs="宋体"/>
          <w:szCs w:val="21"/>
        </w:rPr>
        <w:t xml:space="preserve">5.1采购范围： </w:t>
      </w:r>
      <w:r>
        <w:rPr>
          <w:rFonts w:hint="eastAsia" w:ascii="宋体" w:hAnsi="宋体" w:eastAsia="宋体" w:cs="宋体"/>
          <w:szCs w:val="21"/>
        </w:rPr>
        <w:t>编制《新县城市体检规划》和《新县城市更新规划（2025-2035年）》两个规划</w:t>
      </w:r>
    </w:p>
    <w:p w14:paraId="168E1D56">
      <w:pPr>
        <w:spacing w:line="360" w:lineRule="auto"/>
        <w:ind w:firstLine="440" w:firstLineChars="200"/>
        <w:rPr>
          <w:rFonts w:hint="eastAsia" w:ascii="宋体" w:hAnsi="宋体" w:cs="宋体"/>
          <w:szCs w:val="21"/>
        </w:rPr>
      </w:pPr>
      <w:r>
        <w:rPr>
          <w:rFonts w:hint="eastAsia" w:ascii="宋体" w:hAnsi="宋体" w:cs="宋体"/>
          <w:szCs w:val="21"/>
        </w:rPr>
        <w:t>5.2标包划分：</w:t>
      </w:r>
      <w:r>
        <w:rPr>
          <w:rFonts w:hint="eastAsia" w:ascii="宋体" w:hAnsi="宋体" w:cs="宋体"/>
          <w:szCs w:val="21"/>
          <w:lang w:val="en-US" w:eastAsia="zh-CN"/>
        </w:rPr>
        <w:t>1</w:t>
      </w:r>
      <w:r>
        <w:rPr>
          <w:rFonts w:hint="eastAsia" w:ascii="宋体" w:hAnsi="宋体" w:cs="宋体"/>
          <w:szCs w:val="21"/>
        </w:rPr>
        <w:t>个标包</w:t>
      </w:r>
    </w:p>
    <w:p w14:paraId="45D8F849">
      <w:pPr>
        <w:spacing w:line="360" w:lineRule="auto"/>
        <w:ind w:firstLine="440" w:firstLineChars="200"/>
        <w:rPr>
          <w:rFonts w:hint="eastAsia" w:ascii="宋体" w:hAnsi="宋体" w:cs="宋体"/>
          <w:szCs w:val="21"/>
        </w:rPr>
      </w:pPr>
      <w:r>
        <w:rPr>
          <w:rFonts w:hint="eastAsia" w:ascii="宋体" w:hAnsi="宋体" w:cs="宋体"/>
          <w:szCs w:val="21"/>
        </w:rPr>
        <w:t>5.3资金来源：财政资金，已落实</w:t>
      </w:r>
    </w:p>
    <w:p w14:paraId="1533F0B5">
      <w:pPr>
        <w:spacing w:line="360" w:lineRule="auto"/>
        <w:ind w:firstLine="440" w:firstLineChars="200"/>
        <w:rPr>
          <w:rFonts w:hint="eastAsia" w:ascii="宋体" w:hAnsi="宋体" w:cs="宋体"/>
          <w:szCs w:val="21"/>
        </w:rPr>
      </w:pPr>
      <w:r>
        <w:rPr>
          <w:rFonts w:hint="eastAsia" w:ascii="宋体" w:hAnsi="宋体" w:cs="宋体"/>
          <w:szCs w:val="21"/>
        </w:rPr>
        <w:t>5.4服务地点：</w:t>
      </w:r>
      <w:r>
        <w:rPr>
          <w:rFonts w:hint="eastAsia" w:ascii="宋体" w:hAnsi="宋体" w:cs="宋体"/>
          <w:szCs w:val="21"/>
          <w:lang w:val="en-US" w:eastAsia="zh-CN"/>
        </w:rPr>
        <w:t>新县</w:t>
      </w:r>
      <w:r>
        <w:rPr>
          <w:rFonts w:hint="eastAsia" w:ascii="宋体" w:hAnsi="宋体" w:cs="宋体"/>
          <w:szCs w:val="21"/>
        </w:rPr>
        <w:t xml:space="preserve"> </w:t>
      </w:r>
    </w:p>
    <w:p w14:paraId="0095B25D">
      <w:pPr>
        <w:spacing w:line="360" w:lineRule="auto"/>
        <w:ind w:firstLine="440" w:firstLineChars="20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6.合同履行期限：</w:t>
      </w:r>
      <w:r>
        <w:rPr>
          <w:rFonts w:hint="eastAsia" w:cs="宋体"/>
          <w:szCs w:val="21"/>
          <w:lang w:val="en-US" w:eastAsia="zh-CN"/>
        </w:rPr>
        <w:t>90</w:t>
      </w:r>
      <w:r>
        <w:rPr>
          <w:rFonts w:hint="eastAsia" w:ascii="宋体" w:hAnsi="宋体" w:cs="宋体"/>
          <w:szCs w:val="21"/>
          <w:lang w:val="en-US" w:eastAsia="zh-CN"/>
        </w:rPr>
        <w:t>日历天</w:t>
      </w:r>
    </w:p>
    <w:p w14:paraId="24542650">
      <w:pPr>
        <w:spacing w:line="360" w:lineRule="auto"/>
        <w:ind w:firstLine="440" w:firstLineChars="200"/>
        <w:rPr>
          <w:rFonts w:hint="eastAsia" w:ascii="宋体" w:hAnsi="宋体" w:eastAsia="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rPr>
        <w:t xml:space="preserve">7.本项目（是/否）接受联合体: </w:t>
      </w:r>
      <w:r>
        <w:rPr>
          <w:rFonts w:hint="eastAsia" w:ascii="宋体" w:hAnsi="宋体" w:cs="宋体"/>
          <w:color w:val="000000"/>
          <w:kern w:val="0"/>
          <w:szCs w:val="21"/>
          <w:shd w:val="clear" w:color="auto" w:fill="FFFFFF"/>
          <w:lang w:val="en-US" w:eastAsia="zh-CN"/>
        </w:rPr>
        <w:t>否</w:t>
      </w:r>
    </w:p>
    <w:p w14:paraId="5B2041CF">
      <w:pPr>
        <w:spacing w:line="360" w:lineRule="auto"/>
        <w:ind w:firstLine="440" w:firstLineChars="200"/>
        <w:rPr>
          <w:rFonts w:hint="eastAsia" w:ascii="宋体" w:hAnsi="宋体" w:cs="宋体"/>
          <w:color w:val="000000"/>
          <w:kern w:val="0"/>
          <w:szCs w:val="21"/>
          <w:shd w:val="clear" w:color="auto" w:fill="FFFFFF"/>
          <w:lang w:val="en-US" w:eastAsia="zh-CN"/>
        </w:rPr>
      </w:pPr>
      <w:r>
        <w:rPr>
          <w:rFonts w:hint="eastAsia" w:ascii="宋体" w:hAnsi="宋体" w:cs="宋体"/>
          <w:color w:val="000000"/>
          <w:kern w:val="0"/>
          <w:szCs w:val="21"/>
          <w:shd w:val="clear" w:color="auto" w:fill="FFFFFF"/>
        </w:rPr>
        <w:t>8.是否接受进口产品：</w:t>
      </w:r>
      <w:r>
        <w:rPr>
          <w:rFonts w:hint="eastAsia" w:ascii="宋体" w:hAnsi="宋体" w:cs="宋体"/>
          <w:color w:val="000000"/>
          <w:kern w:val="0"/>
          <w:szCs w:val="21"/>
          <w:shd w:val="clear" w:color="auto" w:fill="FFFFFF"/>
          <w:lang w:val="en-US" w:eastAsia="zh-CN"/>
        </w:rPr>
        <w:t>否</w:t>
      </w:r>
    </w:p>
    <w:p w14:paraId="1B38667E">
      <w:pPr>
        <w:spacing w:line="360" w:lineRule="auto"/>
        <w:ind w:firstLine="440" w:firstLineChars="2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rPr>
        <w:t>9</w:t>
      </w:r>
      <w:r>
        <w:rPr>
          <w:rFonts w:hint="eastAsia" w:ascii="宋体" w:hAnsi="宋体" w:eastAsia="宋体" w:cs="宋体"/>
          <w:color w:val="000000"/>
          <w:kern w:val="0"/>
          <w:szCs w:val="21"/>
          <w:shd w:val="clear" w:color="auto" w:fill="FFFFFF"/>
          <w:lang w:val="en-US" w:eastAsia="zh-CN"/>
        </w:rPr>
        <w:t>.</w:t>
      </w:r>
      <w:r>
        <w:rPr>
          <w:rFonts w:hint="eastAsia" w:ascii="宋体" w:hAnsi="宋体" w:eastAsia="宋体" w:cs="宋体"/>
          <w:color w:val="000000"/>
          <w:kern w:val="0"/>
          <w:szCs w:val="21"/>
          <w:shd w:val="clear" w:color="auto" w:fill="FFFFFF"/>
          <w:lang w:val="en-US"/>
        </w:rPr>
        <w:t>是否专门面向中小企业：</w:t>
      </w:r>
      <w:bookmarkStart w:id="12" w:name="_Toc35393630"/>
      <w:bookmarkStart w:id="13" w:name="_Toc35393799"/>
      <w:bookmarkStart w:id="14" w:name="_Toc28359013"/>
      <w:bookmarkStart w:id="15" w:name="_Toc28359090"/>
      <w:r>
        <w:rPr>
          <w:rFonts w:hint="eastAsia" w:ascii="宋体" w:hAnsi="宋体" w:eastAsia="宋体" w:cs="宋体"/>
          <w:color w:val="000000"/>
          <w:kern w:val="0"/>
          <w:szCs w:val="21"/>
          <w:shd w:val="clear" w:color="auto" w:fill="FFFFFF"/>
          <w:lang w:val="en-US" w:eastAsia="zh-CN"/>
        </w:rPr>
        <w:t>否</w:t>
      </w:r>
    </w:p>
    <w:p w14:paraId="0FD78A4B">
      <w:pPr>
        <w:spacing w:line="360" w:lineRule="auto"/>
        <w:ind w:firstLine="442" w:firstLineChars="200"/>
        <w:rPr>
          <w:rFonts w:hint="eastAsia" w:ascii="宋体" w:hAnsi="宋体" w:cs="宋体"/>
          <w:b/>
          <w:bCs/>
          <w:color w:val="000000"/>
          <w:kern w:val="0"/>
          <w:szCs w:val="24"/>
          <w:shd w:val="clear" w:color="auto" w:fill="FFFFFF"/>
        </w:rPr>
      </w:pPr>
      <w:r>
        <w:rPr>
          <w:rFonts w:hint="eastAsia" w:ascii="宋体" w:hAnsi="宋体" w:cs="宋体"/>
          <w:b/>
          <w:bCs/>
          <w:color w:val="000000"/>
          <w:kern w:val="0"/>
          <w:szCs w:val="24"/>
          <w:shd w:val="clear" w:color="auto" w:fill="FFFFFF"/>
        </w:rPr>
        <w:t>二、申请人的资格要求：</w:t>
      </w:r>
      <w:bookmarkEnd w:id="12"/>
      <w:bookmarkEnd w:id="13"/>
      <w:bookmarkEnd w:id="14"/>
      <w:bookmarkEnd w:id="15"/>
    </w:p>
    <w:p w14:paraId="454E6DEC">
      <w:pPr>
        <w:spacing w:line="360" w:lineRule="auto"/>
        <w:ind w:firstLine="440" w:firstLineChars="20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1.满足《中华人民共和国政府采购法》第二十二条规定；</w:t>
      </w:r>
    </w:p>
    <w:p w14:paraId="5893D057">
      <w:pPr>
        <w:spacing w:line="360" w:lineRule="auto"/>
        <w:ind w:firstLine="440" w:firstLineChars="20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2.落实政府采购政策需满足的资格要求： </w:t>
      </w:r>
    </w:p>
    <w:p w14:paraId="768B3793">
      <w:pPr>
        <w:spacing w:line="360" w:lineRule="auto"/>
        <w:ind w:firstLine="440" w:firstLineChars="2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rPr>
        <w:t>本项目非专门面向中小企业采购</w:t>
      </w:r>
      <w:r>
        <w:rPr>
          <w:rFonts w:hint="eastAsia" w:cs="宋体"/>
          <w:color w:val="000000"/>
          <w:kern w:val="0"/>
          <w:szCs w:val="21"/>
          <w:shd w:val="clear" w:color="auto" w:fill="FFFFFF"/>
          <w:lang w:eastAsia="zh-CN"/>
        </w:rPr>
        <w:t>。</w:t>
      </w:r>
      <w:r>
        <w:rPr>
          <w:rFonts w:hint="eastAsia" w:ascii="宋体" w:hAnsi="宋体" w:eastAsia="宋体" w:cs="宋体"/>
          <w:color w:val="000000"/>
          <w:kern w:val="0"/>
          <w:szCs w:val="21"/>
          <w:shd w:val="clear" w:color="auto" w:fill="FFFFFF"/>
        </w:rPr>
        <w:t>【该项目符合《政府采购</w:t>
      </w:r>
      <w:r>
        <w:rPr>
          <w:rFonts w:hint="eastAsia" w:ascii="宋体" w:hAnsi="宋体" w:eastAsia="宋体" w:cs="宋体"/>
          <w:color w:val="000000"/>
          <w:kern w:val="0"/>
          <w:szCs w:val="21"/>
          <w:shd w:val="clear" w:color="auto" w:fill="FFFFFF"/>
          <w:lang w:val="en-US" w:eastAsia="zh-CN"/>
        </w:rPr>
        <w:t>促进中小企业发展管理办法》（财库【2020】46号）第六条第3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06F857A1">
      <w:pPr>
        <w:spacing w:line="360" w:lineRule="auto"/>
        <w:ind w:firstLine="440" w:firstLineChars="2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3.本项目的特定资格要求：</w:t>
      </w:r>
    </w:p>
    <w:p w14:paraId="5DE989F2">
      <w:pPr>
        <w:spacing w:line="360" w:lineRule="auto"/>
        <w:ind w:firstLine="440" w:firstLineChars="2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 xml:space="preserve">3.1投标人须具有有效的营业执照，并同时具备城乡规划编制乙级及以上资质；  </w:t>
      </w:r>
    </w:p>
    <w:p w14:paraId="74A01D84">
      <w:pPr>
        <w:spacing w:line="360" w:lineRule="auto"/>
        <w:ind w:firstLine="440" w:firstLineChars="200"/>
        <w:rPr>
          <w:rFonts w:hint="eastAsia" w:ascii="宋体" w:hAnsi="宋体" w:eastAsia="宋体" w:cs="宋体"/>
          <w:color w:val="000000"/>
          <w:kern w:val="0"/>
          <w:szCs w:val="21"/>
          <w:shd w:val="clear" w:color="auto" w:fill="FFFFFF"/>
          <w:lang w:val="en-US" w:eastAsia="en-US"/>
        </w:rPr>
      </w:pPr>
      <w:r>
        <w:rPr>
          <w:rFonts w:hint="eastAsia" w:ascii="宋体" w:hAnsi="宋体" w:eastAsia="宋体" w:cs="宋体"/>
          <w:color w:val="000000"/>
          <w:kern w:val="0"/>
          <w:szCs w:val="21"/>
          <w:shd w:val="clear" w:color="auto" w:fill="FFFFFF"/>
          <w:lang w:val="en-US" w:eastAsia="zh-CN"/>
        </w:rPr>
        <w:t>3.2拟派的项目负责人须具有国家注册城乡规划师资格证书并具有高级及以上职称。</w:t>
      </w:r>
    </w:p>
    <w:p w14:paraId="560111F7">
      <w:pPr>
        <w:spacing w:line="360" w:lineRule="auto"/>
        <w:ind w:firstLine="440" w:firstLineChars="200"/>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3.3依据《关于在招标投标活动中对失信被执行人实施联合惩戒的 通知》法（2016）285 号文件要求，投标人应通过“信用中国”网站（</w:t>
      </w:r>
      <w:r>
        <w:rPr>
          <w:rFonts w:hint="eastAsia" w:ascii="宋体" w:hAnsi="宋体" w:eastAsia="宋体" w:cs="宋体"/>
          <w:color w:val="000000"/>
          <w:kern w:val="0"/>
          <w:szCs w:val="21"/>
          <w:shd w:val="clear" w:color="auto" w:fill="FFFFFF"/>
          <w:lang w:val="en-US" w:eastAsia="zh-CN"/>
        </w:rPr>
        <w:fldChar w:fldCharType="begin"/>
      </w:r>
      <w:r>
        <w:rPr>
          <w:rFonts w:hint="eastAsia" w:ascii="宋体" w:hAnsi="宋体" w:eastAsia="宋体" w:cs="宋体"/>
          <w:color w:val="000000"/>
          <w:kern w:val="0"/>
          <w:szCs w:val="21"/>
          <w:shd w:val="clear" w:color="auto" w:fill="FFFFFF"/>
          <w:lang w:val="en-US" w:eastAsia="zh-CN"/>
        </w:rPr>
        <w:instrText xml:space="preserve"> HYPERLINK "https://www.creditchina.gov.cn" </w:instrText>
      </w:r>
      <w:r>
        <w:rPr>
          <w:rFonts w:hint="eastAsia" w:ascii="宋体" w:hAnsi="宋体" w:eastAsia="宋体" w:cs="宋体"/>
          <w:color w:val="000000"/>
          <w:kern w:val="0"/>
          <w:szCs w:val="21"/>
          <w:shd w:val="clear" w:color="auto" w:fill="FFFFFF"/>
          <w:lang w:val="en-US" w:eastAsia="zh-CN"/>
        </w:rPr>
        <w:fldChar w:fldCharType="separate"/>
      </w:r>
      <w:r>
        <w:rPr>
          <w:rFonts w:hint="eastAsia" w:ascii="宋体" w:hAnsi="宋体" w:eastAsia="宋体" w:cs="宋体"/>
          <w:color w:val="000000"/>
          <w:kern w:val="0"/>
          <w:szCs w:val="21"/>
          <w:shd w:val="clear" w:color="auto" w:fill="FFFFFF"/>
          <w:lang w:val="en-US" w:eastAsia="zh-CN"/>
        </w:rPr>
        <w:t>www.creditchina.gov.cn</w:t>
      </w:r>
      <w:r>
        <w:rPr>
          <w:rFonts w:hint="eastAsia" w:ascii="宋体" w:hAnsi="宋体" w:eastAsia="宋体" w:cs="宋体"/>
          <w:color w:val="000000"/>
          <w:kern w:val="0"/>
          <w:szCs w:val="21"/>
          <w:shd w:val="clear" w:color="auto" w:fill="FFFFFF"/>
          <w:lang w:val="en-US" w:eastAsia="zh-CN"/>
        </w:rPr>
        <w:fldChar w:fldCharType="end"/>
      </w:r>
      <w:r>
        <w:rPr>
          <w:rFonts w:hint="eastAsia" w:ascii="宋体" w:hAnsi="宋体" w:eastAsia="宋体" w:cs="宋体"/>
          <w:color w:val="000000"/>
          <w:kern w:val="0"/>
          <w:szCs w:val="21"/>
          <w:shd w:val="clear" w:color="auto" w:fill="FFFFFF"/>
          <w:lang w:val="en-US" w:eastAsia="zh-CN"/>
        </w:rPr>
        <w:t>），查询未被列入失信被执 行人、重大税收违法失信主体的网页截图（凡被列入的，一经查实 随时取消其投标、中标资格）。</w:t>
      </w:r>
    </w:p>
    <w:p w14:paraId="2FB1EEB1">
      <w:pPr>
        <w:pStyle w:val="3"/>
        <w:spacing w:line="360" w:lineRule="auto"/>
        <w:ind w:firstLine="420" w:firstLineChars="20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4、其他说明：</w:t>
      </w:r>
    </w:p>
    <w:p w14:paraId="3F7B6BE5">
      <w:pPr>
        <w:pStyle w:val="3"/>
        <w:spacing w:line="360" w:lineRule="auto"/>
        <w:ind w:firstLine="371" w:firstLineChars="177"/>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4.1 单位负责人为同一人或者存在直接控股、管理关系的不同单位，不得同时参加同一 合同项下的政府采购活动。</w:t>
      </w:r>
    </w:p>
    <w:p w14:paraId="499DEC72">
      <w:pPr>
        <w:pStyle w:val="3"/>
        <w:spacing w:line="360" w:lineRule="auto"/>
        <w:ind w:firstLine="424" w:firstLineChars="177"/>
        <w:rPr>
          <w:rFonts w:hint="eastAsia"/>
          <w:lang w:val="en-US" w:bidi="ar"/>
        </w:rPr>
      </w:pPr>
      <w:r>
        <w:rPr>
          <w:rFonts w:hint="eastAsia"/>
          <w:lang w:val="en-US" w:bidi="ar"/>
        </w:rPr>
        <w:t>4.2 本项目适用无感投标（详见下述要求）。</w:t>
      </w:r>
    </w:p>
    <w:p w14:paraId="51C6010B">
      <w:pPr>
        <w:pStyle w:val="3"/>
        <w:spacing w:line="360" w:lineRule="auto"/>
        <w:ind w:firstLine="424" w:firstLineChars="177"/>
        <w:rPr>
          <w:rFonts w:hint="eastAsia" w:ascii="宋体" w:hAnsi="宋体" w:eastAsia="宋体" w:cs="宋体"/>
          <w:lang w:val="en-US" w:bidi="ar"/>
        </w:rPr>
      </w:pPr>
      <w:r>
        <w:rPr>
          <w:rFonts w:hint="eastAsia"/>
          <w:lang w:val="en-US" w:bidi="ar"/>
        </w:rPr>
        <w:t>在本项目政府采购活动中，投标人在投标（响应）时，可对照资格要求进行自主核对，确定符合资格要求的，政府采购项目对投标人资格全面实行免承诺“无感投标”，潜在投标人无需书面承诺符合参与政府采购活动的资格条件，无需书面承诺没有税收缴纳、社会保障等方面的失信记录，无需再提供相关财务状况、缴纳税收和社会保障资金等证明材料，由投标人自我评估符合政府采购有关规定、采购文件有关要求及以下证明材料等条件后即可参加投标。投标人参与投标即表示自我评估符合《政府采购法》第二十二条规定，采购文件有关资格条件，没有税收缴纳、社会保障等方面的失信记录，具有相关财务状况、缴纳税收和社会保障资金等证明材料。</w:t>
      </w:r>
    </w:p>
    <w:p w14:paraId="1CB90E89">
      <w:pPr>
        <w:pStyle w:val="3"/>
        <w:spacing w:line="360" w:lineRule="auto"/>
        <w:ind w:firstLine="240" w:firstLineChars="100"/>
        <w:rPr>
          <w:rFonts w:hint="default" w:ascii="宋体" w:hAnsi="宋体" w:eastAsia="宋体" w:cs="宋体"/>
          <w:lang w:val="en-US" w:eastAsia="zh-CN" w:bidi="ar"/>
        </w:rPr>
      </w:pPr>
      <w:r>
        <w:rPr>
          <w:rFonts w:hint="eastAsia" w:ascii="宋体" w:hAnsi="宋体" w:eastAsia="宋体" w:cs="宋体"/>
          <w:lang w:val="en-US" w:eastAsia="zh-CN" w:bidi="ar"/>
        </w:rPr>
        <w:t xml:space="preserve"> ①具有独立承担民事责任的能力（具有法人或者其他组织的营业执照等证明文件）</w:t>
      </w:r>
    </w:p>
    <w:p w14:paraId="2C21C8D8">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②</w:t>
      </w:r>
      <w:r>
        <w:rPr>
          <w:rFonts w:hint="eastAsia" w:ascii="宋体" w:hAnsi="宋体" w:eastAsia="宋体" w:cs="宋体"/>
          <w:lang w:val="en-US" w:eastAsia="zh-CN" w:bidi="ar"/>
        </w:rPr>
        <w:t>具有良好的商业信誉和健全的财务会计制度</w:t>
      </w:r>
      <w:r>
        <w:rPr>
          <w:rFonts w:hint="eastAsia" w:ascii="宋体" w:hAnsi="宋体" w:eastAsia="宋体" w:cs="宋体"/>
          <w:lang w:val="en-US" w:bidi="ar"/>
        </w:rPr>
        <w:t>（</w:t>
      </w:r>
      <w:r>
        <w:rPr>
          <w:rFonts w:hint="eastAsia" w:ascii="宋体" w:hAnsi="宋体" w:eastAsia="宋体" w:cs="宋体"/>
          <w:lang w:val="en-US" w:eastAsia="zh-CN" w:bidi="ar"/>
        </w:rPr>
        <w:t>具有经审计的2023年度或2024年度财务报告或基本户银行出具的近期资信证明或财政部门认可的政府采购专业担保机构出具的投标担保函）（成立时间不足一年的单位具有财务报表</w:t>
      </w:r>
      <w:r>
        <w:rPr>
          <w:rFonts w:hint="eastAsia" w:ascii="宋体" w:hAnsi="宋体" w:eastAsia="宋体" w:cs="宋体"/>
          <w:lang w:val="en-US" w:bidi="ar"/>
        </w:rPr>
        <w:t>）；</w:t>
      </w:r>
    </w:p>
    <w:p w14:paraId="06C79257">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eastAsia="zh-CN" w:bidi="ar"/>
        </w:rPr>
        <w:t>③有依法缴纳税收和社会保障资金的良好记录</w:t>
      </w:r>
      <w:r>
        <w:rPr>
          <w:rFonts w:hint="eastAsia" w:ascii="宋体" w:hAnsi="宋体" w:eastAsia="宋体" w:cs="宋体"/>
          <w:lang w:val="en-US" w:bidi="ar"/>
        </w:rPr>
        <w:t>（</w:t>
      </w:r>
      <w:r>
        <w:rPr>
          <w:rFonts w:hint="eastAsia" w:ascii="宋体" w:hAnsi="宋体" w:eastAsia="宋体" w:cs="宋体"/>
          <w:lang w:val="en-US" w:eastAsia="zh-CN" w:bidi="ar"/>
        </w:rPr>
        <w:t>具有202</w:t>
      </w:r>
      <w:r>
        <w:rPr>
          <w:rFonts w:hint="eastAsia" w:cs="宋体"/>
          <w:lang w:val="en-US" w:eastAsia="zh-CN" w:bidi="ar"/>
        </w:rPr>
        <w:t>5年</w:t>
      </w:r>
      <w:r>
        <w:rPr>
          <w:rFonts w:hint="eastAsia" w:ascii="宋体" w:hAnsi="宋体" w:eastAsia="宋体" w:cs="宋体"/>
          <w:lang w:val="en-US" w:eastAsia="zh-CN" w:bidi="ar"/>
        </w:rPr>
        <w:t>以来任意1个月依法缴纳税收和社会保障金的证明材料，依法免税或不需要缴纳社会保障资金的投标人，应具有相应证明文件</w:t>
      </w:r>
      <w:r>
        <w:rPr>
          <w:rFonts w:hint="eastAsia" w:ascii="宋体" w:hAnsi="宋体" w:eastAsia="宋体" w:cs="宋体"/>
          <w:lang w:val="en-US" w:bidi="ar"/>
        </w:rPr>
        <w:t>） ；</w:t>
      </w:r>
    </w:p>
    <w:p w14:paraId="422EB263">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④具备履行政府采购合同所必需的设备和专业技术能力的证明材料（</w:t>
      </w:r>
      <w:r>
        <w:rPr>
          <w:rFonts w:hint="eastAsia" w:ascii="宋体" w:hAnsi="宋体" w:eastAsia="宋体" w:cs="宋体"/>
          <w:lang w:val="en-US" w:eastAsia="zh-CN" w:bidi="ar"/>
        </w:rPr>
        <w:t>自行作出承诺，格式自拟</w:t>
      </w:r>
      <w:r>
        <w:rPr>
          <w:rFonts w:hint="eastAsia" w:ascii="宋体" w:hAnsi="宋体" w:eastAsia="宋体" w:cs="宋体"/>
          <w:lang w:val="en-US" w:bidi="ar"/>
        </w:rPr>
        <w:t>）；</w:t>
      </w:r>
    </w:p>
    <w:p w14:paraId="4F155C23">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⑤参加政府采购活动前三年内在经营活动中没有重大违法记录的证明材料；</w:t>
      </w:r>
    </w:p>
    <w:p w14:paraId="1009F125">
      <w:pPr>
        <w:pStyle w:val="3"/>
        <w:spacing w:line="360" w:lineRule="auto"/>
        <w:ind w:firstLine="424" w:firstLineChars="177"/>
        <w:rPr>
          <w:rFonts w:hint="eastAsia"/>
          <w:lang w:val="en-US" w:eastAsia="zh-CN"/>
        </w:rPr>
      </w:pPr>
      <w:r>
        <w:rPr>
          <w:rFonts w:hint="eastAsia" w:ascii="宋体" w:hAnsi="宋体" w:eastAsia="宋体" w:cs="宋体"/>
          <w:lang w:val="en-US" w:bidi="ar"/>
        </w:rPr>
        <w:t>⑥未被列入失信被执行人、重大税收违法案件当事人名单政府采购严重违法失信行为记录名单的证明材料。</w:t>
      </w:r>
    </w:p>
    <w:p w14:paraId="19D17189">
      <w:pPr>
        <w:pStyle w:val="9"/>
        <w:jc w:val="both"/>
        <w:rPr>
          <w:rFonts w:hint="eastAsia" w:ascii="宋体" w:hAnsi="宋体" w:eastAsia="宋体" w:cs="宋体"/>
          <w:b/>
          <w:bCs/>
          <w:color w:val="000000"/>
          <w:kern w:val="0"/>
          <w:sz w:val="24"/>
          <w:szCs w:val="24"/>
          <w:shd w:val="clear" w:color="auto" w:fill="FFFFFF"/>
          <w:lang w:val="en-US" w:eastAsia="zh-CN" w:bidi="ar-SA"/>
        </w:rPr>
      </w:pPr>
      <w:bookmarkStart w:id="16" w:name="_Toc35393631"/>
      <w:bookmarkStart w:id="17" w:name="_Toc35393800"/>
      <w:bookmarkStart w:id="18" w:name="_Toc30960"/>
      <w:r>
        <w:rPr>
          <w:rFonts w:hint="eastAsia" w:ascii="宋体" w:hAnsi="宋体" w:eastAsia="宋体" w:cs="宋体"/>
          <w:b/>
          <w:bCs/>
          <w:color w:val="000000"/>
          <w:kern w:val="0"/>
          <w:sz w:val="24"/>
          <w:szCs w:val="24"/>
          <w:shd w:val="clear" w:color="auto" w:fill="FFFFFF"/>
          <w:lang w:val="en-US" w:eastAsia="zh-CN" w:bidi="ar-SA"/>
        </w:rPr>
        <w:t>三、获取采购文件</w:t>
      </w:r>
      <w:bookmarkEnd w:id="16"/>
      <w:bookmarkEnd w:id="17"/>
      <w:bookmarkEnd w:id="18"/>
    </w:p>
    <w:p w14:paraId="1F644645">
      <w:pPr>
        <w:pStyle w:val="26"/>
        <w:widowControl/>
        <w:spacing w:line="360" w:lineRule="auto"/>
        <w:ind w:firstLine="420"/>
        <w:rPr>
          <w:rFonts w:hint="eastAsia" w:cs="宋体"/>
          <w:sz w:val="21"/>
          <w:szCs w:val="21"/>
          <w:lang w:bidi="ar"/>
        </w:rPr>
      </w:pPr>
      <w:bookmarkStart w:id="19" w:name="_Toc28359015"/>
      <w:bookmarkStart w:id="20" w:name="_Toc35393801"/>
      <w:bookmarkStart w:id="21" w:name="_Toc28359092"/>
      <w:bookmarkStart w:id="22" w:name="_Toc35393632"/>
      <w:r>
        <w:rPr>
          <w:rFonts w:cs="宋体"/>
          <w:sz w:val="21"/>
          <w:szCs w:val="21"/>
          <w:lang w:bidi="ar"/>
        </w:rPr>
        <w:t>1.</w:t>
      </w:r>
      <w:r>
        <w:rPr>
          <w:rFonts w:hint="eastAsia" w:cs="宋体"/>
          <w:sz w:val="21"/>
          <w:szCs w:val="21"/>
          <w:lang w:bidi="ar"/>
        </w:rPr>
        <w:t>时间：</w:t>
      </w:r>
      <w:r>
        <w:rPr>
          <w:rFonts w:hint="eastAsia" w:cs="宋体"/>
          <w:color w:val="auto"/>
          <w:sz w:val="21"/>
          <w:szCs w:val="21"/>
          <w:lang w:bidi="ar"/>
        </w:rPr>
        <w:t>202</w:t>
      </w:r>
      <w:r>
        <w:rPr>
          <w:rFonts w:hint="eastAsia" w:cs="宋体"/>
          <w:color w:val="auto"/>
          <w:sz w:val="21"/>
          <w:szCs w:val="21"/>
          <w:lang w:val="en-US" w:eastAsia="zh-CN" w:bidi="ar"/>
        </w:rPr>
        <w:t>6</w:t>
      </w:r>
      <w:r>
        <w:rPr>
          <w:rFonts w:hint="eastAsia" w:cs="宋体"/>
          <w:color w:val="auto"/>
          <w:sz w:val="21"/>
          <w:szCs w:val="21"/>
          <w:lang w:bidi="ar"/>
        </w:rPr>
        <w:t>年</w:t>
      </w:r>
      <w:r>
        <w:rPr>
          <w:rFonts w:hint="eastAsia" w:cs="宋体"/>
          <w:color w:val="auto"/>
          <w:sz w:val="21"/>
          <w:szCs w:val="21"/>
          <w:lang w:val="en-US" w:eastAsia="zh-CN" w:bidi="ar"/>
        </w:rPr>
        <w:t xml:space="preserve"> 02 </w:t>
      </w:r>
      <w:r>
        <w:rPr>
          <w:rFonts w:hint="eastAsia" w:cs="宋体"/>
          <w:color w:val="auto"/>
          <w:sz w:val="21"/>
          <w:szCs w:val="21"/>
          <w:lang w:bidi="ar"/>
        </w:rPr>
        <w:t>月</w:t>
      </w:r>
      <w:r>
        <w:rPr>
          <w:rFonts w:hint="eastAsia" w:cs="宋体"/>
          <w:color w:val="auto"/>
          <w:sz w:val="21"/>
          <w:szCs w:val="21"/>
          <w:lang w:val="en-US" w:eastAsia="zh-CN" w:bidi="ar"/>
        </w:rPr>
        <w:t xml:space="preserve"> 7 </w:t>
      </w:r>
      <w:r>
        <w:rPr>
          <w:rFonts w:hint="eastAsia" w:cs="宋体"/>
          <w:color w:val="auto"/>
          <w:sz w:val="21"/>
          <w:szCs w:val="21"/>
          <w:lang w:bidi="ar"/>
        </w:rPr>
        <w:t>日至202</w:t>
      </w:r>
      <w:r>
        <w:rPr>
          <w:rFonts w:hint="eastAsia" w:cs="宋体"/>
          <w:color w:val="auto"/>
          <w:sz w:val="21"/>
          <w:szCs w:val="21"/>
          <w:lang w:val="en-US" w:eastAsia="zh-CN" w:bidi="ar"/>
        </w:rPr>
        <w:t>6</w:t>
      </w:r>
      <w:r>
        <w:rPr>
          <w:rFonts w:hint="eastAsia" w:cs="宋体"/>
          <w:color w:val="auto"/>
          <w:sz w:val="21"/>
          <w:szCs w:val="21"/>
          <w:lang w:bidi="ar"/>
        </w:rPr>
        <w:t>年</w:t>
      </w:r>
      <w:r>
        <w:rPr>
          <w:rFonts w:hint="eastAsia" w:cs="宋体"/>
          <w:color w:val="auto"/>
          <w:sz w:val="21"/>
          <w:szCs w:val="21"/>
          <w:lang w:val="en-US" w:eastAsia="zh-CN" w:bidi="ar"/>
        </w:rPr>
        <w:t xml:space="preserve"> 02 </w:t>
      </w:r>
      <w:r>
        <w:rPr>
          <w:rFonts w:hint="eastAsia" w:cs="宋体"/>
          <w:color w:val="auto"/>
          <w:sz w:val="21"/>
          <w:szCs w:val="21"/>
          <w:lang w:bidi="ar"/>
        </w:rPr>
        <w:t>月</w:t>
      </w:r>
      <w:r>
        <w:rPr>
          <w:rFonts w:hint="eastAsia" w:cs="宋体"/>
          <w:color w:val="auto"/>
          <w:sz w:val="21"/>
          <w:szCs w:val="21"/>
          <w:lang w:val="en-US" w:eastAsia="zh-CN" w:bidi="ar"/>
        </w:rPr>
        <w:t xml:space="preserve"> 13 </w:t>
      </w:r>
      <w:r>
        <w:rPr>
          <w:rFonts w:hint="eastAsia" w:cs="宋体"/>
          <w:color w:val="auto"/>
          <w:sz w:val="21"/>
          <w:szCs w:val="21"/>
          <w:lang w:bidi="ar"/>
        </w:rPr>
        <w:t>日</w:t>
      </w:r>
      <w:r>
        <w:rPr>
          <w:rFonts w:hint="eastAsia" w:cs="宋体"/>
          <w:sz w:val="21"/>
          <w:szCs w:val="21"/>
          <w:lang w:bidi="ar"/>
        </w:rPr>
        <w:t>（提供期限自文件获取时间起不得少于5个工作日）。</w:t>
      </w:r>
    </w:p>
    <w:p w14:paraId="2CCF6055">
      <w:pPr>
        <w:pStyle w:val="26"/>
        <w:widowControl/>
        <w:spacing w:line="360" w:lineRule="auto"/>
        <w:ind w:firstLine="420"/>
        <w:rPr>
          <w:rFonts w:hint="eastAsia" w:cs="宋体"/>
          <w:sz w:val="21"/>
          <w:szCs w:val="21"/>
          <w:lang w:bidi="ar"/>
        </w:rPr>
      </w:pPr>
      <w:r>
        <w:rPr>
          <w:rFonts w:cs="宋体"/>
          <w:sz w:val="21"/>
          <w:szCs w:val="21"/>
          <w:lang w:bidi="ar"/>
        </w:rPr>
        <w:t>2.</w:t>
      </w:r>
      <w:r>
        <w:rPr>
          <w:rFonts w:hint="eastAsia" w:cs="宋体"/>
          <w:sz w:val="21"/>
          <w:szCs w:val="21"/>
          <w:lang w:bidi="ar"/>
        </w:rPr>
        <w:t>地点：登录“</w:t>
      </w:r>
      <w:bookmarkStart w:id="23" w:name="_Hlk187046830"/>
      <w:r>
        <w:rPr>
          <w:rFonts w:hint="eastAsia" w:cs="宋体"/>
          <w:sz w:val="21"/>
          <w:szCs w:val="21"/>
          <w:lang w:bidi="ar"/>
        </w:rPr>
        <w:t>全国公共资源交易平台（河南省·新县</w:t>
      </w:r>
      <w:bookmarkStart w:id="24" w:name="_Hlk187047280"/>
      <w:r>
        <w:rPr>
          <w:rFonts w:hint="eastAsia" w:ascii="Microsoft YaHei UI" w:hAnsi="Microsoft YaHei UI" w:eastAsia="Microsoft YaHei UI" w:cs="宋体"/>
          <w:color w:val="auto"/>
          <w:sz w:val="21"/>
          <w:szCs w:val="21"/>
        </w:rPr>
        <w:fldChar w:fldCharType="begin"/>
      </w:r>
      <w:r>
        <w:rPr>
          <w:rFonts w:ascii="Microsoft YaHei UI" w:hAnsi="Microsoft YaHei UI" w:eastAsia="Microsoft YaHei UI" w:cs="宋体"/>
          <w:color w:val="auto"/>
          <w:sz w:val="21"/>
          <w:szCs w:val="21"/>
        </w:rPr>
        <w:instrText xml:space="preserve">HYPERLINK "https://ggzyjy.xinyang.gov.cn/xinxian/"</w:instrText>
      </w:r>
      <w:r>
        <w:rPr>
          <w:rFonts w:hint="eastAsia" w:ascii="Microsoft YaHei UI" w:hAnsi="Microsoft YaHei UI" w:eastAsia="Microsoft YaHei UI" w:cs="宋体"/>
          <w:color w:val="auto"/>
          <w:sz w:val="21"/>
          <w:szCs w:val="21"/>
        </w:rPr>
        <w:fldChar w:fldCharType="separate"/>
      </w:r>
      <w:r>
        <w:rPr>
          <w:rStyle w:val="37"/>
          <w:rFonts w:ascii="Microsoft YaHei UI" w:hAnsi="Microsoft YaHei UI" w:eastAsia="Microsoft YaHei UI" w:cs="宋体"/>
          <w:color w:val="auto"/>
          <w:sz w:val="21"/>
          <w:szCs w:val="21"/>
        </w:rPr>
        <w:t>https://ggzyjy.xinyang.gov.cn/xinxian/</w:t>
      </w:r>
      <w:r>
        <w:rPr>
          <w:rFonts w:hint="eastAsia" w:ascii="Microsoft YaHei UI" w:hAnsi="Microsoft YaHei UI" w:eastAsia="Microsoft YaHei UI" w:cs="宋体"/>
          <w:color w:val="auto"/>
          <w:sz w:val="21"/>
          <w:szCs w:val="21"/>
        </w:rPr>
        <w:fldChar w:fldCharType="end"/>
      </w:r>
      <w:bookmarkEnd w:id="24"/>
      <w:r>
        <w:rPr>
          <w:rFonts w:hint="eastAsia" w:cs="宋体"/>
          <w:sz w:val="21"/>
          <w:szCs w:val="21"/>
          <w:lang w:bidi="ar"/>
        </w:rPr>
        <w:t>）</w:t>
      </w:r>
      <w:bookmarkEnd w:id="23"/>
      <w:r>
        <w:rPr>
          <w:rFonts w:hint="eastAsia" w:cs="宋体"/>
          <w:sz w:val="21"/>
          <w:szCs w:val="21"/>
          <w:lang w:bidi="ar"/>
        </w:rPr>
        <w:t>”网站，凭办理的企业身份认证锁（CA 数字证书） 登录会员系统进行网上投标；</w:t>
      </w:r>
    </w:p>
    <w:p w14:paraId="17DCAE17">
      <w:pPr>
        <w:pStyle w:val="26"/>
        <w:widowControl/>
        <w:spacing w:line="360" w:lineRule="auto"/>
        <w:ind w:firstLine="420"/>
        <w:rPr>
          <w:rFonts w:hint="eastAsia" w:cs="宋体"/>
          <w:sz w:val="21"/>
          <w:szCs w:val="21"/>
          <w:lang w:bidi="ar"/>
        </w:rPr>
      </w:pPr>
      <w:r>
        <w:rPr>
          <w:rFonts w:cs="宋体"/>
          <w:sz w:val="21"/>
          <w:szCs w:val="21"/>
          <w:lang w:bidi="ar"/>
        </w:rPr>
        <w:t>3.</w:t>
      </w:r>
      <w:r>
        <w:rPr>
          <w:rFonts w:hint="eastAsia" w:cs="宋体"/>
          <w:sz w:val="21"/>
          <w:szCs w:val="21"/>
          <w:lang w:bidi="ar"/>
        </w:rPr>
        <w:t>方式： 招标文件获取方式：投标人凭CA数字证书登录会员系统后，即可按网上提示免费 下载招标文件及资料（操作程序详见信阳市公共资源交易中心网站下载中心栏目里投标人操 作手册）。招标文件(*.XYZF 格式)下载后需使用“信阳市投标文件制作工具软件”打开（该 工具软件可在“全国公共资源交易平台（河南省·信阳市）（https://ggzyjy.xinyang.gov.cn/） ”网站下载中心栏目内下载或在招标文件领取页面下载）。</w:t>
      </w:r>
    </w:p>
    <w:p w14:paraId="0CB26720">
      <w:pPr>
        <w:pStyle w:val="26"/>
        <w:widowControl/>
        <w:spacing w:line="360" w:lineRule="auto"/>
        <w:ind w:firstLine="420"/>
        <w:rPr>
          <w:rFonts w:hint="eastAsia" w:cs="宋体"/>
          <w:sz w:val="21"/>
          <w:szCs w:val="21"/>
          <w:lang w:bidi="ar"/>
        </w:rPr>
      </w:pPr>
      <w:r>
        <w:rPr>
          <w:rFonts w:hint="eastAsia" w:cs="宋体"/>
          <w:sz w:val="21"/>
          <w:szCs w:val="21"/>
          <w:lang w:bidi="ar"/>
        </w:rPr>
        <w:t>4、售价：招标文件售价 0 元。</w:t>
      </w:r>
    </w:p>
    <w:p w14:paraId="0B877CC2">
      <w:pPr>
        <w:pStyle w:val="9"/>
        <w:jc w:val="both"/>
        <w:rPr>
          <w:rFonts w:hint="eastAsia" w:ascii="宋体" w:hAnsi="宋体" w:eastAsia="宋体" w:cs="宋体"/>
          <w:b/>
          <w:bCs/>
          <w:color w:val="000000"/>
          <w:kern w:val="0"/>
          <w:sz w:val="24"/>
          <w:szCs w:val="24"/>
          <w:shd w:val="clear" w:color="auto" w:fill="FFFFFF"/>
          <w:lang w:val="en-US" w:eastAsia="zh-CN" w:bidi="ar-SA"/>
        </w:rPr>
      </w:pPr>
      <w:bookmarkStart w:id="25" w:name="_Toc5553"/>
      <w:r>
        <w:rPr>
          <w:rFonts w:hint="eastAsia" w:ascii="宋体" w:hAnsi="宋体" w:eastAsia="宋体" w:cs="宋体"/>
          <w:b/>
          <w:bCs/>
          <w:color w:val="000000"/>
          <w:kern w:val="0"/>
          <w:sz w:val="24"/>
          <w:szCs w:val="24"/>
          <w:shd w:val="clear" w:color="auto" w:fill="FFFFFF"/>
          <w:lang w:val="en-US" w:eastAsia="zh-CN" w:bidi="ar-SA"/>
        </w:rPr>
        <w:t>四、响应文件提交</w:t>
      </w:r>
      <w:bookmarkEnd w:id="19"/>
      <w:bookmarkEnd w:id="20"/>
      <w:bookmarkEnd w:id="21"/>
      <w:bookmarkEnd w:id="22"/>
      <w:bookmarkEnd w:id="25"/>
    </w:p>
    <w:p w14:paraId="6DD3AE43">
      <w:pPr>
        <w:widowControl/>
        <w:autoSpaceDE/>
        <w:autoSpaceDN/>
        <w:spacing w:line="360" w:lineRule="auto"/>
        <w:ind w:firstLine="420" w:firstLineChars="200"/>
        <w:rPr>
          <w:rFonts w:hint="eastAsia"/>
          <w:sz w:val="21"/>
          <w:szCs w:val="21"/>
        </w:rPr>
      </w:pPr>
      <w:r>
        <w:rPr>
          <w:rFonts w:hint="eastAsia"/>
          <w:sz w:val="21"/>
          <w:szCs w:val="21"/>
          <w:lang w:val="en-US" w:bidi="ar"/>
        </w:rPr>
        <w:t>1.时间：</w:t>
      </w:r>
      <w:r>
        <w:rPr>
          <w:rFonts w:hint="eastAsia"/>
          <w:color w:val="auto"/>
          <w:sz w:val="21"/>
          <w:szCs w:val="21"/>
          <w:lang w:val="en-US" w:bidi="ar"/>
        </w:rPr>
        <w:t>202</w:t>
      </w:r>
      <w:r>
        <w:rPr>
          <w:rFonts w:hint="eastAsia"/>
          <w:color w:val="auto"/>
          <w:sz w:val="21"/>
          <w:szCs w:val="21"/>
          <w:lang w:val="en-US" w:eastAsia="zh-CN" w:bidi="ar"/>
        </w:rPr>
        <w:t>6</w:t>
      </w:r>
      <w:r>
        <w:rPr>
          <w:rFonts w:hint="eastAsia"/>
          <w:color w:val="auto"/>
          <w:sz w:val="21"/>
          <w:szCs w:val="21"/>
          <w:lang w:val="en-US" w:bidi="ar"/>
        </w:rPr>
        <w:t>年</w:t>
      </w:r>
      <w:r>
        <w:rPr>
          <w:rFonts w:hint="eastAsia"/>
          <w:color w:val="auto"/>
          <w:sz w:val="21"/>
          <w:szCs w:val="21"/>
          <w:lang w:val="en-US" w:eastAsia="zh-CN" w:bidi="ar"/>
        </w:rPr>
        <w:t xml:space="preserve"> 02 </w:t>
      </w:r>
      <w:r>
        <w:rPr>
          <w:rFonts w:hint="eastAsia"/>
          <w:color w:val="auto"/>
          <w:sz w:val="21"/>
          <w:szCs w:val="21"/>
          <w:lang w:val="en-US" w:bidi="ar"/>
        </w:rPr>
        <w:t>月</w:t>
      </w:r>
      <w:r>
        <w:rPr>
          <w:rFonts w:hint="eastAsia"/>
          <w:color w:val="auto"/>
          <w:sz w:val="21"/>
          <w:szCs w:val="21"/>
          <w:lang w:val="en-US" w:eastAsia="zh-CN" w:bidi="ar"/>
        </w:rPr>
        <w:t xml:space="preserve"> 28 </w:t>
      </w:r>
      <w:r>
        <w:rPr>
          <w:rFonts w:hint="eastAsia"/>
          <w:color w:val="auto"/>
          <w:sz w:val="21"/>
          <w:szCs w:val="21"/>
          <w:lang w:val="en-US" w:bidi="ar"/>
        </w:rPr>
        <w:t>日</w:t>
      </w:r>
      <w:r>
        <w:rPr>
          <w:color w:val="auto"/>
          <w:sz w:val="21"/>
          <w:szCs w:val="21"/>
          <w:lang w:val="en-US" w:bidi="ar"/>
        </w:rPr>
        <w:t>09</w:t>
      </w:r>
      <w:r>
        <w:rPr>
          <w:rFonts w:hint="eastAsia"/>
          <w:color w:val="auto"/>
          <w:sz w:val="21"/>
          <w:szCs w:val="21"/>
          <w:lang w:val="en-US" w:bidi="ar"/>
        </w:rPr>
        <w:t>时</w:t>
      </w:r>
      <w:r>
        <w:rPr>
          <w:color w:val="auto"/>
          <w:sz w:val="21"/>
          <w:szCs w:val="21"/>
          <w:lang w:val="en-US" w:bidi="ar"/>
        </w:rPr>
        <w:t xml:space="preserve">00 </w:t>
      </w:r>
      <w:r>
        <w:rPr>
          <w:rFonts w:hint="eastAsia"/>
          <w:color w:val="auto"/>
          <w:sz w:val="21"/>
          <w:szCs w:val="21"/>
          <w:lang w:val="en-US" w:bidi="ar"/>
        </w:rPr>
        <w:t>分</w:t>
      </w:r>
      <w:r>
        <w:rPr>
          <w:rFonts w:hint="eastAsia"/>
          <w:sz w:val="21"/>
          <w:szCs w:val="21"/>
          <w:lang w:val="en-US" w:bidi="ar"/>
        </w:rPr>
        <w:t xml:space="preserve">（北京时间）； </w:t>
      </w:r>
    </w:p>
    <w:p w14:paraId="306E5961">
      <w:pPr>
        <w:widowControl/>
        <w:autoSpaceDE/>
        <w:autoSpaceDN/>
        <w:spacing w:line="360" w:lineRule="auto"/>
        <w:ind w:left="209" w:leftChars="95" w:firstLine="210" w:firstLineChars="100"/>
        <w:rPr>
          <w:rFonts w:hint="eastAsia"/>
          <w:sz w:val="21"/>
          <w:szCs w:val="21"/>
          <w:lang w:val="en-US" w:bidi="ar"/>
        </w:rPr>
      </w:pPr>
      <w:r>
        <w:rPr>
          <w:rFonts w:hint="eastAsia"/>
          <w:sz w:val="21"/>
          <w:szCs w:val="21"/>
          <w:lang w:val="en-US" w:bidi="ar"/>
        </w:rPr>
        <w:t>2.地点：本项目为不见面开标项目，投标文件递交地点为《新县公共资源交易网（https://ggzyjy.xinyang.gov.cn/xinxian/）》电子招投标</w:t>
      </w:r>
      <w:r>
        <w:rPr>
          <w:rFonts w:hint="eastAsia" w:ascii="Times New Roman" w:hAnsi="Times New Roman" w:eastAsia="宋体" w:cs="Times New Roman"/>
          <w:sz w:val="21"/>
          <w:szCs w:val="21"/>
          <w:lang w:val="en-US" w:bidi="ar"/>
        </w:rPr>
        <w:t>平台会员</w:t>
      </w:r>
      <w:r>
        <w:rPr>
          <w:rFonts w:hint="eastAsia"/>
          <w:sz w:val="21"/>
          <w:szCs w:val="21"/>
          <w:lang w:val="en-US" w:bidi="ar"/>
        </w:rPr>
        <w:t>系统指定位置。</w:t>
      </w:r>
    </w:p>
    <w:p w14:paraId="23EB2DA8">
      <w:pPr>
        <w:widowControl/>
        <w:autoSpaceDE/>
        <w:autoSpaceDN/>
        <w:spacing w:line="360" w:lineRule="auto"/>
        <w:ind w:left="209" w:leftChars="95" w:firstLine="210" w:firstLineChars="100"/>
        <w:rPr>
          <w:rFonts w:hint="eastAsia" w:eastAsia="宋体"/>
          <w:sz w:val="21"/>
          <w:szCs w:val="21"/>
          <w:lang w:eastAsia="zh-CN"/>
        </w:rPr>
      </w:pPr>
      <w:r>
        <w:rPr>
          <w:rFonts w:hint="eastAsia"/>
          <w:sz w:val="21"/>
          <w:szCs w:val="21"/>
        </w:rPr>
        <w:t>3、加密电子投标文件逾期上传采购人不予受理。</w:t>
      </w:r>
      <w:r>
        <w:rPr>
          <w:rFonts w:hint="eastAsia"/>
          <w:sz w:val="21"/>
          <w:szCs w:val="21"/>
          <w:lang w:val="en-US" w:bidi="ar"/>
        </w:rPr>
        <w:t xml:space="preserve"> </w:t>
      </w:r>
    </w:p>
    <w:p w14:paraId="1B2E4302">
      <w:pPr>
        <w:pStyle w:val="9"/>
        <w:jc w:val="both"/>
        <w:rPr>
          <w:rFonts w:hint="eastAsia" w:ascii="宋体" w:hAnsi="宋体" w:eastAsia="宋体" w:cs="宋体"/>
          <w:b/>
          <w:bCs/>
          <w:color w:val="000000"/>
          <w:kern w:val="0"/>
          <w:sz w:val="24"/>
          <w:szCs w:val="24"/>
          <w:shd w:val="clear" w:color="auto" w:fill="FFFFFF"/>
          <w:lang w:val="en-US" w:eastAsia="zh-CN" w:bidi="ar-SA"/>
        </w:rPr>
      </w:pPr>
      <w:bookmarkStart w:id="26" w:name="_Toc18885"/>
      <w:r>
        <w:rPr>
          <w:rFonts w:hint="eastAsia" w:ascii="宋体" w:hAnsi="宋体" w:eastAsia="宋体" w:cs="宋体"/>
          <w:b/>
          <w:bCs/>
          <w:color w:val="000000"/>
          <w:kern w:val="0"/>
          <w:sz w:val="24"/>
          <w:szCs w:val="24"/>
          <w:shd w:val="clear" w:color="auto" w:fill="FFFFFF"/>
          <w:lang w:val="en-US" w:eastAsia="zh-CN" w:bidi="ar-SA"/>
        </w:rPr>
        <w:t>五、响应文件开启</w:t>
      </w:r>
      <w:bookmarkEnd w:id="26"/>
    </w:p>
    <w:p w14:paraId="1732BACF">
      <w:pPr>
        <w:widowControl/>
        <w:autoSpaceDE/>
        <w:autoSpaceDN/>
        <w:spacing w:line="360" w:lineRule="auto"/>
        <w:ind w:left="209" w:leftChars="95" w:firstLine="210" w:firstLineChars="100"/>
        <w:rPr>
          <w:rFonts w:hint="eastAsia" w:ascii="Times New Roman" w:hAnsi="Times New Roman" w:eastAsia="宋体" w:cs="Times New Roman"/>
          <w:sz w:val="21"/>
          <w:szCs w:val="21"/>
          <w:lang w:val="en-US" w:bidi="ar"/>
        </w:rPr>
      </w:pPr>
      <w:r>
        <w:rPr>
          <w:rFonts w:hint="eastAsia" w:ascii="Times New Roman" w:hAnsi="Times New Roman" w:eastAsia="宋体" w:cs="Times New Roman"/>
          <w:sz w:val="21"/>
          <w:szCs w:val="21"/>
          <w:lang w:val="en-US" w:bidi="ar"/>
        </w:rPr>
        <w:t>1.时间：</w:t>
      </w:r>
      <w:r>
        <w:rPr>
          <w:rFonts w:hint="eastAsia" w:ascii="Times New Roman" w:hAnsi="Times New Roman" w:eastAsia="宋体" w:cs="Times New Roman"/>
          <w:color w:val="auto"/>
          <w:sz w:val="21"/>
          <w:szCs w:val="21"/>
          <w:lang w:val="en-US" w:bidi="ar"/>
        </w:rPr>
        <w:t>202</w:t>
      </w:r>
      <w:r>
        <w:rPr>
          <w:rFonts w:hint="eastAsia" w:ascii="Times New Roman" w:hAnsi="Times New Roman" w:eastAsia="宋体" w:cs="Times New Roman"/>
          <w:color w:val="auto"/>
          <w:sz w:val="21"/>
          <w:szCs w:val="21"/>
          <w:lang w:val="en-US" w:eastAsia="zh-CN" w:bidi="ar"/>
        </w:rPr>
        <w:t>6</w:t>
      </w:r>
      <w:r>
        <w:rPr>
          <w:rFonts w:hint="eastAsia" w:ascii="Times New Roman" w:hAnsi="Times New Roman" w:eastAsia="宋体" w:cs="Times New Roman"/>
          <w:color w:val="auto"/>
          <w:sz w:val="21"/>
          <w:szCs w:val="21"/>
          <w:lang w:val="en-US" w:bidi="ar"/>
        </w:rPr>
        <w:t>年</w:t>
      </w:r>
      <w:r>
        <w:rPr>
          <w:rFonts w:hint="eastAsia" w:ascii="Times New Roman" w:hAnsi="Times New Roman" w:eastAsia="宋体" w:cs="Times New Roman"/>
          <w:color w:val="auto"/>
          <w:sz w:val="21"/>
          <w:szCs w:val="21"/>
          <w:lang w:val="en-US" w:eastAsia="zh-CN" w:bidi="ar"/>
        </w:rPr>
        <w:t xml:space="preserve">  </w:t>
      </w:r>
      <w:r>
        <w:rPr>
          <w:rFonts w:hint="eastAsia" w:ascii="Times New Roman" w:hAnsi="Times New Roman" w:cs="Times New Roman"/>
          <w:color w:val="auto"/>
          <w:sz w:val="21"/>
          <w:szCs w:val="21"/>
          <w:lang w:val="en-US" w:eastAsia="zh-CN" w:bidi="ar"/>
        </w:rPr>
        <w:t xml:space="preserve">02 </w:t>
      </w:r>
      <w:r>
        <w:rPr>
          <w:rFonts w:hint="eastAsia" w:ascii="Times New Roman" w:hAnsi="Times New Roman" w:eastAsia="宋体" w:cs="Times New Roman"/>
          <w:color w:val="auto"/>
          <w:sz w:val="21"/>
          <w:szCs w:val="21"/>
          <w:lang w:val="en-US" w:bidi="ar"/>
        </w:rPr>
        <w:t>月</w:t>
      </w:r>
      <w:r>
        <w:rPr>
          <w:rFonts w:hint="eastAsia" w:ascii="Times New Roman" w:hAnsi="Times New Roman" w:cs="Times New Roman"/>
          <w:color w:val="auto"/>
          <w:sz w:val="21"/>
          <w:szCs w:val="21"/>
          <w:lang w:val="en-US" w:eastAsia="zh-CN" w:bidi="ar"/>
        </w:rPr>
        <w:t xml:space="preserve"> </w:t>
      </w:r>
      <w:r>
        <w:rPr>
          <w:rFonts w:hint="eastAsia" w:ascii="Times New Roman" w:hAnsi="Times New Roman" w:eastAsia="宋体" w:cs="Times New Roman"/>
          <w:color w:val="auto"/>
          <w:sz w:val="21"/>
          <w:szCs w:val="21"/>
          <w:lang w:val="en-US" w:eastAsia="zh-CN" w:bidi="ar"/>
        </w:rPr>
        <w:t xml:space="preserve"> </w:t>
      </w:r>
      <w:r>
        <w:rPr>
          <w:rFonts w:hint="eastAsia" w:ascii="Times New Roman" w:hAnsi="Times New Roman" w:cs="Times New Roman"/>
          <w:color w:val="auto"/>
          <w:sz w:val="21"/>
          <w:szCs w:val="21"/>
          <w:lang w:val="en-US" w:eastAsia="zh-CN" w:bidi="ar"/>
        </w:rPr>
        <w:t>28</w:t>
      </w:r>
      <w:r>
        <w:rPr>
          <w:rFonts w:hint="eastAsia" w:ascii="Times New Roman" w:hAnsi="Times New Roman" w:eastAsia="宋体" w:cs="Times New Roman"/>
          <w:color w:val="auto"/>
          <w:sz w:val="21"/>
          <w:szCs w:val="21"/>
          <w:lang w:val="en-US" w:eastAsia="zh-CN" w:bidi="ar"/>
        </w:rPr>
        <w:t xml:space="preserve">  </w:t>
      </w:r>
      <w:r>
        <w:rPr>
          <w:rFonts w:hint="eastAsia" w:ascii="Times New Roman" w:hAnsi="Times New Roman" w:eastAsia="宋体" w:cs="Times New Roman"/>
          <w:color w:val="auto"/>
          <w:sz w:val="21"/>
          <w:szCs w:val="21"/>
          <w:lang w:val="en-US" w:bidi="ar"/>
        </w:rPr>
        <w:t>日 09 时00 分</w:t>
      </w:r>
      <w:r>
        <w:rPr>
          <w:rFonts w:hint="eastAsia" w:ascii="Times New Roman" w:hAnsi="Times New Roman" w:eastAsia="宋体" w:cs="Times New Roman"/>
          <w:sz w:val="21"/>
          <w:szCs w:val="21"/>
          <w:lang w:val="en-US" w:bidi="ar"/>
        </w:rPr>
        <w:t>（北京时间）；</w:t>
      </w:r>
    </w:p>
    <w:p w14:paraId="2AD75F52">
      <w:pPr>
        <w:widowControl/>
        <w:autoSpaceDE/>
        <w:autoSpaceDN/>
        <w:spacing w:line="360" w:lineRule="auto"/>
        <w:ind w:left="209" w:leftChars="95" w:firstLine="210" w:firstLineChars="100"/>
        <w:rPr>
          <w:rFonts w:hint="eastAsia" w:ascii="Times New Roman" w:hAnsi="Times New Roman" w:eastAsia="宋体" w:cs="Times New Roman"/>
          <w:sz w:val="21"/>
          <w:szCs w:val="21"/>
          <w:lang w:val="en-US" w:bidi="ar"/>
        </w:rPr>
      </w:pPr>
      <w:bookmarkStart w:id="27" w:name="_Toc8053"/>
      <w:r>
        <w:rPr>
          <w:rFonts w:hint="eastAsia" w:ascii="Times New Roman" w:hAnsi="Times New Roman" w:eastAsia="宋体" w:cs="Times New Roman"/>
          <w:sz w:val="21"/>
          <w:szCs w:val="21"/>
          <w:lang w:val="en-US" w:bidi="ar"/>
        </w:rPr>
        <w:t>2.地点：新县公共资源交易中心第</w:t>
      </w:r>
      <w:r>
        <w:rPr>
          <w:rFonts w:hint="eastAsia" w:ascii="Times New Roman" w:hAnsi="Times New Roman" w:eastAsia="宋体" w:cs="Times New Roman"/>
          <w:sz w:val="21"/>
          <w:szCs w:val="21"/>
          <w:lang w:val="en-US" w:eastAsia="zh-CN" w:bidi="ar"/>
        </w:rPr>
        <w:t xml:space="preserve"> 一 </w:t>
      </w:r>
      <w:r>
        <w:rPr>
          <w:rFonts w:hint="eastAsia" w:ascii="Times New Roman" w:hAnsi="Times New Roman" w:eastAsia="宋体" w:cs="Times New Roman"/>
          <w:sz w:val="21"/>
          <w:szCs w:val="21"/>
          <w:lang w:val="en-US" w:bidi="ar"/>
        </w:rPr>
        <w:t>开标厅（新县市民之家五楼）</w:t>
      </w:r>
      <w:bookmarkEnd w:id="27"/>
    </w:p>
    <w:p w14:paraId="6A336EAA">
      <w:pPr>
        <w:widowControl/>
        <w:autoSpaceDE/>
        <w:autoSpaceDN/>
        <w:spacing w:line="360" w:lineRule="auto"/>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 xml:space="preserve">六、发布公告的媒介及招标公告期限 </w:t>
      </w:r>
    </w:p>
    <w:p w14:paraId="628D3687">
      <w:pPr>
        <w:pStyle w:val="5"/>
        <w:ind w:left="220" w:leftChars="100" w:firstLine="420" w:firstLineChars="200"/>
        <w:rPr>
          <w:rFonts w:hint="eastAsia"/>
        </w:rPr>
      </w:pPr>
      <w:r>
        <w:rPr>
          <w:rFonts w:hint="eastAsia" w:ascii="Times New Roman" w:hAnsi="Times New Roman" w:eastAsia="宋体" w:cs="Times New Roman"/>
          <w:kern w:val="2"/>
          <w:sz w:val="21"/>
          <w:szCs w:val="21"/>
          <w:lang w:val="en-US" w:eastAsia="zh-CN" w:bidi="ar"/>
        </w:rPr>
        <w:t>本次磋商公告在《河南省政府采购网》 、《全国公共资源交易平台（河南省•新县）》网上发布。公告期限为三个工作日。</w:t>
      </w:r>
    </w:p>
    <w:p w14:paraId="783529A7">
      <w:pPr>
        <w:widowControl/>
        <w:autoSpaceDE/>
        <w:autoSpaceDN/>
        <w:spacing w:line="360" w:lineRule="auto"/>
        <w:rPr>
          <w:rFonts w:hint="eastAsia" w:ascii="宋体" w:hAnsi="宋体" w:eastAsia="宋体" w:cs="宋体"/>
          <w:b/>
          <w:bCs/>
          <w:color w:val="000000"/>
          <w:kern w:val="0"/>
          <w:sz w:val="24"/>
          <w:szCs w:val="24"/>
          <w:shd w:val="clear" w:color="auto" w:fill="FFFFFF"/>
          <w:lang w:val="en-US" w:eastAsia="zh-CN" w:bidi="ar-SA"/>
        </w:rPr>
      </w:pPr>
      <w:bookmarkStart w:id="28" w:name="_Toc31285"/>
      <w:bookmarkStart w:id="29" w:name="_Toc10134"/>
      <w:bookmarkStart w:id="30" w:name="_Toc32308"/>
      <w:bookmarkStart w:id="31" w:name="_Toc25176"/>
      <w:bookmarkStart w:id="32" w:name="_Toc10471"/>
      <w:bookmarkStart w:id="33" w:name="_Toc2764833"/>
      <w:r>
        <w:rPr>
          <w:rFonts w:hint="eastAsia" w:ascii="宋体" w:hAnsi="宋体" w:eastAsia="宋体" w:cs="宋体"/>
          <w:b/>
          <w:bCs/>
          <w:color w:val="000000"/>
          <w:kern w:val="0"/>
          <w:sz w:val="24"/>
          <w:szCs w:val="24"/>
          <w:shd w:val="clear" w:color="auto" w:fill="FFFFFF"/>
          <w:lang w:val="en-US" w:eastAsia="zh-CN" w:bidi="ar-SA"/>
        </w:rPr>
        <w:t>七、其他补充事宜</w:t>
      </w:r>
      <w:bookmarkEnd w:id="28"/>
      <w:bookmarkEnd w:id="29"/>
      <w:bookmarkEnd w:id="30"/>
      <w:bookmarkEnd w:id="31"/>
      <w:bookmarkEnd w:id="32"/>
      <w:r>
        <w:rPr>
          <w:rFonts w:hint="eastAsia" w:ascii="宋体" w:hAnsi="宋体" w:eastAsia="宋体" w:cs="宋体"/>
          <w:b/>
          <w:bCs/>
          <w:color w:val="000000"/>
          <w:kern w:val="0"/>
          <w:sz w:val="24"/>
          <w:szCs w:val="24"/>
          <w:shd w:val="clear" w:color="auto" w:fill="FFFFFF"/>
          <w:lang w:val="en-US" w:eastAsia="zh-CN" w:bidi="ar-SA"/>
        </w:rPr>
        <w:t xml:space="preserve"> </w:t>
      </w:r>
    </w:p>
    <w:p w14:paraId="7159D367">
      <w:pPr>
        <w:pStyle w:val="26"/>
        <w:widowControl/>
        <w:spacing w:line="360" w:lineRule="auto"/>
        <w:ind w:firstLine="420"/>
        <w:rPr>
          <w:rFonts w:hint="eastAsia" w:cs="宋体"/>
          <w:sz w:val="21"/>
          <w:szCs w:val="21"/>
          <w:lang w:bidi="ar"/>
        </w:rPr>
      </w:pPr>
      <w:r>
        <w:rPr>
          <w:rFonts w:hint="eastAsia" w:cs="宋体"/>
          <w:sz w:val="21"/>
          <w:szCs w:val="21"/>
          <w:lang w:val="en-US" w:eastAsia="zh-CN" w:bidi="ar"/>
        </w:rPr>
        <w:t>1.</w:t>
      </w:r>
      <w:r>
        <w:rPr>
          <w:rFonts w:hint="eastAsia" w:cs="宋体"/>
          <w:sz w:val="21"/>
          <w:szCs w:val="21"/>
          <w:lang w:bidi="ar"/>
        </w:rPr>
        <w:t xml:space="preserve"> 投标人注册：投标企业首先登录“全国公共资源交易平台（河南省·信阳市） （https://ggzyjy.xinyang.gov.cn/） ”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324E4EDF">
      <w:pPr>
        <w:pStyle w:val="26"/>
        <w:widowControl/>
        <w:spacing w:line="360" w:lineRule="auto"/>
        <w:ind w:firstLine="420"/>
        <w:rPr>
          <w:rFonts w:hint="eastAsia" w:cs="宋体"/>
          <w:sz w:val="21"/>
          <w:szCs w:val="21"/>
          <w:lang w:bidi="ar"/>
        </w:rPr>
      </w:pPr>
      <w:r>
        <w:rPr>
          <w:rFonts w:hint="eastAsia" w:cs="宋体"/>
          <w:sz w:val="21"/>
          <w:szCs w:val="21"/>
          <w:lang w:val="en-US" w:eastAsia="zh-CN" w:bidi="ar"/>
        </w:rPr>
        <w:t>2.</w:t>
      </w:r>
      <w:r>
        <w:rPr>
          <w:rFonts w:hint="eastAsia" w:cs="宋体"/>
          <w:sz w:val="21"/>
          <w:szCs w:val="21"/>
          <w:lang w:bidi="ar"/>
        </w:rPr>
        <w:t xml:space="preserve"> 办理CA数字证书：完成企业诚信库注册后，必须办理CA数字证书方可在网上办理招投标相关业务。投标人根据信阳市公共资源交易网通知公告栏目中《关于信阳市公共资源 交易平台数字证书（CA）互认系统正式上线运行的通知》要求，自行选择CA数字证书服务商，线上、线下办理CA数字证书。</w:t>
      </w:r>
    </w:p>
    <w:p w14:paraId="3862930B">
      <w:pPr>
        <w:pStyle w:val="26"/>
        <w:widowControl/>
        <w:spacing w:line="360" w:lineRule="auto"/>
        <w:ind w:firstLine="420"/>
        <w:rPr>
          <w:rFonts w:hint="eastAsia"/>
          <w:sz w:val="21"/>
          <w:szCs w:val="21"/>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、请供应商下载磋商文件后及时关注系统业务菜单（“答疑澄清文件领取”，“控制价文件领取”）内该项目是否有新的答疑澄清文件或控制价文件。如有请直接下载，不再另行通知。</w:t>
      </w:r>
    </w:p>
    <w:p w14:paraId="1A1FB4BC">
      <w:pPr>
        <w:widowControl/>
        <w:autoSpaceDE/>
        <w:autoSpaceDN/>
        <w:spacing w:line="360" w:lineRule="auto"/>
        <w:ind w:firstLine="420" w:firstLineChars="200"/>
        <w:rPr>
          <w:rFonts w:hint="eastAsia"/>
          <w:color w:val="000000"/>
          <w:sz w:val="21"/>
          <w:szCs w:val="21"/>
          <w:lang w:val="en-US" w:bidi="ar"/>
        </w:rPr>
      </w:pPr>
      <w:r>
        <w:rPr>
          <w:rFonts w:hint="eastAsia"/>
          <w:color w:val="000000"/>
          <w:sz w:val="21"/>
          <w:szCs w:val="21"/>
          <w:lang w:val="en-US" w:eastAsia="zh-CN" w:bidi="ar"/>
        </w:rPr>
        <w:t>4</w:t>
      </w:r>
      <w:r>
        <w:rPr>
          <w:rFonts w:hint="eastAsia"/>
          <w:color w:val="000000"/>
          <w:sz w:val="21"/>
          <w:szCs w:val="21"/>
          <w:lang w:val="en-US" w:bidi="ar"/>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4D654951">
      <w:pPr>
        <w:widowControl/>
        <w:autoSpaceDE/>
        <w:autoSpaceDN/>
        <w:spacing w:line="360" w:lineRule="auto"/>
        <w:ind w:firstLine="420" w:firstLineChars="200"/>
        <w:rPr>
          <w:rFonts w:hint="eastAsia"/>
          <w:color w:val="000000"/>
          <w:sz w:val="21"/>
          <w:szCs w:val="21"/>
          <w:lang w:val="en-US" w:bidi="ar"/>
        </w:rPr>
      </w:pPr>
      <w:r>
        <w:rPr>
          <w:rFonts w:hint="eastAsia"/>
          <w:color w:val="000000"/>
          <w:sz w:val="21"/>
          <w:szCs w:val="21"/>
          <w:lang w:val="en-US" w:eastAsia="zh-CN" w:bidi="ar"/>
        </w:rPr>
        <w:t>5</w:t>
      </w:r>
      <w:r>
        <w:rPr>
          <w:rFonts w:hint="eastAsia"/>
          <w:color w:val="000000"/>
          <w:sz w:val="21"/>
          <w:szCs w:val="21"/>
          <w:lang w:val="en-US" w:bidi="ar"/>
        </w:rPr>
        <w:t>. 投标人应当在投标截止时间前，使用投标人 CA 数字证书登录不见面开标大厅，在线签到并准时参加开标活动，并在规定时间内完成投标文件解密、答疑澄清等。</w:t>
      </w:r>
    </w:p>
    <w:p w14:paraId="41BA8B08">
      <w:pPr>
        <w:widowControl/>
        <w:autoSpaceDE/>
        <w:autoSpaceDN/>
        <w:spacing w:line="360" w:lineRule="auto"/>
        <w:ind w:firstLine="420" w:firstLineChars="200"/>
        <w:rPr>
          <w:rFonts w:hint="eastAsia"/>
          <w:color w:val="000000"/>
          <w:sz w:val="21"/>
          <w:szCs w:val="21"/>
          <w:lang w:val="en-US" w:bidi="ar"/>
        </w:rPr>
      </w:pPr>
      <w:r>
        <w:rPr>
          <w:rFonts w:hint="eastAsia"/>
          <w:color w:val="000000"/>
          <w:sz w:val="21"/>
          <w:szCs w:val="21"/>
          <w:lang w:val="en-US" w:eastAsia="zh-CN" w:bidi="ar"/>
        </w:rPr>
        <w:t>6</w:t>
      </w:r>
      <w:r>
        <w:rPr>
          <w:rFonts w:hint="eastAsia"/>
          <w:color w:val="000000"/>
          <w:sz w:val="21"/>
          <w:szCs w:val="21"/>
          <w:lang w:val="en-US" w:bidi="ar"/>
        </w:rPr>
        <w:t>.逾期解密或者没有准时在线参加开标活动导致的一切后果投标人自行承担。</w:t>
      </w:r>
    </w:p>
    <w:p w14:paraId="2C748D3F">
      <w:pPr>
        <w:widowControl/>
        <w:autoSpaceDE/>
        <w:autoSpaceDN/>
        <w:spacing w:line="360" w:lineRule="auto"/>
        <w:ind w:firstLine="420" w:firstLineChars="200"/>
        <w:rPr>
          <w:rFonts w:hint="eastAsia"/>
          <w:color w:val="000000"/>
          <w:sz w:val="21"/>
          <w:szCs w:val="21"/>
          <w:lang w:val="en-US" w:bidi="ar"/>
        </w:rPr>
      </w:pPr>
      <w:r>
        <w:rPr>
          <w:rFonts w:hint="eastAsia"/>
          <w:color w:val="000000"/>
          <w:sz w:val="21"/>
          <w:szCs w:val="21"/>
          <w:lang w:val="en-US" w:eastAsia="zh-CN" w:bidi="ar"/>
        </w:rPr>
        <w:t>7</w:t>
      </w:r>
      <w:r>
        <w:rPr>
          <w:rFonts w:hint="eastAsia"/>
          <w:color w:val="000000"/>
          <w:sz w:val="21"/>
          <w:szCs w:val="21"/>
          <w:lang w:val="en-US" w:bidi="ar"/>
        </w:rPr>
        <w:t>.不见面开标服务的具体事宜，请查阅信阳市公共资源交易中心网站首页—下载中心—信阳市不见面开标大厅系统操作手册。</w:t>
      </w:r>
    </w:p>
    <w:p w14:paraId="26047263">
      <w:pPr>
        <w:widowControl/>
        <w:autoSpaceDE/>
        <w:autoSpaceDN/>
        <w:spacing w:line="360" w:lineRule="auto"/>
        <w:ind w:firstLine="420" w:firstLineChars="200"/>
        <w:rPr>
          <w:rFonts w:hint="eastAsia"/>
          <w:color w:val="000000"/>
          <w:sz w:val="21"/>
          <w:szCs w:val="21"/>
          <w:lang w:val="en-US" w:bidi="ar"/>
        </w:rPr>
      </w:pPr>
      <w:r>
        <w:rPr>
          <w:rFonts w:hint="eastAsia"/>
          <w:color w:val="000000"/>
          <w:sz w:val="21"/>
          <w:szCs w:val="21"/>
          <w:lang w:val="en-US" w:bidi="ar"/>
        </w:rPr>
        <w:t xml:space="preserve"> 特别提示：投标人在线签到时，应如实准确的填写授权委托人的联系电话，开标当天请务必保证电话保持畅通。</w:t>
      </w:r>
    </w:p>
    <w:p w14:paraId="7241DF25">
      <w:pPr>
        <w:spacing w:before="1" w:line="360" w:lineRule="auto"/>
        <w:ind w:firstLine="420" w:firstLineChars="200"/>
        <w:rPr>
          <w:rFonts w:hint="eastAsia"/>
          <w:sz w:val="21"/>
          <w:szCs w:val="21"/>
        </w:rPr>
      </w:pPr>
      <w:r>
        <w:rPr>
          <w:rFonts w:hint="eastAsia"/>
          <w:sz w:val="21"/>
          <w:szCs w:val="21"/>
          <w:lang w:val="en-US" w:eastAsia="zh-CN"/>
        </w:rPr>
        <w:t>8.</w:t>
      </w:r>
      <w:r>
        <w:rPr>
          <w:sz w:val="21"/>
          <w:szCs w:val="21"/>
        </w:rPr>
        <w:t>监督部门信息</w:t>
      </w:r>
    </w:p>
    <w:p w14:paraId="717C8A6B">
      <w:pPr>
        <w:spacing w:before="1" w:line="360" w:lineRule="auto"/>
        <w:ind w:firstLine="632" w:firstLineChars="301"/>
        <w:rPr>
          <w:rFonts w:hint="eastAsia"/>
          <w:sz w:val="21"/>
          <w:szCs w:val="21"/>
        </w:rPr>
      </w:pPr>
      <w:r>
        <w:rPr>
          <w:sz w:val="21"/>
          <w:szCs w:val="21"/>
        </w:rPr>
        <w:t>监督单位</w:t>
      </w:r>
      <w:r>
        <w:rPr>
          <w:rFonts w:hint="eastAsia"/>
          <w:sz w:val="21"/>
          <w:szCs w:val="21"/>
        </w:rPr>
        <w:t xml:space="preserve"> </w:t>
      </w:r>
      <w:r>
        <w:rPr>
          <w:sz w:val="21"/>
          <w:szCs w:val="21"/>
        </w:rPr>
        <w:t>：</w:t>
      </w:r>
      <w:r>
        <w:rPr>
          <w:rFonts w:hint="eastAsia"/>
          <w:sz w:val="21"/>
          <w:szCs w:val="21"/>
        </w:rPr>
        <w:t>新县财政局政府采购办</w:t>
      </w:r>
    </w:p>
    <w:p w14:paraId="7EFA89AD">
      <w:pPr>
        <w:spacing w:before="1" w:line="360" w:lineRule="auto"/>
        <w:ind w:firstLine="632" w:firstLineChars="301"/>
        <w:rPr>
          <w:rFonts w:hint="eastAsia"/>
          <w:sz w:val="21"/>
          <w:szCs w:val="21"/>
          <w:lang w:val="en-US"/>
        </w:rPr>
      </w:pPr>
      <w:r>
        <w:rPr>
          <w:sz w:val="21"/>
          <w:szCs w:val="21"/>
        </w:rPr>
        <w:t>联系电话</w:t>
      </w:r>
      <w:r>
        <w:rPr>
          <w:rFonts w:hint="eastAsia"/>
          <w:sz w:val="21"/>
          <w:szCs w:val="21"/>
        </w:rPr>
        <w:t xml:space="preserve"> </w:t>
      </w:r>
      <w:r>
        <w:rPr>
          <w:sz w:val="21"/>
          <w:szCs w:val="21"/>
        </w:rPr>
        <w:t>：0376-2980510</w:t>
      </w:r>
    </w:p>
    <w:p w14:paraId="2C445EBE">
      <w:pPr>
        <w:widowControl/>
        <w:autoSpaceDE/>
        <w:autoSpaceDN/>
        <w:ind w:firstLine="211" w:firstLineChars="100"/>
        <w:rPr>
          <w:rFonts w:hint="eastAsia"/>
          <w:b/>
          <w:bCs/>
          <w:color w:val="000000"/>
          <w:sz w:val="21"/>
          <w:szCs w:val="21"/>
          <w:lang w:val="en-US" w:bidi="ar"/>
        </w:rPr>
      </w:pPr>
      <w:r>
        <w:rPr>
          <w:rFonts w:hint="eastAsia"/>
          <w:b/>
          <w:bCs/>
          <w:color w:val="000000"/>
          <w:sz w:val="21"/>
          <w:szCs w:val="21"/>
          <w:lang w:val="en-US" w:bidi="ar"/>
        </w:rPr>
        <w:t>八、</w:t>
      </w:r>
      <w:bookmarkStart w:id="34" w:name="_Hlk156457719"/>
      <w:r>
        <w:rPr>
          <w:rFonts w:hint="eastAsia"/>
          <w:b/>
          <w:bCs/>
          <w:color w:val="000000"/>
          <w:sz w:val="21"/>
          <w:szCs w:val="21"/>
          <w:lang w:val="en-US" w:bidi="ar"/>
        </w:rPr>
        <w:t>对本次招标提出询问，请按照以下方式联系。</w:t>
      </w:r>
    </w:p>
    <w:bookmarkEnd w:id="34"/>
    <w:p w14:paraId="68218090">
      <w:pPr>
        <w:spacing w:before="163" w:line="360" w:lineRule="auto"/>
        <w:ind w:firstLine="460"/>
        <w:rPr>
          <w:rFonts w:hint="eastAsia"/>
          <w:sz w:val="21"/>
          <w:szCs w:val="21"/>
        </w:rPr>
      </w:pPr>
      <w:r>
        <w:rPr>
          <w:sz w:val="21"/>
          <w:szCs w:val="21"/>
        </w:rPr>
        <w:t>1.采购人信息</w:t>
      </w:r>
    </w:p>
    <w:p w14:paraId="324CE883">
      <w:pPr>
        <w:spacing w:line="360" w:lineRule="auto"/>
        <w:ind w:firstLine="443"/>
        <w:rPr>
          <w:rFonts w:hint="default" w:eastAsia="宋体"/>
          <w:sz w:val="21"/>
          <w:szCs w:val="21"/>
          <w:lang w:val="en-US" w:eastAsia="zh-CN"/>
        </w:rPr>
      </w:pPr>
      <w:r>
        <w:rPr>
          <w:sz w:val="21"/>
          <w:szCs w:val="21"/>
        </w:rPr>
        <w:t>采</w:t>
      </w:r>
      <w:r>
        <w:rPr>
          <w:rFonts w:hint="eastAsia"/>
          <w:sz w:val="21"/>
          <w:szCs w:val="21"/>
        </w:rPr>
        <w:t xml:space="preserve"> </w:t>
      </w:r>
      <w:r>
        <w:rPr>
          <w:sz w:val="21"/>
          <w:szCs w:val="21"/>
        </w:rPr>
        <w:t>购</w:t>
      </w:r>
      <w:r>
        <w:rPr>
          <w:rFonts w:hint="eastAsia"/>
          <w:sz w:val="21"/>
          <w:szCs w:val="21"/>
        </w:rPr>
        <w:t xml:space="preserve"> </w:t>
      </w:r>
      <w:r>
        <w:rPr>
          <w:sz w:val="21"/>
          <w:szCs w:val="21"/>
        </w:rPr>
        <w:t>人</w:t>
      </w:r>
      <w:r>
        <w:rPr>
          <w:rFonts w:hint="eastAsia"/>
          <w:sz w:val="21"/>
          <w:szCs w:val="21"/>
        </w:rPr>
        <w:t xml:space="preserve"> </w:t>
      </w:r>
      <w:r>
        <w:rPr>
          <w:sz w:val="21"/>
          <w:szCs w:val="21"/>
        </w:rPr>
        <w:t>：</w:t>
      </w:r>
      <w:r>
        <w:rPr>
          <w:rFonts w:hint="eastAsia"/>
          <w:sz w:val="21"/>
          <w:szCs w:val="21"/>
          <w:lang w:val="en-US" w:eastAsia="zh-CN"/>
        </w:rPr>
        <w:t xml:space="preserve">新县住房和城乡建设局 </w:t>
      </w:r>
    </w:p>
    <w:p w14:paraId="16D0562D">
      <w:pPr>
        <w:spacing w:line="360" w:lineRule="auto"/>
        <w:ind w:firstLine="443"/>
        <w:rPr>
          <w:rFonts w:hint="eastAsia" w:eastAsia="宋体"/>
          <w:sz w:val="21"/>
          <w:szCs w:val="21"/>
          <w:lang w:eastAsia="zh-CN"/>
        </w:rPr>
      </w:pPr>
      <w:r>
        <w:rPr>
          <w:sz w:val="21"/>
          <w:szCs w:val="21"/>
        </w:rPr>
        <w:t>地    址 ：</w:t>
      </w:r>
      <w:r>
        <w:rPr>
          <w:rFonts w:hint="eastAsia"/>
          <w:sz w:val="21"/>
          <w:szCs w:val="21"/>
          <w:lang w:val="en-US" w:eastAsia="zh-CN"/>
        </w:rPr>
        <w:t xml:space="preserve"> </w:t>
      </w:r>
      <w:r>
        <w:rPr>
          <w:rFonts w:hint="eastAsia"/>
          <w:sz w:val="21"/>
          <w:szCs w:val="21"/>
          <w:lang w:val="en-US"/>
        </w:rPr>
        <w:t>河南省</w:t>
      </w:r>
      <w:r>
        <w:rPr>
          <w:rFonts w:hint="eastAsia"/>
          <w:sz w:val="21"/>
          <w:szCs w:val="21"/>
        </w:rPr>
        <w:t>新县</w:t>
      </w:r>
      <w:r>
        <w:rPr>
          <w:rFonts w:hint="eastAsia"/>
          <w:sz w:val="21"/>
          <w:szCs w:val="21"/>
          <w:lang w:val="en-US" w:eastAsia="zh-CN"/>
        </w:rPr>
        <w:t>朝阳路</w:t>
      </w:r>
    </w:p>
    <w:p w14:paraId="32A9A667">
      <w:pPr>
        <w:spacing w:line="360" w:lineRule="auto"/>
        <w:ind w:firstLine="445"/>
        <w:rPr>
          <w:rFonts w:hint="eastAsia" w:eastAsia="宋体"/>
          <w:sz w:val="21"/>
          <w:szCs w:val="21"/>
          <w:lang w:eastAsia="zh-CN"/>
        </w:rPr>
      </w:pPr>
      <w:r>
        <w:rPr>
          <w:sz w:val="21"/>
          <w:szCs w:val="21"/>
        </w:rPr>
        <w:t>联 系 人 ：</w:t>
      </w:r>
      <w:r>
        <w:rPr>
          <w:rFonts w:hint="eastAsia"/>
          <w:sz w:val="21"/>
          <w:szCs w:val="21"/>
          <w:lang w:val="en-US" w:eastAsia="zh-CN"/>
        </w:rPr>
        <w:t>黄先生</w:t>
      </w:r>
    </w:p>
    <w:p w14:paraId="421C715C">
      <w:pPr>
        <w:spacing w:line="360" w:lineRule="auto"/>
        <w:ind w:firstLine="445"/>
        <w:rPr>
          <w:rFonts w:hint="eastAsia" w:eastAsia="宋体"/>
          <w:sz w:val="21"/>
          <w:szCs w:val="21"/>
          <w:lang w:eastAsia="zh-CN"/>
        </w:rPr>
      </w:pPr>
      <w:r>
        <w:rPr>
          <w:sz w:val="21"/>
          <w:szCs w:val="21"/>
        </w:rPr>
        <w:t>电    话 ：</w:t>
      </w:r>
      <w:r>
        <w:rPr>
          <w:rFonts w:hint="eastAsia"/>
          <w:color w:val="000000"/>
          <w:sz w:val="21"/>
          <w:szCs w:val="21"/>
          <w:lang w:val="en-US" w:eastAsia="zh-CN" w:bidi="ar"/>
        </w:rPr>
        <w:t>13703761112</w:t>
      </w:r>
    </w:p>
    <w:p w14:paraId="2D235357">
      <w:pPr>
        <w:spacing w:before="1" w:line="360" w:lineRule="auto"/>
        <w:ind w:firstLine="447"/>
        <w:rPr>
          <w:rFonts w:hint="eastAsia"/>
          <w:sz w:val="21"/>
          <w:szCs w:val="21"/>
        </w:rPr>
      </w:pPr>
      <w:r>
        <w:rPr>
          <w:sz w:val="21"/>
          <w:szCs w:val="21"/>
        </w:rPr>
        <w:t>2.采购代理机构信息</w:t>
      </w:r>
    </w:p>
    <w:p w14:paraId="4C9490D0">
      <w:pPr>
        <w:spacing w:before="1" w:line="360" w:lineRule="auto"/>
        <w:ind w:firstLine="447"/>
        <w:rPr>
          <w:rFonts w:hint="eastAsia"/>
          <w:sz w:val="21"/>
          <w:szCs w:val="21"/>
        </w:rPr>
      </w:pPr>
      <w:r>
        <w:rPr>
          <w:sz w:val="21"/>
          <w:szCs w:val="21"/>
        </w:rPr>
        <w:t>代理机构</w:t>
      </w:r>
      <w:r>
        <w:rPr>
          <w:rFonts w:hint="eastAsia"/>
          <w:sz w:val="21"/>
          <w:szCs w:val="21"/>
        </w:rPr>
        <w:t xml:space="preserve"> </w:t>
      </w:r>
      <w:r>
        <w:rPr>
          <w:sz w:val="21"/>
          <w:szCs w:val="21"/>
        </w:rPr>
        <w:t>：</w:t>
      </w:r>
      <w:r>
        <w:rPr>
          <w:rFonts w:hint="eastAsia"/>
          <w:sz w:val="21"/>
          <w:szCs w:val="21"/>
        </w:rPr>
        <w:t>新县建业造价师事务所有限责任公司</w:t>
      </w:r>
    </w:p>
    <w:p w14:paraId="60D37543">
      <w:pPr>
        <w:spacing w:before="1" w:line="360" w:lineRule="auto"/>
        <w:ind w:firstLine="447"/>
        <w:rPr>
          <w:rFonts w:hint="eastAsia"/>
          <w:sz w:val="21"/>
          <w:szCs w:val="21"/>
        </w:rPr>
      </w:pPr>
      <w:r>
        <w:rPr>
          <w:sz w:val="21"/>
          <w:szCs w:val="21"/>
        </w:rPr>
        <w:t>地    址 ：</w:t>
      </w:r>
      <w:r>
        <w:rPr>
          <w:rFonts w:hint="eastAsia"/>
          <w:sz w:val="21"/>
          <w:szCs w:val="21"/>
        </w:rPr>
        <w:t>河南省新县京九南路</w:t>
      </w:r>
    </w:p>
    <w:p w14:paraId="0755A1C8">
      <w:pPr>
        <w:spacing w:line="360" w:lineRule="auto"/>
        <w:ind w:firstLine="445"/>
        <w:rPr>
          <w:rFonts w:hint="eastAsia"/>
          <w:sz w:val="21"/>
          <w:szCs w:val="21"/>
        </w:rPr>
      </w:pPr>
      <w:r>
        <w:rPr>
          <w:sz w:val="21"/>
          <w:szCs w:val="21"/>
        </w:rPr>
        <w:t>联 系 人 ：</w:t>
      </w:r>
      <w:r>
        <w:rPr>
          <w:rFonts w:hint="eastAsia"/>
          <w:sz w:val="21"/>
          <w:szCs w:val="21"/>
        </w:rPr>
        <w:t>兰女士</w:t>
      </w:r>
    </w:p>
    <w:p w14:paraId="2F89113E">
      <w:pPr>
        <w:spacing w:line="360" w:lineRule="auto"/>
        <w:ind w:firstLine="445"/>
        <w:rPr>
          <w:rFonts w:hint="eastAsia"/>
          <w:sz w:val="21"/>
          <w:szCs w:val="21"/>
        </w:rPr>
      </w:pPr>
      <w:r>
        <w:rPr>
          <w:sz w:val="21"/>
          <w:szCs w:val="21"/>
        </w:rPr>
        <w:t>电    话 ：</w:t>
      </w:r>
      <w:r>
        <w:rPr>
          <w:rFonts w:hint="eastAsia"/>
          <w:sz w:val="21"/>
          <w:szCs w:val="21"/>
        </w:rPr>
        <w:t>0376-2791056</w:t>
      </w:r>
    </w:p>
    <w:p w14:paraId="3A0C4724">
      <w:pPr>
        <w:spacing w:before="1" w:line="360" w:lineRule="auto"/>
        <w:ind w:firstLine="448"/>
        <w:rPr>
          <w:rFonts w:hint="eastAsia"/>
          <w:sz w:val="21"/>
          <w:szCs w:val="21"/>
        </w:rPr>
      </w:pPr>
      <w:r>
        <w:rPr>
          <w:sz w:val="21"/>
          <w:szCs w:val="21"/>
        </w:rPr>
        <w:t>3.项目联系方式</w:t>
      </w:r>
    </w:p>
    <w:p w14:paraId="2C6DAC3E">
      <w:pPr>
        <w:spacing w:before="1" w:line="360" w:lineRule="auto"/>
        <w:ind w:firstLine="448"/>
        <w:rPr>
          <w:rFonts w:hint="eastAsia"/>
          <w:sz w:val="21"/>
          <w:szCs w:val="21"/>
        </w:rPr>
      </w:pPr>
      <w:r>
        <w:rPr>
          <w:sz w:val="21"/>
          <w:szCs w:val="21"/>
        </w:rPr>
        <w:t>联 系 人 ：</w:t>
      </w:r>
      <w:r>
        <w:rPr>
          <w:rFonts w:hint="eastAsia"/>
          <w:sz w:val="21"/>
          <w:szCs w:val="21"/>
        </w:rPr>
        <w:t>兰女士</w:t>
      </w:r>
    </w:p>
    <w:p w14:paraId="496F9831">
      <w:pPr>
        <w:spacing w:before="1" w:line="360" w:lineRule="auto"/>
        <w:ind w:firstLine="448"/>
      </w:pPr>
      <w:r>
        <w:rPr>
          <w:sz w:val="21"/>
          <w:szCs w:val="21"/>
        </w:rPr>
        <w:t>电    话 ：</w:t>
      </w:r>
      <w:r>
        <w:rPr>
          <w:rFonts w:hint="eastAsia"/>
          <w:sz w:val="21"/>
          <w:szCs w:val="21"/>
        </w:rPr>
        <w:t>0376-2791056</w:t>
      </w:r>
    </w:p>
    <w:p w14:paraId="1AC00D0F">
      <w:pPr>
        <w:pStyle w:val="19"/>
        <w:jc w:val="center"/>
        <w:outlineLvl w:val="0"/>
        <w:rPr>
          <w:rFonts w:hint="eastAsia" w:ascii="黑体" w:eastAsia="黑体"/>
          <w:b/>
          <w:color w:val="000000"/>
          <w:sz w:val="32"/>
          <w:szCs w:val="32"/>
        </w:rPr>
      </w:pPr>
    </w:p>
    <w:p w14:paraId="7BA1EC00">
      <w:pPr>
        <w:pStyle w:val="19"/>
        <w:jc w:val="center"/>
        <w:outlineLvl w:val="0"/>
        <w:rPr>
          <w:rFonts w:hint="eastAsia" w:ascii="黑体" w:eastAsia="黑体"/>
          <w:b/>
          <w:color w:val="000000"/>
          <w:sz w:val="32"/>
          <w:szCs w:val="32"/>
        </w:rPr>
      </w:pPr>
    </w:p>
    <w:p w14:paraId="1CC72F24">
      <w:pPr>
        <w:pStyle w:val="19"/>
        <w:jc w:val="center"/>
        <w:outlineLvl w:val="0"/>
        <w:rPr>
          <w:rFonts w:hint="eastAsia" w:ascii="黑体" w:eastAsia="黑体"/>
          <w:b/>
          <w:color w:val="000000"/>
          <w:sz w:val="32"/>
          <w:szCs w:val="32"/>
        </w:rPr>
      </w:pPr>
    </w:p>
    <w:p w14:paraId="587E8658">
      <w:pPr>
        <w:pStyle w:val="19"/>
        <w:jc w:val="center"/>
        <w:outlineLvl w:val="0"/>
        <w:rPr>
          <w:rFonts w:hint="eastAsia" w:ascii="黑体" w:eastAsia="黑体"/>
          <w:b/>
          <w:color w:val="000000"/>
          <w:sz w:val="32"/>
          <w:szCs w:val="32"/>
        </w:rPr>
      </w:pPr>
    </w:p>
    <w:p w14:paraId="603D5C83">
      <w:pPr>
        <w:pStyle w:val="19"/>
        <w:jc w:val="center"/>
        <w:outlineLvl w:val="0"/>
        <w:rPr>
          <w:rFonts w:hint="eastAsia" w:ascii="黑体" w:eastAsia="黑体"/>
          <w:b/>
          <w:color w:val="000000"/>
          <w:sz w:val="32"/>
          <w:szCs w:val="32"/>
        </w:rPr>
      </w:pPr>
    </w:p>
    <w:p w14:paraId="6B5A6939">
      <w:pPr>
        <w:pStyle w:val="19"/>
        <w:jc w:val="center"/>
        <w:outlineLvl w:val="0"/>
        <w:rPr>
          <w:rFonts w:hint="eastAsia" w:ascii="黑体" w:eastAsia="黑体"/>
          <w:b/>
          <w:color w:val="000000"/>
          <w:sz w:val="32"/>
          <w:szCs w:val="32"/>
        </w:rPr>
      </w:pPr>
    </w:p>
    <w:p w14:paraId="1CFFFE5B">
      <w:pPr>
        <w:pStyle w:val="19"/>
        <w:jc w:val="center"/>
        <w:outlineLvl w:val="0"/>
        <w:rPr>
          <w:rFonts w:hint="eastAsia" w:ascii="黑体" w:eastAsia="黑体"/>
          <w:b/>
          <w:color w:val="000000"/>
          <w:sz w:val="32"/>
          <w:szCs w:val="32"/>
        </w:rPr>
      </w:pPr>
    </w:p>
    <w:p w14:paraId="75199FAC">
      <w:pPr>
        <w:pStyle w:val="19"/>
        <w:jc w:val="center"/>
        <w:outlineLvl w:val="0"/>
        <w:rPr>
          <w:rFonts w:hint="eastAsia" w:ascii="黑体" w:eastAsia="黑体"/>
          <w:b/>
          <w:color w:val="000000"/>
          <w:sz w:val="32"/>
          <w:szCs w:val="32"/>
        </w:rPr>
      </w:pPr>
      <w:bookmarkStart w:id="35" w:name="_Toc879"/>
      <w:r>
        <w:rPr>
          <w:rFonts w:hint="eastAsia" w:ascii="黑体" w:eastAsia="黑体"/>
          <w:b/>
          <w:color w:val="000000"/>
          <w:sz w:val="32"/>
          <w:szCs w:val="32"/>
        </w:rPr>
        <w:t>第二章 供应商须知</w:t>
      </w:r>
      <w:bookmarkEnd w:id="33"/>
      <w:bookmarkEnd w:id="35"/>
    </w:p>
    <w:p w14:paraId="7430D48F">
      <w:pPr>
        <w:pStyle w:val="19"/>
        <w:rPr>
          <w:rFonts w:hint="eastAsia" w:ascii="黑体" w:eastAsia="黑体"/>
          <w:b/>
          <w:color w:val="000000"/>
          <w:sz w:val="24"/>
          <w:szCs w:val="24"/>
        </w:rPr>
      </w:pPr>
    </w:p>
    <w:p w14:paraId="49A4AEB0">
      <w:pPr>
        <w:adjustRightInd w:val="0"/>
        <w:snapToGrid w:val="0"/>
        <w:spacing w:line="360" w:lineRule="auto"/>
        <w:jc w:val="center"/>
        <w:outlineLvl w:val="1"/>
        <w:rPr>
          <w:rFonts w:hint="eastAsia" w:ascii="黑体" w:hAnsi="宋体" w:eastAsia="黑体"/>
          <w:b/>
          <w:color w:val="000000"/>
          <w:sz w:val="24"/>
        </w:rPr>
      </w:pPr>
      <w:bookmarkStart w:id="36" w:name="_Toc2764834"/>
      <w:bookmarkStart w:id="37" w:name="_Toc13806"/>
      <w:r>
        <w:rPr>
          <w:rFonts w:hint="eastAsia" w:ascii="黑体" w:hAnsi="宋体" w:eastAsia="黑体"/>
          <w:b/>
          <w:color w:val="000000"/>
          <w:sz w:val="24"/>
        </w:rPr>
        <w:t>供应商须知前附表</w:t>
      </w:r>
      <w:bookmarkEnd w:id="36"/>
      <w:bookmarkEnd w:id="37"/>
    </w:p>
    <w:tbl>
      <w:tblPr>
        <w:tblStyle w:val="27"/>
        <w:tblW w:w="9854"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1173"/>
        <w:gridCol w:w="929"/>
        <w:gridCol w:w="6541"/>
      </w:tblGrid>
      <w:tr w14:paraId="6808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1" w:type="dxa"/>
          </w:tcPr>
          <w:p w14:paraId="38156972">
            <w:pPr>
              <w:pStyle w:val="47"/>
              <w:spacing w:before="98"/>
              <w:ind w:left="141" w:right="135"/>
              <w:jc w:val="center"/>
              <w:rPr>
                <w:rFonts w:hint="eastAsia"/>
                <w:sz w:val="21"/>
                <w:szCs w:val="21"/>
              </w:rPr>
            </w:pPr>
            <w:r>
              <w:rPr>
                <w:sz w:val="21"/>
                <w:szCs w:val="21"/>
              </w:rPr>
              <w:t>条款号</w:t>
            </w:r>
          </w:p>
        </w:tc>
        <w:tc>
          <w:tcPr>
            <w:tcW w:w="2102" w:type="dxa"/>
            <w:gridSpan w:val="2"/>
          </w:tcPr>
          <w:p w14:paraId="287B0964">
            <w:pPr>
              <w:pStyle w:val="47"/>
              <w:spacing w:before="98"/>
              <w:ind w:left="173" w:right="165"/>
              <w:jc w:val="center"/>
              <w:rPr>
                <w:rFonts w:hint="eastAsia"/>
                <w:sz w:val="21"/>
                <w:szCs w:val="21"/>
              </w:rPr>
            </w:pPr>
            <w:r>
              <w:rPr>
                <w:sz w:val="21"/>
                <w:szCs w:val="21"/>
              </w:rPr>
              <w:t>条款名称</w:t>
            </w:r>
          </w:p>
        </w:tc>
        <w:tc>
          <w:tcPr>
            <w:tcW w:w="6541" w:type="dxa"/>
          </w:tcPr>
          <w:p w14:paraId="1324060A">
            <w:pPr>
              <w:pStyle w:val="47"/>
              <w:tabs>
                <w:tab w:val="left" w:pos="429"/>
                <w:tab w:val="left" w:pos="849"/>
                <w:tab w:val="left" w:pos="1269"/>
              </w:tabs>
              <w:spacing w:before="98"/>
              <w:ind w:left="9"/>
              <w:jc w:val="center"/>
              <w:rPr>
                <w:rFonts w:hint="eastAsia"/>
                <w:sz w:val="21"/>
                <w:szCs w:val="21"/>
              </w:rPr>
            </w:pPr>
            <w:r>
              <w:rPr>
                <w:sz w:val="21"/>
                <w:szCs w:val="21"/>
              </w:rPr>
              <w:t>编</w:t>
            </w:r>
            <w:r>
              <w:rPr>
                <w:sz w:val="21"/>
                <w:szCs w:val="21"/>
              </w:rPr>
              <w:tab/>
            </w:r>
            <w:r>
              <w:rPr>
                <w:sz w:val="21"/>
                <w:szCs w:val="21"/>
              </w:rPr>
              <w:t>列</w:t>
            </w:r>
            <w:r>
              <w:rPr>
                <w:sz w:val="21"/>
                <w:szCs w:val="21"/>
              </w:rPr>
              <w:tab/>
            </w:r>
            <w:r>
              <w:rPr>
                <w:sz w:val="21"/>
                <w:szCs w:val="21"/>
              </w:rPr>
              <w:t>内</w:t>
            </w:r>
            <w:r>
              <w:rPr>
                <w:sz w:val="21"/>
                <w:szCs w:val="21"/>
              </w:rPr>
              <w:tab/>
            </w:r>
            <w:r>
              <w:rPr>
                <w:sz w:val="21"/>
                <w:szCs w:val="21"/>
              </w:rPr>
              <w:t>容</w:t>
            </w:r>
          </w:p>
        </w:tc>
      </w:tr>
      <w:tr w14:paraId="2C34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211" w:type="dxa"/>
            <w:vAlign w:val="center"/>
          </w:tcPr>
          <w:p w14:paraId="27C0FB78">
            <w:pPr>
              <w:pStyle w:val="47"/>
              <w:jc w:val="both"/>
              <w:rPr>
                <w:rFonts w:hint="eastAsia"/>
                <w:sz w:val="21"/>
                <w:szCs w:val="21"/>
              </w:rPr>
            </w:pPr>
          </w:p>
          <w:p w14:paraId="317C0243">
            <w:pPr>
              <w:pStyle w:val="47"/>
              <w:ind w:right="134"/>
              <w:jc w:val="center"/>
              <w:rPr>
                <w:rFonts w:hint="eastAsia"/>
                <w:sz w:val="21"/>
                <w:szCs w:val="21"/>
              </w:rPr>
            </w:pPr>
            <w:r>
              <w:rPr>
                <w:sz w:val="21"/>
                <w:szCs w:val="21"/>
              </w:rPr>
              <w:t>1.2.1</w:t>
            </w:r>
          </w:p>
        </w:tc>
        <w:tc>
          <w:tcPr>
            <w:tcW w:w="2102" w:type="dxa"/>
            <w:gridSpan w:val="2"/>
            <w:vAlign w:val="center"/>
          </w:tcPr>
          <w:p w14:paraId="7D6F8BBE">
            <w:pPr>
              <w:pStyle w:val="47"/>
              <w:ind w:right="167"/>
              <w:jc w:val="both"/>
              <w:rPr>
                <w:rFonts w:hint="eastAsia"/>
                <w:sz w:val="21"/>
                <w:szCs w:val="21"/>
              </w:rPr>
            </w:pPr>
          </w:p>
          <w:p w14:paraId="3B50FC33">
            <w:pPr>
              <w:pStyle w:val="47"/>
              <w:ind w:left="173" w:right="167"/>
              <w:jc w:val="center"/>
              <w:rPr>
                <w:rFonts w:hint="eastAsia"/>
                <w:sz w:val="21"/>
                <w:szCs w:val="21"/>
              </w:rPr>
            </w:pPr>
            <w:r>
              <w:rPr>
                <w:sz w:val="21"/>
                <w:szCs w:val="21"/>
              </w:rPr>
              <w:t>采购人</w:t>
            </w:r>
          </w:p>
        </w:tc>
        <w:tc>
          <w:tcPr>
            <w:tcW w:w="6541" w:type="dxa"/>
          </w:tcPr>
          <w:p w14:paraId="4A225657">
            <w:pPr>
              <w:widowControl/>
              <w:autoSpaceDE/>
              <w:autoSpaceDN/>
              <w:spacing w:line="320" w:lineRule="exact"/>
              <w:rPr>
                <w:rFonts w:hint="eastAsia" w:eastAsia="宋体"/>
                <w:color w:val="000000"/>
                <w:sz w:val="21"/>
                <w:szCs w:val="21"/>
                <w:lang w:val="en-US" w:eastAsia="zh-CN" w:bidi="ar"/>
              </w:rPr>
            </w:pPr>
            <w:r>
              <w:rPr>
                <w:rFonts w:hint="eastAsia"/>
                <w:color w:val="000000"/>
                <w:sz w:val="21"/>
                <w:szCs w:val="21"/>
                <w:lang w:val="en-US" w:bidi="ar"/>
              </w:rPr>
              <w:t>采 购  人：</w:t>
            </w:r>
            <w:r>
              <w:rPr>
                <w:rFonts w:hint="eastAsia"/>
                <w:color w:val="000000"/>
                <w:sz w:val="21"/>
                <w:szCs w:val="21"/>
                <w:lang w:val="en-US" w:eastAsia="zh-CN" w:bidi="ar"/>
              </w:rPr>
              <w:t xml:space="preserve">新县住房和城乡建设局 </w:t>
            </w:r>
          </w:p>
          <w:p w14:paraId="22571203">
            <w:pPr>
              <w:widowControl/>
              <w:autoSpaceDE/>
              <w:autoSpaceDN/>
              <w:spacing w:line="320" w:lineRule="exact"/>
              <w:rPr>
                <w:rFonts w:hint="eastAsia" w:eastAsia="宋体"/>
                <w:color w:val="000000"/>
                <w:sz w:val="21"/>
                <w:szCs w:val="21"/>
                <w:lang w:val="en-US" w:eastAsia="zh-CN" w:bidi="ar"/>
              </w:rPr>
            </w:pPr>
            <w:r>
              <w:rPr>
                <w:rFonts w:hint="eastAsia"/>
                <w:color w:val="000000"/>
                <w:sz w:val="21"/>
                <w:szCs w:val="21"/>
                <w:lang w:val="en-US" w:bidi="ar"/>
              </w:rPr>
              <w:t>地     址：</w:t>
            </w:r>
            <w:r>
              <w:rPr>
                <w:rFonts w:hint="eastAsia"/>
                <w:color w:val="000000"/>
                <w:sz w:val="21"/>
                <w:szCs w:val="21"/>
                <w:lang w:val="en-US" w:eastAsia="zh-CN" w:bidi="ar"/>
              </w:rPr>
              <w:t xml:space="preserve"> </w:t>
            </w:r>
            <w:r>
              <w:rPr>
                <w:rFonts w:hint="eastAsia"/>
                <w:sz w:val="21"/>
                <w:szCs w:val="21"/>
                <w:lang w:val="en-US"/>
              </w:rPr>
              <w:t>河南省</w:t>
            </w:r>
            <w:r>
              <w:rPr>
                <w:rFonts w:hint="eastAsia"/>
                <w:sz w:val="21"/>
                <w:szCs w:val="21"/>
              </w:rPr>
              <w:t>新县</w:t>
            </w:r>
            <w:r>
              <w:rPr>
                <w:rFonts w:hint="eastAsia"/>
                <w:sz w:val="21"/>
                <w:szCs w:val="21"/>
                <w:lang w:val="en-US" w:eastAsia="zh-CN"/>
              </w:rPr>
              <w:t>朝阳路</w:t>
            </w:r>
          </w:p>
          <w:p w14:paraId="015ABEBB">
            <w:pPr>
              <w:widowControl/>
              <w:autoSpaceDE/>
              <w:autoSpaceDN/>
              <w:spacing w:line="320" w:lineRule="exact"/>
              <w:rPr>
                <w:rFonts w:hint="eastAsia" w:eastAsia="宋体"/>
                <w:color w:val="000000"/>
                <w:sz w:val="21"/>
                <w:szCs w:val="21"/>
                <w:lang w:val="en-US" w:eastAsia="zh-CN" w:bidi="ar"/>
              </w:rPr>
            </w:pPr>
            <w:r>
              <w:rPr>
                <w:rFonts w:hint="eastAsia"/>
                <w:color w:val="000000"/>
                <w:sz w:val="21"/>
                <w:szCs w:val="21"/>
                <w:lang w:val="en-US" w:bidi="ar"/>
              </w:rPr>
              <w:t>联 系  人：</w:t>
            </w:r>
            <w:r>
              <w:rPr>
                <w:rFonts w:hint="eastAsia"/>
                <w:color w:val="000000"/>
                <w:sz w:val="21"/>
                <w:szCs w:val="21"/>
                <w:lang w:val="en-US" w:eastAsia="zh-CN" w:bidi="ar"/>
              </w:rPr>
              <w:t>黄先生</w:t>
            </w:r>
          </w:p>
          <w:p w14:paraId="14DAE29C">
            <w:pPr>
              <w:widowControl/>
              <w:autoSpaceDE/>
              <w:autoSpaceDN/>
              <w:spacing w:line="320" w:lineRule="exact"/>
              <w:rPr>
                <w:rFonts w:hint="eastAsia" w:eastAsia="宋体"/>
                <w:sz w:val="21"/>
                <w:szCs w:val="21"/>
                <w:lang w:val="en-US" w:eastAsia="zh-CN"/>
              </w:rPr>
            </w:pPr>
            <w:r>
              <w:rPr>
                <w:rFonts w:hint="eastAsia"/>
                <w:color w:val="000000"/>
                <w:sz w:val="21"/>
                <w:szCs w:val="21"/>
                <w:lang w:val="en-US" w:bidi="ar"/>
              </w:rPr>
              <w:t>电     话：</w:t>
            </w:r>
            <w:r>
              <w:rPr>
                <w:rFonts w:hint="eastAsia"/>
                <w:color w:val="000000"/>
                <w:sz w:val="21"/>
                <w:szCs w:val="21"/>
                <w:lang w:val="en-US" w:eastAsia="zh-CN" w:bidi="ar"/>
              </w:rPr>
              <w:t>13703761112</w:t>
            </w:r>
          </w:p>
        </w:tc>
      </w:tr>
      <w:tr w14:paraId="16E90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211" w:type="dxa"/>
            <w:vAlign w:val="center"/>
          </w:tcPr>
          <w:p w14:paraId="69D82E18">
            <w:pPr>
              <w:pStyle w:val="47"/>
              <w:spacing w:before="6"/>
              <w:jc w:val="both"/>
              <w:rPr>
                <w:rFonts w:hint="eastAsia"/>
                <w:sz w:val="21"/>
                <w:szCs w:val="21"/>
              </w:rPr>
            </w:pPr>
          </w:p>
          <w:p w14:paraId="256D3D17">
            <w:pPr>
              <w:pStyle w:val="47"/>
              <w:ind w:left="142" w:right="134"/>
              <w:jc w:val="center"/>
              <w:rPr>
                <w:rFonts w:hint="eastAsia"/>
                <w:sz w:val="21"/>
                <w:szCs w:val="21"/>
              </w:rPr>
            </w:pPr>
            <w:r>
              <w:rPr>
                <w:sz w:val="21"/>
                <w:szCs w:val="21"/>
              </w:rPr>
              <w:t>1.2.2</w:t>
            </w:r>
          </w:p>
        </w:tc>
        <w:tc>
          <w:tcPr>
            <w:tcW w:w="2102" w:type="dxa"/>
            <w:gridSpan w:val="2"/>
            <w:vAlign w:val="center"/>
          </w:tcPr>
          <w:p w14:paraId="6ACD642F">
            <w:pPr>
              <w:pStyle w:val="47"/>
              <w:jc w:val="both"/>
              <w:rPr>
                <w:rFonts w:hint="eastAsia"/>
                <w:sz w:val="21"/>
                <w:szCs w:val="21"/>
              </w:rPr>
            </w:pPr>
          </w:p>
          <w:p w14:paraId="64894E31">
            <w:pPr>
              <w:pStyle w:val="47"/>
              <w:ind w:left="173" w:right="167"/>
              <w:jc w:val="center"/>
              <w:rPr>
                <w:rFonts w:hint="eastAsia"/>
                <w:sz w:val="21"/>
                <w:szCs w:val="21"/>
              </w:rPr>
            </w:pPr>
            <w:r>
              <w:rPr>
                <w:sz w:val="21"/>
                <w:szCs w:val="21"/>
              </w:rPr>
              <w:t>采购代理机构</w:t>
            </w:r>
          </w:p>
        </w:tc>
        <w:tc>
          <w:tcPr>
            <w:tcW w:w="6541" w:type="dxa"/>
          </w:tcPr>
          <w:p w14:paraId="2C9BA502">
            <w:pPr>
              <w:widowControl/>
              <w:autoSpaceDE/>
              <w:autoSpaceDN/>
              <w:spacing w:line="320" w:lineRule="exact"/>
              <w:rPr>
                <w:rFonts w:hint="eastAsia"/>
                <w:color w:val="000000"/>
                <w:sz w:val="21"/>
                <w:szCs w:val="21"/>
                <w:lang w:val="en-US" w:bidi="ar"/>
              </w:rPr>
            </w:pPr>
            <w:r>
              <w:rPr>
                <w:rFonts w:hint="eastAsia"/>
                <w:color w:val="000000"/>
                <w:sz w:val="21"/>
                <w:szCs w:val="21"/>
                <w:lang w:val="en-US" w:bidi="ar"/>
              </w:rPr>
              <w:t>代理机构：新县建业造价师事务所有限责任公司</w:t>
            </w:r>
          </w:p>
          <w:p w14:paraId="3377E345">
            <w:pPr>
              <w:widowControl/>
              <w:autoSpaceDE/>
              <w:autoSpaceDN/>
              <w:spacing w:line="320" w:lineRule="exact"/>
              <w:rPr>
                <w:rFonts w:hint="eastAsia"/>
                <w:color w:val="000000"/>
                <w:sz w:val="21"/>
                <w:szCs w:val="21"/>
                <w:lang w:val="en-US" w:bidi="ar"/>
              </w:rPr>
            </w:pPr>
            <w:r>
              <w:rPr>
                <w:rFonts w:hint="eastAsia"/>
                <w:color w:val="000000"/>
                <w:sz w:val="21"/>
                <w:szCs w:val="21"/>
                <w:lang w:val="en-US" w:bidi="ar"/>
              </w:rPr>
              <w:t>地    址 ：河南省新县京九南路</w:t>
            </w:r>
          </w:p>
          <w:p w14:paraId="1A6FC101">
            <w:pPr>
              <w:widowControl/>
              <w:autoSpaceDE/>
              <w:autoSpaceDN/>
              <w:spacing w:line="320" w:lineRule="exact"/>
              <w:rPr>
                <w:rFonts w:hint="eastAsia"/>
                <w:color w:val="000000"/>
                <w:sz w:val="21"/>
                <w:szCs w:val="21"/>
                <w:lang w:val="en-US" w:bidi="ar"/>
              </w:rPr>
            </w:pPr>
            <w:r>
              <w:rPr>
                <w:rFonts w:hint="eastAsia"/>
                <w:color w:val="000000"/>
                <w:sz w:val="21"/>
                <w:szCs w:val="21"/>
                <w:lang w:val="en-US" w:bidi="ar"/>
              </w:rPr>
              <w:t>联 系 人 ：兰女士</w:t>
            </w:r>
          </w:p>
          <w:p w14:paraId="2AC306CF">
            <w:pPr>
              <w:widowControl/>
              <w:autoSpaceDE/>
              <w:autoSpaceDN/>
              <w:spacing w:line="320" w:lineRule="exact"/>
              <w:rPr>
                <w:rFonts w:hint="eastAsia"/>
                <w:sz w:val="21"/>
                <w:szCs w:val="21"/>
                <w:lang w:val="en-US"/>
              </w:rPr>
            </w:pPr>
            <w:r>
              <w:rPr>
                <w:rFonts w:hint="eastAsia"/>
                <w:color w:val="000000"/>
                <w:sz w:val="21"/>
                <w:szCs w:val="21"/>
                <w:lang w:val="en-US" w:bidi="ar"/>
              </w:rPr>
              <w:t>电    话 ：0376-2791056</w:t>
            </w:r>
          </w:p>
        </w:tc>
      </w:tr>
      <w:tr w14:paraId="6DFC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04053D10">
            <w:pPr>
              <w:pStyle w:val="47"/>
              <w:spacing w:before="164"/>
              <w:ind w:left="142" w:right="134"/>
              <w:jc w:val="center"/>
              <w:rPr>
                <w:rFonts w:hint="eastAsia"/>
                <w:sz w:val="21"/>
                <w:szCs w:val="21"/>
              </w:rPr>
            </w:pPr>
            <w:r>
              <w:rPr>
                <w:sz w:val="21"/>
                <w:szCs w:val="21"/>
              </w:rPr>
              <w:t>1.2.3</w:t>
            </w:r>
          </w:p>
        </w:tc>
        <w:tc>
          <w:tcPr>
            <w:tcW w:w="2102" w:type="dxa"/>
            <w:gridSpan w:val="2"/>
          </w:tcPr>
          <w:p w14:paraId="58043194">
            <w:pPr>
              <w:pStyle w:val="47"/>
              <w:spacing w:before="164"/>
              <w:ind w:left="173" w:right="165"/>
              <w:jc w:val="center"/>
              <w:rPr>
                <w:rFonts w:hint="eastAsia"/>
                <w:sz w:val="21"/>
                <w:szCs w:val="21"/>
              </w:rPr>
            </w:pPr>
            <w:r>
              <w:rPr>
                <w:sz w:val="21"/>
                <w:szCs w:val="21"/>
              </w:rPr>
              <w:t>项目名称</w:t>
            </w:r>
          </w:p>
        </w:tc>
        <w:tc>
          <w:tcPr>
            <w:tcW w:w="6541" w:type="dxa"/>
          </w:tcPr>
          <w:p w14:paraId="7E96AA1B">
            <w:pPr>
              <w:widowControl/>
              <w:autoSpaceDE/>
              <w:autoSpaceDN/>
              <w:spacing w:line="320" w:lineRule="exact"/>
              <w:jc w:val="center"/>
              <w:rPr>
                <w:rFonts w:hint="default" w:ascii="Times New Roman" w:hAnsi="Times New Roman" w:eastAsia="宋体" w:cs="Times New Roman"/>
                <w:color w:val="000000"/>
                <w:sz w:val="21"/>
                <w:szCs w:val="21"/>
                <w:lang w:val="en-US" w:eastAsia="zh-CN" w:bidi="ar"/>
              </w:rPr>
            </w:pPr>
            <w:r>
              <w:rPr>
                <w:rFonts w:hint="eastAsia" w:ascii="Times New Roman" w:hAnsi="Times New Roman" w:eastAsia="宋体" w:cs="Times New Roman"/>
                <w:color w:val="000000"/>
                <w:sz w:val="21"/>
                <w:szCs w:val="21"/>
                <w:lang w:val="en-US" w:eastAsia="zh-CN" w:bidi="ar"/>
              </w:rPr>
              <w:t>新县住房和城乡建设局新县城市体检和城市更新规划（2025-2035年）</w:t>
            </w:r>
            <w:r>
              <w:rPr>
                <w:rFonts w:hint="default" w:ascii="Times New Roman" w:hAnsi="Times New Roman" w:eastAsia="宋体" w:cs="Times New Roman"/>
                <w:color w:val="000000"/>
                <w:sz w:val="21"/>
                <w:szCs w:val="21"/>
                <w:lang w:val="en-US" w:eastAsia="zh-CN" w:bidi="ar"/>
              </w:rPr>
              <w:t>项目</w:t>
            </w:r>
          </w:p>
        </w:tc>
      </w:tr>
      <w:tr w14:paraId="59BEA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1" w:type="dxa"/>
            <w:vAlign w:val="center"/>
          </w:tcPr>
          <w:p w14:paraId="1D9079D5">
            <w:pPr>
              <w:pStyle w:val="47"/>
              <w:spacing w:before="164"/>
              <w:ind w:left="142" w:right="134"/>
              <w:jc w:val="center"/>
              <w:rPr>
                <w:rFonts w:hint="eastAsia"/>
                <w:sz w:val="21"/>
                <w:szCs w:val="21"/>
              </w:rPr>
            </w:pPr>
            <w:r>
              <w:rPr>
                <w:sz w:val="21"/>
                <w:szCs w:val="21"/>
              </w:rPr>
              <w:t>1.4.1</w:t>
            </w:r>
          </w:p>
        </w:tc>
        <w:tc>
          <w:tcPr>
            <w:tcW w:w="2102" w:type="dxa"/>
            <w:gridSpan w:val="2"/>
            <w:vAlign w:val="center"/>
          </w:tcPr>
          <w:p w14:paraId="4A9E97E7">
            <w:pPr>
              <w:pStyle w:val="47"/>
              <w:spacing w:before="164"/>
              <w:ind w:left="173" w:right="165"/>
              <w:jc w:val="center"/>
              <w:rPr>
                <w:rFonts w:hint="eastAsia"/>
                <w:sz w:val="21"/>
                <w:szCs w:val="21"/>
              </w:rPr>
            </w:pPr>
            <w:r>
              <w:rPr>
                <w:rFonts w:hint="eastAsia"/>
                <w:sz w:val="21"/>
                <w:szCs w:val="21"/>
                <w:lang w:val="en-US"/>
              </w:rPr>
              <w:t>采购</w:t>
            </w:r>
            <w:r>
              <w:rPr>
                <w:sz w:val="21"/>
                <w:szCs w:val="21"/>
              </w:rPr>
              <w:t>内容</w:t>
            </w:r>
          </w:p>
        </w:tc>
        <w:tc>
          <w:tcPr>
            <w:tcW w:w="6541" w:type="dxa"/>
          </w:tcPr>
          <w:p w14:paraId="0DA36E05">
            <w:pPr>
              <w:widowControl/>
              <w:autoSpaceDE/>
              <w:autoSpaceDN/>
              <w:spacing w:line="320" w:lineRule="exact"/>
              <w:jc w:val="center"/>
              <w:rPr>
                <w:rFonts w:hint="eastAsia" w:ascii="Times New Roman" w:hAnsi="Times New Roman" w:eastAsia="宋体" w:cs="Times New Roman"/>
                <w:color w:val="000000"/>
                <w:sz w:val="21"/>
                <w:szCs w:val="21"/>
                <w:lang w:val="en-US" w:bidi="ar"/>
              </w:rPr>
            </w:pPr>
            <w:r>
              <w:rPr>
                <w:rFonts w:hint="eastAsia" w:ascii="Times New Roman" w:hAnsi="Times New Roman" w:eastAsia="宋体" w:cs="Times New Roman"/>
                <w:color w:val="000000"/>
                <w:sz w:val="21"/>
                <w:szCs w:val="21"/>
                <w:lang w:val="en-US" w:bidi="ar"/>
              </w:rPr>
              <w:t>编制《新县城市体检规划》和《新县城市更新规划（2025-2035年）》两个规划</w:t>
            </w:r>
          </w:p>
        </w:tc>
      </w:tr>
      <w:tr w14:paraId="1899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026321D5">
            <w:pPr>
              <w:pStyle w:val="47"/>
              <w:spacing w:before="162"/>
              <w:ind w:left="142" w:right="134"/>
              <w:jc w:val="center"/>
              <w:rPr>
                <w:rFonts w:hint="eastAsia"/>
                <w:sz w:val="21"/>
                <w:szCs w:val="21"/>
              </w:rPr>
            </w:pPr>
            <w:r>
              <w:rPr>
                <w:sz w:val="21"/>
                <w:szCs w:val="21"/>
              </w:rPr>
              <w:t>1.4.2</w:t>
            </w:r>
          </w:p>
        </w:tc>
        <w:tc>
          <w:tcPr>
            <w:tcW w:w="2102" w:type="dxa"/>
            <w:gridSpan w:val="2"/>
          </w:tcPr>
          <w:p w14:paraId="30158F6B">
            <w:pPr>
              <w:pStyle w:val="47"/>
              <w:spacing w:before="162"/>
              <w:ind w:left="173" w:right="167"/>
              <w:jc w:val="center"/>
              <w:rPr>
                <w:rFonts w:hint="default" w:eastAsia="宋体"/>
                <w:sz w:val="21"/>
                <w:szCs w:val="21"/>
                <w:lang w:val="en-US" w:eastAsia="zh-CN"/>
              </w:rPr>
            </w:pPr>
            <w:r>
              <w:rPr>
                <w:rFonts w:hint="eastAsia"/>
                <w:sz w:val="21"/>
                <w:szCs w:val="21"/>
                <w:lang w:val="en-US" w:eastAsia="zh-CN"/>
              </w:rPr>
              <w:t>合同履行期限</w:t>
            </w:r>
          </w:p>
        </w:tc>
        <w:tc>
          <w:tcPr>
            <w:tcW w:w="6541" w:type="dxa"/>
          </w:tcPr>
          <w:p w14:paraId="462BC7B3">
            <w:pPr>
              <w:pStyle w:val="47"/>
              <w:spacing w:before="162"/>
              <w:jc w:val="both"/>
              <w:rPr>
                <w:rFonts w:hint="eastAsia"/>
                <w:sz w:val="21"/>
                <w:szCs w:val="21"/>
                <w:lang w:val="en-US"/>
              </w:rPr>
            </w:pPr>
            <w:r>
              <w:rPr>
                <w:rFonts w:hint="eastAsia"/>
                <w:sz w:val="21"/>
                <w:szCs w:val="21"/>
                <w:lang w:val="en-US" w:eastAsia="zh-CN" w:bidi="ar"/>
              </w:rPr>
              <w:t xml:space="preserve">   90 日历天 </w:t>
            </w:r>
          </w:p>
        </w:tc>
      </w:tr>
      <w:tr w14:paraId="0CC5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41D3D584">
            <w:pPr>
              <w:pStyle w:val="47"/>
              <w:spacing w:before="162"/>
              <w:ind w:left="142" w:right="134"/>
              <w:jc w:val="center"/>
              <w:rPr>
                <w:rFonts w:hint="eastAsia"/>
                <w:sz w:val="21"/>
                <w:szCs w:val="21"/>
              </w:rPr>
            </w:pPr>
            <w:r>
              <w:rPr>
                <w:sz w:val="21"/>
                <w:szCs w:val="21"/>
              </w:rPr>
              <w:t>1.4.3</w:t>
            </w:r>
          </w:p>
        </w:tc>
        <w:tc>
          <w:tcPr>
            <w:tcW w:w="2102" w:type="dxa"/>
            <w:gridSpan w:val="2"/>
          </w:tcPr>
          <w:p w14:paraId="76B2FEAB">
            <w:pPr>
              <w:pStyle w:val="47"/>
              <w:spacing w:before="162"/>
              <w:ind w:left="173" w:right="165"/>
              <w:jc w:val="center"/>
              <w:rPr>
                <w:rFonts w:hint="eastAsia"/>
                <w:sz w:val="21"/>
                <w:szCs w:val="21"/>
              </w:rPr>
            </w:pPr>
            <w:r>
              <w:rPr>
                <w:sz w:val="21"/>
                <w:szCs w:val="21"/>
              </w:rPr>
              <w:t>质量要求</w:t>
            </w:r>
          </w:p>
        </w:tc>
        <w:tc>
          <w:tcPr>
            <w:tcW w:w="6541" w:type="dxa"/>
          </w:tcPr>
          <w:p w14:paraId="4BE0DE88">
            <w:pPr>
              <w:pStyle w:val="47"/>
              <w:spacing w:before="162"/>
              <w:ind w:left="107"/>
              <w:rPr>
                <w:rFonts w:hint="eastAsia"/>
                <w:sz w:val="21"/>
                <w:szCs w:val="21"/>
                <w:lang w:val="en-US"/>
              </w:rPr>
            </w:pPr>
            <w:r>
              <w:rPr>
                <w:rFonts w:hint="eastAsia"/>
                <w:sz w:val="21"/>
                <w:szCs w:val="21"/>
                <w:lang w:val="en-US"/>
              </w:rPr>
              <w:t>合格</w:t>
            </w:r>
          </w:p>
        </w:tc>
      </w:tr>
      <w:tr w14:paraId="7BD2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15DD867A">
            <w:pPr>
              <w:pStyle w:val="47"/>
              <w:spacing w:before="162"/>
              <w:ind w:left="142" w:right="134"/>
              <w:jc w:val="center"/>
              <w:rPr>
                <w:rFonts w:hint="default" w:eastAsia="宋体"/>
                <w:sz w:val="21"/>
                <w:szCs w:val="21"/>
                <w:lang w:val="en-US" w:eastAsia="zh-CN"/>
              </w:rPr>
            </w:pPr>
            <w:r>
              <w:rPr>
                <w:rFonts w:hint="eastAsia"/>
                <w:sz w:val="21"/>
                <w:szCs w:val="21"/>
                <w:lang w:val="en-US" w:eastAsia="zh-CN"/>
              </w:rPr>
              <w:t>1.4.4</w:t>
            </w:r>
          </w:p>
        </w:tc>
        <w:tc>
          <w:tcPr>
            <w:tcW w:w="2102" w:type="dxa"/>
            <w:gridSpan w:val="2"/>
          </w:tcPr>
          <w:p w14:paraId="3DA3FD18">
            <w:pPr>
              <w:pStyle w:val="47"/>
              <w:spacing w:before="162"/>
              <w:ind w:left="173" w:right="165"/>
              <w:jc w:val="center"/>
              <w:rPr>
                <w:rFonts w:hint="default" w:eastAsia="宋体"/>
                <w:sz w:val="21"/>
                <w:szCs w:val="21"/>
                <w:lang w:val="en-US" w:eastAsia="zh-CN"/>
              </w:rPr>
            </w:pPr>
            <w:r>
              <w:rPr>
                <w:rFonts w:hint="eastAsia"/>
                <w:sz w:val="21"/>
                <w:szCs w:val="21"/>
                <w:lang w:val="en-US" w:eastAsia="zh-CN"/>
              </w:rPr>
              <w:t>资金来源及落实情况</w:t>
            </w:r>
          </w:p>
        </w:tc>
        <w:tc>
          <w:tcPr>
            <w:tcW w:w="6541" w:type="dxa"/>
          </w:tcPr>
          <w:p w14:paraId="35654888">
            <w:pPr>
              <w:pStyle w:val="47"/>
              <w:spacing w:before="162"/>
              <w:ind w:left="107"/>
              <w:rPr>
                <w:rFonts w:hint="default" w:eastAsia="宋体"/>
                <w:sz w:val="21"/>
                <w:szCs w:val="21"/>
                <w:lang w:val="en-US" w:eastAsia="zh-CN"/>
              </w:rPr>
            </w:pPr>
            <w:r>
              <w:rPr>
                <w:rFonts w:hint="eastAsia"/>
                <w:sz w:val="21"/>
                <w:szCs w:val="21"/>
                <w:lang w:val="en-US" w:eastAsia="zh-CN"/>
              </w:rPr>
              <w:t>财政资金  已落实</w:t>
            </w:r>
          </w:p>
        </w:tc>
      </w:tr>
      <w:tr w14:paraId="64E5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50605EF2">
            <w:pPr>
              <w:pStyle w:val="47"/>
              <w:rPr>
                <w:rFonts w:hint="eastAsia"/>
                <w:sz w:val="21"/>
                <w:szCs w:val="21"/>
              </w:rPr>
            </w:pPr>
          </w:p>
          <w:p w14:paraId="6BAD2F5E">
            <w:pPr>
              <w:pStyle w:val="47"/>
              <w:rPr>
                <w:rFonts w:hint="eastAsia"/>
                <w:sz w:val="21"/>
                <w:szCs w:val="21"/>
              </w:rPr>
            </w:pPr>
          </w:p>
          <w:p w14:paraId="6DFF0F93">
            <w:pPr>
              <w:pStyle w:val="47"/>
              <w:rPr>
                <w:rFonts w:hint="eastAsia"/>
                <w:sz w:val="21"/>
                <w:szCs w:val="21"/>
              </w:rPr>
            </w:pPr>
          </w:p>
          <w:p w14:paraId="6D055FEE">
            <w:pPr>
              <w:pStyle w:val="47"/>
              <w:rPr>
                <w:rFonts w:hint="eastAsia"/>
                <w:sz w:val="21"/>
                <w:szCs w:val="21"/>
              </w:rPr>
            </w:pPr>
          </w:p>
          <w:p w14:paraId="023E0C19">
            <w:pPr>
              <w:pStyle w:val="47"/>
              <w:rPr>
                <w:rFonts w:hint="eastAsia"/>
                <w:sz w:val="21"/>
                <w:szCs w:val="21"/>
              </w:rPr>
            </w:pPr>
          </w:p>
          <w:p w14:paraId="2162DE72">
            <w:pPr>
              <w:pStyle w:val="47"/>
              <w:rPr>
                <w:rFonts w:hint="eastAsia"/>
                <w:sz w:val="21"/>
                <w:szCs w:val="21"/>
              </w:rPr>
            </w:pPr>
          </w:p>
          <w:p w14:paraId="68FC7A34">
            <w:pPr>
              <w:pStyle w:val="47"/>
              <w:rPr>
                <w:rFonts w:hint="eastAsia"/>
                <w:sz w:val="21"/>
                <w:szCs w:val="21"/>
              </w:rPr>
            </w:pPr>
          </w:p>
          <w:p w14:paraId="38E915FA">
            <w:pPr>
              <w:pStyle w:val="47"/>
              <w:rPr>
                <w:rFonts w:hint="eastAsia"/>
                <w:sz w:val="21"/>
                <w:szCs w:val="21"/>
              </w:rPr>
            </w:pPr>
          </w:p>
          <w:p w14:paraId="60FCDFAD">
            <w:pPr>
              <w:pStyle w:val="47"/>
              <w:rPr>
                <w:rFonts w:hint="eastAsia"/>
                <w:sz w:val="21"/>
                <w:szCs w:val="21"/>
              </w:rPr>
            </w:pPr>
          </w:p>
          <w:p w14:paraId="601DD11A">
            <w:pPr>
              <w:pStyle w:val="47"/>
              <w:spacing w:before="7"/>
              <w:rPr>
                <w:rFonts w:hint="eastAsia"/>
                <w:sz w:val="21"/>
                <w:szCs w:val="21"/>
              </w:rPr>
            </w:pPr>
          </w:p>
          <w:p w14:paraId="72EBC9CE">
            <w:pPr>
              <w:pStyle w:val="47"/>
              <w:ind w:left="142" w:right="134"/>
              <w:jc w:val="center"/>
              <w:rPr>
                <w:rFonts w:hint="eastAsia"/>
                <w:sz w:val="21"/>
                <w:szCs w:val="21"/>
              </w:rPr>
            </w:pPr>
            <w:r>
              <w:rPr>
                <w:sz w:val="21"/>
                <w:szCs w:val="21"/>
              </w:rPr>
              <w:t>1.5.1</w:t>
            </w:r>
          </w:p>
        </w:tc>
        <w:tc>
          <w:tcPr>
            <w:tcW w:w="2102" w:type="dxa"/>
            <w:gridSpan w:val="2"/>
          </w:tcPr>
          <w:p w14:paraId="5AA9CB3C">
            <w:pPr>
              <w:pStyle w:val="47"/>
              <w:rPr>
                <w:rFonts w:hint="eastAsia"/>
                <w:sz w:val="21"/>
                <w:szCs w:val="21"/>
              </w:rPr>
            </w:pPr>
          </w:p>
          <w:p w14:paraId="3EE6B01D">
            <w:pPr>
              <w:pStyle w:val="47"/>
              <w:rPr>
                <w:rFonts w:hint="eastAsia"/>
                <w:sz w:val="21"/>
                <w:szCs w:val="21"/>
              </w:rPr>
            </w:pPr>
          </w:p>
          <w:p w14:paraId="32FF10EB">
            <w:pPr>
              <w:pStyle w:val="47"/>
              <w:rPr>
                <w:rFonts w:hint="eastAsia"/>
                <w:sz w:val="21"/>
                <w:szCs w:val="21"/>
              </w:rPr>
            </w:pPr>
          </w:p>
          <w:p w14:paraId="7E38CCAD">
            <w:pPr>
              <w:pStyle w:val="47"/>
              <w:rPr>
                <w:rFonts w:hint="eastAsia"/>
                <w:sz w:val="21"/>
                <w:szCs w:val="21"/>
              </w:rPr>
            </w:pPr>
          </w:p>
          <w:p w14:paraId="641109B9">
            <w:pPr>
              <w:pStyle w:val="47"/>
              <w:rPr>
                <w:rFonts w:hint="eastAsia"/>
                <w:sz w:val="21"/>
                <w:szCs w:val="21"/>
              </w:rPr>
            </w:pPr>
          </w:p>
          <w:p w14:paraId="7CAEE83A">
            <w:pPr>
              <w:pStyle w:val="47"/>
              <w:rPr>
                <w:rFonts w:hint="eastAsia"/>
                <w:sz w:val="21"/>
                <w:szCs w:val="21"/>
              </w:rPr>
            </w:pPr>
          </w:p>
          <w:p w14:paraId="5D0FFA18">
            <w:pPr>
              <w:pStyle w:val="47"/>
              <w:rPr>
                <w:rFonts w:hint="eastAsia"/>
                <w:sz w:val="21"/>
                <w:szCs w:val="21"/>
              </w:rPr>
            </w:pPr>
          </w:p>
          <w:p w14:paraId="48FA62D4">
            <w:pPr>
              <w:pStyle w:val="47"/>
              <w:rPr>
                <w:rFonts w:hint="eastAsia"/>
                <w:sz w:val="21"/>
                <w:szCs w:val="21"/>
              </w:rPr>
            </w:pPr>
          </w:p>
          <w:p w14:paraId="48AE3F60">
            <w:pPr>
              <w:pStyle w:val="47"/>
              <w:rPr>
                <w:rFonts w:hint="eastAsia"/>
                <w:sz w:val="21"/>
                <w:szCs w:val="21"/>
              </w:rPr>
            </w:pPr>
          </w:p>
          <w:p w14:paraId="5FC20FFA">
            <w:pPr>
              <w:pStyle w:val="47"/>
              <w:spacing w:before="7"/>
              <w:rPr>
                <w:rFonts w:hint="eastAsia"/>
                <w:sz w:val="21"/>
                <w:szCs w:val="21"/>
              </w:rPr>
            </w:pPr>
          </w:p>
          <w:p w14:paraId="32EBDC50">
            <w:pPr>
              <w:pStyle w:val="47"/>
              <w:ind w:left="173" w:right="167"/>
              <w:jc w:val="center"/>
              <w:rPr>
                <w:rFonts w:hint="eastAsia"/>
                <w:sz w:val="21"/>
                <w:szCs w:val="21"/>
              </w:rPr>
            </w:pPr>
            <w:r>
              <w:rPr>
                <w:sz w:val="21"/>
                <w:szCs w:val="21"/>
              </w:rPr>
              <w:t>供应商资质条件</w:t>
            </w:r>
          </w:p>
        </w:tc>
        <w:tc>
          <w:tcPr>
            <w:tcW w:w="6541" w:type="dxa"/>
          </w:tcPr>
          <w:p w14:paraId="457A7D3E">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1、满足《中华人民共和国政府采购法》第二十二条规定。</w:t>
            </w:r>
          </w:p>
          <w:p w14:paraId="745431CD">
            <w:pPr>
              <w:spacing w:line="36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2、落实政府采购政策满足的资格要求：</w:t>
            </w:r>
            <w:r>
              <w:rPr>
                <w:rFonts w:hint="eastAsia" w:ascii="宋体" w:hAnsi="宋体" w:eastAsia="宋体" w:cs="宋体"/>
                <w:color w:val="000000"/>
                <w:kern w:val="0"/>
                <w:szCs w:val="21"/>
                <w:shd w:val="clear" w:color="auto" w:fill="FFFFFF"/>
              </w:rPr>
              <w:t>本项目非专门面向中小企业采购</w:t>
            </w:r>
            <w:r>
              <w:rPr>
                <w:rFonts w:hint="eastAsia" w:cs="宋体"/>
                <w:color w:val="000000"/>
                <w:kern w:val="0"/>
                <w:szCs w:val="21"/>
                <w:shd w:val="clear" w:color="auto" w:fill="FFFFFF"/>
                <w:lang w:eastAsia="zh-CN"/>
              </w:rPr>
              <w:t>。</w:t>
            </w:r>
            <w:r>
              <w:rPr>
                <w:rFonts w:hint="eastAsia" w:ascii="宋体" w:hAnsi="宋体" w:eastAsia="宋体" w:cs="宋体"/>
                <w:color w:val="000000"/>
                <w:kern w:val="0"/>
                <w:szCs w:val="21"/>
                <w:shd w:val="clear" w:color="auto" w:fill="FFFFFF"/>
              </w:rPr>
              <w:t>【该项目符合《政府采购</w:t>
            </w:r>
            <w:r>
              <w:rPr>
                <w:rFonts w:hint="eastAsia" w:ascii="宋体" w:hAnsi="宋体" w:eastAsia="宋体" w:cs="宋体"/>
                <w:color w:val="000000"/>
                <w:kern w:val="0"/>
                <w:szCs w:val="21"/>
                <w:shd w:val="clear" w:color="auto" w:fill="FFFFFF"/>
                <w:lang w:val="en-US" w:eastAsia="zh-CN"/>
              </w:rPr>
              <w:t>促进中小企业发展管理办法》（财库【2020】46号）第六条第3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1A8EB9E3">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3、本项目的特定资格要求：</w:t>
            </w:r>
          </w:p>
          <w:p w14:paraId="53418B10">
            <w:pPr>
              <w:spacing w:line="360" w:lineRule="auto"/>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 xml:space="preserve">3.1投标人须具有有效的营业执照，并同时具备城乡规划编制乙级及以上资质；  </w:t>
            </w:r>
          </w:p>
          <w:p w14:paraId="089C6789">
            <w:pPr>
              <w:spacing w:line="360" w:lineRule="auto"/>
              <w:rPr>
                <w:rFonts w:hint="eastAsia" w:ascii="宋体" w:hAnsi="宋体" w:eastAsia="宋体" w:cs="宋体"/>
                <w:color w:val="000000"/>
                <w:kern w:val="0"/>
                <w:szCs w:val="21"/>
                <w:shd w:val="clear" w:color="auto" w:fill="FFFFFF"/>
                <w:lang w:val="en-US" w:eastAsia="en-US"/>
              </w:rPr>
            </w:pPr>
            <w:r>
              <w:rPr>
                <w:rFonts w:hint="eastAsia" w:ascii="宋体" w:hAnsi="宋体" w:eastAsia="宋体" w:cs="宋体"/>
                <w:color w:val="000000"/>
                <w:kern w:val="0"/>
                <w:szCs w:val="21"/>
                <w:shd w:val="clear" w:color="auto" w:fill="FFFFFF"/>
                <w:lang w:val="en-US" w:eastAsia="zh-CN"/>
              </w:rPr>
              <w:t>3.2拟派的项目负责人须具有国家注册城乡规划师资格证书并具有高级及以上职称。</w:t>
            </w:r>
          </w:p>
          <w:p w14:paraId="133331A3">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3.4具有良好的商业信誉和健全的财务会计制度（具有经审计的2023年度或2024年度财务报告或基本户银行出具的近期资信证明或财政部门认可的政府采购专业担保机构出具的投标担保函）（成立时间不足一年的单位具有财务报表）</w:t>
            </w:r>
          </w:p>
          <w:p w14:paraId="7B6F3561">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3.5有依法缴纳税收和社会保障资金的良好记录（具有2025年以来任意1个月依法缴纳税收和社会保障金的证明材料，依法免税或不需要缴纳社会保障资金的投标人，应具有相应证明文件）</w:t>
            </w:r>
          </w:p>
          <w:p w14:paraId="60D36627">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3.6根据《关于在政府采购活动中查询及使用信用记录有关问题的通知》(财库[2016]125号) 和豫财购【2016】15号的规定，对列入失信被执行人、重大税收违法失信主体、政府采购严重违法失信行为记录名单的投标人，拒绝参与本项目采购活动；提供“信用中国”网站的列入失信被执行人、重大税收违法黑名单网站截图和“中国政府采购网”网站的政府采购严重违法失信行为记录名单网站截图【查询渠道：“信用中国”网站（www.creditchina.gov.cn）、中国政府采购网（www.ccgp.gov.cn）】</w:t>
            </w:r>
          </w:p>
          <w:p w14:paraId="7C18C2C7">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3.7单位负责人为同一人或者存在直接控股、管理关系的不同单位，不得同时参加同一合同项下的政府采购活动【提供“全国企业信用信息公示系统”中查询的相关股东信息】。</w:t>
            </w:r>
          </w:p>
          <w:p w14:paraId="2D8BBD32">
            <w:pPr>
              <w:pStyle w:val="17"/>
              <w:keepNext w:val="0"/>
              <w:keepLines w:val="0"/>
              <w:pageBreakBefore w:val="0"/>
              <w:widowControl w:val="0"/>
              <w:kinsoku/>
              <w:wordWrap/>
              <w:overflowPunct/>
              <w:topLinePunct/>
              <w:autoSpaceDE/>
              <w:autoSpaceDN/>
              <w:bidi w:val="0"/>
              <w:adjustRightInd w:val="0"/>
              <w:snapToGrid/>
              <w:spacing w:line="240" w:lineRule="auto"/>
              <w:ind w:left="0" w:leftChars="0" w:firstLine="0" w:firstLineChars="0"/>
              <w:jc w:val="left"/>
              <w:textAlignment w:val="baseline"/>
              <w:rPr>
                <w:rFonts w:hint="eastAsia"/>
                <w:b/>
                <w:bCs/>
                <w:color w:val="FF0000"/>
                <w:spacing w:val="7"/>
                <w:position w:val="14"/>
                <w:sz w:val="21"/>
                <w:szCs w:val="21"/>
              </w:rPr>
            </w:pPr>
            <w:r>
              <w:rPr>
                <w:rFonts w:hint="eastAsia" w:ascii="宋体" w:hAnsi="宋体" w:eastAsia="宋体" w:cs="宋体"/>
                <w:color w:val="000000"/>
                <w:kern w:val="0"/>
                <w:sz w:val="21"/>
                <w:szCs w:val="21"/>
                <w:lang w:val="en-US" w:eastAsia="zh-CN" w:bidi="ar"/>
              </w:rPr>
              <w:t>3.8本次招标实行资格后审。</w:t>
            </w:r>
          </w:p>
        </w:tc>
      </w:tr>
      <w:tr w14:paraId="6F07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6665592C">
            <w:pPr>
              <w:pStyle w:val="47"/>
              <w:spacing w:before="100"/>
              <w:ind w:left="142" w:right="134"/>
              <w:jc w:val="center"/>
              <w:rPr>
                <w:rFonts w:hint="eastAsia"/>
                <w:sz w:val="21"/>
                <w:szCs w:val="21"/>
              </w:rPr>
            </w:pPr>
            <w:r>
              <w:rPr>
                <w:sz w:val="21"/>
                <w:szCs w:val="21"/>
              </w:rPr>
              <w:t>1.5.2</w:t>
            </w:r>
          </w:p>
        </w:tc>
        <w:tc>
          <w:tcPr>
            <w:tcW w:w="2102" w:type="dxa"/>
            <w:gridSpan w:val="2"/>
          </w:tcPr>
          <w:p w14:paraId="591AD728">
            <w:pPr>
              <w:pStyle w:val="47"/>
              <w:spacing w:before="100"/>
              <w:ind w:left="173" w:right="167"/>
              <w:jc w:val="center"/>
              <w:rPr>
                <w:rFonts w:hint="eastAsia"/>
                <w:sz w:val="21"/>
                <w:szCs w:val="21"/>
              </w:rPr>
            </w:pPr>
            <w:r>
              <w:rPr>
                <w:sz w:val="21"/>
                <w:szCs w:val="21"/>
              </w:rPr>
              <w:t>是否接受联合体</w:t>
            </w:r>
          </w:p>
        </w:tc>
        <w:tc>
          <w:tcPr>
            <w:tcW w:w="6541" w:type="dxa"/>
          </w:tcPr>
          <w:p w14:paraId="75BD0221">
            <w:pPr>
              <w:pStyle w:val="47"/>
              <w:spacing w:before="100"/>
              <w:ind w:left="107"/>
              <w:rPr>
                <w:rFonts w:hint="eastAsia"/>
                <w:color w:val="000000"/>
                <w:sz w:val="21"/>
                <w:szCs w:val="21"/>
                <w:lang w:val="en-US" w:bidi="ar"/>
              </w:rPr>
            </w:pPr>
            <w:r>
              <w:rPr>
                <w:sz w:val="21"/>
                <w:szCs w:val="21"/>
              </w:rPr>
              <w:t>不接受</w:t>
            </w:r>
          </w:p>
        </w:tc>
      </w:tr>
      <w:tr w14:paraId="51D93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11ED4201">
            <w:pPr>
              <w:pStyle w:val="47"/>
              <w:spacing w:before="147"/>
              <w:ind w:left="142" w:right="134"/>
              <w:jc w:val="center"/>
              <w:rPr>
                <w:rFonts w:hint="eastAsia"/>
                <w:sz w:val="21"/>
                <w:szCs w:val="21"/>
              </w:rPr>
            </w:pPr>
            <w:r>
              <w:rPr>
                <w:sz w:val="21"/>
                <w:szCs w:val="21"/>
              </w:rPr>
              <w:t>1.10.1</w:t>
            </w:r>
          </w:p>
        </w:tc>
        <w:tc>
          <w:tcPr>
            <w:tcW w:w="2102" w:type="dxa"/>
            <w:gridSpan w:val="2"/>
          </w:tcPr>
          <w:p w14:paraId="5609CC58">
            <w:pPr>
              <w:pStyle w:val="47"/>
              <w:spacing w:before="147"/>
              <w:ind w:left="173" w:right="165"/>
              <w:jc w:val="center"/>
              <w:rPr>
                <w:rFonts w:hint="eastAsia"/>
                <w:sz w:val="21"/>
                <w:szCs w:val="21"/>
              </w:rPr>
            </w:pPr>
            <w:r>
              <w:rPr>
                <w:sz w:val="21"/>
                <w:szCs w:val="21"/>
              </w:rPr>
              <w:t>磋商预备会</w:t>
            </w:r>
          </w:p>
        </w:tc>
        <w:tc>
          <w:tcPr>
            <w:tcW w:w="6541" w:type="dxa"/>
          </w:tcPr>
          <w:p w14:paraId="50F13DB6">
            <w:pPr>
              <w:pStyle w:val="47"/>
              <w:spacing w:before="147"/>
              <w:ind w:left="107"/>
              <w:rPr>
                <w:rFonts w:hint="eastAsia"/>
                <w:color w:val="000000"/>
                <w:sz w:val="21"/>
                <w:szCs w:val="21"/>
                <w:lang w:val="en-US" w:bidi="ar"/>
              </w:rPr>
            </w:pPr>
            <w:r>
              <w:rPr>
                <w:sz w:val="21"/>
                <w:szCs w:val="21"/>
              </w:rPr>
              <w:t>不召开</w:t>
            </w:r>
          </w:p>
        </w:tc>
      </w:tr>
      <w:tr w14:paraId="7F6B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trPr>
        <w:tc>
          <w:tcPr>
            <w:tcW w:w="1211" w:type="dxa"/>
          </w:tcPr>
          <w:p w14:paraId="16440287">
            <w:pPr>
              <w:pStyle w:val="47"/>
              <w:rPr>
                <w:rFonts w:hint="eastAsia"/>
                <w:sz w:val="21"/>
                <w:szCs w:val="21"/>
              </w:rPr>
            </w:pPr>
          </w:p>
          <w:p w14:paraId="4A21A153">
            <w:pPr>
              <w:pStyle w:val="47"/>
              <w:ind w:left="142" w:right="134"/>
              <w:jc w:val="center"/>
              <w:rPr>
                <w:rFonts w:hint="eastAsia"/>
                <w:sz w:val="21"/>
                <w:szCs w:val="21"/>
              </w:rPr>
            </w:pPr>
            <w:r>
              <w:rPr>
                <w:sz w:val="21"/>
                <w:szCs w:val="21"/>
              </w:rPr>
              <w:t>1.10.2</w:t>
            </w:r>
          </w:p>
        </w:tc>
        <w:tc>
          <w:tcPr>
            <w:tcW w:w="2102" w:type="dxa"/>
            <w:gridSpan w:val="2"/>
          </w:tcPr>
          <w:p w14:paraId="0736D468">
            <w:pPr>
              <w:pStyle w:val="47"/>
              <w:spacing w:before="98"/>
              <w:ind w:left="173" w:right="167"/>
              <w:jc w:val="center"/>
              <w:rPr>
                <w:rFonts w:hint="eastAsia"/>
                <w:sz w:val="21"/>
                <w:szCs w:val="21"/>
              </w:rPr>
            </w:pPr>
            <w:r>
              <w:rPr>
                <w:sz w:val="21"/>
                <w:szCs w:val="21"/>
              </w:rPr>
              <w:t>供应商提出问题的截止时间</w:t>
            </w:r>
          </w:p>
        </w:tc>
        <w:tc>
          <w:tcPr>
            <w:tcW w:w="6541" w:type="dxa"/>
          </w:tcPr>
          <w:p w14:paraId="5D7F58CB">
            <w:pPr>
              <w:pStyle w:val="47"/>
              <w:rPr>
                <w:rFonts w:hint="eastAsia"/>
                <w:sz w:val="21"/>
                <w:szCs w:val="21"/>
              </w:rPr>
            </w:pPr>
          </w:p>
          <w:p w14:paraId="797E5ABB">
            <w:pPr>
              <w:pStyle w:val="47"/>
              <w:ind w:left="107"/>
              <w:rPr>
                <w:rFonts w:hint="eastAsia"/>
                <w:color w:val="000000"/>
                <w:sz w:val="21"/>
                <w:szCs w:val="21"/>
                <w:lang w:val="en-US" w:bidi="ar"/>
              </w:rPr>
            </w:pPr>
            <w:r>
              <w:rPr>
                <w:sz w:val="21"/>
                <w:szCs w:val="21"/>
              </w:rPr>
              <w:t>递交响应文件截止之日</w:t>
            </w:r>
            <w:r>
              <w:rPr>
                <w:rFonts w:hint="eastAsia"/>
                <w:sz w:val="21"/>
                <w:szCs w:val="21"/>
                <w:u w:val="single"/>
                <w:lang w:val="en-US"/>
              </w:rPr>
              <w:t>5</w:t>
            </w:r>
            <w:r>
              <w:rPr>
                <w:sz w:val="21"/>
                <w:szCs w:val="21"/>
              </w:rPr>
              <w:t>天前</w:t>
            </w:r>
          </w:p>
        </w:tc>
      </w:tr>
      <w:tr w14:paraId="3630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11" w:type="dxa"/>
          </w:tcPr>
          <w:p w14:paraId="5F538D30">
            <w:pPr>
              <w:pStyle w:val="47"/>
              <w:rPr>
                <w:rFonts w:hint="eastAsia"/>
                <w:sz w:val="21"/>
                <w:szCs w:val="21"/>
              </w:rPr>
            </w:pPr>
          </w:p>
          <w:p w14:paraId="235C5E5B">
            <w:pPr>
              <w:pStyle w:val="47"/>
              <w:ind w:left="142" w:right="134"/>
              <w:jc w:val="center"/>
              <w:rPr>
                <w:rFonts w:hint="eastAsia"/>
                <w:sz w:val="21"/>
                <w:szCs w:val="21"/>
              </w:rPr>
            </w:pPr>
            <w:r>
              <w:rPr>
                <w:sz w:val="21"/>
                <w:szCs w:val="21"/>
              </w:rPr>
              <w:t>1.10.3</w:t>
            </w:r>
          </w:p>
        </w:tc>
        <w:tc>
          <w:tcPr>
            <w:tcW w:w="2102" w:type="dxa"/>
            <w:gridSpan w:val="2"/>
          </w:tcPr>
          <w:p w14:paraId="299C7C76">
            <w:pPr>
              <w:pStyle w:val="47"/>
              <w:spacing w:before="98"/>
              <w:ind w:left="173" w:right="167"/>
              <w:jc w:val="center"/>
              <w:rPr>
                <w:rFonts w:hint="eastAsia"/>
                <w:sz w:val="21"/>
                <w:szCs w:val="21"/>
              </w:rPr>
            </w:pPr>
            <w:r>
              <w:rPr>
                <w:sz w:val="21"/>
                <w:szCs w:val="21"/>
              </w:rPr>
              <w:t>采购人书面</w:t>
            </w:r>
          </w:p>
          <w:p w14:paraId="735F8591">
            <w:pPr>
              <w:pStyle w:val="47"/>
              <w:spacing w:before="98"/>
              <w:ind w:left="173" w:right="167"/>
              <w:jc w:val="center"/>
              <w:rPr>
                <w:rFonts w:hint="eastAsia"/>
                <w:sz w:val="21"/>
                <w:szCs w:val="21"/>
              </w:rPr>
            </w:pPr>
            <w:r>
              <w:rPr>
                <w:sz w:val="21"/>
                <w:szCs w:val="21"/>
              </w:rPr>
              <w:t>澄清的时间</w:t>
            </w:r>
          </w:p>
        </w:tc>
        <w:tc>
          <w:tcPr>
            <w:tcW w:w="6541" w:type="dxa"/>
          </w:tcPr>
          <w:p w14:paraId="32940F8D">
            <w:pPr>
              <w:pStyle w:val="47"/>
              <w:rPr>
                <w:rFonts w:hint="eastAsia"/>
                <w:sz w:val="21"/>
                <w:szCs w:val="21"/>
              </w:rPr>
            </w:pPr>
          </w:p>
          <w:p w14:paraId="75256212">
            <w:pPr>
              <w:pStyle w:val="47"/>
              <w:ind w:left="107"/>
              <w:rPr>
                <w:rFonts w:hint="eastAsia"/>
                <w:color w:val="000000"/>
                <w:sz w:val="21"/>
                <w:szCs w:val="21"/>
                <w:lang w:val="en-US" w:bidi="ar"/>
              </w:rPr>
            </w:pPr>
            <w:r>
              <w:rPr>
                <w:sz w:val="21"/>
                <w:szCs w:val="21"/>
              </w:rPr>
              <w:t>递交响应文件截止之日</w:t>
            </w:r>
            <w:r>
              <w:rPr>
                <w:sz w:val="21"/>
                <w:szCs w:val="21"/>
                <w:u w:val="single"/>
              </w:rPr>
              <w:t>5</w:t>
            </w:r>
            <w:r>
              <w:rPr>
                <w:sz w:val="21"/>
                <w:szCs w:val="21"/>
              </w:rPr>
              <w:t>天前</w:t>
            </w:r>
          </w:p>
        </w:tc>
      </w:tr>
      <w:tr w14:paraId="736B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74679914">
            <w:pPr>
              <w:pStyle w:val="47"/>
              <w:spacing w:before="148"/>
              <w:ind w:left="142" w:right="132"/>
              <w:jc w:val="center"/>
              <w:rPr>
                <w:rFonts w:hint="eastAsia"/>
                <w:sz w:val="21"/>
                <w:szCs w:val="21"/>
              </w:rPr>
            </w:pPr>
            <w:r>
              <w:rPr>
                <w:sz w:val="21"/>
                <w:szCs w:val="21"/>
              </w:rPr>
              <w:t>1.11</w:t>
            </w:r>
          </w:p>
        </w:tc>
        <w:tc>
          <w:tcPr>
            <w:tcW w:w="2102" w:type="dxa"/>
            <w:gridSpan w:val="2"/>
          </w:tcPr>
          <w:p w14:paraId="45688136">
            <w:pPr>
              <w:pStyle w:val="47"/>
              <w:spacing w:before="148"/>
              <w:ind w:left="173" w:right="167"/>
              <w:jc w:val="center"/>
              <w:rPr>
                <w:rFonts w:hint="eastAsia"/>
                <w:sz w:val="21"/>
                <w:szCs w:val="21"/>
              </w:rPr>
            </w:pPr>
            <w:r>
              <w:rPr>
                <w:sz w:val="21"/>
                <w:szCs w:val="21"/>
              </w:rPr>
              <w:t>分包</w:t>
            </w:r>
          </w:p>
        </w:tc>
        <w:tc>
          <w:tcPr>
            <w:tcW w:w="6541" w:type="dxa"/>
          </w:tcPr>
          <w:p w14:paraId="5531D2A7">
            <w:pPr>
              <w:pStyle w:val="47"/>
              <w:spacing w:before="148"/>
              <w:ind w:left="107"/>
              <w:rPr>
                <w:rFonts w:hint="eastAsia"/>
                <w:color w:val="000000"/>
                <w:sz w:val="21"/>
                <w:szCs w:val="21"/>
                <w:lang w:val="en-US" w:bidi="ar"/>
              </w:rPr>
            </w:pPr>
            <w:r>
              <w:rPr>
                <w:sz w:val="21"/>
                <w:szCs w:val="21"/>
              </w:rPr>
              <w:t>不允许</w:t>
            </w:r>
          </w:p>
        </w:tc>
      </w:tr>
      <w:tr w14:paraId="52550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710E319D">
            <w:pPr>
              <w:pStyle w:val="47"/>
              <w:spacing w:before="12"/>
              <w:rPr>
                <w:rFonts w:hint="eastAsia"/>
                <w:sz w:val="21"/>
                <w:szCs w:val="21"/>
              </w:rPr>
            </w:pPr>
          </w:p>
          <w:p w14:paraId="48923751">
            <w:pPr>
              <w:pStyle w:val="47"/>
              <w:ind w:left="142" w:right="132"/>
              <w:jc w:val="center"/>
              <w:rPr>
                <w:rFonts w:hint="eastAsia"/>
                <w:sz w:val="21"/>
                <w:szCs w:val="21"/>
              </w:rPr>
            </w:pPr>
            <w:r>
              <w:rPr>
                <w:sz w:val="21"/>
                <w:szCs w:val="21"/>
              </w:rPr>
              <w:t>2.1</w:t>
            </w:r>
          </w:p>
        </w:tc>
        <w:tc>
          <w:tcPr>
            <w:tcW w:w="2102" w:type="dxa"/>
            <w:gridSpan w:val="2"/>
            <w:vAlign w:val="center"/>
          </w:tcPr>
          <w:p w14:paraId="2C60EBD4">
            <w:pPr>
              <w:pStyle w:val="47"/>
              <w:spacing w:before="99"/>
              <w:ind w:left="173" w:right="167"/>
              <w:jc w:val="center"/>
              <w:rPr>
                <w:rFonts w:hint="eastAsia"/>
                <w:sz w:val="21"/>
                <w:szCs w:val="21"/>
              </w:rPr>
            </w:pPr>
            <w:r>
              <w:rPr>
                <w:sz w:val="21"/>
                <w:szCs w:val="21"/>
              </w:rPr>
              <w:t>构成磋商文件的其他材料</w:t>
            </w:r>
          </w:p>
        </w:tc>
        <w:tc>
          <w:tcPr>
            <w:tcW w:w="6541" w:type="dxa"/>
          </w:tcPr>
          <w:p w14:paraId="1D43EFD8">
            <w:pPr>
              <w:pStyle w:val="47"/>
              <w:spacing w:before="99"/>
              <w:ind w:left="107"/>
              <w:rPr>
                <w:rFonts w:hint="eastAsia"/>
                <w:color w:val="000000"/>
                <w:sz w:val="21"/>
                <w:szCs w:val="21"/>
                <w:lang w:val="en-US" w:bidi="ar"/>
              </w:rPr>
            </w:pPr>
            <w:r>
              <w:rPr>
                <w:sz w:val="21"/>
                <w:szCs w:val="21"/>
              </w:rPr>
              <w:t>除磋商文件外，采购人在磋商期间发出的澄清、修改、补充、补遗和其它有效正式函件等内容均是磋商文件的组成部分</w:t>
            </w:r>
          </w:p>
        </w:tc>
      </w:tr>
      <w:tr w14:paraId="67E7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11" w:type="dxa"/>
          </w:tcPr>
          <w:p w14:paraId="22973345">
            <w:pPr>
              <w:pStyle w:val="47"/>
              <w:spacing w:before="3"/>
              <w:rPr>
                <w:rFonts w:hint="eastAsia"/>
                <w:sz w:val="21"/>
                <w:szCs w:val="21"/>
              </w:rPr>
            </w:pPr>
          </w:p>
          <w:p w14:paraId="1D96B2F6">
            <w:pPr>
              <w:pStyle w:val="47"/>
              <w:ind w:left="142" w:right="134"/>
              <w:jc w:val="center"/>
              <w:rPr>
                <w:rFonts w:hint="eastAsia"/>
                <w:sz w:val="21"/>
                <w:szCs w:val="21"/>
              </w:rPr>
            </w:pPr>
            <w:r>
              <w:rPr>
                <w:sz w:val="21"/>
                <w:szCs w:val="21"/>
              </w:rPr>
              <w:t>2.2.1</w:t>
            </w:r>
          </w:p>
        </w:tc>
        <w:tc>
          <w:tcPr>
            <w:tcW w:w="2102" w:type="dxa"/>
            <w:gridSpan w:val="2"/>
          </w:tcPr>
          <w:p w14:paraId="395C597D">
            <w:pPr>
              <w:pStyle w:val="47"/>
              <w:spacing w:before="99"/>
              <w:ind w:left="193" w:right="185"/>
              <w:jc w:val="center"/>
              <w:rPr>
                <w:rFonts w:hint="eastAsia"/>
                <w:sz w:val="21"/>
                <w:szCs w:val="21"/>
              </w:rPr>
            </w:pPr>
            <w:r>
              <w:rPr>
                <w:sz w:val="21"/>
                <w:szCs w:val="21"/>
              </w:rPr>
              <w:t>供应商要求澄清磋商文件的截止时间</w:t>
            </w:r>
          </w:p>
        </w:tc>
        <w:tc>
          <w:tcPr>
            <w:tcW w:w="6541" w:type="dxa"/>
          </w:tcPr>
          <w:p w14:paraId="26E1ED40">
            <w:pPr>
              <w:pStyle w:val="47"/>
              <w:rPr>
                <w:rFonts w:hint="eastAsia"/>
                <w:sz w:val="21"/>
                <w:szCs w:val="21"/>
              </w:rPr>
            </w:pPr>
          </w:p>
          <w:p w14:paraId="445765C0">
            <w:pPr>
              <w:pStyle w:val="47"/>
              <w:ind w:left="107"/>
              <w:rPr>
                <w:rFonts w:hint="eastAsia"/>
                <w:color w:val="000000"/>
                <w:sz w:val="21"/>
                <w:szCs w:val="21"/>
                <w:lang w:val="en-US" w:bidi="ar"/>
              </w:rPr>
            </w:pPr>
            <w:r>
              <w:rPr>
                <w:sz w:val="21"/>
                <w:szCs w:val="21"/>
              </w:rPr>
              <w:t>递交响应文件截止之日</w:t>
            </w:r>
            <w:r>
              <w:rPr>
                <w:rFonts w:hint="eastAsia"/>
                <w:sz w:val="21"/>
                <w:szCs w:val="21"/>
                <w:u w:val="single"/>
                <w:lang w:val="en-US"/>
              </w:rPr>
              <w:t>5</w:t>
            </w:r>
            <w:r>
              <w:rPr>
                <w:sz w:val="21"/>
                <w:szCs w:val="21"/>
              </w:rPr>
              <w:t>天前</w:t>
            </w:r>
          </w:p>
        </w:tc>
      </w:tr>
      <w:tr w14:paraId="7E88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2E4556F6">
            <w:pPr>
              <w:pStyle w:val="47"/>
              <w:spacing w:before="11"/>
              <w:rPr>
                <w:rFonts w:hint="eastAsia" w:ascii="Times New Roman"/>
                <w:sz w:val="21"/>
                <w:szCs w:val="21"/>
              </w:rPr>
            </w:pPr>
          </w:p>
          <w:p w14:paraId="3525F3B5">
            <w:pPr>
              <w:pStyle w:val="47"/>
              <w:ind w:left="142" w:right="132"/>
              <w:jc w:val="center"/>
              <w:rPr>
                <w:rFonts w:hint="eastAsia"/>
                <w:sz w:val="21"/>
                <w:szCs w:val="21"/>
              </w:rPr>
            </w:pPr>
            <w:r>
              <w:rPr>
                <w:sz w:val="21"/>
                <w:szCs w:val="21"/>
              </w:rPr>
              <w:t>3.1</w:t>
            </w:r>
          </w:p>
        </w:tc>
        <w:tc>
          <w:tcPr>
            <w:tcW w:w="2102" w:type="dxa"/>
            <w:gridSpan w:val="2"/>
          </w:tcPr>
          <w:p w14:paraId="0C034684">
            <w:pPr>
              <w:pStyle w:val="47"/>
              <w:spacing w:before="98"/>
              <w:ind w:left="173" w:right="167"/>
              <w:jc w:val="center"/>
              <w:rPr>
                <w:rFonts w:hint="eastAsia"/>
                <w:sz w:val="21"/>
                <w:szCs w:val="21"/>
              </w:rPr>
            </w:pPr>
            <w:r>
              <w:rPr>
                <w:sz w:val="21"/>
                <w:szCs w:val="21"/>
              </w:rPr>
              <w:t>构成响应文件的其他材料</w:t>
            </w:r>
          </w:p>
        </w:tc>
        <w:tc>
          <w:tcPr>
            <w:tcW w:w="6541" w:type="dxa"/>
          </w:tcPr>
          <w:p w14:paraId="74B4EEAC">
            <w:pPr>
              <w:pStyle w:val="47"/>
              <w:spacing w:before="11"/>
              <w:rPr>
                <w:rFonts w:hint="eastAsia" w:ascii="Times New Roman"/>
                <w:sz w:val="21"/>
                <w:szCs w:val="21"/>
              </w:rPr>
            </w:pPr>
          </w:p>
          <w:p w14:paraId="5C352994">
            <w:pPr>
              <w:pStyle w:val="47"/>
              <w:ind w:left="107"/>
              <w:rPr>
                <w:rFonts w:hint="eastAsia"/>
                <w:color w:val="000000"/>
                <w:sz w:val="21"/>
                <w:szCs w:val="21"/>
                <w:lang w:val="en-US" w:bidi="ar"/>
              </w:rPr>
            </w:pPr>
            <w:r>
              <w:rPr>
                <w:sz w:val="21"/>
                <w:szCs w:val="21"/>
              </w:rPr>
              <w:t>供应商认为需要提交的其他证明材料</w:t>
            </w:r>
          </w:p>
        </w:tc>
      </w:tr>
      <w:tr w14:paraId="0186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689BA8F1">
            <w:pPr>
              <w:pStyle w:val="47"/>
              <w:spacing w:before="100"/>
              <w:ind w:left="142" w:right="134"/>
              <w:jc w:val="center"/>
              <w:rPr>
                <w:rFonts w:hint="eastAsia"/>
                <w:sz w:val="21"/>
                <w:szCs w:val="21"/>
              </w:rPr>
            </w:pPr>
            <w:r>
              <w:rPr>
                <w:sz w:val="21"/>
                <w:szCs w:val="21"/>
              </w:rPr>
              <w:t>3.3.1</w:t>
            </w:r>
          </w:p>
        </w:tc>
        <w:tc>
          <w:tcPr>
            <w:tcW w:w="2102" w:type="dxa"/>
            <w:gridSpan w:val="2"/>
          </w:tcPr>
          <w:p w14:paraId="36AD077C">
            <w:pPr>
              <w:pStyle w:val="47"/>
              <w:spacing w:before="100"/>
              <w:ind w:left="173" w:right="165"/>
              <w:jc w:val="center"/>
              <w:rPr>
                <w:rFonts w:hint="eastAsia"/>
                <w:sz w:val="21"/>
                <w:szCs w:val="21"/>
              </w:rPr>
            </w:pPr>
            <w:r>
              <w:rPr>
                <w:sz w:val="21"/>
                <w:szCs w:val="21"/>
              </w:rPr>
              <w:t>磋商有效期</w:t>
            </w:r>
          </w:p>
        </w:tc>
        <w:tc>
          <w:tcPr>
            <w:tcW w:w="6541" w:type="dxa"/>
          </w:tcPr>
          <w:p w14:paraId="2704E309">
            <w:pPr>
              <w:pStyle w:val="47"/>
              <w:spacing w:before="100"/>
              <w:ind w:left="107"/>
              <w:rPr>
                <w:rFonts w:hint="eastAsia"/>
                <w:color w:val="000000"/>
                <w:sz w:val="21"/>
                <w:szCs w:val="21"/>
                <w:lang w:val="en-US" w:bidi="ar"/>
              </w:rPr>
            </w:pPr>
            <w:r>
              <w:rPr>
                <w:sz w:val="21"/>
                <w:szCs w:val="21"/>
              </w:rPr>
              <w:t>60日历天（响应文件截止之日起）</w:t>
            </w:r>
          </w:p>
        </w:tc>
      </w:tr>
      <w:tr w14:paraId="2F8A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22B22E74">
            <w:pPr>
              <w:pStyle w:val="47"/>
              <w:spacing w:before="10"/>
              <w:rPr>
                <w:rFonts w:hint="eastAsia" w:ascii="Times New Roman"/>
                <w:sz w:val="21"/>
                <w:szCs w:val="21"/>
              </w:rPr>
            </w:pPr>
          </w:p>
          <w:p w14:paraId="28ACE731">
            <w:pPr>
              <w:pStyle w:val="47"/>
              <w:ind w:left="142" w:right="134"/>
              <w:jc w:val="center"/>
              <w:rPr>
                <w:rFonts w:hint="eastAsia"/>
                <w:sz w:val="21"/>
                <w:szCs w:val="21"/>
              </w:rPr>
            </w:pPr>
            <w:r>
              <w:rPr>
                <w:sz w:val="21"/>
                <w:szCs w:val="21"/>
              </w:rPr>
              <w:t>3.5</w:t>
            </w:r>
          </w:p>
        </w:tc>
        <w:tc>
          <w:tcPr>
            <w:tcW w:w="2102" w:type="dxa"/>
            <w:gridSpan w:val="2"/>
          </w:tcPr>
          <w:p w14:paraId="0C2E19FC">
            <w:pPr>
              <w:pStyle w:val="47"/>
              <w:spacing w:before="141"/>
              <w:ind w:left="299" w:right="290"/>
              <w:jc w:val="center"/>
              <w:rPr>
                <w:rFonts w:hint="eastAsia"/>
                <w:sz w:val="21"/>
                <w:szCs w:val="21"/>
              </w:rPr>
            </w:pPr>
            <w:r>
              <w:rPr>
                <w:sz w:val="21"/>
                <w:szCs w:val="21"/>
              </w:rPr>
              <w:t>是否允许递交备选磋商方案</w:t>
            </w:r>
          </w:p>
        </w:tc>
        <w:tc>
          <w:tcPr>
            <w:tcW w:w="6541" w:type="dxa"/>
          </w:tcPr>
          <w:p w14:paraId="5FA785D7">
            <w:pPr>
              <w:pStyle w:val="47"/>
              <w:rPr>
                <w:rFonts w:hint="eastAsia"/>
                <w:sz w:val="21"/>
                <w:szCs w:val="21"/>
              </w:rPr>
            </w:pPr>
          </w:p>
          <w:p w14:paraId="38C66E86">
            <w:pPr>
              <w:pStyle w:val="47"/>
              <w:ind w:left="107"/>
              <w:rPr>
                <w:rFonts w:hint="eastAsia"/>
                <w:color w:val="000000"/>
                <w:sz w:val="21"/>
                <w:szCs w:val="21"/>
                <w:lang w:val="en-US" w:bidi="ar"/>
              </w:rPr>
            </w:pPr>
            <w:r>
              <w:rPr>
                <w:sz w:val="21"/>
                <w:szCs w:val="21"/>
              </w:rPr>
              <w:t>不允许</w:t>
            </w:r>
          </w:p>
        </w:tc>
      </w:tr>
      <w:tr w14:paraId="4B24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1" w:type="dxa"/>
            <w:vAlign w:val="center"/>
          </w:tcPr>
          <w:p w14:paraId="7AB05F0D">
            <w:pPr>
              <w:pStyle w:val="47"/>
              <w:spacing w:before="144"/>
              <w:ind w:right="134"/>
              <w:jc w:val="center"/>
              <w:rPr>
                <w:rFonts w:hint="eastAsia"/>
                <w:sz w:val="21"/>
                <w:szCs w:val="21"/>
              </w:rPr>
            </w:pPr>
            <w:r>
              <w:rPr>
                <w:sz w:val="21"/>
                <w:szCs w:val="21"/>
              </w:rPr>
              <w:t>3.7.3</w:t>
            </w:r>
          </w:p>
        </w:tc>
        <w:tc>
          <w:tcPr>
            <w:tcW w:w="2102" w:type="dxa"/>
            <w:gridSpan w:val="2"/>
            <w:vAlign w:val="center"/>
          </w:tcPr>
          <w:p w14:paraId="5B3B6CB5">
            <w:pPr>
              <w:pStyle w:val="47"/>
              <w:spacing w:before="141"/>
              <w:ind w:right="290"/>
              <w:jc w:val="center"/>
              <w:rPr>
                <w:rFonts w:hint="eastAsia"/>
                <w:sz w:val="21"/>
                <w:szCs w:val="21"/>
              </w:rPr>
            </w:pPr>
            <w:r>
              <w:rPr>
                <w:rFonts w:hint="eastAsia"/>
                <w:sz w:val="21"/>
                <w:szCs w:val="21"/>
                <w:lang w:val="en-US"/>
              </w:rPr>
              <w:t xml:space="preserve"> </w:t>
            </w:r>
            <w:r>
              <w:rPr>
                <w:sz w:val="21"/>
                <w:szCs w:val="21"/>
              </w:rPr>
              <w:t>电子响应文件签字盖章要求</w:t>
            </w:r>
          </w:p>
        </w:tc>
        <w:tc>
          <w:tcPr>
            <w:tcW w:w="6541" w:type="dxa"/>
          </w:tcPr>
          <w:p w14:paraId="11C646AE">
            <w:pPr>
              <w:adjustRightInd w:val="0"/>
              <w:snapToGrid w:val="0"/>
              <w:rPr>
                <w:rFonts w:hint="eastAsia"/>
                <w:sz w:val="21"/>
                <w:szCs w:val="21"/>
                <w:lang w:val="en-US"/>
              </w:rPr>
            </w:pPr>
            <w:r>
              <w:rPr>
                <w:rFonts w:hint="eastAsia"/>
                <w:color w:val="000000"/>
                <w:sz w:val="21"/>
                <w:szCs w:val="21"/>
              </w:rPr>
              <w:t>（</w:t>
            </w:r>
            <w:r>
              <w:rPr>
                <w:rFonts w:hint="eastAsia"/>
                <w:sz w:val="21"/>
                <w:szCs w:val="21"/>
                <w:lang w:val="en-US"/>
              </w:rPr>
              <w:t>1</w:t>
            </w:r>
            <w:r>
              <w:rPr>
                <w:rFonts w:hint="eastAsia"/>
                <w:sz w:val="21"/>
                <w:szCs w:val="21"/>
              </w:rPr>
              <w:t>）所有要求供应商加盖公章的地方都须加盖供应商的</w:t>
            </w:r>
            <w:r>
              <w:rPr>
                <w:rFonts w:hint="eastAsia"/>
                <w:sz w:val="21"/>
                <w:szCs w:val="21"/>
                <w:lang w:val="en-US"/>
              </w:rPr>
              <w:t>CA印章。</w:t>
            </w:r>
          </w:p>
          <w:p w14:paraId="7E923C67">
            <w:pPr>
              <w:adjustRightInd w:val="0"/>
              <w:snapToGrid w:val="0"/>
              <w:rPr>
                <w:rFonts w:hint="eastAsia"/>
                <w:color w:val="000000"/>
                <w:sz w:val="21"/>
                <w:szCs w:val="21"/>
                <w:lang w:val="en-US" w:bidi="ar"/>
              </w:rPr>
            </w:pPr>
            <w:r>
              <w:rPr>
                <w:rFonts w:hint="eastAsia"/>
                <w:sz w:val="21"/>
                <w:szCs w:val="21"/>
                <w:lang w:val="en-US"/>
              </w:rPr>
              <w:t>（2）所有要求法定代表人或其委托代理人签字的地方都须法定代表人或其委托代理人加盖CA印章或签字。</w:t>
            </w:r>
          </w:p>
        </w:tc>
      </w:tr>
      <w:tr w14:paraId="764A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7E5354B5">
            <w:pPr>
              <w:pStyle w:val="47"/>
              <w:rPr>
                <w:rFonts w:hint="eastAsia" w:ascii="Times New Roman"/>
                <w:sz w:val="21"/>
                <w:szCs w:val="21"/>
              </w:rPr>
            </w:pPr>
          </w:p>
          <w:p w14:paraId="5DE5A5D4">
            <w:pPr>
              <w:pStyle w:val="47"/>
              <w:rPr>
                <w:rFonts w:hint="eastAsia" w:ascii="Times New Roman"/>
                <w:sz w:val="21"/>
                <w:szCs w:val="21"/>
              </w:rPr>
            </w:pPr>
          </w:p>
          <w:p w14:paraId="4E179C71">
            <w:pPr>
              <w:pStyle w:val="47"/>
              <w:rPr>
                <w:rFonts w:hint="eastAsia" w:ascii="Times New Roman"/>
                <w:sz w:val="21"/>
                <w:szCs w:val="21"/>
              </w:rPr>
            </w:pPr>
          </w:p>
          <w:p w14:paraId="7AD98080">
            <w:pPr>
              <w:pStyle w:val="47"/>
              <w:spacing w:before="175"/>
              <w:ind w:left="142" w:right="132"/>
              <w:jc w:val="center"/>
              <w:rPr>
                <w:rFonts w:hint="eastAsia"/>
                <w:sz w:val="21"/>
                <w:szCs w:val="21"/>
              </w:rPr>
            </w:pPr>
            <w:r>
              <w:rPr>
                <w:sz w:val="21"/>
                <w:szCs w:val="21"/>
              </w:rPr>
              <w:t>4.1</w:t>
            </w:r>
          </w:p>
        </w:tc>
        <w:tc>
          <w:tcPr>
            <w:tcW w:w="2102" w:type="dxa"/>
            <w:gridSpan w:val="2"/>
          </w:tcPr>
          <w:p w14:paraId="0523AC75">
            <w:pPr>
              <w:pStyle w:val="47"/>
              <w:rPr>
                <w:rFonts w:hint="eastAsia" w:ascii="Times New Roman"/>
                <w:sz w:val="21"/>
                <w:szCs w:val="21"/>
              </w:rPr>
            </w:pPr>
          </w:p>
          <w:p w14:paraId="449BC504">
            <w:pPr>
              <w:pStyle w:val="47"/>
              <w:rPr>
                <w:rFonts w:hint="eastAsia" w:ascii="Times New Roman"/>
                <w:sz w:val="21"/>
                <w:szCs w:val="21"/>
              </w:rPr>
            </w:pPr>
          </w:p>
          <w:p w14:paraId="26E2135B">
            <w:pPr>
              <w:pStyle w:val="47"/>
              <w:rPr>
                <w:rFonts w:hint="eastAsia" w:ascii="Times New Roman"/>
                <w:sz w:val="21"/>
                <w:szCs w:val="21"/>
              </w:rPr>
            </w:pPr>
          </w:p>
          <w:p w14:paraId="4A0D48EC">
            <w:pPr>
              <w:pStyle w:val="47"/>
              <w:spacing w:before="2"/>
              <w:rPr>
                <w:rFonts w:hint="eastAsia" w:ascii="Times New Roman"/>
                <w:sz w:val="21"/>
                <w:szCs w:val="21"/>
              </w:rPr>
            </w:pPr>
          </w:p>
          <w:p w14:paraId="7AB36EC8">
            <w:pPr>
              <w:pStyle w:val="47"/>
              <w:ind w:left="173" w:right="167"/>
              <w:jc w:val="center"/>
              <w:rPr>
                <w:rFonts w:hint="eastAsia"/>
                <w:sz w:val="21"/>
                <w:szCs w:val="21"/>
              </w:rPr>
            </w:pPr>
            <w:r>
              <w:rPr>
                <w:sz w:val="21"/>
                <w:szCs w:val="21"/>
              </w:rPr>
              <w:t>响应文件的递交</w:t>
            </w:r>
          </w:p>
        </w:tc>
        <w:tc>
          <w:tcPr>
            <w:tcW w:w="6541" w:type="dxa"/>
          </w:tcPr>
          <w:p w14:paraId="50ADE1D2">
            <w:pPr>
              <w:pStyle w:val="47"/>
              <w:spacing w:before="1"/>
              <w:ind w:left="107"/>
              <w:rPr>
                <w:rFonts w:hint="eastAsia" w:ascii="Times New Roman"/>
                <w:sz w:val="21"/>
                <w:szCs w:val="21"/>
              </w:rPr>
            </w:pPr>
            <w:r>
              <w:rPr>
                <w:rFonts w:hint="eastAsia"/>
                <w:b/>
                <w:bCs/>
                <w:sz w:val="21"/>
                <w:szCs w:val="21"/>
                <w:lang w:val="en-US" w:bidi="ar"/>
              </w:rPr>
              <w:t>1、电子投标文件的递交</w:t>
            </w:r>
          </w:p>
          <w:p w14:paraId="39BD162C">
            <w:pPr>
              <w:pStyle w:val="47"/>
              <w:spacing w:before="1"/>
              <w:ind w:left="107"/>
              <w:rPr>
                <w:rFonts w:hint="eastAsia"/>
                <w:b/>
                <w:bCs/>
                <w:sz w:val="21"/>
                <w:szCs w:val="21"/>
                <w:lang w:val="en-US" w:bidi="ar"/>
              </w:rPr>
            </w:pPr>
            <w:r>
              <w:rPr>
                <w:rFonts w:hint="eastAsia"/>
                <w:b/>
                <w:bCs/>
                <w:sz w:val="21"/>
                <w:szCs w:val="21"/>
                <w:lang w:val="en-US" w:bidi="ar"/>
              </w:rPr>
              <w:t>各投标人应在投标截止时间前上传加密的电子投标文件</w:t>
            </w:r>
          </w:p>
          <w:p w14:paraId="26086A81">
            <w:pPr>
              <w:pStyle w:val="47"/>
              <w:spacing w:before="111" w:line="357" w:lineRule="auto"/>
              <w:ind w:left="107" w:right="95"/>
              <w:jc w:val="both"/>
              <w:rPr>
                <w:rFonts w:hint="eastAsia"/>
                <w:b/>
                <w:bCs/>
                <w:sz w:val="21"/>
                <w:szCs w:val="21"/>
                <w:lang w:val="en-US" w:bidi="ar"/>
              </w:rPr>
            </w:pPr>
            <w:r>
              <w:rPr>
                <w:rFonts w:hint="eastAsia"/>
                <w:b/>
                <w:bCs/>
                <w:sz w:val="21"/>
                <w:szCs w:val="21"/>
                <w:lang w:val="en-US" w:bidi="ar"/>
              </w:rPr>
              <w:t>（*.XYTF）到会员系统的指定位置。上传时必须得到交易系统“上传成功”的确认回复后方为上传成功。请投标人在上传前务必认 真检查上传投标文件是否完整、正确。</w:t>
            </w:r>
          </w:p>
          <w:p w14:paraId="2BEAAC82">
            <w:pPr>
              <w:pStyle w:val="47"/>
              <w:spacing w:before="1"/>
              <w:ind w:left="107"/>
              <w:rPr>
                <w:rFonts w:hint="eastAsia"/>
                <w:b/>
                <w:bCs/>
                <w:sz w:val="21"/>
                <w:szCs w:val="21"/>
                <w:lang w:val="en-US" w:bidi="ar"/>
              </w:rPr>
            </w:pPr>
            <w:r>
              <w:rPr>
                <w:rFonts w:hint="eastAsia"/>
                <w:b/>
                <w:bCs/>
                <w:sz w:val="21"/>
                <w:szCs w:val="21"/>
                <w:lang w:val="en-US" w:bidi="ar"/>
              </w:rPr>
              <w:t>2、本项目采用“不见面开标”交易方式，不见面开标大厅网址</w:t>
            </w:r>
          </w:p>
          <w:p w14:paraId="64E8C24E">
            <w:pPr>
              <w:pStyle w:val="47"/>
              <w:spacing w:before="20" w:line="400" w:lineRule="exact"/>
              <w:ind w:left="107" w:right="98"/>
              <w:jc w:val="both"/>
              <w:rPr>
                <w:rFonts w:hint="eastAsia"/>
                <w:sz w:val="21"/>
                <w:szCs w:val="21"/>
              </w:rPr>
            </w:pPr>
            <w:r>
              <w:rPr>
                <w:rFonts w:hint="eastAsia"/>
                <w:b/>
                <w:bCs/>
                <w:sz w:val="21"/>
                <w:szCs w:val="21"/>
                <w:lang w:val="en-US" w:bidi="ar"/>
              </w:rPr>
              <w:t xml:space="preserve">为 </w:t>
            </w:r>
            <w:r>
              <w:rPr>
                <w:sz w:val="21"/>
                <w:szCs w:val="21"/>
              </w:rPr>
              <w:fldChar w:fldCharType="begin"/>
            </w:r>
            <w:r>
              <w:rPr>
                <w:sz w:val="21"/>
                <w:szCs w:val="21"/>
              </w:rPr>
              <w:instrText xml:space="preserve"> HYPERLINK "http://www.xyggzyjy.cn:8088/BidOpening，投标人无需寄送和递交非加密的电子投标文件，无需到现场参加开标会议，无需到达现场提交原件资料。" </w:instrText>
            </w:r>
            <w:r>
              <w:rPr>
                <w:sz w:val="21"/>
                <w:szCs w:val="21"/>
              </w:rPr>
              <w:fldChar w:fldCharType="separate"/>
            </w:r>
            <w:bookmarkStart w:id="38" w:name="_Hlk187241822"/>
            <w:r>
              <w:rPr>
                <w:rFonts w:hint="eastAsia"/>
                <w:b/>
                <w:bCs/>
                <w:sz w:val="21"/>
                <w:szCs w:val="21"/>
                <w:lang w:val="en-US" w:bidi="ar"/>
              </w:rPr>
              <w:t>https://ggzyjy.xinyang.gov.cn/BidOpening/bidhall/xinyang/login.html</w:t>
            </w:r>
            <w:bookmarkEnd w:id="38"/>
            <w:r>
              <w:rPr>
                <w:rFonts w:hint="eastAsia"/>
                <w:b/>
                <w:bCs/>
                <w:sz w:val="21"/>
                <w:szCs w:val="21"/>
                <w:lang w:val="en-US" w:bidi="ar"/>
              </w:rPr>
              <w:t>，投标人无需寄送和递交非加密的电子投标文件，无需到现场参加开标会议，无需到达现场提交原件资料。</w:t>
            </w:r>
            <w:r>
              <w:rPr>
                <w:rFonts w:hint="eastAsia"/>
                <w:b/>
                <w:bCs/>
                <w:sz w:val="21"/>
                <w:szCs w:val="21"/>
                <w:lang w:val="en-US" w:bidi="ar"/>
              </w:rPr>
              <w:fldChar w:fldCharType="end"/>
            </w:r>
          </w:p>
          <w:p w14:paraId="50730453">
            <w:pPr>
              <w:pStyle w:val="26"/>
              <w:spacing w:line="440" w:lineRule="atLeast"/>
              <w:ind w:firstLine="480"/>
              <w:rPr>
                <w:rFonts w:hint="eastAsia"/>
                <w:b/>
                <w:bCs/>
                <w:sz w:val="21"/>
                <w:szCs w:val="21"/>
              </w:rPr>
            </w:pPr>
            <w:r>
              <w:rPr>
                <w:rFonts w:hint="eastAsia" w:cs="宋体"/>
                <w:b/>
                <w:bCs/>
                <w:sz w:val="21"/>
                <w:szCs w:val="21"/>
              </w:rPr>
              <w:t>供应商应当在投标截止时间前，使用供应商CA数字证书登录不见面开标大厅，在线签到并准时参加开标活动，并在规定时间内完成响应文件解密、答疑澄清等。</w:t>
            </w:r>
          </w:p>
          <w:p w14:paraId="6779C3C2">
            <w:pPr>
              <w:pStyle w:val="26"/>
              <w:spacing w:line="440" w:lineRule="atLeast"/>
              <w:ind w:firstLine="480"/>
              <w:rPr>
                <w:rFonts w:hint="eastAsia"/>
                <w:b/>
                <w:bCs/>
                <w:sz w:val="21"/>
                <w:szCs w:val="21"/>
              </w:rPr>
            </w:pPr>
            <w:r>
              <w:rPr>
                <w:rFonts w:hint="eastAsia" w:cs="宋体"/>
                <w:b/>
                <w:bCs/>
                <w:sz w:val="21"/>
                <w:szCs w:val="21"/>
              </w:rPr>
              <w:t>逾期解密或者没有准时在线参加开标活动导致的一切后果供应商自行承担。</w:t>
            </w:r>
          </w:p>
          <w:p w14:paraId="4557E0FD">
            <w:pPr>
              <w:pStyle w:val="26"/>
              <w:spacing w:line="440" w:lineRule="atLeast"/>
              <w:ind w:firstLine="480"/>
              <w:rPr>
                <w:rFonts w:hint="eastAsia"/>
                <w:b/>
                <w:bCs/>
                <w:sz w:val="21"/>
                <w:szCs w:val="21"/>
              </w:rPr>
            </w:pPr>
            <w:r>
              <w:rPr>
                <w:rFonts w:hint="eastAsia" w:cs="宋体"/>
                <w:b/>
                <w:bCs/>
                <w:sz w:val="21"/>
                <w:szCs w:val="21"/>
              </w:rPr>
              <w:t>不见面开标服务的具体事宜，请查阅信阳市公共资源交易中心网站首页—下载中心—信阳市不见面开标大厅系统操作手册 。</w:t>
            </w:r>
          </w:p>
          <w:p w14:paraId="575F18E2">
            <w:pPr>
              <w:pStyle w:val="47"/>
              <w:spacing w:before="20" w:line="400" w:lineRule="exact"/>
              <w:ind w:left="107" w:right="98"/>
              <w:jc w:val="both"/>
              <w:rPr>
                <w:rFonts w:hint="eastAsia"/>
                <w:sz w:val="21"/>
                <w:szCs w:val="21"/>
                <w:lang w:val="en-US"/>
              </w:rPr>
            </w:pPr>
            <w:r>
              <w:rPr>
                <w:rFonts w:hint="eastAsia"/>
                <w:b/>
                <w:bCs/>
                <w:sz w:val="21"/>
                <w:szCs w:val="21"/>
              </w:rPr>
              <w:t>特别提示：供应商在线签到时，应如实准确的填写授权委托人的联系电话，开标当天请务必保证电话保持畅通。二次报价操作流程详见“特别提示”。</w:t>
            </w:r>
          </w:p>
        </w:tc>
      </w:tr>
      <w:tr w14:paraId="5972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211" w:type="dxa"/>
          </w:tcPr>
          <w:p w14:paraId="234A647B">
            <w:pPr>
              <w:pStyle w:val="47"/>
              <w:spacing w:before="10"/>
              <w:jc w:val="center"/>
              <w:rPr>
                <w:rFonts w:hint="eastAsia" w:ascii="Times New Roman"/>
                <w:sz w:val="21"/>
                <w:szCs w:val="21"/>
              </w:rPr>
            </w:pPr>
          </w:p>
          <w:p w14:paraId="77FD80F2">
            <w:pPr>
              <w:pStyle w:val="47"/>
              <w:ind w:right="132"/>
              <w:jc w:val="center"/>
              <w:rPr>
                <w:rFonts w:hint="eastAsia"/>
                <w:sz w:val="21"/>
                <w:szCs w:val="21"/>
              </w:rPr>
            </w:pPr>
            <w:r>
              <w:rPr>
                <w:sz w:val="21"/>
                <w:szCs w:val="21"/>
              </w:rPr>
              <w:t>5.1</w:t>
            </w:r>
          </w:p>
        </w:tc>
        <w:tc>
          <w:tcPr>
            <w:tcW w:w="2102" w:type="dxa"/>
            <w:gridSpan w:val="2"/>
          </w:tcPr>
          <w:p w14:paraId="5348C1F1">
            <w:pPr>
              <w:pStyle w:val="47"/>
              <w:spacing w:before="99"/>
              <w:ind w:left="173" w:right="167"/>
              <w:jc w:val="center"/>
              <w:rPr>
                <w:rFonts w:hint="eastAsia"/>
                <w:sz w:val="21"/>
                <w:szCs w:val="21"/>
              </w:rPr>
            </w:pPr>
            <w:r>
              <w:rPr>
                <w:rFonts w:hint="eastAsia"/>
                <w:sz w:val="21"/>
                <w:szCs w:val="21"/>
              </w:rPr>
              <w:t>提交响应文件截止时间</w:t>
            </w:r>
          </w:p>
        </w:tc>
        <w:tc>
          <w:tcPr>
            <w:tcW w:w="6541" w:type="dxa"/>
          </w:tcPr>
          <w:p w14:paraId="29452879">
            <w:pPr>
              <w:pStyle w:val="47"/>
              <w:spacing w:before="10"/>
              <w:rPr>
                <w:rFonts w:hint="eastAsia"/>
                <w:sz w:val="21"/>
                <w:szCs w:val="21"/>
              </w:rPr>
            </w:pPr>
          </w:p>
          <w:p w14:paraId="5D2E6F57">
            <w:pPr>
              <w:pStyle w:val="47"/>
              <w:ind w:left="107" w:firstLine="840" w:firstLineChars="400"/>
              <w:rPr>
                <w:rFonts w:hint="eastAsia"/>
                <w:sz w:val="21"/>
                <w:szCs w:val="21"/>
                <w:lang w:val="en-US" w:bidi="ar"/>
              </w:rPr>
            </w:pPr>
            <w:r>
              <w:rPr>
                <w:rFonts w:hint="eastAsia"/>
                <w:color w:val="FF0000"/>
                <w:sz w:val="21"/>
                <w:szCs w:val="21"/>
                <w:lang w:val="en-US" w:bidi="ar"/>
              </w:rPr>
              <w:t>202</w:t>
            </w:r>
            <w:r>
              <w:rPr>
                <w:rFonts w:hint="eastAsia"/>
                <w:color w:val="FF0000"/>
                <w:sz w:val="21"/>
                <w:szCs w:val="21"/>
                <w:lang w:val="en-US" w:eastAsia="zh-CN" w:bidi="ar"/>
              </w:rPr>
              <w:t>6</w:t>
            </w:r>
            <w:r>
              <w:rPr>
                <w:rFonts w:hint="eastAsia"/>
                <w:color w:val="FF0000"/>
                <w:sz w:val="21"/>
                <w:szCs w:val="21"/>
                <w:lang w:val="en-US" w:bidi="ar"/>
              </w:rPr>
              <w:t>年</w:t>
            </w:r>
            <w:r>
              <w:rPr>
                <w:rFonts w:hint="eastAsia"/>
                <w:color w:val="FF0000"/>
                <w:sz w:val="21"/>
                <w:szCs w:val="21"/>
                <w:lang w:val="en-US" w:eastAsia="zh-CN" w:bidi="ar"/>
              </w:rPr>
              <w:t>02</w:t>
            </w:r>
            <w:r>
              <w:rPr>
                <w:rFonts w:hint="eastAsia"/>
                <w:color w:val="FF0000"/>
                <w:sz w:val="21"/>
                <w:szCs w:val="21"/>
                <w:lang w:val="en-US" w:bidi="ar"/>
              </w:rPr>
              <w:t>月</w:t>
            </w:r>
            <w:r>
              <w:rPr>
                <w:rFonts w:hint="eastAsia"/>
                <w:color w:val="FF0000"/>
                <w:sz w:val="21"/>
                <w:szCs w:val="21"/>
                <w:lang w:val="en-US" w:eastAsia="zh-CN" w:bidi="ar"/>
              </w:rPr>
              <w:t>28</w:t>
            </w:r>
            <w:bookmarkStart w:id="184" w:name="_GoBack"/>
            <w:bookmarkEnd w:id="184"/>
            <w:r>
              <w:rPr>
                <w:rFonts w:hint="eastAsia"/>
                <w:color w:val="FF0000"/>
                <w:sz w:val="21"/>
                <w:szCs w:val="21"/>
                <w:lang w:val="en-US" w:bidi="ar"/>
              </w:rPr>
              <w:t>日</w:t>
            </w:r>
            <w:r>
              <w:rPr>
                <w:color w:val="FF0000"/>
                <w:sz w:val="21"/>
                <w:szCs w:val="21"/>
                <w:lang w:val="en-US"/>
              </w:rPr>
              <w:t>09</w:t>
            </w:r>
            <w:r>
              <w:rPr>
                <w:rFonts w:hint="eastAsia"/>
                <w:color w:val="FF0000"/>
                <w:sz w:val="21"/>
                <w:szCs w:val="21"/>
                <w:lang w:val="en-US"/>
              </w:rPr>
              <w:t>时</w:t>
            </w:r>
            <w:r>
              <w:rPr>
                <w:color w:val="FF0000"/>
                <w:sz w:val="21"/>
                <w:szCs w:val="21"/>
                <w:lang w:val="en-US"/>
              </w:rPr>
              <w:t xml:space="preserve">00 </w:t>
            </w:r>
            <w:r>
              <w:rPr>
                <w:rFonts w:hint="eastAsia"/>
                <w:color w:val="FF0000"/>
                <w:sz w:val="21"/>
                <w:szCs w:val="21"/>
                <w:lang w:val="en-US"/>
              </w:rPr>
              <w:t>分</w:t>
            </w:r>
          </w:p>
        </w:tc>
      </w:tr>
      <w:tr w14:paraId="75D0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vAlign w:val="center"/>
          </w:tcPr>
          <w:p w14:paraId="0EC4B7E6">
            <w:pPr>
              <w:pStyle w:val="47"/>
              <w:ind w:right="134"/>
              <w:jc w:val="center"/>
              <w:rPr>
                <w:rFonts w:hint="eastAsia"/>
                <w:sz w:val="21"/>
                <w:szCs w:val="21"/>
              </w:rPr>
            </w:pPr>
            <w:r>
              <w:rPr>
                <w:sz w:val="21"/>
                <w:szCs w:val="21"/>
              </w:rPr>
              <w:t>5.1.1</w:t>
            </w:r>
          </w:p>
        </w:tc>
        <w:tc>
          <w:tcPr>
            <w:tcW w:w="2102" w:type="dxa"/>
            <w:gridSpan w:val="2"/>
            <w:vAlign w:val="center"/>
          </w:tcPr>
          <w:p w14:paraId="2BCFA73B">
            <w:pPr>
              <w:pStyle w:val="47"/>
              <w:ind w:right="167"/>
              <w:jc w:val="center"/>
              <w:rPr>
                <w:rFonts w:hint="eastAsia"/>
                <w:sz w:val="21"/>
                <w:szCs w:val="21"/>
              </w:rPr>
            </w:pPr>
            <w:r>
              <w:rPr>
                <w:rFonts w:hint="eastAsia"/>
                <w:sz w:val="21"/>
                <w:szCs w:val="21"/>
              </w:rPr>
              <w:t>磋商地点</w:t>
            </w:r>
          </w:p>
        </w:tc>
        <w:tc>
          <w:tcPr>
            <w:tcW w:w="6541" w:type="dxa"/>
            <w:vAlign w:val="center"/>
          </w:tcPr>
          <w:p w14:paraId="584F5082">
            <w:pPr>
              <w:pStyle w:val="47"/>
              <w:jc w:val="both"/>
              <w:rPr>
                <w:rFonts w:hint="eastAsia"/>
                <w:sz w:val="21"/>
                <w:szCs w:val="21"/>
                <w:lang w:val="en-US" w:bidi="ar"/>
              </w:rPr>
            </w:pPr>
            <w:r>
              <w:rPr>
                <w:rFonts w:hint="eastAsia"/>
                <w:color w:val="FF0000"/>
                <w:sz w:val="21"/>
                <w:szCs w:val="21"/>
                <w:lang w:val="en-US"/>
              </w:rPr>
              <w:t>新县公共资源交易中心第</w:t>
            </w:r>
            <w:r>
              <w:rPr>
                <w:rFonts w:hint="eastAsia"/>
                <w:color w:val="FF0000"/>
                <w:sz w:val="21"/>
                <w:szCs w:val="21"/>
                <w:u w:val="single"/>
                <w:lang w:val="en-US" w:eastAsia="zh-CN"/>
              </w:rPr>
              <w:t xml:space="preserve"> 一 </w:t>
            </w:r>
            <w:r>
              <w:rPr>
                <w:rFonts w:hint="eastAsia"/>
                <w:color w:val="FF0000"/>
                <w:sz w:val="21"/>
                <w:szCs w:val="21"/>
                <w:lang w:val="en-US"/>
              </w:rPr>
              <w:t>开标厅</w:t>
            </w:r>
            <w:r>
              <w:rPr>
                <w:rFonts w:hint="eastAsia"/>
                <w:sz w:val="21"/>
                <w:szCs w:val="21"/>
                <w:lang w:val="en-US"/>
              </w:rPr>
              <w:t>（新县市民之家五楼）</w:t>
            </w:r>
          </w:p>
        </w:tc>
      </w:tr>
      <w:tr w14:paraId="7D74C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211" w:type="dxa"/>
            <w:vAlign w:val="center"/>
          </w:tcPr>
          <w:p w14:paraId="584EBD00">
            <w:pPr>
              <w:pStyle w:val="47"/>
              <w:spacing w:before="98"/>
              <w:ind w:right="132"/>
              <w:jc w:val="center"/>
              <w:rPr>
                <w:rFonts w:hint="eastAsia"/>
                <w:sz w:val="21"/>
                <w:szCs w:val="21"/>
              </w:rPr>
            </w:pPr>
            <w:r>
              <w:rPr>
                <w:sz w:val="21"/>
                <w:szCs w:val="21"/>
              </w:rPr>
              <w:t>6.1</w:t>
            </w:r>
          </w:p>
        </w:tc>
        <w:tc>
          <w:tcPr>
            <w:tcW w:w="2102" w:type="dxa"/>
            <w:gridSpan w:val="2"/>
          </w:tcPr>
          <w:p w14:paraId="5FB58922">
            <w:pPr>
              <w:pStyle w:val="47"/>
              <w:spacing w:before="98"/>
              <w:ind w:left="173" w:right="167"/>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磋商小组的组建</w:t>
            </w:r>
          </w:p>
        </w:tc>
        <w:tc>
          <w:tcPr>
            <w:tcW w:w="6541" w:type="dxa"/>
          </w:tcPr>
          <w:p w14:paraId="525AB8EA">
            <w:pPr>
              <w:widowControl/>
              <w:rPr>
                <w:rFonts w:hint="eastAsia"/>
                <w:color w:val="000000" w:themeColor="text1"/>
                <w:sz w:val="21"/>
                <w:szCs w:val="21"/>
                <w:lang w:val="en-US" w:bidi="ar"/>
                <w14:textFill>
                  <w14:solidFill>
                    <w14:schemeClr w14:val="tx1"/>
                  </w14:solidFill>
                </w14:textFill>
              </w:rPr>
            </w:pPr>
            <w:r>
              <w:rPr>
                <w:rFonts w:hint="eastAsia"/>
                <w:color w:val="000000" w:themeColor="text1"/>
                <w:sz w:val="21"/>
                <w:szCs w:val="21"/>
                <w:lang w:val="en-US"/>
                <w14:textFill>
                  <w14:solidFill>
                    <w14:schemeClr w14:val="tx1"/>
                  </w14:solidFill>
                </w14:textFill>
              </w:rPr>
              <w:t>磋商小组由3人，其中业主评委 1 人，经济、技术专家 2 人。专家从符合条件的专家库中随机抽取。</w:t>
            </w:r>
          </w:p>
        </w:tc>
      </w:tr>
      <w:tr w14:paraId="0842D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033012D6">
            <w:pPr>
              <w:pStyle w:val="47"/>
              <w:spacing w:before="11"/>
              <w:jc w:val="center"/>
              <w:rPr>
                <w:rFonts w:hint="eastAsia" w:ascii="Times New Roman"/>
                <w:sz w:val="21"/>
                <w:szCs w:val="21"/>
              </w:rPr>
            </w:pPr>
          </w:p>
          <w:p w14:paraId="664F4C38">
            <w:pPr>
              <w:pStyle w:val="47"/>
              <w:jc w:val="center"/>
              <w:rPr>
                <w:rFonts w:hint="eastAsia"/>
                <w:sz w:val="21"/>
                <w:szCs w:val="21"/>
              </w:rPr>
            </w:pPr>
            <w:r>
              <w:rPr>
                <w:sz w:val="21"/>
                <w:szCs w:val="21"/>
              </w:rPr>
              <w:t>7.1</w:t>
            </w:r>
          </w:p>
        </w:tc>
        <w:tc>
          <w:tcPr>
            <w:tcW w:w="2102" w:type="dxa"/>
            <w:gridSpan w:val="2"/>
          </w:tcPr>
          <w:p w14:paraId="0B2BEE32">
            <w:pPr>
              <w:pStyle w:val="47"/>
              <w:spacing w:before="98"/>
              <w:ind w:left="173" w:right="167"/>
              <w:jc w:val="center"/>
              <w:rPr>
                <w:rFonts w:hint="eastAsia"/>
                <w:sz w:val="21"/>
                <w:szCs w:val="21"/>
              </w:rPr>
            </w:pPr>
            <w:r>
              <w:rPr>
                <w:sz w:val="21"/>
                <w:szCs w:val="21"/>
              </w:rPr>
              <w:t>是否授权磋商小组确定成交人</w:t>
            </w:r>
          </w:p>
        </w:tc>
        <w:tc>
          <w:tcPr>
            <w:tcW w:w="6541" w:type="dxa"/>
          </w:tcPr>
          <w:p w14:paraId="2F5DA338">
            <w:pPr>
              <w:pStyle w:val="47"/>
              <w:spacing w:before="11"/>
              <w:rPr>
                <w:rFonts w:hint="eastAsia" w:ascii="Times New Roman"/>
                <w:sz w:val="21"/>
                <w:szCs w:val="21"/>
              </w:rPr>
            </w:pPr>
          </w:p>
          <w:p w14:paraId="364B77E2">
            <w:pPr>
              <w:pStyle w:val="47"/>
              <w:ind w:left="107"/>
              <w:rPr>
                <w:rFonts w:hint="eastAsia"/>
                <w:color w:val="000000"/>
                <w:sz w:val="21"/>
                <w:szCs w:val="21"/>
                <w:lang w:val="en-US" w:bidi="ar"/>
              </w:rPr>
            </w:pPr>
            <w:r>
              <w:rPr>
                <w:rFonts w:hint="eastAsia"/>
                <w:sz w:val="21"/>
                <w:szCs w:val="21"/>
              </w:rPr>
              <w:t>否，</w:t>
            </w:r>
            <w:r>
              <w:rPr>
                <w:sz w:val="21"/>
                <w:szCs w:val="21"/>
              </w:rPr>
              <w:t>推荐的成交候选人数：3名</w:t>
            </w:r>
          </w:p>
        </w:tc>
      </w:tr>
      <w:tr w14:paraId="19AB8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54" w:type="dxa"/>
            <w:gridSpan w:val="4"/>
            <w:vAlign w:val="center"/>
          </w:tcPr>
          <w:p w14:paraId="078F25D8">
            <w:pPr>
              <w:pStyle w:val="47"/>
              <w:tabs>
                <w:tab w:val="left" w:pos="475"/>
              </w:tabs>
              <w:jc w:val="center"/>
              <w:rPr>
                <w:rFonts w:hint="eastAsia"/>
                <w:color w:val="000000"/>
                <w:sz w:val="21"/>
                <w:szCs w:val="21"/>
                <w:lang w:val="en-US" w:bidi="ar"/>
              </w:rPr>
            </w:pPr>
            <w:r>
              <w:rPr>
                <w:sz w:val="21"/>
                <w:szCs w:val="21"/>
              </w:rPr>
              <w:t>需要补充的其他内容</w:t>
            </w:r>
          </w:p>
        </w:tc>
      </w:tr>
      <w:tr w14:paraId="6CBD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84" w:type="dxa"/>
            <w:gridSpan w:val="2"/>
            <w:tcBorders>
              <w:right w:val="single" w:color="auto" w:sz="4" w:space="0"/>
            </w:tcBorders>
            <w:vAlign w:val="center"/>
          </w:tcPr>
          <w:p w14:paraId="64132C5A">
            <w:pPr>
              <w:pStyle w:val="47"/>
              <w:spacing w:before="115" w:line="400" w:lineRule="exact"/>
              <w:jc w:val="center"/>
              <w:rPr>
                <w:rFonts w:hint="eastAsia"/>
                <w:sz w:val="21"/>
                <w:szCs w:val="21"/>
              </w:rPr>
            </w:pPr>
            <w:r>
              <w:rPr>
                <w:sz w:val="21"/>
                <w:szCs w:val="21"/>
              </w:rPr>
              <w:t>解释权</w:t>
            </w:r>
          </w:p>
        </w:tc>
        <w:tc>
          <w:tcPr>
            <w:tcW w:w="7470" w:type="dxa"/>
            <w:gridSpan w:val="2"/>
            <w:tcBorders>
              <w:left w:val="single" w:color="auto" w:sz="4" w:space="0"/>
            </w:tcBorders>
            <w:vAlign w:val="center"/>
          </w:tcPr>
          <w:p w14:paraId="4E995E26">
            <w:pPr>
              <w:pStyle w:val="47"/>
              <w:spacing w:before="99" w:line="400" w:lineRule="exact"/>
              <w:ind w:left="106" w:right="76"/>
              <w:rPr>
                <w:rFonts w:hint="eastAsia"/>
                <w:color w:val="000000"/>
                <w:sz w:val="21"/>
                <w:szCs w:val="21"/>
                <w:lang w:val="en-US" w:bidi="ar"/>
              </w:rPr>
            </w:pPr>
            <w:r>
              <w:rPr>
                <w:spacing w:val="-3"/>
                <w:sz w:val="21"/>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F27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384" w:type="dxa"/>
            <w:gridSpan w:val="2"/>
            <w:tcBorders>
              <w:right w:val="single" w:color="auto" w:sz="4" w:space="0"/>
            </w:tcBorders>
          </w:tcPr>
          <w:p w14:paraId="43FE9C7E">
            <w:pPr>
              <w:pStyle w:val="47"/>
              <w:spacing w:line="400" w:lineRule="exact"/>
              <w:jc w:val="both"/>
              <w:rPr>
                <w:rFonts w:hint="eastAsia"/>
                <w:sz w:val="21"/>
                <w:szCs w:val="21"/>
              </w:rPr>
            </w:pPr>
          </w:p>
          <w:p w14:paraId="19C66FB5">
            <w:pPr>
              <w:pStyle w:val="47"/>
              <w:spacing w:line="400" w:lineRule="exact"/>
              <w:jc w:val="center"/>
              <w:rPr>
                <w:rFonts w:hint="eastAsia"/>
                <w:sz w:val="21"/>
                <w:szCs w:val="21"/>
              </w:rPr>
            </w:pPr>
            <w:r>
              <w:rPr>
                <w:sz w:val="21"/>
                <w:szCs w:val="21"/>
              </w:rPr>
              <w:t>代理服务费</w:t>
            </w:r>
          </w:p>
        </w:tc>
        <w:tc>
          <w:tcPr>
            <w:tcW w:w="7470" w:type="dxa"/>
            <w:gridSpan w:val="2"/>
            <w:tcBorders>
              <w:left w:val="single" w:color="auto" w:sz="4" w:space="0"/>
            </w:tcBorders>
          </w:tcPr>
          <w:p w14:paraId="6CB835BD">
            <w:pPr>
              <w:pStyle w:val="47"/>
              <w:spacing w:before="99" w:line="400" w:lineRule="exact"/>
              <w:ind w:right="76"/>
              <w:jc w:val="both"/>
              <w:rPr>
                <w:rFonts w:hint="eastAsia"/>
                <w:color w:val="000000"/>
                <w:sz w:val="21"/>
                <w:szCs w:val="21"/>
                <w:lang w:val="en-US" w:bidi="ar"/>
              </w:rPr>
            </w:pPr>
            <w:r>
              <w:rPr>
                <w:rFonts w:hint="eastAsia"/>
                <w:spacing w:val="-5"/>
                <w:sz w:val="21"/>
                <w:szCs w:val="21"/>
              </w:rPr>
              <w:t>代理服务费的收取及支付方法由甲乙双方参照豫招协[2023]002号文《河南省招标代理服务收费指导意见》收取。凭中标通知书原件与采购人签订合同协议书。</w:t>
            </w:r>
          </w:p>
        </w:tc>
      </w:tr>
      <w:tr w14:paraId="334A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384" w:type="dxa"/>
            <w:gridSpan w:val="2"/>
            <w:tcBorders>
              <w:right w:val="single" w:color="auto" w:sz="4" w:space="0"/>
            </w:tcBorders>
            <w:vAlign w:val="center"/>
          </w:tcPr>
          <w:p w14:paraId="7E98BFA3">
            <w:pPr>
              <w:pStyle w:val="47"/>
              <w:spacing w:before="99" w:line="400" w:lineRule="exact"/>
              <w:ind w:left="106" w:right="76"/>
              <w:jc w:val="center"/>
              <w:rPr>
                <w:rFonts w:hint="eastAsia"/>
                <w:spacing w:val="-3"/>
                <w:sz w:val="21"/>
                <w:szCs w:val="21"/>
                <w:lang w:val="en-US"/>
              </w:rPr>
            </w:pPr>
            <w:r>
              <w:rPr>
                <w:rFonts w:hint="eastAsia" w:ascii="宋体" w:hAnsi="宋体" w:eastAsia="宋体" w:cs="宋体"/>
                <w:sz w:val="21"/>
                <w:szCs w:val="21"/>
                <w:lang w:eastAsia="zh-CN"/>
              </w:rPr>
              <w:t>预算价（</w:t>
            </w:r>
            <w:r>
              <w:rPr>
                <w:rFonts w:hint="eastAsia" w:ascii="宋体" w:hAnsi="宋体" w:eastAsia="宋体" w:cs="宋体"/>
                <w:sz w:val="21"/>
                <w:szCs w:val="21"/>
                <w:lang w:val="en-US" w:eastAsia="zh-CN"/>
              </w:rPr>
              <w:t>最高限价</w:t>
            </w:r>
            <w:r>
              <w:rPr>
                <w:rFonts w:hint="eastAsia" w:ascii="宋体" w:hAnsi="宋体" w:eastAsia="宋体" w:cs="宋体"/>
                <w:sz w:val="21"/>
                <w:szCs w:val="21"/>
                <w:lang w:eastAsia="zh-CN"/>
              </w:rPr>
              <w:t>）</w:t>
            </w:r>
          </w:p>
        </w:tc>
        <w:tc>
          <w:tcPr>
            <w:tcW w:w="7470" w:type="dxa"/>
            <w:gridSpan w:val="2"/>
            <w:tcBorders>
              <w:left w:val="single" w:color="auto" w:sz="4" w:space="0"/>
            </w:tcBorders>
            <w:vAlign w:val="center"/>
          </w:tcPr>
          <w:p w14:paraId="44FCCCAC">
            <w:pPr>
              <w:pStyle w:val="47"/>
              <w:spacing w:before="99"/>
              <w:ind w:left="106" w:right="76"/>
              <w:rPr>
                <w:rFonts w:hint="default" w:eastAsia="宋体"/>
                <w:spacing w:val="-3"/>
                <w:sz w:val="21"/>
                <w:szCs w:val="21"/>
                <w:u w:val="single"/>
                <w:lang w:val="en-US" w:eastAsia="zh-CN"/>
              </w:rPr>
            </w:pPr>
            <w:r>
              <w:rPr>
                <w:rFonts w:hint="eastAsia"/>
                <w:spacing w:val="-3"/>
                <w:sz w:val="21"/>
                <w:szCs w:val="21"/>
              </w:rPr>
              <w:t>大写：</w:t>
            </w:r>
            <w:r>
              <w:rPr>
                <w:rFonts w:hint="eastAsia"/>
                <w:spacing w:val="-3"/>
                <w:sz w:val="21"/>
                <w:szCs w:val="21"/>
                <w:u w:val="single"/>
                <w:lang w:val="en-US" w:eastAsia="zh-CN"/>
              </w:rPr>
              <w:t xml:space="preserve">壹佰贰拾捌万元整 </w:t>
            </w:r>
          </w:p>
          <w:p w14:paraId="3144B116">
            <w:pPr>
              <w:pStyle w:val="47"/>
              <w:spacing w:before="99"/>
              <w:ind w:left="106" w:right="76"/>
              <w:rPr>
                <w:rFonts w:hint="eastAsia"/>
                <w:spacing w:val="-3"/>
                <w:sz w:val="21"/>
                <w:szCs w:val="21"/>
                <w:lang w:val="en-US"/>
              </w:rPr>
            </w:pPr>
            <w:r>
              <w:rPr>
                <w:rFonts w:hint="eastAsia"/>
                <w:spacing w:val="-3"/>
                <w:sz w:val="21"/>
                <w:szCs w:val="21"/>
              </w:rPr>
              <w:t>小写：</w:t>
            </w:r>
            <w:r>
              <w:rPr>
                <w:rFonts w:hint="eastAsia"/>
                <w:spacing w:val="-3"/>
                <w:sz w:val="21"/>
                <w:szCs w:val="21"/>
                <w:lang w:val="en-US" w:eastAsia="zh-CN"/>
              </w:rPr>
              <w:t>1280000</w:t>
            </w:r>
            <w:r>
              <w:rPr>
                <w:rFonts w:hint="eastAsia"/>
                <w:spacing w:val="-3"/>
                <w:sz w:val="21"/>
                <w:szCs w:val="21"/>
                <w:lang w:val="en-US"/>
              </w:rPr>
              <w:t>元</w:t>
            </w:r>
          </w:p>
        </w:tc>
      </w:tr>
      <w:tr w14:paraId="1AD9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384" w:type="dxa"/>
            <w:gridSpan w:val="2"/>
            <w:tcBorders>
              <w:right w:val="single" w:color="auto" w:sz="4" w:space="0"/>
            </w:tcBorders>
            <w:vAlign w:val="center"/>
          </w:tcPr>
          <w:p w14:paraId="4780A571">
            <w:pPr>
              <w:pStyle w:val="47"/>
              <w:spacing w:before="99" w:line="400" w:lineRule="exact"/>
              <w:ind w:right="76"/>
              <w:jc w:val="center"/>
              <w:rPr>
                <w:rFonts w:hint="eastAsia"/>
                <w:spacing w:val="-3"/>
                <w:sz w:val="21"/>
                <w:szCs w:val="21"/>
                <w:lang w:val="en-US"/>
              </w:rPr>
            </w:pPr>
            <w:r>
              <w:rPr>
                <w:rFonts w:hint="eastAsia"/>
                <w:spacing w:val="-3"/>
                <w:sz w:val="21"/>
                <w:szCs w:val="21"/>
                <w:lang w:val="en-US"/>
              </w:rPr>
              <w:t>履约保证金</w:t>
            </w:r>
          </w:p>
        </w:tc>
        <w:tc>
          <w:tcPr>
            <w:tcW w:w="7470" w:type="dxa"/>
            <w:gridSpan w:val="2"/>
            <w:tcBorders>
              <w:left w:val="single" w:color="auto" w:sz="4" w:space="0"/>
            </w:tcBorders>
            <w:vAlign w:val="center"/>
          </w:tcPr>
          <w:p w14:paraId="2D57C2CF">
            <w:pPr>
              <w:pStyle w:val="47"/>
              <w:spacing w:before="99" w:line="400" w:lineRule="exact"/>
              <w:ind w:right="76"/>
              <w:jc w:val="both"/>
              <w:rPr>
                <w:rFonts w:hint="eastAsia"/>
                <w:spacing w:val="-3"/>
                <w:sz w:val="21"/>
                <w:szCs w:val="21"/>
                <w:lang w:val="en-US"/>
              </w:rPr>
            </w:pPr>
            <w:r>
              <w:rPr>
                <w:rFonts w:hint="eastAsia"/>
                <w:spacing w:val="-3"/>
                <w:sz w:val="21"/>
                <w:szCs w:val="21"/>
                <w:lang w:val="en-US"/>
              </w:rPr>
              <w:t>无</w:t>
            </w:r>
          </w:p>
        </w:tc>
      </w:tr>
      <w:tr w14:paraId="1401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384" w:type="dxa"/>
            <w:gridSpan w:val="2"/>
            <w:tcBorders>
              <w:right w:val="single" w:color="auto" w:sz="4" w:space="0"/>
            </w:tcBorders>
            <w:vAlign w:val="center"/>
          </w:tcPr>
          <w:p w14:paraId="1BCA0DE2">
            <w:pPr>
              <w:pStyle w:val="47"/>
              <w:spacing w:line="400" w:lineRule="exact"/>
              <w:jc w:val="center"/>
              <w:rPr>
                <w:rFonts w:hint="eastAsia"/>
                <w:sz w:val="21"/>
                <w:szCs w:val="21"/>
              </w:rPr>
            </w:pPr>
            <w:r>
              <w:rPr>
                <w:sz w:val="21"/>
                <w:szCs w:val="21"/>
              </w:rPr>
              <w:t>付款方式</w:t>
            </w:r>
          </w:p>
        </w:tc>
        <w:tc>
          <w:tcPr>
            <w:tcW w:w="7470" w:type="dxa"/>
            <w:gridSpan w:val="2"/>
            <w:tcBorders>
              <w:left w:val="single" w:color="auto" w:sz="4" w:space="0"/>
            </w:tcBorders>
            <w:vAlign w:val="center"/>
          </w:tcPr>
          <w:p w14:paraId="3183452F">
            <w:pPr>
              <w:pStyle w:val="47"/>
              <w:spacing w:line="400" w:lineRule="exact"/>
              <w:jc w:val="both"/>
              <w:rPr>
                <w:rFonts w:hint="eastAsia"/>
                <w:sz w:val="21"/>
                <w:szCs w:val="21"/>
              </w:rPr>
            </w:pPr>
            <w:r>
              <w:rPr>
                <w:sz w:val="21"/>
                <w:szCs w:val="21"/>
              </w:rPr>
              <w:t>按进度支付，具体内容双方在合同里自行约定。</w:t>
            </w:r>
          </w:p>
        </w:tc>
      </w:tr>
      <w:tr w14:paraId="7EC9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384" w:type="dxa"/>
            <w:gridSpan w:val="2"/>
            <w:tcBorders>
              <w:right w:val="single" w:color="auto" w:sz="4" w:space="0"/>
            </w:tcBorders>
            <w:vAlign w:val="center"/>
          </w:tcPr>
          <w:p w14:paraId="289796F3">
            <w:pPr>
              <w:pStyle w:val="47"/>
              <w:spacing w:line="400" w:lineRule="exact"/>
              <w:jc w:val="center"/>
              <w:rPr>
                <w:rFonts w:hint="eastAsia"/>
                <w:color w:val="auto"/>
                <w:sz w:val="21"/>
                <w:szCs w:val="21"/>
                <w:lang w:val="en-US"/>
              </w:rPr>
            </w:pPr>
            <w:r>
              <w:rPr>
                <w:rFonts w:hint="eastAsia"/>
                <w:color w:val="auto"/>
                <w:sz w:val="21"/>
                <w:szCs w:val="21"/>
                <w:lang w:val="en-US"/>
              </w:rPr>
              <w:t>其他</w:t>
            </w:r>
          </w:p>
        </w:tc>
        <w:tc>
          <w:tcPr>
            <w:tcW w:w="7470" w:type="dxa"/>
            <w:gridSpan w:val="2"/>
            <w:tcBorders>
              <w:left w:val="single" w:color="auto" w:sz="4" w:space="0"/>
            </w:tcBorders>
            <w:vAlign w:val="center"/>
          </w:tcPr>
          <w:p w14:paraId="5A86C1E4">
            <w:pPr>
              <w:pStyle w:val="47"/>
              <w:spacing w:line="400" w:lineRule="exact"/>
              <w:rPr>
                <w:rFonts w:hint="eastAsia"/>
                <w:color w:val="auto"/>
                <w:sz w:val="21"/>
                <w:szCs w:val="21"/>
                <w:lang w:val="en-US"/>
              </w:rPr>
            </w:pPr>
            <w:r>
              <w:rPr>
                <w:rFonts w:hint="eastAsia"/>
                <w:color w:val="auto"/>
                <w:sz w:val="21"/>
                <w:szCs w:val="21"/>
                <w:lang w:val="en-US"/>
              </w:rPr>
              <w:t>中小微企业供应商在参与政府采购活动中，中标成交后可以持政府采购合同向融资机构申请贷款。供应商在新县政府采购网“河南省政府采购合同融资平台”获取融资渠道和方式。《新县政府采购合同融资政策告知函》详见附件。</w:t>
            </w:r>
          </w:p>
        </w:tc>
      </w:tr>
      <w:tr w14:paraId="65AD0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384" w:type="dxa"/>
            <w:gridSpan w:val="2"/>
            <w:tcBorders>
              <w:right w:val="single" w:color="auto" w:sz="4" w:space="0"/>
            </w:tcBorders>
            <w:shd w:val="clear" w:color="auto" w:fill="auto"/>
            <w:vAlign w:val="center"/>
          </w:tcPr>
          <w:p w14:paraId="71F5077A">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center"/>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其他补充内容</w:t>
            </w:r>
          </w:p>
        </w:tc>
        <w:tc>
          <w:tcPr>
            <w:tcW w:w="7470" w:type="dxa"/>
            <w:gridSpan w:val="2"/>
            <w:tcBorders>
              <w:left w:val="single" w:color="auto" w:sz="4" w:space="0"/>
            </w:tcBorders>
            <w:shd w:val="clear" w:color="auto" w:fill="auto"/>
            <w:vAlign w:val="center"/>
          </w:tcPr>
          <w:p w14:paraId="7CA9927A">
            <w:pPr>
              <w:keepNext w:val="0"/>
              <w:keepLines w:val="0"/>
              <w:pageBreakBefore w:val="0"/>
              <w:kinsoku/>
              <w:wordWrap/>
              <w:overflowPunct/>
              <w:topLinePunct w:val="0"/>
              <w:autoSpaceDE w:val="0"/>
              <w:autoSpaceDN w:val="0"/>
              <w:bidi w:val="0"/>
              <w:adjustRightInd w:val="0"/>
              <w:spacing w:line="240" w:lineRule="auto"/>
              <w:ind w:left="0" w:leftChars="0" w:firstLine="0" w:firstLineChars="0"/>
              <w:jc w:val="both"/>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文件制作机器码、文件创建标识码有相同的按废标处理。</w:t>
            </w:r>
          </w:p>
        </w:tc>
      </w:tr>
    </w:tbl>
    <w:p w14:paraId="545EC660">
      <w:pPr>
        <w:adjustRightInd w:val="0"/>
        <w:snapToGrid w:val="0"/>
        <w:spacing w:line="360" w:lineRule="auto"/>
        <w:rPr>
          <w:rFonts w:hint="eastAsia" w:ascii="宋体" w:hAnsi="宋体"/>
          <w:b/>
          <w:bCs/>
          <w:color w:val="000000"/>
          <w:szCs w:val="21"/>
        </w:rPr>
      </w:pPr>
    </w:p>
    <w:p w14:paraId="1AD4726C">
      <w:pPr>
        <w:pStyle w:val="46"/>
        <w:tabs>
          <w:tab w:val="left" w:pos="1040"/>
        </w:tabs>
        <w:spacing w:before="67"/>
        <w:ind w:left="0" w:firstLine="723" w:firstLineChars="300"/>
        <w:rPr>
          <w:b/>
          <w:bCs/>
          <w:sz w:val="24"/>
        </w:rPr>
      </w:pPr>
      <w:r>
        <w:rPr>
          <w:rFonts w:hint="eastAsia"/>
          <w:b/>
          <w:bCs/>
          <w:sz w:val="24"/>
          <w:lang w:val="en-US"/>
        </w:rPr>
        <w:t>1.</w:t>
      </w:r>
      <w:r>
        <w:rPr>
          <w:b/>
          <w:bCs/>
          <w:sz w:val="24"/>
        </w:rPr>
        <w:t>总则</w:t>
      </w:r>
    </w:p>
    <w:p w14:paraId="39725139">
      <w:pPr>
        <w:pStyle w:val="46"/>
        <w:numPr>
          <w:ilvl w:val="1"/>
          <w:numId w:val="2"/>
        </w:numPr>
        <w:tabs>
          <w:tab w:val="left" w:pos="1160"/>
        </w:tabs>
        <w:spacing w:before="160"/>
        <w:rPr>
          <w:b/>
          <w:bCs/>
          <w:sz w:val="24"/>
        </w:rPr>
      </w:pPr>
      <w:bookmarkStart w:id="39" w:name="1.1_适用范围"/>
      <w:bookmarkEnd w:id="39"/>
      <w:r>
        <w:rPr>
          <w:b/>
          <w:bCs/>
          <w:sz w:val="24"/>
        </w:rPr>
        <w:t>适用范围</w:t>
      </w:r>
    </w:p>
    <w:p w14:paraId="0A8185A6">
      <w:pPr>
        <w:pStyle w:val="46"/>
        <w:numPr>
          <w:ilvl w:val="0"/>
          <w:numId w:val="0"/>
        </w:numPr>
        <w:tabs>
          <w:tab w:val="left" w:pos="1820"/>
        </w:tabs>
        <w:spacing w:before="161" w:line="364" w:lineRule="auto"/>
        <w:ind w:left="660" w:leftChars="0" w:right="669" w:rightChars="0"/>
        <w:rPr>
          <w:sz w:val="24"/>
        </w:rPr>
      </w:pPr>
      <w:r>
        <w:rPr>
          <w:rFonts w:hint="eastAsia"/>
          <w:spacing w:val="-1"/>
          <w:sz w:val="24"/>
          <w:lang w:val="en-US" w:eastAsia="zh-CN"/>
        </w:rPr>
        <w:t>1.1.1</w:t>
      </w:r>
      <w:r>
        <w:rPr>
          <w:spacing w:val="-1"/>
          <w:sz w:val="24"/>
        </w:rPr>
        <w:t xml:space="preserve">根据《中华人民共和国政府采购法》等有关法律、法规和规章的规定， </w:t>
      </w:r>
      <w:r>
        <w:rPr>
          <w:sz w:val="24"/>
        </w:rPr>
        <w:t>编制本项目磋商文件。</w:t>
      </w:r>
    </w:p>
    <w:p w14:paraId="2037D750">
      <w:pPr>
        <w:pStyle w:val="46"/>
        <w:numPr>
          <w:ilvl w:val="1"/>
          <w:numId w:val="2"/>
        </w:numPr>
        <w:tabs>
          <w:tab w:val="left" w:pos="1160"/>
        </w:tabs>
        <w:rPr>
          <w:b/>
          <w:bCs/>
          <w:sz w:val="24"/>
        </w:rPr>
      </w:pPr>
      <w:bookmarkStart w:id="40" w:name="1.2_采购项目说明"/>
      <w:bookmarkEnd w:id="40"/>
      <w:r>
        <w:rPr>
          <w:b/>
          <w:bCs/>
          <w:sz w:val="24"/>
        </w:rPr>
        <w:t>采购项目说明</w:t>
      </w:r>
    </w:p>
    <w:p w14:paraId="0A0B2AD0">
      <w:pPr>
        <w:pageBreakBefore w:val="0"/>
        <w:kinsoku/>
        <w:wordWrap/>
        <w:overflowPunct/>
        <w:topLinePunct w:val="0"/>
        <w:bidi w:val="0"/>
        <w:snapToGrid/>
        <w:spacing w:line="400" w:lineRule="exact"/>
        <w:ind w:left="0" w:leftChars="0" w:firstLine="720" w:firstLineChars="300"/>
        <w:textAlignment w:val="auto"/>
        <w:rPr>
          <w:rFonts w:hint="eastAsia" w:ascii="宋体" w:hAnsi="宋体" w:eastAsia="宋体" w:cs="宋体"/>
          <w:color w:val="auto"/>
          <w:sz w:val="24"/>
          <w:szCs w:val="24"/>
          <w:highlight w:val="none"/>
        </w:rPr>
      </w:pPr>
      <w:bookmarkStart w:id="41" w:name="1.3_定义及解释"/>
      <w:bookmarkEnd w:id="4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采购人：见投标人须知前附表。</w:t>
      </w:r>
    </w:p>
    <w:p w14:paraId="0FDF9B86">
      <w:pPr>
        <w:pageBreakBefore w:val="0"/>
        <w:kinsoku/>
        <w:wordWrap/>
        <w:overflowPunct/>
        <w:topLinePunct w:val="0"/>
        <w:bidi w:val="0"/>
        <w:snapToGrid/>
        <w:spacing w:line="400" w:lineRule="exac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采购代理机构：见投标人须知前附表。</w:t>
      </w:r>
    </w:p>
    <w:p w14:paraId="792B2D75">
      <w:pPr>
        <w:pageBreakBefore w:val="0"/>
        <w:kinsoku/>
        <w:wordWrap/>
        <w:overflowPunct/>
        <w:topLinePunct w:val="0"/>
        <w:bidi w:val="0"/>
        <w:snapToGrid/>
        <w:spacing w:line="400" w:lineRule="exac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项目名称：见投标人须知前附表。</w:t>
      </w:r>
    </w:p>
    <w:p w14:paraId="56866A13">
      <w:pPr>
        <w:pageBreakBefore w:val="0"/>
        <w:kinsoku/>
        <w:wordWrap/>
        <w:overflowPunct/>
        <w:topLinePunct w:val="0"/>
        <w:bidi w:val="0"/>
        <w:snapToGrid/>
        <w:spacing w:line="400" w:lineRule="exac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招标方式：见投标人须知前附表。</w:t>
      </w:r>
    </w:p>
    <w:p w14:paraId="79C20B1A">
      <w:pPr>
        <w:pageBreakBefore w:val="0"/>
        <w:kinsoku/>
        <w:wordWrap/>
        <w:overflowPunct/>
        <w:topLinePunct w:val="0"/>
        <w:bidi w:val="0"/>
        <w:snapToGrid/>
        <w:spacing w:line="400" w:lineRule="exac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预算价（最高限价）：见投标人须知前附表。</w:t>
      </w:r>
    </w:p>
    <w:p w14:paraId="42BCB1D6">
      <w:pPr>
        <w:pStyle w:val="46"/>
        <w:numPr>
          <w:ilvl w:val="1"/>
          <w:numId w:val="2"/>
        </w:numPr>
        <w:tabs>
          <w:tab w:val="left" w:pos="1160"/>
        </w:tabs>
        <w:spacing w:before="161"/>
        <w:rPr>
          <w:b/>
          <w:bCs/>
          <w:sz w:val="24"/>
        </w:rPr>
      </w:pPr>
      <w:r>
        <w:rPr>
          <w:b/>
          <w:bCs/>
          <w:sz w:val="24"/>
        </w:rPr>
        <w:t>定义及解释</w:t>
      </w:r>
    </w:p>
    <w:p w14:paraId="6657A7F1">
      <w:pPr>
        <w:pStyle w:val="46"/>
        <w:numPr>
          <w:ilvl w:val="2"/>
          <w:numId w:val="2"/>
        </w:numPr>
        <w:spacing w:before="160"/>
        <w:ind w:left="1100" w:leftChars="0" w:hanging="440" w:firstLineChars="0"/>
        <w:rPr>
          <w:sz w:val="24"/>
        </w:rPr>
      </w:pPr>
      <w:r>
        <w:rPr>
          <w:sz w:val="24"/>
        </w:rPr>
        <w:t>采购人：依法进行政府采购的国家机关、事业单位、团体组织。</w:t>
      </w:r>
    </w:p>
    <w:p w14:paraId="32D7C00E">
      <w:pPr>
        <w:pStyle w:val="46"/>
        <w:numPr>
          <w:ilvl w:val="2"/>
          <w:numId w:val="2"/>
        </w:numPr>
        <w:tabs>
          <w:tab w:val="left" w:pos="660"/>
        </w:tabs>
        <w:spacing w:before="161" w:line="364" w:lineRule="auto"/>
        <w:ind w:left="878" w:leftChars="300" w:right="669" w:hanging="218" w:hangingChars="92"/>
        <w:rPr>
          <w:sz w:val="24"/>
        </w:rPr>
      </w:pPr>
      <w:r>
        <w:rPr>
          <w:spacing w:val="-1"/>
          <w:sz w:val="24"/>
        </w:rPr>
        <w:t>采购代理机构：取得政府采购招标代理资质，受采购人委托组织招标活</w:t>
      </w:r>
      <w:r>
        <w:rPr>
          <w:sz w:val="24"/>
        </w:rPr>
        <w:t>动的社会中介组织。</w:t>
      </w:r>
    </w:p>
    <w:p w14:paraId="032EFDAC">
      <w:pPr>
        <w:pStyle w:val="46"/>
        <w:numPr>
          <w:ilvl w:val="2"/>
          <w:numId w:val="2"/>
        </w:numPr>
        <w:tabs>
          <w:tab w:val="left" w:pos="660"/>
        </w:tabs>
        <w:spacing w:line="364" w:lineRule="auto"/>
        <w:ind w:left="878" w:leftChars="300" w:right="669" w:hanging="218" w:hangingChars="92"/>
        <w:rPr>
          <w:sz w:val="24"/>
        </w:rPr>
      </w:pPr>
      <w:r>
        <w:rPr>
          <w:spacing w:val="-1"/>
          <w:sz w:val="24"/>
        </w:rPr>
        <w:t>服务：系指根据本磋商文件规定供应商须承担的服务以及其他类似的义</w:t>
      </w:r>
      <w:r>
        <w:rPr>
          <w:sz w:val="24"/>
        </w:rPr>
        <w:t>务等。</w:t>
      </w:r>
    </w:p>
    <w:p w14:paraId="1157D058">
      <w:pPr>
        <w:pStyle w:val="46"/>
        <w:numPr>
          <w:ilvl w:val="2"/>
          <w:numId w:val="2"/>
        </w:numPr>
        <w:tabs>
          <w:tab w:val="left" w:pos="660"/>
        </w:tabs>
        <w:spacing w:line="364" w:lineRule="auto"/>
        <w:ind w:left="878" w:leftChars="300" w:right="669" w:hanging="218" w:hangingChars="92"/>
        <w:rPr>
          <w:sz w:val="24"/>
        </w:rPr>
      </w:pPr>
      <w:r>
        <w:rPr>
          <w:spacing w:val="-1"/>
          <w:sz w:val="24"/>
        </w:rPr>
        <w:t>供应商：供应商是响应磋商文件、参加磋商竞争的中华人民共和国境内</w:t>
      </w:r>
      <w:r>
        <w:rPr>
          <w:sz w:val="24"/>
        </w:rPr>
        <w:t>的法人、其它组织。</w:t>
      </w:r>
    </w:p>
    <w:p w14:paraId="467E42D7">
      <w:pPr>
        <w:pStyle w:val="46"/>
        <w:numPr>
          <w:ilvl w:val="2"/>
          <w:numId w:val="2"/>
        </w:numPr>
        <w:tabs>
          <w:tab w:val="left" w:pos="660"/>
        </w:tabs>
        <w:ind w:left="880" w:leftChars="300" w:hanging="220" w:hangingChars="92"/>
        <w:rPr>
          <w:sz w:val="24"/>
        </w:rPr>
      </w:pPr>
      <w:r>
        <w:rPr>
          <w:sz w:val="24"/>
        </w:rPr>
        <w:t>响应文件：指供应商根据磋商文件提交的所有文件。</w:t>
      </w:r>
    </w:p>
    <w:p w14:paraId="6E3BC9A0">
      <w:pPr>
        <w:pStyle w:val="46"/>
        <w:numPr>
          <w:ilvl w:val="2"/>
          <w:numId w:val="2"/>
        </w:numPr>
        <w:tabs>
          <w:tab w:val="left" w:pos="660"/>
        </w:tabs>
        <w:spacing w:before="161" w:line="364" w:lineRule="auto"/>
        <w:ind w:left="878" w:leftChars="300" w:right="669" w:hanging="218" w:hangingChars="92"/>
        <w:rPr>
          <w:sz w:val="24"/>
        </w:rPr>
      </w:pPr>
      <w:r>
        <w:rPr>
          <w:spacing w:val="-1"/>
          <w:sz w:val="24"/>
        </w:rPr>
        <w:t>磋商小组：依据《中华人民共和国政府采购法》及有关法律、法规的规</w:t>
      </w:r>
      <w:r>
        <w:rPr>
          <w:sz w:val="24"/>
        </w:rPr>
        <w:t>定依法组建的专门负责本次评标工作的临时机构。</w:t>
      </w:r>
    </w:p>
    <w:p w14:paraId="2E845FB5">
      <w:pPr>
        <w:pStyle w:val="46"/>
        <w:numPr>
          <w:ilvl w:val="2"/>
          <w:numId w:val="2"/>
        </w:numPr>
        <w:tabs>
          <w:tab w:val="left" w:pos="660"/>
        </w:tabs>
        <w:spacing w:line="364" w:lineRule="auto"/>
        <w:ind w:left="878" w:leftChars="300" w:right="669" w:hanging="218" w:hangingChars="92"/>
        <w:rPr>
          <w:sz w:val="24"/>
        </w:rPr>
      </w:pPr>
      <w:r>
        <w:rPr>
          <w:spacing w:val="-1"/>
          <w:sz w:val="24"/>
        </w:rPr>
        <w:t>偏离：响应文件的响应相对于磋商文件要求的偏差，该偏差优于磋商文</w:t>
      </w:r>
      <w:r>
        <w:rPr>
          <w:sz w:val="24"/>
        </w:rPr>
        <w:t>件要求的为正偏离；劣于的，为负偏离。</w:t>
      </w:r>
    </w:p>
    <w:p w14:paraId="2BE79643">
      <w:pPr>
        <w:pStyle w:val="46"/>
        <w:numPr>
          <w:ilvl w:val="2"/>
          <w:numId w:val="2"/>
        </w:numPr>
        <w:tabs>
          <w:tab w:val="left" w:pos="1320"/>
        </w:tabs>
        <w:ind w:left="880" w:leftChars="300" w:hanging="220" w:hangingChars="92"/>
        <w:rPr>
          <w:sz w:val="24"/>
        </w:rPr>
      </w:pPr>
      <w:r>
        <w:rPr>
          <w:sz w:val="24"/>
        </w:rPr>
        <w:t>“日期”或“天”：指日历天。</w:t>
      </w:r>
    </w:p>
    <w:p w14:paraId="47D5A497">
      <w:pPr>
        <w:pStyle w:val="46"/>
        <w:numPr>
          <w:ilvl w:val="2"/>
          <w:numId w:val="2"/>
        </w:numPr>
        <w:tabs>
          <w:tab w:val="left" w:pos="660"/>
        </w:tabs>
        <w:spacing w:before="161"/>
        <w:ind w:left="880" w:leftChars="300" w:hanging="220" w:hangingChars="92"/>
        <w:rPr>
          <w:sz w:val="24"/>
        </w:rPr>
      </w:pPr>
      <w:r>
        <w:rPr>
          <w:sz w:val="24"/>
        </w:rPr>
        <w:t>合同：指依据本次服务采购招标结果签订的协议或合约文件。</w:t>
      </w:r>
    </w:p>
    <w:p w14:paraId="4D53655C">
      <w:pPr>
        <w:pStyle w:val="46"/>
        <w:numPr>
          <w:ilvl w:val="2"/>
          <w:numId w:val="2"/>
        </w:numPr>
        <w:tabs>
          <w:tab w:val="left" w:pos="1320"/>
        </w:tabs>
        <w:spacing w:before="160" w:line="364" w:lineRule="auto"/>
        <w:ind w:left="867" w:leftChars="300" w:right="669" w:hanging="207" w:hangingChars="92"/>
        <w:rPr>
          <w:sz w:val="24"/>
        </w:rPr>
      </w:pPr>
      <w:r>
        <w:rPr>
          <w:spacing w:val="-7"/>
          <w:sz w:val="24"/>
        </w:rPr>
        <w:t>磋商文件中的标题或题名仅起引导作用，而不应视为对磋商文件内容的</w:t>
      </w:r>
      <w:r>
        <w:rPr>
          <w:sz w:val="24"/>
        </w:rPr>
        <w:t>理解和解释。</w:t>
      </w:r>
    </w:p>
    <w:p w14:paraId="1611F91E">
      <w:pPr>
        <w:pStyle w:val="46"/>
        <w:numPr>
          <w:ilvl w:val="1"/>
          <w:numId w:val="2"/>
        </w:numPr>
        <w:tabs>
          <w:tab w:val="left" w:pos="1160"/>
        </w:tabs>
        <w:ind w:left="882" w:leftChars="300" w:hanging="222" w:hangingChars="92"/>
        <w:rPr>
          <w:b/>
          <w:bCs/>
          <w:sz w:val="24"/>
        </w:rPr>
      </w:pPr>
      <w:bookmarkStart w:id="42" w:name="1.4_采购内容及标段划分和质量要求"/>
      <w:bookmarkEnd w:id="42"/>
      <w:r>
        <w:rPr>
          <w:b/>
          <w:bCs/>
          <w:sz w:val="24"/>
        </w:rPr>
        <w:t>采购内容及标段划分和质量要求</w:t>
      </w:r>
    </w:p>
    <w:p w14:paraId="0302671C">
      <w:pPr>
        <w:pageBreakBefore w:val="0"/>
        <w:kinsoku/>
        <w:wordWrap/>
        <w:overflowPunct/>
        <w:topLinePunct w:val="0"/>
        <w:bidi w:val="0"/>
        <w:snapToGrid w:val="0"/>
        <w:spacing w:line="360" w:lineRule="auto"/>
        <w:ind w:left="220" w:leftChars="100" w:firstLine="452" w:firstLineChars="200"/>
        <w:textAlignment w:val="auto"/>
        <w:rPr>
          <w:rFonts w:hint="eastAsia" w:ascii="宋体" w:hAnsi="宋体" w:eastAsia="宋体" w:cs="宋体"/>
          <w:spacing w:val="-7"/>
          <w:sz w:val="24"/>
          <w:szCs w:val="22"/>
          <w:lang w:val="zh-CN" w:eastAsia="zh-CN" w:bidi="zh-CN"/>
        </w:rPr>
      </w:pPr>
      <w:bookmarkStart w:id="43" w:name="1.5_供应商资质条件和能力"/>
      <w:bookmarkEnd w:id="43"/>
      <w:r>
        <w:rPr>
          <w:rFonts w:hint="eastAsia" w:ascii="宋体" w:hAnsi="宋体" w:eastAsia="宋体" w:cs="宋体"/>
          <w:spacing w:val="-7"/>
          <w:sz w:val="24"/>
          <w:szCs w:val="22"/>
          <w:lang w:val="zh-CN" w:eastAsia="zh-CN" w:bidi="zh-CN"/>
        </w:rPr>
        <w:t>1.4.1 本次招标内容：见供应商须知前附表。</w:t>
      </w:r>
    </w:p>
    <w:p w14:paraId="0FD1B4FE">
      <w:pPr>
        <w:pageBreakBefore w:val="0"/>
        <w:kinsoku/>
        <w:wordWrap/>
        <w:overflowPunct/>
        <w:topLinePunct w:val="0"/>
        <w:bidi w:val="0"/>
        <w:snapToGrid w:val="0"/>
        <w:spacing w:line="360" w:lineRule="auto"/>
        <w:ind w:firstLine="678" w:firstLineChars="300"/>
        <w:textAlignment w:val="auto"/>
        <w:rPr>
          <w:rFonts w:hint="eastAsia" w:ascii="宋体" w:hAnsi="宋体" w:eastAsia="宋体" w:cs="宋体"/>
          <w:spacing w:val="-7"/>
          <w:sz w:val="24"/>
          <w:szCs w:val="22"/>
          <w:lang w:val="zh-CN" w:eastAsia="zh-CN" w:bidi="zh-CN"/>
        </w:rPr>
      </w:pPr>
      <w:r>
        <w:rPr>
          <w:rFonts w:hint="eastAsia" w:ascii="宋体" w:hAnsi="宋体" w:eastAsia="宋体" w:cs="宋体"/>
          <w:spacing w:val="-7"/>
          <w:sz w:val="24"/>
          <w:szCs w:val="22"/>
          <w:lang w:val="zh-CN" w:eastAsia="zh-CN" w:bidi="zh-CN"/>
        </w:rPr>
        <w:t>1.4.2 本项目的</w:t>
      </w:r>
      <w:r>
        <w:rPr>
          <w:rFonts w:hint="eastAsia" w:cs="宋体"/>
          <w:sz w:val="24"/>
          <w:szCs w:val="24"/>
          <w:lang w:val="en-US" w:eastAsia="zh-CN" w:bidi="ar"/>
        </w:rPr>
        <w:t>合同履行期限</w:t>
      </w:r>
      <w:r>
        <w:rPr>
          <w:rFonts w:hint="eastAsia" w:ascii="宋体" w:hAnsi="宋体" w:eastAsia="宋体" w:cs="宋体"/>
          <w:spacing w:val="-7"/>
          <w:sz w:val="24"/>
          <w:szCs w:val="22"/>
          <w:lang w:val="zh-CN" w:eastAsia="zh-CN" w:bidi="zh-CN"/>
        </w:rPr>
        <w:t>：见供应商须知前附表。</w:t>
      </w:r>
    </w:p>
    <w:p w14:paraId="3AB73061">
      <w:pPr>
        <w:pageBreakBefore w:val="0"/>
        <w:kinsoku/>
        <w:wordWrap/>
        <w:overflowPunct/>
        <w:topLinePunct w:val="0"/>
        <w:bidi w:val="0"/>
        <w:snapToGrid w:val="0"/>
        <w:spacing w:line="360" w:lineRule="auto"/>
        <w:ind w:firstLine="678" w:firstLineChars="300"/>
        <w:textAlignment w:val="auto"/>
        <w:rPr>
          <w:rFonts w:hint="eastAsia" w:ascii="宋体" w:hAnsi="宋体" w:eastAsia="宋体" w:cs="宋体"/>
          <w:spacing w:val="-7"/>
          <w:sz w:val="24"/>
          <w:szCs w:val="22"/>
          <w:lang w:val="zh-CN" w:eastAsia="zh-CN" w:bidi="zh-CN"/>
        </w:rPr>
      </w:pPr>
      <w:r>
        <w:rPr>
          <w:rFonts w:hint="eastAsia" w:ascii="宋体" w:hAnsi="宋体" w:eastAsia="宋体" w:cs="宋体"/>
          <w:spacing w:val="-7"/>
          <w:sz w:val="24"/>
          <w:szCs w:val="22"/>
          <w:lang w:val="zh-CN" w:eastAsia="zh-CN" w:bidi="zh-CN"/>
        </w:rPr>
        <w:t>1.4.</w:t>
      </w:r>
      <w:r>
        <w:rPr>
          <w:rFonts w:hint="eastAsia" w:ascii="宋体" w:hAnsi="宋体" w:eastAsia="宋体" w:cs="宋体"/>
          <w:spacing w:val="-7"/>
          <w:sz w:val="24"/>
          <w:szCs w:val="22"/>
          <w:lang w:val="en-US" w:eastAsia="zh-CN" w:bidi="zh-CN"/>
        </w:rPr>
        <w:t>3</w:t>
      </w:r>
      <w:r>
        <w:rPr>
          <w:rFonts w:hint="eastAsia" w:ascii="宋体" w:hAnsi="宋体" w:eastAsia="宋体" w:cs="宋体"/>
          <w:spacing w:val="-7"/>
          <w:sz w:val="24"/>
          <w:szCs w:val="22"/>
          <w:lang w:val="zh-CN" w:eastAsia="zh-CN" w:bidi="zh-CN"/>
        </w:rPr>
        <w:t>本项目的质量要求：见供应商须知前附表。</w:t>
      </w:r>
    </w:p>
    <w:p w14:paraId="25463BF2">
      <w:pPr>
        <w:pStyle w:val="46"/>
        <w:numPr>
          <w:ilvl w:val="1"/>
          <w:numId w:val="2"/>
        </w:numPr>
        <w:tabs>
          <w:tab w:val="left" w:pos="1160"/>
        </w:tabs>
        <w:spacing w:before="133"/>
        <w:ind w:left="882" w:leftChars="300" w:hanging="222" w:hangingChars="92"/>
        <w:rPr>
          <w:b/>
          <w:bCs/>
          <w:sz w:val="24"/>
        </w:rPr>
      </w:pPr>
      <w:r>
        <w:rPr>
          <w:b/>
          <w:bCs/>
          <w:sz w:val="24"/>
        </w:rPr>
        <w:t>供应商资质条件和能力</w:t>
      </w:r>
    </w:p>
    <w:p w14:paraId="43E4C6E6">
      <w:pPr>
        <w:pStyle w:val="46"/>
        <w:numPr>
          <w:ilvl w:val="2"/>
          <w:numId w:val="2"/>
        </w:numPr>
        <w:tabs>
          <w:tab w:val="left" w:pos="660"/>
        </w:tabs>
        <w:spacing w:before="160"/>
        <w:ind w:left="880" w:leftChars="300" w:hanging="220" w:hangingChars="92"/>
        <w:rPr>
          <w:sz w:val="24"/>
        </w:rPr>
      </w:pPr>
      <w:r>
        <w:rPr>
          <w:sz w:val="24"/>
        </w:rPr>
        <w:t>供应商资质及能力要求：见供应商须知前附表。</w:t>
      </w:r>
    </w:p>
    <w:p w14:paraId="63BC4FA2">
      <w:pPr>
        <w:pStyle w:val="46"/>
        <w:numPr>
          <w:ilvl w:val="2"/>
          <w:numId w:val="2"/>
        </w:numPr>
        <w:tabs>
          <w:tab w:val="left" w:pos="660"/>
        </w:tabs>
        <w:spacing w:before="161"/>
        <w:ind w:left="880" w:leftChars="300" w:hanging="220" w:hangingChars="92"/>
        <w:rPr>
          <w:sz w:val="24"/>
        </w:rPr>
      </w:pPr>
      <w:r>
        <w:rPr>
          <w:sz w:val="24"/>
        </w:rPr>
        <w:t>是否接受联合体：见供应商须知前附表。</w:t>
      </w:r>
    </w:p>
    <w:p w14:paraId="2CC5E0E1">
      <w:pPr>
        <w:pStyle w:val="46"/>
        <w:numPr>
          <w:ilvl w:val="1"/>
          <w:numId w:val="2"/>
        </w:numPr>
        <w:tabs>
          <w:tab w:val="left" w:pos="1160"/>
        </w:tabs>
        <w:spacing w:before="160"/>
        <w:ind w:left="882" w:leftChars="300" w:hanging="222" w:hangingChars="92"/>
        <w:rPr>
          <w:b/>
          <w:bCs/>
          <w:sz w:val="24"/>
        </w:rPr>
      </w:pPr>
      <w:bookmarkStart w:id="44" w:name="1.6_费用承担"/>
      <w:bookmarkEnd w:id="44"/>
      <w:r>
        <w:rPr>
          <w:b/>
          <w:bCs/>
          <w:sz w:val="24"/>
        </w:rPr>
        <w:t>费用承担</w:t>
      </w:r>
    </w:p>
    <w:p w14:paraId="54BE1B99">
      <w:pPr>
        <w:pStyle w:val="3"/>
        <w:spacing w:before="161" w:line="364" w:lineRule="auto"/>
        <w:ind w:left="880" w:leftChars="300" w:right="609" w:hanging="220" w:hangingChars="92"/>
      </w:pPr>
      <w:r>
        <w:t>供应商准备和参加磋商活动发生的费用自理，不论磋商的结果如何，采购人和采购代理机构在任何情况下均无义务和责任承担这些费用。</w:t>
      </w:r>
    </w:p>
    <w:p w14:paraId="13E2A3B4">
      <w:pPr>
        <w:pStyle w:val="46"/>
        <w:numPr>
          <w:ilvl w:val="1"/>
          <w:numId w:val="2"/>
        </w:numPr>
        <w:tabs>
          <w:tab w:val="left" w:pos="1160"/>
        </w:tabs>
        <w:ind w:left="882" w:leftChars="300" w:hanging="222" w:hangingChars="92"/>
        <w:rPr>
          <w:b/>
          <w:bCs/>
          <w:sz w:val="24"/>
        </w:rPr>
      </w:pPr>
      <w:bookmarkStart w:id="45" w:name="1.7_保密"/>
      <w:bookmarkEnd w:id="45"/>
      <w:r>
        <w:rPr>
          <w:b/>
          <w:bCs/>
          <w:sz w:val="24"/>
        </w:rPr>
        <w:t>保密</w:t>
      </w:r>
    </w:p>
    <w:p w14:paraId="1BB0C202">
      <w:pPr>
        <w:pStyle w:val="3"/>
        <w:spacing w:before="160" w:line="364" w:lineRule="auto"/>
        <w:ind w:left="880" w:leftChars="300" w:right="609" w:hanging="220" w:hangingChars="92"/>
      </w:pPr>
      <w:r>
        <w:t>参与磋商活动的各方应对磋商文件和响应文件中的商业和技术等秘密保密，违者应对由此造成的后果承担法律责任。</w:t>
      </w:r>
    </w:p>
    <w:p w14:paraId="513DE061">
      <w:pPr>
        <w:pStyle w:val="46"/>
        <w:numPr>
          <w:ilvl w:val="1"/>
          <w:numId w:val="2"/>
        </w:numPr>
        <w:tabs>
          <w:tab w:val="left" w:pos="1160"/>
        </w:tabs>
        <w:spacing w:before="2"/>
        <w:ind w:left="882" w:leftChars="300" w:hanging="222" w:hangingChars="92"/>
        <w:rPr>
          <w:b/>
          <w:bCs/>
          <w:sz w:val="24"/>
        </w:rPr>
      </w:pPr>
      <w:bookmarkStart w:id="46" w:name="1.8_语言文字"/>
      <w:bookmarkEnd w:id="46"/>
      <w:r>
        <w:rPr>
          <w:b/>
          <w:bCs/>
          <w:sz w:val="24"/>
        </w:rPr>
        <w:t>语言文字</w:t>
      </w:r>
    </w:p>
    <w:p w14:paraId="7F835189">
      <w:pPr>
        <w:pStyle w:val="3"/>
        <w:spacing w:before="160" w:line="364" w:lineRule="auto"/>
        <w:ind w:left="880" w:leftChars="300" w:right="612" w:hanging="220" w:hangingChars="92"/>
      </w:pPr>
      <w:r>
        <w:t>除专用术语外，与磋商有关的语言均使用中文。必要时专用术语应附有中文注释，对不同文字文本响应文件的解释发生异议的，以中文文本为准。</w:t>
      </w:r>
    </w:p>
    <w:p w14:paraId="05BDCDD7">
      <w:pPr>
        <w:pStyle w:val="46"/>
        <w:numPr>
          <w:ilvl w:val="1"/>
          <w:numId w:val="2"/>
        </w:numPr>
        <w:tabs>
          <w:tab w:val="left" w:pos="1160"/>
        </w:tabs>
        <w:ind w:left="882" w:leftChars="300" w:hanging="222" w:hangingChars="92"/>
        <w:rPr>
          <w:b/>
          <w:bCs/>
          <w:sz w:val="24"/>
        </w:rPr>
      </w:pPr>
      <w:bookmarkStart w:id="47" w:name="1.9_计量单位"/>
      <w:bookmarkEnd w:id="47"/>
      <w:r>
        <w:rPr>
          <w:b/>
          <w:bCs/>
          <w:sz w:val="24"/>
        </w:rPr>
        <w:t>计量单位</w:t>
      </w:r>
    </w:p>
    <w:p w14:paraId="3AF8C3F1">
      <w:pPr>
        <w:pStyle w:val="3"/>
        <w:spacing w:before="161"/>
        <w:ind w:left="880" w:leftChars="300" w:hanging="220" w:hangingChars="92"/>
      </w:pPr>
      <w:r>
        <w:t>所有计量均采用中华人民共和国法定计量单位。</w:t>
      </w:r>
    </w:p>
    <w:p w14:paraId="4ED0D70D">
      <w:pPr>
        <w:pStyle w:val="46"/>
        <w:numPr>
          <w:ilvl w:val="1"/>
          <w:numId w:val="2"/>
        </w:numPr>
        <w:tabs>
          <w:tab w:val="left" w:pos="1280"/>
        </w:tabs>
        <w:spacing w:before="160"/>
        <w:ind w:left="882" w:leftChars="300" w:hanging="222" w:hangingChars="92"/>
        <w:jc w:val="both"/>
        <w:rPr>
          <w:b/>
          <w:bCs/>
          <w:sz w:val="24"/>
        </w:rPr>
      </w:pPr>
      <w:bookmarkStart w:id="48" w:name="1.10_预备会"/>
      <w:bookmarkEnd w:id="48"/>
      <w:r>
        <w:rPr>
          <w:b/>
          <w:bCs/>
          <w:sz w:val="24"/>
        </w:rPr>
        <w:t>预备会</w:t>
      </w:r>
    </w:p>
    <w:p w14:paraId="478DF3B7">
      <w:pPr>
        <w:pStyle w:val="46"/>
        <w:numPr>
          <w:ilvl w:val="2"/>
          <w:numId w:val="2"/>
        </w:numPr>
        <w:tabs>
          <w:tab w:val="left" w:pos="880"/>
        </w:tabs>
        <w:spacing w:before="161" w:line="364" w:lineRule="auto"/>
        <w:ind w:left="880" w:leftChars="300" w:right="669" w:hanging="220" w:hangingChars="92"/>
        <w:jc w:val="both"/>
        <w:rPr>
          <w:sz w:val="24"/>
        </w:rPr>
      </w:pPr>
      <w:r>
        <w:rPr>
          <w:sz w:val="24"/>
        </w:rPr>
        <w:t>供应商须知前附表规定召开磋商预备会的，采购人按供应商须知前附表规定的时间和地点召开磋商预备会，澄清供应商提出的问题。</w:t>
      </w:r>
    </w:p>
    <w:p w14:paraId="760D61B7">
      <w:pPr>
        <w:pStyle w:val="46"/>
        <w:numPr>
          <w:ilvl w:val="2"/>
          <w:numId w:val="2"/>
        </w:numPr>
        <w:tabs>
          <w:tab w:val="left" w:pos="1320"/>
        </w:tabs>
        <w:spacing w:line="364" w:lineRule="auto"/>
        <w:ind w:left="880" w:leftChars="300" w:right="669" w:hanging="220" w:hangingChars="92"/>
        <w:jc w:val="both"/>
        <w:rPr>
          <w:sz w:val="24"/>
        </w:rPr>
      </w:pPr>
      <w:r>
        <w:rPr>
          <w:sz w:val="24"/>
        </w:rPr>
        <w:t>供应商应在供应商须知前附表规定的时间前，以书面形式将提出的问题送达采购人，以便采购人在会议期间澄清。</w:t>
      </w:r>
    </w:p>
    <w:p w14:paraId="7756CBAB">
      <w:pPr>
        <w:pStyle w:val="46"/>
        <w:numPr>
          <w:ilvl w:val="2"/>
          <w:numId w:val="2"/>
        </w:numPr>
        <w:tabs>
          <w:tab w:val="left" w:pos="1100"/>
        </w:tabs>
        <w:spacing w:line="364" w:lineRule="auto"/>
        <w:ind w:left="880" w:leftChars="300" w:right="669" w:hanging="220" w:hangingChars="92"/>
        <w:jc w:val="both"/>
        <w:rPr>
          <w:sz w:val="24"/>
        </w:rPr>
      </w:pPr>
      <w:r>
        <w:rPr>
          <w:sz w:val="24"/>
        </w:rPr>
        <w:t>磋商预备会后，采购人在供应商须知前附表规定的时间内，将对供应</w:t>
      </w:r>
      <w:r>
        <w:rPr>
          <w:spacing w:val="-5"/>
          <w:sz w:val="24"/>
        </w:rPr>
        <w:t>商所提问题的澄清，以书面方式通知所有购买磋商文件的供应商。该澄清内容为磋</w:t>
      </w:r>
      <w:r>
        <w:rPr>
          <w:sz w:val="24"/>
        </w:rPr>
        <w:t>商文件的组成部分。</w:t>
      </w:r>
    </w:p>
    <w:p w14:paraId="3C035ECA">
      <w:pPr>
        <w:pStyle w:val="46"/>
        <w:numPr>
          <w:ilvl w:val="1"/>
          <w:numId w:val="2"/>
        </w:numPr>
        <w:tabs>
          <w:tab w:val="left" w:pos="1220"/>
        </w:tabs>
        <w:spacing w:before="2"/>
        <w:ind w:left="882" w:leftChars="300" w:hanging="222" w:hangingChars="92"/>
        <w:jc w:val="both"/>
        <w:rPr>
          <w:b/>
          <w:bCs/>
          <w:sz w:val="24"/>
        </w:rPr>
      </w:pPr>
      <w:bookmarkStart w:id="49" w:name="1.11分包"/>
      <w:bookmarkEnd w:id="49"/>
      <w:r>
        <w:rPr>
          <w:b/>
          <w:bCs/>
          <w:sz w:val="24"/>
        </w:rPr>
        <w:t>分包</w:t>
      </w:r>
    </w:p>
    <w:p w14:paraId="797885A1">
      <w:pPr>
        <w:pStyle w:val="3"/>
        <w:spacing w:before="161"/>
        <w:ind w:left="880" w:leftChars="300" w:hanging="220" w:hangingChars="92"/>
      </w:pPr>
      <w:r>
        <w:t>是否允许分包：见供应商须知前附表。</w:t>
      </w:r>
    </w:p>
    <w:p w14:paraId="5890DE1A">
      <w:pPr>
        <w:pStyle w:val="3"/>
        <w:spacing w:before="4"/>
        <w:ind w:left="844" w:leftChars="300" w:hanging="184" w:hangingChars="92"/>
        <w:rPr>
          <w:sz w:val="20"/>
        </w:rPr>
      </w:pPr>
    </w:p>
    <w:p w14:paraId="4294EC37">
      <w:pPr>
        <w:pStyle w:val="46"/>
        <w:numPr>
          <w:ilvl w:val="0"/>
          <w:numId w:val="2"/>
        </w:numPr>
        <w:tabs>
          <w:tab w:val="left" w:pos="1040"/>
        </w:tabs>
        <w:ind w:left="882" w:leftChars="300" w:hanging="222" w:hangingChars="92"/>
        <w:jc w:val="left"/>
        <w:rPr>
          <w:b/>
          <w:bCs/>
          <w:sz w:val="24"/>
        </w:rPr>
      </w:pPr>
      <w:bookmarkStart w:id="50" w:name="2._磋商文件"/>
      <w:bookmarkEnd w:id="50"/>
      <w:bookmarkStart w:id="51" w:name="_bookmark4"/>
      <w:bookmarkEnd w:id="51"/>
      <w:r>
        <w:rPr>
          <w:b/>
          <w:bCs/>
          <w:sz w:val="24"/>
        </w:rPr>
        <w:t>磋商文件</w:t>
      </w:r>
    </w:p>
    <w:p w14:paraId="656E550C">
      <w:pPr>
        <w:pStyle w:val="46"/>
        <w:numPr>
          <w:ilvl w:val="1"/>
          <w:numId w:val="2"/>
        </w:numPr>
        <w:tabs>
          <w:tab w:val="left" w:pos="1160"/>
        </w:tabs>
        <w:spacing w:before="160" w:line="364" w:lineRule="auto"/>
        <w:ind w:left="880" w:leftChars="300" w:right="6865" w:hanging="220" w:hangingChars="92"/>
        <w:rPr>
          <w:sz w:val="24"/>
        </w:rPr>
      </w:pPr>
      <w:bookmarkStart w:id="52" w:name="2.1_磋商文件的组成"/>
      <w:bookmarkEnd w:id="52"/>
      <w:r>
        <w:rPr>
          <w:sz w:val="24"/>
        </w:rPr>
        <w:t xml:space="preserve">磋商文件的组成 </w:t>
      </w:r>
      <w:r>
        <w:rPr>
          <w:spacing w:val="-3"/>
          <w:sz w:val="24"/>
        </w:rPr>
        <w:t>本磋商文件包括：</w:t>
      </w:r>
    </w:p>
    <w:p w14:paraId="5C0791DB">
      <w:pPr>
        <w:pStyle w:val="46"/>
        <w:numPr>
          <w:ilvl w:val="0"/>
          <w:numId w:val="0"/>
        </w:numPr>
        <w:tabs>
          <w:tab w:val="left" w:pos="880"/>
        </w:tabs>
        <w:ind w:firstLine="480" w:firstLineChars="200"/>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磋商公告；</w:t>
      </w:r>
    </w:p>
    <w:p w14:paraId="498F2071">
      <w:pPr>
        <w:pStyle w:val="46"/>
        <w:numPr>
          <w:ilvl w:val="0"/>
          <w:numId w:val="0"/>
        </w:numPr>
        <w:tabs>
          <w:tab w:val="left" w:pos="1692"/>
        </w:tabs>
        <w:spacing w:before="161"/>
        <w:ind w:leftChars="208"/>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供应商须知；</w:t>
      </w:r>
    </w:p>
    <w:p w14:paraId="74FD5F63">
      <w:pPr>
        <w:pStyle w:val="46"/>
        <w:numPr>
          <w:ilvl w:val="0"/>
          <w:numId w:val="0"/>
        </w:numPr>
        <w:spacing w:before="133"/>
        <w:ind w:firstLine="480" w:firstLineChars="200"/>
        <w:rPr>
          <w:sz w:val="24"/>
        </w:rPr>
      </w:pPr>
      <w:r>
        <w:rPr>
          <w:rFonts w:hint="eastAsia"/>
          <w:sz w:val="24"/>
          <w:lang w:eastAsia="zh-CN"/>
        </w:rPr>
        <w:t>（</w:t>
      </w:r>
      <w:r>
        <w:rPr>
          <w:rFonts w:hint="eastAsia"/>
          <w:sz w:val="24"/>
          <w:lang w:val="en-US" w:eastAsia="zh-CN"/>
        </w:rPr>
        <w:t>3</w:t>
      </w:r>
      <w:r>
        <w:rPr>
          <w:rFonts w:hint="eastAsia"/>
          <w:sz w:val="24"/>
          <w:lang w:eastAsia="zh-CN"/>
        </w:rPr>
        <w:t>）</w:t>
      </w:r>
      <w:r>
        <w:rPr>
          <w:sz w:val="24"/>
        </w:rPr>
        <w:t>评审办法；</w:t>
      </w:r>
    </w:p>
    <w:p w14:paraId="44EAE331">
      <w:pPr>
        <w:pStyle w:val="46"/>
        <w:numPr>
          <w:ilvl w:val="0"/>
          <w:numId w:val="0"/>
        </w:numPr>
        <w:tabs>
          <w:tab w:val="left" w:pos="1692"/>
        </w:tabs>
        <w:spacing w:before="161"/>
        <w:ind w:leftChars="208"/>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）河南省政府采购合同（参考文本）；</w:t>
      </w:r>
    </w:p>
    <w:p w14:paraId="267987B9">
      <w:pPr>
        <w:pStyle w:val="46"/>
        <w:numPr>
          <w:ilvl w:val="0"/>
          <w:numId w:val="0"/>
        </w:numPr>
        <w:tabs>
          <w:tab w:val="left" w:pos="1692"/>
        </w:tabs>
        <w:spacing w:before="161"/>
        <w:ind w:leftChars="208"/>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）采购</w:t>
      </w:r>
      <w:r>
        <w:rPr>
          <w:rFonts w:hint="eastAsia" w:ascii="宋体" w:hAnsi="宋体" w:eastAsia="宋体" w:cs="宋体"/>
          <w:sz w:val="24"/>
          <w:lang w:val="en-US" w:eastAsia="zh-CN"/>
        </w:rPr>
        <w:t>需求</w:t>
      </w:r>
      <w:r>
        <w:rPr>
          <w:rFonts w:hint="eastAsia" w:ascii="宋体" w:hAnsi="宋体" w:eastAsia="宋体" w:cs="宋体"/>
          <w:sz w:val="24"/>
          <w:lang w:eastAsia="zh-CN"/>
        </w:rPr>
        <w:t>；</w:t>
      </w:r>
    </w:p>
    <w:p w14:paraId="27B351BB">
      <w:pPr>
        <w:pStyle w:val="46"/>
        <w:numPr>
          <w:ilvl w:val="0"/>
          <w:numId w:val="0"/>
        </w:numPr>
        <w:tabs>
          <w:tab w:val="left" w:pos="1692"/>
        </w:tabs>
        <w:spacing w:before="161"/>
        <w:ind w:leftChars="208"/>
        <w:rPr>
          <w:rFonts w:hint="eastAsia" w:ascii="宋体" w:hAnsi="宋体" w:eastAsia="宋体" w:cs="宋体"/>
          <w:sz w:val="24"/>
          <w:lang w:eastAsia="zh-CN"/>
        </w:rPr>
      </w:pPr>
      <w:r>
        <w:rPr>
          <w:rFonts w:hint="eastAsia" w:ascii="宋体" w:hAnsi="宋体" w:eastAsia="宋体" w:cs="宋体"/>
          <w:sz w:val="24"/>
          <w:lang w:eastAsia="zh-CN"/>
        </w:rPr>
        <w:t>（6）投标文件格式；</w:t>
      </w:r>
    </w:p>
    <w:p w14:paraId="2EBA87B4">
      <w:pPr>
        <w:pStyle w:val="46"/>
        <w:numPr>
          <w:ilvl w:val="0"/>
          <w:numId w:val="0"/>
        </w:numPr>
        <w:tabs>
          <w:tab w:val="left" w:pos="1692"/>
        </w:tabs>
        <w:spacing w:before="161"/>
        <w:ind w:leftChars="208"/>
        <w:rPr>
          <w:rFonts w:hint="eastAsia" w:ascii="宋体" w:hAnsi="宋体" w:eastAsia="宋体" w:cs="宋体"/>
          <w:sz w:val="24"/>
          <w:lang w:eastAsia="zh-CN"/>
        </w:rPr>
      </w:pPr>
      <w:r>
        <w:rPr>
          <w:rFonts w:hint="eastAsia" w:ascii="宋体" w:hAnsi="宋体" w:eastAsia="宋体" w:cs="宋体"/>
          <w:sz w:val="24"/>
          <w:lang w:eastAsia="zh-CN"/>
        </w:rPr>
        <w:t>（7）供应商须知前附表规定的其他材料。</w:t>
      </w:r>
    </w:p>
    <w:p w14:paraId="437DF4C0">
      <w:pPr>
        <w:pStyle w:val="3"/>
        <w:spacing w:before="160" w:line="364" w:lineRule="auto"/>
        <w:ind w:right="669" w:firstLine="480" w:firstLineChars="200"/>
        <w:rPr>
          <w:rFonts w:hint="eastAsia" w:ascii="宋体" w:hAnsi="宋体" w:eastAsia="宋体" w:cs="宋体"/>
          <w:sz w:val="24"/>
          <w:lang w:eastAsia="zh-CN"/>
        </w:rPr>
      </w:pPr>
      <w:r>
        <w:rPr>
          <w:rFonts w:hint="eastAsia" w:ascii="宋体" w:hAnsi="宋体" w:eastAsia="宋体" w:cs="宋体"/>
          <w:sz w:val="24"/>
          <w:szCs w:val="22"/>
          <w:lang w:val="zh-CN" w:eastAsia="zh-CN" w:bidi="zh-CN"/>
        </w:rPr>
        <w:t>根据本章第 1.10 款、第 2.2 款和第 2.3 款对磋商文件所作的澄清、修改，构成磋商文件的组成部分。</w:t>
      </w:r>
    </w:p>
    <w:p w14:paraId="5F733400">
      <w:pPr>
        <w:pStyle w:val="46"/>
        <w:numPr>
          <w:ilvl w:val="1"/>
          <w:numId w:val="2"/>
        </w:numPr>
        <w:rPr>
          <w:b/>
          <w:bCs/>
          <w:sz w:val="24"/>
        </w:rPr>
      </w:pPr>
      <w:r>
        <w:rPr>
          <w:b/>
          <w:bCs/>
          <w:sz w:val="24"/>
        </w:rPr>
        <w:t>磋商文件的澄清</w:t>
      </w:r>
    </w:p>
    <w:p w14:paraId="3F6DA0CB">
      <w:pPr>
        <w:pStyle w:val="46"/>
        <w:numPr>
          <w:ilvl w:val="2"/>
          <w:numId w:val="2"/>
        </w:numPr>
        <w:tabs>
          <w:tab w:val="left" w:pos="1820"/>
        </w:tabs>
        <w:spacing w:before="161" w:line="364" w:lineRule="auto"/>
        <w:ind w:right="549" w:firstLine="480"/>
        <w:rPr>
          <w:sz w:val="24"/>
        </w:rPr>
      </w:pPr>
      <w:r>
        <w:rPr>
          <w:spacing w:val="-7"/>
          <w:sz w:val="24"/>
        </w:rPr>
        <w:t xml:space="preserve">供应商应仔细阅读和检查磋商文件的全部内容。如发现缺页或附件不全， </w:t>
      </w:r>
      <w:r>
        <w:rPr>
          <w:spacing w:val="-4"/>
          <w:sz w:val="24"/>
        </w:rPr>
        <w:t>应及时向采购人提出，以便补齐。如有疑问，应在供应商须知前附表规定的时间前以书面形式（包括信函、电报、传真等可以有形地表现所载内容的形式，下同）， 要求采购人对磋商文件予以澄清，否则由此引起的任何后果均由供应商自己承担， 采购人与采购代理机构均不承担任何责任。</w:t>
      </w:r>
    </w:p>
    <w:p w14:paraId="5BD0A04E">
      <w:pPr>
        <w:pStyle w:val="46"/>
        <w:numPr>
          <w:ilvl w:val="2"/>
          <w:numId w:val="2"/>
        </w:numPr>
        <w:tabs>
          <w:tab w:val="left" w:pos="1880"/>
        </w:tabs>
        <w:spacing w:before="3" w:line="364" w:lineRule="auto"/>
        <w:ind w:right="547" w:firstLine="480"/>
        <w:rPr>
          <w:sz w:val="24"/>
        </w:rPr>
      </w:pPr>
      <w:r>
        <w:rPr>
          <w:spacing w:val="-2"/>
          <w:sz w:val="24"/>
        </w:rPr>
        <w:t xml:space="preserve">磋商文件的澄清将在供应商须知前附表规定的提交响应文件截止时间 </w:t>
      </w:r>
      <w:r>
        <w:rPr>
          <w:sz w:val="24"/>
        </w:rPr>
        <w:t xml:space="preserve">5 </w:t>
      </w:r>
      <w:r>
        <w:rPr>
          <w:spacing w:val="-10"/>
          <w:sz w:val="24"/>
        </w:rPr>
        <w:t xml:space="preserve">天前在信阳市公共资源交易系统“变更公告”或“答疑文件”将澄清内容予以发布， </w:t>
      </w:r>
      <w:r>
        <w:rPr>
          <w:spacing w:val="-9"/>
          <w:sz w:val="24"/>
        </w:rPr>
        <w:t>但不指明澄清问题的来源。如果澄清发出的时间距提交响应文件截止时间不足</w:t>
      </w:r>
      <w:r>
        <w:rPr>
          <w:sz w:val="24"/>
        </w:rPr>
        <w:t>5</w:t>
      </w:r>
      <w:r>
        <w:rPr>
          <w:spacing w:val="-34"/>
          <w:sz w:val="24"/>
        </w:rPr>
        <w:t xml:space="preserve"> 天， </w:t>
      </w:r>
      <w:r>
        <w:rPr>
          <w:sz w:val="24"/>
        </w:rPr>
        <w:t>相应延长提交响应文件截止时间。</w:t>
      </w:r>
    </w:p>
    <w:p w14:paraId="62A818E6">
      <w:pPr>
        <w:pStyle w:val="46"/>
        <w:numPr>
          <w:ilvl w:val="2"/>
          <w:numId w:val="2"/>
        </w:numPr>
        <w:tabs>
          <w:tab w:val="left" w:pos="1820"/>
        </w:tabs>
        <w:spacing w:before="2" w:line="364" w:lineRule="auto"/>
        <w:ind w:right="669" w:firstLine="480"/>
        <w:rPr>
          <w:sz w:val="24"/>
        </w:rPr>
      </w:pPr>
      <w:r>
        <w:rPr>
          <w:spacing w:val="-1"/>
          <w:sz w:val="24"/>
        </w:rPr>
        <w:t>供应商应在投标文件递交截止时间前及时查看澄清内容，因投标人未及</w:t>
      </w:r>
      <w:r>
        <w:rPr>
          <w:sz w:val="24"/>
        </w:rPr>
        <w:t>时查看而造成的后果自负。</w:t>
      </w:r>
    </w:p>
    <w:p w14:paraId="2B970F70">
      <w:pPr>
        <w:pStyle w:val="46"/>
        <w:numPr>
          <w:ilvl w:val="1"/>
          <w:numId w:val="2"/>
        </w:numPr>
        <w:tabs>
          <w:tab w:val="left" w:pos="1160"/>
        </w:tabs>
        <w:spacing w:before="2"/>
        <w:rPr>
          <w:b/>
          <w:bCs/>
          <w:sz w:val="24"/>
        </w:rPr>
      </w:pPr>
      <w:bookmarkStart w:id="53" w:name="2.3_磋商文件的修改"/>
      <w:bookmarkEnd w:id="53"/>
      <w:r>
        <w:rPr>
          <w:b/>
          <w:bCs/>
          <w:sz w:val="24"/>
        </w:rPr>
        <w:t>磋商文件的修改</w:t>
      </w:r>
    </w:p>
    <w:p w14:paraId="4CD4D3E3">
      <w:pPr>
        <w:pStyle w:val="46"/>
        <w:numPr>
          <w:ilvl w:val="2"/>
          <w:numId w:val="2"/>
        </w:numPr>
        <w:tabs>
          <w:tab w:val="left" w:pos="1880"/>
        </w:tabs>
        <w:spacing w:before="160" w:line="364" w:lineRule="auto"/>
        <w:ind w:right="667" w:firstLine="480"/>
        <w:jc w:val="both"/>
        <w:rPr>
          <w:sz w:val="24"/>
        </w:rPr>
      </w:pPr>
      <w:r>
        <w:rPr>
          <w:spacing w:val="4"/>
          <w:sz w:val="24"/>
        </w:rPr>
        <w:t>在提交响应文件截止</w:t>
      </w:r>
      <w:r>
        <w:rPr>
          <w:sz w:val="24"/>
        </w:rPr>
        <w:t>5</w:t>
      </w:r>
      <w:r>
        <w:rPr>
          <w:spacing w:val="-20"/>
          <w:sz w:val="24"/>
        </w:rPr>
        <w:t>天前，采购人可以在信阳市公共资源交易系统“变</w:t>
      </w:r>
      <w:r>
        <w:rPr>
          <w:spacing w:val="-8"/>
          <w:sz w:val="24"/>
        </w:rPr>
        <w:t>更公告”或“答疑文件”将修改内容予以发布。如果修改磋商文件的时间距提交响</w:t>
      </w:r>
      <w:r>
        <w:rPr>
          <w:spacing w:val="-6"/>
          <w:sz w:val="24"/>
        </w:rPr>
        <w:t>应文件截止时间不足</w:t>
      </w:r>
      <w:r>
        <w:rPr>
          <w:sz w:val="24"/>
        </w:rPr>
        <w:t>5</w:t>
      </w:r>
      <w:r>
        <w:rPr>
          <w:spacing w:val="-8"/>
          <w:sz w:val="24"/>
        </w:rPr>
        <w:t>天，相应延长提交响应文件截止时间。</w:t>
      </w:r>
    </w:p>
    <w:p w14:paraId="3E61A07E">
      <w:pPr>
        <w:pStyle w:val="46"/>
        <w:numPr>
          <w:ilvl w:val="2"/>
          <w:numId w:val="2"/>
        </w:numPr>
        <w:tabs>
          <w:tab w:val="left" w:pos="220"/>
        </w:tabs>
        <w:spacing w:before="2" w:line="364" w:lineRule="auto"/>
        <w:ind w:left="659" w:leftChars="0" w:right="672" w:hanging="659" w:hangingChars="277"/>
        <w:jc w:val="both"/>
        <w:rPr>
          <w:sz w:val="24"/>
        </w:rPr>
      </w:pPr>
      <w:r>
        <w:rPr>
          <w:spacing w:val="-1"/>
          <w:sz w:val="24"/>
        </w:rPr>
        <w:t>当磋商文件的澄清、修改、补充等在同一内容的表述上不一致时，以</w:t>
      </w:r>
      <w:r>
        <w:rPr>
          <w:rFonts w:hint="eastAsia"/>
          <w:spacing w:val="-1"/>
          <w:sz w:val="24"/>
          <w:lang w:val="en-US" w:eastAsia="zh-CN"/>
        </w:rPr>
        <w:t xml:space="preserve">最 </w:t>
      </w:r>
      <w:r>
        <w:rPr>
          <w:sz w:val="24"/>
        </w:rPr>
        <w:t>后在信阳市公共资源交易系统发出的文件为准。</w:t>
      </w:r>
      <w:r>
        <w:rPr>
          <w:spacing w:val="-1"/>
          <w:sz w:val="24"/>
        </w:rPr>
        <w:t>供应商应在磋商文件递交截止时间前及时查看修改内容，因供应商未及</w:t>
      </w:r>
      <w:r>
        <w:rPr>
          <w:sz w:val="24"/>
        </w:rPr>
        <w:t>时查看而造成的后果自负</w:t>
      </w:r>
    </w:p>
    <w:p w14:paraId="6194FCF1">
      <w:pPr>
        <w:pStyle w:val="46"/>
        <w:tabs>
          <w:tab w:val="left" w:pos="1520"/>
        </w:tabs>
        <w:ind w:left="0" w:leftChars="0" w:firstLine="0" w:firstLineChars="0"/>
        <w:jc w:val="both"/>
        <w:rPr>
          <w:b/>
          <w:bCs/>
          <w:sz w:val="24"/>
        </w:rPr>
      </w:pPr>
      <w:r>
        <w:rPr>
          <w:rFonts w:hint="eastAsia"/>
          <w:b/>
          <w:bCs/>
          <w:sz w:val="24"/>
          <w:lang w:val="en-US"/>
        </w:rPr>
        <w:t>3.</w:t>
      </w:r>
      <w:r>
        <w:rPr>
          <w:b/>
          <w:bCs/>
          <w:sz w:val="24"/>
        </w:rPr>
        <w:t>响应文件</w:t>
      </w:r>
    </w:p>
    <w:p w14:paraId="53000BD8">
      <w:pPr>
        <w:pStyle w:val="46"/>
        <w:numPr>
          <w:ilvl w:val="1"/>
          <w:numId w:val="3"/>
        </w:numPr>
        <w:tabs>
          <w:tab w:val="left" w:pos="440"/>
        </w:tabs>
        <w:spacing w:before="133"/>
        <w:rPr>
          <w:sz w:val="24"/>
        </w:rPr>
      </w:pPr>
      <w:r>
        <w:rPr>
          <w:sz w:val="24"/>
        </w:rPr>
        <w:t>响应文件的组成</w:t>
      </w:r>
    </w:p>
    <w:p w14:paraId="657C1EDB">
      <w:pPr>
        <w:pStyle w:val="3"/>
        <w:spacing w:before="160"/>
        <w:ind w:left="1160"/>
      </w:pPr>
      <w:r>
        <w:t>详见第六章“竞争性磋商响应文件格式”</w:t>
      </w:r>
    </w:p>
    <w:p w14:paraId="1495A5A2">
      <w:pPr>
        <w:pStyle w:val="46"/>
        <w:numPr>
          <w:ilvl w:val="1"/>
          <w:numId w:val="3"/>
        </w:numPr>
        <w:tabs>
          <w:tab w:val="left" w:pos="440"/>
        </w:tabs>
        <w:spacing w:before="161"/>
        <w:rPr>
          <w:color w:val="FF0000"/>
          <w:sz w:val="24"/>
        </w:rPr>
      </w:pPr>
      <w:r>
        <w:rPr>
          <w:color w:val="FF0000"/>
          <w:sz w:val="24"/>
        </w:rPr>
        <w:t>磋商报价</w:t>
      </w:r>
    </w:p>
    <w:p w14:paraId="0D01D26F">
      <w:pPr>
        <w:pStyle w:val="46"/>
        <w:numPr>
          <w:ilvl w:val="2"/>
          <w:numId w:val="3"/>
        </w:numPr>
        <w:tabs>
          <w:tab w:val="left" w:pos="1760"/>
        </w:tabs>
        <w:spacing w:before="160" w:line="364" w:lineRule="auto"/>
        <w:ind w:right="549" w:firstLine="417"/>
        <w:jc w:val="left"/>
        <w:rPr>
          <w:color w:val="FF0000"/>
          <w:sz w:val="24"/>
        </w:rPr>
      </w:pPr>
      <w:r>
        <w:rPr>
          <w:color w:val="FF0000"/>
          <w:sz w:val="24"/>
        </w:rPr>
        <w:t>本项目的磋商报价应按照磋商文件、补充通知、答疑纪要、现场情况、</w:t>
      </w:r>
      <w:r>
        <w:rPr>
          <w:color w:val="FF0000"/>
          <w:spacing w:val="-6"/>
          <w:sz w:val="24"/>
        </w:rPr>
        <w:t>承包范围，并充分考虑施工期间各类材料、人工市场风险和国家政策性调整等风险</w:t>
      </w:r>
      <w:r>
        <w:rPr>
          <w:color w:val="FF0000"/>
          <w:spacing w:val="-9"/>
          <w:sz w:val="24"/>
        </w:rPr>
        <w:t>系数，由各响应人根据自身情况，在合理范围内，自主考虑、优惠报价，但不得低</w:t>
      </w:r>
      <w:r>
        <w:rPr>
          <w:color w:val="FF0000"/>
          <w:spacing w:val="-10"/>
          <w:sz w:val="24"/>
        </w:rPr>
        <w:t>于企业成本，分二次报价：第一次报价必须按照磋商文件的报价格式填报，第二次</w:t>
      </w:r>
      <w:r>
        <w:rPr>
          <w:color w:val="FF0000"/>
          <w:spacing w:val="-16"/>
          <w:sz w:val="24"/>
        </w:rPr>
        <w:t>报价在磋商中填报，第二次报价</w:t>
      </w:r>
      <w:r>
        <w:rPr>
          <w:color w:val="FF0000"/>
          <w:sz w:val="24"/>
        </w:rPr>
        <w:t>（不得高于一次报价</w:t>
      </w:r>
      <w:r>
        <w:rPr>
          <w:color w:val="FF0000"/>
          <w:spacing w:val="-56"/>
          <w:sz w:val="24"/>
        </w:rPr>
        <w:t>）</w:t>
      </w:r>
      <w:r>
        <w:rPr>
          <w:color w:val="FF0000"/>
          <w:sz w:val="24"/>
        </w:rPr>
        <w:t xml:space="preserve">即为最终报价将不予以公开, </w:t>
      </w:r>
      <w:r>
        <w:rPr>
          <w:color w:val="FF0000"/>
          <w:spacing w:val="-10"/>
          <w:sz w:val="24"/>
        </w:rPr>
        <w:t xml:space="preserve">二轮报价在系统内进行，①登录至《信阳市公共资源交易系统》，打开“报价参与” </w:t>
      </w:r>
      <w:r>
        <w:rPr>
          <w:color w:val="FF0000"/>
          <w:spacing w:val="-6"/>
          <w:sz w:val="24"/>
        </w:rPr>
        <w:t>菜单，选择需要参加报价的标段。②及时关注“二次报价剩余时间”如果显示状态</w:t>
      </w:r>
      <w:r>
        <w:rPr>
          <w:color w:val="FF0000"/>
          <w:sz w:val="24"/>
        </w:rPr>
        <w:t>为“未开始”，表示评标组长还未开始二次报价。如果已经显示倒计时</w:t>
      </w:r>
      <w:r>
        <w:rPr>
          <w:color w:val="FF0000"/>
          <w:spacing w:val="4"/>
          <w:sz w:val="24"/>
        </w:rPr>
        <w:t>（</w:t>
      </w:r>
      <w:r>
        <w:rPr>
          <w:color w:val="FF0000"/>
          <w:spacing w:val="-16"/>
          <w:sz w:val="24"/>
        </w:rPr>
        <w:t>默认</w:t>
      </w:r>
      <w:r>
        <w:rPr>
          <w:rFonts w:hint="eastAsia"/>
          <w:color w:val="FF0000"/>
          <w:spacing w:val="-16"/>
          <w:sz w:val="24"/>
          <w:lang w:val="en-US" w:eastAsia="zh-CN"/>
        </w:rPr>
        <w:t>20-</w:t>
      </w:r>
      <w:r>
        <w:rPr>
          <w:rFonts w:hint="eastAsia"/>
          <w:color w:val="FF0000"/>
          <w:sz w:val="24"/>
        </w:rPr>
        <w:t>3</w:t>
      </w:r>
      <w:r>
        <w:rPr>
          <w:color w:val="FF0000"/>
          <w:sz w:val="24"/>
        </w:rPr>
        <w:t>0分钟），则需要在倒计时截止前完成二次报价，否则视为放弃投标。</w:t>
      </w:r>
    </w:p>
    <w:p w14:paraId="2C564BB3">
      <w:pPr>
        <w:pStyle w:val="46"/>
        <w:numPr>
          <w:ilvl w:val="2"/>
          <w:numId w:val="3"/>
        </w:numPr>
        <w:tabs>
          <w:tab w:val="left" w:pos="1760"/>
        </w:tabs>
        <w:spacing w:before="2" w:line="364" w:lineRule="auto"/>
        <w:ind w:right="669" w:firstLine="417"/>
        <w:jc w:val="both"/>
        <w:rPr>
          <w:sz w:val="24"/>
        </w:rPr>
      </w:pPr>
      <w:r>
        <w:rPr>
          <w:sz w:val="24"/>
        </w:rPr>
        <w:t>供应商应充分了解该项目的总体情况以及影响磋商报价的其他要素，考</w:t>
      </w:r>
      <w:r>
        <w:rPr>
          <w:spacing w:val="-4"/>
          <w:sz w:val="24"/>
        </w:rPr>
        <w:t>虑施工期间的价格风险因素，成交价在合同实施期间内不得调整，同时也不因市场</w:t>
      </w:r>
      <w:r>
        <w:rPr>
          <w:sz w:val="24"/>
        </w:rPr>
        <w:t>价格变动而调整。</w:t>
      </w:r>
    </w:p>
    <w:p w14:paraId="658EC852">
      <w:pPr>
        <w:pStyle w:val="46"/>
        <w:numPr>
          <w:ilvl w:val="2"/>
          <w:numId w:val="3"/>
        </w:numPr>
        <w:tabs>
          <w:tab w:val="left" w:pos="1758"/>
        </w:tabs>
        <w:spacing w:before="2"/>
        <w:ind w:left="1757" w:hanging="661"/>
        <w:jc w:val="both"/>
        <w:rPr>
          <w:sz w:val="24"/>
        </w:rPr>
      </w:pPr>
      <w:r>
        <w:rPr>
          <w:sz w:val="24"/>
        </w:rPr>
        <w:t>响应报价表中的大写金额和小写金额不一致的，以大写金额为准。</w:t>
      </w:r>
    </w:p>
    <w:p w14:paraId="33D6680E">
      <w:pPr>
        <w:pStyle w:val="46"/>
        <w:numPr>
          <w:ilvl w:val="2"/>
          <w:numId w:val="3"/>
        </w:numPr>
        <w:tabs>
          <w:tab w:val="left" w:pos="1760"/>
        </w:tabs>
        <w:spacing w:before="160" w:line="364" w:lineRule="auto"/>
        <w:ind w:right="669" w:firstLine="417"/>
        <w:jc w:val="both"/>
        <w:rPr>
          <w:sz w:val="24"/>
        </w:rPr>
      </w:pPr>
      <w:r>
        <w:rPr>
          <w:sz w:val="24"/>
        </w:rPr>
        <w:t>供应商的报价明细低于其他通过符合性审查供应商的报价，有可能影响</w:t>
      </w:r>
      <w:r>
        <w:rPr>
          <w:spacing w:val="-5"/>
          <w:sz w:val="24"/>
        </w:rPr>
        <w:t>施工质量或者不能诚信履约的，磋商委员会应当要求其在磋商现场合理的时间内提</w:t>
      </w:r>
      <w:r>
        <w:rPr>
          <w:spacing w:val="-6"/>
          <w:sz w:val="24"/>
        </w:rPr>
        <w:t>供书面说明，必要时提交相关证明材料；供应商不能证明其报价合理性的，磋商委</w:t>
      </w:r>
      <w:r>
        <w:rPr>
          <w:sz w:val="24"/>
        </w:rPr>
        <w:t>员会应当将其作为无效投标处理。</w:t>
      </w:r>
    </w:p>
    <w:p w14:paraId="17AEDE98">
      <w:pPr>
        <w:pStyle w:val="14"/>
        <w:tabs>
          <w:tab w:val="left" w:pos="2085"/>
        </w:tabs>
        <w:spacing w:before="131"/>
        <w:ind w:left="0" w:firstLine="211" w:firstLineChars="100"/>
        <w:rPr>
          <w:color w:val="auto"/>
        </w:rPr>
      </w:pPr>
      <w:r>
        <w:rPr>
          <w:rFonts w:hint="eastAsia"/>
          <w:color w:val="auto"/>
          <w:lang w:val="en-US"/>
        </w:rPr>
        <w:t>3.3</w:t>
      </w:r>
      <w:r>
        <w:rPr>
          <w:color w:val="auto"/>
        </w:rPr>
        <w:t>小型微型企业认定及评标价格评审（非专门面向中小企业适用）</w:t>
      </w:r>
    </w:p>
    <w:p w14:paraId="4ACE2FC5">
      <w:pPr>
        <w:pStyle w:val="3"/>
        <w:rPr>
          <w:b/>
          <w:color w:val="auto"/>
          <w:sz w:val="20"/>
        </w:rPr>
      </w:pPr>
    </w:p>
    <w:tbl>
      <w:tblPr>
        <w:tblStyle w:val="27"/>
        <w:tblpPr w:leftFromText="180" w:rightFromText="180" w:vertAnchor="text" w:horzAnchor="page" w:tblpX="1185" w:tblpY="4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1561"/>
        <w:gridCol w:w="1492"/>
        <w:gridCol w:w="2273"/>
        <w:gridCol w:w="2094"/>
      </w:tblGrid>
      <w:tr w14:paraId="5DA5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91" w:type="dxa"/>
          </w:tcPr>
          <w:p w14:paraId="1CC51166">
            <w:pPr>
              <w:pStyle w:val="47"/>
              <w:spacing w:before="109"/>
              <w:ind w:left="403" w:right="508"/>
              <w:jc w:val="center"/>
              <w:rPr>
                <w:color w:val="auto"/>
                <w:sz w:val="21"/>
              </w:rPr>
            </w:pPr>
            <w:r>
              <w:rPr>
                <w:color w:val="auto"/>
                <w:sz w:val="21"/>
              </w:rPr>
              <w:t>内容</w:t>
            </w:r>
          </w:p>
        </w:tc>
        <w:tc>
          <w:tcPr>
            <w:tcW w:w="1561" w:type="dxa"/>
          </w:tcPr>
          <w:p w14:paraId="6C774043">
            <w:pPr>
              <w:pStyle w:val="47"/>
              <w:spacing w:before="109"/>
              <w:ind w:left="528"/>
              <w:rPr>
                <w:color w:val="auto"/>
                <w:sz w:val="21"/>
              </w:rPr>
            </w:pPr>
            <w:r>
              <w:rPr>
                <w:color w:val="auto"/>
                <w:sz w:val="21"/>
              </w:rPr>
              <w:t>大型企业</w:t>
            </w:r>
          </w:p>
        </w:tc>
        <w:tc>
          <w:tcPr>
            <w:tcW w:w="1492" w:type="dxa"/>
          </w:tcPr>
          <w:p w14:paraId="1EC49574">
            <w:pPr>
              <w:pStyle w:val="47"/>
              <w:spacing w:before="109"/>
              <w:ind w:left="527"/>
              <w:rPr>
                <w:color w:val="auto"/>
                <w:sz w:val="21"/>
              </w:rPr>
            </w:pPr>
            <w:r>
              <w:rPr>
                <w:color w:val="auto"/>
                <w:sz w:val="21"/>
              </w:rPr>
              <w:t>中型企业</w:t>
            </w:r>
          </w:p>
        </w:tc>
        <w:tc>
          <w:tcPr>
            <w:tcW w:w="2273" w:type="dxa"/>
          </w:tcPr>
          <w:p w14:paraId="71F5B743">
            <w:pPr>
              <w:pStyle w:val="47"/>
              <w:spacing w:before="109"/>
              <w:ind w:left="527"/>
              <w:rPr>
                <w:color w:val="auto"/>
                <w:sz w:val="21"/>
              </w:rPr>
            </w:pPr>
            <w:r>
              <w:rPr>
                <w:color w:val="auto"/>
                <w:sz w:val="21"/>
              </w:rPr>
              <w:t>小型企业</w:t>
            </w:r>
          </w:p>
        </w:tc>
        <w:tc>
          <w:tcPr>
            <w:tcW w:w="2094" w:type="dxa"/>
          </w:tcPr>
          <w:p w14:paraId="38D0A534">
            <w:pPr>
              <w:pStyle w:val="47"/>
              <w:spacing w:before="109"/>
              <w:ind w:left="527"/>
              <w:rPr>
                <w:color w:val="auto"/>
                <w:sz w:val="21"/>
              </w:rPr>
            </w:pPr>
            <w:r>
              <w:rPr>
                <w:color w:val="auto"/>
                <w:sz w:val="21"/>
              </w:rPr>
              <w:t>微型企业</w:t>
            </w:r>
          </w:p>
        </w:tc>
      </w:tr>
      <w:tr w14:paraId="4A29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591" w:type="dxa"/>
          </w:tcPr>
          <w:p w14:paraId="3DCEC96B">
            <w:pPr>
              <w:pStyle w:val="47"/>
              <w:spacing w:before="3"/>
              <w:rPr>
                <w:b/>
                <w:color w:val="auto"/>
                <w:sz w:val="16"/>
              </w:rPr>
            </w:pPr>
          </w:p>
          <w:p w14:paraId="103F50AF">
            <w:pPr>
              <w:pStyle w:val="47"/>
              <w:ind w:left="508" w:right="508"/>
              <w:jc w:val="center"/>
              <w:rPr>
                <w:color w:val="auto"/>
                <w:sz w:val="21"/>
              </w:rPr>
            </w:pPr>
            <w:r>
              <w:rPr>
                <w:color w:val="auto"/>
                <w:sz w:val="21"/>
              </w:rPr>
              <w:t>价格=</w:t>
            </w:r>
          </w:p>
        </w:tc>
        <w:tc>
          <w:tcPr>
            <w:tcW w:w="1561" w:type="dxa"/>
          </w:tcPr>
          <w:p w14:paraId="1A10E56C">
            <w:pPr>
              <w:pStyle w:val="47"/>
              <w:spacing w:before="3"/>
              <w:rPr>
                <w:b/>
                <w:color w:val="auto"/>
                <w:sz w:val="16"/>
              </w:rPr>
            </w:pPr>
          </w:p>
          <w:p w14:paraId="742D7082">
            <w:pPr>
              <w:pStyle w:val="47"/>
              <w:ind w:left="528"/>
              <w:rPr>
                <w:color w:val="auto"/>
                <w:sz w:val="21"/>
              </w:rPr>
            </w:pPr>
            <w:r>
              <w:rPr>
                <w:color w:val="auto"/>
                <w:sz w:val="21"/>
              </w:rPr>
              <w:t>报价</w:t>
            </w:r>
          </w:p>
        </w:tc>
        <w:tc>
          <w:tcPr>
            <w:tcW w:w="1492" w:type="dxa"/>
          </w:tcPr>
          <w:p w14:paraId="79B467AB">
            <w:pPr>
              <w:pStyle w:val="47"/>
              <w:spacing w:before="3"/>
              <w:rPr>
                <w:b/>
                <w:color w:val="auto"/>
                <w:sz w:val="16"/>
              </w:rPr>
            </w:pPr>
          </w:p>
          <w:p w14:paraId="782F4FA4">
            <w:pPr>
              <w:pStyle w:val="47"/>
              <w:ind w:left="527"/>
              <w:rPr>
                <w:color w:val="auto"/>
                <w:sz w:val="21"/>
              </w:rPr>
            </w:pPr>
            <w:r>
              <w:rPr>
                <w:color w:val="auto"/>
                <w:sz w:val="21"/>
              </w:rPr>
              <w:t>报价</w:t>
            </w:r>
          </w:p>
        </w:tc>
        <w:tc>
          <w:tcPr>
            <w:tcW w:w="2273" w:type="dxa"/>
          </w:tcPr>
          <w:p w14:paraId="2495E89A">
            <w:pPr>
              <w:pStyle w:val="47"/>
              <w:spacing w:before="3"/>
              <w:rPr>
                <w:b/>
                <w:color w:val="auto"/>
                <w:sz w:val="16"/>
              </w:rPr>
            </w:pPr>
          </w:p>
          <w:p w14:paraId="53AA0D20">
            <w:pPr>
              <w:pStyle w:val="47"/>
              <w:ind w:left="527"/>
              <w:rPr>
                <w:color w:val="auto"/>
                <w:sz w:val="21"/>
              </w:rPr>
            </w:pPr>
            <w:r>
              <w:rPr>
                <w:color w:val="auto"/>
                <w:sz w:val="21"/>
              </w:rPr>
              <w:t>报价×（1-</w:t>
            </w:r>
            <w:r>
              <w:rPr>
                <w:rFonts w:hint="eastAsia"/>
                <w:color w:val="auto"/>
                <w:sz w:val="21"/>
                <w:lang w:val="en-US" w:eastAsia="zh-CN"/>
              </w:rPr>
              <w:t>2</w:t>
            </w:r>
            <w:r>
              <w:rPr>
                <w:rFonts w:hint="eastAsia"/>
                <w:color w:val="auto"/>
                <w:sz w:val="21"/>
                <w:lang w:val="en-US"/>
              </w:rPr>
              <w:t>0</w:t>
            </w:r>
            <w:r>
              <w:rPr>
                <w:color w:val="auto"/>
                <w:sz w:val="21"/>
              </w:rPr>
              <w:t>%）</w:t>
            </w:r>
          </w:p>
        </w:tc>
        <w:tc>
          <w:tcPr>
            <w:tcW w:w="2094" w:type="dxa"/>
          </w:tcPr>
          <w:p w14:paraId="5A2C5F40">
            <w:pPr>
              <w:pStyle w:val="47"/>
              <w:spacing w:before="3"/>
              <w:rPr>
                <w:b/>
                <w:color w:val="auto"/>
                <w:sz w:val="16"/>
              </w:rPr>
            </w:pPr>
          </w:p>
          <w:p w14:paraId="214E7085">
            <w:pPr>
              <w:pStyle w:val="47"/>
              <w:ind w:left="527"/>
              <w:rPr>
                <w:color w:val="auto"/>
                <w:sz w:val="21"/>
              </w:rPr>
            </w:pPr>
            <w:r>
              <w:rPr>
                <w:color w:val="auto"/>
                <w:sz w:val="21"/>
              </w:rPr>
              <w:t>报价×（1-</w:t>
            </w:r>
            <w:r>
              <w:rPr>
                <w:rFonts w:hint="eastAsia"/>
                <w:color w:val="auto"/>
                <w:sz w:val="21"/>
                <w:lang w:val="en-US" w:eastAsia="zh-CN"/>
              </w:rPr>
              <w:t>2</w:t>
            </w:r>
            <w:r>
              <w:rPr>
                <w:rFonts w:hint="eastAsia"/>
                <w:color w:val="auto"/>
                <w:sz w:val="21"/>
                <w:lang w:val="en-US"/>
              </w:rPr>
              <w:t>0</w:t>
            </w:r>
            <w:r>
              <w:rPr>
                <w:color w:val="auto"/>
                <w:sz w:val="21"/>
              </w:rPr>
              <w:t>%）</w:t>
            </w:r>
          </w:p>
        </w:tc>
      </w:tr>
    </w:tbl>
    <w:p w14:paraId="4EA72859">
      <w:pPr>
        <w:pStyle w:val="46"/>
        <w:tabs>
          <w:tab w:val="left" w:pos="2241"/>
        </w:tabs>
        <w:spacing w:before="111" w:line="357" w:lineRule="auto"/>
        <w:ind w:left="0" w:right="1341" w:firstLine="0"/>
        <w:jc w:val="both"/>
        <w:rPr>
          <w:color w:val="auto"/>
          <w:spacing w:val="-6"/>
          <w:sz w:val="21"/>
          <w:lang w:val="en-US"/>
        </w:rPr>
      </w:pPr>
    </w:p>
    <w:p w14:paraId="718E74F2">
      <w:pPr>
        <w:pStyle w:val="46"/>
        <w:tabs>
          <w:tab w:val="left" w:pos="2241"/>
        </w:tabs>
        <w:spacing w:before="111" w:line="357" w:lineRule="auto"/>
        <w:ind w:left="0" w:right="1341" w:firstLine="0"/>
        <w:jc w:val="both"/>
        <w:rPr>
          <w:color w:val="auto"/>
          <w:spacing w:val="-6"/>
          <w:sz w:val="21"/>
          <w:lang w:val="en-US"/>
        </w:rPr>
      </w:pPr>
    </w:p>
    <w:p w14:paraId="04C2E8BE">
      <w:pPr>
        <w:pStyle w:val="46"/>
        <w:tabs>
          <w:tab w:val="left" w:pos="2241"/>
        </w:tabs>
        <w:spacing w:before="111" w:line="357" w:lineRule="auto"/>
        <w:ind w:left="0" w:right="1341" w:firstLine="0"/>
        <w:jc w:val="both"/>
        <w:rPr>
          <w:color w:val="auto"/>
          <w:spacing w:val="-6"/>
          <w:sz w:val="21"/>
          <w:lang w:val="en-US"/>
        </w:rPr>
      </w:pPr>
    </w:p>
    <w:p w14:paraId="315FA98B">
      <w:pPr>
        <w:pStyle w:val="46"/>
        <w:tabs>
          <w:tab w:val="left" w:pos="2241"/>
          <w:tab w:val="left" w:pos="9680"/>
        </w:tabs>
        <w:spacing w:before="111" w:line="357" w:lineRule="auto"/>
        <w:ind w:left="0" w:firstLine="396" w:firstLineChars="200"/>
        <w:jc w:val="both"/>
        <w:rPr>
          <w:color w:val="auto"/>
          <w:spacing w:val="-6"/>
          <w:sz w:val="21"/>
          <w:lang w:val="en-US"/>
        </w:rPr>
      </w:pPr>
      <w:r>
        <w:rPr>
          <w:rFonts w:hint="eastAsia"/>
          <w:color w:val="auto"/>
          <w:spacing w:val="-6"/>
          <w:sz w:val="21"/>
          <w:lang w:val="en-US"/>
        </w:rPr>
        <w:t>关于《政府采购促进中小企业发展管理办法》相关说明：根据新财购 [2022]95 号文相关规定，货物服务采购项目给予小微企业的价格扣除优惠，由财库〔2020〕46号文件规定的 6%—10%提高至 10%—20%。大中型企业与小微企业组成联合体或者大中型企业向小微企业分包的，评审优惠幅度由 2%—3%提高至4%—6%。政府采购工程的价格评审优惠按照财库〔2020〕46号文件的规定的3%-5%。本项目具体扣除比例为</w:t>
      </w:r>
      <w:r>
        <w:rPr>
          <w:rFonts w:hint="eastAsia"/>
          <w:color w:val="auto"/>
          <w:spacing w:val="-6"/>
          <w:sz w:val="21"/>
          <w:lang w:val="en-US" w:eastAsia="zh-CN"/>
        </w:rPr>
        <w:t>20</w:t>
      </w:r>
      <w:r>
        <w:rPr>
          <w:rFonts w:hint="eastAsia"/>
          <w:color w:val="auto"/>
          <w:spacing w:val="-6"/>
          <w:sz w:val="21"/>
          <w:lang w:val="en-US"/>
        </w:rPr>
        <w:t>％，用扣除后的价格参与评审。</w:t>
      </w:r>
    </w:p>
    <w:p w14:paraId="75A12870">
      <w:pPr>
        <w:pStyle w:val="46"/>
        <w:tabs>
          <w:tab w:val="left" w:pos="2241"/>
          <w:tab w:val="left" w:pos="9680"/>
        </w:tabs>
        <w:spacing w:before="111" w:line="357" w:lineRule="auto"/>
        <w:ind w:left="0" w:firstLine="396" w:firstLineChars="200"/>
        <w:jc w:val="both"/>
        <w:rPr>
          <w:color w:val="auto"/>
          <w:sz w:val="21"/>
        </w:rPr>
      </w:pPr>
      <w:r>
        <w:rPr>
          <w:rFonts w:hint="eastAsia"/>
          <w:color w:val="auto"/>
          <w:spacing w:val="-6"/>
          <w:sz w:val="21"/>
          <w:lang w:val="en-US"/>
        </w:rPr>
        <w:t xml:space="preserve">3.3.1 </w:t>
      </w:r>
      <w:r>
        <w:rPr>
          <w:color w:val="auto"/>
          <w:spacing w:val="-6"/>
          <w:sz w:val="21"/>
        </w:rPr>
        <w:t>根据《政府采购促进中小企业发展管理办法》</w:t>
      </w:r>
      <w:r>
        <w:rPr>
          <w:color w:val="auto"/>
          <w:sz w:val="21"/>
        </w:rPr>
        <w:t>（财库[2020]46</w:t>
      </w:r>
      <w:r>
        <w:rPr>
          <w:color w:val="auto"/>
          <w:spacing w:val="-36"/>
          <w:sz w:val="21"/>
        </w:rPr>
        <w:t xml:space="preserve"> 号</w:t>
      </w:r>
      <w:r>
        <w:rPr>
          <w:color w:val="auto"/>
          <w:spacing w:val="-15"/>
          <w:sz w:val="21"/>
        </w:rPr>
        <w:t>）</w:t>
      </w:r>
      <w:r>
        <w:rPr>
          <w:color w:val="auto"/>
          <w:spacing w:val="-6"/>
          <w:sz w:val="21"/>
        </w:rPr>
        <w:t>的规定、《</w:t>
      </w:r>
      <w:r>
        <w:rPr>
          <w:color w:val="auto"/>
          <w:sz w:val="21"/>
        </w:rPr>
        <w:t>工业和信息化部、国家统计局、国家发展和改革委员会、财政部关于印发中小企业划型标准规</w:t>
      </w:r>
      <w:r>
        <w:rPr>
          <w:color w:val="auto"/>
          <w:spacing w:val="-5"/>
          <w:sz w:val="21"/>
        </w:rPr>
        <w:t>定的通知》</w:t>
      </w:r>
      <w:r>
        <w:rPr>
          <w:color w:val="auto"/>
          <w:sz w:val="21"/>
        </w:rPr>
        <w:t>（工信部联企业[2011]300</w:t>
      </w:r>
      <w:r>
        <w:rPr>
          <w:color w:val="auto"/>
          <w:spacing w:val="-24"/>
          <w:sz w:val="21"/>
        </w:rPr>
        <w:t xml:space="preserve"> 号</w:t>
      </w:r>
      <w:r>
        <w:rPr>
          <w:color w:val="auto"/>
          <w:sz w:val="21"/>
        </w:rPr>
        <w:t>）、河南省财政厅河南省工业和信息化厅《关于政府采购促进小型微型企业发展的实施意见》（豫财购[2013]14</w:t>
      </w:r>
      <w:r>
        <w:rPr>
          <w:color w:val="auto"/>
          <w:spacing w:val="-19"/>
          <w:sz w:val="21"/>
        </w:rPr>
        <w:t xml:space="preserve"> 号</w:t>
      </w:r>
      <w:r>
        <w:rPr>
          <w:color w:val="auto"/>
          <w:sz w:val="21"/>
        </w:rPr>
        <w:t>）文件规定，对小型和</w:t>
      </w:r>
      <w:r>
        <w:rPr>
          <w:color w:val="auto"/>
          <w:spacing w:val="-5"/>
          <w:sz w:val="21"/>
        </w:rPr>
        <w:t>微型企业产品的价格给予</w:t>
      </w:r>
      <w:r>
        <w:rPr>
          <w:rFonts w:hint="eastAsia"/>
          <w:color w:val="auto"/>
          <w:spacing w:val="-5"/>
          <w:sz w:val="21"/>
          <w:lang w:val="en-US" w:eastAsia="zh-CN"/>
        </w:rPr>
        <w:t>20</w:t>
      </w:r>
      <w:r>
        <w:rPr>
          <w:color w:val="auto"/>
          <w:sz w:val="21"/>
        </w:rPr>
        <w:t>%的扣除，用扣除后的价格参与评审。</w:t>
      </w:r>
    </w:p>
    <w:p w14:paraId="7B29548A">
      <w:pPr>
        <w:pStyle w:val="3"/>
        <w:tabs>
          <w:tab w:val="left" w:pos="9680"/>
        </w:tabs>
        <w:spacing w:before="70" w:line="357" w:lineRule="auto"/>
        <w:ind w:firstLine="182" w:firstLineChars="100"/>
        <w:jc w:val="both"/>
        <w:rPr>
          <w:color w:val="auto"/>
        </w:rPr>
      </w:pPr>
      <w:r>
        <w:rPr>
          <w:rFonts w:hint="eastAsia"/>
          <w:color w:val="auto"/>
          <w:spacing w:val="-14"/>
          <w:sz w:val="21"/>
          <w:lang w:val="en-US"/>
        </w:rPr>
        <w:t xml:space="preserve">3.3.2 </w:t>
      </w:r>
      <w:r>
        <w:rPr>
          <w:color w:val="auto"/>
          <w:spacing w:val="-14"/>
          <w:sz w:val="21"/>
        </w:rPr>
        <w:t>根据财政部、司法部联合印发《关于政府采购支持监狱企业发展有关问题的通知》</w:t>
      </w:r>
      <w:r>
        <w:rPr>
          <w:color w:val="auto"/>
        </w:rPr>
        <w:t>（</w:t>
      </w:r>
      <w:r>
        <w:rPr>
          <w:color w:val="auto"/>
          <w:spacing w:val="1"/>
        </w:rPr>
        <w:t>财库【</w:t>
      </w:r>
      <w:r>
        <w:rPr>
          <w:color w:val="auto"/>
        </w:rPr>
        <w:t>2014】68</w:t>
      </w:r>
      <w:r>
        <w:rPr>
          <w:color w:val="auto"/>
          <w:spacing w:val="-18"/>
        </w:rPr>
        <w:t xml:space="preserve"> 号</w:t>
      </w:r>
      <w:r>
        <w:rPr>
          <w:color w:val="auto"/>
        </w:rPr>
        <w:t>）文件规定，凡监狱企业参加政府采购活动视同小型、微型企业，享</w:t>
      </w:r>
      <w:r>
        <w:rPr>
          <w:color w:val="auto"/>
          <w:spacing w:val="-1"/>
        </w:rPr>
        <w:t>受评审价格扣除的政府采购优惠政策。此次若有监狱企业参加投标的其报价享受</w:t>
      </w:r>
      <w:r>
        <w:rPr>
          <w:rFonts w:hint="eastAsia"/>
          <w:color w:val="auto"/>
          <w:spacing w:val="-1"/>
          <w:lang w:val="en-US" w:eastAsia="zh-CN"/>
        </w:rPr>
        <w:t>20</w:t>
      </w:r>
      <w:r>
        <w:rPr>
          <w:color w:val="auto"/>
        </w:rPr>
        <w:t>%的价格</w:t>
      </w:r>
      <w:r>
        <w:rPr>
          <w:color w:val="auto"/>
          <w:spacing w:val="-1"/>
        </w:rPr>
        <w:t>扣除，但必须提供由省级以上监狱管理局、戒毒管理局（含新疆生产建设兵团）出具的属于</w:t>
      </w:r>
      <w:r>
        <w:rPr>
          <w:color w:val="auto"/>
        </w:rPr>
        <w:t>监狱企业的证明文件，否则评审时不予价格扣除优惠。</w:t>
      </w:r>
    </w:p>
    <w:p w14:paraId="7F23CB8E">
      <w:pPr>
        <w:pStyle w:val="46"/>
        <w:tabs>
          <w:tab w:val="left" w:pos="2241"/>
          <w:tab w:val="left" w:pos="9680"/>
        </w:tabs>
        <w:spacing w:before="0" w:line="357" w:lineRule="auto"/>
        <w:ind w:left="0" w:firstLine="238" w:firstLineChars="100"/>
        <w:jc w:val="both"/>
        <w:rPr>
          <w:color w:val="auto"/>
          <w:spacing w:val="-1"/>
          <w:sz w:val="24"/>
          <w:szCs w:val="24"/>
        </w:rPr>
      </w:pPr>
      <w:r>
        <w:rPr>
          <w:rFonts w:hint="eastAsia"/>
          <w:color w:val="auto"/>
          <w:spacing w:val="-1"/>
          <w:sz w:val="24"/>
          <w:szCs w:val="24"/>
          <w:lang w:val="en-US"/>
        </w:rPr>
        <w:t xml:space="preserve">3.3.3 </w:t>
      </w:r>
      <w:r>
        <w:rPr>
          <w:color w:val="auto"/>
          <w:spacing w:val="-1"/>
          <w:sz w:val="24"/>
          <w:szCs w:val="24"/>
        </w:rPr>
        <w:t>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6B08071F">
      <w:pPr>
        <w:pStyle w:val="3"/>
        <w:tabs>
          <w:tab w:val="left" w:pos="9680"/>
        </w:tabs>
        <w:spacing w:before="70" w:line="357" w:lineRule="auto"/>
        <w:jc w:val="both"/>
        <w:rPr>
          <w:color w:val="auto"/>
          <w:spacing w:val="-11"/>
          <w:sz w:val="21"/>
          <w:szCs w:val="22"/>
        </w:rPr>
      </w:pPr>
      <w:r>
        <w:rPr>
          <w:color w:val="auto"/>
          <w:spacing w:val="-11"/>
          <w:sz w:val="21"/>
          <w:szCs w:val="22"/>
        </w:rPr>
        <w:t>（财库【2014】68 号）文件规定，凡监狱企业参加政府采购活动视同小型、微型企业，享受评审价格扣除的政府采购优惠政策。此次若有监狱企业参加投标的其报价享受</w:t>
      </w:r>
      <w:r>
        <w:rPr>
          <w:rFonts w:hint="eastAsia"/>
          <w:color w:val="auto"/>
          <w:spacing w:val="-11"/>
          <w:sz w:val="21"/>
          <w:szCs w:val="22"/>
          <w:lang w:val="en-US" w:eastAsia="zh-CN"/>
        </w:rPr>
        <w:t>20</w:t>
      </w:r>
      <w:r>
        <w:rPr>
          <w:color w:val="auto"/>
          <w:spacing w:val="-11"/>
          <w:sz w:val="21"/>
          <w:szCs w:val="22"/>
        </w:rPr>
        <w:t>%的价格扣除，但必须提供由省级以上监狱管理局、戒毒管理局（含新疆生产建设兵团）出具的属于监狱企业的证明文件，否则评审时不予价格扣除优惠。</w:t>
      </w:r>
    </w:p>
    <w:p w14:paraId="4B341D7D">
      <w:pPr>
        <w:pStyle w:val="46"/>
        <w:tabs>
          <w:tab w:val="left" w:pos="2241"/>
          <w:tab w:val="left" w:pos="9680"/>
        </w:tabs>
        <w:spacing w:before="0" w:line="357" w:lineRule="auto"/>
        <w:ind w:left="0" w:firstLine="210" w:firstLineChars="100"/>
        <w:jc w:val="both"/>
        <w:rPr>
          <w:color w:val="auto"/>
          <w:spacing w:val="-15"/>
          <w:sz w:val="21"/>
        </w:rPr>
      </w:pPr>
      <w:r>
        <w:rPr>
          <w:rFonts w:hint="eastAsia"/>
          <w:color w:val="auto"/>
          <w:sz w:val="21"/>
          <w:lang w:val="en-US"/>
        </w:rPr>
        <w:t xml:space="preserve">3.3.4 </w:t>
      </w:r>
      <w:r>
        <w:rPr>
          <w:color w:val="auto"/>
          <w:sz w:val="21"/>
        </w:rPr>
        <w:t>根据财库(2017)141</w:t>
      </w:r>
      <w:r>
        <w:rPr>
          <w:color w:val="auto"/>
          <w:spacing w:val="-9"/>
          <w:sz w:val="21"/>
        </w:rPr>
        <w:t xml:space="preserve"> 号文件规定，在政府采购活动中，残疾人福利性单位视同小</w:t>
      </w:r>
      <w:r>
        <w:rPr>
          <w:color w:val="auto"/>
          <w:spacing w:val="-11"/>
          <w:sz w:val="21"/>
        </w:rPr>
        <w:t>型、微型企业，享受预留份额、评审中价格扣除等促进中小企业发展的政府采购政策。</w:t>
      </w:r>
      <w:r>
        <w:rPr>
          <w:color w:val="auto"/>
          <w:sz w:val="21"/>
        </w:rPr>
        <w:t>残疾人福利性单位属于小型、微型企业的，不重复享受政策。符合条件的残疾人福利性单位在参加政</w:t>
      </w:r>
      <w:r>
        <w:rPr>
          <w:color w:val="auto"/>
          <w:spacing w:val="-15"/>
          <w:sz w:val="21"/>
        </w:rPr>
        <w:t>府采购活动时，应当提供《残疾人福利性单位声明函》(见投标文件格式)，并对声明的真实性负责。</w:t>
      </w:r>
    </w:p>
    <w:p w14:paraId="224C50EA">
      <w:pPr>
        <w:pStyle w:val="46"/>
        <w:numPr>
          <w:ilvl w:val="1"/>
          <w:numId w:val="3"/>
        </w:numPr>
        <w:tabs>
          <w:tab w:val="left" w:pos="440"/>
        </w:tabs>
        <w:spacing w:before="3"/>
        <w:jc w:val="both"/>
        <w:rPr>
          <w:sz w:val="24"/>
        </w:rPr>
      </w:pPr>
      <w:bookmarkStart w:id="54" w:name="3.3_磋商有效期"/>
      <w:bookmarkEnd w:id="54"/>
      <w:r>
        <w:rPr>
          <w:sz w:val="24"/>
        </w:rPr>
        <w:t>磋商有效期</w:t>
      </w:r>
    </w:p>
    <w:p w14:paraId="0258AF93">
      <w:pPr>
        <w:pStyle w:val="46"/>
        <w:numPr>
          <w:ilvl w:val="2"/>
          <w:numId w:val="3"/>
        </w:numPr>
        <w:tabs>
          <w:tab w:val="left" w:pos="440"/>
        </w:tabs>
        <w:spacing w:before="160"/>
        <w:ind w:left="1880" w:hanging="720"/>
        <w:jc w:val="left"/>
        <w:rPr>
          <w:sz w:val="24"/>
        </w:rPr>
      </w:pPr>
      <w:r>
        <w:rPr>
          <w:spacing w:val="-3"/>
          <w:sz w:val="24"/>
        </w:rPr>
        <w:t>在供应商须知前附表规定的磋商有效期内，供应商不得要求撤销或修改</w:t>
      </w:r>
    </w:p>
    <w:p w14:paraId="68B4C5C1">
      <w:pPr>
        <w:pStyle w:val="3"/>
        <w:spacing w:before="133"/>
        <w:jc w:val="left"/>
      </w:pPr>
      <w:r>
        <w:t>其响应文件。</w:t>
      </w:r>
    </w:p>
    <w:p w14:paraId="39C58006">
      <w:pPr>
        <w:pStyle w:val="46"/>
        <w:numPr>
          <w:ilvl w:val="2"/>
          <w:numId w:val="3"/>
        </w:numPr>
        <w:tabs>
          <w:tab w:val="left" w:pos="1820"/>
        </w:tabs>
        <w:spacing w:before="160" w:line="364" w:lineRule="auto"/>
        <w:ind w:right="549" w:firstLine="480"/>
        <w:jc w:val="left"/>
        <w:rPr>
          <w:sz w:val="24"/>
        </w:rPr>
      </w:pPr>
      <w:r>
        <w:rPr>
          <w:sz w:val="24"/>
        </w:rPr>
        <w:t>出现特殊情况需要延长磋商有效期的，采购人以书面形式通知所有供应</w:t>
      </w:r>
      <w:r>
        <w:rPr>
          <w:spacing w:val="-15"/>
          <w:sz w:val="24"/>
        </w:rPr>
        <w:t xml:space="preserve">商延长磋商有效期。供应商同意延长的，不得要求或被允许修改或撤销其响应文件； </w:t>
      </w:r>
      <w:r>
        <w:rPr>
          <w:sz w:val="24"/>
        </w:rPr>
        <w:t>供应商拒绝延长的，其响应文件失效。</w:t>
      </w:r>
    </w:p>
    <w:p w14:paraId="2DD35FBD">
      <w:pPr>
        <w:pStyle w:val="46"/>
        <w:numPr>
          <w:ilvl w:val="1"/>
          <w:numId w:val="3"/>
        </w:numPr>
        <w:tabs>
          <w:tab w:val="left" w:pos="1100"/>
        </w:tabs>
        <w:spacing w:before="2"/>
        <w:ind w:left="1100" w:hanging="420"/>
        <w:rPr>
          <w:sz w:val="24"/>
        </w:rPr>
      </w:pPr>
      <w:bookmarkStart w:id="55" w:name="3.4资格审查资料"/>
      <w:bookmarkEnd w:id="55"/>
      <w:r>
        <w:rPr>
          <w:sz w:val="24"/>
        </w:rPr>
        <w:t>资格审查资料</w:t>
      </w:r>
    </w:p>
    <w:p w14:paraId="4BFC5F93">
      <w:pPr>
        <w:pStyle w:val="3"/>
        <w:spacing w:before="161"/>
        <w:ind w:left="1160"/>
      </w:pPr>
      <w:r>
        <w:t>见供应商须知前附表。</w:t>
      </w:r>
    </w:p>
    <w:p w14:paraId="6ACBFC8A">
      <w:pPr>
        <w:pStyle w:val="46"/>
        <w:numPr>
          <w:ilvl w:val="1"/>
          <w:numId w:val="3"/>
        </w:numPr>
        <w:tabs>
          <w:tab w:val="left" w:pos="440"/>
        </w:tabs>
        <w:spacing w:before="160"/>
        <w:rPr>
          <w:sz w:val="24"/>
        </w:rPr>
      </w:pPr>
      <w:bookmarkStart w:id="56" w:name="3.5_备选方案"/>
      <w:bookmarkEnd w:id="56"/>
      <w:r>
        <w:rPr>
          <w:sz w:val="24"/>
        </w:rPr>
        <w:t>备选方案</w:t>
      </w:r>
    </w:p>
    <w:p w14:paraId="1B522CF4">
      <w:pPr>
        <w:pStyle w:val="3"/>
        <w:spacing w:before="161"/>
        <w:ind w:left="1160"/>
      </w:pPr>
      <w:r>
        <w:t>除供应商须知前附表另有规定外，供应商不得递交备选磋商方案。</w:t>
      </w:r>
    </w:p>
    <w:p w14:paraId="25ABCDF2">
      <w:pPr>
        <w:pStyle w:val="46"/>
        <w:numPr>
          <w:ilvl w:val="1"/>
          <w:numId w:val="3"/>
        </w:numPr>
        <w:tabs>
          <w:tab w:val="left" w:pos="1100"/>
        </w:tabs>
        <w:spacing w:before="160"/>
        <w:ind w:left="1100" w:hanging="420"/>
        <w:rPr>
          <w:sz w:val="24"/>
        </w:rPr>
      </w:pPr>
      <w:bookmarkStart w:id="57" w:name="3.6响应文件的编制"/>
      <w:bookmarkEnd w:id="57"/>
      <w:r>
        <w:rPr>
          <w:sz w:val="24"/>
        </w:rPr>
        <w:t>响应文件的编制</w:t>
      </w:r>
    </w:p>
    <w:p w14:paraId="0CFAD298">
      <w:pPr>
        <w:pStyle w:val="46"/>
        <w:numPr>
          <w:ilvl w:val="2"/>
          <w:numId w:val="4"/>
        </w:numPr>
        <w:tabs>
          <w:tab w:val="left" w:pos="1820"/>
        </w:tabs>
        <w:spacing w:before="161" w:line="364" w:lineRule="auto"/>
        <w:ind w:right="549" w:firstLine="480"/>
        <w:rPr>
          <w:sz w:val="24"/>
        </w:rPr>
      </w:pPr>
      <w:r>
        <w:rPr>
          <w:spacing w:val="-9"/>
          <w:sz w:val="24"/>
        </w:rPr>
        <w:t xml:space="preserve">响应文件应按第六章“竞争性磋商响应文件格式”进行编写，如有必要， </w:t>
      </w:r>
      <w:r>
        <w:rPr>
          <w:spacing w:val="-5"/>
          <w:sz w:val="24"/>
        </w:rPr>
        <w:t>可以增加附页，作为响应文件的组成部分。其中，磋商函附录在满足磋商文件实质性要求的基础上，可以提出比磋商文件要求更有利于采购人的承诺。</w:t>
      </w:r>
    </w:p>
    <w:p w14:paraId="2AABD971">
      <w:pPr>
        <w:pStyle w:val="46"/>
        <w:numPr>
          <w:ilvl w:val="2"/>
          <w:numId w:val="4"/>
        </w:numPr>
        <w:tabs>
          <w:tab w:val="left" w:pos="1880"/>
        </w:tabs>
        <w:spacing w:line="364" w:lineRule="auto"/>
        <w:ind w:right="669" w:firstLine="480"/>
        <w:rPr>
          <w:sz w:val="24"/>
        </w:rPr>
      </w:pPr>
      <w:r>
        <w:rPr>
          <w:spacing w:val="-4"/>
          <w:sz w:val="24"/>
        </w:rPr>
        <w:t>响应文件应当对磋商文件有关</w:t>
      </w:r>
      <w:r>
        <w:rPr>
          <w:rFonts w:hint="eastAsia"/>
          <w:spacing w:val="-4"/>
          <w:sz w:val="24"/>
          <w:lang w:val="en-US" w:eastAsia="zh-CN"/>
        </w:rPr>
        <w:t>履行期限</w:t>
      </w:r>
      <w:r>
        <w:rPr>
          <w:spacing w:val="-4"/>
          <w:sz w:val="24"/>
        </w:rPr>
        <w:t>、磋商有效期、质量要求、采购内容</w:t>
      </w:r>
      <w:r>
        <w:rPr>
          <w:sz w:val="24"/>
        </w:rPr>
        <w:t>等实质性内容作出响应。</w:t>
      </w:r>
    </w:p>
    <w:p w14:paraId="1EE439BC">
      <w:pPr>
        <w:pStyle w:val="46"/>
        <w:numPr>
          <w:ilvl w:val="2"/>
          <w:numId w:val="4"/>
        </w:numPr>
        <w:tabs>
          <w:tab w:val="left" w:pos="1820"/>
        </w:tabs>
        <w:spacing w:before="2" w:line="364" w:lineRule="auto"/>
        <w:ind w:right="669" w:firstLine="480"/>
        <w:rPr>
          <w:sz w:val="24"/>
        </w:rPr>
      </w:pPr>
      <w:r>
        <w:rPr>
          <w:spacing w:val="-1"/>
          <w:sz w:val="24"/>
        </w:rPr>
        <w:t>电子投标文件签字或盖章的具体要求见供应商须知前附表。如委托代理</w:t>
      </w:r>
      <w:r>
        <w:rPr>
          <w:sz w:val="24"/>
        </w:rPr>
        <w:t>人电子签章的，电子投标文件应附法定代表人签署的授权委托书。</w:t>
      </w:r>
    </w:p>
    <w:p w14:paraId="5ECDEC47">
      <w:pPr>
        <w:pStyle w:val="46"/>
        <w:numPr>
          <w:ilvl w:val="0"/>
          <w:numId w:val="0"/>
        </w:numPr>
        <w:tabs>
          <w:tab w:val="left" w:pos="1401"/>
        </w:tabs>
        <w:spacing w:before="2"/>
        <w:ind w:left="1160" w:leftChars="0"/>
        <w:jc w:val="left"/>
        <w:rPr>
          <w:b/>
          <w:bCs/>
          <w:sz w:val="24"/>
        </w:rPr>
      </w:pPr>
      <w:r>
        <w:rPr>
          <w:rFonts w:hint="eastAsia"/>
          <w:b/>
          <w:bCs/>
          <w:sz w:val="24"/>
          <w:lang w:val="en-US" w:eastAsia="zh-CN"/>
        </w:rPr>
        <w:t>4、</w:t>
      </w:r>
      <w:r>
        <w:rPr>
          <w:b/>
          <w:bCs/>
          <w:sz w:val="24"/>
        </w:rPr>
        <w:t>磋商</w:t>
      </w:r>
    </w:p>
    <w:p w14:paraId="06874D8A">
      <w:pPr>
        <w:pStyle w:val="46"/>
        <w:numPr>
          <w:ilvl w:val="0"/>
          <w:numId w:val="0"/>
        </w:numPr>
        <w:tabs>
          <w:tab w:val="left" w:pos="1640"/>
        </w:tabs>
        <w:spacing w:before="161"/>
        <w:ind w:left="1160" w:leftChars="0"/>
        <w:rPr>
          <w:sz w:val="24"/>
        </w:rPr>
      </w:pPr>
      <w:r>
        <w:rPr>
          <w:rFonts w:hint="eastAsia"/>
          <w:sz w:val="24"/>
          <w:lang w:val="en-US" w:eastAsia="zh-CN"/>
        </w:rPr>
        <w:t>4.1</w:t>
      </w:r>
      <w:r>
        <w:rPr>
          <w:sz w:val="24"/>
        </w:rPr>
        <w:t>响应文件的递交</w:t>
      </w:r>
    </w:p>
    <w:p w14:paraId="572E7744">
      <w:pPr>
        <w:pStyle w:val="46"/>
        <w:numPr>
          <w:ilvl w:val="0"/>
          <w:numId w:val="0"/>
        </w:numPr>
        <w:tabs>
          <w:tab w:val="left" w:pos="1820"/>
        </w:tabs>
        <w:spacing w:before="160"/>
        <w:ind w:left="1160" w:leftChars="0"/>
        <w:rPr>
          <w:sz w:val="24"/>
        </w:rPr>
      </w:pPr>
      <w:r>
        <w:rPr>
          <w:rFonts w:hint="eastAsia"/>
          <w:sz w:val="24"/>
          <w:lang w:val="en-US" w:eastAsia="zh-CN"/>
        </w:rPr>
        <w:t>4.1.1</w:t>
      </w:r>
      <w:r>
        <w:rPr>
          <w:sz w:val="24"/>
        </w:rPr>
        <w:t>电子投标（响应）文件的递交</w:t>
      </w:r>
    </w:p>
    <w:p w14:paraId="2AABAD6D">
      <w:pPr>
        <w:pStyle w:val="3"/>
        <w:spacing w:before="161"/>
        <w:ind w:left="1160"/>
      </w:pPr>
      <w:r>
        <w:t>各投标（供应商）人应在投标截止时间前上传加密的电子投标（响应）文件</w:t>
      </w:r>
    </w:p>
    <w:p w14:paraId="6A888573">
      <w:pPr>
        <w:pStyle w:val="3"/>
        <w:spacing w:before="160" w:line="364" w:lineRule="auto"/>
        <w:ind w:left="680" w:right="549"/>
      </w:pPr>
      <w:r>
        <w:t>（*.XYTF）</w:t>
      </w:r>
      <w:r>
        <w:rPr>
          <w:spacing w:val="-2"/>
        </w:rPr>
        <w:t xml:space="preserve">到会员系统的指定位置。上传的电子投标文件应使用投标人 </w:t>
      </w:r>
      <w:r>
        <w:t>CA</w:t>
      </w:r>
      <w:r>
        <w:rPr>
          <w:spacing w:val="-12"/>
        </w:rPr>
        <w:t xml:space="preserve"> 数字证</w:t>
      </w:r>
      <w:r>
        <w:rPr>
          <w:spacing w:val="-17"/>
        </w:rPr>
        <w:t>书认证并加密。上传时必须得到交易系统“上传成功”的确认回复后方为上传成功。</w:t>
      </w:r>
      <w:r>
        <w:rPr>
          <w:spacing w:val="-9"/>
        </w:rPr>
        <w:t>请投标人</w:t>
      </w:r>
      <w:r>
        <w:t>（供应商</w:t>
      </w:r>
      <w:r>
        <w:rPr>
          <w:spacing w:val="-34"/>
        </w:rPr>
        <w:t>）</w:t>
      </w:r>
      <w:r>
        <w:rPr>
          <w:spacing w:val="-3"/>
        </w:rPr>
        <w:t>在上传前务必认真检查上传投标</w:t>
      </w:r>
      <w:r>
        <w:t>（响应</w:t>
      </w:r>
      <w:r>
        <w:rPr>
          <w:spacing w:val="-34"/>
        </w:rPr>
        <w:t>）</w:t>
      </w:r>
      <w:r>
        <w:rPr>
          <w:spacing w:val="-6"/>
        </w:rPr>
        <w:t>文件是否完整、正确。</w:t>
      </w:r>
    </w:p>
    <w:p w14:paraId="33EC41A6">
      <w:pPr>
        <w:pStyle w:val="46"/>
        <w:numPr>
          <w:ilvl w:val="0"/>
          <w:numId w:val="0"/>
        </w:numPr>
        <w:tabs>
          <w:tab w:val="left" w:pos="1640"/>
        </w:tabs>
        <w:spacing w:before="2"/>
        <w:ind w:left="1160" w:leftChars="0"/>
        <w:rPr>
          <w:sz w:val="24"/>
        </w:rPr>
      </w:pPr>
      <w:r>
        <w:rPr>
          <w:rFonts w:hint="eastAsia"/>
          <w:sz w:val="24"/>
          <w:lang w:val="en-US" w:eastAsia="zh-CN"/>
        </w:rPr>
        <w:t>4.1.2</w:t>
      </w:r>
      <w:r>
        <w:rPr>
          <w:sz w:val="24"/>
        </w:rPr>
        <w:t>响应文件的修改、补充与撤回</w:t>
      </w:r>
    </w:p>
    <w:p w14:paraId="15D7A478">
      <w:pPr>
        <w:pStyle w:val="46"/>
        <w:numPr>
          <w:ilvl w:val="0"/>
          <w:numId w:val="0"/>
        </w:numPr>
        <w:tabs>
          <w:tab w:val="left" w:pos="1820"/>
        </w:tabs>
        <w:spacing w:before="160"/>
        <w:ind w:left="1160" w:leftChars="0"/>
        <w:rPr>
          <w:sz w:val="24"/>
        </w:rPr>
      </w:pPr>
      <w:r>
        <w:rPr>
          <w:rFonts w:hint="eastAsia"/>
          <w:sz w:val="24"/>
          <w:lang w:val="en-US" w:eastAsia="zh-CN"/>
        </w:rPr>
        <w:t>4.1.3</w:t>
      </w:r>
      <w:r>
        <w:rPr>
          <w:sz w:val="24"/>
        </w:rPr>
        <w:t>供应商可以在响应文件递交截止时间之前，可以多次修改或撤回已上传</w:t>
      </w:r>
    </w:p>
    <w:p w14:paraId="45AE8766">
      <w:pPr>
        <w:pStyle w:val="3"/>
        <w:spacing w:before="7"/>
        <w:rPr>
          <w:sz w:val="13"/>
        </w:rPr>
      </w:pPr>
    </w:p>
    <w:p w14:paraId="1236326E">
      <w:pPr>
        <w:pStyle w:val="3"/>
        <w:spacing w:before="133" w:line="364" w:lineRule="auto"/>
        <w:ind w:left="240" w:leftChars="109" w:right="669" w:firstLine="448" w:firstLineChars="200"/>
      </w:pPr>
      <w:r>
        <w:rPr>
          <w:spacing w:val="-8"/>
        </w:rPr>
        <w:t>的响应文件，最终响应文件以投标截止时间前完成上传至信阳市公共资源交易中心</w:t>
      </w:r>
      <w:r>
        <w:t>交易</w:t>
      </w:r>
      <w:r>
        <w:rPr>
          <w:rFonts w:hint="eastAsia"/>
          <w:lang w:val="en-US" w:eastAsia="zh-CN"/>
        </w:rPr>
        <w:t xml:space="preserve"> </w:t>
      </w:r>
      <w:r>
        <w:t>系统最后一份响应文件为准。</w:t>
      </w:r>
    </w:p>
    <w:p w14:paraId="111C70E7">
      <w:pPr>
        <w:pStyle w:val="46"/>
        <w:numPr>
          <w:ilvl w:val="0"/>
          <w:numId w:val="0"/>
        </w:numPr>
        <w:tabs>
          <w:tab w:val="left" w:pos="1820"/>
        </w:tabs>
        <w:ind w:left="1160" w:leftChars="0"/>
        <w:rPr>
          <w:sz w:val="24"/>
        </w:rPr>
      </w:pPr>
      <w:r>
        <w:rPr>
          <w:rFonts w:hint="eastAsia"/>
          <w:sz w:val="24"/>
          <w:lang w:val="en-US" w:eastAsia="zh-CN"/>
        </w:rPr>
        <w:t>4.1.4</w:t>
      </w:r>
      <w:r>
        <w:rPr>
          <w:sz w:val="24"/>
        </w:rPr>
        <w:t>修改的响应文件应按照本章相关规定进行编制和递交</w:t>
      </w:r>
    </w:p>
    <w:p w14:paraId="6B09C236">
      <w:pPr>
        <w:pStyle w:val="46"/>
        <w:numPr>
          <w:ilvl w:val="0"/>
          <w:numId w:val="0"/>
        </w:numPr>
        <w:tabs>
          <w:tab w:val="left" w:pos="1640"/>
        </w:tabs>
        <w:spacing w:before="160"/>
        <w:ind w:left="1160" w:leftChars="0"/>
        <w:rPr>
          <w:sz w:val="24"/>
        </w:rPr>
      </w:pPr>
      <w:r>
        <w:rPr>
          <w:rFonts w:hint="eastAsia"/>
          <w:sz w:val="24"/>
          <w:lang w:val="en-US" w:eastAsia="zh-CN"/>
        </w:rPr>
        <w:t xml:space="preserve">4.2 </w:t>
      </w:r>
      <w:r>
        <w:rPr>
          <w:sz w:val="24"/>
        </w:rPr>
        <w:t>响应文件的拒绝和无效</w:t>
      </w:r>
    </w:p>
    <w:p w14:paraId="2E9E144D">
      <w:pPr>
        <w:pStyle w:val="3"/>
        <w:spacing w:before="161"/>
        <w:ind w:left="1160"/>
      </w:pPr>
      <w:r>
        <w:t>属于下列情况之一的响应文件，其投标将被否决：</w:t>
      </w:r>
    </w:p>
    <w:p w14:paraId="1A9C7704">
      <w:pPr>
        <w:pStyle w:val="46"/>
        <w:numPr>
          <w:ilvl w:val="0"/>
          <w:numId w:val="5"/>
        </w:numPr>
        <w:tabs>
          <w:tab w:val="left" w:pos="1761"/>
        </w:tabs>
        <w:spacing w:before="160"/>
        <w:rPr>
          <w:sz w:val="24"/>
        </w:rPr>
      </w:pPr>
      <w:r>
        <w:rPr>
          <w:sz w:val="24"/>
        </w:rPr>
        <w:t>供应商的法定代表人或其授权代表人未按规定时间参加开标会议；</w:t>
      </w:r>
    </w:p>
    <w:p w14:paraId="736C1728">
      <w:pPr>
        <w:pStyle w:val="46"/>
        <w:numPr>
          <w:ilvl w:val="0"/>
          <w:numId w:val="5"/>
        </w:numPr>
        <w:tabs>
          <w:tab w:val="left" w:pos="1761"/>
        </w:tabs>
        <w:spacing w:before="161"/>
        <w:rPr>
          <w:sz w:val="24"/>
        </w:rPr>
      </w:pPr>
      <w:r>
        <w:rPr>
          <w:sz w:val="24"/>
        </w:rPr>
        <w:t>供应商对同一招标项目递交两份或两份以上不同的响应文件；</w:t>
      </w:r>
    </w:p>
    <w:p w14:paraId="66FA6947">
      <w:pPr>
        <w:pStyle w:val="46"/>
        <w:numPr>
          <w:ilvl w:val="0"/>
          <w:numId w:val="5"/>
        </w:numPr>
        <w:tabs>
          <w:tab w:val="left" w:pos="1761"/>
        </w:tabs>
        <w:spacing w:before="160"/>
        <w:rPr>
          <w:sz w:val="24"/>
        </w:rPr>
      </w:pPr>
      <w:r>
        <w:rPr>
          <w:sz w:val="24"/>
        </w:rPr>
        <w:t>响应文件中含有虚假资料；</w:t>
      </w:r>
    </w:p>
    <w:p w14:paraId="31F436EA">
      <w:pPr>
        <w:pStyle w:val="46"/>
        <w:numPr>
          <w:ilvl w:val="0"/>
          <w:numId w:val="5"/>
        </w:numPr>
        <w:tabs>
          <w:tab w:val="left" w:pos="1761"/>
        </w:tabs>
        <w:spacing w:before="161"/>
        <w:rPr>
          <w:sz w:val="24"/>
        </w:rPr>
      </w:pPr>
      <w:r>
        <w:rPr>
          <w:sz w:val="24"/>
        </w:rPr>
        <w:t>响应文件中有采购人不能接受的条件；</w:t>
      </w:r>
    </w:p>
    <w:p w14:paraId="7B156A5C">
      <w:pPr>
        <w:pStyle w:val="46"/>
        <w:numPr>
          <w:ilvl w:val="0"/>
          <w:numId w:val="5"/>
        </w:numPr>
        <w:tabs>
          <w:tab w:val="left" w:pos="1761"/>
        </w:tabs>
        <w:spacing w:before="160"/>
        <w:rPr>
          <w:sz w:val="24"/>
        </w:rPr>
      </w:pPr>
      <w:r>
        <w:rPr>
          <w:sz w:val="24"/>
        </w:rPr>
        <w:t>投标报价高于磋商</w:t>
      </w:r>
      <w:r>
        <w:rPr>
          <w:rFonts w:hint="eastAsia"/>
          <w:sz w:val="24"/>
          <w:lang w:val="en-US" w:eastAsia="zh-CN"/>
        </w:rPr>
        <w:t>最高限价</w:t>
      </w:r>
      <w:r>
        <w:rPr>
          <w:sz w:val="24"/>
        </w:rPr>
        <w:t>的。</w:t>
      </w:r>
    </w:p>
    <w:p w14:paraId="6629B720">
      <w:pPr>
        <w:pStyle w:val="46"/>
        <w:numPr>
          <w:ilvl w:val="0"/>
          <w:numId w:val="5"/>
        </w:numPr>
        <w:tabs>
          <w:tab w:val="left" w:pos="1761"/>
        </w:tabs>
        <w:spacing w:before="161"/>
        <w:rPr>
          <w:sz w:val="24"/>
        </w:rPr>
      </w:pPr>
      <w:r>
        <w:rPr>
          <w:sz w:val="24"/>
        </w:rPr>
        <w:t>本磋商文件规定的其他情形。</w:t>
      </w:r>
    </w:p>
    <w:p w14:paraId="5B565473">
      <w:pPr>
        <w:pStyle w:val="3"/>
        <w:spacing w:before="5"/>
        <w:rPr>
          <w:sz w:val="20"/>
        </w:rPr>
      </w:pPr>
    </w:p>
    <w:p w14:paraId="147F17DD">
      <w:pPr>
        <w:pStyle w:val="46"/>
        <w:numPr>
          <w:ilvl w:val="0"/>
          <w:numId w:val="0"/>
        </w:numPr>
        <w:tabs>
          <w:tab w:val="left" w:pos="1040"/>
        </w:tabs>
        <w:spacing w:before="0"/>
        <w:ind w:left="680" w:leftChars="0"/>
        <w:jc w:val="both"/>
        <w:rPr>
          <w:sz w:val="24"/>
        </w:rPr>
      </w:pPr>
      <w:bookmarkStart w:id="58" w:name="5._磋商开始"/>
      <w:bookmarkEnd w:id="58"/>
      <w:r>
        <w:rPr>
          <w:rFonts w:hint="eastAsia"/>
          <w:sz w:val="24"/>
          <w:lang w:val="en-US" w:eastAsia="zh-CN"/>
        </w:rPr>
        <w:t>4.3</w:t>
      </w:r>
      <w:r>
        <w:rPr>
          <w:sz w:val="24"/>
        </w:rPr>
        <w:t>磋商开始</w:t>
      </w:r>
    </w:p>
    <w:p w14:paraId="18C6C2CB">
      <w:pPr>
        <w:pStyle w:val="46"/>
        <w:numPr>
          <w:ilvl w:val="0"/>
          <w:numId w:val="0"/>
        </w:numPr>
        <w:tabs>
          <w:tab w:val="left" w:pos="1160"/>
        </w:tabs>
        <w:spacing w:before="161"/>
        <w:ind w:firstLine="720" w:firstLineChars="300"/>
        <w:jc w:val="both"/>
        <w:rPr>
          <w:sz w:val="24"/>
        </w:rPr>
      </w:pPr>
      <w:bookmarkStart w:id="59" w:name="2.2_磋商文件的澄清"/>
      <w:bookmarkEnd w:id="59"/>
      <w:bookmarkStart w:id="60" w:name="5.1_磋商时间和地点"/>
      <w:bookmarkEnd w:id="60"/>
      <w:r>
        <w:rPr>
          <w:rFonts w:hint="eastAsia"/>
          <w:sz w:val="24"/>
          <w:lang w:val="en-US" w:eastAsia="zh-CN"/>
        </w:rPr>
        <w:t>4.3.1</w:t>
      </w:r>
      <w:r>
        <w:rPr>
          <w:sz w:val="24"/>
        </w:rPr>
        <w:t>磋商时间和地点</w:t>
      </w:r>
    </w:p>
    <w:p w14:paraId="76C79CAB">
      <w:pPr>
        <w:pStyle w:val="3"/>
        <w:spacing w:before="160" w:line="364" w:lineRule="auto"/>
        <w:ind w:left="680" w:right="669" w:firstLine="480"/>
        <w:jc w:val="both"/>
      </w:pPr>
      <w:r>
        <w:rPr>
          <w:spacing w:val="-38"/>
        </w:rPr>
        <w:t>本 项 目 采 用 “ 不 见 面 开 标 ” 交 易 方 式 ， 不 见 面 开 标 大 厅 网 址</w:t>
      </w:r>
      <w:r>
        <w:rPr>
          <w:spacing w:val="20"/>
        </w:rPr>
        <w:t xml:space="preserve">为 </w:t>
      </w:r>
      <w:r>
        <w:rPr>
          <w:rFonts w:hint="eastAsia"/>
        </w:rPr>
        <w:t>https://ggzyjy.xinyang.gov.cn/BidOpening/bidhall/xinyang/login.html</w:t>
      </w:r>
      <w:r>
        <w:rPr>
          <w:spacing w:val="-2"/>
        </w:rPr>
        <w:t>，供应商无需寄送和递交非加密的</w:t>
      </w:r>
      <w:r>
        <w:t>电子响应文件，无需到现场参加开标会议，无需到达现场提交原件资料。</w:t>
      </w:r>
    </w:p>
    <w:p w14:paraId="6EA94A5E">
      <w:pPr>
        <w:pStyle w:val="3"/>
        <w:spacing w:before="2" w:line="364" w:lineRule="auto"/>
        <w:ind w:left="680" w:right="549" w:firstLine="480"/>
        <w:jc w:val="both"/>
      </w:pPr>
      <w:r>
        <w:rPr>
          <w:spacing w:val="-7"/>
        </w:rPr>
        <w:t xml:space="preserve">供应商应当在投标截止时间前，使用供应商 </w:t>
      </w:r>
      <w:r>
        <w:t>CA</w:t>
      </w:r>
      <w:r>
        <w:rPr>
          <w:spacing w:val="-9"/>
        </w:rPr>
        <w:t xml:space="preserve"> 数字证书登录不见面开标大厅， </w:t>
      </w:r>
      <w:r>
        <w:t>在线签到并准时参加开标活动，并在规定时间内完成响应文件解密、答疑澄清等。</w:t>
      </w:r>
    </w:p>
    <w:p w14:paraId="338C5CE9">
      <w:pPr>
        <w:pStyle w:val="3"/>
        <w:spacing w:before="1" w:line="364" w:lineRule="auto"/>
        <w:ind w:left="680" w:right="667" w:firstLine="480"/>
        <w:jc w:val="both"/>
      </w:pPr>
      <w:r>
        <w:rPr>
          <w:spacing w:val="-3"/>
        </w:rPr>
        <w:t xml:space="preserve">供应商需在解密开始后 </w:t>
      </w:r>
      <w:r>
        <w:t>10</w:t>
      </w:r>
      <w:r>
        <w:rPr>
          <w:spacing w:val="-6"/>
        </w:rPr>
        <w:t xml:space="preserve"> 分钟内完成解密</w:t>
      </w:r>
      <w:r>
        <w:t>（当供应商过多时，解密时间可以适当延长</w:t>
      </w:r>
      <w:r>
        <w:rPr>
          <w:spacing w:val="-10"/>
        </w:rPr>
        <w:t>）</w:t>
      </w:r>
      <w:r>
        <w:rPr>
          <w:spacing w:val="-5"/>
        </w:rPr>
        <w:t>。在响应文件解密过程中，因供应商原因</w:t>
      </w:r>
      <w:r>
        <w:t>（</w:t>
      </w:r>
      <w:r>
        <w:rPr>
          <w:spacing w:val="-2"/>
        </w:rPr>
        <w:t>如投标人准备不到位、电脑</w:t>
      </w:r>
      <w:r>
        <w:t>网络问题等</w:t>
      </w:r>
      <w:r>
        <w:rPr>
          <w:spacing w:val="-11"/>
        </w:rPr>
        <w:t>）</w:t>
      </w:r>
      <w:r>
        <w:rPr>
          <w:spacing w:val="-6"/>
        </w:rPr>
        <w:t>，造成无法及时解密的，将被退回响应文件。逾期解密或者没有准时</w:t>
      </w:r>
      <w:r>
        <w:t>在线参加开标活动导致的一切后果供应商自行承担。</w:t>
      </w:r>
    </w:p>
    <w:p w14:paraId="5F267D4D">
      <w:pPr>
        <w:pStyle w:val="3"/>
        <w:spacing w:before="2" w:line="364" w:lineRule="auto"/>
        <w:ind w:left="680" w:right="609" w:firstLine="480"/>
      </w:pPr>
      <w:r>
        <w:t>不见面开标服务的具体事宜，请查阅信阳市公共资源交易中心网站首页—下载中心—信阳市不见面开标大厅系统操作手册。</w:t>
      </w:r>
    </w:p>
    <w:p w14:paraId="19BF3EA2">
      <w:pPr>
        <w:pStyle w:val="3"/>
        <w:spacing w:before="2" w:line="364" w:lineRule="auto"/>
        <w:ind w:left="680" w:right="612" w:firstLine="480"/>
      </w:pPr>
      <w:r>
        <w:t>特别提示：供应商在线签到时，应如实准确的填写授权委托人的联系电话，开标当天请务必保证电话保持畅通。</w:t>
      </w:r>
    </w:p>
    <w:p w14:paraId="7352F3D8">
      <w:pPr>
        <w:pStyle w:val="46"/>
        <w:numPr>
          <w:ilvl w:val="0"/>
          <w:numId w:val="0"/>
        </w:numPr>
        <w:tabs>
          <w:tab w:val="left" w:pos="1160"/>
        </w:tabs>
        <w:ind w:left="680" w:leftChars="0"/>
        <w:rPr>
          <w:sz w:val="24"/>
        </w:rPr>
      </w:pPr>
      <w:bookmarkStart w:id="61" w:name="5.2_磋商程序"/>
      <w:bookmarkEnd w:id="61"/>
      <w:r>
        <w:rPr>
          <w:rFonts w:hint="eastAsia"/>
          <w:sz w:val="24"/>
          <w:lang w:val="en-US" w:eastAsia="zh-CN"/>
        </w:rPr>
        <w:t>4.3.2</w:t>
      </w:r>
      <w:r>
        <w:rPr>
          <w:sz w:val="24"/>
        </w:rPr>
        <w:t>磋商程序</w:t>
      </w:r>
    </w:p>
    <w:p w14:paraId="754AED90">
      <w:pPr>
        <w:pStyle w:val="46"/>
        <w:numPr>
          <w:ilvl w:val="0"/>
          <w:numId w:val="0"/>
        </w:numPr>
        <w:tabs>
          <w:tab w:val="left" w:pos="1761"/>
        </w:tabs>
        <w:spacing w:before="160"/>
        <w:ind w:firstLine="720" w:firstLineChars="300"/>
        <w:rPr>
          <w:sz w:val="24"/>
        </w:rPr>
      </w:pPr>
      <w:r>
        <w:rPr>
          <w:rFonts w:hint="eastAsia"/>
          <w:sz w:val="24"/>
          <w:lang w:val="en-US" w:eastAsia="zh-CN"/>
        </w:rPr>
        <w:t>（1）</w:t>
      </w:r>
      <w:r>
        <w:rPr>
          <w:sz w:val="24"/>
        </w:rPr>
        <w:t>磋商小组对磋商文件进行熟悉确认。</w:t>
      </w:r>
    </w:p>
    <w:p w14:paraId="3363F735">
      <w:pPr>
        <w:pStyle w:val="46"/>
        <w:numPr>
          <w:ilvl w:val="0"/>
          <w:numId w:val="0"/>
        </w:numPr>
        <w:tabs>
          <w:tab w:val="left" w:pos="1761"/>
        </w:tabs>
        <w:spacing w:before="161"/>
        <w:ind w:firstLine="720" w:firstLineChars="300"/>
        <w:rPr>
          <w:sz w:val="24"/>
        </w:rPr>
      </w:pPr>
      <w:r>
        <w:rPr>
          <w:rFonts w:hint="eastAsia"/>
          <w:sz w:val="24"/>
          <w:lang w:val="en-US" w:eastAsia="zh-CN"/>
        </w:rPr>
        <w:t>(2)</w:t>
      </w:r>
      <w:r>
        <w:rPr>
          <w:sz w:val="24"/>
        </w:rPr>
        <w:t>磋商小组推选组长，讨论、通过磋商工作流程和磋商要点。</w:t>
      </w:r>
    </w:p>
    <w:p w14:paraId="34ECBA3C">
      <w:pPr>
        <w:pageBreakBefore w:val="0"/>
        <w:kinsoku/>
        <w:wordWrap/>
        <w:overflowPunct/>
        <w:topLinePunct w:val="0"/>
        <w:bidi w:val="0"/>
        <w:snapToGrid/>
        <w:spacing w:line="400" w:lineRule="exact"/>
        <w:ind w:firstLine="720" w:firstLineChars="300"/>
        <w:textAlignment w:val="auto"/>
        <w:rPr>
          <w:rFonts w:ascii="宋体" w:hAnsi="宋体" w:eastAsia="宋体" w:cs="宋体"/>
          <w:sz w:val="24"/>
          <w:szCs w:val="24"/>
          <w:lang w:val="zh-CN" w:eastAsia="zh-CN" w:bidi="zh-CN"/>
        </w:rPr>
      </w:pPr>
      <w:r>
        <w:rPr>
          <w:rFonts w:hint="eastAsia"/>
          <w:sz w:val="24"/>
          <w:lang w:val="en-US" w:eastAsia="zh-CN"/>
        </w:rPr>
        <w:t>(3)</w:t>
      </w:r>
      <w:r>
        <w:rPr>
          <w:sz w:val="24"/>
        </w:rPr>
        <w:t>资格性评审审查：</w:t>
      </w:r>
      <w:r>
        <w:rPr>
          <w:rFonts w:hint="eastAsia" w:ascii="宋体" w:hAnsi="宋体" w:eastAsia="宋体" w:cs="宋体"/>
          <w:color w:val="auto"/>
          <w:sz w:val="21"/>
          <w:szCs w:val="21"/>
          <w:highlight w:val="none"/>
        </w:rPr>
        <w:t>采</w:t>
      </w:r>
      <w:r>
        <w:rPr>
          <w:rFonts w:hint="eastAsia" w:ascii="宋体" w:hAnsi="宋体" w:eastAsia="宋体" w:cs="宋体"/>
          <w:sz w:val="24"/>
          <w:szCs w:val="24"/>
          <w:lang w:val="zh-CN" w:eastAsia="zh-CN" w:bidi="zh-CN"/>
        </w:rPr>
        <w:t>购人依据竞争性磋商文件规定，对供应商进行审查，以确定磋商供应商是否具备参与磋商的资格。</w:t>
      </w:r>
    </w:p>
    <w:p w14:paraId="7915967F">
      <w:pPr>
        <w:pStyle w:val="46"/>
        <w:numPr>
          <w:ilvl w:val="0"/>
          <w:numId w:val="0"/>
        </w:numPr>
        <w:tabs>
          <w:tab w:val="left" w:pos="1763"/>
        </w:tabs>
        <w:spacing w:line="364" w:lineRule="auto"/>
        <w:ind w:left="660" w:leftChars="300" w:right="669" w:rightChars="0" w:firstLine="0" w:firstLineChars="0"/>
        <w:rPr>
          <w:sz w:val="24"/>
        </w:rPr>
      </w:pPr>
      <w:r>
        <w:rPr>
          <w:rFonts w:hint="eastAsia"/>
          <w:sz w:val="24"/>
          <w:lang w:val="en-US" w:eastAsia="zh-CN"/>
        </w:rPr>
        <w:t>(4)</w:t>
      </w:r>
      <w:r>
        <w:rPr>
          <w:sz w:val="24"/>
        </w:rPr>
        <w:t>符合性评审审查：磋商开始后，磋商小组依据磋商文件规定，对响应文件中的符合性评审进行审查，以确定磋商供应商是否具备参与磋商的资格。</w:t>
      </w:r>
    </w:p>
    <w:p w14:paraId="47140AE1">
      <w:pPr>
        <w:pStyle w:val="46"/>
        <w:numPr>
          <w:ilvl w:val="0"/>
          <w:numId w:val="0"/>
        </w:numPr>
        <w:tabs>
          <w:tab w:val="left" w:pos="1763"/>
        </w:tabs>
        <w:spacing w:line="364" w:lineRule="auto"/>
        <w:ind w:left="475" w:leftChars="216" w:right="669" w:rightChars="0" w:firstLine="182" w:firstLineChars="76"/>
        <w:rPr>
          <w:sz w:val="24"/>
        </w:rPr>
      </w:pPr>
      <w:r>
        <w:rPr>
          <w:rFonts w:hint="eastAsia"/>
          <w:sz w:val="24"/>
          <w:lang w:val="en-US" w:eastAsia="zh-CN"/>
        </w:rPr>
        <w:t>(5)</w:t>
      </w:r>
      <w:r>
        <w:rPr>
          <w:sz w:val="24"/>
        </w:rPr>
        <w:t>磋商小组对通过资格性和符合性审查的响应文件进行评估，确定与各竞标人磋商的具体内容。</w:t>
      </w:r>
    </w:p>
    <w:p w14:paraId="3FDAFD27">
      <w:pPr>
        <w:pStyle w:val="46"/>
        <w:numPr>
          <w:ilvl w:val="0"/>
          <w:numId w:val="0"/>
        </w:numPr>
        <w:tabs>
          <w:tab w:val="left" w:pos="880"/>
        </w:tabs>
        <w:spacing w:line="364" w:lineRule="auto"/>
        <w:ind w:left="440" w:leftChars="0" w:right="669" w:rightChars="0" w:firstLine="218" w:firstLineChars="91"/>
        <w:jc w:val="both"/>
        <w:rPr>
          <w:sz w:val="24"/>
        </w:rPr>
      </w:pPr>
      <w:r>
        <w:rPr>
          <w:rFonts w:hint="eastAsia"/>
          <w:sz w:val="24"/>
          <w:lang w:val="en-US" w:eastAsia="zh-CN"/>
        </w:rPr>
        <w:t>(6)</w:t>
      </w:r>
      <w:r>
        <w:rPr>
          <w:sz w:val="24"/>
        </w:rPr>
        <w:t>磋商过程中，磋商小组可以根据磋商情况实质性变动采购需求中的技</w:t>
      </w:r>
      <w:r>
        <w:rPr>
          <w:spacing w:val="-7"/>
          <w:sz w:val="24"/>
        </w:rPr>
        <w:t>术、服务要求以及合同草案条款，但不得变动磋商文件中的其他内容。实质性变动</w:t>
      </w:r>
      <w:r>
        <w:rPr>
          <w:spacing w:val="-4"/>
          <w:sz w:val="24"/>
        </w:rPr>
        <w:t>的内容需经采购人(业主)代表确认。并以书面形式通知所有参加磋商的供应商，该</w:t>
      </w:r>
      <w:r>
        <w:rPr>
          <w:spacing w:val="-5"/>
          <w:sz w:val="24"/>
        </w:rPr>
        <w:t>变动是磋商文件的有效组成部分。供应商应当按照磋商文件的变动情况和磋商小组</w:t>
      </w:r>
      <w:r>
        <w:rPr>
          <w:spacing w:val="-3"/>
          <w:sz w:val="24"/>
        </w:rPr>
        <w:t>的要求重新提交响应文件并由其法定代表人或其授权代表签字或者加盖公章。由授</w:t>
      </w:r>
      <w:r>
        <w:rPr>
          <w:spacing w:val="-4"/>
          <w:sz w:val="24"/>
        </w:rPr>
        <w:t>权代表签字的应当附法定代表人授权书。供应商为自然人的应当由本人签字并附身</w:t>
      </w:r>
      <w:r>
        <w:rPr>
          <w:spacing w:val="-7"/>
          <w:sz w:val="24"/>
        </w:rPr>
        <w:t>份证。供应商应根据磋商小组的要求，以书面形式在规定时间内做出响应，未做出</w:t>
      </w:r>
      <w:r>
        <w:rPr>
          <w:spacing w:val="3"/>
          <w:sz w:val="24"/>
        </w:rPr>
        <w:t>响应的响应文件将被视为无效竞标。若磋商小组没有实质性变动采购需求中的技</w:t>
      </w:r>
      <w:r>
        <w:rPr>
          <w:spacing w:val="-6"/>
          <w:sz w:val="24"/>
        </w:rPr>
        <w:t>术、服务要求以及合同草案条款，则供应商的最后报价不得高于首次报价，否则按</w:t>
      </w:r>
      <w:r>
        <w:rPr>
          <w:sz w:val="24"/>
        </w:rPr>
        <w:t>废标处理。</w:t>
      </w:r>
    </w:p>
    <w:p w14:paraId="36A6FD55">
      <w:pPr>
        <w:pStyle w:val="46"/>
        <w:numPr>
          <w:ilvl w:val="0"/>
          <w:numId w:val="0"/>
        </w:numPr>
        <w:tabs>
          <w:tab w:val="left" w:pos="1763"/>
        </w:tabs>
        <w:spacing w:before="6" w:line="364" w:lineRule="auto"/>
        <w:ind w:right="669" w:rightChars="0" w:firstLine="480" w:firstLineChars="200"/>
        <w:jc w:val="both"/>
        <w:rPr>
          <w:sz w:val="24"/>
        </w:rPr>
      </w:pPr>
      <w:r>
        <w:rPr>
          <w:rFonts w:hint="eastAsia"/>
          <w:sz w:val="24"/>
          <w:lang w:val="en-US" w:eastAsia="zh-CN"/>
        </w:rPr>
        <w:t>(7)</w:t>
      </w:r>
      <w:r>
        <w:rPr>
          <w:sz w:val="24"/>
        </w:rPr>
        <w:t>磋商小组对符合采购需求的供应商进行两轮报价；供应商只有通过资</w:t>
      </w:r>
      <w:r>
        <w:rPr>
          <w:spacing w:val="-6"/>
          <w:sz w:val="24"/>
        </w:rPr>
        <w:t>格性评审、符合性评审后方可进入下一轮报价，在规定的时间内同时提交报价，最</w:t>
      </w:r>
      <w:r>
        <w:rPr>
          <w:sz w:val="24"/>
        </w:rPr>
        <w:t>终报价不得超过响应文件中报价。</w:t>
      </w:r>
    </w:p>
    <w:p w14:paraId="1DD2350E">
      <w:pPr>
        <w:pStyle w:val="46"/>
        <w:numPr>
          <w:ilvl w:val="0"/>
          <w:numId w:val="0"/>
        </w:numPr>
        <w:tabs>
          <w:tab w:val="left" w:pos="1763"/>
        </w:tabs>
        <w:spacing w:before="2" w:line="364" w:lineRule="auto"/>
        <w:ind w:right="669" w:rightChars="0" w:firstLine="480" w:firstLineChars="200"/>
        <w:rPr>
          <w:sz w:val="24"/>
        </w:rPr>
      </w:pPr>
      <w:r>
        <w:rPr>
          <w:rFonts w:hint="eastAsia"/>
          <w:sz w:val="24"/>
          <w:lang w:val="en-US" w:eastAsia="zh-CN"/>
        </w:rPr>
        <w:t>(8)</w:t>
      </w:r>
      <w:r>
        <w:rPr>
          <w:sz w:val="24"/>
        </w:rPr>
        <w:t>经磋商确定最终采购需求，由磋商小组采用综合评分法对通过初步评审的供应商的响应文件进行综合评分。</w:t>
      </w:r>
    </w:p>
    <w:p w14:paraId="58A3C322">
      <w:pPr>
        <w:pStyle w:val="46"/>
        <w:numPr>
          <w:ilvl w:val="0"/>
          <w:numId w:val="0"/>
        </w:numPr>
        <w:tabs>
          <w:tab w:val="left" w:pos="1040"/>
        </w:tabs>
        <w:spacing w:before="102"/>
        <w:ind w:left="680" w:leftChars="0"/>
        <w:jc w:val="left"/>
        <w:rPr>
          <w:sz w:val="24"/>
        </w:rPr>
      </w:pPr>
      <w:bookmarkStart w:id="62" w:name="6._磋商小组"/>
      <w:bookmarkEnd w:id="62"/>
      <w:bookmarkStart w:id="63" w:name="_bookmark8"/>
      <w:bookmarkEnd w:id="63"/>
      <w:r>
        <w:rPr>
          <w:rFonts w:hint="eastAsia"/>
          <w:sz w:val="24"/>
          <w:lang w:val="en-US" w:eastAsia="zh-CN"/>
        </w:rPr>
        <w:t>4.3.3</w:t>
      </w:r>
      <w:r>
        <w:rPr>
          <w:sz w:val="24"/>
        </w:rPr>
        <w:t>磋商小组</w:t>
      </w:r>
    </w:p>
    <w:p w14:paraId="279AD441">
      <w:pPr>
        <w:pStyle w:val="46"/>
        <w:numPr>
          <w:ilvl w:val="0"/>
          <w:numId w:val="0"/>
        </w:numPr>
        <w:tabs>
          <w:tab w:val="left" w:pos="1160"/>
        </w:tabs>
        <w:spacing w:before="161"/>
        <w:ind w:left="680" w:leftChars="0"/>
        <w:jc w:val="both"/>
        <w:rPr>
          <w:sz w:val="24"/>
        </w:rPr>
      </w:pPr>
      <w:bookmarkStart w:id="64" w:name="6.1_磋商小组"/>
      <w:bookmarkEnd w:id="64"/>
      <w:r>
        <w:rPr>
          <w:rFonts w:hint="eastAsia"/>
          <w:sz w:val="24"/>
          <w:lang w:val="en-US" w:eastAsia="zh-CN"/>
        </w:rPr>
        <w:t>4.3.1</w:t>
      </w:r>
      <w:r>
        <w:rPr>
          <w:sz w:val="24"/>
        </w:rPr>
        <w:t>磋商小组</w:t>
      </w:r>
    </w:p>
    <w:p w14:paraId="550E2D98">
      <w:pPr>
        <w:pStyle w:val="3"/>
        <w:spacing w:before="160" w:line="364" w:lineRule="auto"/>
        <w:ind w:left="680" w:right="669" w:firstLine="480"/>
        <w:jc w:val="both"/>
      </w:pPr>
      <w:r>
        <w:rPr>
          <w:spacing w:val="3"/>
        </w:rPr>
        <w:t>磋商由采购人依法组建的磋商小组负责。磋商小组由采购人代表以及有关技</w:t>
      </w:r>
      <w:r>
        <w:rPr>
          <w:spacing w:val="-7"/>
        </w:rPr>
        <w:t>术、经济等方面的专家组成。磋商小组成员人数以及技术、经济等方面专家的确定</w:t>
      </w:r>
      <w:r>
        <w:t>方式见供应商须知前附表。</w:t>
      </w:r>
    </w:p>
    <w:p w14:paraId="0479F27F">
      <w:pPr>
        <w:pStyle w:val="46"/>
        <w:numPr>
          <w:ilvl w:val="0"/>
          <w:numId w:val="0"/>
        </w:numPr>
        <w:tabs>
          <w:tab w:val="left" w:pos="1160"/>
        </w:tabs>
        <w:spacing w:before="2"/>
        <w:ind w:left="680" w:leftChars="0"/>
        <w:jc w:val="both"/>
        <w:rPr>
          <w:sz w:val="24"/>
        </w:rPr>
      </w:pPr>
      <w:bookmarkStart w:id="65" w:name="6.2_磋商原则"/>
      <w:bookmarkEnd w:id="65"/>
      <w:r>
        <w:rPr>
          <w:rFonts w:hint="eastAsia"/>
          <w:sz w:val="24"/>
          <w:lang w:val="en-US" w:eastAsia="zh-CN"/>
        </w:rPr>
        <w:t>4.3.2</w:t>
      </w:r>
      <w:r>
        <w:rPr>
          <w:sz w:val="24"/>
        </w:rPr>
        <w:t>磋商原则</w:t>
      </w:r>
    </w:p>
    <w:p w14:paraId="7690463A">
      <w:pPr>
        <w:pStyle w:val="3"/>
        <w:spacing w:before="160"/>
        <w:ind w:left="1160"/>
      </w:pPr>
      <w:r>
        <w:t>磋商活动遵循公平、公正、科学和择优的原则。</w:t>
      </w:r>
    </w:p>
    <w:p w14:paraId="6F1AF774">
      <w:pPr>
        <w:pStyle w:val="46"/>
        <w:numPr>
          <w:ilvl w:val="0"/>
          <w:numId w:val="0"/>
        </w:numPr>
        <w:tabs>
          <w:tab w:val="left" w:pos="1160"/>
        </w:tabs>
        <w:spacing w:before="133"/>
        <w:ind w:left="680" w:leftChars="0"/>
        <w:jc w:val="both"/>
        <w:rPr>
          <w:sz w:val="24"/>
        </w:rPr>
      </w:pPr>
      <w:bookmarkStart w:id="66" w:name="6.3_磋商"/>
      <w:bookmarkEnd w:id="66"/>
      <w:r>
        <w:rPr>
          <w:rFonts w:hint="eastAsia"/>
          <w:sz w:val="24"/>
          <w:lang w:val="en-US" w:eastAsia="zh-CN"/>
        </w:rPr>
        <w:t>4.3.</w:t>
      </w:r>
      <w:r>
        <w:rPr>
          <w:sz w:val="24"/>
        </w:rPr>
        <w:t>磋商</w:t>
      </w:r>
    </w:p>
    <w:p w14:paraId="5CCD935F">
      <w:pPr>
        <w:pStyle w:val="3"/>
        <w:spacing w:before="160" w:line="364" w:lineRule="auto"/>
        <w:ind w:left="680" w:right="667" w:firstLine="480"/>
        <w:jc w:val="both"/>
      </w:pPr>
      <w:r>
        <w:rPr>
          <w:spacing w:val="-6"/>
        </w:rPr>
        <w:t>磋商小组按照第三章“评审办法”规定的方法、评审因素、标准和程序对响应</w:t>
      </w:r>
      <w:r>
        <w:rPr>
          <w:spacing w:val="-7"/>
        </w:rPr>
        <w:t>文件进行评审。第三章“评审办法”没有规定的方法、评审因素和标准，不作为评</w:t>
      </w:r>
      <w:r>
        <w:t>标依据。</w:t>
      </w:r>
    </w:p>
    <w:p w14:paraId="53870ABE">
      <w:pPr>
        <w:pStyle w:val="46"/>
        <w:numPr>
          <w:ilvl w:val="0"/>
          <w:numId w:val="0"/>
        </w:numPr>
        <w:tabs>
          <w:tab w:val="left" w:pos="1040"/>
        </w:tabs>
        <w:spacing w:before="103"/>
        <w:ind w:left="680" w:leftChars="0"/>
        <w:jc w:val="both"/>
        <w:rPr>
          <w:b/>
          <w:bCs/>
          <w:sz w:val="24"/>
        </w:rPr>
      </w:pPr>
      <w:bookmarkStart w:id="67" w:name="_bookmark9"/>
      <w:bookmarkEnd w:id="67"/>
      <w:bookmarkStart w:id="68" w:name="7._合同授予"/>
      <w:bookmarkEnd w:id="68"/>
      <w:r>
        <w:rPr>
          <w:rFonts w:hint="eastAsia"/>
          <w:b/>
          <w:bCs/>
          <w:sz w:val="24"/>
          <w:lang w:val="en-US" w:eastAsia="zh-CN"/>
        </w:rPr>
        <w:t>5、</w:t>
      </w:r>
      <w:r>
        <w:rPr>
          <w:b/>
          <w:bCs/>
          <w:sz w:val="24"/>
        </w:rPr>
        <w:t>合同授予</w:t>
      </w:r>
    </w:p>
    <w:p w14:paraId="70AE3939">
      <w:pPr>
        <w:pStyle w:val="46"/>
        <w:numPr>
          <w:ilvl w:val="0"/>
          <w:numId w:val="0"/>
        </w:numPr>
        <w:tabs>
          <w:tab w:val="left" w:pos="1160"/>
        </w:tabs>
        <w:spacing w:before="160"/>
        <w:ind w:left="680" w:leftChars="0"/>
        <w:jc w:val="both"/>
        <w:rPr>
          <w:sz w:val="24"/>
        </w:rPr>
      </w:pPr>
      <w:bookmarkStart w:id="69" w:name="7.1_定标方式"/>
      <w:bookmarkEnd w:id="69"/>
      <w:r>
        <w:rPr>
          <w:rFonts w:hint="eastAsia"/>
          <w:sz w:val="24"/>
          <w:lang w:val="en-US" w:eastAsia="zh-CN"/>
        </w:rPr>
        <w:t>5.1</w:t>
      </w:r>
      <w:r>
        <w:rPr>
          <w:sz w:val="24"/>
        </w:rPr>
        <w:t>定标方式</w:t>
      </w:r>
    </w:p>
    <w:p w14:paraId="71E4CEC8">
      <w:pPr>
        <w:pStyle w:val="3"/>
        <w:spacing w:before="161" w:line="364" w:lineRule="auto"/>
        <w:ind w:left="680" w:right="625" w:firstLine="480"/>
        <w:jc w:val="both"/>
      </w:pPr>
      <w: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5D5E65B">
      <w:pPr>
        <w:pStyle w:val="46"/>
        <w:numPr>
          <w:ilvl w:val="0"/>
          <w:numId w:val="0"/>
        </w:numPr>
        <w:tabs>
          <w:tab w:val="left" w:pos="1160"/>
        </w:tabs>
        <w:spacing w:before="3"/>
        <w:ind w:left="680" w:leftChars="0"/>
        <w:jc w:val="both"/>
        <w:rPr>
          <w:sz w:val="24"/>
        </w:rPr>
      </w:pPr>
      <w:bookmarkStart w:id="70" w:name="7.2_成交通知"/>
      <w:bookmarkEnd w:id="70"/>
      <w:r>
        <w:rPr>
          <w:rFonts w:hint="eastAsia"/>
          <w:sz w:val="24"/>
          <w:lang w:val="en-US" w:eastAsia="zh-CN"/>
        </w:rPr>
        <w:t>5.2.</w:t>
      </w:r>
      <w:r>
        <w:rPr>
          <w:sz w:val="24"/>
        </w:rPr>
        <w:t>成交通知</w:t>
      </w:r>
    </w:p>
    <w:p w14:paraId="5FB601E2">
      <w:pPr>
        <w:pStyle w:val="3"/>
        <w:spacing w:before="161" w:line="364" w:lineRule="auto"/>
        <w:ind w:left="680" w:right="669" w:firstLine="480"/>
        <w:jc w:val="both"/>
      </w:pPr>
      <w:r>
        <w:rPr>
          <w:spacing w:val="-12"/>
        </w:rPr>
        <w:t xml:space="preserve">在本章第 </w:t>
      </w:r>
      <w:r>
        <w:t>3.3</w:t>
      </w:r>
      <w:r>
        <w:rPr>
          <w:spacing w:val="-13"/>
        </w:rPr>
        <w:t xml:space="preserve"> 款规定的磋商有效期内，采购人以书面形式向成交人发出成交通</w:t>
      </w:r>
      <w:r>
        <w:t>知书，同时将成交结果通知未成交的供应商。</w:t>
      </w:r>
    </w:p>
    <w:p w14:paraId="2EF2A60A">
      <w:pPr>
        <w:pStyle w:val="46"/>
        <w:numPr>
          <w:ilvl w:val="0"/>
          <w:numId w:val="0"/>
        </w:numPr>
        <w:tabs>
          <w:tab w:val="left" w:pos="1160"/>
        </w:tabs>
        <w:ind w:left="680" w:leftChars="0"/>
        <w:jc w:val="both"/>
        <w:rPr>
          <w:sz w:val="24"/>
        </w:rPr>
      </w:pPr>
      <w:bookmarkStart w:id="71" w:name="7.3_签订合同"/>
      <w:bookmarkEnd w:id="71"/>
      <w:r>
        <w:rPr>
          <w:rFonts w:hint="eastAsia"/>
          <w:sz w:val="24"/>
          <w:lang w:val="en-US" w:eastAsia="zh-CN"/>
        </w:rPr>
        <w:t>5.3.</w:t>
      </w:r>
      <w:r>
        <w:rPr>
          <w:sz w:val="24"/>
        </w:rPr>
        <w:t>签订合同</w:t>
      </w:r>
    </w:p>
    <w:p w14:paraId="2B18D215">
      <w:pPr>
        <w:pStyle w:val="46"/>
        <w:numPr>
          <w:ilvl w:val="0"/>
          <w:numId w:val="0"/>
        </w:numPr>
        <w:tabs>
          <w:tab w:val="left" w:pos="1820"/>
        </w:tabs>
        <w:spacing w:before="161" w:line="364" w:lineRule="auto"/>
        <w:ind w:right="669" w:rightChars="0" w:firstLine="702" w:firstLineChars="300"/>
        <w:jc w:val="both"/>
        <w:rPr>
          <w:sz w:val="24"/>
        </w:rPr>
      </w:pPr>
      <w:r>
        <w:rPr>
          <w:rFonts w:hint="eastAsia"/>
          <w:spacing w:val="-3"/>
          <w:sz w:val="24"/>
          <w:lang w:val="en-US" w:eastAsia="zh-CN"/>
        </w:rPr>
        <w:t>5.3.1.</w:t>
      </w:r>
      <w:r>
        <w:rPr>
          <w:spacing w:val="-3"/>
          <w:sz w:val="24"/>
        </w:rPr>
        <w:t xml:space="preserve">采购人和成交人应当自成交通知书发出之日起 </w:t>
      </w:r>
      <w:r>
        <w:rPr>
          <w:sz w:val="24"/>
        </w:rPr>
        <w:t>30</w:t>
      </w:r>
      <w:r>
        <w:rPr>
          <w:spacing w:val="-18"/>
          <w:sz w:val="24"/>
        </w:rPr>
        <w:t xml:space="preserve"> 天内，根据磋商文件和</w:t>
      </w:r>
      <w:r>
        <w:rPr>
          <w:spacing w:val="-4"/>
          <w:sz w:val="24"/>
        </w:rPr>
        <w:t>成交人的响应文件订立书面合同。成交人无正当理由拒签合同的，采购人取消其成</w:t>
      </w:r>
      <w:r>
        <w:rPr>
          <w:sz w:val="24"/>
        </w:rPr>
        <w:t>交资格；给采购人造成的损失的，成交人应当予以赔偿。</w:t>
      </w:r>
    </w:p>
    <w:p w14:paraId="1C1F00C7">
      <w:pPr>
        <w:pStyle w:val="46"/>
        <w:numPr>
          <w:ilvl w:val="0"/>
          <w:numId w:val="0"/>
        </w:numPr>
        <w:tabs>
          <w:tab w:val="left" w:pos="1880"/>
        </w:tabs>
        <w:spacing w:line="364" w:lineRule="auto"/>
        <w:ind w:right="625" w:rightChars="0" w:firstLine="714" w:firstLineChars="300"/>
        <w:jc w:val="both"/>
        <w:rPr>
          <w:sz w:val="24"/>
        </w:rPr>
      </w:pPr>
      <w:r>
        <w:rPr>
          <w:rFonts w:hint="eastAsia"/>
          <w:spacing w:val="-1"/>
          <w:sz w:val="24"/>
          <w:lang w:val="en-US" w:eastAsia="zh-CN"/>
        </w:rPr>
        <w:t>5.3.2.</w:t>
      </w:r>
      <w:r>
        <w:rPr>
          <w:spacing w:val="-1"/>
          <w:sz w:val="24"/>
        </w:rPr>
        <w:t xml:space="preserve">发出成交通知书后，采购人无正当理由拒签合同，给成交人造成损失， </w:t>
      </w:r>
      <w:r>
        <w:rPr>
          <w:sz w:val="24"/>
        </w:rPr>
        <w:t>还应当赔偿。</w:t>
      </w:r>
    </w:p>
    <w:p w14:paraId="56B79DCE">
      <w:pPr>
        <w:pStyle w:val="46"/>
        <w:tabs>
          <w:tab w:val="left" w:pos="1880"/>
        </w:tabs>
        <w:spacing w:line="364" w:lineRule="auto"/>
        <w:ind w:left="0" w:right="625" w:firstLine="717" w:firstLineChars="300"/>
        <w:jc w:val="both"/>
        <w:rPr>
          <w:b/>
          <w:bCs/>
          <w:spacing w:val="-1"/>
          <w:sz w:val="24"/>
        </w:rPr>
      </w:pPr>
      <w:r>
        <w:rPr>
          <w:rFonts w:hint="eastAsia"/>
          <w:b/>
          <w:bCs/>
          <w:spacing w:val="-1"/>
          <w:sz w:val="24"/>
          <w:lang w:val="en-US" w:eastAsia="zh-CN"/>
        </w:rPr>
        <w:t>6、</w:t>
      </w:r>
      <w:r>
        <w:rPr>
          <w:rFonts w:hint="eastAsia"/>
          <w:b/>
          <w:bCs/>
          <w:spacing w:val="-1"/>
          <w:sz w:val="24"/>
        </w:rPr>
        <w:t>履约保证金</w:t>
      </w:r>
    </w:p>
    <w:p w14:paraId="6ACDB648">
      <w:pPr>
        <w:spacing w:line="360" w:lineRule="auto"/>
        <w:ind w:left="480" w:leftChars="218" w:firstLine="240" w:firstLineChars="100"/>
        <w:rPr>
          <w:sz w:val="24"/>
          <w:szCs w:val="24"/>
        </w:rPr>
      </w:pPr>
      <w:r>
        <w:rPr>
          <w:rFonts w:hint="eastAsia"/>
          <w:sz w:val="24"/>
          <w:szCs w:val="24"/>
          <w:lang w:val="en-US" w:eastAsia="zh-CN"/>
        </w:rPr>
        <w:t>6.1.</w:t>
      </w:r>
      <w:r>
        <w:rPr>
          <w:rFonts w:hint="eastAsia"/>
          <w:sz w:val="24"/>
          <w:szCs w:val="24"/>
        </w:rPr>
        <w:t xml:space="preserve"> 在签订合同前，成交供应商应按供应商须知前附表规定的形式、金额和事先经过采购人书面认可的履约保证金格式向采购人提交履约保证金。联合体成交的，其履约保证金以联合体各方或者联合体中牵头人的名义提交。</w:t>
      </w:r>
    </w:p>
    <w:p w14:paraId="61A2E869">
      <w:pPr>
        <w:pStyle w:val="46"/>
        <w:tabs>
          <w:tab w:val="left" w:pos="1880"/>
        </w:tabs>
        <w:spacing w:line="364" w:lineRule="auto"/>
        <w:ind w:left="480" w:leftChars="218" w:right="625" w:firstLine="240" w:firstLineChars="100"/>
        <w:jc w:val="both"/>
        <w:rPr>
          <w:spacing w:val="-1"/>
          <w:sz w:val="24"/>
        </w:rPr>
      </w:pPr>
      <w:r>
        <w:rPr>
          <w:rFonts w:hint="eastAsia"/>
          <w:sz w:val="24"/>
          <w:szCs w:val="24"/>
          <w:lang w:val="en-US" w:eastAsia="zh-CN"/>
        </w:rPr>
        <w:t>6.2.</w:t>
      </w:r>
      <w:r>
        <w:rPr>
          <w:rFonts w:hint="eastAsia"/>
          <w:sz w:val="24"/>
          <w:szCs w:val="24"/>
        </w:rPr>
        <w:t xml:space="preserve">成交供应商不能按本章第 </w:t>
      </w:r>
      <w:r>
        <w:rPr>
          <w:rFonts w:hint="eastAsia"/>
          <w:sz w:val="24"/>
          <w:szCs w:val="24"/>
          <w:lang w:val="en-US" w:eastAsia="zh-CN"/>
        </w:rPr>
        <w:t>6</w:t>
      </w:r>
      <w:r>
        <w:rPr>
          <w:rFonts w:hint="eastAsia"/>
          <w:sz w:val="24"/>
          <w:szCs w:val="24"/>
        </w:rPr>
        <w:t>.1 项要求提交履约保证金的，视为放弃成交资格，其磋商保证金不予退还，给采购人造成的损失超过磋商保证金数额的，成交供应商还应当对超过部分予以赔偿。</w:t>
      </w:r>
    </w:p>
    <w:p w14:paraId="78DD3466">
      <w:pPr>
        <w:pStyle w:val="46"/>
        <w:tabs>
          <w:tab w:val="left" w:pos="921"/>
        </w:tabs>
        <w:spacing w:before="102"/>
        <w:ind w:firstLine="0"/>
        <w:rPr>
          <w:b/>
          <w:bCs/>
          <w:sz w:val="24"/>
        </w:rPr>
      </w:pPr>
      <w:bookmarkStart w:id="72" w:name="_bookmark10"/>
      <w:bookmarkEnd w:id="72"/>
      <w:bookmarkStart w:id="73" w:name="8.重新招标"/>
      <w:bookmarkEnd w:id="73"/>
      <w:r>
        <w:rPr>
          <w:rFonts w:hint="eastAsia"/>
          <w:b/>
          <w:bCs/>
          <w:sz w:val="24"/>
          <w:lang w:val="en-US" w:eastAsia="zh-CN"/>
        </w:rPr>
        <w:t>7、</w:t>
      </w:r>
      <w:r>
        <w:rPr>
          <w:b/>
          <w:bCs/>
          <w:sz w:val="24"/>
        </w:rPr>
        <w:t>重新招标</w:t>
      </w:r>
    </w:p>
    <w:p w14:paraId="7FAD469D">
      <w:pPr>
        <w:pStyle w:val="46"/>
        <w:tabs>
          <w:tab w:val="left" w:pos="1640"/>
        </w:tabs>
        <w:spacing w:before="161"/>
        <w:ind w:left="0" w:firstLine="720" w:firstLineChars="300"/>
        <w:rPr>
          <w:sz w:val="24"/>
        </w:rPr>
      </w:pPr>
      <w:r>
        <w:rPr>
          <w:rFonts w:hint="eastAsia"/>
          <w:sz w:val="24"/>
          <w:lang w:val="en-US" w:eastAsia="zh-CN"/>
        </w:rPr>
        <w:t>7</w:t>
      </w:r>
      <w:r>
        <w:rPr>
          <w:rFonts w:hint="eastAsia"/>
          <w:sz w:val="24"/>
          <w:lang w:val="en-US"/>
        </w:rPr>
        <w:t>.1</w:t>
      </w:r>
      <w:r>
        <w:rPr>
          <w:sz w:val="24"/>
        </w:rPr>
        <w:t>重新招标</w:t>
      </w:r>
    </w:p>
    <w:p w14:paraId="546E2CFE">
      <w:pPr>
        <w:pStyle w:val="3"/>
        <w:spacing w:before="160"/>
        <w:ind w:left="1160"/>
      </w:pPr>
      <w:r>
        <w:t>有下列情形之一的，采购人将重新招标：</w:t>
      </w:r>
    </w:p>
    <w:p w14:paraId="294DC11A">
      <w:pPr>
        <w:pStyle w:val="46"/>
        <w:tabs>
          <w:tab w:val="left" w:pos="1641"/>
        </w:tabs>
        <w:spacing w:before="161"/>
        <w:ind w:left="0" w:firstLine="696" w:firstLineChars="300"/>
        <w:rPr>
          <w:sz w:val="24"/>
        </w:rPr>
      </w:pPr>
      <w:r>
        <w:rPr>
          <w:rFonts w:hint="eastAsia"/>
          <w:spacing w:val="-4"/>
          <w:sz w:val="24"/>
          <w:lang w:val="en-US"/>
        </w:rPr>
        <w:t>①</w:t>
      </w:r>
      <w:r>
        <w:rPr>
          <w:spacing w:val="-4"/>
          <w:sz w:val="24"/>
        </w:rPr>
        <w:t xml:space="preserve">提交响应文件截止时间止，供应商少于 </w:t>
      </w:r>
      <w:r>
        <w:rPr>
          <w:sz w:val="24"/>
        </w:rPr>
        <w:t>3</w:t>
      </w:r>
      <w:r>
        <w:rPr>
          <w:spacing w:val="-15"/>
          <w:sz w:val="24"/>
        </w:rPr>
        <w:t xml:space="preserve"> 个的；</w:t>
      </w:r>
    </w:p>
    <w:p w14:paraId="2EFAF36C">
      <w:pPr>
        <w:pStyle w:val="46"/>
        <w:tabs>
          <w:tab w:val="left" w:pos="921"/>
        </w:tabs>
        <w:spacing w:before="133"/>
        <w:ind w:firstLine="0"/>
        <w:rPr>
          <w:sz w:val="24"/>
        </w:rPr>
      </w:pPr>
      <w:r>
        <w:rPr>
          <w:rFonts w:hint="eastAsia"/>
          <w:sz w:val="24"/>
          <w:lang w:val="en-US"/>
        </w:rPr>
        <w:t>②</w:t>
      </w:r>
      <w:r>
        <w:rPr>
          <w:sz w:val="24"/>
        </w:rPr>
        <w:t>经磋商小组评审后否决所有响应文件的。</w:t>
      </w:r>
      <w:bookmarkStart w:id="74" w:name="第三章_评审办法（综合评分法）"/>
      <w:bookmarkEnd w:id="74"/>
      <w:bookmarkStart w:id="75" w:name="_bookmark11"/>
      <w:bookmarkEnd w:id="75"/>
      <w:bookmarkStart w:id="76" w:name="9.纪律和监督"/>
      <w:bookmarkEnd w:id="76"/>
    </w:p>
    <w:p w14:paraId="672556EC">
      <w:pPr>
        <w:pStyle w:val="46"/>
        <w:tabs>
          <w:tab w:val="left" w:pos="921"/>
        </w:tabs>
        <w:spacing w:before="133"/>
        <w:ind w:firstLine="0"/>
        <w:rPr>
          <w:b/>
          <w:bCs/>
          <w:sz w:val="24"/>
        </w:rPr>
      </w:pPr>
      <w:r>
        <w:rPr>
          <w:rFonts w:hint="eastAsia"/>
          <w:b/>
          <w:bCs/>
          <w:sz w:val="24"/>
          <w:lang w:val="en-US" w:eastAsia="zh-CN"/>
        </w:rPr>
        <w:t>8、</w:t>
      </w:r>
      <w:r>
        <w:rPr>
          <w:b/>
          <w:bCs/>
          <w:sz w:val="24"/>
        </w:rPr>
        <w:t>纪律和监督</w:t>
      </w:r>
    </w:p>
    <w:p w14:paraId="2C42D4B5">
      <w:pPr>
        <w:pStyle w:val="46"/>
        <w:tabs>
          <w:tab w:val="left" w:pos="1160"/>
        </w:tabs>
        <w:spacing w:before="160"/>
        <w:ind w:firstLine="0"/>
        <w:rPr>
          <w:sz w:val="24"/>
        </w:rPr>
      </w:pPr>
      <w:bookmarkStart w:id="77" w:name="9.1_对采购人的纪律要求"/>
      <w:bookmarkEnd w:id="77"/>
      <w:r>
        <w:rPr>
          <w:rFonts w:hint="eastAsia"/>
          <w:sz w:val="24"/>
          <w:lang w:val="en-US" w:eastAsia="zh-CN"/>
        </w:rPr>
        <w:t>8</w:t>
      </w:r>
      <w:r>
        <w:rPr>
          <w:rFonts w:hint="eastAsia"/>
          <w:sz w:val="24"/>
          <w:lang w:val="en-US"/>
        </w:rPr>
        <w:t>.1</w:t>
      </w:r>
      <w:r>
        <w:rPr>
          <w:sz w:val="24"/>
        </w:rPr>
        <w:t>对采购人的纪律要求</w:t>
      </w:r>
    </w:p>
    <w:p w14:paraId="01B6769C">
      <w:pPr>
        <w:pStyle w:val="3"/>
        <w:spacing w:before="161" w:line="364" w:lineRule="auto"/>
        <w:ind w:left="680" w:right="609" w:firstLine="480"/>
      </w:pPr>
      <w:r>
        <w:t>采购人不得泄漏磋商活动中应当保密的情况和资料，不得与供应商串通损害国家利益、社会公共利益或者他人合法权益。</w:t>
      </w:r>
    </w:p>
    <w:p w14:paraId="4027BC14">
      <w:pPr>
        <w:pStyle w:val="46"/>
        <w:tabs>
          <w:tab w:val="left" w:pos="1160"/>
        </w:tabs>
        <w:ind w:firstLine="0"/>
        <w:rPr>
          <w:sz w:val="24"/>
        </w:rPr>
      </w:pPr>
      <w:bookmarkStart w:id="78" w:name="9.2_对供应商的纪律要求"/>
      <w:bookmarkEnd w:id="78"/>
      <w:r>
        <w:rPr>
          <w:rFonts w:hint="eastAsia"/>
          <w:sz w:val="24"/>
          <w:lang w:val="en-US" w:eastAsia="zh-CN"/>
        </w:rPr>
        <w:t>8</w:t>
      </w:r>
      <w:r>
        <w:rPr>
          <w:rFonts w:hint="eastAsia"/>
          <w:sz w:val="24"/>
          <w:lang w:val="en-US"/>
        </w:rPr>
        <w:t>.2</w:t>
      </w:r>
      <w:r>
        <w:rPr>
          <w:sz w:val="24"/>
        </w:rPr>
        <w:t>对供应商的纪律要求</w:t>
      </w:r>
    </w:p>
    <w:p w14:paraId="5215032D">
      <w:pPr>
        <w:pStyle w:val="3"/>
        <w:spacing w:before="160" w:line="364" w:lineRule="auto"/>
        <w:ind w:left="680" w:right="669" w:firstLine="480"/>
        <w:jc w:val="both"/>
      </w:pPr>
      <w:r>
        <w:rPr>
          <w:spacing w:val="-4"/>
        </w:rPr>
        <w:t>供应商不得相互串通或者与采购人串通，不得向采购人或者谈判小组行贿谋取</w:t>
      </w:r>
      <w:r>
        <w:rPr>
          <w:spacing w:val="-7"/>
        </w:rPr>
        <w:t>成交，不得以他人名义或者以其他方式弄虚作假骗取成交；供应商不得以任何方式</w:t>
      </w:r>
      <w:r>
        <w:t>干扰、影响评审工作。</w:t>
      </w:r>
    </w:p>
    <w:p w14:paraId="72307CB1">
      <w:pPr>
        <w:pStyle w:val="46"/>
        <w:tabs>
          <w:tab w:val="left" w:pos="1160"/>
        </w:tabs>
        <w:spacing w:before="2"/>
        <w:ind w:firstLine="0"/>
        <w:jc w:val="both"/>
        <w:rPr>
          <w:sz w:val="24"/>
        </w:rPr>
      </w:pPr>
      <w:bookmarkStart w:id="79" w:name="9.3_对磋商小组成员的纪律要求"/>
      <w:bookmarkEnd w:id="79"/>
      <w:r>
        <w:rPr>
          <w:rFonts w:hint="eastAsia"/>
          <w:sz w:val="24"/>
          <w:lang w:val="en-US" w:eastAsia="zh-CN"/>
        </w:rPr>
        <w:t>8</w:t>
      </w:r>
      <w:r>
        <w:rPr>
          <w:rFonts w:hint="eastAsia"/>
          <w:sz w:val="24"/>
          <w:lang w:val="en-US"/>
        </w:rPr>
        <w:t>.3</w:t>
      </w:r>
      <w:r>
        <w:rPr>
          <w:sz w:val="24"/>
        </w:rPr>
        <w:t>对磋商小组成员的纪律要求</w:t>
      </w:r>
    </w:p>
    <w:p w14:paraId="6092B706">
      <w:pPr>
        <w:pStyle w:val="3"/>
        <w:spacing w:before="161" w:line="364" w:lineRule="auto"/>
        <w:ind w:left="680" w:right="549" w:firstLine="480"/>
        <w:jc w:val="both"/>
      </w:pPr>
      <w:r>
        <w:rPr>
          <w:spacing w:val="-3"/>
        </w:rPr>
        <w:t xml:space="preserve">磋商小组成员不得收受他人的财物或者其他好处，不得向他人透漏对响应文件的评审和比较、成交候选人的推荐情况以及评标有关的其他情况。在磋商活动中， </w:t>
      </w:r>
      <w:r>
        <w:rPr>
          <w:spacing w:val="-13"/>
        </w:rPr>
        <w:t xml:space="preserve">磋商小组成员不得擅离职守，影响评标程序正常进行，不得使用第三章“评审办法” </w:t>
      </w:r>
      <w:r>
        <w:t>没有规定的评审因素和标准进行评标。</w:t>
      </w:r>
    </w:p>
    <w:p w14:paraId="07BDC726">
      <w:pPr>
        <w:pStyle w:val="46"/>
        <w:tabs>
          <w:tab w:val="left" w:pos="1160"/>
        </w:tabs>
        <w:spacing w:before="2"/>
        <w:ind w:firstLine="0"/>
        <w:jc w:val="both"/>
        <w:rPr>
          <w:sz w:val="24"/>
        </w:rPr>
      </w:pPr>
      <w:bookmarkStart w:id="80" w:name="9.4_对与评标活动有关的工作人员的纪律要求"/>
      <w:bookmarkEnd w:id="80"/>
      <w:r>
        <w:rPr>
          <w:rFonts w:hint="eastAsia"/>
          <w:sz w:val="24"/>
          <w:lang w:val="en-US" w:eastAsia="zh-CN"/>
        </w:rPr>
        <w:t>8</w:t>
      </w:r>
      <w:r>
        <w:rPr>
          <w:rFonts w:hint="eastAsia"/>
          <w:sz w:val="24"/>
          <w:lang w:val="en-US"/>
        </w:rPr>
        <w:t>.4</w:t>
      </w:r>
      <w:r>
        <w:rPr>
          <w:sz w:val="24"/>
        </w:rPr>
        <w:t>对与评标活动有关的工作人员的纪律要求</w:t>
      </w:r>
    </w:p>
    <w:p w14:paraId="6B543D4C">
      <w:pPr>
        <w:pStyle w:val="3"/>
        <w:spacing w:before="161" w:line="364" w:lineRule="auto"/>
        <w:ind w:left="680" w:right="625" w:firstLine="480"/>
        <w:jc w:val="both"/>
      </w:pPr>
      <w: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120E1EEE">
      <w:pPr>
        <w:pStyle w:val="46"/>
        <w:tabs>
          <w:tab w:val="left" w:pos="1160"/>
        </w:tabs>
        <w:ind w:firstLine="0"/>
        <w:jc w:val="both"/>
        <w:rPr>
          <w:b w:val="0"/>
          <w:bCs w:val="0"/>
          <w:sz w:val="24"/>
        </w:rPr>
      </w:pPr>
      <w:bookmarkStart w:id="81" w:name="9.5_投诉"/>
      <w:bookmarkEnd w:id="81"/>
      <w:r>
        <w:rPr>
          <w:rFonts w:hint="eastAsia"/>
          <w:b w:val="0"/>
          <w:bCs w:val="0"/>
          <w:sz w:val="24"/>
          <w:lang w:val="en-US" w:eastAsia="zh-CN"/>
        </w:rPr>
        <w:t>8.5.</w:t>
      </w:r>
      <w:r>
        <w:rPr>
          <w:b w:val="0"/>
          <w:bCs w:val="0"/>
          <w:sz w:val="24"/>
        </w:rPr>
        <w:t>投诉</w:t>
      </w:r>
    </w:p>
    <w:p w14:paraId="291769F6">
      <w:pPr>
        <w:pStyle w:val="3"/>
        <w:spacing w:before="161" w:line="364" w:lineRule="auto"/>
        <w:ind w:left="680" w:right="609" w:firstLine="480"/>
      </w:pPr>
      <w:r>
        <w:t>供应商和其他利害关系人认为本次磋商活动违反法律、法规和规章规定的，有权向有关行政监督部门投诉。</w:t>
      </w:r>
    </w:p>
    <w:p w14:paraId="677FC6F1">
      <w:pPr>
        <w:pStyle w:val="46"/>
        <w:tabs>
          <w:tab w:val="left" w:pos="1160"/>
        </w:tabs>
        <w:spacing w:before="102"/>
        <w:ind w:firstLine="0"/>
        <w:rPr>
          <w:b/>
          <w:bCs/>
          <w:sz w:val="24"/>
        </w:rPr>
      </w:pPr>
      <w:bookmarkStart w:id="82" w:name="10._需要补充的其他内容"/>
      <w:bookmarkEnd w:id="82"/>
      <w:bookmarkStart w:id="83" w:name="_bookmark12"/>
      <w:bookmarkEnd w:id="83"/>
      <w:r>
        <w:rPr>
          <w:rFonts w:hint="eastAsia"/>
          <w:b/>
          <w:bCs/>
          <w:sz w:val="24"/>
          <w:lang w:val="en-US" w:eastAsia="zh-CN"/>
        </w:rPr>
        <w:t>9、</w:t>
      </w:r>
      <w:r>
        <w:rPr>
          <w:b/>
          <w:bCs/>
          <w:sz w:val="24"/>
        </w:rPr>
        <w:t>需要补充的其他内容</w:t>
      </w:r>
    </w:p>
    <w:p w14:paraId="242B2FCE">
      <w:pPr>
        <w:pStyle w:val="3"/>
        <w:spacing w:before="81"/>
        <w:ind w:left="680"/>
        <w:sectPr>
          <w:footerReference r:id="rId10" w:type="default"/>
          <w:pgSz w:w="11910" w:h="16840"/>
          <w:pgMar w:top="1380" w:right="840" w:bottom="1400" w:left="1120" w:header="852" w:footer="1215" w:gutter="0"/>
          <w:cols w:space="720" w:num="1"/>
        </w:sectPr>
      </w:pPr>
      <w:bookmarkStart w:id="84" w:name="需要补充的其他内容：见供应商须知前附表。"/>
      <w:bookmarkEnd w:id="84"/>
      <w:r>
        <w:t>需要补充的其他内容：见供应商须知前附表。</w:t>
      </w:r>
    </w:p>
    <w:p w14:paraId="557788E4">
      <w:pPr>
        <w:pStyle w:val="3"/>
        <w:spacing w:before="66"/>
        <w:jc w:val="both"/>
        <w:rPr>
          <w:b/>
          <w:bCs/>
          <w:sz w:val="28"/>
          <w:szCs w:val="28"/>
        </w:rPr>
      </w:pPr>
    </w:p>
    <w:p w14:paraId="74CD5CB6">
      <w:pPr>
        <w:numPr>
          <w:ilvl w:val="0"/>
          <w:numId w:val="6"/>
        </w:numPr>
        <w:ind w:left="0" w:leftChars="0" w:firstLine="373" w:firstLineChars="116"/>
        <w:jc w:val="center"/>
        <w:outlineLvl w:val="0"/>
        <w:rPr>
          <w:rFonts w:hint="eastAsia" w:ascii="宋体" w:hAnsi="宋体" w:cs="宋体"/>
          <w:b/>
          <w:color w:val="auto"/>
          <w:kern w:val="44"/>
          <w:sz w:val="32"/>
          <w:szCs w:val="32"/>
          <w:highlight w:val="none"/>
        </w:rPr>
      </w:pPr>
      <w:bookmarkStart w:id="85" w:name="_Toc455867814"/>
      <w:bookmarkStart w:id="86" w:name="_Toc455080154"/>
      <w:bookmarkStart w:id="87" w:name="_Toc466298137"/>
      <w:bookmarkStart w:id="88" w:name="_Toc14469"/>
      <w:bookmarkStart w:id="89" w:name="_Toc6192"/>
      <w:bookmarkStart w:id="90" w:name="_Toc152042375"/>
      <w:bookmarkStart w:id="91" w:name="_Toc152045598"/>
      <w:bookmarkStart w:id="92" w:name="_Toc144974565"/>
      <w:r>
        <w:rPr>
          <w:rFonts w:hint="eastAsia" w:ascii="宋体" w:hAnsi="宋体" w:cs="宋体"/>
          <w:b/>
          <w:color w:val="auto"/>
          <w:kern w:val="44"/>
          <w:sz w:val="32"/>
          <w:szCs w:val="32"/>
          <w:highlight w:val="none"/>
        </w:rPr>
        <w:t xml:space="preserve"> </w:t>
      </w:r>
      <w:bookmarkStart w:id="93" w:name="_Toc7275"/>
      <w:r>
        <w:rPr>
          <w:rFonts w:hint="eastAsia" w:ascii="宋体" w:hAnsi="宋体" w:cs="宋体"/>
          <w:b/>
          <w:color w:val="auto"/>
          <w:kern w:val="44"/>
          <w:sz w:val="32"/>
          <w:szCs w:val="32"/>
          <w:highlight w:val="none"/>
        </w:rPr>
        <w:t>评审办法（综合评分法）</w:t>
      </w:r>
      <w:bookmarkEnd w:id="85"/>
      <w:bookmarkEnd w:id="86"/>
      <w:bookmarkEnd w:id="87"/>
      <w:bookmarkEnd w:id="88"/>
      <w:bookmarkEnd w:id="89"/>
      <w:bookmarkEnd w:id="90"/>
      <w:bookmarkEnd w:id="91"/>
      <w:bookmarkEnd w:id="92"/>
      <w:bookmarkEnd w:id="93"/>
    </w:p>
    <w:p w14:paraId="14701665">
      <w:pPr>
        <w:pStyle w:val="2"/>
        <w:numPr>
          <w:ilvl w:val="0"/>
          <w:numId w:val="0"/>
        </w:numPr>
      </w:pPr>
    </w:p>
    <w:p w14:paraId="5181A3C0">
      <w:pPr>
        <w:pStyle w:val="3"/>
        <w:spacing w:before="66"/>
        <w:jc w:val="both"/>
        <w:rPr>
          <w:b/>
          <w:bCs/>
          <w:sz w:val="18"/>
          <w:szCs w:val="22"/>
        </w:rPr>
      </w:pPr>
      <w:r>
        <w:rPr>
          <w:b/>
          <w:bCs/>
          <w:sz w:val="24"/>
          <w:szCs w:val="24"/>
        </w:rPr>
        <w:t>评审办法前附表</w:t>
      </w:r>
    </w:p>
    <w:tbl>
      <w:tblPr>
        <w:tblStyle w:val="27"/>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65"/>
        <w:gridCol w:w="2208"/>
        <w:gridCol w:w="5901"/>
      </w:tblGrid>
      <w:tr w14:paraId="26D8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31823F63">
            <w:pPr>
              <w:pStyle w:val="42"/>
              <w:spacing w:line="440" w:lineRule="exact"/>
              <w:jc w:val="center"/>
              <w:rPr>
                <w:rFonts w:ascii="宋体" w:hAnsi="宋体" w:cs="宋体"/>
                <w:b/>
                <w:color w:val="auto"/>
              </w:rPr>
            </w:pPr>
            <w:r>
              <w:rPr>
                <w:rFonts w:hint="eastAsia" w:ascii="宋体" w:hAnsi="宋体" w:cs="宋体"/>
                <w:b/>
                <w:color w:val="auto"/>
              </w:rPr>
              <w:t>条款号</w:t>
            </w:r>
          </w:p>
        </w:tc>
        <w:tc>
          <w:tcPr>
            <w:tcW w:w="2208" w:type="dxa"/>
            <w:tcBorders>
              <w:top w:val="single" w:color="auto" w:sz="4" w:space="0"/>
              <w:left w:val="single" w:color="auto" w:sz="4" w:space="0"/>
              <w:bottom w:val="single" w:color="auto" w:sz="4" w:space="0"/>
              <w:right w:val="single" w:color="auto" w:sz="4" w:space="0"/>
            </w:tcBorders>
            <w:vAlign w:val="center"/>
          </w:tcPr>
          <w:p w14:paraId="74AA5E06">
            <w:pPr>
              <w:pStyle w:val="42"/>
              <w:spacing w:line="440" w:lineRule="exact"/>
              <w:jc w:val="center"/>
              <w:rPr>
                <w:rFonts w:ascii="宋体" w:hAnsi="宋体" w:cs="宋体"/>
                <w:b/>
                <w:color w:val="auto"/>
              </w:rPr>
            </w:pPr>
            <w:r>
              <w:rPr>
                <w:rFonts w:hint="eastAsia" w:ascii="宋体" w:hAnsi="宋体" w:cs="宋体"/>
                <w:b/>
                <w:color w:val="auto"/>
              </w:rPr>
              <w:t>评审因素</w:t>
            </w:r>
          </w:p>
        </w:tc>
        <w:tc>
          <w:tcPr>
            <w:tcW w:w="5901" w:type="dxa"/>
            <w:tcBorders>
              <w:top w:val="single" w:color="auto" w:sz="4" w:space="0"/>
              <w:left w:val="single" w:color="auto" w:sz="4" w:space="0"/>
              <w:bottom w:val="single" w:color="auto" w:sz="4" w:space="0"/>
              <w:right w:val="single" w:color="auto" w:sz="4" w:space="0"/>
            </w:tcBorders>
            <w:vAlign w:val="center"/>
          </w:tcPr>
          <w:p w14:paraId="44D333C2">
            <w:pPr>
              <w:pStyle w:val="42"/>
              <w:spacing w:line="440" w:lineRule="exact"/>
              <w:jc w:val="center"/>
              <w:rPr>
                <w:rFonts w:ascii="宋体" w:hAnsi="宋体" w:cs="宋体"/>
                <w:b/>
                <w:color w:val="auto"/>
              </w:rPr>
            </w:pPr>
            <w:r>
              <w:rPr>
                <w:rFonts w:hint="eastAsia" w:ascii="宋体" w:hAnsi="宋体" w:cs="宋体"/>
                <w:b/>
                <w:color w:val="auto"/>
              </w:rPr>
              <w:t>评审标准</w:t>
            </w:r>
          </w:p>
        </w:tc>
      </w:tr>
      <w:tr w14:paraId="5EA7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29" w:type="dxa"/>
            <w:vMerge w:val="restart"/>
            <w:tcBorders>
              <w:top w:val="single" w:color="auto" w:sz="4" w:space="0"/>
              <w:left w:val="single" w:color="auto" w:sz="4" w:space="0"/>
              <w:right w:val="single" w:color="auto" w:sz="4" w:space="0"/>
            </w:tcBorders>
            <w:vAlign w:val="center"/>
          </w:tcPr>
          <w:p w14:paraId="4268CAC0">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2.1.1</w:t>
            </w:r>
          </w:p>
        </w:tc>
        <w:tc>
          <w:tcPr>
            <w:tcW w:w="865" w:type="dxa"/>
            <w:vMerge w:val="restart"/>
            <w:tcBorders>
              <w:top w:val="single" w:color="auto" w:sz="4" w:space="0"/>
              <w:left w:val="single" w:color="auto" w:sz="4" w:space="0"/>
              <w:right w:val="single" w:color="auto" w:sz="4" w:space="0"/>
            </w:tcBorders>
            <w:vAlign w:val="center"/>
          </w:tcPr>
          <w:p w14:paraId="50E37807">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资</w:t>
            </w:r>
          </w:p>
          <w:p w14:paraId="02EB1151">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格</w:t>
            </w:r>
          </w:p>
          <w:p w14:paraId="6D3F8778">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评</w:t>
            </w:r>
          </w:p>
          <w:p w14:paraId="1AB5F95C">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审</w:t>
            </w:r>
          </w:p>
          <w:p w14:paraId="029A224B">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标</w:t>
            </w:r>
          </w:p>
          <w:p w14:paraId="41F0D5F8">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准</w:t>
            </w:r>
          </w:p>
          <w:p w14:paraId="692C3D5B">
            <w:pPr>
              <w:pStyle w:val="42"/>
              <w:spacing w:line="440" w:lineRule="exact"/>
              <w:jc w:val="center"/>
              <w:rPr>
                <w:rFonts w:ascii="宋体" w:hAnsi="宋体" w:cs="宋体"/>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4229D4F">
            <w:pPr>
              <w:jc w:val="center"/>
              <w:rPr>
                <w:sz w:val="22"/>
                <w:szCs w:val="22"/>
                <w:lang w:val="en-US" w:bidi="ar-SA"/>
              </w:rPr>
            </w:pPr>
            <w:r>
              <w:rPr>
                <w:rFonts w:hint="eastAsia"/>
                <w:sz w:val="22"/>
                <w:szCs w:val="22"/>
                <w:lang w:val="en-US" w:bidi="ar-SA"/>
              </w:rPr>
              <w:t>落实政府采购政策</w:t>
            </w:r>
          </w:p>
        </w:tc>
        <w:tc>
          <w:tcPr>
            <w:tcW w:w="5901" w:type="dxa"/>
            <w:tcBorders>
              <w:top w:val="single" w:color="auto" w:sz="4" w:space="0"/>
              <w:left w:val="single" w:color="auto" w:sz="4" w:space="0"/>
              <w:bottom w:val="single" w:color="auto" w:sz="4" w:space="0"/>
              <w:right w:val="single" w:color="auto" w:sz="4" w:space="0"/>
            </w:tcBorders>
            <w:vAlign w:val="center"/>
          </w:tcPr>
          <w:p w14:paraId="10C4C257">
            <w:pPr>
              <w:rPr>
                <w:sz w:val="22"/>
                <w:szCs w:val="22"/>
                <w:lang w:val="en-US" w:bidi="ar-SA"/>
              </w:rPr>
            </w:pPr>
            <w:r>
              <w:rPr>
                <w:rFonts w:hint="eastAsia"/>
                <w:sz w:val="22"/>
                <w:szCs w:val="22"/>
                <w:lang w:val="en-US" w:bidi="ar-SA"/>
              </w:rPr>
              <w:t>符合第二章供应商前附表1.5.1</w:t>
            </w:r>
          </w:p>
        </w:tc>
      </w:tr>
      <w:tr w14:paraId="74AE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929" w:type="dxa"/>
            <w:vMerge w:val="continue"/>
            <w:tcBorders>
              <w:left w:val="single" w:color="auto" w:sz="4" w:space="0"/>
              <w:right w:val="single" w:color="auto" w:sz="4" w:space="0"/>
            </w:tcBorders>
            <w:vAlign w:val="center"/>
          </w:tcPr>
          <w:p w14:paraId="6D7173BF">
            <w:pPr>
              <w:pStyle w:val="42"/>
              <w:spacing w:line="440" w:lineRule="exact"/>
              <w:jc w:val="center"/>
              <w:rPr>
                <w:rFonts w:ascii="宋体" w:hAnsi="宋体" w:cs="宋体"/>
                <w:color w:val="auto"/>
                <w:sz w:val="22"/>
                <w:szCs w:val="22"/>
              </w:rPr>
            </w:pPr>
          </w:p>
        </w:tc>
        <w:tc>
          <w:tcPr>
            <w:tcW w:w="865" w:type="dxa"/>
            <w:vMerge w:val="continue"/>
            <w:tcBorders>
              <w:left w:val="single" w:color="auto" w:sz="4" w:space="0"/>
              <w:right w:val="single" w:color="auto" w:sz="4" w:space="0"/>
            </w:tcBorders>
            <w:vAlign w:val="center"/>
          </w:tcPr>
          <w:p w14:paraId="31FB57C4">
            <w:pPr>
              <w:pStyle w:val="42"/>
              <w:spacing w:line="440" w:lineRule="exact"/>
              <w:jc w:val="center"/>
              <w:rPr>
                <w:rFonts w:ascii="宋体" w:hAnsi="宋体" w:cs="宋体"/>
                <w:b/>
                <w:bCs/>
                <w:color w:val="auto"/>
                <w:sz w:val="22"/>
                <w:szCs w:val="22"/>
              </w:rPr>
            </w:pPr>
          </w:p>
        </w:tc>
        <w:tc>
          <w:tcPr>
            <w:tcW w:w="2208" w:type="dxa"/>
            <w:tcBorders>
              <w:top w:val="single" w:color="auto" w:sz="4" w:space="0"/>
              <w:left w:val="single" w:color="auto" w:sz="4" w:space="0"/>
              <w:right w:val="single" w:color="auto" w:sz="4" w:space="0"/>
            </w:tcBorders>
            <w:vAlign w:val="center"/>
          </w:tcPr>
          <w:p w14:paraId="504F7777">
            <w:pPr>
              <w:jc w:val="center"/>
              <w:rPr>
                <w:sz w:val="22"/>
                <w:szCs w:val="22"/>
                <w:lang w:val="en-US" w:bidi="ar-SA"/>
              </w:rPr>
            </w:pPr>
            <w:r>
              <w:rPr>
                <w:rFonts w:hint="eastAsia"/>
                <w:sz w:val="22"/>
                <w:szCs w:val="22"/>
                <w:lang w:val="en-US" w:bidi="ar-SA"/>
              </w:rPr>
              <w:t>符合《中华人民共和国政府采购法》第22条规定</w:t>
            </w:r>
          </w:p>
        </w:tc>
        <w:tc>
          <w:tcPr>
            <w:tcW w:w="5901" w:type="dxa"/>
            <w:tcBorders>
              <w:top w:val="single" w:color="auto" w:sz="4" w:space="0"/>
              <w:left w:val="single" w:color="auto" w:sz="4" w:space="0"/>
              <w:bottom w:val="single" w:color="auto" w:sz="4" w:space="0"/>
              <w:right w:val="single" w:color="auto" w:sz="4" w:space="0"/>
            </w:tcBorders>
            <w:vAlign w:val="center"/>
          </w:tcPr>
          <w:p w14:paraId="18996124">
            <w:pPr>
              <w:rPr>
                <w:sz w:val="22"/>
                <w:szCs w:val="22"/>
                <w:lang w:val="en-US" w:bidi="ar-SA"/>
              </w:rPr>
            </w:pPr>
            <w:r>
              <w:rPr>
                <w:rFonts w:hint="eastAsia"/>
                <w:sz w:val="22"/>
                <w:szCs w:val="22"/>
                <w:lang w:val="en-US" w:bidi="ar-SA"/>
              </w:rPr>
              <w:t>符合第二章供应商前附表1.5.1</w:t>
            </w:r>
          </w:p>
        </w:tc>
      </w:tr>
      <w:tr w14:paraId="3036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7B4ADF1A">
            <w:pPr>
              <w:pStyle w:val="42"/>
              <w:spacing w:line="440" w:lineRule="exact"/>
              <w:jc w:val="center"/>
              <w:rPr>
                <w:rFonts w:ascii="宋体" w:hAnsi="宋体" w:cs="宋体"/>
                <w:color w:val="auto"/>
                <w:sz w:val="22"/>
                <w:szCs w:val="22"/>
              </w:rPr>
            </w:pPr>
          </w:p>
        </w:tc>
        <w:tc>
          <w:tcPr>
            <w:tcW w:w="865" w:type="dxa"/>
            <w:vMerge w:val="continue"/>
            <w:tcBorders>
              <w:left w:val="single" w:color="auto" w:sz="4" w:space="0"/>
              <w:right w:val="single" w:color="auto" w:sz="4" w:space="0"/>
            </w:tcBorders>
            <w:vAlign w:val="center"/>
          </w:tcPr>
          <w:p w14:paraId="54CF93A9">
            <w:pPr>
              <w:pStyle w:val="42"/>
              <w:spacing w:line="440" w:lineRule="exact"/>
              <w:jc w:val="center"/>
              <w:rPr>
                <w:rFonts w:ascii="宋体" w:hAnsi="宋体" w:cs="宋体"/>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E3D6E33">
            <w:pPr>
              <w:jc w:val="center"/>
              <w:rPr>
                <w:rFonts w:hint="default" w:eastAsia="宋体"/>
                <w:sz w:val="22"/>
                <w:szCs w:val="22"/>
                <w:lang w:val="en-US" w:eastAsia="zh-CN" w:bidi="ar-SA"/>
              </w:rPr>
            </w:pPr>
            <w:r>
              <w:rPr>
                <w:rFonts w:hint="eastAsia"/>
                <w:sz w:val="22"/>
                <w:szCs w:val="22"/>
                <w:lang w:val="en-US" w:eastAsia="zh-CN" w:bidi="ar-SA"/>
              </w:rPr>
              <w:t>供应商资质条件</w:t>
            </w:r>
          </w:p>
        </w:tc>
        <w:tc>
          <w:tcPr>
            <w:tcW w:w="5901" w:type="dxa"/>
            <w:tcBorders>
              <w:top w:val="single" w:color="auto" w:sz="4" w:space="0"/>
              <w:left w:val="single" w:color="auto" w:sz="4" w:space="0"/>
              <w:bottom w:val="single" w:color="auto" w:sz="4" w:space="0"/>
              <w:right w:val="single" w:color="auto" w:sz="4" w:space="0"/>
            </w:tcBorders>
            <w:vAlign w:val="center"/>
          </w:tcPr>
          <w:p w14:paraId="050B4310">
            <w:pPr>
              <w:rPr>
                <w:rFonts w:hint="eastAsia"/>
                <w:sz w:val="22"/>
                <w:szCs w:val="22"/>
                <w:lang w:val="en-US" w:bidi="ar-SA"/>
              </w:rPr>
            </w:pPr>
            <w:r>
              <w:rPr>
                <w:rFonts w:hint="eastAsia"/>
                <w:sz w:val="22"/>
                <w:szCs w:val="22"/>
                <w:lang w:val="en-US" w:bidi="ar-SA"/>
              </w:rPr>
              <w:t>符合第二章供应商前附表1.5.1</w:t>
            </w:r>
          </w:p>
        </w:tc>
      </w:tr>
      <w:tr w14:paraId="022F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116718D5">
            <w:pPr>
              <w:pStyle w:val="42"/>
              <w:spacing w:line="440" w:lineRule="exact"/>
              <w:jc w:val="center"/>
              <w:rPr>
                <w:rFonts w:ascii="宋体" w:hAnsi="宋体" w:cs="宋体"/>
                <w:color w:val="auto"/>
                <w:sz w:val="22"/>
                <w:szCs w:val="22"/>
              </w:rPr>
            </w:pPr>
          </w:p>
        </w:tc>
        <w:tc>
          <w:tcPr>
            <w:tcW w:w="865" w:type="dxa"/>
            <w:vMerge w:val="continue"/>
            <w:tcBorders>
              <w:left w:val="single" w:color="auto" w:sz="4" w:space="0"/>
              <w:right w:val="single" w:color="auto" w:sz="4" w:space="0"/>
            </w:tcBorders>
            <w:vAlign w:val="center"/>
          </w:tcPr>
          <w:p w14:paraId="795957FD">
            <w:pPr>
              <w:pStyle w:val="42"/>
              <w:spacing w:line="440" w:lineRule="exact"/>
              <w:jc w:val="center"/>
              <w:rPr>
                <w:rFonts w:ascii="宋体" w:hAnsi="宋体" w:cs="宋体"/>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7018BF41">
            <w:pPr>
              <w:jc w:val="center"/>
              <w:rPr>
                <w:rFonts w:hint="eastAsia"/>
                <w:sz w:val="22"/>
                <w:szCs w:val="22"/>
                <w:lang w:val="en-US" w:bidi="ar-SA"/>
              </w:rPr>
            </w:pPr>
            <w:r>
              <w:rPr>
                <w:rFonts w:hint="eastAsia"/>
                <w:sz w:val="21"/>
                <w:szCs w:val="21"/>
                <w:lang w:val="en-US"/>
              </w:rPr>
              <w:t>法定代表人或委托代理人</w:t>
            </w:r>
          </w:p>
        </w:tc>
        <w:tc>
          <w:tcPr>
            <w:tcW w:w="5901" w:type="dxa"/>
            <w:tcBorders>
              <w:top w:val="single" w:color="auto" w:sz="4" w:space="0"/>
              <w:left w:val="single" w:color="auto" w:sz="4" w:space="0"/>
              <w:bottom w:val="single" w:color="auto" w:sz="4" w:space="0"/>
              <w:right w:val="single" w:color="auto" w:sz="4" w:space="0"/>
            </w:tcBorders>
            <w:vAlign w:val="center"/>
          </w:tcPr>
          <w:p w14:paraId="5DF881F0">
            <w:pPr>
              <w:rPr>
                <w:rFonts w:hint="eastAsia"/>
                <w:sz w:val="22"/>
                <w:szCs w:val="22"/>
                <w:lang w:val="en-US" w:bidi="ar-SA"/>
              </w:rPr>
            </w:pPr>
            <w:r>
              <w:rPr>
                <w:rFonts w:hint="eastAsia"/>
                <w:sz w:val="21"/>
                <w:szCs w:val="21"/>
                <w:lang w:val="en-US"/>
              </w:rPr>
              <w:t>法定代表人出示身份证复印件或委托代理人出示授权委托书和身份证复印件。</w:t>
            </w:r>
          </w:p>
        </w:tc>
      </w:tr>
      <w:tr w14:paraId="73F4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41F7AF60">
            <w:pPr>
              <w:pStyle w:val="42"/>
              <w:spacing w:line="440" w:lineRule="exact"/>
              <w:jc w:val="center"/>
              <w:rPr>
                <w:rFonts w:ascii="宋体" w:hAnsi="宋体" w:cs="宋体"/>
                <w:color w:val="auto"/>
                <w:sz w:val="22"/>
                <w:szCs w:val="22"/>
              </w:rPr>
            </w:pPr>
          </w:p>
        </w:tc>
        <w:tc>
          <w:tcPr>
            <w:tcW w:w="865" w:type="dxa"/>
            <w:vMerge w:val="continue"/>
            <w:tcBorders>
              <w:left w:val="single" w:color="auto" w:sz="4" w:space="0"/>
              <w:right w:val="single" w:color="auto" w:sz="4" w:space="0"/>
            </w:tcBorders>
            <w:vAlign w:val="center"/>
          </w:tcPr>
          <w:p w14:paraId="0D2B8163">
            <w:pPr>
              <w:pStyle w:val="42"/>
              <w:spacing w:line="440" w:lineRule="exact"/>
              <w:jc w:val="center"/>
              <w:rPr>
                <w:rFonts w:ascii="宋体" w:hAnsi="宋体" w:cs="宋体"/>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6F688538">
            <w:pPr>
              <w:jc w:val="center"/>
              <w:rPr>
                <w:sz w:val="22"/>
                <w:szCs w:val="22"/>
                <w:lang w:val="en-US" w:bidi="ar-SA"/>
              </w:rPr>
            </w:pPr>
            <w:r>
              <w:rPr>
                <w:rFonts w:hint="eastAsia"/>
                <w:sz w:val="22"/>
                <w:szCs w:val="22"/>
                <w:lang w:val="en-US" w:bidi="ar-SA"/>
              </w:rPr>
              <w:t>其他要求</w:t>
            </w:r>
          </w:p>
        </w:tc>
        <w:tc>
          <w:tcPr>
            <w:tcW w:w="5901" w:type="dxa"/>
            <w:tcBorders>
              <w:top w:val="single" w:color="auto" w:sz="4" w:space="0"/>
              <w:left w:val="single" w:color="auto" w:sz="4" w:space="0"/>
              <w:bottom w:val="single" w:color="auto" w:sz="4" w:space="0"/>
              <w:right w:val="single" w:color="auto" w:sz="4" w:space="0"/>
            </w:tcBorders>
            <w:vAlign w:val="center"/>
          </w:tcPr>
          <w:p w14:paraId="075481D1">
            <w:pPr>
              <w:rPr>
                <w:sz w:val="22"/>
                <w:szCs w:val="22"/>
                <w:lang w:val="en-US" w:bidi="ar-SA"/>
              </w:rPr>
            </w:pPr>
            <w:r>
              <w:rPr>
                <w:rFonts w:hint="eastAsia"/>
                <w:sz w:val="22"/>
                <w:szCs w:val="22"/>
                <w:lang w:val="en-US" w:bidi="ar-SA"/>
              </w:rPr>
              <w:t>符合第二章供应商前附表1.5.1</w:t>
            </w:r>
          </w:p>
        </w:tc>
      </w:tr>
      <w:tr w14:paraId="273F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322158EA">
            <w:pPr>
              <w:widowControl/>
              <w:spacing w:line="440" w:lineRule="exact"/>
              <w:rPr>
                <w:sz w:val="24"/>
                <w:szCs w:val="24"/>
              </w:rPr>
            </w:pPr>
          </w:p>
        </w:tc>
        <w:tc>
          <w:tcPr>
            <w:tcW w:w="865" w:type="dxa"/>
            <w:vMerge w:val="continue"/>
            <w:tcBorders>
              <w:left w:val="single" w:color="auto" w:sz="4" w:space="0"/>
              <w:right w:val="single" w:color="auto" w:sz="4" w:space="0"/>
            </w:tcBorders>
            <w:vAlign w:val="center"/>
          </w:tcPr>
          <w:p w14:paraId="20FFECCE">
            <w:pPr>
              <w:widowControl/>
              <w:spacing w:line="440" w:lineRule="exact"/>
              <w:rPr>
                <w:sz w:val="24"/>
                <w:szCs w:val="24"/>
              </w:rPr>
            </w:pPr>
          </w:p>
        </w:tc>
        <w:tc>
          <w:tcPr>
            <w:tcW w:w="8109" w:type="dxa"/>
            <w:gridSpan w:val="2"/>
            <w:tcBorders>
              <w:top w:val="single" w:color="auto" w:sz="4" w:space="0"/>
              <w:left w:val="single" w:color="auto" w:sz="4" w:space="0"/>
              <w:bottom w:val="single" w:color="auto" w:sz="4" w:space="0"/>
              <w:right w:val="single" w:color="auto" w:sz="4" w:space="0"/>
            </w:tcBorders>
            <w:vAlign w:val="center"/>
          </w:tcPr>
          <w:p w14:paraId="38FB2DB3">
            <w:pPr>
              <w:widowControl/>
              <w:autoSpaceDE/>
              <w:autoSpaceDN/>
              <w:spacing w:line="320" w:lineRule="exact"/>
              <w:rPr>
                <w:sz w:val="24"/>
                <w:szCs w:val="24"/>
                <w:lang w:val="en-US"/>
              </w:rPr>
            </w:pPr>
            <w:r>
              <w:rPr>
                <w:rFonts w:hint="eastAsia"/>
                <w:b/>
                <w:bCs/>
                <w:sz w:val="24"/>
                <w:szCs w:val="24"/>
                <w:lang w:val="en-US"/>
              </w:rPr>
              <w:t>资格评审相关规定参照《中华人民共和国财政部令第87号》第四十四条“采购人或者采购代理机构应当依法对投标人的资格进行审查”执行。</w:t>
            </w:r>
          </w:p>
        </w:tc>
      </w:tr>
      <w:tr w14:paraId="4C05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5" w:hRule="atLeast"/>
          <w:jc w:val="center"/>
        </w:trPr>
        <w:tc>
          <w:tcPr>
            <w:tcW w:w="929" w:type="dxa"/>
            <w:vMerge w:val="restart"/>
            <w:tcBorders>
              <w:top w:val="single" w:color="auto" w:sz="4" w:space="0"/>
              <w:left w:val="single" w:color="auto" w:sz="4" w:space="0"/>
              <w:right w:val="single" w:color="auto" w:sz="4" w:space="0"/>
            </w:tcBorders>
            <w:vAlign w:val="center"/>
          </w:tcPr>
          <w:p w14:paraId="773C31F8">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2.1.2</w:t>
            </w:r>
          </w:p>
        </w:tc>
        <w:tc>
          <w:tcPr>
            <w:tcW w:w="865" w:type="dxa"/>
            <w:vMerge w:val="restart"/>
            <w:tcBorders>
              <w:top w:val="single" w:color="auto" w:sz="4" w:space="0"/>
              <w:left w:val="single" w:color="auto" w:sz="4" w:space="0"/>
              <w:right w:val="single" w:color="auto" w:sz="4" w:space="0"/>
            </w:tcBorders>
            <w:vAlign w:val="center"/>
          </w:tcPr>
          <w:p w14:paraId="0A1B78CC">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符</w:t>
            </w:r>
          </w:p>
          <w:p w14:paraId="7A522107">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合</w:t>
            </w:r>
          </w:p>
          <w:p w14:paraId="3B5CB969">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性</w:t>
            </w:r>
          </w:p>
          <w:p w14:paraId="368851FB">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评</w:t>
            </w:r>
          </w:p>
          <w:p w14:paraId="065F4EE2">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审</w:t>
            </w:r>
          </w:p>
          <w:p w14:paraId="416984C3">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标</w:t>
            </w:r>
          </w:p>
          <w:p w14:paraId="2FF3FB65">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准</w:t>
            </w:r>
          </w:p>
        </w:tc>
        <w:tc>
          <w:tcPr>
            <w:tcW w:w="2208" w:type="dxa"/>
            <w:tcBorders>
              <w:top w:val="single" w:color="auto" w:sz="4" w:space="0"/>
              <w:left w:val="single" w:color="auto" w:sz="4" w:space="0"/>
              <w:bottom w:val="single" w:color="auto" w:sz="4" w:space="0"/>
              <w:right w:val="single" w:color="auto" w:sz="4" w:space="0"/>
            </w:tcBorders>
            <w:vAlign w:val="center"/>
          </w:tcPr>
          <w:p w14:paraId="38FE24A3">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是否存在严重失信主体</w:t>
            </w:r>
          </w:p>
        </w:tc>
        <w:tc>
          <w:tcPr>
            <w:tcW w:w="5901" w:type="dxa"/>
            <w:tcBorders>
              <w:top w:val="single" w:color="auto" w:sz="4" w:space="0"/>
              <w:left w:val="single" w:color="auto" w:sz="4" w:space="0"/>
              <w:bottom w:val="single" w:color="auto" w:sz="4" w:space="0"/>
              <w:right w:val="single" w:color="auto" w:sz="4" w:space="0"/>
            </w:tcBorders>
            <w:vAlign w:val="center"/>
          </w:tcPr>
          <w:p w14:paraId="198A3FEF">
            <w:pPr>
              <w:spacing w:line="440" w:lineRule="exact"/>
              <w:jc w:val="both"/>
              <w:rPr>
                <w:sz w:val="22"/>
                <w:szCs w:val="22"/>
                <w:lang w:val="en-US"/>
              </w:rPr>
            </w:pPr>
            <w:r>
              <w:rPr>
                <w:rFonts w:hint="eastAsia"/>
                <w:sz w:val="22"/>
                <w:szCs w:val="22"/>
                <w:lang w:val="en-US"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5B6B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9" w:type="dxa"/>
            <w:vMerge w:val="continue"/>
            <w:tcBorders>
              <w:left w:val="single" w:color="auto" w:sz="4" w:space="0"/>
              <w:right w:val="single" w:color="auto" w:sz="4" w:space="0"/>
            </w:tcBorders>
            <w:vAlign w:val="center"/>
          </w:tcPr>
          <w:p w14:paraId="6341E4C0">
            <w:pPr>
              <w:pStyle w:val="42"/>
              <w:spacing w:line="440" w:lineRule="exact"/>
              <w:jc w:val="center"/>
              <w:rPr>
                <w:rFonts w:ascii="宋体" w:hAnsi="宋体" w:cs="宋体"/>
                <w:color w:val="auto"/>
                <w:sz w:val="22"/>
                <w:szCs w:val="22"/>
              </w:rPr>
            </w:pPr>
          </w:p>
        </w:tc>
        <w:tc>
          <w:tcPr>
            <w:tcW w:w="865" w:type="dxa"/>
            <w:vMerge w:val="continue"/>
            <w:tcBorders>
              <w:left w:val="single" w:color="auto" w:sz="4" w:space="0"/>
              <w:right w:val="single" w:color="auto" w:sz="4" w:space="0"/>
            </w:tcBorders>
            <w:vAlign w:val="center"/>
          </w:tcPr>
          <w:p w14:paraId="7B10D0B1">
            <w:pPr>
              <w:pStyle w:val="42"/>
              <w:spacing w:line="440" w:lineRule="exact"/>
              <w:jc w:val="center"/>
              <w:rPr>
                <w:rFonts w:ascii="宋体" w:hAnsi="宋体" w:cs="宋体"/>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103AA506">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投标内容</w:t>
            </w:r>
          </w:p>
        </w:tc>
        <w:tc>
          <w:tcPr>
            <w:tcW w:w="5901" w:type="dxa"/>
            <w:tcBorders>
              <w:top w:val="single" w:color="auto" w:sz="4" w:space="0"/>
              <w:left w:val="single" w:color="auto" w:sz="4" w:space="0"/>
              <w:bottom w:val="single" w:color="auto" w:sz="4" w:space="0"/>
              <w:right w:val="single" w:color="auto" w:sz="4" w:space="0"/>
            </w:tcBorders>
            <w:vAlign w:val="center"/>
          </w:tcPr>
          <w:p w14:paraId="244C1D88">
            <w:pPr>
              <w:spacing w:line="440" w:lineRule="exact"/>
              <w:rPr>
                <w:sz w:val="22"/>
                <w:szCs w:val="22"/>
                <w:lang w:val="en-US" w:bidi="ar-SA"/>
              </w:rPr>
            </w:pPr>
            <w:r>
              <w:rPr>
                <w:rFonts w:hint="eastAsia"/>
                <w:sz w:val="22"/>
                <w:szCs w:val="22"/>
                <w:lang w:val="en-US" w:bidi="ar-SA"/>
              </w:rPr>
              <w:t>符合第二章“供应商须知”规定</w:t>
            </w:r>
          </w:p>
        </w:tc>
      </w:tr>
      <w:tr w14:paraId="2807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4520425F">
            <w:pPr>
              <w:widowControl/>
              <w:spacing w:line="440" w:lineRule="exact"/>
              <w:rPr>
                <w:sz w:val="22"/>
                <w:szCs w:val="22"/>
              </w:rPr>
            </w:pPr>
          </w:p>
        </w:tc>
        <w:tc>
          <w:tcPr>
            <w:tcW w:w="865" w:type="dxa"/>
            <w:vMerge w:val="continue"/>
            <w:tcBorders>
              <w:left w:val="single" w:color="auto" w:sz="4" w:space="0"/>
              <w:right w:val="single" w:color="auto" w:sz="4" w:space="0"/>
            </w:tcBorders>
            <w:vAlign w:val="center"/>
          </w:tcPr>
          <w:p w14:paraId="11E96D51">
            <w:pPr>
              <w:widowControl/>
              <w:spacing w:line="440" w:lineRule="exact"/>
              <w:rPr>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8BBEC75">
            <w:pPr>
              <w:pStyle w:val="42"/>
              <w:spacing w:line="440" w:lineRule="exact"/>
              <w:jc w:val="center"/>
              <w:rPr>
                <w:rFonts w:hint="default" w:ascii="宋体" w:hAnsi="宋体" w:eastAsia="宋体" w:cs="宋体"/>
                <w:color w:val="auto"/>
                <w:sz w:val="22"/>
                <w:szCs w:val="22"/>
                <w:lang w:val="en-US" w:eastAsia="zh-CN"/>
              </w:rPr>
            </w:pPr>
            <w:r>
              <w:rPr>
                <w:rFonts w:hint="eastAsia" w:cs="宋体"/>
                <w:sz w:val="24"/>
                <w:szCs w:val="24"/>
                <w:lang w:val="en-US" w:eastAsia="zh-CN" w:bidi="ar"/>
              </w:rPr>
              <w:t>合同履行期限</w:t>
            </w:r>
          </w:p>
        </w:tc>
        <w:tc>
          <w:tcPr>
            <w:tcW w:w="5901" w:type="dxa"/>
            <w:tcBorders>
              <w:top w:val="single" w:color="auto" w:sz="4" w:space="0"/>
              <w:left w:val="single" w:color="auto" w:sz="4" w:space="0"/>
              <w:bottom w:val="single" w:color="auto" w:sz="4" w:space="0"/>
              <w:right w:val="single" w:color="auto" w:sz="4" w:space="0"/>
            </w:tcBorders>
            <w:vAlign w:val="center"/>
          </w:tcPr>
          <w:p w14:paraId="721070AF">
            <w:pPr>
              <w:spacing w:line="440" w:lineRule="exact"/>
              <w:rPr>
                <w:sz w:val="22"/>
                <w:szCs w:val="22"/>
                <w:lang w:val="en-US" w:bidi="ar-SA"/>
              </w:rPr>
            </w:pPr>
            <w:r>
              <w:rPr>
                <w:rFonts w:hint="eastAsia"/>
                <w:sz w:val="22"/>
                <w:szCs w:val="22"/>
                <w:lang w:val="en-US" w:bidi="ar-SA"/>
              </w:rPr>
              <w:t>符合第二章“供应商须知”规定</w:t>
            </w:r>
          </w:p>
        </w:tc>
      </w:tr>
      <w:tr w14:paraId="54ED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14975035">
            <w:pPr>
              <w:widowControl/>
              <w:spacing w:line="440" w:lineRule="exact"/>
              <w:rPr>
                <w:sz w:val="22"/>
                <w:szCs w:val="22"/>
              </w:rPr>
            </w:pPr>
          </w:p>
        </w:tc>
        <w:tc>
          <w:tcPr>
            <w:tcW w:w="865" w:type="dxa"/>
            <w:vMerge w:val="continue"/>
            <w:tcBorders>
              <w:left w:val="single" w:color="auto" w:sz="4" w:space="0"/>
              <w:right w:val="single" w:color="auto" w:sz="4" w:space="0"/>
            </w:tcBorders>
            <w:vAlign w:val="center"/>
          </w:tcPr>
          <w:p w14:paraId="4248C1C6">
            <w:pPr>
              <w:widowControl/>
              <w:spacing w:line="440" w:lineRule="exact"/>
              <w:rPr>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99FA3E7">
            <w:pPr>
              <w:pStyle w:val="42"/>
              <w:spacing w:line="440" w:lineRule="exact"/>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rPr>
              <w:t>质量</w:t>
            </w:r>
            <w:r>
              <w:rPr>
                <w:rFonts w:hint="eastAsia" w:ascii="宋体" w:hAnsi="宋体" w:cs="宋体"/>
                <w:color w:val="auto"/>
                <w:sz w:val="22"/>
                <w:szCs w:val="22"/>
                <w:lang w:val="en-US" w:eastAsia="zh-CN"/>
              </w:rPr>
              <w:t>要求</w:t>
            </w:r>
          </w:p>
        </w:tc>
        <w:tc>
          <w:tcPr>
            <w:tcW w:w="5901" w:type="dxa"/>
            <w:tcBorders>
              <w:top w:val="single" w:color="auto" w:sz="4" w:space="0"/>
              <w:left w:val="single" w:color="auto" w:sz="4" w:space="0"/>
              <w:bottom w:val="single" w:color="auto" w:sz="4" w:space="0"/>
              <w:right w:val="single" w:color="auto" w:sz="4" w:space="0"/>
            </w:tcBorders>
            <w:vAlign w:val="center"/>
          </w:tcPr>
          <w:p w14:paraId="5274E5C0">
            <w:pPr>
              <w:spacing w:line="440" w:lineRule="exact"/>
              <w:rPr>
                <w:sz w:val="22"/>
                <w:szCs w:val="22"/>
                <w:lang w:val="en-US" w:bidi="ar-SA"/>
              </w:rPr>
            </w:pPr>
            <w:r>
              <w:rPr>
                <w:rFonts w:hint="eastAsia"/>
                <w:sz w:val="22"/>
                <w:szCs w:val="22"/>
                <w:lang w:val="en-US" w:bidi="ar-SA"/>
              </w:rPr>
              <w:t>符合第二章“供应商须知”规定</w:t>
            </w:r>
          </w:p>
        </w:tc>
      </w:tr>
      <w:tr w14:paraId="2894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26207347">
            <w:pPr>
              <w:widowControl/>
              <w:spacing w:line="440" w:lineRule="exact"/>
              <w:rPr>
                <w:sz w:val="22"/>
                <w:szCs w:val="22"/>
              </w:rPr>
            </w:pPr>
          </w:p>
        </w:tc>
        <w:tc>
          <w:tcPr>
            <w:tcW w:w="865" w:type="dxa"/>
            <w:vMerge w:val="continue"/>
            <w:tcBorders>
              <w:left w:val="single" w:color="auto" w:sz="4" w:space="0"/>
              <w:right w:val="single" w:color="auto" w:sz="4" w:space="0"/>
            </w:tcBorders>
            <w:vAlign w:val="center"/>
          </w:tcPr>
          <w:p w14:paraId="38BE03E1">
            <w:pPr>
              <w:widowControl/>
              <w:spacing w:line="440" w:lineRule="exact"/>
              <w:rPr>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384089AB">
            <w:pPr>
              <w:pStyle w:val="42"/>
              <w:spacing w:line="440" w:lineRule="exact"/>
              <w:jc w:val="center"/>
              <w:rPr>
                <w:rFonts w:ascii="宋体" w:hAnsi="宋体" w:cs="宋体"/>
                <w:color w:val="auto"/>
                <w:sz w:val="22"/>
                <w:szCs w:val="22"/>
              </w:rPr>
            </w:pPr>
            <w:r>
              <w:rPr>
                <w:rFonts w:hint="eastAsia" w:ascii="宋体" w:hAnsi="宋体" w:cs="宋体"/>
                <w:color w:val="auto"/>
                <w:sz w:val="22"/>
                <w:szCs w:val="22"/>
                <w:lang w:val="en-US" w:eastAsia="zh-CN"/>
              </w:rPr>
              <w:t>磋商</w:t>
            </w:r>
            <w:r>
              <w:rPr>
                <w:rFonts w:hint="eastAsia" w:ascii="宋体" w:hAnsi="宋体" w:cs="宋体"/>
                <w:color w:val="auto"/>
                <w:sz w:val="22"/>
                <w:szCs w:val="22"/>
              </w:rPr>
              <w:t>有效期</w:t>
            </w:r>
          </w:p>
        </w:tc>
        <w:tc>
          <w:tcPr>
            <w:tcW w:w="5901" w:type="dxa"/>
            <w:tcBorders>
              <w:top w:val="single" w:color="auto" w:sz="4" w:space="0"/>
              <w:left w:val="single" w:color="auto" w:sz="4" w:space="0"/>
              <w:bottom w:val="single" w:color="auto" w:sz="4" w:space="0"/>
              <w:right w:val="single" w:color="auto" w:sz="4" w:space="0"/>
            </w:tcBorders>
            <w:vAlign w:val="center"/>
          </w:tcPr>
          <w:p w14:paraId="12F0E9FA">
            <w:pPr>
              <w:spacing w:line="440" w:lineRule="exact"/>
              <w:rPr>
                <w:sz w:val="22"/>
                <w:szCs w:val="22"/>
                <w:lang w:val="en-US" w:bidi="ar-SA"/>
              </w:rPr>
            </w:pPr>
            <w:r>
              <w:rPr>
                <w:rFonts w:hint="eastAsia"/>
                <w:sz w:val="22"/>
                <w:szCs w:val="22"/>
                <w:lang w:val="en-US" w:bidi="ar-SA"/>
              </w:rPr>
              <w:t>符合第二章“供应商须知”规定</w:t>
            </w:r>
          </w:p>
        </w:tc>
      </w:tr>
      <w:tr w14:paraId="6C1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929" w:type="dxa"/>
            <w:vMerge w:val="continue"/>
            <w:tcBorders>
              <w:left w:val="single" w:color="auto" w:sz="4" w:space="0"/>
              <w:right w:val="single" w:color="auto" w:sz="4" w:space="0"/>
            </w:tcBorders>
            <w:vAlign w:val="center"/>
          </w:tcPr>
          <w:p w14:paraId="7E7CA343">
            <w:pPr>
              <w:widowControl/>
              <w:spacing w:line="440" w:lineRule="exact"/>
              <w:rPr>
                <w:sz w:val="22"/>
                <w:szCs w:val="22"/>
                <w:highlight w:val="green"/>
              </w:rPr>
            </w:pPr>
          </w:p>
        </w:tc>
        <w:tc>
          <w:tcPr>
            <w:tcW w:w="865" w:type="dxa"/>
            <w:vMerge w:val="continue"/>
            <w:tcBorders>
              <w:left w:val="single" w:color="auto" w:sz="4" w:space="0"/>
              <w:right w:val="single" w:color="auto" w:sz="4" w:space="0"/>
            </w:tcBorders>
            <w:vAlign w:val="center"/>
          </w:tcPr>
          <w:p w14:paraId="05477A0F">
            <w:pPr>
              <w:widowControl/>
              <w:spacing w:line="440" w:lineRule="exact"/>
              <w:rPr>
                <w:sz w:val="22"/>
                <w:szCs w:val="22"/>
                <w:highlight w:val="green"/>
              </w:rPr>
            </w:pPr>
          </w:p>
        </w:tc>
        <w:tc>
          <w:tcPr>
            <w:tcW w:w="2208" w:type="dxa"/>
            <w:tcBorders>
              <w:top w:val="single" w:color="auto" w:sz="4" w:space="0"/>
              <w:left w:val="single" w:color="auto" w:sz="4" w:space="0"/>
              <w:right w:val="single" w:color="auto" w:sz="4" w:space="0"/>
            </w:tcBorders>
            <w:vAlign w:val="center"/>
          </w:tcPr>
          <w:p w14:paraId="1568EB7B">
            <w:pPr>
              <w:pStyle w:val="42"/>
              <w:spacing w:line="440" w:lineRule="exact"/>
              <w:jc w:val="center"/>
              <w:rPr>
                <w:rFonts w:ascii="宋体" w:hAnsi="宋体" w:cs="宋体"/>
                <w:b/>
                <w:color w:val="auto"/>
                <w:sz w:val="22"/>
                <w:szCs w:val="22"/>
              </w:rPr>
            </w:pPr>
            <w:r>
              <w:rPr>
                <w:rFonts w:hint="eastAsia" w:hAnsi="宋体" w:cs="宋体"/>
                <w:color w:val="auto"/>
                <w:sz w:val="22"/>
                <w:szCs w:val="22"/>
              </w:rPr>
              <w:t>磋商</w:t>
            </w:r>
            <w:r>
              <w:rPr>
                <w:rFonts w:hint="eastAsia" w:ascii="宋体" w:hAnsi="宋体" w:cs="宋体"/>
                <w:color w:val="auto"/>
                <w:sz w:val="22"/>
                <w:szCs w:val="22"/>
              </w:rPr>
              <w:t>人名称</w:t>
            </w:r>
          </w:p>
        </w:tc>
        <w:tc>
          <w:tcPr>
            <w:tcW w:w="5901" w:type="dxa"/>
            <w:tcBorders>
              <w:top w:val="single" w:color="auto" w:sz="4" w:space="0"/>
              <w:left w:val="single" w:color="auto" w:sz="4" w:space="0"/>
              <w:bottom w:val="single" w:color="auto" w:sz="4" w:space="0"/>
              <w:right w:val="single" w:color="auto" w:sz="4" w:space="0"/>
            </w:tcBorders>
            <w:vAlign w:val="center"/>
          </w:tcPr>
          <w:p w14:paraId="4292EBAE">
            <w:pPr>
              <w:pStyle w:val="42"/>
              <w:spacing w:line="440" w:lineRule="exact"/>
              <w:jc w:val="left"/>
              <w:rPr>
                <w:rFonts w:ascii="宋体" w:hAnsi="宋体" w:cs="宋体"/>
                <w:color w:val="auto"/>
                <w:sz w:val="22"/>
                <w:szCs w:val="22"/>
              </w:rPr>
            </w:pPr>
            <w:r>
              <w:rPr>
                <w:rFonts w:hint="eastAsia" w:ascii="宋体" w:hAnsi="宋体" w:cs="宋体"/>
                <w:color w:val="auto"/>
                <w:sz w:val="22"/>
                <w:szCs w:val="22"/>
              </w:rPr>
              <w:t>与营业执照一致</w:t>
            </w:r>
          </w:p>
        </w:tc>
      </w:tr>
      <w:tr w14:paraId="63E4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29" w:type="dxa"/>
            <w:vMerge w:val="continue"/>
            <w:tcBorders>
              <w:left w:val="single" w:color="auto" w:sz="4" w:space="0"/>
              <w:right w:val="single" w:color="auto" w:sz="4" w:space="0"/>
            </w:tcBorders>
            <w:vAlign w:val="center"/>
          </w:tcPr>
          <w:p w14:paraId="248AD844">
            <w:pPr>
              <w:pStyle w:val="42"/>
              <w:spacing w:line="440" w:lineRule="exact"/>
              <w:jc w:val="center"/>
              <w:rPr>
                <w:rFonts w:ascii="宋体" w:hAnsi="宋体" w:cs="宋体"/>
                <w:b/>
                <w:color w:val="auto"/>
                <w:sz w:val="22"/>
                <w:szCs w:val="22"/>
              </w:rPr>
            </w:pPr>
          </w:p>
        </w:tc>
        <w:tc>
          <w:tcPr>
            <w:tcW w:w="865" w:type="dxa"/>
            <w:vMerge w:val="continue"/>
            <w:tcBorders>
              <w:left w:val="single" w:color="auto" w:sz="4" w:space="0"/>
              <w:right w:val="single" w:color="auto" w:sz="4" w:space="0"/>
            </w:tcBorders>
            <w:vAlign w:val="center"/>
          </w:tcPr>
          <w:p w14:paraId="1AA24DCE">
            <w:pPr>
              <w:pStyle w:val="42"/>
              <w:spacing w:line="440" w:lineRule="exact"/>
              <w:jc w:val="center"/>
              <w:rPr>
                <w:rFonts w:ascii="宋体" w:hAnsi="宋体" w:cs="宋体"/>
                <w:b/>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5D87DEFC">
            <w:pPr>
              <w:pStyle w:val="42"/>
              <w:spacing w:line="440" w:lineRule="exact"/>
              <w:jc w:val="center"/>
              <w:rPr>
                <w:rFonts w:ascii="宋体" w:hAnsi="宋体" w:cs="宋体"/>
                <w:b/>
                <w:color w:val="auto"/>
                <w:sz w:val="22"/>
                <w:szCs w:val="22"/>
              </w:rPr>
            </w:pPr>
            <w:r>
              <w:rPr>
                <w:rFonts w:hint="eastAsia" w:hAnsi="宋体" w:cs="宋体"/>
                <w:color w:val="auto"/>
                <w:sz w:val="22"/>
                <w:szCs w:val="22"/>
              </w:rPr>
              <w:t>磋商</w:t>
            </w:r>
            <w:r>
              <w:rPr>
                <w:rFonts w:hint="eastAsia" w:ascii="宋体" w:hAnsi="宋体" w:cs="宋体"/>
                <w:color w:val="auto"/>
                <w:sz w:val="22"/>
                <w:szCs w:val="22"/>
              </w:rPr>
              <w:t>文件签字盖章</w:t>
            </w:r>
          </w:p>
        </w:tc>
        <w:tc>
          <w:tcPr>
            <w:tcW w:w="5901" w:type="dxa"/>
            <w:tcBorders>
              <w:top w:val="single" w:color="auto" w:sz="4" w:space="0"/>
              <w:left w:val="single" w:color="auto" w:sz="4" w:space="0"/>
              <w:bottom w:val="single" w:color="auto" w:sz="4" w:space="0"/>
              <w:right w:val="single" w:color="auto" w:sz="4" w:space="0"/>
            </w:tcBorders>
            <w:vAlign w:val="center"/>
          </w:tcPr>
          <w:p w14:paraId="067240AB">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有法定代表人或授权委托代理人签字或盖章并加盖单位章。</w:t>
            </w:r>
          </w:p>
        </w:tc>
      </w:tr>
      <w:tr w14:paraId="700E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9" w:type="dxa"/>
            <w:vMerge w:val="continue"/>
            <w:tcBorders>
              <w:left w:val="single" w:color="auto" w:sz="4" w:space="0"/>
              <w:right w:val="single" w:color="auto" w:sz="4" w:space="0"/>
            </w:tcBorders>
            <w:vAlign w:val="center"/>
          </w:tcPr>
          <w:p w14:paraId="428D6A6B">
            <w:pPr>
              <w:pStyle w:val="42"/>
              <w:spacing w:line="440" w:lineRule="exact"/>
              <w:jc w:val="center"/>
              <w:rPr>
                <w:rFonts w:ascii="宋体" w:hAnsi="宋体" w:cs="宋体"/>
                <w:b/>
                <w:color w:val="auto"/>
                <w:sz w:val="22"/>
                <w:szCs w:val="22"/>
              </w:rPr>
            </w:pPr>
          </w:p>
        </w:tc>
        <w:tc>
          <w:tcPr>
            <w:tcW w:w="865" w:type="dxa"/>
            <w:vMerge w:val="continue"/>
            <w:tcBorders>
              <w:left w:val="single" w:color="auto" w:sz="4" w:space="0"/>
              <w:right w:val="single" w:color="auto" w:sz="4" w:space="0"/>
            </w:tcBorders>
            <w:vAlign w:val="center"/>
          </w:tcPr>
          <w:p w14:paraId="402EE824">
            <w:pPr>
              <w:pStyle w:val="42"/>
              <w:spacing w:line="440" w:lineRule="exact"/>
              <w:jc w:val="center"/>
              <w:rPr>
                <w:rFonts w:ascii="宋体" w:hAnsi="宋体" w:cs="宋体"/>
                <w:b/>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0D2A059C">
            <w:pPr>
              <w:pStyle w:val="42"/>
              <w:spacing w:line="440" w:lineRule="exact"/>
              <w:jc w:val="center"/>
              <w:rPr>
                <w:rFonts w:ascii="宋体" w:hAnsi="宋体" w:cs="宋体"/>
                <w:b/>
                <w:color w:val="auto"/>
                <w:sz w:val="22"/>
                <w:szCs w:val="22"/>
              </w:rPr>
            </w:pPr>
            <w:r>
              <w:rPr>
                <w:rFonts w:hint="eastAsia" w:hAnsi="宋体" w:cs="宋体"/>
                <w:color w:val="auto"/>
                <w:sz w:val="22"/>
                <w:szCs w:val="22"/>
              </w:rPr>
              <w:t>磋商</w:t>
            </w:r>
            <w:r>
              <w:rPr>
                <w:rFonts w:hint="eastAsia" w:ascii="宋体" w:hAnsi="宋体" w:cs="宋体"/>
                <w:color w:val="auto"/>
                <w:sz w:val="22"/>
                <w:szCs w:val="22"/>
              </w:rPr>
              <w:t>文件格式</w:t>
            </w:r>
          </w:p>
        </w:tc>
        <w:tc>
          <w:tcPr>
            <w:tcW w:w="5901" w:type="dxa"/>
            <w:tcBorders>
              <w:top w:val="single" w:color="auto" w:sz="4" w:space="0"/>
              <w:left w:val="single" w:color="auto" w:sz="4" w:space="0"/>
              <w:bottom w:val="single" w:color="auto" w:sz="4" w:space="0"/>
              <w:right w:val="single" w:color="auto" w:sz="4" w:space="0"/>
            </w:tcBorders>
            <w:vAlign w:val="center"/>
          </w:tcPr>
          <w:p w14:paraId="5374E16A">
            <w:pPr>
              <w:pStyle w:val="42"/>
              <w:spacing w:line="440" w:lineRule="exact"/>
              <w:rPr>
                <w:rFonts w:ascii="宋体" w:hAnsi="宋体" w:cs="宋体"/>
                <w:color w:val="auto"/>
                <w:sz w:val="22"/>
                <w:szCs w:val="22"/>
              </w:rPr>
            </w:pPr>
            <w:r>
              <w:rPr>
                <w:rFonts w:hint="eastAsia" w:ascii="宋体" w:hAnsi="宋体" w:cs="宋体"/>
                <w:color w:val="auto"/>
                <w:sz w:val="22"/>
                <w:szCs w:val="22"/>
              </w:rPr>
              <w:t>符合第六章“磋商文件格式”的要求</w:t>
            </w:r>
          </w:p>
        </w:tc>
      </w:tr>
      <w:tr w14:paraId="5756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29" w:type="dxa"/>
            <w:vMerge w:val="continue"/>
            <w:tcBorders>
              <w:left w:val="single" w:color="auto" w:sz="4" w:space="0"/>
              <w:bottom w:val="single" w:color="auto" w:sz="4" w:space="0"/>
              <w:right w:val="single" w:color="auto" w:sz="4" w:space="0"/>
            </w:tcBorders>
            <w:vAlign w:val="center"/>
          </w:tcPr>
          <w:p w14:paraId="246EA731">
            <w:pPr>
              <w:pStyle w:val="42"/>
              <w:spacing w:line="440" w:lineRule="exact"/>
              <w:jc w:val="center"/>
              <w:rPr>
                <w:rFonts w:ascii="宋体" w:hAnsi="宋体" w:cs="宋体"/>
                <w:b/>
                <w:color w:val="auto"/>
                <w:sz w:val="22"/>
                <w:szCs w:val="22"/>
              </w:rPr>
            </w:pPr>
          </w:p>
        </w:tc>
        <w:tc>
          <w:tcPr>
            <w:tcW w:w="865" w:type="dxa"/>
            <w:vMerge w:val="continue"/>
            <w:tcBorders>
              <w:left w:val="single" w:color="auto" w:sz="4" w:space="0"/>
              <w:bottom w:val="single" w:color="auto" w:sz="4" w:space="0"/>
              <w:right w:val="single" w:color="auto" w:sz="4" w:space="0"/>
            </w:tcBorders>
            <w:vAlign w:val="center"/>
          </w:tcPr>
          <w:p w14:paraId="7B3BA69D">
            <w:pPr>
              <w:pStyle w:val="42"/>
              <w:spacing w:line="440" w:lineRule="exact"/>
              <w:jc w:val="center"/>
              <w:rPr>
                <w:rFonts w:ascii="宋体" w:hAnsi="宋体" w:cs="宋体"/>
                <w:b/>
                <w:color w:val="auto"/>
                <w:sz w:val="22"/>
                <w:szCs w:val="22"/>
              </w:rPr>
            </w:pPr>
          </w:p>
        </w:tc>
        <w:tc>
          <w:tcPr>
            <w:tcW w:w="2208" w:type="dxa"/>
            <w:tcBorders>
              <w:top w:val="single" w:color="auto" w:sz="4" w:space="0"/>
              <w:left w:val="single" w:color="auto" w:sz="4" w:space="0"/>
              <w:bottom w:val="single" w:color="auto" w:sz="4" w:space="0"/>
              <w:right w:val="single" w:color="auto" w:sz="4" w:space="0"/>
            </w:tcBorders>
            <w:vAlign w:val="center"/>
          </w:tcPr>
          <w:p w14:paraId="28EE4048">
            <w:pPr>
              <w:spacing w:line="360" w:lineRule="auto"/>
              <w:ind w:left="0" w:leftChars="0" w:firstLine="0" w:firstLineChars="0"/>
              <w:jc w:val="center"/>
              <w:rPr>
                <w:rFonts w:ascii="宋体" w:hAnsi="宋体" w:cs="宋体"/>
                <w:b/>
                <w:color w:val="auto"/>
                <w:sz w:val="22"/>
                <w:szCs w:val="22"/>
              </w:rPr>
            </w:pPr>
            <w:r>
              <w:rPr>
                <w:rFonts w:hint="eastAsia" w:ascii="宋体" w:hAnsi="宋体" w:eastAsia="宋体" w:cs="宋体"/>
                <w:color w:val="auto"/>
                <w:sz w:val="22"/>
                <w:szCs w:val="22"/>
                <w:lang w:eastAsia="zh-CN"/>
              </w:rPr>
              <w:t>投标报价</w:t>
            </w:r>
          </w:p>
        </w:tc>
        <w:tc>
          <w:tcPr>
            <w:tcW w:w="5901" w:type="dxa"/>
            <w:tcBorders>
              <w:top w:val="single" w:color="auto" w:sz="4" w:space="0"/>
              <w:left w:val="single" w:color="auto" w:sz="4" w:space="0"/>
              <w:bottom w:val="single" w:color="auto" w:sz="4" w:space="0"/>
              <w:right w:val="single" w:color="auto" w:sz="4" w:space="0"/>
            </w:tcBorders>
            <w:vAlign w:val="center"/>
          </w:tcPr>
          <w:p w14:paraId="1696BF68">
            <w:pPr>
              <w:spacing w:line="360" w:lineRule="auto"/>
              <w:ind w:left="0" w:leftChars="0" w:firstLine="0" w:firstLineChars="0"/>
              <w:rPr>
                <w:rFonts w:ascii="宋体" w:hAnsi="宋体" w:cs="宋体"/>
                <w:color w:val="auto"/>
                <w:sz w:val="22"/>
                <w:szCs w:val="22"/>
              </w:rPr>
            </w:pPr>
            <w:r>
              <w:rPr>
                <w:rFonts w:hint="eastAsia" w:ascii="宋体" w:hAnsi="宋体" w:eastAsia="宋体" w:cs="宋体"/>
                <w:color w:val="auto"/>
                <w:sz w:val="22"/>
                <w:szCs w:val="22"/>
              </w:rPr>
              <w:t>报价不超过</w:t>
            </w:r>
            <w:r>
              <w:rPr>
                <w:rFonts w:hint="eastAsia" w:ascii="宋体" w:hAnsi="宋体" w:eastAsia="宋体" w:cs="宋体"/>
                <w:color w:val="auto"/>
                <w:sz w:val="22"/>
                <w:szCs w:val="22"/>
                <w:lang w:eastAsia="zh-CN"/>
              </w:rPr>
              <w:t>预算价（最高限价）</w:t>
            </w:r>
          </w:p>
        </w:tc>
      </w:tr>
    </w:tbl>
    <w:tbl>
      <w:tblPr>
        <w:tblStyle w:val="27"/>
        <w:tblpPr w:leftFromText="180" w:rightFromText="180" w:vertAnchor="text" w:horzAnchor="page" w:tblpX="1228" w:tblpY="296"/>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591"/>
        <w:gridCol w:w="6782"/>
      </w:tblGrid>
      <w:tr w14:paraId="2CD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386" w:type="dxa"/>
            <w:tcBorders>
              <w:top w:val="single" w:color="auto" w:sz="4" w:space="0"/>
              <w:left w:val="single" w:color="auto" w:sz="4" w:space="0"/>
              <w:bottom w:val="single" w:color="auto" w:sz="4" w:space="0"/>
              <w:right w:val="single" w:color="auto" w:sz="4" w:space="0"/>
            </w:tcBorders>
            <w:vAlign w:val="center"/>
          </w:tcPr>
          <w:p w14:paraId="12DA7CB4">
            <w:pPr>
              <w:pStyle w:val="42"/>
              <w:spacing w:line="440" w:lineRule="exact"/>
              <w:jc w:val="center"/>
              <w:rPr>
                <w:rFonts w:hint="eastAsia" w:ascii="宋体" w:hAnsi="宋体" w:cs="宋体"/>
                <w:b/>
                <w:color w:val="auto"/>
                <w:sz w:val="22"/>
                <w:szCs w:val="22"/>
              </w:rPr>
            </w:pPr>
            <w:r>
              <w:rPr>
                <w:rFonts w:hint="eastAsia" w:ascii="宋体" w:hAnsi="宋体" w:cs="宋体"/>
                <w:color w:val="auto"/>
                <w:sz w:val="22"/>
                <w:szCs w:val="22"/>
              </w:rPr>
              <w:t>2.2.1</w:t>
            </w:r>
          </w:p>
        </w:tc>
        <w:tc>
          <w:tcPr>
            <w:tcW w:w="1591" w:type="dxa"/>
            <w:tcBorders>
              <w:top w:val="single" w:color="auto" w:sz="4" w:space="0"/>
              <w:left w:val="single" w:color="auto" w:sz="4" w:space="0"/>
              <w:bottom w:val="single" w:color="auto" w:sz="4" w:space="0"/>
              <w:right w:val="single" w:color="auto" w:sz="4" w:space="0"/>
            </w:tcBorders>
            <w:vAlign w:val="center"/>
          </w:tcPr>
          <w:p w14:paraId="19C0EA63">
            <w:pPr>
              <w:pStyle w:val="42"/>
              <w:spacing w:line="440" w:lineRule="exact"/>
              <w:jc w:val="center"/>
              <w:rPr>
                <w:rFonts w:ascii="宋体" w:hAnsi="宋体" w:cs="宋体"/>
                <w:color w:val="auto"/>
                <w:sz w:val="22"/>
                <w:szCs w:val="22"/>
              </w:rPr>
            </w:pPr>
            <w:r>
              <w:rPr>
                <w:rFonts w:hint="eastAsia" w:ascii="宋体" w:hAnsi="宋体" w:cs="宋体"/>
                <w:color w:val="auto"/>
                <w:sz w:val="22"/>
                <w:szCs w:val="22"/>
              </w:rPr>
              <w:t>分值组成</w:t>
            </w:r>
          </w:p>
          <w:p w14:paraId="724D8B3A">
            <w:pPr>
              <w:pStyle w:val="42"/>
              <w:spacing w:line="440" w:lineRule="exact"/>
              <w:jc w:val="center"/>
              <w:rPr>
                <w:rFonts w:hint="eastAsia" w:ascii="宋体" w:hAnsi="宋体" w:cs="宋体"/>
                <w:b/>
                <w:color w:val="auto"/>
                <w:sz w:val="22"/>
                <w:szCs w:val="22"/>
              </w:rPr>
            </w:pPr>
            <w:r>
              <w:rPr>
                <w:rFonts w:hint="eastAsia" w:ascii="宋体" w:hAnsi="宋体" w:cs="宋体"/>
                <w:color w:val="auto"/>
                <w:sz w:val="22"/>
                <w:szCs w:val="22"/>
              </w:rPr>
              <w:t>（总分100分）</w:t>
            </w:r>
          </w:p>
        </w:tc>
        <w:tc>
          <w:tcPr>
            <w:tcW w:w="6782" w:type="dxa"/>
            <w:tcBorders>
              <w:top w:val="single" w:color="auto" w:sz="4" w:space="0"/>
              <w:left w:val="single" w:color="auto" w:sz="4" w:space="0"/>
              <w:bottom w:val="single" w:color="auto" w:sz="4" w:space="0"/>
              <w:right w:val="single" w:color="auto" w:sz="4" w:space="0"/>
            </w:tcBorders>
            <w:vAlign w:val="center"/>
          </w:tcPr>
          <w:p w14:paraId="3F174883">
            <w:pPr>
              <w:pStyle w:val="42"/>
              <w:spacing w:line="440" w:lineRule="exact"/>
              <w:rPr>
                <w:rFonts w:ascii="宋体" w:hAnsi="宋体" w:cs="宋体"/>
                <w:kern w:val="2"/>
                <w:sz w:val="22"/>
                <w:szCs w:val="22"/>
              </w:rPr>
            </w:pPr>
            <w:r>
              <w:rPr>
                <w:rFonts w:hint="eastAsia" w:ascii="宋体" w:hAnsi="宋体" w:cs="宋体"/>
                <w:kern w:val="2"/>
                <w:sz w:val="22"/>
                <w:szCs w:val="22"/>
              </w:rPr>
              <w:t>商务部分：</w:t>
            </w:r>
            <w:r>
              <w:rPr>
                <w:rFonts w:hint="eastAsia" w:ascii="宋体" w:hAnsi="宋体" w:cs="宋体"/>
                <w:kern w:val="2"/>
                <w:sz w:val="22"/>
                <w:szCs w:val="22"/>
                <w:lang w:val="en-US" w:eastAsia="zh-CN"/>
              </w:rPr>
              <w:t>20</w:t>
            </w:r>
            <w:r>
              <w:rPr>
                <w:rFonts w:hint="eastAsia" w:ascii="宋体" w:hAnsi="宋体" w:cs="宋体"/>
                <w:kern w:val="2"/>
                <w:sz w:val="22"/>
                <w:szCs w:val="22"/>
              </w:rPr>
              <w:t>分</w:t>
            </w:r>
          </w:p>
          <w:p w14:paraId="02906DD4">
            <w:pPr>
              <w:pStyle w:val="42"/>
              <w:spacing w:line="440" w:lineRule="exact"/>
              <w:rPr>
                <w:rFonts w:ascii="宋体" w:hAnsi="宋体" w:cs="宋体"/>
                <w:kern w:val="2"/>
                <w:sz w:val="22"/>
                <w:szCs w:val="22"/>
              </w:rPr>
            </w:pPr>
            <w:r>
              <w:rPr>
                <w:rFonts w:hint="eastAsia" w:ascii="宋体" w:hAnsi="宋体" w:cs="宋体"/>
                <w:kern w:val="2"/>
                <w:sz w:val="22"/>
                <w:szCs w:val="22"/>
              </w:rPr>
              <w:t>技术部分：</w:t>
            </w:r>
            <w:r>
              <w:rPr>
                <w:rFonts w:hint="eastAsia" w:ascii="宋体" w:hAnsi="宋体" w:cs="宋体"/>
                <w:kern w:val="2"/>
                <w:sz w:val="22"/>
                <w:szCs w:val="22"/>
                <w:lang w:val="en-US" w:eastAsia="zh-CN"/>
              </w:rPr>
              <w:t>50</w:t>
            </w:r>
            <w:r>
              <w:rPr>
                <w:rFonts w:hint="eastAsia" w:ascii="宋体" w:hAnsi="宋体" w:cs="宋体"/>
                <w:kern w:val="2"/>
                <w:sz w:val="22"/>
                <w:szCs w:val="22"/>
              </w:rPr>
              <w:t>分</w:t>
            </w:r>
          </w:p>
          <w:p w14:paraId="0284EC6C">
            <w:pPr>
              <w:pStyle w:val="42"/>
              <w:spacing w:line="440" w:lineRule="exact"/>
              <w:rPr>
                <w:rFonts w:hint="eastAsia" w:ascii="宋体" w:hAnsi="宋体" w:cs="宋体"/>
                <w:b/>
                <w:color w:val="auto"/>
                <w:sz w:val="22"/>
                <w:szCs w:val="22"/>
              </w:rPr>
            </w:pPr>
            <w:r>
              <w:rPr>
                <w:rFonts w:hint="eastAsia" w:ascii="宋体" w:hAnsi="宋体" w:cs="宋体"/>
                <w:kern w:val="2"/>
                <w:sz w:val="22"/>
                <w:szCs w:val="22"/>
              </w:rPr>
              <w:t>综合部份：</w:t>
            </w:r>
            <w:r>
              <w:rPr>
                <w:rFonts w:hint="eastAsia" w:ascii="宋体" w:hAnsi="宋体" w:cs="宋体"/>
                <w:kern w:val="2"/>
                <w:sz w:val="22"/>
                <w:szCs w:val="22"/>
                <w:lang w:val="en-US" w:eastAsia="zh-CN"/>
              </w:rPr>
              <w:t>30</w:t>
            </w:r>
            <w:r>
              <w:rPr>
                <w:rFonts w:hint="eastAsia" w:ascii="宋体" w:hAnsi="宋体" w:cs="宋体"/>
                <w:kern w:val="2"/>
                <w:sz w:val="22"/>
                <w:szCs w:val="22"/>
              </w:rPr>
              <w:t>分</w:t>
            </w:r>
          </w:p>
        </w:tc>
      </w:tr>
      <w:tr w14:paraId="56D9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86" w:type="dxa"/>
            <w:tcBorders>
              <w:top w:val="single" w:color="auto" w:sz="4" w:space="0"/>
              <w:left w:val="single" w:color="auto" w:sz="4" w:space="0"/>
              <w:bottom w:val="single" w:color="auto" w:sz="4" w:space="0"/>
              <w:right w:val="single" w:color="auto" w:sz="4" w:space="0"/>
            </w:tcBorders>
            <w:vAlign w:val="center"/>
          </w:tcPr>
          <w:p w14:paraId="4F94DDFD">
            <w:pPr>
              <w:pStyle w:val="42"/>
              <w:spacing w:line="440" w:lineRule="exact"/>
              <w:jc w:val="center"/>
              <w:rPr>
                <w:rFonts w:hint="eastAsia" w:cs="Times New Roman"/>
                <w:szCs w:val="21"/>
              </w:rPr>
            </w:pPr>
            <w:r>
              <w:rPr>
                <w:rFonts w:hint="eastAsia" w:ascii="宋体" w:hAnsi="宋体" w:cs="宋体"/>
                <w:b/>
                <w:color w:val="auto"/>
              </w:rPr>
              <w:t>条款号</w:t>
            </w:r>
          </w:p>
        </w:tc>
        <w:tc>
          <w:tcPr>
            <w:tcW w:w="1591" w:type="dxa"/>
            <w:tcBorders>
              <w:top w:val="single" w:color="auto" w:sz="4" w:space="0"/>
              <w:left w:val="single" w:color="auto" w:sz="4" w:space="0"/>
              <w:bottom w:val="single" w:color="auto" w:sz="4" w:space="0"/>
              <w:right w:val="single" w:color="auto" w:sz="4" w:space="0"/>
            </w:tcBorders>
            <w:vAlign w:val="center"/>
          </w:tcPr>
          <w:p w14:paraId="358A233D">
            <w:pPr>
              <w:pStyle w:val="42"/>
              <w:spacing w:line="440" w:lineRule="exact"/>
              <w:jc w:val="center"/>
              <w:rPr>
                <w:rFonts w:ascii="宋体" w:hAnsi="宋体" w:cs="宋体"/>
                <w:b/>
                <w:color w:val="auto"/>
                <w:sz w:val="21"/>
                <w:szCs w:val="21"/>
              </w:rPr>
            </w:pPr>
            <w:r>
              <w:rPr>
                <w:rFonts w:hint="eastAsia" w:ascii="宋体" w:hAnsi="宋体" w:cs="宋体"/>
                <w:b/>
                <w:color w:val="auto"/>
              </w:rPr>
              <w:t>评分因素</w:t>
            </w:r>
          </w:p>
        </w:tc>
        <w:tc>
          <w:tcPr>
            <w:tcW w:w="6782" w:type="dxa"/>
            <w:tcBorders>
              <w:top w:val="single" w:color="auto" w:sz="4" w:space="0"/>
              <w:left w:val="single" w:color="auto" w:sz="4" w:space="0"/>
              <w:bottom w:val="single" w:color="auto" w:sz="4" w:space="0"/>
              <w:right w:val="single" w:color="auto" w:sz="4" w:space="0"/>
            </w:tcBorders>
            <w:vAlign w:val="center"/>
          </w:tcPr>
          <w:p w14:paraId="13981F21">
            <w:pPr>
              <w:pStyle w:val="42"/>
              <w:spacing w:line="440" w:lineRule="exact"/>
              <w:jc w:val="center"/>
              <w:rPr>
                <w:rFonts w:hint="eastAsia" w:ascii="宋体" w:hAnsi="宋体" w:cs="宋体"/>
                <w:color w:val="auto"/>
                <w:sz w:val="22"/>
                <w:szCs w:val="22"/>
                <w:lang w:bidi="ar"/>
              </w:rPr>
            </w:pPr>
            <w:r>
              <w:rPr>
                <w:rFonts w:hint="eastAsia" w:ascii="宋体" w:hAnsi="宋体" w:cs="宋体"/>
                <w:b/>
                <w:color w:val="auto"/>
              </w:rPr>
              <w:t>评分标准</w:t>
            </w:r>
          </w:p>
        </w:tc>
      </w:tr>
      <w:tr w14:paraId="5024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1386" w:type="dxa"/>
            <w:tcBorders>
              <w:top w:val="single" w:color="auto" w:sz="4" w:space="0"/>
              <w:left w:val="single" w:color="auto" w:sz="4" w:space="0"/>
              <w:bottom w:val="single" w:color="auto" w:sz="4" w:space="0"/>
              <w:right w:val="single" w:color="auto" w:sz="4" w:space="0"/>
            </w:tcBorders>
            <w:vAlign w:val="center"/>
          </w:tcPr>
          <w:p w14:paraId="01BC25D2">
            <w:pPr>
              <w:pStyle w:val="47"/>
              <w:tabs>
                <w:tab w:val="left" w:pos="660"/>
              </w:tabs>
              <w:spacing w:before="131" w:line="355" w:lineRule="auto"/>
              <w:ind w:right="115"/>
              <w:jc w:val="center"/>
              <w:rPr>
                <w:rFonts w:cs="Times New Roman"/>
                <w:szCs w:val="21"/>
              </w:rPr>
            </w:pPr>
            <w:r>
              <w:rPr>
                <w:rFonts w:hint="eastAsia" w:cs="Times New Roman"/>
                <w:szCs w:val="21"/>
              </w:rPr>
              <w:t>商务部分</w:t>
            </w:r>
          </w:p>
          <w:p w14:paraId="6E8199E0">
            <w:pPr>
              <w:pStyle w:val="47"/>
              <w:tabs>
                <w:tab w:val="left" w:pos="660"/>
              </w:tabs>
              <w:spacing w:before="131" w:line="355" w:lineRule="auto"/>
              <w:ind w:right="115"/>
              <w:jc w:val="center"/>
              <w:rPr>
                <w:b/>
                <w:sz w:val="21"/>
                <w:szCs w:val="21"/>
                <w:lang w:val="en-US"/>
              </w:rPr>
            </w:pPr>
            <w:r>
              <w:rPr>
                <w:rFonts w:hint="eastAsia" w:cs="Times New Roman"/>
                <w:szCs w:val="21"/>
              </w:rPr>
              <w:t>（</w:t>
            </w:r>
            <w:r>
              <w:rPr>
                <w:rFonts w:hint="eastAsia" w:cs="Times New Roman"/>
                <w:szCs w:val="21"/>
                <w:lang w:val="en-US" w:eastAsia="zh-CN"/>
              </w:rPr>
              <w:t>20</w:t>
            </w:r>
            <w:r>
              <w:rPr>
                <w:rFonts w:hint="eastAsia" w:cs="Times New Roman"/>
                <w:szCs w:val="21"/>
              </w:rPr>
              <w:t>分）</w:t>
            </w:r>
          </w:p>
        </w:tc>
        <w:tc>
          <w:tcPr>
            <w:tcW w:w="1591" w:type="dxa"/>
            <w:tcBorders>
              <w:top w:val="single" w:color="auto" w:sz="4" w:space="0"/>
              <w:left w:val="single" w:color="auto" w:sz="4" w:space="0"/>
              <w:bottom w:val="single" w:color="auto" w:sz="4" w:space="0"/>
              <w:right w:val="single" w:color="auto" w:sz="4" w:space="0"/>
            </w:tcBorders>
            <w:vAlign w:val="center"/>
          </w:tcPr>
          <w:p w14:paraId="7D96CE51">
            <w:pPr>
              <w:pStyle w:val="47"/>
              <w:spacing w:before="1"/>
              <w:jc w:val="center"/>
              <w:rPr>
                <w:lang w:val="en-US" w:bidi="ar"/>
              </w:rPr>
            </w:pPr>
            <w:r>
              <w:rPr>
                <w:rFonts w:hint="eastAsia"/>
                <w:lang w:val="en-US" w:bidi="ar"/>
              </w:rPr>
              <w:t>投标报价</w:t>
            </w:r>
          </w:p>
          <w:p w14:paraId="05216C6D">
            <w:pPr>
              <w:pStyle w:val="42"/>
              <w:spacing w:line="440" w:lineRule="exact"/>
              <w:jc w:val="center"/>
              <w:rPr>
                <w:rFonts w:ascii="宋体" w:hAnsi="宋体" w:cs="宋体"/>
                <w:b/>
                <w:color w:val="auto"/>
                <w:sz w:val="21"/>
                <w:szCs w:val="21"/>
              </w:rPr>
            </w:pPr>
          </w:p>
        </w:tc>
        <w:tc>
          <w:tcPr>
            <w:tcW w:w="6782" w:type="dxa"/>
            <w:tcBorders>
              <w:top w:val="single" w:color="auto" w:sz="4" w:space="0"/>
              <w:left w:val="single" w:color="auto" w:sz="4" w:space="0"/>
              <w:bottom w:val="single" w:color="auto" w:sz="4" w:space="0"/>
              <w:right w:val="single" w:color="auto" w:sz="4" w:space="0"/>
            </w:tcBorders>
            <w:vAlign w:val="center"/>
          </w:tcPr>
          <w:p w14:paraId="2890537E">
            <w:pPr>
              <w:autoSpaceDE/>
              <w:autoSpaceDN/>
              <w:spacing w:line="360" w:lineRule="auto"/>
              <w:ind w:firstLine="420" w:firstLineChars="20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所有竞争性磋商</w:t>
            </w:r>
            <w:r>
              <w:rPr>
                <w:rFonts w:hint="eastAsia" w:ascii="宋体" w:hAnsi="宋体" w:eastAsia="宋体" w:cs="宋体"/>
                <w:color w:val="auto"/>
                <w:sz w:val="21"/>
                <w:szCs w:val="21"/>
                <w:highlight w:val="none"/>
                <w:lang w:eastAsia="zh-CN"/>
              </w:rPr>
              <w:t>供应商的磋商报价均不得高于</w:t>
            </w:r>
            <w:r>
              <w:rPr>
                <w:rFonts w:hint="eastAsia" w:cs="宋体"/>
                <w:color w:val="auto"/>
                <w:sz w:val="21"/>
                <w:szCs w:val="21"/>
                <w:highlight w:val="none"/>
                <w:lang w:val="en-US" w:eastAsia="zh-CN"/>
              </w:rPr>
              <w:t>最高限价</w:t>
            </w:r>
            <w:r>
              <w:rPr>
                <w:rFonts w:hint="eastAsia" w:ascii="宋体" w:hAnsi="宋体" w:eastAsia="宋体" w:cs="宋体"/>
                <w:color w:val="auto"/>
                <w:sz w:val="21"/>
                <w:szCs w:val="21"/>
                <w:highlight w:val="none"/>
                <w:lang w:eastAsia="zh-CN"/>
              </w:rPr>
              <w:t>，否则按无效标处理。且以二次报价（最终报价）参与磋商报价评审。</w:t>
            </w:r>
          </w:p>
          <w:p w14:paraId="706E0D8C">
            <w:pPr>
              <w:autoSpaceDE/>
              <w:autoSpaceDN/>
              <w:spacing w:line="360" w:lineRule="auto"/>
              <w:ind w:firstLine="440" w:firstLineChars="200"/>
              <w:rPr>
                <w:lang w:val="en-US" w:bidi="ar"/>
              </w:rPr>
            </w:pPr>
            <w:r>
              <w:rPr>
                <w:rFonts w:hint="eastAsia"/>
                <w:lang w:val="en-US" w:bidi="ar"/>
              </w:rPr>
              <w:t>价格分统一采用低价优先法计算，即满足招标文件要求且最终报价最低的为评标基准价，其价格</w:t>
            </w:r>
            <w:r>
              <w:rPr>
                <w:rFonts w:hint="eastAsia"/>
                <w:color w:val="auto"/>
                <w:lang w:val="en-US" w:bidi="ar"/>
              </w:rPr>
              <w:t>分满分</w:t>
            </w:r>
            <w:r>
              <w:rPr>
                <w:rFonts w:hint="eastAsia"/>
                <w:color w:val="auto"/>
                <w:lang w:val="en-US" w:eastAsia="zh-CN" w:bidi="ar"/>
              </w:rPr>
              <w:t>20</w:t>
            </w:r>
            <w:r>
              <w:rPr>
                <w:rFonts w:hint="eastAsia"/>
                <w:color w:val="auto"/>
                <w:lang w:val="en-US" w:bidi="ar"/>
              </w:rPr>
              <w:t>分</w:t>
            </w:r>
            <w:r>
              <w:rPr>
                <w:rFonts w:hint="eastAsia"/>
                <w:lang w:val="en-US" w:bidi="ar"/>
              </w:rPr>
              <w:t>。其他供应商的价格分统一按照下列公式计算：</w:t>
            </w:r>
          </w:p>
          <w:p w14:paraId="0DA7F98C">
            <w:pPr>
              <w:autoSpaceDE/>
              <w:autoSpaceDN/>
              <w:spacing w:line="360" w:lineRule="auto"/>
              <w:rPr>
                <w:rFonts w:hint="default" w:eastAsia="宋体"/>
                <w:color w:val="auto"/>
                <w:lang w:val="en-US" w:eastAsia="zh-CN" w:bidi="ar"/>
              </w:rPr>
            </w:pPr>
            <w:r>
              <w:rPr>
                <w:rFonts w:hint="eastAsia"/>
                <w:lang w:val="en-US" w:bidi="ar"/>
              </w:rPr>
              <w:t>最终报价得分=（评标基准价/最终报</w:t>
            </w:r>
            <w:r>
              <w:rPr>
                <w:rFonts w:hint="eastAsia"/>
                <w:color w:val="auto"/>
                <w:lang w:val="en-US" w:bidi="ar"/>
              </w:rPr>
              <w:t>价）×</w:t>
            </w:r>
            <w:r>
              <w:rPr>
                <w:rFonts w:hint="eastAsia"/>
                <w:color w:val="auto"/>
                <w:lang w:val="en-US" w:eastAsia="zh-CN" w:bidi="ar"/>
              </w:rPr>
              <w:t xml:space="preserve"> 20</w:t>
            </w:r>
          </w:p>
          <w:p w14:paraId="733C734F">
            <w:pPr>
              <w:autoSpaceDE/>
              <w:autoSpaceDN/>
              <w:spacing w:line="360" w:lineRule="auto"/>
              <w:rPr>
                <w:lang w:val="en-US" w:bidi="ar"/>
              </w:rPr>
            </w:pPr>
            <w:r>
              <w:rPr>
                <w:rFonts w:hint="eastAsia"/>
                <w:lang w:val="en-US" w:bidi="ar"/>
              </w:rPr>
              <w:t>注：1.价格分计算保留小数点后二位；</w:t>
            </w:r>
          </w:p>
          <w:p w14:paraId="3DAE70EB">
            <w:pPr>
              <w:pStyle w:val="42"/>
              <w:spacing w:line="440" w:lineRule="exact"/>
              <w:rPr>
                <w:rFonts w:hint="eastAsia" w:ascii="宋体" w:hAnsi="宋体" w:cs="宋体"/>
                <w:sz w:val="22"/>
                <w:szCs w:val="22"/>
                <w:lang w:bidi="ar"/>
              </w:rPr>
            </w:pPr>
            <w:r>
              <w:rPr>
                <w:rFonts w:hint="eastAsia" w:ascii="宋体" w:hAnsi="宋体" w:cs="宋体"/>
                <w:sz w:val="22"/>
                <w:szCs w:val="22"/>
                <w:lang w:val="en-US" w:eastAsia="zh-CN" w:bidi="ar"/>
              </w:rPr>
              <w:t>2.</w:t>
            </w:r>
            <w:r>
              <w:rPr>
                <w:rFonts w:hint="eastAsia" w:ascii="宋体" w:hAnsi="宋体" w:eastAsia="宋体" w:cs="宋体"/>
                <w:color w:val="auto"/>
                <w:sz w:val="22"/>
                <w:szCs w:val="22"/>
                <w:lang w:val="en-US" w:eastAsia="zh-CN" w:bidi="ar"/>
              </w:rPr>
              <w:t>优惠政策：根据新财购 [2022]95 号文相关规定，货物服务采购项目给予小微企业的价格扣除优惠，本项目具体扣除比例为20％，用扣除后的价格参与评审</w:t>
            </w:r>
            <w:r>
              <w:rPr>
                <w:rFonts w:hint="eastAsia" w:ascii="宋体" w:hAnsi="宋体" w:cs="宋体"/>
                <w:sz w:val="22"/>
                <w:szCs w:val="22"/>
                <w:lang w:bidi="ar"/>
              </w:rPr>
              <w:t>。</w:t>
            </w:r>
          </w:p>
          <w:p w14:paraId="399AD32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3、政府采购评审中出现下列情形之一的，评审委员会应当启动异常低价投标（响应）审查程序：</w:t>
            </w:r>
          </w:p>
          <w:p w14:paraId="1342545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（1）投标（响应）报价低于全部通过符合性审查供应商投标（响应）报价平均值50%的，即投标（响应）报价&lt;全部通过符合性审查供应商投标（响应）报价平均值×50%；</w:t>
            </w:r>
          </w:p>
          <w:p w14:paraId="673806F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（2）投标（响应）报价低于通过符合性审查的次低报价供应商投标（响应）报价50%的，即投标（响应）报价&lt;通过符合性审查的次低报价供应商投标（响应）报价×50%；</w:t>
            </w:r>
          </w:p>
          <w:p w14:paraId="268201A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（3）投标（响应）报价低于采购项目最高限价45%的，即投标（响应）报价&lt;采购项目最高限价×45%； </w:t>
            </w:r>
          </w:p>
          <w:p w14:paraId="0006E0A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（4）评审委员会基于专业判断，认为供应商报价过低，有可能影响产品质量或者不能诚信履约的其他情形。</w:t>
            </w:r>
          </w:p>
          <w:p w14:paraId="27C9E99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1EB26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
                <w:color w:val="auto"/>
              </w:rPr>
            </w:pPr>
            <w:r>
              <w:rPr>
                <w:rFonts w:hint="eastAsia" w:ascii="宋体" w:hAnsi="宋体" w:eastAsia="宋体" w:cs="宋体"/>
                <w:color w:val="auto"/>
                <w:sz w:val="22"/>
                <w:szCs w:val="22"/>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AD5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386" w:type="dxa"/>
            <w:vMerge w:val="restart"/>
            <w:tcBorders>
              <w:top w:val="single" w:color="auto" w:sz="4" w:space="0"/>
              <w:left w:val="single" w:color="auto" w:sz="4" w:space="0"/>
              <w:right w:val="single" w:color="auto" w:sz="4" w:space="0"/>
            </w:tcBorders>
            <w:vAlign w:val="center"/>
          </w:tcPr>
          <w:p w14:paraId="55EF21FC">
            <w:pPr>
              <w:pStyle w:val="42"/>
              <w:spacing w:line="440" w:lineRule="exact"/>
              <w:jc w:val="center"/>
              <w:rPr>
                <w:rFonts w:hint="eastAsia" w:ascii="宋体" w:hAnsi="宋体" w:eastAsia="宋体" w:cs="宋体"/>
                <w:color w:val="auto"/>
                <w:lang w:eastAsia="zh-CN"/>
              </w:rPr>
            </w:pPr>
            <w:r>
              <w:rPr>
                <w:rFonts w:hint="eastAsia" w:ascii="宋体" w:hAnsi="宋体" w:cs="宋体"/>
                <w:color w:val="auto"/>
                <w:sz w:val="22"/>
                <w:szCs w:val="22"/>
                <w:lang w:bidi="ar"/>
              </w:rPr>
              <w:t>技术部分</w:t>
            </w:r>
            <w:r>
              <w:rPr>
                <w:rFonts w:hint="eastAsia" w:ascii="宋体" w:hAnsi="宋体" w:cs="宋体"/>
                <w:color w:val="auto"/>
                <w:sz w:val="22"/>
                <w:szCs w:val="22"/>
                <w:lang w:eastAsia="zh-CN" w:bidi="ar"/>
              </w:rPr>
              <w:t>（</w:t>
            </w:r>
            <w:r>
              <w:rPr>
                <w:rFonts w:hint="eastAsia" w:ascii="宋体" w:hAnsi="宋体" w:cs="宋体"/>
                <w:color w:val="auto"/>
                <w:sz w:val="22"/>
                <w:szCs w:val="22"/>
                <w:lang w:val="en-US" w:eastAsia="zh-CN" w:bidi="ar"/>
              </w:rPr>
              <w:t>50分</w:t>
            </w:r>
            <w:r>
              <w:rPr>
                <w:rFonts w:hint="eastAsia" w:ascii="宋体" w:hAnsi="宋体" w:cs="宋体"/>
                <w:color w:val="auto"/>
                <w:sz w:val="22"/>
                <w:szCs w:val="22"/>
                <w:lang w:eastAsia="zh-CN" w:bidi="ar"/>
              </w:rPr>
              <w:t>）</w:t>
            </w:r>
          </w:p>
        </w:tc>
        <w:tc>
          <w:tcPr>
            <w:tcW w:w="1591" w:type="dxa"/>
            <w:tcBorders>
              <w:top w:val="single" w:color="auto" w:sz="4" w:space="0"/>
              <w:left w:val="single" w:color="auto" w:sz="4" w:space="0"/>
              <w:right w:val="single" w:color="auto" w:sz="4" w:space="0"/>
            </w:tcBorders>
            <w:vAlign w:val="center"/>
          </w:tcPr>
          <w:p w14:paraId="02852B37">
            <w:pPr>
              <w:pStyle w:val="42"/>
              <w:spacing w:line="440" w:lineRule="exact"/>
              <w:jc w:val="center"/>
              <w:rPr>
                <w:rFonts w:hint="eastAsia" w:ascii="宋体" w:hAnsi="宋体" w:eastAsia="宋体" w:cs="宋体"/>
                <w:color w:val="auto"/>
                <w:kern w:val="2"/>
                <w:lang w:eastAsia="zh-CN"/>
              </w:rPr>
            </w:pPr>
            <w:r>
              <w:rPr>
                <w:rFonts w:hint="eastAsia" w:ascii="宋体" w:hAnsi="宋体" w:cs="宋体"/>
                <w:color w:val="auto"/>
                <w:kern w:val="2"/>
              </w:rPr>
              <w:t>项目需求理解与响应</w:t>
            </w:r>
            <w:r>
              <w:rPr>
                <w:rFonts w:hint="eastAsia" w:ascii="宋体" w:hAnsi="宋体" w:cs="宋体"/>
                <w:color w:val="auto"/>
                <w:kern w:val="2"/>
                <w:lang w:eastAsia="zh-CN"/>
              </w:rPr>
              <w:t>（</w:t>
            </w:r>
            <w:r>
              <w:rPr>
                <w:rFonts w:hint="eastAsia" w:ascii="宋体" w:hAnsi="宋体" w:cs="宋体"/>
                <w:color w:val="auto"/>
                <w:kern w:val="2"/>
                <w:lang w:val="en-US" w:eastAsia="zh-CN"/>
              </w:rPr>
              <w:t>10分</w:t>
            </w:r>
            <w:r>
              <w:rPr>
                <w:rFonts w:hint="eastAsia" w:ascii="宋体" w:hAnsi="宋体" w:cs="宋体"/>
                <w:color w:val="auto"/>
                <w:kern w:val="2"/>
                <w:lang w:eastAsia="zh-CN"/>
              </w:rPr>
              <w:t>）</w:t>
            </w:r>
          </w:p>
        </w:tc>
        <w:tc>
          <w:tcPr>
            <w:tcW w:w="6782" w:type="dxa"/>
            <w:tcBorders>
              <w:top w:val="single" w:color="auto" w:sz="4" w:space="0"/>
              <w:left w:val="single" w:color="auto" w:sz="4" w:space="0"/>
              <w:bottom w:val="single" w:color="auto" w:sz="4" w:space="0"/>
              <w:right w:val="single" w:color="auto" w:sz="4" w:space="0"/>
            </w:tcBorders>
            <w:vAlign w:val="center"/>
          </w:tcPr>
          <w:p w14:paraId="273BF02A">
            <w:pPr>
              <w:pStyle w:val="58"/>
              <w:ind w:right="0" w:rightChars="0"/>
              <w:jc w:val="both"/>
              <w:rPr>
                <w:rFonts w:hint="eastAsia" w:eastAsia="宋体" w:cs="Times New Roman"/>
                <w:kern w:val="0"/>
                <w:sz w:val="22"/>
                <w:szCs w:val="21"/>
                <w:lang w:val="en-US" w:eastAsia="zh-CN"/>
              </w:rPr>
            </w:pPr>
            <w:r>
              <w:rPr>
                <w:rFonts w:hint="eastAsia" w:cs="Times New Roman"/>
                <w:kern w:val="0"/>
                <w:sz w:val="22"/>
                <w:szCs w:val="21"/>
                <w:lang w:val="en-US"/>
              </w:rPr>
              <w:t>对城市体检的指标体系（功能完善、生态治理、安全韧性等）、城市规划的战略定位（区域协同、产业布局、公共服务配置）</w:t>
            </w:r>
            <w:r>
              <w:rPr>
                <w:rFonts w:hint="eastAsia" w:cs="Times New Roman"/>
                <w:kern w:val="0"/>
                <w:sz w:val="22"/>
                <w:szCs w:val="21"/>
                <w:lang w:val="en-US" w:eastAsia="zh-CN"/>
              </w:rPr>
              <w:t>。</w:t>
            </w:r>
          </w:p>
          <w:p w14:paraId="481C48C3">
            <w:pPr>
              <w:pStyle w:val="58"/>
              <w:ind w:right="0" w:rightChars="0"/>
              <w:jc w:val="both"/>
              <w:rPr>
                <w:rFonts w:hint="eastAsia" w:cs="Times New Roman"/>
                <w:kern w:val="0"/>
                <w:sz w:val="22"/>
                <w:szCs w:val="21"/>
                <w:lang w:val="en-US"/>
              </w:rPr>
            </w:pPr>
            <w:r>
              <w:rPr>
                <w:rFonts w:hint="eastAsia" w:cs="Times New Roman"/>
                <w:kern w:val="0"/>
                <w:sz w:val="22"/>
                <w:szCs w:val="21"/>
                <w:lang w:val="en-US" w:eastAsia="zh-CN"/>
              </w:rPr>
              <w:t>1、</w:t>
            </w:r>
            <w:r>
              <w:rPr>
                <w:rFonts w:hint="eastAsia" w:cs="Times New Roman"/>
                <w:kern w:val="0"/>
                <w:sz w:val="22"/>
                <w:szCs w:val="21"/>
                <w:lang w:val="en-US"/>
              </w:rPr>
              <w:t>理解全面准确，完全贴合项目实际需求的，得8-10分；</w:t>
            </w:r>
          </w:p>
          <w:p w14:paraId="4810FA15">
            <w:pPr>
              <w:pStyle w:val="58"/>
              <w:ind w:right="0" w:rightChars="0"/>
              <w:jc w:val="both"/>
              <w:rPr>
                <w:rFonts w:hint="eastAsia" w:cs="Times New Roman"/>
                <w:kern w:val="0"/>
                <w:sz w:val="22"/>
                <w:szCs w:val="21"/>
                <w:lang w:val="en-US"/>
              </w:rPr>
            </w:pPr>
            <w:r>
              <w:rPr>
                <w:rFonts w:hint="eastAsia" w:cs="Times New Roman"/>
                <w:kern w:val="0"/>
                <w:sz w:val="22"/>
                <w:szCs w:val="21"/>
                <w:lang w:val="en-US" w:eastAsia="zh-CN"/>
              </w:rPr>
              <w:t>2、</w:t>
            </w:r>
            <w:r>
              <w:rPr>
                <w:rFonts w:hint="eastAsia" w:cs="Times New Roman"/>
                <w:kern w:val="0"/>
                <w:sz w:val="22"/>
                <w:szCs w:val="21"/>
                <w:lang w:val="en-US"/>
              </w:rPr>
              <w:t>理解基本到位，但对部分核心需求表述模糊或存在少量偏差的，得4-7分；</w:t>
            </w:r>
          </w:p>
          <w:p w14:paraId="6C1555A7">
            <w:pPr>
              <w:pStyle w:val="58"/>
              <w:ind w:right="0" w:rightChars="0"/>
              <w:jc w:val="both"/>
              <w:rPr>
                <w:rFonts w:hint="eastAsia" w:cs="Times New Roman"/>
                <w:kern w:val="0"/>
                <w:sz w:val="22"/>
                <w:szCs w:val="21"/>
                <w:lang w:val="en-US"/>
              </w:rPr>
            </w:pPr>
            <w:r>
              <w:rPr>
                <w:rFonts w:hint="eastAsia" w:cs="Times New Roman"/>
                <w:kern w:val="0"/>
                <w:sz w:val="22"/>
                <w:szCs w:val="21"/>
                <w:lang w:val="en-US" w:eastAsia="zh-CN"/>
              </w:rPr>
              <w:t>3、</w:t>
            </w:r>
            <w:r>
              <w:rPr>
                <w:rFonts w:hint="eastAsia" w:cs="Times New Roman"/>
                <w:kern w:val="0"/>
                <w:sz w:val="22"/>
                <w:szCs w:val="21"/>
                <w:lang w:val="en-US"/>
              </w:rPr>
              <w:t>理解不清晰，与项目需求偏离较大或未针对性回应核心诉求的，得0-3分。</w:t>
            </w:r>
          </w:p>
          <w:p w14:paraId="3BBCF300">
            <w:pPr>
              <w:pStyle w:val="58"/>
              <w:ind w:right="0" w:rightChars="0"/>
              <w:jc w:val="both"/>
              <w:rPr>
                <w:rFonts w:hint="eastAsia" w:cs="Times New Roman"/>
                <w:kern w:val="0"/>
                <w:sz w:val="22"/>
                <w:szCs w:val="21"/>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缺项不得分。</w:t>
            </w:r>
          </w:p>
        </w:tc>
      </w:tr>
      <w:tr w14:paraId="45E4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trPr>
        <w:tc>
          <w:tcPr>
            <w:tcW w:w="1386" w:type="dxa"/>
            <w:vMerge w:val="continue"/>
            <w:tcBorders>
              <w:left w:val="single" w:color="auto" w:sz="4" w:space="0"/>
              <w:right w:val="single" w:color="auto" w:sz="4" w:space="0"/>
            </w:tcBorders>
            <w:vAlign w:val="center"/>
          </w:tcPr>
          <w:p w14:paraId="7E6921DE">
            <w:pPr>
              <w:pStyle w:val="42"/>
              <w:spacing w:line="440" w:lineRule="exact"/>
              <w:jc w:val="center"/>
              <w:rPr>
                <w:rFonts w:ascii="宋体" w:hAnsi="宋体" w:cs="宋体"/>
                <w:color w:val="auto"/>
              </w:rPr>
            </w:pPr>
          </w:p>
        </w:tc>
        <w:tc>
          <w:tcPr>
            <w:tcW w:w="1591" w:type="dxa"/>
            <w:tcBorders>
              <w:left w:val="single" w:color="auto" w:sz="4" w:space="0"/>
              <w:right w:val="single" w:color="auto" w:sz="4" w:space="0"/>
            </w:tcBorders>
            <w:vAlign w:val="center"/>
          </w:tcPr>
          <w:p w14:paraId="1FE0EEB0">
            <w:pPr>
              <w:pStyle w:val="42"/>
              <w:spacing w:line="440" w:lineRule="exact"/>
              <w:jc w:val="center"/>
              <w:rPr>
                <w:rFonts w:ascii="宋体" w:hAnsi="宋体" w:cs="宋体"/>
                <w:color w:val="auto"/>
                <w:kern w:val="2"/>
                <w:sz w:val="21"/>
                <w:szCs w:val="21"/>
              </w:rPr>
            </w:pPr>
            <w:r>
              <w:rPr>
                <w:rFonts w:hint="eastAsia" w:ascii="宋体" w:hAnsi="宋体" w:eastAsia="宋体" w:cs="宋体"/>
                <w:color w:val="000000"/>
                <w:szCs w:val="22"/>
                <w:highlight w:val="none"/>
                <w:lang w:val="en-US" w:eastAsia="zh-CN"/>
              </w:rPr>
              <w:t>技术方案完整性与可行性（</w:t>
            </w:r>
            <w:r>
              <w:rPr>
                <w:rFonts w:hint="eastAsia" w:ascii="宋体" w:hAnsi="宋体" w:cs="宋体"/>
                <w:color w:val="000000"/>
                <w:szCs w:val="22"/>
                <w:highlight w:val="none"/>
                <w:lang w:val="en-US" w:eastAsia="zh-CN"/>
              </w:rPr>
              <w:t>10</w:t>
            </w:r>
            <w:r>
              <w:rPr>
                <w:rFonts w:hint="eastAsia" w:ascii="宋体" w:hAnsi="宋体" w:eastAsia="宋体" w:cs="宋体"/>
                <w:color w:val="000000"/>
                <w:szCs w:val="22"/>
                <w:highlight w:val="none"/>
                <w:lang w:val="en-US" w:eastAsia="zh-CN"/>
              </w:rPr>
              <w:t>分）</w:t>
            </w:r>
          </w:p>
        </w:tc>
        <w:tc>
          <w:tcPr>
            <w:tcW w:w="6782" w:type="dxa"/>
            <w:tcBorders>
              <w:top w:val="single" w:color="auto" w:sz="4" w:space="0"/>
              <w:left w:val="single" w:color="auto" w:sz="4" w:space="0"/>
              <w:bottom w:val="single" w:color="auto" w:sz="4" w:space="0"/>
              <w:right w:val="single" w:color="auto" w:sz="4" w:space="0"/>
            </w:tcBorders>
            <w:shd w:val="clear" w:color="auto" w:fill="auto"/>
            <w:vAlign w:val="center"/>
          </w:tcPr>
          <w:p w14:paraId="5A4B9A41">
            <w:pPr>
              <w:widowControl/>
              <w:adjustRightInd w:val="0"/>
              <w:snapToGrid w:val="0"/>
              <w:spacing w:line="440" w:lineRule="exact"/>
              <w:jc w:val="left"/>
              <w:textAlignment w:val="center"/>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项目规划思路、规划内容、规划依据、总体说明等内容，总体规划思路清晰，贯彻落实采购人要求到位，引用规范合法、有效，并包含必要的说明文字：</w:t>
            </w:r>
          </w:p>
          <w:p w14:paraId="144ADBC4">
            <w:pPr>
              <w:widowControl/>
              <w:adjustRightInd w:val="0"/>
              <w:snapToGrid w:val="0"/>
              <w:spacing w:line="440" w:lineRule="exact"/>
              <w:jc w:val="left"/>
              <w:textAlignment w:val="center"/>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1.总体规划思路清晰，完全满足采购需求，得10分；</w:t>
            </w:r>
          </w:p>
          <w:p w14:paraId="7E027CEA">
            <w:pPr>
              <w:widowControl/>
              <w:adjustRightInd w:val="0"/>
              <w:snapToGrid w:val="0"/>
              <w:spacing w:line="440" w:lineRule="exact"/>
              <w:jc w:val="left"/>
              <w:textAlignment w:val="center"/>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2.总体规划思路较为清晰，基本满足采购需求，得6分；</w:t>
            </w:r>
          </w:p>
          <w:p w14:paraId="6726961E">
            <w:pPr>
              <w:widowControl/>
              <w:adjustRightInd w:val="0"/>
              <w:snapToGrid w:val="0"/>
              <w:spacing w:line="440" w:lineRule="exact"/>
              <w:jc w:val="left"/>
              <w:textAlignment w:val="center"/>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3.总体规划思路一般,能满足采购需求，得2分；</w:t>
            </w:r>
          </w:p>
          <w:p w14:paraId="41506B16">
            <w:pPr>
              <w:widowControl/>
              <w:adjustRightInd w:val="0"/>
              <w:snapToGrid w:val="0"/>
              <w:spacing w:line="440" w:lineRule="exact"/>
              <w:jc w:val="left"/>
              <w:textAlignment w:val="center"/>
              <w:rPr>
                <w:rFonts w:hint="eastAsia" w:ascii="宋体" w:hAnsi="宋体" w:eastAsia="宋体" w:cs="Times New Roman"/>
                <w:kern w:val="0"/>
                <w:sz w:val="22"/>
                <w:szCs w:val="21"/>
                <w:lang w:val="en-US" w:eastAsia="zh-CN" w:bidi="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缺项不得分。</w:t>
            </w:r>
          </w:p>
        </w:tc>
      </w:tr>
      <w:tr w14:paraId="1010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1386" w:type="dxa"/>
            <w:vMerge w:val="continue"/>
            <w:tcBorders>
              <w:left w:val="single" w:color="auto" w:sz="4" w:space="0"/>
              <w:right w:val="single" w:color="auto" w:sz="4" w:space="0"/>
            </w:tcBorders>
            <w:vAlign w:val="center"/>
          </w:tcPr>
          <w:p w14:paraId="63CB0DED">
            <w:pPr>
              <w:pStyle w:val="42"/>
              <w:spacing w:line="440" w:lineRule="exact"/>
              <w:jc w:val="center"/>
              <w:rPr>
                <w:rFonts w:ascii="宋体" w:hAnsi="宋体" w:cs="宋体"/>
                <w:color w:val="auto"/>
              </w:rPr>
            </w:pPr>
          </w:p>
        </w:tc>
        <w:tc>
          <w:tcPr>
            <w:tcW w:w="1591" w:type="dxa"/>
            <w:tcBorders>
              <w:left w:val="single" w:color="auto" w:sz="4" w:space="0"/>
              <w:right w:val="single" w:color="auto" w:sz="4" w:space="0"/>
            </w:tcBorders>
            <w:vAlign w:val="center"/>
          </w:tcPr>
          <w:p w14:paraId="4D698116">
            <w:pPr>
              <w:wordWrap w:val="0"/>
              <w:spacing w:line="240" w:lineRule="auto"/>
              <w:ind w:left="0" w:leftChars="0" w:firstLine="0" w:firstLineChars="0"/>
              <w:jc w:val="center"/>
              <w:rPr>
                <w:rFonts w:ascii="宋体" w:hAnsi="宋体" w:cs="宋体"/>
                <w:color w:val="auto"/>
                <w:sz w:val="22"/>
                <w:szCs w:val="22"/>
                <w:lang w:bidi="ar"/>
              </w:rPr>
            </w:pPr>
            <w:r>
              <w:rPr>
                <w:rFonts w:hint="eastAsia" w:ascii="宋体" w:hAnsi="宋体" w:cs="宋体"/>
                <w:color w:val="auto"/>
                <w:sz w:val="22"/>
                <w:szCs w:val="22"/>
                <w:lang w:bidi="ar"/>
              </w:rPr>
              <w:t>实施计划与质量控制（</w:t>
            </w:r>
            <w:r>
              <w:rPr>
                <w:rFonts w:hint="eastAsia" w:cs="宋体"/>
                <w:color w:val="auto"/>
                <w:sz w:val="22"/>
                <w:szCs w:val="22"/>
                <w:lang w:val="en-US" w:eastAsia="zh-CN" w:bidi="ar"/>
              </w:rPr>
              <w:t>10</w:t>
            </w:r>
            <w:r>
              <w:rPr>
                <w:rFonts w:hint="eastAsia" w:ascii="宋体" w:hAnsi="宋体" w:cs="宋体"/>
                <w:color w:val="auto"/>
                <w:sz w:val="22"/>
                <w:szCs w:val="22"/>
                <w:lang w:bidi="ar"/>
              </w:rPr>
              <w:t>分）</w:t>
            </w:r>
          </w:p>
        </w:tc>
        <w:tc>
          <w:tcPr>
            <w:tcW w:w="6782" w:type="dxa"/>
            <w:tcBorders>
              <w:top w:val="single" w:color="auto" w:sz="4" w:space="0"/>
              <w:left w:val="single" w:color="auto" w:sz="4" w:space="0"/>
              <w:bottom w:val="single" w:color="auto" w:sz="4" w:space="0"/>
              <w:right w:val="single" w:color="auto" w:sz="4" w:space="0"/>
            </w:tcBorders>
            <w:vAlign w:val="center"/>
          </w:tcPr>
          <w:p w14:paraId="78B81DDE">
            <w:pPr>
              <w:wordWrap w:val="0"/>
              <w:spacing w:line="240" w:lineRule="auto"/>
              <w:ind w:left="0" w:leftChars="0" w:firstLine="0" w:firstLineChars="0"/>
              <w:jc w:val="left"/>
              <w:rPr>
                <w:rFonts w:hint="eastAsia" w:cs="Times New Roman"/>
                <w:kern w:val="0"/>
                <w:sz w:val="22"/>
                <w:szCs w:val="21"/>
              </w:rPr>
            </w:pPr>
            <w:r>
              <w:rPr>
                <w:rFonts w:hint="eastAsia" w:cs="Times New Roman"/>
                <w:kern w:val="0"/>
                <w:sz w:val="22"/>
                <w:szCs w:val="21"/>
                <w:lang w:val="en-US" w:eastAsia="zh-CN"/>
              </w:rPr>
              <w:t>1、</w:t>
            </w:r>
            <w:r>
              <w:rPr>
                <w:rFonts w:hint="eastAsia" w:cs="Times New Roman"/>
                <w:kern w:val="0"/>
                <w:sz w:val="22"/>
                <w:szCs w:val="21"/>
              </w:rPr>
              <w:t>分阶段实施计划清晰，时间节点明确，资源配置合理（含人员、设备、技术支持）的，得</w:t>
            </w:r>
            <w:r>
              <w:rPr>
                <w:rFonts w:hint="eastAsia" w:cs="Times New Roman"/>
                <w:kern w:val="0"/>
                <w:sz w:val="22"/>
                <w:szCs w:val="21"/>
                <w:lang w:val="en-US" w:eastAsia="zh-CN"/>
              </w:rPr>
              <w:t>3</w:t>
            </w:r>
            <w:r>
              <w:rPr>
                <w:rFonts w:hint="eastAsia" w:cs="Times New Roman"/>
                <w:kern w:val="0"/>
                <w:sz w:val="22"/>
                <w:szCs w:val="21"/>
              </w:rPr>
              <w:t>-</w:t>
            </w:r>
            <w:r>
              <w:rPr>
                <w:rFonts w:hint="eastAsia" w:cs="Times New Roman"/>
                <w:kern w:val="0"/>
                <w:sz w:val="22"/>
                <w:szCs w:val="21"/>
                <w:lang w:val="en-US" w:eastAsia="zh-CN"/>
              </w:rPr>
              <w:t>5</w:t>
            </w:r>
            <w:r>
              <w:rPr>
                <w:rFonts w:hint="eastAsia" w:cs="Times New Roman"/>
                <w:kern w:val="0"/>
                <w:sz w:val="22"/>
                <w:szCs w:val="21"/>
              </w:rPr>
              <w:t>分；计划粗糙、逻辑混乱的，得0-3分；</w:t>
            </w:r>
          </w:p>
          <w:p w14:paraId="1E3FDAA7">
            <w:pPr>
              <w:wordWrap w:val="0"/>
              <w:spacing w:line="240" w:lineRule="auto"/>
              <w:ind w:left="0" w:leftChars="0" w:firstLine="0" w:firstLineChars="0"/>
              <w:jc w:val="left"/>
              <w:rPr>
                <w:rFonts w:hint="eastAsia" w:cs="Times New Roman"/>
                <w:kern w:val="0"/>
                <w:sz w:val="22"/>
                <w:szCs w:val="21"/>
              </w:rPr>
            </w:pPr>
            <w:r>
              <w:rPr>
                <w:rFonts w:hint="eastAsia" w:cs="Times New Roman"/>
                <w:kern w:val="0"/>
                <w:sz w:val="22"/>
                <w:szCs w:val="21"/>
                <w:lang w:val="en-US" w:eastAsia="zh-CN"/>
              </w:rPr>
              <w:t>2、</w:t>
            </w:r>
            <w:r>
              <w:rPr>
                <w:rFonts w:hint="eastAsia" w:cs="Times New Roman"/>
                <w:kern w:val="0"/>
                <w:sz w:val="22"/>
                <w:szCs w:val="21"/>
              </w:rPr>
              <w:t>质量控制体系完善，包含中间成果审核、最终成果评审、数据安全保密措施的，得</w:t>
            </w:r>
            <w:r>
              <w:rPr>
                <w:rFonts w:hint="eastAsia" w:cs="Times New Roman"/>
                <w:kern w:val="0"/>
                <w:sz w:val="22"/>
                <w:szCs w:val="21"/>
                <w:lang w:val="en-US" w:eastAsia="zh-CN"/>
              </w:rPr>
              <w:t>3</w:t>
            </w:r>
            <w:r>
              <w:rPr>
                <w:rFonts w:hint="eastAsia" w:cs="Times New Roman"/>
                <w:kern w:val="0"/>
                <w:sz w:val="22"/>
                <w:szCs w:val="21"/>
              </w:rPr>
              <w:t>-</w:t>
            </w:r>
            <w:r>
              <w:rPr>
                <w:rFonts w:hint="eastAsia" w:cs="Times New Roman"/>
                <w:kern w:val="0"/>
                <w:sz w:val="22"/>
                <w:szCs w:val="21"/>
                <w:lang w:val="en-US" w:eastAsia="zh-CN"/>
              </w:rPr>
              <w:t>5</w:t>
            </w:r>
            <w:r>
              <w:rPr>
                <w:rFonts w:hint="eastAsia" w:cs="Times New Roman"/>
                <w:kern w:val="0"/>
                <w:sz w:val="22"/>
                <w:szCs w:val="21"/>
              </w:rPr>
              <w:t>分；质量控制措施简单或未明确保密要求的，得0-3分。</w:t>
            </w:r>
          </w:p>
          <w:p w14:paraId="0F1E62F3">
            <w:pPr>
              <w:wordWrap w:val="0"/>
              <w:spacing w:line="240" w:lineRule="auto"/>
              <w:ind w:left="0" w:leftChars="0" w:firstLine="0" w:firstLineChars="0"/>
              <w:jc w:val="left"/>
              <w:rPr>
                <w:rFonts w:hint="eastAsia" w:cs="Times New Roman"/>
                <w:kern w:val="0"/>
                <w:sz w:val="22"/>
                <w:szCs w:val="21"/>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缺项不得分。</w:t>
            </w:r>
          </w:p>
        </w:tc>
      </w:tr>
      <w:tr w14:paraId="1F49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2" w:hRule="atLeast"/>
        </w:trPr>
        <w:tc>
          <w:tcPr>
            <w:tcW w:w="1386" w:type="dxa"/>
            <w:vMerge w:val="continue"/>
            <w:tcBorders>
              <w:left w:val="single" w:color="auto" w:sz="4" w:space="0"/>
              <w:right w:val="single" w:color="auto" w:sz="4" w:space="0"/>
            </w:tcBorders>
            <w:vAlign w:val="center"/>
          </w:tcPr>
          <w:p w14:paraId="1806A32F">
            <w:pPr>
              <w:pStyle w:val="42"/>
              <w:spacing w:line="440" w:lineRule="exact"/>
              <w:jc w:val="center"/>
              <w:rPr>
                <w:rFonts w:ascii="宋体" w:hAnsi="宋体" w:cs="宋体"/>
                <w:color w:val="auto"/>
              </w:rPr>
            </w:pPr>
          </w:p>
        </w:tc>
        <w:tc>
          <w:tcPr>
            <w:tcW w:w="1591" w:type="dxa"/>
            <w:tcBorders>
              <w:left w:val="single" w:color="auto" w:sz="4" w:space="0"/>
              <w:right w:val="single" w:color="auto" w:sz="4" w:space="0"/>
            </w:tcBorders>
            <w:vAlign w:val="center"/>
          </w:tcPr>
          <w:p w14:paraId="54B3AD4B">
            <w:pPr>
              <w:widowControl/>
              <w:adjustRightInd w:val="0"/>
              <w:snapToGrid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进度保证措施</w:t>
            </w:r>
          </w:p>
          <w:p w14:paraId="59342123">
            <w:pPr>
              <w:wordWrap w:val="0"/>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kern w:val="2"/>
                <w:sz w:val="21"/>
                <w:szCs w:val="21"/>
                <w:highlight w:val="none"/>
                <w:lang w:val="en-US" w:eastAsia="zh-CN" w:bidi="ar-SA"/>
              </w:rPr>
              <w:t>）</w:t>
            </w:r>
          </w:p>
        </w:tc>
        <w:tc>
          <w:tcPr>
            <w:tcW w:w="6782" w:type="dxa"/>
            <w:tcBorders>
              <w:top w:val="single" w:color="auto" w:sz="4" w:space="0"/>
              <w:left w:val="single" w:color="auto" w:sz="4" w:space="0"/>
              <w:bottom w:val="single" w:color="auto" w:sz="4" w:space="0"/>
              <w:right w:val="single" w:color="auto" w:sz="4" w:space="0"/>
            </w:tcBorders>
            <w:vAlign w:val="center"/>
          </w:tcPr>
          <w:p w14:paraId="2A2BCC4D">
            <w:pPr>
              <w:widowControl/>
              <w:adjustRightInd w:val="0"/>
              <w:snapToGrid w:val="0"/>
              <w:spacing w:line="44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项目规划</w:t>
            </w:r>
            <w:r>
              <w:rPr>
                <w:rFonts w:hint="eastAsia" w:ascii="宋体" w:hAnsi="宋体" w:eastAsia="宋体" w:cs="宋体"/>
                <w:color w:val="auto"/>
                <w:sz w:val="21"/>
                <w:szCs w:val="21"/>
                <w:highlight w:val="none"/>
              </w:rPr>
              <w:t>计划安排明确、工期保证措施合理且有针对性，有具体的违约责任承诺</w:t>
            </w:r>
            <w:r>
              <w:rPr>
                <w:rFonts w:hint="eastAsia" w:ascii="宋体" w:hAnsi="宋体" w:eastAsia="宋体" w:cs="宋体"/>
                <w:color w:val="auto"/>
                <w:sz w:val="21"/>
                <w:szCs w:val="21"/>
                <w:highlight w:val="none"/>
                <w:lang w:eastAsia="zh-CN"/>
              </w:rPr>
              <w:t>：</w:t>
            </w:r>
          </w:p>
          <w:p w14:paraId="325DD5C3">
            <w:pPr>
              <w:widowControl/>
              <w:adjustRightInd w:val="0"/>
              <w:snapToGrid w:val="0"/>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内容详实、措施到位、针对性强，</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p w14:paraId="23574FA6">
            <w:pPr>
              <w:widowControl/>
              <w:adjustRightInd w:val="0"/>
              <w:snapToGrid w:val="0"/>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内容基本完整、措施有待优化、针对性一般，</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p w14:paraId="195D3894">
            <w:pPr>
              <w:widowControl/>
              <w:adjustRightInd w:val="0"/>
              <w:snapToGrid w:val="0"/>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内容不完整、措施不到位、针对性差，得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646EA22">
            <w:pPr>
              <w:wordWrap w:val="0"/>
              <w:spacing w:line="240" w:lineRule="auto"/>
              <w:ind w:left="0" w:leftChars="0" w:firstLine="0" w:firstLineChars="0"/>
              <w:jc w:val="left"/>
              <w:rPr>
                <w:rFonts w:hint="eastAsia" w:ascii="宋体" w:hAnsi="宋体" w:eastAsia="宋体" w:cs="Times New Roman"/>
                <w:kern w:val="0"/>
                <w:sz w:val="22"/>
                <w:szCs w:val="21"/>
                <w:lang w:val="en-US" w:eastAsia="zh-CN" w:bidi="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缺项不得分。</w:t>
            </w:r>
          </w:p>
        </w:tc>
      </w:tr>
      <w:tr w14:paraId="169E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trPr>
        <w:tc>
          <w:tcPr>
            <w:tcW w:w="1386" w:type="dxa"/>
            <w:vMerge w:val="continue"/>
            <w:tcBorders>
              <w:left w:val="single" w:color="auto" w:sz="4" w:space="0"/>
              <w:right w:val="single" w:color="auto" w:sz="4" w:space="0"/>
            </w:tcBorders>
            <w:vAlign w:val="center"/>
          </w:tcPr>
          <w:p w14:paraId="56A61A6C">
            <w:pPr>
              <w:pStyle w:val="42"/>
              <w:spacing w:line="440" w:lineRule="exact"/>
              <w:jc w:val="center"/>
              <w:rPr>
                <w:rFonts w:ascii="宋体" w:hAnsi="宋体" w:cs="宋体"/>
                <w:color w:val="auto"/>
              </w:rPr>
            </w:pPr>
          </w:p>
        </w:tc>
        <w:tc>
          <w:tcPr>
            <w:tcW w:w="1591" w:type="dxa"/>
            <w:tcBorders>
              <w:left w:val="single" w:color="auto" w:sz="4" w:space="0"/>
              <w:right w:val="single" w:color="auto" w:sz="4" w:space="0"/>
            </w:tcBorders>
            <w:vAlign w:val="center"/>
          </w:tcPr>
          <w:p w14:paraId="7E2B873D">
            <w:pPr>
              <w:wordWrap w:val="0"/>
              <w:spacing w:line="240" w:lineRule="auto"/>
              <w:ind w:left="0" w:leftChars="0" w:firstLine="0" w:firstLineChars="0"/>
              <w:jc w:val="center"/>
              <w:rPr>
                <w:rFonts w:hint="eastAsia" w:ascii="宋体" w:hAnsi="宋体" w:cs="宋体"/>
                <w:color w:val="auto"/>
                <w:sz w:val="22"/>
                <w:szCs w:val="22"/>
                <w:lang w:bidi="ar"/>
              </w:rPr>
            </w:pPr>
            <w:r>
              <w:rPr>
                <w:rFonts w:hint="eastAsia" w:ascii="宋体" w:hAnsi="宋体" w:eastAsia="宋体" w:cs="宋体"/>
                <w:color w:val="auto"/>
                <w:kern w:val="2"/>
                <w:sz w:val="21"/>
                <w:szCs w:val="21"/>
                <w:highlight w:val="none"/>
                <w:lang w:val="en-US" w:eastAsia="zh-CN" w:bidi="ar-SA"/>
              </w:rPr>
              <w:t>合理化建议（5分）</w:t>
            </w:r>
          </w:p>
        </w:tc>
        <w:tc>
          <w:tcPr>
            <w:tcW w:w="6782" w:type="dxa"/>
            <w:tcBorders>
              <w:top w:val="single" w:color="auto" w:sz="4" w:space="0"/>
              <w:left w:val="single" w:color="auto" w:sz="4" w:space="0"/>
              <w:bottom w:val="single" w:color="auto" w:sz="4" w:space="0"/>
              <w:right w:val="single" w:color="auto" w:sz="4" w:space="0"/>
            </w:tcBorders>
            <w:vAlign w:val="center"/>
          </w:tcPr>
          <w:p w14:paraId="62D584E5">
            <w:pPr>
              <w:widowControl/>
              <w:numPr>
                <w:ilvl w:val="0"/>
                <w:numId w:val="0"/>
              </w:numPr>
              <w:adjustRightInd w:val="0"/>
              <w:snapToGrid w:val="0"/>
              <w:spacing w:line="440" w:lineRule="exact"/>
              <w:jc w:val="left"/>
              <w:textAlignment w:val="center"/>
              <w:rPr>
                <w:rFonts w:hint="default"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针对本项目特点提出的合理化建议等措施方法：</w:t>
            </w:r>
          </w:p>
          <w:p w14:paraId="22135230">
            <w:pPr>
              <w:widowControl/>
              <w:numPr>
                <w:ilvl w:val="0"/>
                <w:numId w:val="0"/>
              </w:numPr>
              <w:adjustRightInd w:val="0"/>
              <w:snapToGrid w:val="0"/>
              <w:spacing w:line="440" w:lineRule="exact"/>
              <w:jc w:val="left"/>
              <w:textAlignment w:val="center"/>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1.内容详实，有针对性解决措施，得5分；</w:t>
            </w:r>
          </w:p>
          <w:p w14:paraId="12B1CFAC">
            <w:pPr>
              <w:widowControl/>
              <w:numPr>
                <w:ilvl w:val="0"/>
                <w:numId w:val="0"/>
              </w:numPr>
              <w:adjustRightInd w:val="0"/>
              <w:snapToGrid w:val="0"/>
              <w:spacing w:line="440" w:lineRule="exact"/>
              <w:jc w:val="left"/>
              <w:textAlignment w:val="center"/>
              <w:rPr>
                <w:rFonts w:hint="default"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2.内容基本完整，针对性解决措施一般，得3分；</w:t>
            </w:r>
          </w:p>
          <w:p w14:paraId="1FED4D76">
            <w:pPr>
              <w:widowControl/>
              <w:numPr>
                <w:ilvl w:val="0"/>
                <w:numId w:val="0"/>
              </w:numPr>
              <w:adjustRightInd w:val="0"/>
              <w:snapToGrid w:val="0"/>
              <w:spacing w:line="440" w:lineRule="exact"/>
              <w:jc w:val="left"/>
              <w:textAlignment w:val="center"/>
              <w:rPr>
                <w:rFonts w:hint="default"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3.内容一般，针对性解决措施差，得1分；</w:t>
            </w:r>
          </w:p>
          <w:p w14:paraId="1523F8F6">
            <w:pPr>
              <w:wordWrap w:val="0"/>
              <w:spacing w:line="240" w:lineRule="auto"/>
              <w:ind w:left="0" w:leftChars="0" w:firstLine="0" w:firstLineChars="0"/>
              <w:jc w:val="left"/>
              <w:rPr>
                <w:rFonts w:hint="eastAsia" w:cs="Times New Roman"/>
                <w:kern w:val="0"/>
                <w:sz w:val="22"/>
                <w:szCs w:val="21"/>
                <w:lang w:val="en-US" w:eastAsia="zh-CN"/>
              </w:rPr>
            </w:pPr>
            <w:r>
              <w:rPr>
                <w:rFonts w:hint="eastAsia" w:ascii="宋体" w:hAnsi="宋体" w:eastAsia="宋体" w:cs="Times New Roman"/>
                <w:kern w:val="0"/>
                <w:sz w:val="22"/>
                <w:szCs w:val="21"/>
                <w:lang w:val="en-US" w:eastAsia="zh-CN" w:bidi="zh-CN"/>
              </w:rPr>
              <w:t>4.缺项不得分。</w:t>
            </w:r>
          </w:p>
        </w:tc>
      </w:tr>
      <w:tr w14:paraId="5495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atLeast"/>
        </w:trPr>
        <w:tc>
          <w:tcPr>
            <w:tcW w:w="1386" w:type="dxa"/>
            <w:vMerge w:val="continue"/>
            <w:tcBorders>
              <w:left w:val="single" w:color="auto" w:sz="4" w:space="0"/>
              <w:right w:val="single" w:color="auto" w:sz="4" w:space="0"/>
            </w:tcBorders>
            <w:vAlign w:val="center"/>
          </w:tcPr>
          <w:p w14:paraId="7A903C4B">
            <w:pPr>
              <w:pStyle w:val="42"/>
              <w:spacing w:line="440" w:lineRule="exact"/>
              <w:jc w:val="center"/>
              <w:rPr>
                <w:rFonts w:ascii="宋体" w:hAnsi="宋体" w:cs="宋体"/>
                <w:color w:val="auto"/>
              </w:rPr>
            </w:pPr>
          </w:p>
        </w:tc>
        <w:tc>
          <w:tcPr>
            <w:tcW w:w="1591" w:type="dxa"/>
            <w:tcBorders>
              <w:left w:val="single" w:color="auto" w:sz="4" w:space="0"/>
              <w:right w:val="single" w:color="auto" w:sz="4" w:space="0"/>
            </w:tcBorders>
            <w:vAlign w:val="center"/>
          </w:tcPr>
          <w:p w14:paraId="723E4A9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后续服务工作安排</w:t>
            </w:r>
          </w:p>
          <w:p w14:paraId="046DCCF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（5分）</w:t>
            </w:r>
          </w:p>
        </w:tc>
        <w:tc>
          <w:tcPr>
            <w:tcW w:w="6782" w:type="dxa"/>
            <w:tcBorders>
              <w:top w:val="single" w:color="auto" w:sz="4" w:space="0"/>
              <w:left w:val="single" w:color="auto" w:sz="4" w:space="0"/>
              <w:bottom w:val="single" w:color="auto" w:sz="4" w:space="0"/>
              <w:right w:val="single" w:color="auto" w:sz="4" w:space="0"/>
            </w:tcBorders>
            <w:vAlign w:val="center"/>
          </w:tcPr>
          <w:p w14:paraId="25CACF7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提供及时、具体、专业化的后续服务计划、妥善处理本项目后期可能出现的问题、及其他优惠条件等：</w:t>
            </w:r>
          </w:p>
          <w:p w14:paraId="449F141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1.提供的内容完整、具体详细、切实可行、措施完善，得5分；</w:t>
            </w:r>
          </w:p>
          <w:p w14:paraId="4C3EFE7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2.提供的内容基本完整、常规、通用，措施基本完善，得3分；</w:t>
            </w:r>
          </w:p>
          <w:p w14:paraId="49925F4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3.提供的内容一般或部分内容需要进一步补充和完善，得1分；</w:t>
            </w:r>
          </w:p>
          <w:p w14:paraId="659CB3B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4.缺项不得分。</w:t>
            </w:r>
          </w:p>
        </w:tc>
      </w:tr>
      <w:tr w14:paraId="386A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1386" w:type="dxa"/>
            <w:vMerge w:val="restart"/>
            <w:tcBorders>
              <w:left w:val="single" w:color="auto" w:sz="4" w:space="0"/>
              <w:right w:val="single" w:color="auto" w:sz="4" w:space="0"/>
            </w:tcBorders>
            <w:vAlign w:val="center"/>
          </w:tcPr>
          <w:p w14:paraId="19BF6AC5">
            <w:pPr>
              <w:pStyle w:val="42"/>
              <w:spacing w:line="440" w:lineRule="exact"/>
              <w:jc w:val="center"/>
              <w:rPr>
                <w:rFonts w:hint="eastAsia" w:ascii="宋体" w:hAnsi="宋体" w:eastAsia="宋体" w:cs="宋体"/>
                <w:color w:val="auto"/>
                <w:sz w:val="22"/>
                <w:szCs w:val="22"/>
                <w:lang w:eastAsia="zh-CN" w:bidi="ar"/>
              </w:rPr>
            </w:pPr>
            <w:r>
              <w:rPr>
                <w:rFonts w:hint="eastAsia" w:ascii="宋体" w:hAnsi="宋体" w:cs="宋体"/>
                <w:color w:val="auto"/>
                <w:sz w:val="22"/>
                <w:szCs w:val="22"/>
                <w:lang w:bidi="ar"/>
              </w:rPr>
              <w:t>综合部分</w:t>
            </w:r>
            <w:r>
              <w:rPr>
                <w:rFonts w:hint="eastAsia" w:ascii="宋体" w:hAnsi="宋体" w:cs="宋体"/>
                <w:color w:val="auto"/>
                <w:sz w:val="22"/>
                <w:szCs w:val="22"/>
                <w:lang w:eastAsia="zh-CN" w:bidi="ar"/>
              </w:rPr>
              <w:t>（</w:t>
            </w:r>
            <w:r>
              <w:rPr>
                <w:rFonts w:hint="eastAsia" w:ascii="宋体" w:hAnsi="宋体" w:cs="宋体"/>
                <w:color w:val="auto"/>
                <w:sz w:val="22"/>
                <w:szCs w:val="22"/>
                <w:lang w:val="en-US" w:eastAsia="zh-CN" w:bidi="ar"/>
              </w:rPr>
              <w:t>30分</w:t>
            </w:r>
            <w:r>
              <w:rPr>
                <w:rFonts w:hint="eastAsia" w:ascii="宋体" w:hAnsi="宋体" w:cs="宋体"/>
                <w:color w:val="auto"/>
                <w:sz w:val="22"/>
                <w:szCs w:val="22"/>
                <w:lang w:eastAsia="zh-CN" w:bidi="ar"/>
              </w:rPr>
              <w:t>）</w:t>
            </w:r>
          </w:p>
          <w:p w14:paraId="656756B3">
            <w:pPr>
              <w:pStyle w:val="42"/>
              <w:spacing w:line="440" w:lineRule="exact"/>
              <w:jc w:val="center"/>
              <w:rPr>
                <w:rFonts w:ascii="宋体" w:hAnsi="宋体" w:cs="宋体"/>
                <w:color w:val="auto"/>
              </w:rPr>
            </w:pPr>
          </w:p>
        </w:tc>
        <w:tc>
          <w:tcPr>
            <w:tcW w:w="1591" w:type="dxa"/>
            <w:tcBorders>
              <w:top w:val="single" w:color="auto" w:sz="4" w:space="0"/>
              <w:left w:val="single" w:color="auto" w:sz="4" w:space="0"/>
              <w:bottom w:val="single" w:color="auto" w:sz="4" w:space="0"/>
              <w:right w:val="single" w:color="auto" w:sz="4" w:space="0"/>
            </w:tcBorders>
            <w:vAlign w:val="center"/>
          </w:tcPr>
          <w:p w14:paraId="28BB9E7A">
            <w:pPr>
              <w:widowControl/>
              <w:spacing w:line="600" w:lineRule="exact"/>
              <w:ind w:left="0" w:leftChars="0" w:firstLine="0" w:firstLineChars="0"/>
              <w:jc w:val="center"/>
              <w:textAlignment w:val="center"/>
              <w:rPr>
                <w:sz w:val="22"/>
                <w:szCs w:val="22"/>
                <w:lang w:val="en-US"/>
              </w:rPr>
            </w:pPr>
            <w:r>
              <w:rPr>
                <w:rFonts w:hint="eastAsia" w:ascii="宋体" w:hAnsi="宋体" w:eastAsia="宋体" w:cs="宋体"/>
                <w:color w:val="000000"/>
                <w:kern w:val="0"/>
                <w:sz w:val="22"/>
                <w:szCs w:val="22"/>
                <w:highlight w:val="none"/>
                <w:lang w:bidi="ar"/>
              </w:rPr>
              <w:t>企业业绩</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10</w:t>
            </w:r>
            <w:r>
              <w:rPr>
                <w:rFonts w:hint="eastAsia" w:ascii="宋体" w:hAnsi="宋体" w:eastAsia="宋体" w:cs="宋体"/>
                <w:color w:val="000000"/>
                <w:kern w:val="0"/>
                <w:sz w:val="22"/>
                <w:szCs w:val="22"/>
                <w:highlight w:val="none"/>
                <w:lang w:bidi="ar"/>
              </w:rPr>
              <w:t>分）</w:t>
            </w:r>
          </w:p>
        </w:tc>
        <w:tc>
          <w:tcPr>
            <w:tcW w:w="6782" w:type="dxa"/>
            <w:tcBorders>
              <w:top w:val="single" w:color="auto" w:sz="4" w:space="0"/>
              <w:left w:val="single" w:color="auto" w:sz="4" w:space="0"/>
              <w:bottom w:val="single" w:color="auto" w:sz="4" w:space="0"/>
              <w:right w:val="single" w:color="auto" w:sz="4" w:space="0"/>
            </w:tcBorders>
            <w:vAlign w:val="center"/>
          </w:tcPr>
          <w:p w14:paraId="5822F84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center"/>
              <w:rPr>
                <w:rFonts w:ascii="宋体" w:hAnsi="宋体" w:cs="宋体"/>
                <w:color w:val="auto"/>
                <w:sz w:val="22"/>
                <w:szCs w:val="22"/>
                <w:lang w:bidi="ar"/>
              </w:rPr>
            </w:pPr>
            <w:r>
              <w:rPr>
                <w:rFonts w:hint="eastAsia" w:ascii="宋体" w:hAnsi="宋体" w:eastAsia="宋体" w:cs="宋体"/>
                <w:color w:val="000000"/>
                <w:kern w:val="0"/>
                <w:sz w:val="22"/>
                <w:szCs w:val="22"/>
                <w:lang w:val="en-US" w:eastAsia="zh-CN" w:bidi="ar-SA"/>
              </w:rPr>
              <w:t>投标人自202</w:t>
            </w:r>
            <w:r>
              <w:rPr>
                <w:rFonts w:hint="eastAsia" w:cs="宋体"/>
                <w:color w:val="000000"/>
                <w:kern w:val="0"/>
                <w:sz w:val="22"/>
                <w:szCs w:val="22"/>
                <w:lang w:val="en-US" w:eastAsia="zh-CN" w:bidi="ar-SA"/>
              </w:rPr>
              <w:t>1</w:t>
            </w:r>
            <w:r>
              <w:rPr>
                <w:rFonts w:hint="eastAsia" w:ascii="宋体" w:hAnsi="宋体" w:eastAsia="宋体" w:cs="宋体"/>
                <w:color w:val="000000"/>
                <w:kern w:val="0"/>
                <w:sz w:val="22"/>
                <w:szCs w:val="22"/>
                <w:lang w:val="en-US" w:eastAsia="zh-CN" w:bidi="ar-SA"/>
              </w:rPr>
              <w:t>年</w:t>
            </w:r>
            <w:r>
              <w:rPr>
                <w:rFonts w:hint="eastAsia" w:cs="宋体"/>
                <w:color w:val="000000"/>
                <w:kern w:val="0"/>
                <w:sz w:val="22"/>
                <w:szCs w:val="22"/>
                <w:lang w:val="en-US" w:eastAsia="zh-CN" w:bidi="ar-SA"/>
              </w:rPr>
              <w:t>1</w:t>
            </w:r>
            <w:r>
              <w:rPr>
                <w:rFonts w:hint="eastAsia" w:ascii="宋体" w:hAnsi="宋体" w:eastAsia="宋体" w:cs="宋体"/>
                <w:color w:val="000000"/>
                <w:kern w:val="0"/>
                <w:sz w:val="22"/>
                <w:szCs w:val="22"/>
                <w:lang w:val="en-US" w:eastAsia="zh-CN" w:bidi="ar-SA"/>
              </w:rPr>
              <w:t>月1日以来（以合同签订时间为准））具有类似项目业绩的，每提供一份得 2 分，最高得 10 分。</w:t>
            </w:r>
            <w:r>
              <w:rPr>
                <w:rFonts w:hint="eastAsia" w:ascii="宋体" w:hAnsi="宋体" w:eastAsia="宋体" w:cs="宋体"/>
                <w:b/>
                <w:bCs/>
                <w:color w:val="000000"/>
                <w:kern w:val="0"/>
                <w:sz w:val="22"/>
                <w:szCs w:val="22"/>
                <w:lang w:val="en-US" w:eastAsia="zh-CN" w:bidi="ar-SA"/>
              </w:rPr>
              <w:t>（投标文件内须附业绩合同、中标通知书扫描件</w:t>
            </w:r>
            <w:r>
              <w:rPr>
                <w:rFonts w:hint="eastAsia" w:cs="宋体"/>
                <w:b/>
                <w:bCs/>
                <w:color w:val="000000"/>
                <w:kern w:val="0"/>
                <w:sz w:val="22"/>
                <w:szCs w:val="22"/>
                <w:lang w:val="en-US" w:eastAsia="zh-CN" w:bidi="ar-SA"/>
              </w:rPr>
              <w:t>，</w:t>
            </w:r>
            <w:r>
              <w:rPr>
                <w:rFonts w:hint="eastAsia" w:ascii="宋体" w:hAnsi="宋体" w:eastAsia="宋体" w:cs="宋体"/>
                <w:b/>
                <w:bCs/>
                <w:color w:val="000000"/>
                <w:kern w:val="0"/>
                <w:sz w:val="22"/>
                <w:szCs w:val="22"/>
                <w:lang w:val="en-US" w:eastAsia="zh-CN" w:bidi="ar-SA"/>
              </w:rPr>
              <w:t>否则不得分）</w:t>
            </w:r>
          </w:p>
        </w:tc>
      </w:tr>
      <w:tr w14:paraId="1A23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386" w:type="dxa"/>
            <w:vMerge w:val="continue"/>
            <w:tcBorders>
              <w:left w:val="single" w:color="auto" w:sz="4" w:space="0"/>
              <w:right w:val="single" w:color="auto" w:sz="4" w:space="0"/>
            </w:tcBorders>
            <w:vAlign w:val="center"/>
          </w:tcPr>
          <w:p w14:paraId="0275927E">
            <w:pPr>
              <w:pStyle w:val="42"/>
              <w:spacing w:line="440" w:lineRule="exact"/>
              <w:jc w:val="center"/>
              <w:rPr>
                <w:rFonts w:ascii="宋体" w:hAnsi="宋体" w:cs="宋体"/>
                <w:color w:val="auto"/>
              </w:rPr>
            </w:pPr>
          </w:p>
        </w:tc>
        <w:tc>
          <w:tcPr>
            <w:tcW w:w="1591" w:type="dxa"/>
            <w:tcBorders>
              <w:top w:val="single" w:color="auto" w:sz="4" w:space="0"/>
              <w:left w:val="single" w:color="auto" w:sz="4" w:space="0"/>
              <w:right w:val="single" w:color="auto" w:sz="4" w:space="0"/>
            </w:tcBorders>
            <w:vAlign w:val="center"/>
          </w:tcPr>
          <w:p w14:paraId="0E825D7E">
            <w:pPr>
              <w:spacing w:line="4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企业荣誉</w:t>
            </w:r>
          </w:p>
          <w:p w14:paraId="6F6D5595">
            <w:pPr>
              <w:widowControl/>
              <w:spacing w:line="400" w:lineRule="exact"/>
              <w:jc w:val="center"/>
              <w:rPr>
                <w:sz w:val="22"/>
                <w:szCs w:val="22"/>
                <w:lang w:val="en-US"/>
              </w:rPr>
            </w:pPr>
            <w:r>
              <w:rPr>
                <w:rFonts w:hint="eastAsia" w:ascii="宋体" w:hAnsi="宋体" w:cs="宋体"/>
                <w:color w:val="auto"/>
                <w:kern w:val="21"/>
                <w:szCs w:val="21"/>
                <w:highlight w:val="none"/>
              </w:rPr>
              <w:t>（</w:t>
            </w:r>
            <w:r>
              <w:rPr>
                <w:rFonts w:hint="eastAsia" w:ascii="宋体" w:hAnsi="宋体" w:cs="宋体"/>
                <w:color w:val="auto"/>
                <w:kern w:val="21"/>
                <w:szCs w:val="21"/>
                <w:highlight w:val="none"/>
                <w:lang w:val="en-US" w:eastAsia="zh-CN"/>
              </w:rPr>
              <w:t>10</w:t>
            </w:r>
            <w:r>
              <w:rPr>
                <w:rFonts w:hint="eastAsia" w:ascii="宋体" w:hAnsi="宋体" w:cs="宋体"/>
                <w:color w:val="auto"/>
                <w:kern w:val="21"/>
                <w:szCs w:val="21"/>
                <w:highlight w:val="none"/>
              </w:rPr>
              <w:t>分）</w:t>
            </w:r>
          </w:p>
        </w:tc>
        <w:tc>
          <w:tcPr>
            <w:tcW w:w="6782" w:type="dxa"/>
            <w:tcBorders>
              <w:top w:val="single" w:color="auto" w:sz="4" w:space="0"/>
              <w:left w:val="single" w:color="auto" w:sz="4" w:space="0"/>
              <w:bottom w:val="single" w:color="auto" w:sz="4" w:space="0"/>
              <w:right w:val="single" w:color="auto" w:sz="4" w:space="0"/>
            </w:tcBorders>
            <w:vAlign w:val="center"/>
          </w:tcPr>
          <w:p w14:paraId="3BCBF821">
            <w:pPr>
              <w:widowControl/>
              <w:numPr>
                <w:ilvl w:val="0"/>
                <w:numId w:val="0"/>
              </w:numPr>
              <w:spacing w:line="400" w:lineRule="exact"/>
              <w:rPr>
                <w:sz w:val="22"/>
                <w:szCs w:val="22"/>
                <w:lang w:val="en-US"/>
              </w:rPr>
            </w:pPr>
            <w:r>
              <w:rPr>
                <w:rStyle w:val="37"/>
                <w:rFonts w:hint="eastAsia" w:ascii="Times New Roman" w:hAnsi="Times New Roman" w:eastAsia="宋体" w:cs="Times New Roman"/>
                <w:color w:val="auto"/>
                <w:highlight w:val="none"/>
                <w:lang w:eastAsia="zh-CN"/>
              </w:rPr>
              <w:t>供应商自202</w:t>
            </w:r>
            <w:r>
              <w:rPr>
                <w:rStyle w:val="37"/>
                <w:rFonts w:hint="eastAsia" w:ascii="Times New Roman" w:hAnsi="Times New Roman" w:eastAsia="宋体" w:cs="Times New Roman"/>
                <w:color w:val="auto"/>
                <w:highlight w:val="none"/>
                <w:lang w:val="en-US" w:eastAsia="zh-CN"/>
              </w:rPr>
              <w:t>2</w:t>
            </w:r>
            <w:r>
              <w:rPr>
                <w:rStyle w:val="37"/>
                <w:rFonts w:hint="eastAsia" w:ascii="Times New Roman" w:hAnsi="Times New Roman" w:eastAsia="宋体" w:cs="Times New Roman"/>
                <w:color w:val="auto"/>
                <w:highlight w:val="none"/>
                <w:lang w:eastAsia="zh-CN"/>
              </w:rPr>
              <w:t>年以来获得过省级及以上主管行业协会颁发的城市规划类</w:t>
            </w:r>
            <w:r>
              <w:rPr>
                <w:rStyle w:val="37"/>
                <w:rFonts w:hint="eastAsia" w:ascii="Times New Roman" w:hAnsi="Times New Roman" w:eastAsia="宋体" w:cs="Times New Roman"/>
                <w:color w:val="auto"/>
                <w:highlight w:val="none"/>
                <w:lang w:val="en-US" w:eastAsia="zh-CN"/>
              </w:rPr>
              <w:t>奖项</w:t>
            </w:r>
            <w:r>
              <w:rPr>
                <w:rStyle w:val="37"/>
                <w:rFonts w:hint="eastAsia" w:ascii="Times New Roman" w:hAnsi="Times New Roman" w:eastAsia="宋体" w:cs="Times New Roman"/>
                <w:color w:val="auto"/>
                <w:highlight w:val="none"/>
                <w:lang w:eastAsia="zh-CN"/>
              </w:rPr>
              <w:t>的，每有一个得</w:t>
            </w:r>
            <w:r>
              <w:rPr>
                <w:rStyle w:val="37"/>
                <w:rFonts w:hint="eastAsia" w:ascii="Times New Roman" w:hAnsi="Times New Roman" w:eastAsia="宋体" w:cs="Times New Roman"/>
                <w:color w:val="auto"/>
                <w:highlight w:val="none"/>
                <w:lang w:val="en-US" w:eastAsia="zh-CN"/>
              </w:rPr>
              <w:t>2分</w:t>
            </w:r>
            <w:r>
              <w:rPr>
                <w:rStyle w:val="37"/>
                <w:rFonts w:hint="eastAsia" w:ascii="Times New Roman" w:hAnsi="Times New Roman" w:eastAsia="宋体" w:cs="Times New Roman"/>
                <w:color w:val="auto"/>
                <w:highlight w:val="none"/>
                <w:lang w:eastAsia="zh-CN"/>
              </w:rPr>
              <w:t>，最高得</w:t>
            </w:r>
            <w:r>
              <w:rPr>
                <w:rStyle w:val="37"/>
                <w:rFonts w:hint="eastAsia" w:ascii="Times New Roman" w:hAnsi="Times New Roman" w:eastAsia="宋体" w:cs="Times New Roman"/>
                <w:color w:val="auto"/>
                <w:highlight w:val="none"/>
                <w:lang w:val="en-US" w:eastAsia="zh-CN"/>
              </w:rPr>
              <w:t>10</w:t>
            </w:r>
            <w:r>
              <w:rPr>
                <w:rStyle w:val="37"/>
                <w:rFonts w:hint="eastAsia" w:ascii="Times New Roman" w:hAnsi="Times New Roman" w:eastAsia="宋体" w:cs="Times New Roman"/>
                <w:color w:val="auto"/>
                <w:highlight w:val="none"/>
                <w:lang w:eastAsia="zh-CN"/>
              </w:rPr>
              <w:t>分。(时间以证书颁发日期为准，提供获奖证书，原件扫描件附投标文件中)</w:t>
            </w:r>
          </w:p>
        </w:tc>
      </w:tr>
      <w:tr w14:paraId="6B5B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2" w:hRule="atLeast"/>
        </w:trPr>
        <w:tc>
          <w:tcPr>
            <w:tcW w:w="1386" w:type="dxa"/>
            <w:vMerge w:val="continue"/>
            <w:tcBorders>
              <w:left w:val="single" w:color="auto" w:sz="4" w:space="0"/>
              <w:right w:val="single" w:color="auto" w:sz="4" w:space="0"/>
            </w:tcBorders>
            <w:vAlign w:val="center"/>
          </w:tcPr>
          <w:p w14:paraId="682EE26D">
            <w:pPr>
              <w:pStyle w:val="42"/>
              <w:spacing w:line="440" w:lineRule="exact"/>
              <w:jc w:val="center"/>
              <w:rPr>
                <w:rFonts w:ascii="宋体" w:hAnsi="宋体" w:cs="宋体"/>
                <w:color w:val="auto"/>
              </w:rPr>
            </w:pPr>
          </w:p>
        </w:tc>
        <w:tc>
          <w:tcPr>
            <w:tcW w:w="1591" w:type="dxa"/>
            <w:tcBorders>
              <w:top w:val="single" w:color="auto" w:sz="4" w:space="0"/>
              <w:left w:val="single" w:color="auto" w:sz="4" w:space="0"/>
              <w:bottom w:val="single" w:color="auto" w:sz="4" w:space="0"/>
              <w:right w:val="single" w:color="auto" w:sz="4" w:space="0"/>
            </w:tcBorders>
            <w:vAlign w:val="center"/>
          </w:tcPr>
          <w:p w14:paraId="2D3C6231">
            <w:pPr>
              <w:jc w:val="center"/>
              <w:rPr>
                <w:rFonts w:ascii="宋体" w:hAnsi="宋体" w:cs="宋体"/>
                <w:color w:val="auto"/>
                <w:szCs w:val="21"/>
                <w:highlight w:val="none"/>
              </w:rPr>
            </w:pPr>
            <w:r>
              <w:rPr>
                <w:rFonts w:hint="eastAsia" w:ascii="宋体" w:hAnsi="宋体" w:cs="宋体"/>
                <w:color w:val="auto"/>
                <w:szCs w:val="21"/>
                <w:highlight w:val="none"/>
              </w:rPr>
              <w:t>项目人员配备</w:t>
            </w:r>
          </w:p>
          <w:p w14:paraId="551C5EBA">
            <w:pPr>
              <w:widowControl/>
              <w:spacing w:line="400" w:lineRule="exact"/>
              <w:jc w:val="center"/>
              <w:rPr>
                <w:sz w:val="22"/>
                <w:szCs w:val="22"/>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782" w:type="dxa"/>
            <w:tcBorders>
              <w:top w:val="single" w:color="auto" w:sz="4" w:space="0"/>
              <w:left w:val="single" w:color="auto" w:sz="4" w:space="0"/>
              <w:bottom w:val="single" w:color="auto" w:sz="4" w:space="0"/>
              <w:right w:val="single" w:color="auto" w:sz="4" w:space="0"/>
            </w:tcBorders>
            <w:vAlign w:val="center"/>
          </w:tcPr>
          <w:p w14:paraId="25B03B8C">
            <w:pPr>
              <w:widowControl/>
              <w:spacing w:line="400" w:lineRule="exact"/>
              <w:rPr>
                <w:rFonts w:hint="eastAsia" w:ascii="宋体" w:hAnsi="宋体" w:eastAsia="宋体" w:cs="宋体"/>
                <w:color w:val="auto"/>
                <w:kern w:val="18"/>
                <w:sz w:val="21"/>
                <w:szCs w:val="21"/>
                <w:highlight w:val="none"/>
                <w:lang w:val="en-US" w:eastAsia="zh-CN" w:bidi="ar-SA"/>
              </w:rPr>
            </w:pPr>
            <w:r>
              <w:rPr>
                <w:rFonts w:hint="eastAsia" w:ascii="宋体" w:hAnsi="宋体" w:eastAsia="宋体" w:cs="宋体"/>
                <w:color w:val="auto"/>
                <w:szCs w:val="21"/>
                <w:highlight w:val="none"/>
              </w:rPr>
              <w:t>拟派项目组成人员</w:t>
            </w:r>
            <w:r>
              <w:rPr>
                <w:rFonts w:hint="eastAsia" w:ascii="宋体" w:hAnsi="宋体" w:eastAsia="宋体" w:cs="宋体"/>
                <w:color w:val="auto"/>
                <w:szCs w:val="21"/>
                <w:highlight w:val="none"/>
                <w:lang w:eastAsia="zh-CN"/>
              </w:rPr>
              <w:t>中</w:t>
            </w:r>
            <w:r>
              <w:rPr>
                <w:rFonts w:hint="eastAsia" w:ascii="宋体" w:hAnsi="宋体" w:eastAsia="宋体" w:cs="宋体"/>
                <w:color w:val="auto"/>
                <w:kern w:val="18"/>
                <w:sz w:val="21"/>
                <w:szCs w:val="21"/>
                <w:highlight w:val="none"/>
                <w:lang w:val="en-US" w:eastAsia="zh-CN" w:bidi="ar-SA"/>
              </w:rPr>
              <w:t>具有城市(乡)规划、建筑、风景园林、给排水、工程咨询等相关专业高级职称或注册类证书，每提供一个专业证书得 2 分，本项最高得10分。</w:t>
            </w:r>
          </w:p>
          <w:p w14:paraId="06E5B3B9">
            <w:pPr>
              <w:widowControl/>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18"/>
                <w:sz w:val="21"/>
                <w:szCs w:val="21"/>
                <w:highlight w:val="none"/>
                <w:lang w:val="en-US" w:eastAsia="zh-CN" w:bidi="ar-SA"/>
              </w:rPr>
              <w:t>注：拟派项目负责人不得计入项目组成员，不得以项目组成员身份参与加分，项目组成员不得重复累计加分。（以上投标文件内须附项目组成员相关证书、劳动合同及本单位近三个月任意一个月为其缴纳的社保证明原件扫描件）</w:t>
            </w:r>
          </w:p>
        </w:tc>
      </w:tr>
      <w:tr w14:paraId="6E21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759" w:type="dxa"/>
            <w:gridSpan w:val="3"/>
            <w:tcBorders>
              <w:left w:val="single" w:color="auto" w:sz="4" w:space="0"/>
              <w:right w:val="single" w:color="auto" w:sz="4" w:space="0"/>
            </w:tcBorders>
            <w:vAlign w:val="center"/>
          </w:tcPr>
          <w:p w14:paraId="00541C1C">
            <w:pPr>
              <w:widowControl/>
              <w:spacing w:line="400" w:lineRule="exact"/>
              <w:rPr>
                <w:rFonts w:hint="eastAsia" w:ascii="宋体" w:hAnsi="宋体" w:eastAsia="宋体" w:cs="宋体"/>
                <w:color w:val="auto"/>
                <w:kern w:val="18"/>
                <w:sz w:val="21"/>
                <w:szCs w:val="21"/>
                <w:highlight w:val="none"/>
                <w:lang w:val="en-US" w:eastAsia="zh-CN" w:bidi="ar-SA"/>
              </w:rPr>
            </w:pPr>
            <w:r>
              <w:rPr>
                <w:rStyle w:val="37"/>
                <w:rFonts w:hint="eastAsia" w:ascii="Times New Roman" w:hAnsi="Times New Roman" w:eastAsia="宋体" w:cs="Times New Roman"/>
                <w:color w:val="auto"/>
                <w:highlight w:val="none"/>
                <w:lang w:eastAsia="zh-CN"/>
              </w:rPr>
              <w:t>备注：</w:t>
            </w:r>
            <w:r>
              <w:rPr>
                <w:rStyle w:val="37"/>
                <w:rFonts w:hint="eastAsia" w:ascii="Times New Roman" w:hAnsi="Times New Roman" w:eastAsia="宋体" w:cs="Times New Roman"/>
                <w:color w:val="auto"/>
                <w:highlight w:val="none"/>
                <w:lang w:val="en-US" w:eastAsia="zh-CN"/>
              </w:rPr>
              <w:t>以上项目</w:t>
            </w:r>
            <w:r>
              <w:rPr>
                <w:rStyle w:val="37"/>
                <w:rFonts w:hint="eastAsia" w:ascii="Times New Roman" w:hAnsi="Times New Roman" w:eastAsia="宋体" w:cs="Times New Roman"/>
                <w:color w:val="auto"/>
                <w:highlight w:val="none"/>
                <w:lang w:eastAsia="zh-CN"/>
              </w:rPr>
              <w:t>若有缺项的，该分项</w:t>
            </w:r>
            <w:r>
              <w:rPr>
                <w:rStyle w:val="37"/>
                <w:rFonts w:hint="eastAsia" w:ascii="Times New Roman" w:hAnsi="Times New Roman" w:eastAsia="宋体" w:cs="Times New Roman"/>
                <w:color w:val="auto"/>
                <w:highlight w:val="none"/>
                <w:lang w:val="en-US" w:eastAsia="zh-CN"/>
              </w:rPr>
              <w:t>计</w:t>
            </w:r>
            <w:r>
              <w:rPr>
                <w:rStyle w:val="37"/>
                <w:rFonts w:hint="eastAsia" w:ascii="Times New Roman" w:hAnsi="Times New Roman" w:eastAsia="宋体" w:cs="Times New Roman"/>
                <w:color w:val="auto"/>
                <w:highlight w:val="none"/>
                <w:lang w:eastAsia="zh-CN"/>
              </w:rPr>
              <w:t>0 分。</w:t>
            </w:r>
          </w:p>
        </w:tc>
      </w:tr>
    </w:tbl>
    <w:p w14:paraId="20DC88C6">
      <w:pPr>
        <w:pStyle w:val="3"/>
        <w:spacing w:before="10" w:after="1"/>
        <w:rPr>
          <w:sz w:val="13"/>
        </w:rPr>
      </w:pPr>
    </w:p>
    <w:p w14:paraId="50F66F4D">
      <w:pPr>
        <w:spacing w:line="240" w:lineRule="auto"/>
        <w:ind w:firstLine="391" w:firstLineChars="177"/>
        <w:rPr>
          <w:sz w:val="24"/>
          <w:szCs w:val="24"/>
        </w:rPr>
      </w:pPr>
      <w:r>
        <w:rPr>
          <w:rFonts w:hint="eastAsia" w:ascii="宋体" w:hAnsi="宋体" w:eastAsia="宋体"/>
          <w:b/>
          <w:bCs/>
        </w:rPr>
        <w:t>注：此上要求提供的证明材料均可以扫描件或复印件形式在</w:t>
      </w:r>
      <w:r>
        <w:rPr>
          <w:rFonts w:hint="eastAsia" w:ascii="宋体" w:hAnsi="宋体" w:eastAsia="宋体"/>
          <w:b/>
          <w:bCs/>
          <w:lang w:val="en-US" w:eastAsia="zh-CN"/>
        </w:rPr>
        <w:t>响应</w:t>
      </w:r>
      <w:r>
        <w:rPr>
          <w:rFonts w:hint="eastAsia" w:ascii="宋体" w:hAnsi="宋体" w:eastAsia="宋体"/>
          <w:b/>
          <w:bCs/>
        </w:rPr>
        <w:t>文件中提供。供应商必须在响应文件中提供完整的扫描件，否则不予认同。</w:t>
      </w:r>
    </w:p>
    <w:p w14:paraId="044B7922">
      <w:pPr>
        <w:autoSpaceDE/>
        <w:autoSpaceDN/>
        <w:spacing w:line="360" w:lineRule="auto"/>
        <w:jc w:val="center"/>
        <w:rPr>
          <w:sz w:val="24"/>
          <w:szCs w:val="24"/>
        </w:rPr>
      </w:pPr>
    </w:p>
    <w:p w14:paraId="15A0B77E">
      <w:pPr>
        <w:autoSpaceDE/>
        <w:autoSpaceDN/>
        <w:spacing w:line="360" w:lineRule="auto"/>
        <w:jc w:val="center"/>
        <w:rPr>
          <w:sz w:val="24"/>
          <w:szCs w:val="24"/>
        </w:rPr>
      </w:pPr>
      <w:r>
        <w:rPr>
          <w:rFonts w:hint="eastAsia"/>
          <w:sz w:val="24"/>
          <w:szCs w:val="24"/>
        </w:rPr>
        <w:t>1. 评标方法</w:t>
      </w:r>
    </w:p>
    <w:p w14:paraId="131F93B1">
      <w:pPr>
        <w:autoSpaceDE/>
        <w:autoSpaceDN/>
        <w:spacing w:line="360" w:lineRule="auto"/>
        <w:ind w:firstLine="480" w:firstLineChars="200"/>
        <w:rPr>
          <w:sz w:val="24"/>
          <w:szCs w:val="24"/>
        </w:rPr>
      </w:pPr>
      <w:r>
        <w:rPr>
          <w:rFonts w:hint="eastAsia"/>
          <w:sz w:val="24"/>
          <w:szCs w:val="24"/>
        </w:rPr>
        <w:t>本次评标采用综合评估法。磋商小组对满足招标文件实质性要求的磋商文件，按照本章第2.2款规定的评分标准进行打分，并按得分由高到低顺序推荐成交候选人，或根据采购人授权直接确定成交人，但投标总价低于其成本的除外。综合评分相等时，以投标总价低的优先；投标总价也相等的，由采购人自行确定。</w:t>
      </w:r>
    </w:p>
    <w:p w14:paraId="53B880E5">
      <w:pPr>
        <w:autoSpaceDE/>
        <w:autoSpaceDN/>
        <w:spacing w:line="360" w:lineRule="auto"/>
        <w:jc w:val="center"/>
        <w:rPr>
          <w:sz w:val="24"/>
          <w:szCs w:val="24"/>
        </w:rPr>
      </w:pPr>
      <w:bookmarkStart w:id="94" w:name="_Toc5019"/>
      <w:bookmarkStart w:id="95" w:name="_Toc18801"/>
      <w:bookmarkStart w:id="96" w:name="_Toc187"/>
      <w:bookmarkStart w:id="97" w:name="_Toc9228"/>
      <w:bookmarkStart w:id="98" w:name="_Toc32441"/>
      <w:r>
        <w:rPr>
          <w:rFonts w:hint="eastAsia"/>
          <w:sz w:val="24"/>
          <w:szCs w:val="24"/>
        </w:rPr>
        <w:t>2、评审标准</w:t>
      </w:r>
      <w:bookmarkEnd w:id="94"/>
      <w:bookmarkEnd w:id="95"/>
      <w:bookmarkEnd w:id="96"/>
      <w:bookmarkEnd w:id="97"/>
      <w:bookmarkEnd w:id="98"/>
    </w:p>
    <w:p w14:paraId="347EE9E3">
      <w:pPr>
        <w:pStyle w:val="19"/>
        <w:autoSpaceDE/>
        <w:autoSpaceDN/>
        <w:spacing w:line="360" w:lineRule="auto"/>
        <w:rPr>
          <w:rFonts w:hAnsi="宋体"/>
          <w:b/>
          <w:bCs/>
          <w:sz w:val="24"/>
          <w:szCs w:val="24"/>
        </w:rPr>
      </w:pPr>
      <w:r>
        <w:rPr>
          <w:rFonts w:hint="eastAsia" w:hAnsi="宋体"/>
          <w:b/>
          <w:bCs/>
          <w:sz w:val="24"/>
          <w:szCs w:val="24"/>
        </w:rPr>
        <w:t>2.1 初步评审标准</w:t>
      </w:r>
    </w:p>
    <w:p w14:paraId="0EBAC724">
      <w:pPr>
        <w:autoSpaceDE/>
        <w:autoSpaceDN/>
        <w:spacing w:line="360" w:lineRule="auto"/>
        <w:ind w:firstLine="480" w:firstLineChars="200"/>
        <w:rPr>
          <w:sz w:val="24"/>
          <w:szCs w:val="24"/>
        </w:rPr>
      </w:pPr>
      <w:r>
        <w:rPr>
          <w:rFonts w:hint="eastAsia"/>
          <w:sz w:val="24"/>
          <w:szCs w:val="24"/>
        </w:rPr>
        <w:t>2.1.1 资格评审标准：见评标办法前附表。</w:t>
      </w:r>
    </w:p>
    <w:p w14:paraId="0958B819">
      <w:pPr>
        <w:autoSpaceDE/>
        <w:autoSpaceDN/>
        <w:spacing w:line="360" w:lineRule="auto"/>
        <w:ind w:firstLine="480" w:firstLineChars="200"/>
        <w:rPr>
          <w:sz w:val="24"/>
          <w:szCs w:val="24"/>
        </w:rPr>
      </w:pPr>
      <w:r>
        <w:rPr>
          <w:rFonts w:hint="eastAsia"/>
          <w:sz w:val="24"/>
          <w:szCs w:val="24"/>
        </w:rPr>
        <w:t xml:space="preserve">2.1.2 </w:t>
      </w:r>
      <w:r>
        <w:rPr>
          <w:rFonts w:hint="eastAsia"/>
          <w:sz w:val="24"/>
          <w:szCs w:val="24"/>
          <w:lang w:val="en-US"/>
        </w:rPr>
        <w:t>符合性</w:t>
      </w:r>
      <w:r>
        <w:rPr>
          <w:rFonts w:hint="eastAsia"/>
          <w:sz w:val="24"/>
          <w:szCs w:val="24"/>
        </w:rPr>
        <w:t>评审标准：见评标办法前附表。</w:t>
      </w:r>
    </w:p>
    <w:p w14:paraId="6115F28F">
      <w:pPr>
        <w:pStyle w:val="19"/>
        <w:autoSpaceDE/>
        <w:autoSpaceDN/>
        <w:spacing w:line="360" w:lineRule="auto"/>
        <w:rPr>
          <w:rFonts w:hAnsi="宋体"/>
          <w:b/>
          <w:bCs/>
          <w:sz w:val="24"/>
          <w:szCs w:val="24"/>
        </w:rPr>
      </w:pPr>
      <w:r>
        <w:rPr>
          <w:rFonts w:hint="eastAsia" w:hAnsi="宋体"/>
          <w:b/>
          <w:bCs/>
          <w:sz w:val="24"/>
          <w:szCs w:val="24"/>
        </w:rPr>
        <w:t>2.2 分值构成与评分标准</w:t>
      </w:r>
    </w:p>
    <w:p w14:paraId="37956952">
      <w:pPr>
        <w:autoSpaceDE/>
        <w:autoSpaceDN/>
        <w:spacing w:line="360" w:lineRule="auto"/>
        <w:ind w:firstLine="480" w:firstLineChars="200"/>
        <w:rPr>
          <w:sz w:val="24"/>
          <w:szCs w:val="24"/>
        </w:rPr>
      </w:pPr>
      <w:r>
        <w:rPr>
          <w:rFonts w:hint="eastAsia"/>
          <w:sz w:val="24"/>
          <w:szCs w:val="24"/>
        </w:rPr>
        <w:t>2.2.1 分值构成</w:t>
      </w:r>
    </w:p>
    <w:p w14:paraId="0863A0B2">
      <w:pPr>
        <w:numPr>
          <w:ilvl w:val="2"/>
          <w:numId w:val="7"/>
        </w:numPr>
        <w:tabs>
          <w:tab w:val="left" w:pos="1080"/>
        </w:tabs>
        <w:autoSpaceDE/>
        <w:autoSpaceDN/>
        <w:spacing w:line="360" w:lineRule="auto"/>
        <w:ind w:hanging="1200"/>
        <w:rPr>
          <w:sz w:val="24"/>
          <w:szCs w:val="24"/>
        </w:rPr>
      </w:pPr>
      <w:r>
        <w:rPr>
          <w:rFonts w:hint="eastAsia"/>
          <w:sz w:val="24"/>
          <w:szCs w:val="24"/>
        </w:rPr>
        <w:t>技术</w:t>
      </w:r>
      <w:r>
        <w:rPr>
          <w:rFonts w:hint="eastAsia"/>
          <w:sz w:val="24"/>
          <w:szCs w:val="24"/>
          <w:lang w:val="en-US" w:eastAsia="zh-CN"/>
        </w:rPr>
        <w:t>部分</w:t>
      </w:r>
      <w:r>
        <w:rPr>
          <w:rFonts w:hint="eastAsia"/>
          <w:sz w:val="24"/>
          <w:szCs w:val="24"/>
        </w:rPr>
        <w:t>：见评标办法前附表；</w:t>
      </w:r>
    </w:p>
    <w:p w14:paraId="76CF868C">
      <w:pPr>
        <w:numPr>
          <w:ilvl w:val="2"/>
          <w:numId w:val="7"/>
        </w:numPr>
        <w:tabs>
          <w:tab w:val="left" w:pos="1080"/>
        </w:tabs>
        <w:autoSpaceDE/>
        <w:autoSpaceDN/>
        <w:spacing w:line="360" w:lineRule="auto"/>
        <w:ind w:hanging="1200"/>
        <w:rPr>
          <w:sz w:val="24"/>
          <w:szCs w:val="24"/>
        </w:rPr>
      </w:pPr>
      <w:r>
        <w:rPr>
          <w:rFonts w:hint="eastAsia"/>
          <w:sz w:val="24"/>
          <w:szCs w:val="24"/>
        </w:rPr>
        <w:t>商务</w:t>
      </w:r>
      <w:r>
        <w:rPr>
          <w:rFonts w:hint="eastAsia"/>
          <w:sz w:val="24"/>
          <w:szCs w:val="24"/>
          <w:lang w:val="en-US" w:eastAsia="zh-CN"/>
        </w:rPr>
        <w:t>部分</w:t>
      </w:r>
      <w:r>
        <w:rPr>
          <w:rFonts w:hint="eastAsia"/>
          <w:sz w:val="24"/>
          <w:szCs w:val="24"/>
        </w:rPr>
        <w:t>（投标报价）：见评标办法前附表；</w:t>
      </w:r>
    </w:p>
    <w:p w14:paraId="40F3C089">
      <w:pPr>
        <w:numPr>
          <w:ilvl w:val="2"/>
          <w:numId w:val="7"/>
        </w:numPr>
        <w:tabs>
          <w:tab w:val="left" w:pos="1080"/>
        </w:tabs>
        <w:autoSpaceDE/>
        <w:autoSpaceDN/>
        <w:spacing w:line="360" w:lineRule="auto"/>
        <w:ind w:hanging="1200"/>
        <w:rPr>
          <w:sz w:val="24"/>
          <w:szCs w:val="24"/>
        </w:rPr>
      </w:pPr>
      <w:r>
        <w:rPr>
          <w:rFonts w:hint="eastAsia"/>
          <w:sz w:val="24"/>
          <w:szCs w:val="24"/>
        </w:rPr>
        <w:t>综合</w:t>
      </w:r>
      <w:r>
        <w:rPr>
          <w:rFonts w:hint="eastAsia"/>
          <w:sz w:val="24"/>
          <w:szCs w:val="24"/>
          <w:lang w:val="en-US" w:eastAsia="zh-CN"/>
        </w:rPr>
        <w:t>部分</w:t>
      </w:r>
      <w:r>
        <w:rPr>
          <w:rFonts w:hint="eastAsia"/>
          <w:sz w:val="24"/>
          <w:szCs w:val="24"/>
        </w:rPr>
        <w:t>：见评标办法前附表；</w:t>
      </w:r>
    </w:p>
    <w:p w14:paraId="0B601757">
      <w:pPr>
        <w:autoSpaceDE/>
        <w:autoSpaceDN/>
        <w:spacing w:line="360" w:lineRule="auto"/>
        <w:ind w:firstLine="480" w:firstLineChars="200"/>
        <w:rPr>
          <w:sz w:val="24"/>
          <w:szCs w:val="24"/>
        </w:rPr>
      </w:pPr>
      <w:r>
        <w:rPr>
          <w:rFonts w:hint="eastAsia"/>
          <w:sz w:val="24"/>
          <w:szCs w:val="24"/>
        </w:rPr>
        <w:t>2.2.2 评标基准价</w:t>
      </w:r>
    </w:p>
    <w:p w14:paraId="49020E6C">
      <w:pPr>
        <w:autoSpaceDE/>
        <w:autoSpaceDN/>
        <w:spacing w:line="360" w:lineRule="auto"/>
        <w:ind w:firstLine="480" w:firstLineChars="200"/>
        <w:rPr>
          <w:sz w:val="24"/>
          <w:szCs w:val="24"/>
        </w:rPr>
      </w:pPr>
      <w:r>
        <w:rPr>
          <w:rFonts w:hint="eastAsia"/>
          <w:sz w:val="24"/>
          <w:szCs w:val="24"/>
        </w:rPr>
        <w:t xml:space="preserve">评标基准价计算方法：见评标办法前附表。 </w:t>
      </w:r>
    </w:p>
    <w:p w14:paraId="02092309">
      <w:pPr>
        <w:autoSpaceDE/>
        <w:autoSpaceDN/>
        <w:spacing w:line="360" w:lineRule="auto"/>
        <w:ind w:firstLine="480" w:firstLineChars="200"/>
        <w:rPr>
          <w:sz w:val="24"/>
          <w:szCs w:val="24"/>
        </w:rPr>
      </w:pPr>
      <w:r>
        <w:rPr>
          <w:rFonts w:hint="eastAsia"/>
          <w:sz w:val="24"/>
          <w:szCs w:val="24"/>
        </w:rPr>
        <w:t>2.2.3 评分标准</w:t>
      </w:r>
    </w:p>
    <w:p w14:paraId="146DF1AD">
      <w:pPr>
        <w:autoSpaceDE/>
        <w:autoSpaceDN/>
        <w:spacing w:line="360" w:lineRule="auto"/>
        <w:rPr>
          <w:sz w:val="24"/>
          <w:szCs w:val="24"/>
        </w:rPr>
      </w:pPr>
      <w:r>
        <w:rPr>
          <w:rFonts w:hint="eastAsia"/>
          <w:sz w:val="24"/>
          <w:szCs w:val="24"/>
        </w:rPr>
        <w:t xml:space="preserve">   （1）技术</w:t>
      </w:r>
      <w:r>
        <w:rPr>
          <w:rFonts w:hint="eastAsia"/>
          <w:sz w:val="24"/>
          <w:szCs w:val="24"/>
          <w:lang w:val="en-US" w:eastAsia="zh-CN"/>
        </w:rPr>
        <w:t>部分</w:t>
      </w:r>
      <w:r>
        <w:rPr>
          <w:rFonts w:hint="eastAsia"/>
          <w:sz w:val="24"/>
          <w:szCs w:val="24"/>
        </w:rPr>
        <w:t>：见评标办法前附表；</w:t>
      </w:r>
    </w:p>
    <w:p w14:paraId="20277687">
      <w:pPr>
        <w:autoSpaceDE/>
        <w:autoSpaceDN/>
        <w:spacing w:line="360" w:lineRule="auto"/>
        <w:rPr>
          <w:sz w:val="24"/>
          <w:szCs w:val="24"/>
        </w:rPr>
      </w:pPr>
      <w:r>
        <w:rPr>
          <w:rFonts w:hint="eastAsia"/>
          <w:sz w:val="24"/>
          <w:szCs w:val="24"/>
        </w:rPr>
        <w:t xml:space="preserve">   （2）商务</w:t>
      </w:r>
      <w:r>
        <w:rPr>
          <w:rFonts w:hint="eastAsia"/>
          <w:sz w:val="24"/>
          <w:szCs w:val="24"/>
          <w:lang w:val="en-US" w:eastAsia="zh-CN"/>
        </w:rPr>
        <w:t>部分</w:t>
      </w:r>
      <w:r>
        <w:rPr>
          <w:rFonts w:hint="eastAsia"/>
          <w:sz w:val="24"/>
          <w:szCs w:val="24"/>
        </w:rPr>
        <w:t>（投标报价）：见评标办法前附表；</w:t>
      </w:r>
    </w:p>
    <w:p w14:paraId="02DC0E20">
      <w:pPr>
        <w:autoSpaceDE/>
        <w:autoSpaceDN/>
        <w:spacing w:line="360" w:lineRule="auto"/>
        <w:rPr>
          <w:sz w:val="24"/>
          <w:szCs w:val="24"/>
        </w:rPr>
      </w:pPr>
      <w:r>
        <w:rPr>
          <w:rFonts w:hint="eastAsia"/>
          <w:sz w:val="24"/>
          <w:szCs w:val="24"/>
          <w:lang w:val="en-US"/>
        </w:rPr>
        <w:t xml:space="preserve">   （3）</w:t>
      </w:r>
      <w:r>
        <w:rPr>
          <w:rFonts w:hint="eastAsia"/>
          <w:sz w:val="24"/>
          <w:szCs w:val="24"/>
        </w:rPr>
        <w:t>综合</w:t>
      </w:r>
      <w:r>
        <w:rPr>
          <w:rFonts w:hint="eastAsia"/>
          <w:sz w:val="24"/>
          <w:szCs w:val="24"/>
          <w:lang w:val="en-US" w:eastAsia="zh-CN"/>
        </w:rPr>
        <w:t>部分</w:t>
      </w:r>
      <w:r>
        <w:rPr>
          <w:rFonts w:hint="eastAsia"/>
          <w:sz w:val="24"/>
          <w:szCs w:val="24"/>
        </w:rPr>
        <w:t>：见评标办法前附表；</w:t>
      </w:r>
    </w:p>
    <w:p w14:paraId="0C77BB0A">
      <w:pPr>
        <w:autoSpaceDE/>
        <w:autoSpaceDN/>
        <w:spacing w:line="360" w:lineRule="auto"/>
        <w:jc w:val="center"/>
        <w:rPr>
          <w:sz w:val="24"/>
          <w:szCs w:val="24"/>
        </w:rPr>
      </w:pPr>
      <w:bookmarkStart w:id="99" w:name="_Toc1014"/>
      <w:bookmarkStart w:id="100" w:name="_Toc13656"/>
      <w:bookmarkStart w:id="101" w:name="_Toc26330"/>
      <w:bookmarkStart w:id="102" w:name="_Toc13462"/>
      <w:bookmarkStart w:id="103" w:name="_Toc27896"/>
      <w:bookmarkStart w:id="104" w:name="_Toc9982"/>
      <w:bookmarkStart w:id="105" w:name="_Toc21133"/>
      <w:bookmarkStart w:id="106" w:name="_Toc2432"/>
      <w:r>
        <w:rPr>
          <w:rFonts w:hint="eastAsia"/>
          <w:sz w:val="24"/>
          <w:szCs w:val="24"/>
        </w:rPr>
        <w:t>3、评标程序</w:t>
      </w:r>
      <w:bookmarkEnd w:id="99"/>
      <w:bookmarkEnd w:id="100"/>
      <w:bookmarkEnd w:id="101"/>
      <w:bookmarkEnd w:id="102"/>
      <w:bookmarkEnd w:id="103"/>
      <w:bookmarkEnd w:id="104"/>
      <w:bookmarkEnd w:id="105"/>
      <w:bookmarkEnd w:id="106"/>
    </w:p>
    <w:p w14:paraId="072C4471">
      <w:pPr>
        <w:pStyle w:val="19"/>
        <w:autoSpaceDE/>
        <w:autoSpaceDN/>
        <w:spacing w:line="360" w:lineRule="auto"/>
        <w:rPr>
          <w:rFonts w:hAnsi="宋体"/>
          <w:b/>
          <w:bCs/>
          <w:sz w:val="24"/>
          <w:szCs w:val="24"/>
        </w:rPr>
      </w:pPr>
      <w:r>
        <w:rPr>
          <w:rFonts w:hint="eastAsia" w:hAnsi="宋体"/>
          <w:b/>
          <w:bCs/>
          <w:sz w:val="24"/>
          <w:szCs w:val="24"/>
        </w:rPr>
        <w:t>3.1 初步评审</w:t>
      </w:r>
    </w:p>
    <w:p w14:paraId="6233A864">
      <w:pPr>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只有通过资格审查的</w:t>
      </w:r>
      <w:r>
        <w:rPr>
          <w:rFonts w:hint="eastAsia" w:ascii="宋体" w:hAnsi="宋体" w:eastAsia="宋体" w:cs="宋体"/>
          <w:sz w:val="24"/>
          <w:szCs w:val="24"/>
          <w:lang w:eastAsia="zh-CN"/>
        </w:rPr>
        <w:t>供应商</w:t>
      </w:r>
      <w:r>
        <w:rPr>
          <w:rFonts w:hint="eastAsia" w:ascii="宋体" w:hAnsi="宋体" w:eastAsia="宋体" w:cs="宋体"/>
          <w:sz w:val="24"/>
          <w:szCs w:val="24"/>
        </w:rPr>
        <w:t>才能进入</w:t>
      </w:r>
      <w:r>
        <w:rPr>
          <w:rFonts w:hint="eastAsia" w:ascii="宋体" w:hAnsi="宋体" w:eastAsia="宋体" w:cs="宋体"/>
          <w:sz w:val="24"/>
          <w:szCs w:val="24"/>
          <w:lang w:eastAsia="zh-CN"/>
        </w:rPr>
        <w:t>符合性评审</w:t>
      </w:r>
      <w:r>
        <w:rPr>
          <w:rFonts w:hint="eastAsia" w:ascii="宋体" w:hAnsi="宋体" w:eastAsia="宋体" w:cs="宋体"/>
          <w:sz w:val="24"/>
          <w:szCs w:val="24"/>
        </w:rPr>
        <w:t>。评标委员会依据</w:t>
      </w:r>
      <w:r>
        <w:rPr>
          <w:rFonts w:hint="eastAsia" w:ascii="宋体" w:hAnsi="宋体" w:eastAsia="宋体" w:cs="宋体"/>
          <w:sz w:val="24"/>
          <w:szCs w:val="24"/>
          <w:lang w:val="en-US" w:eastAsia="zh-CN"/>
        </w:rPr>
        <w:t>2.1.2</w:t>
      </w:r>
      <w:r>
        <w:rPr>
          <w:rFonts w:hint="eastAsia" w:ascii="宋体" w:hAnsi="宋体" w:eastAsia="宋体" w:cs="宋体"/>
          <w:sz w:val="24"/>
          <w:szCs w:val="24"/>
        </w:rPr>
        <w:t>规定的内容和标准对</w:t>
      </w:r>
      <w:r>
        <w:rPr>
          <w:rFonts w:hint="eastAsia" w:ascii="宋体" w:hAnsi="宋体" w:eastAsia="宋体" w:cs="宋体"/>
          <w:sz w:val="24"/>
          <w:szCs w:val="24"/>
          <w:lang w:eastAsia="zh-CN"/>
        </w:rPr>
        <w:t>投标文件</w:t>
      </w:r>
      <w:r>
        <w:rPr>
          <w:rFonts w:hint="eastAsia" w:ascii="宋体" w:hAnsi="宋体" w:eastAsia="宋体" w:cs="宋体"/>
          <w:sz w:val="24"/>
          <w:szCs w:val="24"/>
        </w:rPr>
        <w:t>进行</w:t>
      </w:r>
      <w:r>
        <w:rPr>
          <w:rFonts w:hint="eastAsia" w:ascii="宋体" w:hAnsi="宋体" w:eastAsia="宋体" w:cs="宋体"/>
          <w:sz w:val="24"/>
          <w:szCs w:val="24"/>
          <w:lang w:eastAsia="zh-CN"/>
        </w:rPr>
        <w:t>符合性审查</w:t>
      </w:r>
      <w:r>
        <w:rPr>
          <w:rFonts w:hint="eastAsia" w:ascii="宋体" w:hAnsi="宋体" w:eastAsia="宋体" w:cs="宋体"/>
          <w:sz w:val="24"/>
          <w:szCs w:val="24"/>
        </w:rPr>
        <w:t>。有一项不符合评审标准的，其投标做无效</w:t>
      </w:r>
      <w:r>
        <w:rPr>
          <w:rFonts w:hint="eastAsia" w:ascii="宋体" w:hAnsi="宋体" w:eastAsia="宋体" w:cs="宋体"/>
          <w:sz w:val="24"/>
          <w:szCs w:val="24"/>
          <w:lang w:eastAsia="zh-CN"/>
        </w:rPr>
        <w:t>投标</w:t>
      </w:r>
      <w:r>
        <w:rPr>
          <w:rFonts w:hint="eastAsia" w:ascii="宋体" w:hAnsi="宋体" w:eastAsia="宋体" w:cs="宋体"/>
          <w:sz w:val="24"/>
          <w:szCs w:val="24"/>
        </w:rPr>
        <w:t>处理，不得进入详细评审。</w:t>
      </w:r>
    </w:p>
    <w:p w14:paraId="4FDD5E95">
      <w:pPr>
        <w:autoSpaceDE/>
        <w:autoSpaceDN/>
        <w:spacing w:line="360" w:lineRule="auto"/>
        <w:ind w:firstLine="480" w:firstLineChars="200"/>
        <w:rPr>
          <w:sz w:val="24"/>
          <w:szCs w:val="24"/>
          <w:u w:val="none"/>
        </w:rPr>
      </w:pPr>
      <w:r>
        <w:rPr>
          <w:rFonts w:hint="eastAsia"/>
          <w:sz w:val="24"/>
          <w:szCs w:val="24"/>
          <w:u w:val="none"/>
        </w:rPr>
        <w:t>3.1.2 供应商有以下情形之一的，其投标作废标处理：</w:t>
      </w:r>
    </w:p>
    <w:p w14:paraId="2DD406C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）串通或弄虚作假或有其他违法行为的；</w:t>
      </w:r>
    </w:p>
    <w:p w14:paraId="68D0011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）不按</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要求澄清、说明或补正的；</w:t>
      </w:r>
    </w:p>
    <w:p w14:paraId="0125E46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）未按规定格式填写、内容不全或关键字迹模糊、无法辨认的；</w:t>
      </w:r>
    </w:p>
    <w:p w14:paraId="7A987F5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附有采购人不能接受的条件；</w:t>
      </w:r>
    </w:p>
    <w:p w14:paraId="564598F1">
      <w:pPr>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u w:val="none"/>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规定的其他实质性要求。</w:t>
      </w:r>
    </w:p>
    <w:p w14:paraId="589BD3C0">
      <w:pPr>
        <w:autoSpaceDE/>
        <w:autoSpaceDN/>
        <w:spacing w:line="360" w:lineRule="auto"/>
        <w:ind w:firstLine="480" w:firstLineChars="200"/>
        <w:rPr>
          <w:sz w:val="24"/>
          <w:szCs w:val="24"/>
        </w:rPr>
      </w:pPr>
      <w:r>
        <w:rPr>
          <w:rFonts w:hint="eastAsia"/>
          <w:sz w:val="24"/>
          <w:szCs w:val="24"/>
        </w:rPr>
        <w:t xml:space="preserve">3.1.3 </w:t>
      </w:r>
      <w:r>
        <w:rPr>
          <w:rFonts w:hint="eastAsia"/>
          <w:sz w:val="24"/>
          <w:szCs w:val="24"/>
          <w:lang w:val="en-US"/>
        </w:rPr>
        <w:t>投标报价</w:t>
      </w:r>
      <w:r>
        <w:rPr>
          <w:rFonts w:hint="eastAsia"/>
          <w:sz w:val="24"/>
          <w:szCs w:val="24"/>
        </w:rPr>
        <w:t>有算术错误的，磋商小组按以下原则对</w:t>
      </w:r>
      <w:r>
        <w:rPr>
          <w:rFonts w:hint="eastAsia"/>
          <w:sz w:val="24"/>
          <w:szCs w:val="24"/>
          <w:lang w:val="en-US"/>
        </w:rPr>
        <w:t>投标报价</w:t>
      </w:r>
      <w:r>
        <w:rPr>
          <w:rFonts w:hint="eastAsia"/>
          <w:sz w:val="24"/>
          <w:szCs w:val="24"/>
        </w:rPr>
        <w:t>进行修正，修正的价格经投标人书面确认后具有约束力。供应商不接受修正价格的，其投标作废标处理。</w:t>
      </w:r>
    </w:p>
    <w:p w14:paraId="3F5C21BC">
      <w:pPr>
        <w:pStyle w:val="15"/>
        <w:autoSpaceDE/>
        <w:autoSpaceDN/>
        <w:snapToGrid w:val="0"/>
        <w:spacing w:line="360" w:lineRule="auto"/>
        <w:ind w:firstLine="480"/>
        <w:rPr>
          <w:rFonts w:eastAsia="宋体"/>
          <w:sz w:val="24"/>
        </w:rPr>
      </w:pPr>
      <w:r>
        <w:rPr>
          <w:rFonts w:hint="eastAsia" w:eastAsia="宋体"/>
          <w:sz w:val="24"/>
        </w:rPr>
        <w:t>(1）磋商文件中的大写金额与小写金额不一致的，以大写金额为准；</w:t>
      </w:r>
    </w:p>
    <w:p w14:paraId="3E2DDF8D">
      <w:pPr>
        <w:pStyle w:val="15"/>
        <w:autoSpaceDE/>
        <w:autoSpaceDN/>
        <w:snapToGrid w:val="0"/>
        <w:spacing w:line="360" w:lineRule="auto"/>
        <w:ind w:firstLine="480"/>
        <w:rPr>
          <w:rFonts w:eastAsia="宋体"/>
          <w:sz w:val="24"/>
        </w:rPr>
      </w:pPr>
      <w:r>
        <w:rPr>
          <w:rFonts w:hint="eastAsia" w:eastAsia="宋体"/>
          <w:sz w:val="24"/>
        </w:rPr>
        <w:t>(2）总价金额与依据单价计算出的结果不一致的，以单价金额为准修正总价，但单价金额小数点有明显错误的除外。</w:t>
      </w:r>
    </w:p>
    <w:p w14:paraId="1C725ACB">
      <w:pPr>
        <w:pStyle w:val="19"/>
        <w:autoSpaceDE/>
        <w:autoSpaceDN/>
        <w:spacing w:line="360" w:lineRule="auto"/>
        <w:rPr>
          <w:rFonts w:hAnsi="宋体"/>
          <w:b/>
          <w:bCs/>
          <w:sz w:val="24"/>
          <w:szCs w:val="24"/>
        </w:rPr>
      </w:pPr>
      <w:r>
        <w:rPr>
          <w:rFonts w:hint="eastAsia" w:hAnsi="宋体"/>
          <w:b/>
          <w:bCs/>
          <w:sz w:val="24"/>
          <w:szCs w:val="24"/>
        </w:rPr>
        <w:t>3.2 详细评审</w:t>
      </w:r>
    </w:p>
    <w:p w14:paraId="384E473D">
      <w:pPr>
        <w:autoSpaceDE/>
        <w:autoSpaceDN/>
        <w:spacing w:line="360" w:lineRule="auto"/>
        <w:ind w:firstLine="480" w:firstLineChars="200"/>
        <w:rPr>
          <w:sz w:val="24"/>
          <w:szCs w:val="24"/>
        </w:rPr>
      </w:pPr>
      <w:r>
        <w:rPr>
          <w:rFonts w:hint="eastAsia"/>
          <w:sz w:val="24"/>
          <w:szCs w:val="24"/>
        </w:rPr>
        <w:t>3.2.1 磋商小组按本章第2.2款规定的量化因素和分值进行打分，并计算出综合评估得分。</w:t>
      </w:r>
    </w:p>
    <w:p w14:paraId="3B01F814">
      <w:pPr>
        <w:numPr>
          <w:ilvl w:val="0"/>
          <w:numId w:val="8"/>
        </w:numPr>
        <w:autoSpaceDE/>
        <w:autoSpaceDN/>
        <w:spacing w:line="360" w:lineRule="auto"/>
        <w:rPr>
          <w:sz w:val="24"/>
          <w:szCs w:val="24"/>
        </w:rPr>
      </w:pPr>
      <w:r>
        <w:rPr>
          <w:rFonts w:hint="eastAsia"/>
          <w:sz w:val="24"/>
          <w:szCs w:val="24"/>
        </w:rPr>
        <w:t>按本章</w:t>
      </w:r>
      <w:r>
        <w:rPr>
          <w:rFonts w:hint="eastAsia"/>
          <w:sz w:val="24"/>
          <w:szCs w:val="24"/>
          <w:lang w:val="en-US"/>
        </w:rPr>
        <w:t>评分办法附表</w:t>
      </w:r>
      <w:r>
        <w:rPr>
          <w:rFonts w:hint="eastAsia"/>
          <w:sz w:val="24"/>
          <w:szCs w:val="24"/>
        </w:rPr>
        <w:t>规定的评审因素和分值对技术</w:t>
      </w:r>
      <w:r>
        <w:rPr>
          <w:rFonts w:hint="eastAsia"/>
          <w:sz w:val="24"/>
          <w:szCs w:val="24"/>
          <w:lang w:val="en-US" w:eastAsia="zh-CN"/>
        </w:rPr>
        <w:t>部分</w:t>
      </w:r>
      <w:r>
        <w:rPr>
          <w:rFonts w:hint="eastAsia"/>
          <w:sz w:val="24"/>
          <w:szCs w:val="24"/>
        </w:rPr>
        <w:t>计算出得分A；</w:t>
      </w:r>
    </w:p>
    <w:p w14:paraId="59B5D51B">
      <w:pPr>
        <w:numPr>
          <w:ilvl w:val="0"/>
          <w:numId w:val="8"/>
        </w:numPr>
        <w:autoSpaceDE/>
        <w:autoSpaceDN/>
        <w:spacing w:line="360" w:lineRule="auto"/>
        <w:rPr>
          <w:sz w:val="24"/>
          <w:szCs w:val="24"/>
        </w:rPr>
      </w:pPr>
      <w:r>
        <w:rPr>
          <w:rFonts w:hint="eastAsia"/>
          <w:sz w:val="24"/>
          <w:szCs w:val="24"/>
        </w:rPr>
        <w:t>按本章</w:t>
      </w:r>
      <w:r>
        <w:rPr>
          <w:rFonts w:hint="eastAsia"/>
          <w:sz w:val="24"/>
          <w:szCs w:val="24"/>
          <w:lang w:val="en-US"/>
        </w:rPr>
        <w:t>评分办法附表</w:t>
      </w:r>
      <w:r>
        <w:rPr>
          <w:rFonts w:hint="eastAsia"/>
          <w:sz w:val="24"/>
          <w:szCs w:val="24"/>
        </w:rPr>
        <w:t>规定的评审因素和分值对综合部分计算出得分B；</w:t>
      </w:r>
    </w:p>
    <w:p w14:paraId="0F3E57FD">
      <w:pPr>
        <w:numPr>
          <w:ilvl w:val="0"/>
          <w:numId w:val="8"/>
        </w:numPr>
        <w:autoSpaceDE/>
        <w:autoSpaceDN/>
        <w:spacing w:line="360" w:lineRule="auto"/>
        <w:rPr>
          <w:sz w:val="24"/>
          <w:szCs w:val="24"/>
        </w:rPr>
      </w:pPr>
      <w:r>
        <w:rPr>
          <w:rFonts w:hint="eastAsia"/>
          <w:sz w:val="24"/>
          <w:szCs w:val="24"/>
        </w:rPr>
        <w:t>按本章</w:t>
      </w:r>
      <w:r>
        <w:rPr>
          <w:rFonts w:hint="eastAsia"/>
          <w:sz w:val="24"/>
          <w:szCs w:val="24"/>
          <w:lang w:val="en-US"/>
        </w:rPr>
        <w:t>评分办法附表</w:t>
      </w:r>
      <w:r>
        <w:rPr>
          <w:rFonts w:hint="eastAsia"/>
          <w:sz w:val="24"/>
          <w:szCs w:val="24"/>
        </w:rPr>
        <w:t>规定的评审因素和分值对商务</w:t>
      </w:r>
      <w:r>
        <w:rPr>
          <w:rFonts w:hint="eastAsia"/>
          <w:sz w:val="24"/>
          <w:szCs w:val="24"/>
          <w:lang w:val="en-US" w:eastAsia="zh-CN"/>
        </w:rPr>
        <w:t>部分</w:t>
      </w:r>
      <w:r>
        <w:rPr>
          <w:rFonts w:hint="eastAsia"/>
          <w:sz w:val="24"/>
          <w:szCs w:val="24"/>
        </w:rPr>
        <w:t>计算出得分C。</w:t>
      </w:r>
    </w:p>
    <w:p w14:paraId="0467F156">
      <w:pPr>
        <w:autoSpaceDE/>
        <w:autoSpaceDN/>
        <w:spacing w:line="360" w:lineRule="auto"/>
        <w:ind w:firstLine="480" w:firstLineChars="200"/>
        <w:rPr>
          <w:sz w:val="24"/>
          <w:szCs w:val="24"/>
        </w:rPr>
      </w:pPr>
      <w:r>
        <w:rPr>
          <w:rFonts w:hint="eastAsia"/>
          <w:sz w:val="24"/>
          <w:szCs w:val="24"/>
          <w:lang w:val="en-US"/>
        </w:rPr>
        <w:t xml:space="preserve">2.2.2 </w:t>
      </w:r>
      <w:r>
        <w:rPr>
          <w:rFonts w:hint="eastAsia"/>
          <w:sz w:val="24"/>
          <w:szCs w:val="24"/>
        </w:rPr>
        <w:t>A项、</w:t>
      </w:r>
      <w:r>
        <w:rPr>
          <w:rFonts w:hint="eastAsia"/>
          <w:sz w:val="24"/>
          <w:szCs w:val="24"/>
          <w:lang w:val="en-US"/>
        </w:rPr>
        <w:t>B</w:t>
      </w:r>
      <w:r>
        <w:rPr>
          <w:rFonts w:hint="eastAsia"/>
          <w:sz w:val="24"/>
          <w:szCs w:val="24"/>
        </w:rPr>
        <w:t>项、</w:t>
      </w:r>
      <w:r>
        <w:rPr>
          <w:rFonts w:hint="eastAsia"/>
          <w:sz w:val="24"/>
          <w:szCs w:val="24"/>
          <w:lang w:val="en-US"/>
        </w:rPr>
        <w:t>C</w:t>
      </w:r>
      <w:r>
        <w:rPr>
          <w:rFonts w:hint="eastAsia"/>
          <w:sz w:val="24"/>
          <w:szCs w:val="24"/>
        </w:rPr>
        <w:t>项得分</w:t>
      </w:r>
      <w:r>
        <w:rPr>
          <w:rFonts w:hint="eastAsia"/>
          <w:sz w:val="24"/>
          <w:szCs w:val="24"/>
          <w:lang w:val="en-US"/>
        </w:rPr>
        <w:t>取磋商小组所有分数汇总后的算术平均值</w:t>
      </w:r>
      <w:r>
        <w:rPr>
          <w:rFonts w:hint="eastAsia"/>
          <w:sz w:val="24"/>
          <w:szCs w:val="24"/>
        </w:rPr>
        <w:t>。</w:t>
      </w:r>
    </w:p>
    <w:p w14:paraId="5931FAE2">
      <w:pPr>
        <w:pStyle w:val="19"/>
        <w:autoSpaceDE/>
        <w:autoSpaceDN/>
        <w:spacing w:line="360" w:lineRule="auto"/>
        <w:ind w:firstLine="480" w:firstLineChars="200"/>
        <w:rPr>
          <w:rFonts w:hAnsi="宋体"/>
          <w:color w:val="000000"/>
          <w:sz w:val="24"/>
          <w:szCs w:val="24"/>
        </w:rPr>
      </w:pPr>
      <w:r>
        <w:rPr>
          <w:rFonts w:hint="eastAsia" w:hAnsi="宋体"/>
          <w:color w:val="000000"/>
          <w:sz w:val="24"/>
          <w:szCs w:val="24"/>
        </w:rPr>
        <w:t>3.2.3 评分分值计算保留小数点后两位，小数点后第三位“四舍五入”。</w:t>
      </w:r>
    </w:p>
    <w:p w14:paraId="39B07475">
      <w:pPr>
        <w:autoSpaceDE/>
        <w:autoSpaceDN/>
        <w:spacing w:line="360" w:lineRule="auto"/>
        <w:ind w:firstLine="480" w:firstLineChars="200"/>
        <w:rPr>
          <w:color w:val="000000"/>
          <w:sz w:val="24"/>
          <w:szCs w:val="24"/>
          <w:lang w:val="en-US"/>
        </w:rPr>
      </w:pPr>
      <w:r>
        <w:rPr>
          <w:rFonts w:hint="eastAsia"/>
          <w:color w:val="000000"/>
          <w:sz w:val="24"/>
          <w:szCs w:val="24"/>
        </w:rPr>
        <w:t>3.2.4  投标人得分=</w:t>
      </w:r>
      <w:r>
        <w:rPr>
          <w:rFonts w:hint="eastAsia"/>
          <w:color w:val="000000"/>
          <w:sz w:val="24"/>
          <w:szCs w:val="24"/>
          <w:lang w:val="en-US"/>
        </w:rPr>
        <w:t>A+B+C</w:t>
      </w:r>
    </w:p>
    <w:p w14:paraId="20EF0185">
      <w:pPr>
        <w:autoSpaceDE/>
        <w:autoSpaceDN/>
        <w:spacing w:line="360" w:lineRule="auto"/>
        <w:ind w:firstLine="480" w:firstLineChars="200"/>
        <w:rPr>
          <w:sz w:val="24"/>
          <w:szCs w:val="24"/>
        </w:rPr>
      </w:pPr>
      <w:r>
        <w:rPr>
          <w:rFonts w:hint="eastAsia"/>
          <w:sz w:val="24"/>
          <w:szCs w:val="24"/>
        </w:rPr>
        <w:t>3.2.5 磋商小组发现供应商的投标总价明显低于其他投标总价，或者在设有标底时明显低于标底，使得其投标总价可能低于其个别成本的，应当要求该供应商作出书面说明并提供相应的证明材料。供应商不能合理说明或者不能提供相应证明材料的，由磋商小组认定该供应商以低于成本报价竞标，其投标作废标处理。</w:t>
      </w:r>
    </w:p>
    <w:p w14:paraId="077DD016">
      <w:pPr>
        <w:pStyle w:val="19"/>
        <w:autoSpaceDE/>
        <w:autoSpaceDN/>
        <w:spacing w:line="360" w:lineRule="auto"/>
        <w:rPr>
          <w:rFonts w:hAnsi="宋体"/>
          <w:b/>
          <w:bCs/>
          <w:sz w:val="24"/>
          <w:szCs w:val="24"/>
        </w:rPr>
      </w:pPr>
      <w:r>
        <w:rPr>
          <w:rFonts w:hint="eastAsia" w:hAnsi="宋体"/>
          <w:b/>
          <w:bCs/>
          <w:sz w:val="24"/>
          <w:szCs w:val="24"/>
        </w:rPr>
        <w:t>3.3 磋商文件的澄清和补正</w:t>
      </w:r>
    </w:p>
    <w:p w14:paraId="2799D31E">
      <w:pPr>
        <w:autoSpaceDE/>
        <w:autoSpaceDN/>
        <w:spacing w:line="360" w:lineRule="auto"/>
        <w:ind w:firstLine="480" w:firstLineChars="200"/>
        <w:rPr>
          <w:sz w:val="24"/>
          <w:szCs w:val="24"/>
        </w:rPr>
      </w:pPr>
      <w:r>
        <w:rPr>
          <w:rFonts w:hint="eastAsia"/>
          <w:sz w:val="24"/>
          <w:szCs w:val="24"/>
        </w:rPr>
        <w:t>3.3.1 在评标过程中，磋商小组可以书面形式要求供应商对所提交磋商文件中不明确的内容进行书面澄清或说明，或者对细微偏差进行补正。磋商小组不接受供应商主动提出的澄清、说明或补正。</w:t>
      </w:r>
    </w:p>
    <w:p w14:paraId="74F59A3D">
      <w:pPr>
        <w:autoSpaceDE/>
        <w:autoSpaceDN/>
        <w:spacing w:line="360" w:lineRule="auto"/>
        <w:ind w:firstLine="480" w:firstLineChars="200"/>
        <w:rPr>
          <w:sz w:val="24"/>
          <w:szCs w:val="24"/>
        </w:rPr>
      </w:pPr>
      <w:r>
        <w:rPr>
          <w:rFonts w:hint="eastAsia"/>
          <w:sz w:val="24"/>
          <w:szCs w:val="24"/>
        </w:rPr>
        <w:t>3.3.2 澄清、说明和补正不得改变磋商文件的实质性内容（算术性错误修正的除外）。供应商的书面澄清、说明和补正属于磋商文件的组成部分。</w:t>
      </w:r>
    </w:p>
    <w:p w14:paraId="298AE8FA">
      <w:pPr>
        <w:autoSpaceDE/>
        <w:autoSpaceDN/>
        <w:spacing w:line="360" w:lineRule="auto"/>
        <w:ind w:firstLine="480" w:firstLineChars="200"/>
        <w:rPr>
          <w:sz w:val="24"/>
          <w:szCs w:val="24"/>
        </w:rPr>
      </w:pPr>
      <w:r>
        <w:rPr>
          <w:rFonts w:hint="eastAsia"/>
          <w:sz w:val="24"/>
          <w:szCs w:val="24"/>
        </w:rPr>
        <w:t>3.3.3 磋商小组对供应商提交的澄清、说明或补正有疑问的，可以要求供应商进一步澄清、说明或补正，直至满足磋商小组的要求。</w:t>
      </w:r>
    </w:p>
    <w:p w14:paraId="4F8F1429">
      <w:pPr>
        <w:autoSpaceDE/>
        <w:autoSpaceDN/>
        <w:spacing w:line="360" w:lineRule="auto"/>
        <w:rPr>
          <w:b/>
          <w:bCs/>
          <w:sz w:val="24"/>
          <w:szCs w:val="24"/>
        </w:rPr>
      </w:pPr>
      <w:r>
        <w:rPr>
          <w:rFonts w:hint="eastAsia"/>
          <w:b/>
          <w:bCs/>
          <w:sz w:val="24"/>
          <w:szCs w:val="24"/>
        </w:rPr>
        <w:t>3.4 评标结果</w:t>
      </w:r>
    </w:p>
    <w:p w14:paraId="3C9D07D1">
      <w:pPr>
        <w:autoSpaceDE/>
        <w:autoSpaceDN/>
        <w:spacing w:line="360" w:lineRule="auto"/>
        <w:ind w:firstLine="480" w:firstLineChars="200"/>
        <w:rPr>
          <w:sz w:val="24"/>
          <w:szCs w:val="24"/>
        </w:rPr>
      </w:pPr>
      <w:r>
        <w:rPr>
          <w:rFonts w:hint="eastAsia"/>
          <w:sz w:val="24"/>
          <w:szCs w:val="24"/>
        </w:rPr>
        <w:t>3.4.1 除第二章“供应商须知”前附表授权直接确定中标人外，磋商小组按照得分高到低的顺序</w:t>
      </w:r>
      <w:r>
        <w:rPr>
          <w:rFonts w:hint="eastAsia"/>
          <w:color w:val="000000"/>
          <w:sz w:val="24"/>
          <w:szCs w:val="24"/>
        </w:rPr>
        <w:t>向采购人推荐出3名合格成交候选人。采购人应当确定排名第一的成交候选人为成交人。排名第一的成交候选人放弃中标、因不可抗力提出不能履行合同，或者招标文件规定应当提交履约保函而在规定的期限内未能提交的，或者成交人经查实存在影响中标结果的违法行为等情形不符合中标条件的，采购人可以按照磋商小组提出的成交候选人名单顺序依次确定其他成交候选人为中标人。依次确定其他成交候选人与采购人预期差距较大，或者对采购人明显不利的，采购人可以重新招标。</w:t>
      </w:r>
    </w:p>
    <w:p w14:paraId="541F2566">
      <w:pPr>
        <w:autoSpaceDE/>
        <w:autoSpaceDN/>
        <w:spacing w:line="360" w:lineRule="auto"/>
        <w:ind w:firstLine="480" w:firstLineChars="200"/>
        <w:rPr>
          <w:sz w:val="24"/>
          <w:szCs w:val="24"/>
        </w:rPr>
      </w:pPr>
      <w:r>
        <w:rPr>
          <w:rFonts w:hint="eastAsia"/>
          <w:sz w:val="24"/>
          <w:szCs w:val="24"/>
        </w:rPr>
        <w:t>3.4.2 磋商小组完成评标后，应当向采购人提交书面评标报告。</w:t>
      </w:r>
    </w:p>
    <w:p w14:paraId="5E9FA87F">
      <w:pPr>
        <w:rPr>
          <w:sz w:val="21"/>
          <w:szCs w:val="21"/>
        </w:rPr>
      </w:pPr>
    </w:p>
    <w:p w14:paraId="100A39C3">
      <w:pPr>
        <w:pStyle w:val="10"/>
        <w:pageBreakBefore w:val="0"/>
        <w:numPr>
          <w:ilvl w:val="0"/>
          <w:numId w:val="0"/>
        </w:numPr>
        <w:kinsoku/>
        <w:wordWrap/>
        <w:overflowPunct/>
        <w:topLinePunct w:val="0"/>
        <w:bidi w:val="0"/>
        <w:spacing w:line="400" w:lineRule="exact"/>
        <w:jc w:val="left"/>
        <w:outlineLvl w:val="0"/>
        <w:rPr>
          <w:rFonts w:hint="eastAsia" w:ascii="宋体" w:hAnsi="宋体" w:eastAsia="宋体" w:cs="宋体"/>
          <w:b/>
          <w:bCs/>
          <w:color w:val="auto"/>
          <w:sz w:val="21"/>
          <w:szCs w:val="21"/>
        </w:rPr>
      </w:pPr>
      <w:bookmarkStart w:id="107" w:name="_Toc22965"/>
      <w:r>
        <w:rPr>
          <w:rFonts w:hint="eastAsia" w:ascii="宋体" w:hAnsi="宋体" w:eastAsia="宋体" w:cs="宋体"/>
          <w:b/>
          <w:bCs/>
          <w:color w:val="auto"/>
          <w:sz w:val="21"/>
          <w:szCs w:val="21"/>
        </w:rPr>
        <w:t>附件：废标条件</w:t>
      </w:r>
      <w:bookmarkEnd w:id="107"/>
    </w:p>
    <w:p w14:paraId="26AA34BA">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14:paraId="66429CC2">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须知”和本章正文部分所规定的废标条件的总结和补充，如果出现相互矛盾的情况，以第二章“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须知”和本章正文部分的规定为准。</w:t>
      </w:r>
    </w:p>
    <w:p w14:paraId="13015F64">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14:paraId="0EAA6EF4">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w:t>
      </w:r>
      <w:r>
        <w:rPr>
          <w:rFonts w:hint="eastAsia" w:ascii="宋体" w:hAnsi="宋体" w:eastAsia="宋体" w:cs="宋体"/>
          <w:b/>
          <w:color w:val="auto"/>
          <w:sz w:val="21"/>
          <w:szCs w:val="21"/>
          <w:lang w:eastAsia="zh-CN"/>
        </w:rPr>
        <w:t>评标委员会</w:t>
      </w:r>
      <w:r>
        <w:rPr>
          <w:rFonts w:hint="eastAsia" w:ascii="宋体" w:hAnsi="宋体" w:eastAsia="宋体" w:cs="宋体"/>
          <w:b/>
          <w:color w:val="auto"/>
          <w:sz w:val="21"/>
          <w:szCs w:val="21"/>
        </w:rPr>
        <w:t>要求澄清、说明或补正的；</w:t>
      </w:r>
    </w:p>
    <w:p w14:paraId="1D351A26">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投标报价</w:t>
      </w:r>
      <w:r>
        <w:rPr>
          <w:rFonts w:hint="eastAsia" w:ascii="宋体" w:hAnsi="宋体" w:eastAsia="宋体" w:cs="宋体"/>
          <w:b/>
          <w:color w:val="auto"/>
          <w:sz w:val="21"/>
          <w:szCs w:val="21"/>
        </w:rPr>
        <w:t>有算术性错误，投标人不接受修正价格的；</w:t>
      </w:r>
    </w:p>
    <w:p w14:paraId="4E450667">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14:paraId="563BCD6B">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14:paraId="0CA7ACBA">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14:paraId="0C5CD799">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14:paraId="1790F003">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8.文件制作机器码、文件创建标识码有相同的；</w:t>
      </w:r>
    </w:p>
    <w:p w14:paraId="03144794">
      <w:pPr>
        <w:pStyle w:val="21"/>
        <w:ind w:left="0" w:leftChars="0" w:firstLine="422" w:firstLineChars="200"/>
        <w:sectPr>
          <w:pgSz w:w="11910" w:h="16840"/>
          <w:pgMar w:top="1380" w:right="840" w:bottom="1400" w:left="1120" w:header="852" w:footer="1215" w:gutter="0"/>
          <w:cols w:space="720" w:num="1"/>
        </w:sect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．不符合</w:t>
      </w:r>
      <w:r>
        <w:rPr>
          <w:rFonts w:hint="eastAsia" w:ascii="宋体" w:hAnsi="宋体" w:eastAsia="宋体" w:cs="宋体"/>
          <w:b/>
          <w:color w:val="auto"/>
          <w:sz w:val="21"/>
          <w:szCs w:val="21"/>
          <w:lang w:eastAsia="zh-CN"/>
        </w:rPr>
        <w:t>招标文件</w:t>
      </w:r>
      <w:r>
        <w:rPr>
          <w:rFonts w:hint="eastAsia" w:ascii="宋体" w:hAnsi="宋体" w:eastAsia="宋体" w:cs="宋体"/>
          <w:b/>
          <w:color w:val="auto"/>
          <w:sz w:val="21"/>
          <w:szCs w:val="21"/>
        </w:rPr>
        <w:t>规定的其他实质性要求及相关法律、法规或规章规定可以废标的其他情形</w:t>
      </w:r>
    </w:p>
    <w:p w14:paraId="5A45F3BB">
      <w:pPr>
        <w:pStyle w:val="3"/>
        <w:spacing w:before="6"/>
        <w:rPr>
          <w:rFonts w:ascii="Times New Roman"/>
          <w:sz w:val="4"/>
        </w:rPr>
      </w:pPr>
    </w:p>
    <w:p w14:paraId="4C020BDC">
      <w:pPr>
        <w:spacing w:line="400" w:lineRule="exact"/>
        <w:jc w:val="center"/>
        <w:outlineLvl w:val="0"/>
        <w:rPr>
          <w:rFonts w:hint="eastAsia" w:ascii="宋体" w:hAnsi="宋体" w:eastAsia="宋体" w:cs="宋体"/>
          <w:b/>
          <w:bCs/>
          <w:color w:val="auto"/>
          <w:sz w:val="32"/>
          <w:szCs w:val="32"/>
          <w:highlight w:val="none"/>
        </w:rPr>
      </w:pPr>
      <w:bookmarkStart w:id="108" w:name="第四章___合同文本（仅供参考）"/>
      <w:bookmarkEnd w:id="108"/>
      <w:bookmarkStart w:id="109" w:name="_Toc20360"/>
      <w:bookmarkStart w:id="110" w:name="_Toc16036"/>
      <w:bookmarkStart w:id="111" w:name="_Toc8059"/>
      <w:r>
        <w:rPr>
          <w:rFonts w:hint="eastAsia" w:ascii="宋体" w:hAnsi="宋体" w:eastAsia="宋体" w:cs="宋体"/>
          <w:b/>
          <w:bCs/>
          <w:color w:val="auto"/>
          <w:sz w:val="32"/>
          <w:szCs w:val="32"/>
          <w:highlight w:val="none"/>
          <w:lang w:val="en-US" w:eastAsia="zh-CN"/>
        </w:rPr>
        <w:t>第四章</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rPr>
        <w:t>河南省政府采购合同（</w:t>
      </w:r>
      <w:r>
        <w:rPr>
          <w:rFonts w:hint="eastAsia" w:ascii="宋体" w:hAnsi="宋体" w:eastAsia="宋体" w:cs="宋体"/>
          <w:b/>
          <w:color w:val="auto"/>
          <w:sz w:val="32"/>
          <w:szCs w:val="32"/>
          <w:highlight w:val="none"/>
          <w:lang w:eastAsia="zh-CN"/>
        </w:rPr>
        <w:t>参考文本，</w:t>
      </w:r>
      <w:r>
        <w:rPr>
          <w:rFonts w:hint="eastAsia" w:ascii="宋体" w:hAnsi="宋体" w:eastAsia="宋体" w:cs="宋体"/>
          <w:b/>
          <w:color w:val="auto"/>
          <w:sz w:val="32"/>
          <w:szCs w:val="32"/>
          <w:highlight w:val="none"/>
          <w:lang w:val="en-US" w:eastAsia="zh-CN"/>
        </w:rPr>
        <w:t>以实际签订合同为准</w:t>
      </w:r>
      <w:r>
        <w:rPr>
          <w:rFonts w:hint="eastAsia" w:ascii="宋体" w:hAnsi="宋体" w:eastAsia="宋体" w:cs="宋体"/>
          <w:b/>
          <w:color w:val="auto"/>
          <w:sz w:val="32"/>
          <w:szCs w:val="32"/>
          <w:highlight w:val="none"/>
        </w:rPr>
        <w:t>）</w:t>
      </w:r>
      <w:bookmarkEnd w:id="109"/>
    </w:p>
    <w:p w14:paraId="30319328">
      <w:pPr>
        <w:spacing w:line="400" w:lineRule="exact"/>
        <w:rPr>
          <w:rFonts w:hint="eastAsia" w:ascii="宋体" w:hAnsi="宋体" w:eastAsia="宋体" w:cs="宋体"/>
          <w:color w:val="auto"/>
          <w:sz w:val="30"/>
          <w:szCs w:val="30"/>
          <w:highlight w:val="none"/>
        </w:rPr>
      </w:pPr>
    </w:p>
    <w:p w14:paraId="67081E39">
      <w:pPr>
        <w:spacing w:line="400" w:lineRule="exact"/>
        <w:ind w:firstLine="450" w:firstLineChars="150"/>
        <w:rPr>
          <w:rFonts w:hint="eastAsia" w:ascii="宋体" w:hAnsi="宋体" w:eastAsia="宋体" w:cs="宋体"/>
          <w:color w:val="auto"/>
          <w:sz w:val="30"/>
          <w:szCs w:val="30"/>
          <w:highlight w:val="none"/>
        </w:rPr>
      </w:pPr>
    </w:p>
    <w:p w14:paraId="361B81DC">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 xml:space="preserve">合同编号： </w:t>
      </w:r>
    </w:p>
    <w:p w14:paraId="38A95930">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7273E5B8">
      <w:pPr>
        <w:keepNext w:val="0"/>
        <w:keepLines w:val="0"/>
        <w:widowControl/>
        <w:suppressLineNumbers w:val="0"/>
        <w:spacing w:line="240" w:lineRule="auto"/>
        <w:ind w:firstLine="0" w:firstLineChars="0"/>
        <w:jc w:val="center"/>
        <w:rPr>
          <w:rFonts w:hint="eastAsia" w:ascii="宋体" w:hAnsi="宋体" w:eastAsia="宋体" w:cs="宋体"/>
          <w:szCs w:val="24"/>
          <w:highlight w:val="none"/>
          <w:lang w:val="en-US"/>
        </w:rPr>
      </w:pPr>
      <w:r>
        <w:rPr>
          <w:rFonts w:hint="eastAsia" w:ascii="宋体" w:hAnsi="宋体" w:eastAsia="宋体" w:cs="宋体"/>
          <w:color w:val="000000"/>
          <w:kern w:val="0"/>
          <w:sz w:val="52"/>
          <w:szCs w:val="52"/>
          <w:highlight w:val="none"/>
          <w:lang w:val="en-US" w:eastAsia="zh-CN" w:bidi="ar"/>
        </w:rPr>
        <w:t>合同名称</w:t>
      </w:r>
    </w:p>
    <w:p w14:paraId="35D404D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404336AA">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项目名称：</w:t>
      </w:r>
    </w:p>
    <w:p w14:paraId="495DA5CA">
      <w:pPr>
        <w:keepNext w:val="0"/>
        <w:keepLines w:val="0"/>
        <w:widowControl/>
        <w:suppressLineNumbers w:val="0"/>
        <w:spacing w:line="240" w:lineRule="auto"/>
        <w:ind w:firstLine="0" w:firstLineChars="0"/>
        <w:jc w:val="left"/>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 </w:t>
      </w:r>
    </w:p>
    <w:p w14:paraId="4127D3B4">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需方（甲方）：</w:t>
      </w:r>
    </w:p>
    <w:p w14:paraId="4858A67B">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4BE6C3CE">
      <w:pPr>
        <w:keepNext w:val="0"/>
        <w:keepLines w:val="0"/>
        <w:widowControl/>
        <w:suppressLineNumbers w:val="0"/>
        <w:spacing w:line="240" w:lineRule="auto"/>
        <w:ind w:firstLine="0" w:firstLineChars="0"/>
        <w:jc w:val="left"/>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 </w:t>
      </w:r>
    </w:p>
    <w:p w14:paraId="7CB4A2CD">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 xml:space="preserve">供方（乙方）： </w:t>
      </w:r>
    </w:p>
    <w:p w14:paraId="41974DB8">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579C9B0F">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162A0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签订时间： </w:t>
      </w:r>
    </w:p>
    <w:p w14:paraId="2D60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签订地点：  </w:t>
      </w:r>
    </w:p>
    <w:p w14:paraId="0E42446E">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3CE04799">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DA5359B">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36FD79B">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2B98D0D">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5FCF8BF8">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01B7A335">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0D484F18">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1081E28">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0F9E058F">
      <w:pPr>
        <w:keepNext/>
        <w:keepLines/>
        <w:pageBreakBefore w:val="0"/>
        <w:widowControl w:val="0"/>
        <w:kinsoku/>
        <w:wordWrap/>
        <w:overflowPunct/>
        <w:topLinePunct w:val="0"/>
        <w:autoSpaceDE/>
        <w:autoSpaceDN/>
        <w:bidi w:val="0"/>
        <w:adjustRightInd w:val="0"/>
        <w:snapToGrid w:val="0"/>
        <w:spacing w:beforeLines="0" w:line="360" w:lineRule="auto"/>
        <w:ind w:left="0" w:leftChars="0"/>
        <w:jc w:val="both"/>
        <w:textAlignment w:val="auto"/>
        <w:outlineLvl w:val="9"/>
        <w:rPr>
          <w:rFonts w:hint="eastAsia" w:ascii="宋体" w:hAnsi="宋体" w:eastAsia="宋体" w:cs="宋体"/>
          <w:b/>
          <w:bCs/>
          <w:color w:val="auto"/>
          <w:sz w:val="36"/>
          <w:szCs w:val="36"/>
        </w:rPr>
      </w:pPr>
    </w:p>
    <w:p w14:paraId="062EAC0C">
      <w:pPr>
        <w:pStyle w:val="21"/>
        <w:rPr>
          <w:rFonts w:hint="eastAsia" w:ascii="宋体" w:hAnsi="宋体" w:eastAsia="宋体" w:cs="宋体"/>
          <w:b/>
          <w:bCs/>
          <w:color w:val="auto"/>
          <w:sz w:val="36"/>
          <w:szCs w:val="36"/>
        </w:rPr>
      </w:pPr>
    </w:p>
    <w:p w14:paraId="2CCA8AB0">
      <w:pPr>
        <w:pStyle w:val="21"/>
        <w:rPr>
          <w:rFonts w:hint="eastAsia" w:ascii="宋体" w:hAnsi="宋体" w:eastAsia="宋体" w:cs="宋体"/>
          <w:b/>
          <w:bCs/>
          <w:color w:val="auto"/>
          <w:sz w:val="36"/>
          <w:szCs w:val="36"/>
        </w:rPr>
      </w:pPr>
    </w:p>
    <w:p w14:paraId="46F0A9E7">
      <w:pPr>
        <w:keepNext/>
        <w:keepLines/>
        <w:pageBreakBefore w:val="0"/>
        <w:widowControl w:val="0"/>
        <w:kinsoku/>
        <w:wordWrap/>
        <w:overflowPunct/>
        <w:topLinePunct w:val="0"/>
        <w:autoSpaceDE/>
        <w:autoSpaceDN/>
        <w:bidi w:val="0"/>
        <w:adjustRightInd w:val="0"/>
        <w:snapToGrid w:val="0"/>
        <w:spacing w:beforeLines="0" w:line="360" w:lineRule="auto"/>
        <w:ind w:left="0" w:leftChars="0"/>
        <w:jc w:val="center"/>
        <w:textAlignment w:val="auto"/>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rPr>
        <w:t>第一节 政府采购合同协议书</w:t>
      </w:r>
    </w:p>
    <w:p w14:paraId="6B606567">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甲方（全称）：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rPr>
        <w:t>（采购人）</w:t>
      </w:r>
    </w:p>
    <w:p w14:paraId="70A96A72">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乙方（全称）：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（供应商）</w:t>
      </w:r>
    </w:p>
    <w:p w14:paraId="5F428AF2">
      <w:pPr>
        <w:pStyle w:val="6"/>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依据《中华人民共和国民法典》</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《中华人民共和国政府采购法》等有关的法律法规，以及</w:t>
      </w:r>
      <w:r>
        <w:rPr>
          <w:rFonts w:hint="eastAsia" w:ascii="新宋体" w:hAnsi="新宋体" w:eastAsia="新宋体" w:cs="新宋体"/>
          <w:i w:val="0"/>
          <w:iCs w:val="0"/>
          <w:color w:val="auto"/>
          <w:sz w:val="21"/>
          <w:szCs w:val="21"/>
          <w:u w:val="none"/>
          <w:lang w:eastAsia="zh-CN"/>
        </w:rPr>
        <w:t>本采购项目</w:t>
      </w:r>
      <w:r>
        <w:rPr>
          <w:rFonts w:hint="eastAsia" w:ascii="新宋体" w:hAnsi="新宋体" w:eastAsia="新宋体" w:cs="新宋体"/>
          <w:color w:val="auto"/>
          <w:sz w:val="21"/>
          <w:szCs w:val="21"/>
        </w:rPr>
        <w:t>的采购文件</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 xml:space="preserve">乙方的《投标文件》及《中标通知书》，甲乙双方同意签订本合同。具体情况及要求如下：     </w:t>
      </w:r>
    </w:p>
    <w:p w14:paraId="6BB6520C">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color w:val="auto"/>
          <w:sz w:val="21"/>
          <w:szCs w:val="21"/>
        </w:rPr>
      </w:pPr>
      <w:r>
        <w:rPr>
          <w:rFonts w:hint="eastAsia" w:ascii="新宋体" w:hAnsi="新宋体" w:eastAsia="新宋体" w:cs="新宋体"/>
          <w:b/>
          <w:snapToGrid w:val="0"/>
          <w:color w:val="auto"/>
          <w:kern w:val="0"/>
          <w:sz w:val="21"/>
          <w:szCs w:val="21"/>
          <w:lang w:val="en-US" w:eastAsia="en-US" w:bidi="ar-SA"/>
        </w:rPr>
        <w:t>1.</w:t>
      </w:r>
      <w:r>
        <w:rPr>
          <w:rFonts w:hint="eastAsia" w:ascii="新宋体" w:hAnsi="新宋体" w:eastAsia="新宋体" w:cs="新宋体"/>
          <w:b/>
          <w:color w:val="auto"/>
          <w:sz w:val="21"/>
          <w:szCs w:val="21"/>
        </w:rPr>
        <w:t>项目信息</w:t>
      </w:r>
    </w:p>
    <w:p w14:paraId="2BDCB213">
      <w:pPr>
        <w:pStyle w:val="6"/>
        <w:keepNext w:val="0"/>
        <w:keepLines w:val="0"/>
        <w:pageBreakBefore w:val="0"/>
        <w:numPr>
          <w:ilvl w:val="0"/>
          <w:numId w:val="9"/>
        </w:numPr>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采购项目名称：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1E9697FA">
      <w:pPr>
        <w:pStyle w:val="6"/>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（2）采购计划编号：</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7B05E239">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（3）项目内容：</w:t>
      </w:r>
    </w:p>
    <w:p w14:paraId="225C1788">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采购标的及数量</w:t>
      </w:r>
      <w:r>
        <w:rPr>
          <w:rFonts w:hint="eastAsia" w:ascii="新宋体" w:hAnsi="新宋体" w:eastAsia="新宋体" w:cs="新宋体"/>
          <w:color w:val="auto"/>
          <w:sz w:val="21"/>
          <w:szCs w:val="21"/>
          <w:lang w:val="en-US" w:eastAsia="zh-CN"/>
        </w:rPr>
        <w:t>（台/套</w:t>
      </w:r>
      <w:r>
        <w:rPr>
          <w:rFonts w:hint="eastAsia" w:ascii="新宋体" w:hAnsi="新宋体" w:eastAsia="新宋体" w:cs="新宋体"/>
          <w:color w:val="auto"/>
          <w:sz w:val="21"/>
          <w:szCs w:val="21"/>
          <w:lang w:val="en" w:eastAsia="zh-CN"/>
        </w:rPr>
        <w:t>/个/架/组等</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w:t>
      </w:r>
    </w:p>
    <w:p w14:paraId="4CC8996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 w:eastAsia="zh-CN"/>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lang w:val="en-US" w:eastAsia="zh-CN"/>
        </w:rPr>
        <w:t>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 w:eastAsia="zh-CN"/>
        </w:rPr>
        <w:t xml:space="preserve">     </w:t>
      </w:r>
      <w:r>
        <w:rPr>
          <w:rFonts w:hint="eastAsia" w:ascii="新宋体" w:hAnsi="新宋体" w:eastAsia="新宋体" w:cs="新宋体"/>
          <w:color w:val="auto"/>
          <w:sz w:val="21"/>
          <w:szCs w:val="21"/>
          <w:lang w:val="en-US" w:eastAsia="zh-CN"/>
        </w:rPr>
        <w:t>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p>
    <w:p w14:paraId="34791066">
      <w:pPr>
        <w:keepNext w:val="0"/>
        <w:keepLines w:val="0"/>
        <w:pageBreakBefore w:val="0"/>
        <w:kinsoku/>
        <w:wordWrap/>
        <w:overflowPunct/>
        <w:topLinePunct w:val="0"/>
        <w:bidi w:val="0"/>
        <w:adjustRightInd w:val="0"/>
        <w:snapToGrid w:val="0"/>
        <w:spacing w:before="0" w:beforeLines="0" w:line="400" w:lineRule="exact"/>
        <w:ind w:left="0" w:leftChars="0" w:firstLine="945" w:firstLineChars="45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配置清单详见附件。</w:t>
      </w:r>
    </w:p>
    <w:p w14:paraId="11FDE37C">
      <w:pPr>
        <w:pStyle w:val="61"/>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4</w:t>
      </w:r>
      <w:r>
        <w:rPr>
          <w:rFonts w:hint="eastAsia" w:ascii="新宋体" w:hAnsi="新宋体" w:eastAsia="新宋体" w:cs="新宋体"/>
          <w:iCs w:val="0"/>
          <w:color w:val="auto"/>
          <w:sz w:val="21"/>
          <w:szCs w:val="21"/>
          <w:lang w:val="en-US" w:eastAsia="zh-CN"/>
        </w:rPr>
        <w:t>）政府采购组织形式：</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政府集中采购</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val="en-US" w:eastAsia="zh-CN"/>
        </w:rPr>
        <w:t xml:space="preserve">部门集中采购  </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val="en-US" w:eastAsia="zh-CN"/>
        </w:rPr>
        <w:t>分散采购</w:t>
      </w:r>
    </w:p>
    <w:p w14:paraId="2130228C">
      <w:pPr>
        <w:pStyle w:val="61"/>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5</w:t>
      </w:r>
      <w:r>
        <w:rPr>
          <w:rFonts w:hint="eastAsia" w:ascii="新宋体" w:hAnsi="新宋体" w:eastAsia="新宋体" w:cs="新宋体"/>
          <w:iCs w:val="0"/>
          <w:color w:val="auto"/>
          <w:sz w:val="21"/>
          <w:szCs w:val="21"/>
          <w:lang w:val="en-US" w:eastAsia="zh-CN"/>
        </w:rPr>
        <w:t>）政府采购方式：</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公开招标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邀请招标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竞争性谈判</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eastAsia="zh-CN"/>
        </w:rPr>
        <w:t>竞争性磋商</w:t>
      </w:r>
    </w:p>
    <w:p w14:paraId="6B2407A8">
      <w:pPr>
        <w:pStyle w:val="61"/>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0"/>
        <w:textAlignment w:val="auto"/>
        <w:outlineLvl w:val="9"/>
        <w:rPr>
          <w:rFonts w:hint="eastAsia" w:ascii="新宋体" w:hAnsi="新宋体" w:eastAsia="新宋体" w:cs="新宋体"/>
          <w:iCs w:val="0"/>
          <w:color w:val="auto"/>
          <w:sz w:val="21"/>
          <w:szCs w:val="21"/>
          <w:u w:val="single"/>
          <w:lang w:val="en-US" w:eastAsia="zh-CN"/>
        </w:rPr>
      </w:pPr>
      <w:r>
        <w:rPr>
          <w:rFonts w:hint="eastAsia" w:ascii="新宋体" w:hAnsi="新宋体" w:eastAsia="新宋体" w:cs="新宋体"/>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询价</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单一来源</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框架协议</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其他：</w:t>
      </w:r>
      <w:r>
        <w:rPr>
          <w:rFonts w:hint="eastAsia" w:ascii="新宋体" w:hAnsi="新宋体" w:eastAsia="新宋体" w:cs="新宋体"/>
          <w:iCs w:val="0"/>
          <w:color w:val="auto"/>
          <w:sz w:val="21"/>
          <w:szCs w:val="21"/>
          <w:u w:val="single"/>
          <w:lang w:val="en-US" w:eastAsia="zh-CN"/>
        </w:rPr>
        <w:t xml:space="preserve">          </w:t>
      </w:r>
    </w:p>
    <w:p w14:paraId="3F6016E0">
      <w:pPr>
        <w:pStyle w:val="61"/>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w w:val="100"/>
          <w:kern w:val="2"/>
          <w:sz w:val="21"/>
          <w:szCs w:val="21"/>
          <w:lang w:val="en-US" w:eastAsia="zh-CN" w:bidi="ar-SA"/>
        </w:rPr>
      </w:pP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val="en" w:eastAsia="zh-CN"/>
        </w:rPr>
        <w:t>6</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w w:val="100"/>
          <w:kern w:val="2"/>
          <w:sz w:val="21"/>
          <w:szCs w:val="21"/>
          <w:lang w:val="en-US" w:eastAsia="zh-CN" w:bidi="ar-SA"/>
        </w:rPr>
        <w:t>中标（成交）采购标的制造商是否为中小企业：</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 xml:space="preserve">是      </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否</w:t>
      </w:r>
    </w:p>
    <w:p w14:paraId="60D5D66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w w:val="100"/>
          <w:sz w:val="21"/>
          <w:szCs w:val="21"/>
          <w:lang w:val="en-US" w:eastAsia="zh-CN"/>
        </w:rPr>
        <w:t xml:space="preserve">    本合同</w:t>
      </w:r>
      <w:r>
        <w:rPr>
          <w:rFonts w:hint="eastAsia" w:ascii="新宋体" w:hAnsi="新宋体" w:eastAsia="新宋体" w:cs="新宋体"/>
          <w:color w:val="auto"/>
          <w:w w:val="100"/>
          <w:sz w:val="21"/>
          <w:szCs w:val="21"/>
        </w:rPr>
        <w:t>是否</w:t>
      </w:r>
      <w:r>
        <w:rPr>
          <w:rFonts w:hint="eastAsia" w:ascii="新宋体" w:hAnsi="新宋体" w:eastAsia="新宋体" w:cs="新宋体"/>
          <w:color w:val="auto"/>
          <w:w w:val="100"/>
          <w:sz w:val="21"/>
          <w:szCs w:val="21"/>
          <w:lang w:eastAsia="zh-CN"/>
        </w:rPr>
        <w:t>为专门面向</w:t>
      </w:r>
      <w:r>
        <w:rPr>
          <w:rFonts w:hint="eastAsia" w:ascii="新宋体" w:hAnsi="新宋体" w:eastAsia="新宋体" w:cs="新宋体"/>
          <w:color w:val="auto"/>
          <w:w w:val="100"/>
          <w:sz w:val="21"/>
          <w:szCs w:val="21"/>
        </w:rPr>
        <w:t>中小企业</w:t>
      </w:r>
      <w:r>
        <w:rPr>
          <w:rFonts w:hint="eastAsia" w:ascii="新宋体" w:hAnsi="新宋体" w:eastAsia="新宋体" w:cs="新宋体"/>
          <w:color w:val="auto"/>
          <w:w w:val="100"/>
          <w:sz w:val="21"/>
          <w:szCs w:val="21"/>
          <w:lang w:eastAsia="zh-CN"/>
        </w:rPr>
        <w:t>的采</w:t>
      </w:r>
      <w:r>
        <w:rPr>
          <w:rFonts w:hint="eastAsia" w:ascii="新宋体" w:hAnsi="新宋体" w:eastAsia="新宋体" w:cs="新宋体"/>
          <w:color w:val="auto"/>
          <w:w w:val="100"/>
          <w:sz w:val="21"/>
          <w:szCs w:val="21"/>
          <w:shd w:val="clear" w:color="auto" w:fill="auto"/>
          <w:lang w:eastAsia="zh-CN"/>
        </w:rPr>
        <w:t>购</w:t>
      </w:r>
      <w:r>
        <w:rPr>
          <w:rFonts w:hint="eastAsia" w:ascii="新宋体" w:hAnsi="新宋体" w:eastAsia="新宋体" w:cs="新宋体"/>
          <w:color w:val="auto"/>
          <w:w w:val="100"/>
          <w:sz w:val="21"/>
          <w:szCs w:val="21"/>
          <w:shd w:val="clear" w:color="auto" w:fill="auto"/>
        </w:rPr>
        <w:t>合同</w:t>
      </w:r>
      <w:r>
        <w:rPr>
          <w:rFonts w:hint="eastAsia" w:ascii="新宋体" w:hAnsi="新宋体" w:eastAsia="新宋体" w:cs="新宋体"/>
          <w:color w:val="auto"/>
          <w:w w:val="100"/>
          <w:sz w:val="21"/>
          <w:szCs w:val="21"/>
          <w:shd w:val="clear" w:color="auto" w:fill="auto"/>
          <w:lang w:eastAsia="zh-CN"/>
        </w:rPr>
        <w:t>（中小企业预留合同）</w:t>
      </w:r>
      <w:r>
        <w:rPr>
          <w:rFonts w:hint="eastAsia" w:ascii="新宋体" w:hAnsi="新宋体" w:eastAsia="新宋体" w:cs="新宋体"/>
          <w:color w:val="auto"/>
          <w:sz w:val="21"/>
          <w:szCs w:val="21"/>
          <w:shd w:val="clear" w:color="auto" w:fill="auto"/>
        </w:rPr>
        <w:t>：</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69E8D697">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若本项目不专门面向中小企业采购，是否给予小微企业评审优惠：</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6DBB7FFE">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中标（成交）采购标的制造商是否为残疾人福利性单位：</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47D7FA00">
      <w:pPr>
        <w:keepNext w:val="0"/>
        <w:keepLines w:val="0"/>
        <w:pageBreakBefore w:val="0"/>
        <w:numPr>
          <w:ilvl w:val="0"/>
          <w:numId w:val="0"/>
        </w:numPr>
        <w:kinsoku/>
        <w:wordWrap/>
        <w:overflowPunct/>
        <w:topLinePunct w:val="0"/>
        <w:bidi w:val="0"/>
        <w:adjustRightInd w:val="0"/>
        <w:snapToGrid w:val="0"/>
        <w:spacing w:beforeLines="0" w:line="400" w:lineRule="exact"/>
        <w:ind w:left="0" w:leftChars="0" w:firstLine="0" w:firstLineChars="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中标（成交）采购标的制造商是否为监狱企业：</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1AD51885">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 w:eastAsia="zh-CN"/>
        </w:rPr>
        <w:t>7</w:t>
      </w:r>
      <w:r>
        <w:rPr>
          <w:rFonts w:hint="eastAsia" w:ascii="新宋体" w:hAnsi="新宋体" w:eastAsia="新宋体" w:cs="新宋体"/>
          <w:color w:val="auto"/>
          <w:sz w:val="21"/>
          <w:szCs w:val="21"/>
        </w:rPr>
        <w:t>）合同是否分包：</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FE"/>
      </w:r>
      <w:r>
        <w:rPr>
          <w:rFonts w:hint="eastAsia" w:ascii="新宋体" w:hAnsi="新宋体" w:eastAsia="新宋体" w:cs="新宋体"/>
          <w:iCs/>
          <w:color w:val="auto"/>
          <w:sz w:val="21"/>
          <w:szCs w:val="21"/>
        </w:rPr>
        <w:t>否</w:t>
      </w:r>
    </w:p>
    <w:p w14:paraId="02033B1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highlight w:val="none"/>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highlight w:val="none"/>
          <w:u w:val="none"/>
          <w:lang w:val="en" w:eastAsia="zh-CN"/>
        </w:rPr>
        <w:t>8</w:t>
      </w:r>
      <w:r>
        <w:rPr>
          <w:rFonts w:hint="eastAsia" w:ascii="新宋体" w:hAnsi="新宋体" w:eastAsia="新宋体" w:cs="新宋体"/>
          <w:color w:val="auto"/>
          <w:sz w:val="21"/>
          <w:szCs w:val="21"/>
          <w:highlight w:val="none"/>
          <w:u w:val="none"/>
          <w:lang w:val="en-US" w:eastAsia="zh-CN"/>
        </w:rPr>
        <w:t>）中标（成交）供应商是否为外商投资企业：</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 xml:space="preserve">是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否</w:t>
      </w:r>
    </w:p>
    <w:p w14:paraId="0D6E1988">
      <w:pPr>
        <w:pStyle w:val="61"/>
        <w:keepNext w:val="0"/>
        <w:keepLines w:val="0"/>
        <w:pageBreakBefore w:val="0"/>
        <w:tabs>
          <w:tab w:val="left" w:pos="1340"/>
        </w:tabs>
        <w:kinsoku/>
        <w:wordWrap/>
        <w:overflowPunct/>
        <w:topLinePunct w:val="0"/>
        <w:bidi w:val="0"/>
        <w:adjustRightInd w:val="0"/>
        <w:spacing w:beforeLines="0" w:line="400" w:lineRule="exact"/>
        <w:ind w:left="0" w:leftChars="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 xml:space="preserve">     外商投资企业类型：</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color w:val="auto"/>
          <w:sz w:val="21"/>
          <w:szCs w:val="21"/>
          <w:highlight w:val="none"/>
          <w:u w:val="none"/>
          <w:lang w:val="en-US" w:eastAsia="zh-CN"/>
        </w:rPr>
        <w:t xml:space="preserve">全部由外国投资者投资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lang w:val="en-US" w:eastAsia="zh-CN"/>
        </w:rPr>
        <w:t>部分由外国投资者投资</w:t>
      </w:r>
    </w:p>
    <w:p w14:paraId="16497095">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w:t>
      </w:r>
      <w:r>
        <w:rPr>
          <w:rFonts w:hint="eastAsia" w:ascii="新宋体" w:hAnsi="新宋体" w:eastAsia="新宋体" w:cs="新宋体"/>
          <w:b w:val="0"/>
          <w:bCs w:val="0"/>
          <w:color w:val="auto"/>
          <w:sz w:val="21"/>
          <w:szCs w:val="21"/>
          <w:u w:val="none"/>
          <w:lang w:val="en" w:eastAsia="zh-CN"/>
        </w:rPr>
        <w:t>9</w:t>
      </w:r>
      <w:r>
        <w:rPr>
          <w:rFonts w:hint="eastAsia" w:ascii="新宋体" w:hAnsi="新宋体" w:eastAsia="新宋体" w:cs="新宋体"/>
          <w:b w:val="0"/>
          <w:bCs w:val="0"/>
          <w:color w:val="auto"/>
          <w:sz w:val="21"/>
          <w:szCs w:val="21"/>
          <w:u w:val="none"/>
          <w:lang w:val="en-US" w:eastAsia="zh-CN"/>
        </w:rPr>
        <w:t>）是否涉及进口产品：</w:t>
      </w:r>
    </w:p>
    <w:p w14:paraId="0545B38D">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，《政府采购品目分类目录》底级品目名称</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金额：</w:t>
      </w:r>
      <w:r>
        <w:rPr>
          <w:rFonts w:hint="eastAsia" w:ascii="新宋体" w:hAnsi="新宋体" w:eastAsia="新宋体" w:cs="新宋体"/>
          <w:color w:val="auto"/>
          <w:sz w:val="21"/>
          <w:szCs w:val="21"/>
          <w:u w:val="single"/>
          <w:lang w:val="en-US" w:eastAsia="zh-CN"/>
        </w:rPr>
        <w:t xml:space="preserve">        </w:t>
      </w:r>
    </w:p>
    <w:p w14:paraId="6035454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840" w:firstLineChars="40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color w:val="auto"/>
          <w:sz w:val="21"/>
          <w:szCs w:val="21"/>
          <w:lang w:val="en-US" w:eastAsia="zh-CN"/>
        </w:rPr>
        <w:t xml:space="preserve">   国别：</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US" w:eastAsia="zh-CN"/>
        </w:rPr>
        <w:t xml:space="preserve"> 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val="0"/>
          <w:color w:val="auto"/>
          <w:sz w:val="21"/>
          <w:szCs w:val="21"/>
        </w:rPr>
        <w:t xml:space="preserve">      </w:t>
      </w:r>
    </w:p>
    <w:p w14:paraId="1474B36E">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否</w:t>
      </w:r>
    </w:p>
    <w:p w14:paraId="150F3A24">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（1</w:t>
      </w:r>
      <w:r>
        <w:rPr>
          <w:rFonts w:hint="eastAsia" w:ascii="新宋体" w:hAnsi="新宋体" w:eastAsia="新宋体" w:cs="新宋体"/>
          <w:b w:val="0"/>
          <w:bCs w:val="0"/>
          <w:color w:val="auto"/>
          <w:sz w:val="21"/>
          <w:szCs w:val="21"/>
          <w:u w:val="none"/>
          <w:lang w:val="en" w:eastAsia="zh-CN"/>
        </w:rPr>
        <w:t>0</w:t>
      </w:r>
      <w:r>
        <w:rPr>
          <w:rFonts w:hint="eastAsia" w:ascii="新宋体" w:hAnsi="新宋体" w:eastAsia="新宋体" w:cs="新宋体"/>
          <w:b w:val="0"/>
          <w:bCs w:val="0"/>
          <w:color w:val="auto"/>
          <w:sz w:val="21"/>
          <w:szCs w:val="21"/>
          <w:u w:val="none"/>
          <w:lang w:val="en-US" w:eastAsia="zh-CN"/>
        </w:rPr>
        <w:t>）是否涉及节能产品：</w:t>
      </w:r>
    </w:p>
    <w:p w14:paraId="128463B2">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，《节能产品政府采购品目清单》的底级品目名称：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66A5549C">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2646EE91">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5B070C6B">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是否涉及环境标志产品：</w:t>
      </w:r>
    </w:p>
    <w:p w14:paraId="4F642D9F">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，《环境标志产品政府采购品目清单》的底级品目名称：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1AD3C3F2">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60D16CC3">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7915431E">
      <w:pPr>
        <w:pStyle w:val="61"/>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kern w:val="2"/>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b w:val="0"/>
          <w:bCs w:val="0"/>
          <w:color w:val="auto"/>
          <w:kern w:val="2"/>
          <w:sz w:val="21"/>
          <w:szCs w:val="21"/>
          <w:u w:val="none"/>
          <w:lang w:val="en-US" w:eastAsia="zh-CN"/>
        </w:rPr>
        <w:t>是否涉及绿色产品：</w:t>
      </w:r>
      <w:r>
        <w:rPr>
          <w:rFonts w:hint="eastAsia" w:ascii="新宋体" w:hAnsi="新宋体" w:eastAsia="新宋体" w:cs="新宋体"/>
          <w:iCs w:val="0"/>
          <w:color w:val="auto"/>
          <w:kern w:val="2"/>
          <w:sz w:val="21"/>
          <w:szCs w:val="21"/>
          <w:u w:val="none"/>
          <w:lang w:val="en-US" w:eastAsia="zh-CN"/>
        </w:rPr>
        <w:t xml:space="preserve"> </w:t>
      </w:r>
    </w:p>
    <w:p w14:paraId="0C439D15">
      <w:pPr>
        <w:pStyle w:val="61"/>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是</w:t>
      </w:r>
      <w:r>
        <w:rPr>
          <w:rFonts w:hint="eastAsia" w:ascii="新宋体" w:hAnsi="新宋体" w:eastAsia="新宋体" w:cs="新宋体"/>
          <w:iCs w:val="0"/>
          <w:color w:val="auto"/>
          <w:kern w:val="2"/>
          <w:sz w:val="21"/>
          <w:szCs w:val="21"/>
          <w:u w:val="none"/>
          <w:lang w:eastAsia="zh-CN"/>
        </w:rPr>
        <w:t>，绿色产品政府采购相关政策确定的底级品目名称：</w:t>
      </w:r>
      <w:r>
        <w:rPr>
          <w:rFonts w:hint="eastAsia" w:ascii="新宋体" w:hAnsi="新宋体" w:eastAsia="新宋体" w:cs="新宋体"/>
          <w:color w:val="auto"/>
          <w:sz w:val="21"/>
          <w:szCs w:val="21"/>
          <w:u w:val="single"/>
          <w:lang w:val="en-US" w:eastAsia="zh-CN"/>
        </w:rPr>
        <w:t xml:space="preserve">         </w:t>
      </w:r>
    </w:p>
    <w:p w14:paraId="71D1DC56">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2A5E6E4C">
      <w:pPr>
        <w:pStyle w:val="61"/>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否</w:t>
      </w:r>
    </w:p>
    <w:p w14:paraId="22E6143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lang w:val="en" w:eastAsia="zh-CN"/>
        </w:rPr>
        <w:t>1</w:t>
      </w:r>
      <w:r>
        <w:rPr>
          <w:rFonts w:hint="eastAsia" w:ascii="新宋体" w:hAnsi="新宋体" w:eastAsia="新宋体" w:cs="新宋体"/>
          <w:color w:val="auto"/>
          <w:sz w:val="21"/>
          <w:szCs w:val="21"/>
          <w:lang w:val="en-US" w:eastAsia="zh-CN"/>
        </w:rPr>
        <w:t>）涉及商品包装和快递包装的，是否参考</w:t>
      </w:r>
      <w:r>
        <w:rPr>
          <w:rFonts w:hint="eastAsia" w:ascii="新宋体" w:hAnsi="新宋体" w:eastAsia="新宋体" w:cs="新宋体"/>
          <w:color w:val="auto"/>
          <w:sz w:val="21"/>
          <w:szCs w:val="21"/>
        </w:rPr>
        <w:t>《商品包装政府采购需求标准（试行）》、《快递包装政府采购需求标准（试行）》</w:t>
      </w:r>
      <w:r>
        <w:rPr>
          <w:rFonts w:hint="eastAsia" w:ascii="新宋体" w:hAnsi="新宋体" w:eastAsia="新宋体" w:cs="新宋体"/>
          <w:color w:val="auto"/>
          <w:sz w:val="21"/>
          <w:szCs w:val="21"/>
          <w:lang w:eastAsia="zh-CN"/>
        </w:rPr>
        <w:t>明确产品及相关快递服务的具体包装要求：</w:t>
      </w:r>
    </w:p>
    <w:p w14:paraId="0626494F">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rPr>
        <w:t xml:space="preserve">是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不涉及</w:t>
      </w:r>
    </w:p>
    <w:p w14:paraId="5B7152E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新宋体" w:hAnsi="新宋体" w:eastAsia="新宋体" w:cs="新宋体"/>
          <w:b/>
          <w:color w:val="auto"/>
          <w:sz w:val="21"/>
          <w:szCs w:val="21"/>
          <w:highlight w:val="none"/>
        </w:rPr>
      </w:pPr>
      <w:r>
        <w:rPr>
          <w:rFonts w:hint="eastAsia" w:ascii="新宋体" w:hAnsi="新宋体" w:eastAsia="新宋体" w:cs="新宋体"/>
          <w:b/>
          <w:snapToGrid w:val="0"/>
          <w:color w:val="auto"/>
          <w:kern w:val="0"/>
          <w:sz w:val="21"/>
          <w:szCs w:val="21"/>
          <w:lang w:val="en-US" w:eastAsia="en-US" w:bidi="ar-SA"/>
        </w:rPr>
        <w:t>2.</w:t>
      </w:r>
      <w:r>
        <w:rPr>
          <w:rFonts w:hint="eastAsia" w:ascii="新宋体" w:hAnsi="新宋体" w:eastAsia="新宋体" w:cs="新宋体"/>
          <w:b/>
          <w:color w:val="auto"/>
          <w:sz w:val="21"/>
          <w:szCs w:val="21"/>
          <w:highlight w:val="none"/>
        </w:rPr>
        <w:t>合同金额</w:t>
      </w:r>
    </w:p>
    <w:p w14:paraId="4BD3A0AC">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（1）合同金额小写：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2EE330DF">
      <w:pPr>
        <w:keepNext w:val="0"/>
        <w:keepLines w:val="0"/>
        <w:pageBreakBefore w:val="0"/>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t>大写：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1746085E">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u w:val="single"/>
        </w:rPr>
        <w:t>合同总价款包含：设备款、包装费、运输费、安装调试费、培训费、保修服务费、税金等所有费用。</w:t>
      </w:r>
    </w:p>
    <w:p w14:paraId="09166F3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合同定价方式</w:t>
      </w:r>
      <w:r>
        <w:rPr>
          <w:rFonts w:hint="eastAsia" w:ascii="新宋体" w:hAnsi="新宋体" w:eastAsia="新宋体" w:cs="新宋体"/>
          <w:color w:val="auto"/>
          <w:sz w:val="21"/>
          <w:szCs w:val="21"/>
          <w:lang w:eastAsia="zh-CN"/>
        </w:rPr>
        <w:t>（采用组合定价方式的，可以勾选多项）</w:t>
      </w:r>
      <w:r>
        <w:rPr>
          <w:rFonts w:hint="eastAsia" w:ascii="新宋体" w:hAnsi="新宋体" w:eastAsia="新宋体" w:cs="新宋体"/>
          <w:color w:val="auto"/>
          <w:sz w:val="21"/>
          <w:szCs w:val="21"/>
        </w:rPr>
        <w:t>：</w:t>
      </w:r>
    </w:p>
    <w:p w14:paraId="5B0AA506">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固定总价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固定单价</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固定费率</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成本补偿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绩效激励</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其他</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w:t>
      </w:r>
      <w:r>
        <w:rPr>
          <w:rFonts w:hint="eastAsia" w:ascii="新宋体" w:hAnsi="新宋体" w:eastAsia="新宋体" w:cs="新宋体"/>
          <w:color w:val="auto"/>
          <w:sz w:val="21"/>
          <w:szCs w:val="21"/>
          <w:u w:val="single"/>
        </w:rPr>
        <w:t xml:space="preserve">   </w:t>
      </w:r>
    </w:p>
    <w:p w14:paraId="6FD0F8FA">
      <w:pPr>
        <w:pStyle w:val="62"/>
        <w:keepNext w:val="0"/>
        <w:keepLines w:val="0"/>
        <w:pageBreakBefore w:val="0"/>
        <w:kinsoku/>
        <w:wordWrap/>
        <w:overflowPunct/>
        <w:topLinePunct w:val="0"/>
        <w:bidi w:val="0"/>
        <w:adjustRightInd w:val="0"/>
        <w:spacing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rPr>
        <w:t>）付款方式：</w:t>
      </w:r>
    </w:p>
    <w:p w14:paraId="4366BFCA">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sym w:font="Wingdings" w:char="00A8"/>
      </w:r>
      <w:r>
        <w:rPr>
          <w:rFonts w:hint="eastAsia" w:ascii="新宋体" w:hAnsi="新宋体" w:eastAsia="新宋体" w:cs="新宋体"/>
          <w:color w:val="auto"/>
          <w:sz w:val="21"/>
          <w:szCs w:val="21"/>
          <w:u w:val="none"/>
        </w:rPr>
        <w:t>全额付款：</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（应明确一次性支付合同款项的条件）</w:t>
      </w:r>
      <w:r>
        <w:rPr>
          <w:rFonts w:hint="eastAsia" w:ascii="新宋体" w:hAnsi="新宋体" w:eastAsia="新宋体" w:cs="新宋体"/>
          <w:color w:val="auto"/>
          <w:sz w:val="21"/>
          <w:szCs w:val="21"/>
          <w:u w:val="none"/>
        </w:rPr>
        <w:t xml:space="preserve">  </w:t>
      </w:r>
    </w:p>
    <w:p w14:paraId="450A9DFE">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color w:val="auto"/>
          <w:sz w:val="21"/>
          <w:szCs w:val="21"/>
          <w:u w:val="none"/>
        </w:rPr>
        <w:t>分期付款：</w:t>
      </w:r>
      <w:r>
        <w:rPr>
          <w:rFonts w:hint="eastAsia" w:ascii="新宋体" w:hAnsi="新宋体" w:eastAsia="新宋体" w:cs="新宋体"/>
          <w:color w:val="auto"/>
          <w:sz w:val="21"/>
          <w:szCs w:val="21"/>
          <w:u w:val="single"/>
        </w:rPr>
        <w:t xml:space="preserve">  （应明确分期支付合同款项的各期比例和支付条件，各期支付条件应与分 期履约验收情况挂钩）  ，</w:t>
      </w:r>
      <w:r>
        <w:rPr>
          <w:rFonts w:hint="eastAsia" w:ascii="新宋体" w:hAnsi="新宋体" w:eastAsia="新宋体" w:cs="新宋体"/>
          <w:color w:val="auto"/>
          <w:sz w:val="21"/>
          <w:szCs w:val="21"/>
          <w:u w:val="none"/>
        </w:rPr>
        <w:t xml:space="preserve">其中涉及预付款的： </w:t>
      </w:r>
      <w:r>
        <w:rPr>
          <w:rFonts w:hint="eastAsia" w:ascii="新宋体" w:hAnsi="新宋体" w:eastAsia="新宋体" w:cs="新宋体"/>
          <w:color w:val="auto"/>
          <w:sz w:val="21"/>
          <w:szCs w:val="21"/>
          <w:u w:val="single"/>
        </w:rPr>
        <w:t>（应明确预付款的支付比例和支付条件）</w:t>
      </w:r>
      <w:r>
        <w:rPr>
          <w:rFonts w:hint="eastAsia" w:ascii="新宋体" w:hAnsi="新宋体" w:eastAsia="新宋体" w:cs="新宋体"/>
          <w:color w:val="auto"/>
          <w:sz w:val="21"/>
          <w:szCs w:val="21"/>
          <w:u w:val="none"/>
        </w:rPr>
        <w:t xml:space="preserve">  </w:t>
      </w:r>
    </w:p>
    <w:p w14:paraId="540A44FE">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color w:val="auto"/>
          <w:sz w:val="21"/>
          <w:szCs w:val="21"/>
          <w:u w:val="none"/>
        </w:rPr>
        <w:t>成本补偿：</w:t>
      </w:r>
      <w:r>
        <w:rPr>
          <w:rFonts w:hint="eastAsia" w:ascii="新宋体" w:hAnsi="新宋体" w:eastAsia="新宋体" w:cs="新宋体"/>
          <w:color w:val="auto"/>
          <w:sz w:val="21"/>
          <w:szCs w:val="21"/>
          <w:u w:val="single"/>
        </w:rPr>
        <w:t xml:space="preserve">      （应明确按照成本补偿方式的支付方式和支付条件）</w:t>
      </w:r>
      <w:r>
        <w:rPr>
          <w:rFonts w:hint="eastAsia" w:ascii="新宋体" w:hAnsi="新宋体" w:eastAsia="新宋体" w:cs="新宋体"/>
          <w:color w:val="auto"/>
          <w:sz w:val="21"/>
          <w:szCs w:val="21"/>
          <w:u w:val="none"/>
        </w:rPr>
        <w:t xml:space="preserve">    </w:t>
      </w:r>
    </w:p>
    <w:p w14:paraId="2F580039">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color w:val="auto"/>
          <w:sz w:val="21"/>
          <w:szCs w:val="21"/>
          <w:u w:val="none"/>
        </w:rPr>
        <w:t>绩效激励：</w:t>
      </w:r>
      <w:r>
        <w:rPr>
          <w:rFonts w:hint="eastAsia" w:ascii="新宋体" w:hAnsi="新宋体" w:eastAsia="新宋体" w:cs="新宋体"/>
          <w:color w:val="auto"/>
          <w:sz w:val="21"/>
          <w:szCs w:val="21"/>
          <w:u w:val="single"/>
        </w:rPr>
        <w:t xml:space="preserve">      （应明确按照绩效激励方式的支付方式和支付条件）</w:t>
      </w:r>
    </w:p>
    <w:p w14:paraId="174027A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color w:val="auto"/>
          <w:sz w:val="21"/>
          <w:szCs w:val="21"/>
          <w:u w:val="single"/>
        </w:rPr>
      </w:pPr>
      <w:r>
        <w:rPr>
          <w:rFonts w:hint="eastAsia" w:ascii="新宋体" w:hAnsi="新宋体" w:eastAsia="新宋体" w:cs="新宋体"/>
          <w:b/>
          <w:bCs w:val="0"/>
          <w:snapToGrid w:val="0"/>
          <w:color w:val="auto"/>
          <w:kern w:val="0"/>
          <w:sz w:val="21"/>
          <w:szCs w:val="21"/>
          <w:lang w:val="en-US" w:eastAsia="en-US" w:bidi="ar-SA"/>
        </w:rPr>
        <w:t>3.</w:t>
      </w:r>
      <w:r>
        <w:rPr>
          <w:rFonts w:hint="eastAsia" w:ascii="新宋体" w:hAnsi="新宋体" w:eastAsia="新宋体" w:cs="新宋体"/>
          <w:b/>
          <w:bCs w:val="0"/>
          <w:color w:val="auto"/>
          <w:sz w:val="21"/>
          <w:szCs w:val="21"/>
        </w:rPr>
        <w:t>合同履行</w:t>
      </w:r>
    </w:p>
    <w:p w14:paraId="78FD56EF">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（1）起始日期：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日，完成日期：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w:t>
      </w:r>
    </w:p>
    <w:p w14:paraId="5A36958A">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color w:val="auto"/>
          <w:sz w:val="21"/>
          <w:szCs w:val="21"/>
        </w:rPr>
        <w:t>（2）</w:t>
      </w:r>
      <w:r>
        <w:rPr>
          <w:rFonts w:hint="eastAsia" w:ascii="新宋体" w:hAnsi="新宋体" w:eastAsia="新宋体" w:cs="新宋体"/>
          <w:color w:val="auto"/>
          <w:sz w:val="21"/>
          <w:szCs w:val="21"/>
          <w:lang w:eastAsia="zh-CN"/>
        </w:rPr>
        <w:t>履约</w:t>
      </w:r>
      <w:r>
        <w:rPr>
          <w:rFonts w:hint="eastAsia" w:ascii="新宋体" w:hAnsi="新宋体" w:eastAsia="新宋体" w:cs="新宋体"/>
          <w:color w:val="auto"/>
          <w:sz w:val="21"/>
          <w:szCs w:val="21"/>
        </w:rPr>
        <w:t>地点</w:t>
      </w:r>
      <w:r>
        <w:rPr>
          <w:rFonts w:hint="eastAsia" w:ascii="新宋体" w:hAnsi="新宋体" w:eastAsia="新宋体" w:cs="新宋体"/>
          <w:b w:val="0"/>
          <w:bCs/>
          <w:color w:val="auto"/>
          <w:sz w:val="21"/>
          <w:szCs w:val="21"/>
        </w:rPr>
        <w:t>：</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p>
    <w:p w14:paraId="2A7269BD">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bCs/>
          <w:color w:val="auto"/>
          <w:sz w:val="21"/>
          <w:szCs w:val="21"/>
        </w:rPr>
        <w:t>（3）</w:t>
      </w:r>
      <w:r>
        <w:rPr>
          <w:rFonts w:hint="eastAsia" w:ascii="新宋体" w:hAnsi="新宋体" w:eastAsia="新宋体" w:cs="新宋体"/>
          <w:color w:val="auto"/>
          <w:sz w:val="21"/>
          <w:szCs w:val="21"/>
          <w:lang w:val="en-US" w:eastAsia="zh-CN"/>
        </w:rPr>
        <w:t>是否收取履约保证金：</w:t>
      </w:r>
      <w:r>
        <w:rPr>
          <w:rFonts w:hint="eastAsia" w:ascii="新宋体" w:hAnsi="新宋体" w:eastAsia="新宋体" w:cs="新宋体"/>
          <w:color w:val="auto"/>
          <w:sz w:val="21"/>
          <w:szCs w:val="21"/>
        </w:rPr>
        <w:sym w:font="Wingdings" w:char="00A8"/>
      </w:r>
      <w:r>
        <w:rPr>
          <w:rFonts w:hint="eastAsia" w:ascii="新宋体" w:hAnsi="新宋体" w:eastAsia="新宋体" w:cs="新宋体"/>
          <w:color w:val="auto"/>
          <w:sz w:val="21"/>
          <w:szCs w:val="21"/>
          <w:lang w:eastAsia="zh-CN"/>
        </w:rPr>
        <w:t>是</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sym w:font="Wingdings" w:char="00FE"/>
      </w:r>
      <w:r>
        <w:rPr>
          <w:rFonts w:hint="eastAsia" w:ascii="新宋体" w:hAnsi="新宋体" w:eastAsia="新宋体" w:cs="新宋体"/>
          <w:color w:val="auto"/>
          <w:sz w:val="21"/>
          <w:szCs w:val="21"/>
          <w:lang w:eastAsia="zh-CN"/>
        </w:rPr>
        <w:t>否</w:t>
      </w:r>
    </w:p>
    <w:p w14:paraId="42AABA9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u w:val="single"/>
        </w:rPr>
      </w:pPr>
      <w:r>
        <w:rPr>
          <w:rFonts w:hint="eastAsia" w:ascii="新宋体" w:hAnsi="新宋体" w:eastAsia="新宋体" w:cs="新宋体"/>
          <w:bCs/>
          <w:color w:val="auto"/>
          <w:sz w:val="21"/>
          <w:szCs w:val="21"/>
        </w:rPr>
        <w:t>（4）分期履行要求：</w:t>
      </w:r>
      <w:r>
        <w:rPr>
          <w:rFonts w:hint="eastAsia" w:ascii="新宋体" w:hAnsi="新宋体" w:eastAsia="新宋体" w:cs="新宋体"/>
          <w:bCs/>
          <w:color w:val="auto"/>
          <w:sz w:val="21"/>
          <w:szCs w:val="21"/>
          <w:u w:val="single"/>
        </w:rPr>
        <w:t xml:space="preserve"> 合同签订后     日历天内将所供设备运送到甲方指定位置，并负责设备安装、验收和调试，承担运输、保管、安装、调试、验收合格移交甲方之前的所有风险责任和费用。</w:t>
      </w:r>
    </w:p>
    <w:p w14:paraId="4BE710D8">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u w:val="single"/>
        </w:rPr>
        <w:t>从装机培训验收合格之日起，乙方对本合同设备提供厂家    年免费保修，提供不定期上门维保服务。保修期内免费上门维修</w:t>
      </w:r>
      <w:r>
        <w:rPr>
          <w:rFonts w:hint="eastAsia" w:ascii="新宋体" w:hAnsi="新宋体" w:eastAsia="新宋体" w:cs="新宋体"/>
          <w:bCs/>
          <w:color w:val="auto"/>
          <w:sz w:val="21"/>
          <w:szCs w:val="21"/>
          <w:u w:val="single"/>
          <w:lang w:eastAsia="zh-CN"/>
        </w:rPr>
        <w:t>，</w:t>
      </w:r>
      <w:r>
        <w:rPr>
          <w:rFonts w:hint="eastAsia" w:ascii="新宋体" w:hAnsi="新宋体" w:eastAsia="新宋体" w:cs="新宋体"/>
          <w:bCs/>
          <w:color w:val="auto"/>
          <w:sz w:val="21"/>
          <w:szCs w:val="21"/>
          <w:u w:val="single"/>
        </w:rPr>
        <w:t>提供保修期外维修服务。保修期外，收取维修成本费。</w:t>
      </w:r>
    </w:p>
    <w:p w14:paraId="4034A12C">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bCs/>
          <w:color w:val="auto"/>
          <w:sz w:val="21"/>
          <w:szCs w:val="21"/>
        </w:rPr>
        <w:t>（5）</w:t>
      </w:r>
      <w:r>
        <w:rPr>
          <w:rFonts w:hint="eastAsia" w:ascii="新宋体" w:hAnsi="新宋体" w:eastAsia="新宋体" w:cs="新宋体"/>
          <w:bCs/>
          <w:color w:val="auto"/>
          <w:sz w:val="21"/>
          <w:szCs w:val="21"/>
          <w:lang w:eastAsia="zh-CN"/>
        </w:rPr>
        <w:t>风险处置措施和替代方案</w:t>
      </w:r>
      <w:r>
        <w:rPr>
          <w:rFonts w:hint="eastAsia" w:ascii="新宋体" w:hAnsi="新宋体" w:eastAsia="新宋体" w:cs="新宋体"/>
          <w:bCs/>
          <w:color w:val="auto"/>
          <w:sz w:val="21"/>
          <w:szCs w:val="21"/>
        </w:rPr>
        <w:t>：</w:t>
      </w:r>
      <w:r>
        <w:rPr>
          <w:rFonts w:hint="eastAsia" w:ascii="新宋体" w:hAnsi="新宋体" w:eastAsia="新宋体" w:cs="新宋体"/>
          <w:color w:val="auto"/>
          <w:sz w:val="21"/>
          <w:szCs w:val="21"/>
          <w:u w:val="single"/>
        </w:rPr>
        <w:t>乙方在接到甲方电话通知后（乙方联系电话以本合同约定为准）、 （  ）小时内予以响应，    小时内到达现场，到达现场后    小时诊断故障，疑难故障乙方提供备用机。保修期内乙方不能按合同约定履行维修义务，甲方有权委托第三方维修，因此产生的费用由乙方承担。</w:t>
      </w:r>
    </w:p>
    <w:p w14:paraId="08BC7AB3">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4.</w:t>
      </w:r>
      <w:r>
        <w:rPr>
          <w:rFonts w:hint="eastAsia" w:ascii="新宋体" w:hAnsi="新宋体" w:eastAsia="新宋体" w:cs="新宋体"/>
          <w:b/>
          <w:bCs w:val="0"/>
          <w:snapToGrid w:val="0"/>
          <w:color w:val="auto"/>
          <w:kern w:val="0"/>
          <w:sz w:val="21"/>
          <w:szCs w:val="21"/>
          <w:lang w:val="en-US" w:eastAsia="en-US" w:bidi="ar-SA"/>
        </w:rPr>
        <w:t>合同验收</w:t>
      </w:r>
    </w:p>
    <w:p w14:paraId="434B3512">
      <w:pPr>
        <w:numPr>
          <w:ilvl w:val="0"/>
          <w:numId w:val="10"/>
        </w:numPr>
        <w:adjustRightInd w:val="0"/>
        <w:snapToGrid w:val="0"/>
        <w:spacing w:before="0" w:beforeLines="0" w:line="400" w:lineRule="exact"/>
        <w:ind w:firstLine="44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578095E7">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D15CCDB">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C26ECE5">
      <w:pPr>
        <w:adjustRightInd w:val="0"/>
        <w:snapToGrid w:val="0"/>
        <w:spacing w:before="0" w:beforeLines="0" w:line="400" w:lineRule="exact"/>
        <w:ind w:firstLine="88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DBB6979">
      <w:pPr>
        <w:adjustRightInd w:val="0"/>
        <w:snapToGrid w:val="0"/>
        <w:spacing w:before="0" w:beforeLines="0" w:line="400" w:lineRule="exact"/>
        <w:ind w:firstLine="88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29E157A">
      <w:pPr>
        <w:adjustRightInd w:val="0"/>
        <w:snapToGrid w:val="0"/>
        <w:spacing w:before="0" w:beforeLines="0" w:line="400" w:lineRule="exact"/>
        <w:ind w:firstLine="88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C8AA2D7">
      <w:pPr>
        <w:adjustRightInd w:val="0"/>
        <w:snapToGrid w:val="0"/>
        <w:spacing w:before="0" w:beforeLines="0" w:line="400" w:lineRule="exact"/>
        <w:ind w:firstLine="88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2BB2229E">
      <w:pPr>
        <w:adjustRightInd w:val="0"/>
        <w:snapToGrid w:val="0"/>
        <w:spacing w:before="0" w:beforeLines="0" w:line="400" w:lineRule="exact"/>
        <w:ind w:firstLine="88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292658C">
      <w:pPr>
        <w:adjustRightInd w:val="0"/>
        <w:snapToGrid w:val="0"/>
        <w:spacing w:before="0" w:beforeLines="0" w:line="400" w:lineRule="exact"/>
        <w:ind w:firstLine="88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4D64E83E">
      <w:pPr>
        <w:adjustRightInd w:val="0"/>
        <w:snapToGrid w:val="0"/>
        <w:spacing w:before="0" w:beforeLines="0" w:line="400" w:lineRule="exact"/>
        <w:ind w:firstLine="88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B572B12">
      <w:pPr>
        <w:adjustRightInd w:val="0"/>
        <w:snapToGrid w:val="0"/>
        <w:spacing w:before="0" w:beforeLines="0" w:line="400" w:lineRule="exact"/>
        <w:ind w:firstLine="44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B326527">
      <w:pPr>
        <w:adjustRightInd w:val="0"/>
        <w:snapToGrid w:val="0"/>
        <w:spacing w:before="0" w:beforeLines="0" w:line="400" w:lineRule="exact"/>
        <w:ind w:firstLine="44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72A313BD">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19332668">
      <w:pPr>
        <w:adjustRightInd w:val="0"/>
        <w:snapToGrid w:val="0"/>
        <w:spacing w:before="0" w:beforeLines="0" w:line="400" w:lineRule="exact"/>
        <w:ind w:firstLine="44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E784254">
      <w:pPr>
        <w:adjustRightInd w:val="0"/>
        <w:snapToGrid w:val="0"/>
        <w:spacing w:before="0" w:beforeLines="0" w:line="400" w:lineRule="exact"/>
        <w:ind w:firstLine="44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354EF87A">
      <w:pPr>
        <w:adjustRightInd w:val="0"/>
        <w:snapToGrid w:val="0"/>
        <w:spacing w:before="0" w:beforeLines="0" w:line="400" w:lineRule="exact"/>
        <w:ind w:firstLine="44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712A382">
      <w:pPr>
        <w:pStyle w:val="61"/>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6121893">
      <w:pPr>
        <w:adjustRightInd w:val="0"/>
        <w:snapToGrid w:val="0"/>
        <w:spacing w:before="0" w:beforeLines="0" w:line="400" w:lineRule="exact"/>
        <w:ind w:firstLine="44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B2FF5D4">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5.</w:t>
      </w:r>
      <w:r>
        <w:rPr>
          <w:rFonts w:hint="eastAsia" w:ascii="新宋体" w:hAnsi="新宋体" w:eastAsia="新宋体" w:cs="新宋体"/>
          <w:b/>
          <w:bCs w:val="0"/>
          <w:snapToGrid w:val="0"/>
          <w:color w:val="auto"/>
          <w:kern w:val="0"/>
          <w:sz w:val="21"/>
          <w:szCs w:val="21"/>
          <w:lang w:val="en-US" w:eastAsia="en-US" w:bidi="ar-SA"/>
        </w:rPr>
        <w:t>组成合同的文件</w:t>
      </w:r>
    </w:p>
    <w:p w14:paraId="4E6A783B">
      <w:pPr>
        <w:adjustRightInd w:val="0"/>
        <w:snapToGrid w:val="0"/>
        <w:spacing w:before="0" w:beforeLines="0" w:line="400" w:lineRule="exact"/>
        <w:ind w:firstLine="44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E8994A6">
      <w:pPr>
        <w:adjustRightInd w:val="0"/>
        <w:snapToGrid w:val="0"/>
        <w:spacing w:before="0" w:beforeLines="0" w:line="400" w:lineRule="exact"/>
        <w:ind w:firstLine="44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0481B623">
      <w:pPr>
        <w:adjustRightInd w:val="0"/>
        <w:snapToGrid w:val="0"/>
        <w:spacing w:before="0" w:beforeLines="0" w:line="400" w:lineRule="exact"/>
        <w:ind w:firstLine="44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D5423DB">
      <w:pPr>
        <w:adjustRightInd w:val="0"/>
        <w:snapToGrid w:val="0"/>
        <w:spacing w:before="0" w:beforeLines="0" w:line="400" w:lineRule="exact"/>
        <w:ind w:firstLine="44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04795FC">
      <w:pPr>
        <w:adjustRightInd w:val="0"/>
        <w:snapToGrid w:val="0"/>
        <w:spacing w:before="0" w:beforeLines="0" w:line="400" w:lineRule="exact"/>
        <w:ind w:firstLine="44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BA138FE">
      <w:pPr>
        <w:adjustRightInd w:val="0"/>
        <w:snapToGrid w:val="0"/>
        <w:spacing w:before="0" w:beforeLines="0" w:line="400" w:lineRule="exact"/>
        <w:ind w:firstLine="44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10EAC64B">
      <w:pPr>
        <w:adjustRightInd w:val="0"/>
        <w:snapToGrid w:val="0"/>
        <w:spacing w:before="0" w:beforeLines="0" w:line="400" w:lineRule="exact"/>
        <w:ind w:firstLine="440" w:firstLineChars="200"/>
        <w:rPr>
          <w:rFonts w:ascii="宋体" w:hAnsi="宋体"/>
          <w:szCs w:val="21"/>
        </w:rPr>
      </w:pPr>
      <w:r>
        <w:rPr>
          <w:rFonts w:hint="eastAsia" w:ascii="宋体" w:hAnsi="宋体"/>
          <w:szCs w:val="21"/>
        </w:rPr>
        <w:t>（6）采购文件</w:t>
      </w:r>
    </w:p>
    <w:p w14:paraId="56670FAC">
      <w:pPr>
        <w:adjustRightInd w:val="0"/>
        <w:snapToGrid w:val="0"/>
        <w:spacing w:before="0" w:beforeLines="0" w:line="400" w:lineRule="exact"/>
        <w:ind w:firstLine="440" w:firstLineChars="200"/>
        <w:rPr>
          <w:rFonts w:ascii="宋体" w:hAnsi="宋体"/>
          <w:szCs w:val="21"/>
        </w:rPr>
      </w:pPr>
      <w:r>
        <w:rPr>
          <w:rFonts w:hint="eastAsia" w:ascii="宋体" w:hAnsi="宋体"/>
          <w:szCs w:val="21"/>
        </w:rPr>
        <w:t>（7）有关技术文件，图纸</w:t>
      </w:r>
    </w:p>
    <w:p w14:paraId="70D9B0FD">
      <w:pPr>
        <w:pStyle w:val="61"/>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63A1233D">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6.</w:t>
      </w:r>
      <w:r>
        <w:rPr>
          <w:rFonts w:hint="eastAsia" w:ascii="新宋体" w:hAnsi="新宋体" w:eastAsia="新宋体" w:cs="新宋体"/>
          <w:b/>
          <w:bCs w:val="0"/>
          <w:snapToGrid w:val="0"/>
          <w:color w:val="auto"/>
          <w:kern w:val="0"/>
          <w:sz w:val="21"/>
          <w:szCs w:val="21"/>
          <w:lang w:val="en-US" w:eastAsia="en-US" w:bidi="ar-SA"/>
        </w:rPr>
        <w:t>合同生效</w:t>
      </w:r>
    </w:p>
    <w:p w14:paraId="1FFD26EC">
      <w:pPr>
        <w:adjustRightInd w:val="0"/>
        <w:snapToGrid w:val="0"/>
        <w:spacing w:before="0" w:beforeLines="0" w:line="400" w:lineRule="exact"/>
        <w:ind w:firstLine="44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3C6721F5">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zh-CN" w:bidi="ar-SA"/>
        </w:rPr>
      </w:pPr>
      <w:r>
        <w:rPr>
          <w:rFonts w:hint="eastAsia" w:ascii="新宋体" w:hAnsi="新宋体" w:eastAsia="新宋体" w:cs="新宋体"/>
          <w:b/>
          <w:bCs w:val="0"/>
          <w:snapToGrid w:val="0"/>
          <w:color w:val="auto"/>
          <w:kern w:val="0"/>
          <w:sz w:val="21"/>
          <w:szCs w:val="21"/>
          <w:lang w:val="en-US" w:eastAsia="zh-CN" w:bidi="ar-SA"/>
        </w:rPr>
        <w:t>7.合同份数</w:t>
      </w:r>
    </w:p>
    <w:p w14:paraId="277029E8">
      <w:pPr>
        <w:adjustRightInd w:val="0"/>
        <w:snapToGrid w:val="0"/>
        <w:spacing w:before="0" w:beforeLines="0" w:line="400" w:lineRule="exact"/>
        <w:ind w:firstLine="44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03464744">
      <w:pPr>
        <w:adjustRightInd w:val="0"/>
        <w:snapToGrid w:val="0"/>
        <w:spacing w:before="0" w:beforeLines="0" w:line="400" w:lineRule="exact"/>
        <w:ind w:firstLine="44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39E3A9A">
      <w:pPr>
        <w:adjustRightInd w:val="0"/>
        <w:snapToGrid w:val="0"/>
        <w:spacing w:before="0" w:beforeLines="0" w:line="400" w:lineRule="exact"/>
        <w:ind w:firstLine="440" w:firstLineChars="200"/>
        <w:rPr>
          <w:rFonts w:hint="eastAsia" w:ascii="宋体" w:hAnsi="宋体"/>
          <w:szCs w:val="21"/>
          <w:u w:val="single"/>
        </w:rPr>
      </w:pPr>
      <w:r>
        <w:rPr>
          <w:rFonts w:hint="eastAsia" w:ascii="宋体" w:hAnsi="宋体"/>
          <w:szCs w:val="21"/>
        </w:rPr>
        <w:t>合同订立地点：</w:t>
      </w:r>
      <w:r>
        <w:rPr>
          <w:rFonts w:hint="eastAsia" w:ascii="宋体" w:hAnsi="宋体"/>
          <w:szCs w:val="21"/>
          <w:u w:val="single"/>
        </w:rPr>
        <w:t xml:space="preserve">                           </w:t>
      </w:r>
    </w:p>
    <w:p w14:paraId="1C215B9C">
      <w:pPr>
        <w:keepNext w:val="0"/>
        <w:keepLines w:val="0"/>
        <w:pageBreakBefore w:val="0"/>
        <w:kinsoku/>
        <w:wordWrap/>
        <w:overflowPunct/>
        <w:topLinePunct w:val="0"/>
        <w:bidi w:val="0"/>
        <w:adjustRightInd w:val="0"/>
        <w:snapToGrid w:val="0"/>
        <w:spacing w:before="0" w:beforeLines="0" w:line="400" w:lineRule="exact"/>
        <w:ind w:left="0" w:leftChars="0" w:firstLine="440" w:firstLineChars="200"/>
        <w:textAlignment w:val="auto"/>
        <w:outlineLvl w:val="9"/>
        <w:rPr>
          <w:rFonts w:hint="default" w:ascii="新宋体" w:hAnsi="新宋体" w:eastAsia="新宋体" w:cs="新宋体"/>
          <w:color w:val="auto"/>
          <w:sz w:val="21"/>
          <w:szCs w:val="21"/>
          <w:u w:val="single"/>
          <w:lang w:val="en-US" w:eastAsia="zh-CN"/>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tbl>
      <w:tblPr>
        <w:tblStyle w:val="27"/>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61"/>
        <w:gridCol w:w="2568"/>
        <w:gridCol w:w="2221"/>
        <w:gridCol w:w="2377"/>
      </w:tblGrid>
      <w:tr w14:paraId="462D69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noWrap w:val="0"/>
            <w:vAlign w:val="center"/>
          </w:tcPr>
          <w:p w14:paraId="4C3A2875">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甲方（采购人）</w:t>
            </w:r>
          </w:p>
        </w:tc>
        <w:tc>
          <w:tcPr>
            <w:tcW w:w="2438" w:type="pct"/>
            <w:gridSpan w:val="2"/>
            <w:tcBorders>
              <w:left w:val="single" w:color="auto" w:sz="2" w:space="0"/>
              <w:bottom w:val="single" w:color="auto" w:sz="2" w:space="0"/>
            </w:tcBorders>
            <w:noWrap w:val="0"/>
            <w:vAlign w:val="center"/>
          </w:tcPr>
          <w:p w14:paraId="5EF0BE2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乙方（供应商）</w:t>
            </w:r>
          </w:p>
        </w:tc>
      </w:tr>
      <w:tr w14:paraId="6D824C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99" w:type="pct"/>
            <w:tcBorders>
              <w:top w:val="single" w:color="auto" w:sz="2" w:space="0"/>
              <w:bottom w:val="single" w:color="auto" w:sz="2" w:space="0"/>
              <w:right w:val="single" w:color="auto" w:sz="2" w:space="0"/>
            </w:tcBorders>
            <w:noWrap w:val="0"/>
            <w:vAlign w:val="center"/>
          </w:tcPr>
          <w:p w14:paraId="08B8A71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528787B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26FC48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0FD1C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4B03A11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260" w:type="pct"/>
            <w:tcBorders>
              <w:top w:val="single" w:color="auto" w:sz="2" w:space="0"/>
              <w:left w:val="single" w:color="auto" w:sz="2" w:space="0"/>
              <w:bottom w:val="single" w:color="auto" w:sz="2" w:space="0"/>
            </w:tcBorders>
            <w:noWrap w:val="0"/>
            <w:vAlign w:val="center"/>
          </w:tcPr>
          <w:p w14:paraId="733BD812">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E931F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2" w:hRule="atLeast"/>
        </w:trPr>
        <w:tc>
          <w:tcPr>
            <w:tcW w:w="1199" w:type="pct"/>
            <w:vMerge w:val="restart"/>
            <w:tcBorders>
              <w:top w:val="single" w:color="auto" w:sz="2" w:space="0"/>
              <w:right w:val="single" w:color="auto" w:sz="2" w:space="0"/>
            </w:tcBorders>
            <w:noWrap w:val="0"/>
            <w:vAlign w:val="center"/>
          </w:tcPr>
          <w:p w14:paraId="78D9370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5CB7A1A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082629D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361" w:type="pct"/>
            <w:vMerge w:val="restart"/>
            <w:tcBorders>
              <w:top w:val="single" w:color="auto" w:sz="2" w:space="0"/>
              <w:left w:val="single" w:color="auto" w:sz="2" w:space="0"/>
              <w:right w:val="single" w:color="auto" w:sz="2" w:space="0"/>
            </w:tcBorders>
            <w:noWrap w:val="0"/>
            <w:vAlign w:val="center"/>
          </w:tcPr>
          <w:p w14:paraId="26EF88B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right w:val="single" w:color="auto" w:sz="2" w:space="0"/>
            </w:tcBorders>
            <w:noWrap w:val="0"/>
            <w:vAlign w:val="center"/>
          </w:tcPr>
          <w:p w14:paraId="6E6DDE5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4262701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7083B43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260" w:type="pct"/>
            <w:tcBorders>
              <w:top w:val="single" w:color="auto" w:sz="2" w:space="0"/>
              <w:left w:val="single" w:color="auto" w:sz="2" w:space="0"/>
              <w:bottom w:val="single" w:color="auto" w:sz="2" w:space="0"/>
            </w:tcBorders>
            <w:noWrap w:val="0"/>
            <w:vAlign w:val="center"/>
          </w:tcPr>
          <w:p w14:paraId="125D26E8">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r w14:paraId="08141F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vMerge w:val="continue"/>
            <w:tcBorders>
              <w:bottom w:val="single" w:color="auto" w:sz="2" w:space="0"/>
              <w:right w:val="single" w:color="auto" w:sz="2" w:space="0"/>
            </w:tcBorders>
            <w:noWrap w:val="0"/>
            <w:vAlign w:val="center"/>
          </w:tcPr>
          <w:p w14:paraId="23D3548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vMerge w:val="continue"/>
            <w:tcBorders>
              <w:left w:val="single" w:color="auto" w:sz="2" w:space="0"/>
              <w:bottom w:val="single" w:color="auto" w:sz="2" w:space="0"/>
              <w:right w:val="single" w:color="auto" w:sz="2" w:space="0"/>
            </w:tcBorders>
            <w:noWrap w:val="0"/>
            <w:vAlign w:val="center"/>
          </w:tcPr>
          <w:p w14:paraId="7116048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43CD7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拥有者性别</w:t>
            </w:r>
          </w:p>
        </w:tc>
        <w:tc>
          <w:tcPr>
            <w:tcW w:w="1260" w:type="pct"/>
            <w:tcBorders>
              <w:top w:val="single" w:color="auto" w:sz="2" w:space="0"/>
              <w:left w:val="single" w:color="auto" w:sz="2" w:space="0"/>
              <w:bottom w:val="single" w:color="auto" w:sz="2" w:space="0"/>
            </w:tcBorders>
            <w:noWrap w:val="0"/>
            <w:vAlign w:val="center"/>
          </w:tcPr>
          <w:p w14:paraId="231CD28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7F0E5E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4DDC827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54A3AE9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D5B05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260" w:type="pct"/>
            <w:tcBorders>
              <w:top w:val="single" w:color="auto" w:sz="2" w:space="0"/>
              <w:left w:val="single" w:color="auto" w:sz="2" w:space="0"/>
              <w:bottom w:val="single" w:color="auto" w:sz="2" w:space="0"/>
            </w:tcBorders>
            <w:noWrap w:val="0"/>
            <w:vAlign w:val="center"/>
          </w:tcPr>
          <w:p w14:paraId="2C01EB35">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0CB4C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04280F3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425B9C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C0E8D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260" w:type="pct"/>
            <w:tcBorders>
              <w:top w:val="single" w:color="auto" w:sz="2" w:space="0"/>
              <w:left w:val="single" w:color="auto" w:sz="2" w:space="0"/>
              <w:bottom w:val="single" w:color="auto" w:sz="2" w:space="0"/>
            </w:tcBorders>
            <w:noWrap w:val="0"/>
            <w:vAlign w:val="center"/>
          </w:tcPr>
          <w:p w14:paraId="749C60EB">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6E7E9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2DC43E8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A61734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B83EA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260" w:type="pct"/>
            <w:tcBorders>
              <w:top w:val="single" w:color="auto" w:sz="2" w:space="0"/>
              <w:left w:val="single" w:color="auto" w:sz="2" w:space="0"/>
              <w:bottom w:val="single" w:color="auto" w:sz="2" w:space="0"/>
            </w:tcBorders>
            <w:noWrap w:val="0"/>
            <w:vAlign w:val="center"/>
          </w:tcPr>
          <w:p w14:paraId="4AE18A4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12DB97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090C129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通信地址</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25221A4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147FE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通信地址</w:t>
            </w:r>
          </w:p>
        </w:tc>
        <w:tc>
          <w:tcPr>
            <w:tcW w:w="1260" w:type="pct"/>
            <w:tcBorders>
              <w:top w:val="single" w:color="auto" w:sz="2" w:space="0"/>
              <w:left w:val="single" w:color="auto" w:sz="2" w:space="0"/>
              <w:bottom w:val="single" w:color="auto" w:sz="2" w:space="0"/>
            </w:tcBorders>
            <w:noWrap w:val="0"/>
            <w:vAlign w:val="center"/>
          </w:tcPr>
          <w:p w14:paraId="0110133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02996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5B6F4E8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74F5B0F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656D8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260" w:type="pct"/>
            <w:tcBorders>
              <w:top w:val="single" w:color="auto" w:sz="2" w:space="0"/>
              <w:left w:val="single" w:color="auto" w:sz="2" w:space="0"/>
              <w:bottom w:val="single" w:color="auto" w:sz="2" w:space="0"/>
            </w:tcBorders>
            <w:noWrap w:val="0"/>
            <w:vAlign w:val="center"/>
          </w:tcPr>
          <w:p w14:paraId="2E3F326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295A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3693C7E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5C6BC29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AD98A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260" w:type="pct"/>
            <w:tcBorders>
              <w:top w:val="single" w:color="auto" w:sz="2" w:space="0"/>
              <w:left w:val="single" w:color="auto" w:sz="2" w:space="0"/>
              <w:bottom w:val="single" w:color="auto" w:sz="2" w:space="0"/>
            </w:tcBorders>
            <w:noWrap w:val="0"/>
            <w:vAlign w:val="center"/>
          </w:tcPr>
          <w:p w14:paraId="63640B4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1A120E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2B3C0F4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D1662F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331E4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260" w:type="pct"/>
            <w:tcBorders>
              <w:top w:val="single" w:color="auto" w:sz="2" w:space="0"/>
              <w:left w:val="single" w:color="auto" w:sz="2" w:space="0"/>
              <w:bottom w:val="single" w:color="auto" w:sz="2" w:space="0"/>
            </w:tcBorders>
            <w:noWrap w:val="0"/>
            <w:vAlign w:val="center"/>
          </w:tcPr>
          <w:p w14:paraId="403BFB3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0221FE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35306B2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noWrap w:val="0"/>
            <w:vAlign w:val="center"/>
          </w:tcPr>
          <w:p w14:paraId="7AE953F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9F2BC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开户名称</w:t>
            </w:r>
          </w:p>
        </w:tc>
        <w:tc>
          <w:tcPr>
            <w:tcW w:w="1260" w:type="pct"/>
            <w:tcBorders>
              <w:top w:val="single" w:color="auto" w:sz="2" w:space="0"/>
              <w:left w:val="single" w:color="auto" w:sz="2" w:space="0"/>
              <w:bottom w:val="single" w:color="auto" w:sz="2" w:space="0"/>
            </w:tcBorders>
            <w:noWrap w:val="0"/>
            <w:vAlign w:val="center"/>
          </w:tcPr>
          <w:p w14:paraId="5F8BEE65">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7CFD89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185C095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noWrap w:val="0"/>
            <w:vAlign w:val="center"/>
          </w:tcPr>
          <w:p w14:paraId="45B144D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CDB2F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开户银行</w:t>
            </w:r>
          </w:p>
        </w:tc>
        <w:tc>
          <w:tcPr>
            <w:tcW w:w="1260" w:type="pct"/>
            <w:tcBorders>
              <w:top w:val="single" w:color="auto" w:sz="2" w:space="0"/>
              <w:left w:val="single" w:color="auto" w:sz="2" w:space="0"/>
              <w:bottom w:val="single" w:color="auto" w:sz="2" w:space="0"/>
            </w:tcBorders>
            <w:noWrap w:val="0"/>
            <w:vAlign w:val="center"/>
          </w:tcPr>
          <w:p w14:paraId="4E40413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6B1584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1D54227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noWrap w:val="0"/>
            <w:vAlign w:val="center"/>
          </w:tcPr>
          <w:p w14:paraId="14C5E38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215ED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银行账号</w:t>
            </w:r>
          </w:p>
        </w:tc>
        <w:tc>
          <w:tcPr>
            <w:tcW w:w="1260" w:type="pct"/>
            <w:tcBorders>
              <w:top w:val="single" w:color="auto" w:sz="2" w:space="0"/>
              <w:left w:val="single" w:color="auto" w:sz="2" w:space="0"/>
              <w:bottom w:val="single" w:color="auto" w:sz="2" w:space="0"/>
            </w:tcBorders>
            <w:noWrap w:val="0"/>
            <w:vAlign w:val="center"/>
          </w:tcPr>
          <w:p w14:paraId="1D2134C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bl>
    <w:p w14:paraId="4D2EB8B8">
      <w:pPr>
        <w:pStyle w:val="5"/>
        <w:spacing w:line="360" w:lineRule="auto"/>
        <w:ind w:left="0" w:leftChars="0"/>
        <w:jc w:val="left"/>
        <w:rPr>
          <w:rFonts w:ascii="宋体" w:hAnsi="宋体" w:eastAsia="宋体" w:cs="宋体"/>
          <w:b/>
          <w:bCs/>
          <w:color w:val="000000"/>
          <w:szCs w:val="21"/>
        </w:rPr>
      </w:pPr>
      <w:r>
        <w:rPr>
          <w:rFonts w:hint="eastAsia" w:ascii="宋体" w:hAnsi="宋体" w:eastAsia="宋体" w:cs="宋体"/>
          <w:b/>
          <w:bCs/>
          <w:sz w:val="21"/>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34F8089F">
      <w:pPr>
        <w:pStyle w:val="5"/>
        <w:numPr>
          <w:ilvl w:val="0"/>
          <w:numId w:val="0"/>
        </w:numPr>
        <w:ind w:firstLine="632" w:firstLineChars="300"/>
        <w:jc w:val="left"/>
        <w:rPr>
          <w:rFonts w:hint="eastAsia" w:ascii="宋体" w:hAnsi="宋体" w:eastAsia="宋体" w:cs="宋体"/>
          <w:b/>
          <w:bCs/>
          <w:color w:val="auto"/>
          <w:sz w:val="21"/>
          <w:szCs w:val="21"/>
          <w:highlight w:val="none"/>
        </w:rPr>
        <w:sectPr>
          <w:footerReference r:id="rId11" w:type="default"/>
          <w:pgSz w:w="11905" w:h="16838"/>
          <w:pgMar w:top="1440" w:right="1282" w:bottom="1440" w:left="1270" w:header="850" w:footer="850" w:gutter="0"/>
          <w:pgBorders>
            <w:top w:val="none" w:sz="0" w:space="0"/>
            <w:left w:val="none" w:sz="0" w:space="0"/>
            <w:bottom w:val="none" w:sz="0" w:space="0"/>
            <w:right w:val="none" w:sz="0" w:space="0"/>
          </w:pgBorders>
          <w:pgNumType w:fmt="decimal" w:start="25"/>
          <w:cols w:space="720" w:num="1"/>
          <w:rtlGutter w:val="0"/>
          <w:docGrid w:type="lines" w:linePitch="411" w:charSpace="0"/>
        </w:sectPr>
      </w:pPr>
    </w:p>
    <w:p w14:paraId="7314111C">
      <w:pPr>
        <w:keepNext/>
        <w:keepLines/>
        <w:pageBreakBefore w:val="0"/>
        <w:widowControl w:val="0"/>
        <w:kinsoku/>
        <w:wordWrap/>
        <w:overflowPunct/>
        <w:topLinePunct w:val="0"/>
        <w:autoSpaceDE/>
        <w:autoSpaceDN/>
        <w:bidi w:val="0"/>
        <w:adjustRightInd w:val="0"/>
        <w:snapToGrid w:val="0"/>
        <w:spacing w:beforeLines="0" w:line="360" w:lineRule="auto"/>
        <w:ind w:left="0" w:leftChars="0"/>
        <w:jc w:val="center"/>
        <w:textAlignment w:val="auto"/>
        <w:outlineLvl w:val="9"/>
        <w:rPr>
          <w:rFonts w:ascii="黑体" w:hAnsi="黑体" w:eastAsia="黑体"/>
          <w:sz w:val="28"/>
          <w:szCs w:val="28"/>
        </w:rPr>
      </w:pPr>
      <w:bookmarkStart w:id="112" w:name="_Toc27624"/>
      <w:r>
        <w:rPr>
          <w:rFonts w:hint="eastAsia" w:ascii="黑体" w:hAnsi="黑体" w:eastAsia="黑体"/>
          <w:b w:val="0"/>
          <w:bCs w:val="0"/>
          <w:sz w:val="28"/>
          <w:szCs w:val="28"/>
        </w:rPr>
        <w:t>第二节 政府采购合同通用条款</w:t>
      </w:r>
      <w:bookmarkEnd w:id="112"/>
    </w:p>
    <w:p w14:paraId="46C2A4C4">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6D43347">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06CD37BD">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0A859B16">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2700FBEF">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14:paraId="19E76321">
      <w:pPr>
        <w:tabs>
          <w:tab w:val="left" w:pos="570"/>
          <w:tab w:val="left" w:pos="9240"/>
          <w:tab w:val="left" w:pos="9555"/>
        </w:tabs>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CC0BF7F">
      <w:pPr>
        <w:adjustRightInd w:val="0"/>
        <w:snapToGrid w:val="0"/>
        <w:spacing w:before="0" w:beforeLines="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7FD22EB9">
      <w:pPr>
        <w:tabs>
          <w:tab w:val="left" w:pos="570"/>
          <w:tab w:val="left" w:pos="9240"/>
          <w:tab w:val="left" w:pos="9555"/>
        </w:tabs>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8600BF0">
      <w:pPr>
        <w:tabs>
          <w:tab w:val="left" w:pos="570"/>
          <w:tab w:val="left" w:pos="9240"/>
          <w:tab w:val="left" w:pos="9555"/>
        </w:tabs>
        <w:adjustRightInd w:val="0"/>
        <w:snapToGrid w:val="0"/>
        <w:spacing w:before="0" w:line="400" w:lineRule="exact"/>
        <w:ind w:firstLine="44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14:paraId="44216C28">
      <w:pPr>
        <w:adjustRightInd w:val="0"/>
        <w:snapToGrid w:val="0"/>
        <w:spacing w:before="0" w:line="400" w:lineRule="exact"/>
        <w:ind w:firstLine="44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14:paraId="3A7FA335">
      <w:pPr>
        <w:adjustRightInd w:val="0"/>
        <w:snapToGrid w:val="0"/>
        <w:spacing w:before="0" w:line="400" w:lineRule="exact"/>
        <w:ind w:firstLine="44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14:paraId="0049FEEB">
      <w:pPr>
        <w:tabs>
          <w:tab w:val="left" w:pos="570"/>
          <w:tab w:val="left" w:pos="9240"/>
          <w:tab w:val="left" w:pos="9555"/>
        </w:tabs>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271C72CA">
      <w:pPr>
        <w:tabs>
          <w:tab w:val="left" w:pos="570"/>
          <w:tab w:val="left" w:pos="9240"/>
          <w:tab w:val="left" w:pos="9555"/>
        </w:tabs>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15F6D57B">
      <w:pPr>
        <w:numPr>
          <w:ilvl w:val="0"/>
          <w:numId w:val="11"/>
        </w:num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14:paraId="2B98E8A5">
      <w:pPr>
        <w:autoSpaceDE w:val="0"/>
        <w:autoSpaceDN w:val="0"/>
        <w:adjustRightInd w:val="0"/>
        <w:snapToGrid w:val="0"/>
        <w:spacing w:before="0" w:line="400" w:lineRule="exact"/>
        <w:ind w:firstLine="44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14:paraId="59A27C87">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14:paraId="1F1EE27A">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ABAFC44">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14:paraId="43724E35">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17359E77">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5F472234">
      <w:pPr>
        <w:autoSpaceDE w:val="0"/>
        <w:autoSpaceDN w:val="0"/>
        <w:adjustRightInd w:val="0"/>
        <w:snapToGrid w:val="0"/>
        <w:spacing w:before="0" w:line="400" w:lineRule="exact"/>
        <w:ind w:firstLine="44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7195FF0A">
      <w:pPr>
        <w:snapToGrid w:val="0"/>
        <w:spacing w:line="400" w:lineRule="exact"/>
        <w:ind w:firstLine="44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14:paraId="6C8555BF">
      <w:pPr>
        <w:autoSpaceDE w:val="0"/>
        <w:autoSpaceDN w:val="0"/>
        <w:adjustRightInd w:val="0"/>
        <w:snapToGrid w:val="0"/>
        <w:spacing w:line="400" w:lineRule="exact"/>
        <w:ind w:firstLine="44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14:paraId="43D3D679">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14:paraId="4EF06909">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14:paraId="7D7819DB">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14:paraId="529F0276">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14:paraId="0DC1E934">
      <w:pPr>
        <w:pStyle w:val="3"/>
        <w:spacing w:after="0" w:line="400" w:lineRule="exact"/>
        <w:ind w:firstLine="422"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w:t>
      </w:r>
      <w:r>
        <w:rPr>
          <w:rFonts w:hint="eastAsia" w:ascii="宋体" w:hAnsi="宋体" w:cs="宋体"/>
          <w:color w:val="000000"/>
          <w:szCs w:val="21"/>
          <w:highlight w:val="none"/>
          <w:lang w:eastAsia="zh-CN"/>
        </w:rPr>
        <w:t>合同价款</w:t>
      </w:r>
      <w:r>
        <w:rPr>
          <w:rFonts w:hint="eastAsia" w:ascii="宋体" w:hAnsi="宋体" w:cs="宋体"/>
          <w:color w:val="000000"/>
          <w:szCs w:val="21"/>
          <w:highlight w:val="none"/>
        </w:rPr>
        <w:t>。</w:t>
      </w:r>
    </w:p>
    <w:p w14:paraId="5786A2C2">
      <w:pPr>
        <w:pStyle w:val="3"/>
        <w:spacing w:after="0" w:line="400" w:lineRule="exact"/>
        <w:ind w:firstLine="422"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szCs w:val="21"/>
          <w:highlight w:val="none"/>
        </w:rPr>
        <w:t>由乙方承担的其他义务和责任。</w:t>
      </w:r>
    </w:p>
    <w:p w14:paraId="3504B2F0">
      <w:pPr>
        <w:numPr>
          <w:ilvl w:val="0"/>
          <w:numId w:val="12"/>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14:paraId="4EE0C077">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65FC3310">
      <w:pPr>
        <w:autoSpaceDE w:val="0"/>
        <w:autoSpaceDN w:val="0"/>
        <w:adjustRightInd w:val="0"/>
        <w:snapToGrid w:val="0"/>
        <w:spacing w:before="0" w:line="400" w:lineRule="exact"/>
        <w:ind w:firstLine="44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2C92055">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14:paraId="0F37506D">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14:paraId="7908517D">
      <w:pPr>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14:paraId="1B19493D">
      <w:pPr>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47A9BF4F">
      <w:pPr>
        <w:autoSpaceDE w:val="0"/>
        <w:autoSpaceDN w:val="0"/>
        <w:adjustRightInd w:val="0"/>
        <w:snapToGrid w:val="0"/>
        <w:spacing w:before="0" w:line="400" w:lineRule="exact"/>
        <w:ind w:firstLine="44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14:paraId="4F643394">
      <w:pPr>
        <w:autoSpaceDE w:val="0"/>
        <w:autoSpaceDN w:val="0"/>
        <w:adjustRightInd w:val="0"/>
        <w:snapToGrid w:val="0"/>
        <w:spacing w:before="0" w:line="400" w:lineRule="exact"/>
        <w:ind w:firstLine="44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2268E0D">
      <w:pPr>
        <w:pStyle w:val="61"/>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3641DEEA">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14:paraId="0CB7C452">
      <w:pPr>
        <w:pStyle w:val="1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12F2B869">
      <w:pPr>
        <w:autoSpaceDE w:val="0"/>
        <w:autoSpaceDN w:val="0"/>
        <w:adjustRightInd w:val="0"/>
        <w:snapToGrid w:val="0"/>
        <w:spacing w:before="0" w:line="400" w:lineRule="exact"/>
        <w:ind w:firstLine="44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248DD3F">
      <w:pPr>
        <w:pStyle w:val="1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E6BE6F8">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E2713D4">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418B594C">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28BE7FC2">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C04B714">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B8AD8AC">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021821B">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14:paraId="6E52790A">
      <w:pPr>
        <w:adjustRightInd w:val="0"/>
        <w:snapToGrid w:val="0"/>
        <w:spacing w:before="0" w:line="400" w:lineRule="exact"/>
        <w:ind w:firstLine="44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493145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14:paraId="00E17666">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14:paraId="6F2589EF">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14:paraId="0E8B3E6A">
      <w:pPr>
        <w:autoSpaceDE w:val="0"/>
        <w:autoSpaceDN w:val="0"/>
        <w:adjustRightInd w:val="0"/>
        <w:snapToGrid w:val="0"/>
        <w:spacing w:before="0" w:line="400" w:lineRule="exact"/>
        <w:ind w:firstLine="44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14:paraId="678285DA">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14:paraId="31AA4D4F">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1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13"/>
      <w:r>
        <w:rPr>
          <w:rFonts w:hint="eastAsia" w:ascii="宋体" w:hAnsi="宋体"/>
          <w:color w:val="auto"/>
          <w:szCs w:val="21"/>
          <w:highlight w:val="none"/>
        </w:rPr>
        <w:t>。</w:t>
      </w:r>
    </w:p>
    <w:p w14:paraId="0D0F37F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43EF913C">
      <w:pPr>
        <w:autoSpaceDE w:val="0"/>
        <w:autoSpaceDN w:val="0"/>
        <w:adjustRightInd w:val="0"/>
        <w:snapToGrid w:val="0"/>
        <w:spacing w:before="0" w:line="400" w:lineRule="exact"/>
        <w:ind w:firstLine="44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BB5214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9281C6F">
      <w:pPr>
        <w:autoSpaceDE/>
        <w:autoSpaceDN/>
        <w:adjustRightInd w:val="0"/>
        <w:snapToGrid w:val="0"/>
        <w:spacing w:before="0" w:line="400" w:lineRule="exact"/>
        <w:ind w:firstLine="44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59C2C313">
      <w:pPr>
        <w:autoSpaceDE/>
        <w:autoSpaceDN/>
        <w:adjustRightInd w:val="0"/>
        <w:snapToGrid w:val="0"/>
        <w:spacing w:before="0" w:line="400" w:lineRule="exact"/>
        <w:ind w:firstLine="44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 xml:space="preserve">12.2 </w:t>
      </w:r>
      <w:r>
        <w:rPr>
          <w:rFonts w:hint="eastAsia" w:ascii="宋体" w:hAnsi="宋体" w:eastAsia="宋体" w:cs="Times New Roman"/>
          <w:color w:val="auto"/>
          <w:szCs w:val="21"/>
          <w:highlight w:val="none"/>
        </w:rPr>
        <w:t>对于满足合同约定支付条件的，</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原则上应当自收到发票后10个工作日内将资金支付到合同约定的</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账户，不得以机构变动、人员更替、政策调整等为由迟延付款，不得将采购文件和合同中未规定的义务作为向</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付款的条件。具体合同价款支付时间在【政府采购合同专用条款】中</w:t>
      </w:r>
      <w:r>
        <w:rPr>
          <w:rFonts w:hint="eastAsia" w:ascii="宋体" w:hAnsi="宋体" w:eastAsia="宋体" w:cs="Times New Roman"/>
          <w:color w:val="auto"/>
          <w:szCs w:val="21"/>
          <w:highlight w:val="none"/>
          <w:lang w:eastAsia="zh-CN"/>
        </w:rPr>
        <w:t>约</w:t>
      </w:r>
      <w:r>
        <w:rPr>
          <w:rFonts w:hint="eastAsia" w:ascii="宋体" w:hAnsi="宋体" w:eastAsia="宋体" w:cs="Times New Roman"/>
          <w:color w:val="auto"/>
          <w:szCs w:val="21"/>
          <w:highlight w:val="none"/>
        </w:rPr>
        <w:t>定。</w:t>
      </w:r>
    </w:p>
    <w:p w14:paraId="583B9D31">
      <w:pPr>
        <w:pStyle w:val="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4ABE33C">
      <w:pPr>
        <w:autoSpaceDE w:val="0"/>
        <w:autoSpaceDN w:val="0"/>
        <w:adjustRightInd w:val="0"/>
        <w:snapToGrid w:val="0"/>
        <w:spacing w:before="0" w:line="400" w:lineRule="exact"/>
        <w:ind w:firstLine="440" w:firstLineChars="20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13.1</w:t>
      </w:r>
      <w:r>
        <w:rPr>
          <w:rFonts w:hint="eastAsia" w:ascii="宋体" w:hAnsi="宋体"/>
          <w:color w:val="auto"/>
          <w:szCs w:val="21"/>
          <w:highlight w:val="none"/>
          <w:lang w:eastAsia="zh-CN"/>
        </w:rPr>
        <w:t>免收</w:t>
      </w:r>
    </w:p>
    <w:p w14:paraId="2ABB629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9CB567F">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3321893">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9D9731D">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298EBBC8">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E27C24C">
      <w:pPr>
        <w:autoSpaceDE w:val="0"/>
        <w:autoSpaceDN w:val="0"/>
        <w:adjustRightInd w:val="0"/>
        <w:snapToGrid w:val="0"/>
        <w:spacing w:before="0" w:line="400" w:lineRule="exact"/>
        <w:ind w:firstLine="44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8971DB0">
      <w:pPr>
        <w:pStyle w:val="61"/>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58C40835">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2F6E8D9">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F95C9B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1D0621D">
      <w:pPr>
        <w:adjustRightInd w:val="0"/>
        <w:snapToGrid w:val="0"/>
        <w:spacing w:before="0" w:line="400" w:lineRule="exact"/>
        <w:ind w:firstLine="44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6F6823D">
      <w:pPr>
        <w:autoSpaceDE w:val="0"/>
        <w:autoSpaceDN w:val="0"/>
        <w:adjustRightInd w:val="0"/>
        <w:snapToGrid w:val="0"/>
        <w:spacing w:before="0" w:line="400" w:lineRule="exact"/>
        <w:ind w:firstLine="44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18BD12BA">
      <w:pPr>
        <w:autoSpaceDE w:val="0"/>
        <w:autoSpaceDN w:val="0"/>
        <w:adjustRightInd w:val="0"/>
        <w:snapToGrid w:val="0"/>
        <w:spacing w:before="0" w:line="400" w:lineRule="exact"/>
        <w:ind w:firstLine="44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A76F37A">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F6BCFDF">
      <w:pPr>
        <w:autoSpaceDE w:val="0"/>
        <w:autoSpaceDN w:val="0"/>
        <w:adjustRightInd w:val="0"/>
        <w:snapToGrid w:val="0"/>
        <w:spacing w:before="0" w:line="400" w:lineRule="exact"/>
        <w:ind w:firstLine="44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8920D2B">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2620F3A">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836B6EC">
      <w:pPr>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4F77D19">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5BE6282">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7183777">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343FFF4">
      <w:pPr>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6F7B604">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E1B67FA">
      <w:pPr>
        <w:autoSpaceDE w:val="0"/>
        <w:autoSpaceDN w:val="0"/>
        <w:adjustRightInd w:val="0"/>
        <w:snapToGrid w:val="0"/>
        <w:spacing w:before="0" w:line="400" w:lineRule="exact"/>
        <w:ind w:firstLine="44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DEFEC50">
      <w:pPr>
        <w:pStyle w:val="61"/>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23949A82">
      <w:pPr>
        <w:snapToGrid w:val="0"/>
        <w:spacing w:line="400" w:lineRule="exact"/>
        <w:ind w:firstLine="44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A45B792">
      <w:pPr>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8DBD0A6">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49431BE">
      <w:pPr>
        <w:snapToGrid w:val="0"/>
        <w:spacing w:line="400" w:lineRule="exact"/>
        <w:ind w:firstLine="44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0FA7CA1D">
      <w:pPr>
        <w:pStyle w:val="6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E973505">
      <w:pPr>
        <w:pStyle w:val="61"/>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062AF90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9A0829A">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381D1BE">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94531C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0290270">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813E9E8">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5031618">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771B655">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561EDD9">
      <w:pPr>
        <w:pStyle w:val="6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B9D57A0">
      <w:pPr>
        <w:pStyle w:val="6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B26F090">
      <w:pPr>
        <w:pStyle w:val="6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1CB941D">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9FC497F">
      <w:pPr>
        <w:autoSpaceDE w:val="0"/>
        <w:autoSpaceDN w:val="0"/>
        <w:adjustRightInd w:val="0"/>
        <w:snapToGrid w:val="0"/>
        <w:spacing w:before="0" w:line="400" w:lineRule="exact"/>
        <w:ind w:firstLine="44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68939F0">
      <w:pPr>
        <w:autoSpaceDE w:val="0"/>
        <w:autoSpaceDN w:val="0"/>
        <w:adjustRightInd w:val="0"/>
        <w:snapToGrid w:val="0"/>
        <w:spacing w:before="0" w:line="400" w:lineRule="exact"/>
        <w:ind w:firstLine="44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4672C20">
      <w:pPr>
        <w:pStyle w:val="3"/>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CD3763">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0895E50C">
      <w:pPr>
        <w:pStyle w:val="6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DD9868C">
      <w:pPr>
        <w:pStyle w:val="6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1CDD9F32">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0D003840">
      <w:pPr>
        <w:pStyle w:val="6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55A28D0A">
      <w:pPr>
        <w:pStyle w:val="61"/>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7145621F">
      <w:pPr>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DE76842">
      <w:pPr>
        <w:adjustRightInd w:val="0"/>
        <w:snapToGrid w:val="0"/>
        <w:spacing w:before="0"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951ED9A">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EF9A8C3">
      <w:pPr>
        <w:adjustRightInd w:val="0"/>
        <w:snapToGrid w:val="0"/>
        <w:spacing w:before="0" w:line="400" w:lineRule="exact"/>
        <w:ind w:firstLine="44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C5C9AEC">
      <w:pPr>
        <w:adjustRightInd w:val="0"/>
        <w:snapToGrid w:val="0"/>
        <w:spacing w:line="400" w:lineRule="exact"/>
        <w:ind w:firstLine="0" w:firstLineChars="0"/>
        <w:jc w:val="left"/>
        <w:rPr>
          <w:rFonts w:hint="eastAsia" w:ascii="宋体" w:hAnsi="宋体" w:eastAsia="宋体" w:cs="宋体"/>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bCs/>
          <w:color w:val="auto"/>
          <w:szCs w:val="21"/>
          <w:highlight w:val="none"/>
          <w:lang w:val="en-US" w:eastAsia="zh-CN"/>
        </w:rPr>
        <w:t xml:space="preserve">    23.2 合同附件与合同正文具有同等的法律效力。</w:t>
      </w:r>
    </w:p>
    <w:p w14:paraId="79A58244">
      <w:pPr>
        <w:pStyle w:val="9"/>
        <w:adjustRightInd w:val="0"/>
        <w:snapToGrid w:val="0"/>
        <w:ind w:left="0" w:leftChars="0" w:firstLine="0" w:firstLineChars="0"/>
        <w:jc w:val="center"/>
        <w:rPr>
          <w:rFonts w:ascii="黑体" w:hAnsi="华文中宋" w:eastAsia="黑体"/>
          <w:b w:val="0"/>
          <w:bCs w:val="0"/>
          <w:sz w:val="28"/>
          <w:szCs w:val="28"/>
        </w:rPr>
      </w:pPr>
      <w:bookmarkStart w:id="114" w:name="_Toc6162"/>
      <w:bookmarkStart w:id="115" w:name="_Toc9511"/>
      <w:r>
        <w:rPr>
          <w:rFonts w:hint="eastAsia" w:ascii="黑体" w:hAnsi="华文中宋" w:eastAsia="黑体"/>
          <w:b w:val="0"/>
          <w:bCs w:val="0"/>
          <w:sz w:val="28"/>
          <w:szCs w:val="28"/>
        </w:rPr>
        <w:t>第三节 政府采购合同专用条款</w:t>
      </w:r>
      <w:bookmarkEnd w:id="114"/>
      <w:bookmarkEnd w:id="115"/>
    </w:p>
    <w:tbl>
      <w:tblPr>
        <w:tblStyle w:val="27"/>
        <w:tblW w:w="949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3079"/>
        <w:gridCol w:w="3723"/>
      </w:tblGrid>
      <w:tr w14:paraId="39AD9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2697" w:type="dxa"/>
            <w:noWrap w:val="0"/>
            <w:vAlign w:val="center"/>
          </w:tcPr>
          <w:p w14:paraId="759FA664">
            <w:pPr>
              <w:adjustRightInd w:val="0"/>
              <w:snapToGrid w:val="0"/>
              <w:ind w:left="0" w:leftChars="0" w:firstLine="0" w:firstLineChars="0"/>
              <w:jc w:val="center"/>
              <w:rPr>
                <w:rFonts w:ascii="宋体" w:hAnsi="宋体"/>
                <w:sz w:val="22"/>
                <w:szCs w:val="22"/>
              </w:rPr>
            </w:pPr>
            <w:r>
              <w:rPr>
                <w:rFonts w:hint="eastAsia" w:ascii="宋体" w:hAnsi="宋体"/>
                <w:sz w:val="22"/>
                <w:szCs w:val="22"/>
              </w:rPr>
              <w:t>第二节第1.2（</w:t>
            </w:r>
            <w:r>
              <w:rPr>
                <w:rFonts w:hint="eastAsia" w:ascii="宋体" w:hAnsi="宋体"/>
                <w:sz w:val="22"/>
                <w:szCs w:val="22"/>
                <w:lang w:val="en-US" w:eastAsia="zh-CN"/>
              </w:rPr>
              <w:t>6</w:t>
            </w:r>
            <w:r>
              <w:rPr>
                <w:rFonts w:hint="eastAsia" w:ascii="宋体" w:hAnsi="宋体"/>
                <w:sz w:val="22"/>
                <w:szCs w:val="22"/>
              </w:rPr>
              <w:t>）项</w:t>
            </w:r>
          </w:p>
        </w:tc>
        <w:tc>
          <w:tcPr>
            <w:tcW w:w="3079" w:type="dxa"/>
            <w:noWrap w:val="0"/>
            <w:vAlign w:val="center"/>
          </w:tcPr>
          <w:p w14:paraId="7BD845F2">
            <w:pPr>
              <w:adjustRightInd w:val="0"/>
              <w:snapToGrid w:val="0"/>
              <w:spacing w:line="240" w:lineRule="auto"/>
              <w:ind w:left="0" w:leftChars="0" w:firstLine="0" w:firstLineChars="0"/>
              <w:jc w:val="left"/>
              <w:rPr>
                <w:rFonts w:ascii="宋体" w:hAnsi="宋体"/>
                <w:sz w:val="22"/>
                <w:szCs w:val="22"/>
              </w:rPr>
            </w:pPr>
            <w:r>
              <w:rPr>
                <w:rFonts w:hint="eastAsia" w:ascii="宋体" w:hAnsi="宋体"/>
                <w:sz w:val="22"/>
                <w:szCs w:val="22"/>
                <w:lang w:eastAsia="zh-CN"/>
              </w:rPr>
              <w:t>联合体具体要求</w:t>
            </w:r>
          </w:p>
        </w:tc>
        <w:tc>
          <w:tcPr>
            <w:tcW w:w="3723" w:type="dxa"/>
            <w:noWrap w:val="0"/>
            <w:vAlign w:val="center"/>
          </w:tcPr>
          <w:p w14:paraId="31C862AD">
            <w:pPr>
              <w:adjustRightInd w:val="0"/>
              <w:snapToGrid w:val="0"/>
              <w:jc w:val="left"/>
              <w:rPr>
                <w:rFonts w:ascii="宋体" w:hAnsi="宋体"/>
                <w:sz w:val="22"/>
                <w:szCs w:val="22"/>
              </w:rPr>
            </w:pPr>
          </w:p>
        </w:tc>
      </w:tr>
      <w:tr w14:paraId="4BF8C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2697" w:type="dxa"/>
            <w:noWrap w:val="0"/>
            <w:vAlign w:val="center"/>
          </w:tcPr>
          <w:p w14:paraId="27CB6846">
            <w:pPr>
              <w:adjustRightInd w:val="0"/>
              <w:snapToGrid w:val="0"/>
              <w:ind w:left="0" w:leftChars="0" w:firstLine="0" w:firstLineChars="0"/>
              <w:jc w:val="center"/>
              <w:rPr>
                <w:rFonts w:hint="eastAsia" w:ascii="宋体" w:hAnsi="宋体"/>
                <w:sz w:val="22"/>
                <w:szCs w:val="22"/>
                <w:lang w:val="en-US" w:eastAsia="zh-CN"/>
              </w:rPr>
            </w:pPr>
            <w:r>
              <w:rPr>
                <w:rFonts w:hint="eastAsia" w:ascii="宋体" w:hAnsi="宋体"/>
                <w:sz w:val="22"/>
                <w:szCs w:val="22"/>
              </w:rPr>
              <w:t>第二节第1.2（</w:t>
            </w:r>
            <w:r>
              <w:rPr>
                <w:rFonts w:hint="eastAsia" w:ascii="宋体" w:hAnsi="宋体"/>
                <w:sz w:val="22"/>
                <w:szCs w:val="22"/>
                <w:lang w:val="en-US" w:eastAsia="zh-CN"/>
              </w:rPr>
              <w:t>7</w:t>
            </w:r>
            <w:r>
              <w:rPr>
                <w:rFonts w:hint="eastAsia" w:ascii="宋体" w:hAnsi="宋体"/>
                <w:sz w:val="22"/>
                <w:szCs w:val="22"/>
              </w:rPr>
              <w:t>）项</w:t>
            </w:r>
          </w:p>
        </w:tc>
        <w:tc>
          <w:tcPr>
            <w:tcW w:w="3079" w:type="dxa"/>
            <w:noWrap w:val="0"/>
            <w:vAlign w:val="center"/>
          </w:tcPr>
          <w:p w14:paraId="52A3EF68">
            <w:pPr>
              <w:adjustRightInd w:val="0"/>
              <w:snapToGrid w:val="0"/>
              <w:spacing w:line="240" w:lineRule="auto"/>
              <w:ind w:left="0" w:leftChars="0" w:firstLine="0" w:firstLineChars="0"/>
              <w:jc w:val="center"/>
              <w:rPr>
                <w:rFonts w:hint="eastAsia" w:ascii="宋体" w:hAnsi="宋体"/>
                <w:sz w:val="22"/>
                <w:szCs w:val="22"/>
                <w:lang w:val="en-US" w:eastAsia="zh-CN"/>
              </w:rPr>
            </w:pPr>
            <w:r>
              <w:rPr>
                <w:rFonts w:hint="eastAsia" w:ascii="宋体" w:hAnsi="宋体"/>
                <w:sz w:val="22"/>
                <w:szCs w:val="22"/>
              </w:rPr>
              <w:t>其他术语解释</w:t>
            </w:r>
          </w:p>
        </w:tc>
        <w:tc>
          <w:tcPr>
            <w:tcW w:w="3723" w:type="dxa"/>
            <w:noWrap w:val="0"/>
            <w:vAlign w:val="center"/>
          </w:tcPr>
          <w:p w14:paraId="068F03FE">
            <w:pPr>
              <w:adjustRightInd w:val="0"/>
              <w:snapToGrid w:val="0"/>
              <w:jc w:val="left"/>
              <w:rPr>
                <w:rFonts w:ascii="宋体" w:hAnsi="宋体" w:eastAsia="宋体" w:cs="Times New Roman"/>
                <w:kern w:val="2"/>
                <w:sz w:val="22"/>
                <w:szCs w:val="22"/>
                <w:lang w:val="en-US" w:eastAsia="zh-CN" w:bidi="ar-SA"/>
              </w:rPr>
            </w:pPr>
          </w:p>
        </w:tc>
      </w:tr>
      <w:tr w14:paraId="7443C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2697" w:type="dxa"/>
            <w:noWrap w:val="0"/>
            <w:vAlign w:val="center"/>
          </w:tcPr>
          <w:p w14:paraId="5FC5BC9D">
            <w:pPr>
              <w:adjustRightInd w:val="0"/>
              <w:snapToGrid w:val="0"/>
              <w:ind w:left="0" w:leftChars="0" w:firstLine="0" w:firstLineChars="0"/>
              <w:jc w:val="center"/>
              <w:rPr>
                <w:rFonts w:hint="default" w:ascii="宋体" w:hAnsi="宋体"/>
                <w:sz w:val="22"/>
                <w:szCs w:val="22"/>
                <w:lang w:val="en-US" w:eastAsia="zh-CN"/>
              </w:rPr>
            </w:pPr>
            <w:r>
              <w:rPr>
                <w:rFonts w:hint="eastAsia" w:ascii="宋体" w:hAnsi="宋体"/>
                <w:sz w:val="22"/>
                <w:szCs w:val="22"/>
              </w:rPr>
              <w:t>第二节</w:t>
            </w:r>
            <w:r>
              <w:rPr>
                <w:rFonts w:hint="eastAsia" w:ascii="宋体" w:hAnsi="宋体"/>
                <w:sz w:val="22"/>
                <w:szCs w:val="22"/>
                <w:lang w:eastAsia="zh-CN"/>
              </w:rPr>
              <w:t>第</w:t>
            </w:r>
            <w:r>
              <w:rPr>
                <w:rFonts w:hint="eastAsia" w:ascii="宋体" w:hAnsi="宋体"/>
                <w:sz w:val="22"/>
                <w:szCs w:val="22"/>
                <w:lang w:val="en-US" w:eastAsia="zh-CN"/>
              </w:rPr>
              <w:t>4.4款</w:t>
            </w:r>
          </w:p>
        </w:tc>
        <w:tc>
          <w:tcPr>
            <w:tcW w:w="3079" w:type="dxa"/>
            <w:noWrap w:val="0"/>
            <w:vAlign w:val="center"/>
          </w:tcPr>
          <w:p w14:paraId="33040E38">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履约验收中甲方提出异议或作出说明的期限</w:t>
            </w:r>
          </w:p>
        </w:tc>
        <w:tc>
          <w:tcPr>
            <w:tcW w:w="3723" w:type="dxa"/>
            <w:noWrap w:val="0"/>
            <w:vAlign w:val="center"/>
          </w:tcPr>
          <w:p w14:paraId="46B3265B">
            <w:pPr>
              <w:adjustRightInd w:val="0"/>
              <w:snapToGrid w:val="0"/>
              <w:jc w:val="left"/>
              <w:rPr>
                <w:rFonts w:ascii="宋体" w:hAnsi="宋体" w:eastAsia="宋体" w:cs="Times New Roman"/>
                <w:kern w:val="2"/>
                <w:sz w:val="22"/>
                <w:szCs w:val="22"/>
                <w:lang w:val="en-US" w:eastAsia="zh-CN" w:bidi="ar-SA"/>
              </w:rPr>
            </w:pPr>
          </w:p>
        </w:tc>
      </w:tr>
      <w:tr w14:paraId="69293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2697" w:type="dxa"/>
            <w:noWrap w:val="0"/>
            <w:vAlign w:val="center"/>
          </w:tcPr>
          <w:p w14:paraId="3ABCD4F6">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w:t>
            </w:r>
            <w:r>
              <w:rPr>
                <w:rFonts w:hint="eastAsia" w:ascii="宋体" w:hAnsi="宋体"/>
                <w:sz w:val="22"/>
                <w:szCs w:val="22"/>
                <w:lang w:eastAsia="zh-CN"/>
              </w:rPr>
              <w:t>第</w:t>
            </w:r>
            <w:r>
              <w:rPr>
                <w:rFonts w:hint="eastAsia" w:ascii="宋体" w:hAnsi="宋体"/>
                <w:sz w:val="22"/>
                <w:szCs w:val="22"/>
                <w:lang w:val="en-US" w:eastAsia="zh-CN"/>
              </w:rPr>
              <w:t>4.6款</w:t>
            </w:r>
          </w:p>
        </w:tc>
        <w:tc>
          <w:tcPr>
            <w:tcW w:w="3079" w:type="dxa"/>
            <w:noWrap w:val="0"/>
            <w:vAlign w:val="center"/>
          </w:tcPr>
          <w:p w14:paraId="6FAE29E7">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约定甲方承担的其他义务和责任</w:t>
            </w:r>
          </w:p>
        </w:tc>
        <w:tc>
          <w:tcPr>
            <w:tcW w:w="3723" w:type="dxa"/>
            <w:noWrap w:val="0"/>
            <w:vAlign w:val="center"/>
          </w:tcPr>
          <w:p w14:paraId="628343FD">
            <w:pPr>
              <w:adjustRightInd w:val="0"/>
              <w:snapToGrid w:val="0"/>
              <w:jc w:val="left"/>
              <w:rPr>
                <w:rFonts w:ascii="宋体" w:hAnsi="宋体" w:eastAsia="宋体" w:cs="Times New Roman"/>
                <w:kern w:val="2"/>
                <w:sz w:val="22"/>
                <w:szCs w:val="22"/>
                <w:lang w:val="en-US" w:eastAsia="zh-CN" w:bidi="ar-SA"/>
              </w:rPr>
            </w:pPr>
          </w:p>
        </w:tc>
      </w:tr>
      <w:tr w14:paraId="27884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2697" w:type="dxa"/>
            <w:noWrap w:val="0"/>
            <w:vAlign w:val="center"/>
          </w:tcPr>
          <w:p w14:paraId="0AE385BE">
            <w:pPr>
              <w:adjustRightInd w:val="0"/>
              <w:snapToGrid w:val="0"/>
              <w:ind w:left="0" w:leftChars="0" w:firstLine="0" w:firstLineChars="0"/>
              <w:jc w:val="center"/>
              <w:rPr>
                <w:rFonts w:hint="default" w:ascii="宋体" w:hAnsi="宋体"/>
                <w:sz w:val="22"/>
                <w:szCs w:val="22"/>
                <w:lang w:val="en-US" w:eastAsia="zh-CN"/>
              </w:rPr>
            </w:pPr>
            <w:r>
              <w:rPr>
                <w:rFonts w:hint="eastAsia" w:ascii="宋体" w:hAnsi="宋体"/>
                <w:sz w:val="22"/>
                <w:szCs w:val="22"/>
                <w:lang w:eastAsia="zh-CN"/>
              </w:rPr>
              <w:t>第二节第</w:t>
            </w:r>
            <w:r>
              <w:rPr>
                <w:rFonts w:hint="eastAsia" w:ascii="宋体" w:hAnsi="宋体"/>
                <w:sz w:val="22"/>
                <w:szCs w:val="22"/>
                <w:lang w:val="en-US" w:eastAsia="zh-CN"/>
              </w:rPr>
              <w:t>5.4款</w:t>
            </w:r>
          </w:p>
        </w:tc>
        <w:tc>
          <w:tcPr>
            <w:tcW w:w="3079" w:type="dxa"/>
            <w:noWrap w:val="0"/>
            <w:vAlign w:val="center"/>
          </w:tcPr>
          <w:p w14:paraId="255B31AB">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约定乙方承担的其他义务和责任</w:t>
            </w:r>
          </w:p>
        </w:tc>
        <w:tc>
          <w:tcPr>
            <w:tcW w:w="3723" w:type="dxa"/>
            <w:noWrap w:val="0"/>
            <w:vAlign w:val="center"/>
          </w:tcPr>
          <w:p w14:paraId="316CBFA5">
            <w:pPr>
              <w:adjustRightInd w:val="0"/>
              <w:snapToGrid w:val="0"/>
              <w:jc w:val="left"/>
              <w:rPr>
                <w:rFonts w:ascii="宋体" w:hAnsi="宋体" w:eastAsia="宋体" w:cs="Times New Roman"/>
                <w:kern w:val="2"/>
                <w:sz w:val="22"/>
                <w:szCs w:val="22"/>
                <w:lang w:val="en-US" w:eastAsia="zh-CN" w:bidi="ar-SA"/>
              </w:rPr>
            </w:pPr>
          </w:p>
        </w:tc>
      </w:tr>
      <w:tr w14:paraId="176F7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5D04069F">
            <w:pPr>
              <w:adjustRightInd w:val="0"/>
              <w:snapToGrid w:val="0"/>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第二节第</w:t>
            </w:r>
            <w:r>
              <w:rPr>
                <w:rFonts w:hint="eastAsia" w:ascii="宋体" w:hAnsi="宋体"/>
                <w:sz w:val="22"/>
                <w:szCs w:val="22"/>
                <w:lang w:val="en-US" w:eastAsia="zh-CN"/>
              </w:rPr>
              <w:t>6.1款</w:t>
            </w:r>
          </w:p>
        </w:tc>
        <w:tc>
          <w:tcPr>
            <w:tcW w:w="3079" w:type="dxa"/>
            <w:noWrap w:val="0"/>
            <w:vAlign w:val="center"/>
          </w:tcPr>
          <w:p w14:paraId="6CCE7404">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履行合同义务的顺序</w:t>
            </w:r>
          </w:p>
        </w:tc>
        <w:tc>
          <w:tcPr>
            <w:tcW w:w="3723" w:type="dxa"/>
            <w:noWrap w:val="0"/>
            <w:vAlign w:val="center"/>
          </w:tcPr>
          <w:p w14:paraId="11CC02CE">
            <w:pPr>
              <w:adjustRightInd w:val="0"/>
              <w:snapToGrid w:val="0"/>
              <w:jc w:val="left"/>
              <w:rPr>
                <w:rFonts w:ascii="宋体" w:hAnsi="宋体" w:eastAsia="宋体" w:cs="Times New Roman"/>
                <w:kern w:val="2"/>
                <w:sz w:val="22"/>
                <w:szCs w:val="22"/>
                <w:lang w:val="en-US" w:eastAsia="zh-CN" w:bidi="ar-SA"/>
              </w:rPr>
            </w:pPr>
          </w:p>
        </w:tc>
      </w:tr>
      <w:tr w14:paraId="5D1E2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2697" w:type="dxa"/>
            <w:vMerge w:val="restart"/>
            <w:noWrap w:val="0"/>
            <w:vAlign w:val="center"/>
          </w:tcPr>
          <w:p w14:paraId="3BED75D5">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7</w:t>
            </w:r>
            <w:r>
              <w:rPr>
                <w:rFonts w:hint="eastAsia" w:ascii="宋体" w:hAnsi="宋体"/>
                <w:sz w:val="22"/>
                <w:szCs w:val="22"/>
              </w:rPr>
              <w:t>.1</w:t>
            </w:r>
            <w:r>
              <w:rPr>
                <w:rFonts w:hint="eastAsia" w:ascii="宋体" w:hAnsi="宋体"/>
                <w:sz w:val="22"/>
                <w:szCs w:val="22"/>
                <w:lang w:val="en-US" w:eastAsia="zh-CN"/>
              </w:rPr>
              <w:t>款</w:t>
            </w:r>
          </w:p>
        </w:tc>
        <w:tc>
          <w:tcPr>
            <w:tcW w:w="3079" w:type="dxa"/>
            <w:noWrap w:val="0"/>
            <w:vAlign w:val="center"/>
          </w:tcPr>
          <w:p w14:paraId="0FED37C2">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包装</w:t>
            </w:r>
            <w:r>
              <w:rPr>
                <w:rFonts w:hint="eastAsia" w:ascii="宋体" w:hAnsi="宋体"/>
                <w:sz w:val="22"/>
                <w:szCs w:val="22"/>
                <w:lang w:eastAsia="zh-CN"/>
              </w:rPr>
              <w:t>特殊要求</w:t>
            </w:r>
          </w:p>
        </w:tc>
        <w:tc>
          <w:tcPr>
            <w:tcW w:w="3723" w:type="dxa"/>
            <w:noWrap w:val="0"/>
            <w:vAlign w:val="center"/>
          </w:tcPr>
          <w:p w14:paraId="62C5166C">
            <w:pPr>
              <w:rPr>
                <w:sz w:val="22"/>
                <w:szCs w:val="22"/>
              </w:rPr>
            </w:pPr>
          </w:p>
        </w:tc>
      </w:tr>
      <w:tr w14:paraId="6A37B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2697" w:type="dxa"/>
            <w:vMerge w:val="continue"/>
            <w:noWrap w:val="0"/>
            <w:vAlign w:val="center"/>
          </w:tcPr>
          <w:p w14:paraId="279F83C7">
            <w:pPr>
              <w:adjustRightInd w:val="0"/>
              <w:snapToGrid w:val="0"/>
              <w:ind w:left="0" w:leftChars="0" w:firstLine="0" w:firstLineChars="0"/>
              <w:jc w:val="center"/>
              <w:rPr>
                <w:rFonts w:hint="eastAsia" w:ascii="宋体" w:hAnsi="宋体"/>
                <w:sz w:val="22"/>
                <w:szCs w:val="22"/>
              </w:rPr>
            </w:pPr>
          </w:p>
        </w:tc>
        <w:tc>
          <w:tcPr>
            <w:tcW w:w="3079" w:type="dxa"/>
            <w:noWrap w:val="0"/>
            <w:vAlign w:val="center"/>
          </w:tcPr>
          <w:p w14:paraId="5B29A40C">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指定现场</w:t>
            </w:r>
          </w:p>
        </w:tc>
        <w:tc>
          <w:tcPr>
            <w:tcW w:w="3723" w:type="dxa"/>
            <w:noWrap w:val="0"/>
            <w:vAlign w:val="center"/>
          </w:tcPr>
          <w:p w14:paraId="12265328">
            <w:pPr>
              <w:rPr>
                <w:rFonts w:hint="eastAsia"/>
                <w:sz w:val="22"/>
                <w:szCs w:val="22"/>
              </w:rPr>
            </w:pPr>
          </w:p>
        </w:tc>
      </w:tr>
      <w:tr w14:paraId="673DDB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2697" w:type="dxa"/>
            <w:noWrap w:val="0"/>
            <w:vAlign w:val="center"/>
          </w:tcPr>
          <w:p w14:paraId="0986CC32">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7</w:t>
            </w:r>
            <w:r>
              <w:rPr>
                <w:rFonts w:hint="eastAsia" w:ascii="宋体" w:hAnsi="宋体"/>
                <w:sz w:val="22"/>
                <w:szCs w:val="22"/>
              </w:rPr>
              <w:t>.2</w:t>
            </w:r>
            <w:r>
              <w:rPr>
                <w:rFonts w:hint="eastAsia" w:ascii="宋体" w:hAnsi="宋体"/>
                <w:sz w:val="22"/>
                <w:szCs w:val="22"/>
                <w:lang w:val="en-US" w:eastAsia="zh-CN"/>
              </w:rPr>
              <w:t>款</w:t>
            </w:r>
          </w:p>
        </w:tc>
        <w:tc>
          <w:tcPr>
            <w:tcW w:w="3079" w:type="dxa"/>
            <w:noWrap w:val="0"/>
            <w:vAlign w:val="center"/>
          </w:tcPr>
          <w:p w14:paraId="71CBFD28">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运输特殊要求</w:t>
            </w:r>
          </w:p>
        </w:tc>
        <w:tc>
          <w:tcPr>
            <w:tcW w:w="3723" w:type="dxa"/>
            <w:noWrap w:val="0"/>
            <w:vAlign w:val="center"/>
          </w:tcPr>
          <w:p w14:paraId="00012D16">
            <w:pPr>
              <w:rPr>
                <w:rFonts w:hint="eastAsia"/>
                <w:sz w:val="22"/>
                <w:szCs w:val="22"/>
              </w:rPr>
            </w:pPr>
          </w:p>
        </w:tc>
      </w:tr>
      <w:tr w14:paraId="07EFF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2697" w:type="dxa"/>
            <w:noWrap w:val="0"/>
            <w:vAlign w:val="center"/>
          </w:tcPr>
          <w:p w14:paraId="4CD8CD00">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7</w:t>
            </w:r>
            <w:r>
              <w:rPr>
                <w:rFonts w:hint="eastAsia" w:ascii="宋体" w:hAnsi="宋体"/>
                <w:sz w:val="22"/>
                <w:szCs w:val="22"/>
              </w:rPr>
              <w:t>.3</w:t>
            </w:r>
            <w:r>
              <w:rPr>
                <w:rFonts w:hint="eastAsia" w:ascii="宋体" w:hAnsi="宋体"/>
                <w:sz w:val="22"/>
                <w:szCs w:val="22"/>
                <w:lang w:val="en-US" w:eastAsia="zh-CN"/>
              </w:rPr>
              <w:t>款</w:t>
            </w:r>
          </w:p>
        </w:tc>
        <w:tc>
          <w:tcPr>
            <w:tcW w:w="3079" w:type="dxa"/>
            <w:noWrap w:val="0"/>
            <w:vAlign w:val="center"/>
          </w:tcPr>
          <w:p w14:paraId="46BA4D0C">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保险要求</w:t>
            </w:r>
          </w:p>
        </w:tc>
        <w:tc>
          <w:tcPr>
            <w:tcW w:w="3723" w:type="dxa"/>
            <w:noWrap w:val="0"/>
            <w:vAlign w:val="center"/>
          </w:tcPr>
          <w:p w14:paraId="464544B9">
            <w:pPr>
              <w:rPr>
                <w:rFonts w:hint="eastAsia"/>
                <w:sz w:val="22"/>
                <w:szCs w:val="22"/>
              </w:rPr>
            </w:pPr>
          </w:p>
        </w:tc>
      </w:tr>
      <w:tr w14:paraId="311D8A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2697" w:type="dxa"/>
            <w:noWrap w:val="0"/>
            <w:vAlign w:val="center"/>
          </w:tcPr>
          <w:p w14:paraId="60A9F3D2">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8</w:t>
            </w:r>
            <w:r>
              <w:rPr>
                <w:rFonts w:hint="eastAsia" w:ascii="宋体" w:hAnsi="宋体"/>
                <w:sz w:val="22"/>
                <w:szCs w:val="22"/>
              </w:rPr>
              <w:t>.2（1）项</w:t>
            </w:r>
          </w:p>
        </w:tc>
        <w:tc>
          <w:tcPr>
            <w:tcW w:w="3079" w:type="dxa"/>
            <w:noWrap w:val="0"/>
            <w:vAlign w:val="center"/>
          </w:tcPr>
          <w:p w14:paraId="166AD439">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质量保证期</w:t>
            </w:r>
          </w:p>
        </w:tc>
        <w:tc>
          <w:tcPr>
            <w:tcW w:w="3723" w:type="dxa"/>
            <w:noWrap w:val="0"/>
            <w:vAlign w:val="center"/>
          </w:tcPr>
          <w:p w14:paraId="381CC654">
            <w:pPr>
              <w:autoSpaceDE w:val="0"/>
              <w:autoSpaceDN w:val="0"/>
              <w:adjustRightInd w:val="0"/>
              <w:snapToGrid w:val="0"/>
              <w:ind w:firstLine="440" w:firstLineChars="200"/>
              <w:jc w:val="left"/>
              <w:rPr>
                <w:rFonts w:ascii="宋体" w:hAnsi="宋体"/>
                <w:sz w:val="22"/>
                <w:szCs w:val="22"/>
              </w:rPr>
            </w:pPr>
          </w:p>
        </w:tc>
      </w:tr>
      <w:tr w14:paraId="1D12A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2697" w:type="dxa"/>
            <w:noWrap w:val="0"/>
            <w:vAlign w:val="center"/>
          </w:tcPr>
          <w:p w14:paraId="2EE2DF01">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8</w:t>
            </w:r>
            <w:r>
              <w:rPr>
                <w:rFonts w:hint="eastAsia" w:ascii="宋体" w:hAnsi="宋体"/>
                <w:sz w:val="22"/>
                <w:szCs w:val="22"/>
              </w:rPr>
              <w:t>.2（3）项</w:t>
            </w:r>
          </w:p>
        </w:tc>
        <w:tc>
          <w:tcPr>
            <w:tcW w:w="3079" w:type="dxa"/>
            <w:noWrap w:val="0"/>
            <w:vAlign w:val="center"/>
          </w:tcPr>
          <w:p w14:paraId="328AB5A8">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lang w:eastAsia="zh-CN"/>
              </w:rPr>
              <w:t>货物质量缺陷</w:t>
            </w:r>
          </w:p>
          <w:p w14:paraId="52DB60D7">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响应时间</w:t>
            </w:r>
          </w:p>
        </w:tc>
        <w:tc>
          <w:tcPr>
            <w:tcW w:w="3723" w:type="dxa"/>
            <w:noWrap w:val="0"/>
            <w:vAlign w:val="center"/>
          </w:tcPr>
          <w:p w14:paraId="7F171B62">
            <w:pPr>
              <w:adjustRightInd w:val="0"/>
              <w:snapToGrid w:val="0"/>
              <w:jc w:val="left"/>
              <w:rPr>
                <w:rFonts w:ascii="宋体" w:hAnsi="宋体"/>
                <w:sz w:val="22"/>
                <w:szCs w:val="22"/>
              </w:rPr>
            </w:pPr>
          </w:p>
        </w:tc>
      </w:tr>
      <w:tr w14:paraId="772C4D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38BC2CAF">
            <w:pPr>
              <w:adjustRightInd w:val="0"/>
              <w:snapToGrid w:val="0"/>
              <w:ind w:left="0" w:leftChars="0" w:firstLine="0" w:firstLineChars="0"/>
              <w:jc w:val="center"/>
              <w:rPr>
                <w:rFonts w:hint="default" w:ascii="宋体" w:hAnsi="宋体"/>
                <w:sz w:val="22"/>
                <w:szCs w:val="22"/>
                <w:lang w:val="en-US" w:eastAsia="zh-CN"/>
              </w:rPr>
            </w:pPr>
            <w:r>
              <w:rPr>
                <w:rFonts w:hint="eastAsia" w:ascii="宋体" w:hAnsi="宋体"/>
                <w:sz w:val="22"/>
                <w:szCs w:val="22"/>
                <w:lang w:val="en-US" w:eastAsia="zh-CN"/>
              </w:rPr>
              <w:t>第二节第11.1款</w:t>
            </w:r>
          </w:p>
        </w:tc>
        <w:tc>
          <w:tcPr>
            <w:tcW w:w="3079" w:type="dxa"/>
            <w:noWrap w:val="0"/>
            <w:vAlign w:val="center"/>
          </w:tcPr>
          <w:p w14:paraId="56ABC0C1">
            <w:pPr>
              <w:adjustRightInd w:val="0"/>
              <w:snapToGrid w:val="0"/>
              <w:spacing w:line="240" w:lineRule="auto"/>
              <w:ind w:left="0" w:leftChars="0" w:firstLine="0" w:firstLineChars="0"/>
              <w:jc w:val="center"/>
              <w:rPr>
                <w:rFonts w:hint="default" w:ascii="宋体" w:hAnsi="宋体"/>
                <w:sz w:val="22"/>
                <w:szCs w:val="22"/>
                <w:lang w:val="en-US" w:eastAsia="zh-CN"/>
              </w:rPr>
            </w:pPr>
            <w:r>
              <w:rPr>
                <w:rFonts w:hint="eastAsia" w:ascii="宋体" w:hAnsi="宋体"/>
                <w:sz w:val="22"/>
                <w:szCs w:val="22"/>
                <w:lang w:val="en-US" w:eastAsia="zh-CN"/>
              </w:rPr>
              <w:t>其他应当保密的信息</w:t>
            </w:r>
          </w:p>
        </w:tc>
        <w:tc>
          <w:tcPr>
            <w:tcW w:w="3723" w:type="dxa"/>
            <w:noWrap w:val="0"/>
            <w:vAlign w:val="center"/>
          </w:tcPr>
          <w:p w14:paraId="337B01EF">
            <w:pPr>
              <w:adjustRightInd w:val="0"/>
              <w:snapToGrid w:val="0"/>
              <w:jc w:val="left"/>
              <w:rPr>
                <w:rFonts w:ascii="宋体" w:hAnsi="宋体"/>
                <w:sz w:val="22"/>
                <w:szCs w:val="22"/>
              </w:rPr>
            </w:pPr>
          </w:p>
        </w:tc>
      </w:tr>
      <w:tr w14:paraId="5465E1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715A4F78">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2</w:t>
            </w:r>
            <w:r>
              <w:rPr>
                <w:rFonts w:hint="eastAsia" w:ascii="宋体" w:hAnsi="宋体"/>
                <w:sz w:val="22"/>
                <w:szCs w:val="22"/>
              </w:rPr>
              <w:t>.2款</w:t>
            </w:r>
          </w:p>
        </w:tc>
        <w:tc>
          <w:tcPr>
            <w:tcW w:w="3079" w:type="dxa"/>
            <w:noWrap w:val="0"/>
            <w:vAlign w:val="center"/>
          </w:tcPr>
          <w:p w14:paraId="6682B078">
            <w:pPr>
              <w:adjustRightInd w:val="0"/>
              <w:snapToGrid w:val="0"/>
              <w:spacing w:line="240" w:lineRule="auto"/>
              <w:ind w:left="0" w:leftChars="0" w:firstLine="0" w:firstLineChars="0"/>
              <w:jc w:val="center"/>
              <w:rPr>
                <w:rFonts w:hint="eastAsia" w:ascii="宋体" w:hAnsi="宋体"/>
                <w:sz w:val="22"/>
                <w:szCs w:val="22"/>
                <w:lang w:eastAsia="zh-CN"/>
              </w:rPr>
            </w:pPr>
            <w:r>
              <w:rPr>
                <w:rFonts w:hint="eastAsia" w:ascii="宋体" w:hAnsi="宋体"/>
                <w:sz w:val="22"/>
                <w:szCs w:val="22"/>
              </w:rPr>
              <w:t>合同价款支付</w:t>
            </w:r>
            <w:r>
              <w:rPr>
                <w:rFonts w:hint="eastAsia" w:ascii="宋体" w:hAnsi="宋体"/>
                <w:sz w:val="22"/>
                <w:szCs w:val="22"/>
                <w:lang w:eastAsia="zh-CN"/>
              </w:rPr>
              <w:t>时间</w:t>
            </w:r>
          </w:p>
        </w:tc>
        <w:tc>
          <w:tcPr>
            <w:tcW w:w="3723" w:type="dxa"/>
            <w:noWrap w:val="0"/>
            <w:vAlign w:val="center"/>
          </w:tcPr>
          <w:p w14:paraId="492BB108">
            <w:pPr>
              <w:adjustRightInd w:val="0"/>
              <w:snapToGrid w:val="0"/>
              <w:jc w:val="left"/>
              <w:rPr>
                <w:rFonts w:ascii="宋体" w:hAnsi="宋体"/>
                <w:sz w:val="22"/>
                <w:szCs w:val="22"/>
              </w:rPr>
            </w:pPr>
          </w:p>
        </w:tc>
      </w:tr>
      <w:tr w14:paraId="3E6B9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4ABEFEF2">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13.2</w:t>
            </w:r>
            <w:r>
              <w:rPr>
                <w:rFonts w:hint="eastAsia" w:ascii="宋体" w:hAnsi="宋体"/>
                <w:sz w:val="22"/>
                <w:szCs w:val="22"/>
              </w:rPr>
              <w:t>款</w:t>
            </w:r>
          </w:p>
        </w:tc>
        <w:tc>
          <w:tcPr>
            <w:tcW w:w="3079" w:type="dxa"/>
            <w:noWrap w:val="0"/>
            <w:vAlign w:val="center"/>
          </w:tcPr>
          <w:p w14:paraId="52F41460">
            <w:pPr>
              <w:adjustRightInd w:val="0"/>
              <w:snapToGrid w:val="0"/>
              <w:spacing w:line="240" w:lineRule="auto"/>
              <w:ind w:left="0" w:leftChars="0" w:firstLine="0" w:firstLineChars="0"/>
              <w:jc w:val="center"/>
              <w:rPr>
                <w:rFonts w:hint="default" w:ascii="宋体" w:hAnsi="宋体"/>
                <w:sz w:val="22"/>
                <w:szCs w:val="22"/>
                <w:lang w:val="en-US" w:eastAsia="zh-CN"/>
              </w:rPr>
            </w:pPr>
            <w:r>
              <w:rPr>
                <w:rFonts w:hint="eastAsia" w:ascii="宋体" w:hAnsi="宋体"/>
                <w:sz w:val="22"/>
                <w:szCs w:val="22"/>
                <w:lang w:val="en-US" w:eastAsia="zh-CN"/>
              </w:rPr>
              <w:t>履约保证金不予退还的情形</w:t>
            </w:r>
          </w:p>
        </w:tc>
        <w:tc>
          <w:tcPr>
            <w:tcW w:w="3723" w:type="dxa"/>
            <w:noWrap w:val="0"/>
            <w:vAlign w:val="center"/>
          </w:tcPr>
          <w:p w14:paraId="51BD7083">
            <w:pPr>
              <w:adjustRightInd w:val="0"/>
              <w:snapToGrid w:val="0"/>
              <w:jc w:val="left"/>
              <w:rPr>
                <w:rFonts w:ascii="宋体" w:hAnsi="宋体"/>
                <w:sz w:val="22"/>
                <w:szCs w:val="22"/>
              </w:rPr>
            </w:pPr>
          </w:p>
        </w:tc>
      </w:tr>
      <w:tr w14:paraId="5F7A2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2697" w:type="dxa"/>
            <w:noWrap w:val="0"/>
            <w:vAlign w:val="center"/>
          </w:tcPr>
          <w:p w14:paraId="4F470986">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13.3</w:t>
            </w:r>
            <w:r>
              <w:rPr>
                <w:rFonts w:hint="eastAsia" w:ascii="宋体" w:hAnsi="宋体"/>
                <w:sz w:val="22"/>
                <w:szCs w:val="22"/>
              </w:rPr>
              <w:t>款</w:t>
            </w:r>
          </w:p>
        </w:tc>
        <w:tc>
          <w:tcPr>
            <w:tcW w:w="3079" w:type="dxa"/>
            <w:noWrap w:val="0"/>
            <w:vAlign w:val="center"/>
          </w:tcPr>
          <w:p w14:paraId="51DA8FBE">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履约保证金退还时间及</w:t>
            </w:r>
            <w:r>
              <w:rPr>
                <w:rFonts w:hint="eastAsia" w:ascii="宋体" w:hAnsi="宋体"/>
                <w:sz w:val="22"/>
                <w:szCs w:val="22"/>
                <w:lang w:eastAsia="zh-CN"/>
              </w:rPr>
              <w:t>逾期退还的</w:t>
            </w:r>
            <w:r>
              <w:rPr>
                <w:rFonts w:hint="eastAsia" w:ascii="宋体" w:hAnsi="宋体"/>
                <w:sz w:val="22"/>
                <w:szCs w:val="22"/>
              </w:rPr>
              <w:t>违约金</w:t>
            </w:r>
          </w:p>
        </w:tc>
        <w:tc>
          <w:tcPr>
            <w:tcW w:w="3723" w:type="dxa"/>
            <w:noWrap w:val="0"/>
            <w:vAlign w:val="center"/>
          </w:tcPr>
          <w:p w14:paraId="50B7383E">
            <w:pPr>
              <w:adjustRightInd w:val="0"/>
              <w:snapToGrid w:val="0"/>
              <w:jc w:val="left"/>
              <w:rPr>
                <w:rFonts w:ascii="宋体" w:hAnsi="宋体"/>
                <w:sz w:val="22"/>
                <w:szCs w:val="22"/>
              </w:rPr>
            </w:pPr>
          </w:p>
        </w:tc>
      </w:tr>
      <w:tr w14:paraId="266E0D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5419E160">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4</w:t>
            </w:r>
            <w:r>
              <w:rPr>
                <w:rFonts w:hint="eastAsia" w:ascii="宋体" w:hAnsi="宋体"/>
                <w:sz w:val="22"/>
                <w:szCs w:val="22"/>
              </w:rPr>
              <w:t>.1（</w:t>
            </w:r>
            <w:r>
              <w:rPr>
                <w:rFonts w:hint="eastAsia" w:ascii="宋体" w:hAnsi="宋体"/>
                <w:sz w:val="22"/>
                <w:szCs w:val="22"/>
                <w:lang w:val="en-US" w:eastAsia="zh-CN"/>
              </w:rPr>
              <w:t>3</w:t>
            </w:r>
            <w:r>
              <w:rPr>
                <w:rFonts w:hint="eastAsia" w:ascii="宋体" w:hAnsi="宋体"/>
                <w:sz w:val="22"/>
                <w:szCs w:val="22"/>
              </w:rPr>
              <w:t>）项</w:t>
            </w:r>
          </w:p>
        </w:tc>
        <w:tc>
          <w:tcPr>
            <w:tcW w:w="3079" w:type="dxa"/>
            <w:noWrap w:val="0"/>
            <w:vAlign w:val="center"/>
          </w:tcPr>
          <w:p w14:paraId="4CBE3A61">
            <w:pPr>
              <w:adjustRightInd w:val="0"/>
              <w:snapToGrid w:val="0"/>
              <w:spacing w:line="240" w:lineRule="auto"/>
              <w:ind w:left="0" w:leftChars="0" w:firstLine="0" w:firstLineChars="0"/>
              <w:jc w:val="center"/>
              <w:rPr>
                <w:rFonts w:hint="eastAsia" w:ascii="宋体" w:hAnsi="宋体"/>
                <w:sz w:val="22"/>
                <w:szCs w:val="22"/>
                <w:lang w:val="en-US" w:eastAsia="zh-CN"/>
              </w:rPr>
            </w:pPr>
            <w:r>
              <w:rPr>
                <w:rFonts w:hint="eastAsia" w:ascii="宋体" w:hAnsi="宋体"/>
                <w:sz w:val="22"/>
                <w:szCs w:val="22"/>
                <w:lang w:val="en-US" w:eastAsia="zh-CN"/>
              </w:rPr>
              <w:t>运行监督、维修期限</w:t>
            </w:r>
          </w:p>
        </w:tc>
        <w:tc>
          <w:tcPr>
            <w:tcW w:w="3723" w:type="dxa"/>
            <w:noWrap w:val="0"/>
            <w:vAlign w:val="center"/>
          </w:tcPr>
          <w:p w14:paraId="00EA3054">
            <w:pPr>
              <w:adjustRightInd w:val="0"/>
              <w:snapToGrid w:val="0"/>
              <w:jc w:val="left"/>
              <w:rPr>
                <w:rFonts w:ascii="宋体" w:hAnsi="宋体"/>
                <w:sz w:val="22"/>
                <w:szCs w:val="22"/>
              </w:rPr>
            </w:pPr>
          </w:p>
        </w:tc>
      </w:tr>
      <w:tr w14:paraId="4CB60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0669964B">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4</w:t>
            </w:r>
            <w:r>
              <w:rPr>
                <w:rFonts w:hint="eastAsia" w:ascii="宋体" w:hAnsi="宋体"/>
                <w:sz w:val="22"/>
                <w:szCs w:val="22"/>
              </w:rPr>
              <w:t>.1（</w:t>
            </w:r>
            <w:r>
              <w:rPr>
                <w:rFonts w:hint="eastAsia" w:ascii="宋体" w:hAnsi="宋体"/>
                <w:sz w:val="22"/>
                <w:szCs w:val="22"/>
                <w:lang w:val="en-US" w:eastAsia="zh-CN"/>
              </w:rPr>
              <w:t>5</w:t>
            </w:r>
            <w:r>
              <w:rPr>
                <w:rFonts w:hint="eastAsia" w:ascii="宋体" w:hAnsi="宋体"/>
                <w:sz w:val="22"/>
                <w:szCs w:val="22"/>
              </w:rPr>
              <w:t>）项</w:t>
            </w:r>
          </w:p>
        </w:tc>
        <w:tc>
          <w:tcPr>
            <w:tcW w:w="3079" w:type="dxa"/>
            <w:noWrap w:val="0"/>
            <w:vAlign w:val="center"/>
          </w:tcPr>
          <w:p w14:paraId="7F33C5F4">
            <w:pPr>
              <w:adjustRightInd w:val="0"/>
              <w:snapToGrid w:val="0"/>
              <w:spacing w:line="240" w:lineRule="auto"/>
              <w:ind w:left="0" w:leftChars="0" w:firstLine="0" w:firstLineChars="0"/>
              <w:jc w:val="center"/>
              <w:rPr>
                <w:rFonts w:hint="default" w:ascii="宋体" w:hAnsi="宋体"/>
                <w:sz w:val="22"/>
                <w:szCs w:val="22"/>
                <w:lang w:val="en-US" w:eastAsia="zh-CN"/>
              </w:rPr>
            </w:pPr>
            <w:r>
              <w:rPr>
                <w:rFonts w:hint="eastAsia" w:ascii="宋体" w:hAnsi="宋体"/>
                <w:sz w:val="22"/>
                <w:szCs w:val="22"/>
                <w:lang w:val="en-US" w:eastAsia="zh-CN"/>
              </w:rPr>
              <w:t>货物回收的约定</w:t>
            </w:r>
          </w:p>
        </w:tc>
        <w:tc>
          <w:tcPr>
            <w:tcW w:w="3723" w:type="dxa"/>
            <w:noWrap w:val="0"/>
            <w:vAlign w:val="center"/>
          </w:tcPr>
          <w:p w14:paraId="62C91B60">
            <w:pPr>
              <w:adjustRightInd w:val="0"/>
              <w:snapToGrid w:val="0"/>
              <w:jc w:val="left"/>
              <w:rPr>
                <w:rFonts w:ascii="宋体" w:hAnsi="宋体"/>
                <w:sz w:val="22"/>
                <w:szCs w:val="22"/>
              </w:rPr>
            </w:pPr>
          </w:p>
        </w:tc>
      </w:tr>
      <w:tr w14:paraId="7F567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2A4DD299">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4</w:t>
            </w:r>
            <w:r>
              <w:rPr>
                <w:rFonts w:hint="eastAsia" w:ascii="宋体" w:hAnsi="宋体"/>
                <w:sz w:val="22"/>
                <w:szCs w:val="22"/>
              </w:rPr>
              <w:t>.1（</w:t>
            </w:r>
            <w:r>
              <w:rPr>
                <w:rFonts w:hint="eastAsia" w:ascii="宋体" w:hAnsi="宋体"/>
                <w:sz w:val="22"/>
                <w:szCs w:val="22"/>
                <w:lang w:val="en-US" w:eastAsia="zh-CN"/>
              </w:rPr>
              <w:t>6</w:t>
            </w:r>
            <w:r>
              <w:rPr>
                <w:rFonts w:hint="eastAsia" w:ascii="宋体" w:hAnsi="宋体"/>
                <w:sz w:val="22"/>
                <w:szCs w:val="22"/>
              </w:rPr>
              <w:t>）项</w:t>
            </w:r>
          </w:p>
        </w:tc>
        <w:tc>
          <w:tcPr>
            <w:tcW w:w="3079" w:type="dxa"/>
            <w:noWrap w:val="0"/>
            <w:vAlign w:val="center"/>
          </w:tcPr>
          <w:p w14:paraId="39FF9DF2">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乙方提供的其他服务</w:t>
            </w:r>
          </w:p>
        </w:tc>
        <w:tc>
          <w:tcPr>
            <w:tcW w:w="3723" w:type="dxa"/>
            <w:noWrap w:val="0"/>
            <w:vAlign w:val="center"/>
          </w:tcPr>
          <w:p w14:paraId="41B4F781">
            <w:pPr>
              <w:adjustRightInd w:val="0"/>
              <w:snapToGrid w:val="0"/>
              <w:jc w:val="left"/>
              <w:rPr>
                <w:rFonts w:ascii="宋体" w:hAnsi="宋体"/>
                <w:sz w:val="22"/>
                <w:szCs w:val="22"/>
              </w:rPr>
            </w:pPr>
          </w:p>
        </w:tc>
      </w:tr>
      <w:tr w14:paraId="258FD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2697" w:type="dxa"/>
            <w:noWrap w:val="0"/>
            <w:vAlign w:val="center"/>
          </w:tcPr>
          <w:p w14:paraId="1265B2D6">
            <w:pPr>
              <w:adjustRightInd w:val="0"/>
              <w:snapToGrid w:val="0"/>
              <w:ind w:left="0" w:leftChars="0" w:firstLine="0" w:firstLineChars="0"/>
              <w:jc w:val="center"/>
              <w:rPr>
                <w:rFonts w:hint="default" w:ascii="宋体" w:hAnsi="宋体"/>
                <w:sz w:val="22"/>
                <w:szCs w:val="22"/>
                <w:lang w:val="en-US" w:eastAsia="zh-CN"/>
              </w:rPr>
            </w:pPr>
            <w:r>
              <w:rPr>
                <w:rFonts w:hint="eastAsia" w:ascii="宋体" w:hAnsi="宋体"/>
                <w:sz w:val="22"/>
                <w:szCs w:val="22"/>
              </w:rPr>
              <w:t>第二节第1</w:t>
            </w:r>
            <w:r>
              <w:rPr>
                <w:rFonts w:hint="eastAsia" w:ascii="宋体" w:hAnsi="宋体"/>
                <w:sz w:val="22"/>
                <w:szCs w:val="22"/>
                <w:lang w:val="en-US" w:eastAsia="zh-CN"/>
              </w:rPr>
              <w:t>5</w:t>
            </w:r>
            <w:r>
              <w:rPr>
                <w:rFonts w:hint="eastAsia" w:ascii="宋体" w:hAnsi="宋体"/>
                <w:sz w:val="22"/>
                <w:szCs w:val="22"/>
              </w:rPr>
              <w:t>.</w:t>
            </w:r>
            <w:r>
              <w:rPr>
                <w:rFonts w:hint="eastAsia" w:ascii="宋体" w:hAnsi="宋体"/>
                <w:sz w:val="22"/>
                <w:szCs w:val="22"/>
                <w:lang w:val="en-US" w:eastAsia="zh-CN"/>
              </w:rPr>
              <w:t>1款</w:t>
            </w:r>
          </w:p>
        </w:tc>
        <w:tc>
          <w:tcPr>
            <w:tcW w:w="3079" w:type="dxa"/>
            <w:noWrap w:val="0"/>
            <w:vAlign w:val="center"/>
          </w:tcPr>
          <w:p w14:paraId="3F235E75">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lang w:eastAsia="zh-CN"/>
              </w:rPr>
              <w:t>修理、重作、更换相关具体规定</w:t>
            </w:r>
          </w:p>
        </w:tc>
        <w:tc>
          <w:tcPr>
            <w:tcW w:w="3723" w:type="dxa"/>
            <w:noWrap w:val="0"/>
            <w:vAlign w:val="center"/>
          </w:tcPr>
          <w:p w14:paraId="2693B0FD">
            <w:pPr>
              <w:adjustRightInd w:val="0"/>
              <w:snapToGrid w:val="0"/>
              <w:jc w:val="left"/>
              <w:rPr>
                <w:rFonts w:ascii="宋体" w:hAnsi="宋体"/>
                <w:sz w:val="22"/>
                <w:szCs w:val="22"/>
              </w:rPr>
            </w:pPr>
          </w:p>
        </w:tc>
      </w:tr>
      <w:tr w14:paraId="2A729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7" w:type="dxa"/>
            <w:noWrap w:val="0"/>
            <w:vAlign w:val="center"/>
          </w:tcPr>
          <w:p w14:paraId="7BE379CF">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5</w:t>
            </w:r>
            <w:r>
              <w:rPr>
                <w:rFonts w:hint="eastAsia" w:ascii="宋体" w:hAnsi="宋体"/>
                <w:sz w:val="22"/>
                <w:szCs w:val="22"/>
              </w:rPr>
              <w:t>.2（2）项</w:t>
            </w:r>
          </w:p>
        </w:tc>
        <w:tc>
          <w:tcPr>
            <w:tcW w:w="3079" w:type="dxa"/>
            <w:noWrap w:val="0"/>
            <w:vAlign w:val="center"/>
          </w:tcPr>
          <w:p w14:paraId="5BCB808B">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迟延交货赔偿费</w:t>
            </w:r>
          </w:p>
        </w:tc>
        <w:tc>
          <w:tcPr>
            <w:tcW w:w="3723" w:type="dxa"/>
            <w:noWrap w:val="0"/>
            <w:vAlign w:val="center"/>
          </w:tcPr>
          <w:p w14:paraId="3D3C3F6C">
            <w:pPr>
              <w:adjustRightInd w:val="0"/>
              <w:snapToGrid w:val="0"/>
              <w:jc w:val="left"/>
              <w:rPr>
                <w:rFonts w:ascii="宋体" w:hAnsi="宋体"/>
                <w:sz w:val="22"/>
                <w:szCs w:val="22"/>
                <w:u w:val="single"/>
              </w:rPr>
            </w:pPr>
          </w:p>
        </w:tc>
      </w:tr>
      <w:tr w14:paraId="764C4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2697" w:type="dxa"/>
            <w:noWrap w:val="0"/>
            <w:vAlign w:val="center"/>
          </w:tcPr>
          <w:p w14:paraId="1351FC38">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5</w:t>
            </w:r>
            <w:r>
              <w:rPr>
                <w:rFonts w:hint="eastAsia" w:ascii="宋体" w:hAnsi="宋体"/>
                <w:sz w:val="22"/>
                <w:szCs w:val="22"/>
              </w:rPr>
              <w:t>.</w:t>
            </w:r>
            <w:r>
              <w:rPr>
                <w:rFonts w:hint="eastAsia" w:ascii="宋体" w:hAnsi="宋体"/>
                <w:sz w:val="22"/>
                <w:szCs w:val="22"/>
                <w:lang w:val="en-US" w:eastAsia="zh-CN"/>
              </w:rPr>
              <w:t>3款</w:t>
            </w:r>
          </w:p>
        </w:tc>
        <w:tc>
          <w:tcPr>
            <w:tcW w:w="3079" w:type="dxa"/>
            <w:noWrap w:val="0"/>
            <w:vAlign w:val="center"/>
          </w:tcPr>
          <w:p w14:paraId="6A8DE793">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逾期付款利息</w:t>
            </w:r>
          </w:p>
        </w:tc>
        <w:tc>
          <w:tcPr>
            <w:tcW w:w="3723" w:type="dxa"/>
            <w:noWrap w:val="0"/>
            <w:vAlign w:val="center"/>
          </w:tcPr>
          <w:p w14:paraId="6B76B017">
            <w:pPr>
              <w:adjustRightInd w:val="0"/>
              <w:snapToGrid w:val="0"/>
              <w:jc w:val="left"/>
              <w:rPr>
                <w:rFonts w:ascii="宋体" w:hAnsi="宋体"/>
                <w:sz w:val="22"/>
                <w:szCs w:val="22"/>
                <w:u w:val="single"/>
              </w:rPr>
            </w:pPr>
          </w:p>
        </w:tc>
      </w:tr>
      <w:tr w14:paraId="1C8D2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2697" w:type="dxa"/>
            <w:tcBorders>
              <w:bottom w:val="single" w:color="auto" w:sz="2" w:space="0"/>
              <w:right w:val="single" w:color="auto" w:sz="2" w:space="0"/>
            </w:tcBorders>
            <w:noWrap w:val="0"/>
            <w:vAlign w:val="center"/>
          </w:tcPr>
          <w:p w14:paraId="503FAE6D">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第二节第1</w:t>
            </w:r>
            <w:r>
              <w:rPr>
                <w:rFonts w:hint="eastAsia" w:ascii="宋体" w:hAnsi="宋体"/>
                <w:sz w:val="22"/>
                <w:szCs w:val="22"/>
                <w:lang w:val="en-US" w:eastAsia="zh-CN"/>
              </w:rPr>
              <w:t>5</w:t>
            </w:r>
            <w:r>
              <w:rPr>
                <w:rFonts w:hint="eastAsia" w:ascii="宋体" w:hAnsi="宋体"/>
                <w:sz w:val="22"/>
                <w:szCs w:val="22"/>
              </w:rPr>
              <w:t>.4</w:t>
            </w:r>
            <w:r>
              <w:rPr>
                <w:rFonts w:hint="eastAsia" w:ascii="宋体" w:hAnsi="宋体"/>
                <w:sz w:val="22"/>
                <w:szCs w:val="22"/>
                <w:lang w:val="en-US" w:eastAsia="zh-CN"/>
              </w:rPr>
              <w:t>款</w:t>
            </w:r>
          </w:p>
        </w:tc>
        <w:tc>
          <w:tcPr>
            <w:tcW w:w="3079" w:type="dxa"/>
            <w:tcBorders>
              <w:left w:val="single" w:color="auto" w:sz="2" w:space="0"/>
              <w:bottom w:val="single" w:color="auto" w:sz="2" w:space="0"/>
              <w:right w:val="single" w:color="auto" w:sz="2" w:space="0"/>
            </w:tcBorders>
            <w:noWrap w:val="0"/>
            <w:vAlign w:val="center"/>
          </w:tcPr>
          <w:p w14:paraId="2BCC7A18">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rPr>
              <w:t>其他违约责任</w:t>
            </w:r>
          </w:p>
        </w:tc>
        <w:tc>
          <w:tcPr>
            <w:tcW w:w="3723" w:type="dxa"/>
            <w:tcBorders>
              <w:left w:val="single" w:color="auto" w:sz="2" w:space="0"/>
              <w:bottom w:val="single" w:color="auto" w:sz="2" w:space="0"/>
            </w:tcBorders>
            <w:noWrap w:val="0"/>
            <w:vAlign w:val="center"/>
          </w:tcPr>
          <w:p w14:paraId="71AFEC8B">
            <w:pPr>
              <w:adjustRightInd w:val="0"/>
              <w:snapToGrid w:val="0"/>
              <w:jc w:val="left"/>
              <w:rPr>
                <w:rFonts w:ascii="宋体" w:hAnsi="宋体"/>
                <w:sz w:val="22"/>
                <w:szCs w:val="22"/>
                <w:u w:val="single"/>
              </w:rPr>
            </w:pPr>
          </w:p>
        </w:tc>
      </w:tr>
      <w:tr w14:paraId="59A6B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2" w:hRule="atLeast"/>
        </w:trPr>
        <w:tc>
          <w:tcPr>
            <w:tcW w:w="2697" w:type="dxa"/>
            <w:tcBorders>
              <w:top w:val="single" w:color="auto" w:sz="2" w:space="0"/>
              <w:right w:val="single" w:color="auto" w:sz="2" w:space="0"/>
            </w:tcBorders>
            <w:noWrap w:val="0"/>
            <w:vAlign w:val="center"/>
          </w:tcPr>
          <w:p w14:paraId="505EF125">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w:t>
            </w:r>
            <w:r>
              <w:rPr>
                <w:rFonts w:hint="eastAsia" w:ascii="宋体" w:hAnsi="宋体"/>
                <w:sz w:val="22"/>
                <w:szCs w:val="22"/>
                <w:lang w:val="en-US" w:eastAsia="zh-CN"/>
              </w:rPr>
              <w:t>19</w:t>
            </w:r>
            <w:r>
              <w:rPr>
                <w:rFonts w:hint="eastAsia" w:ascii="宋体" w:hAnsi="宋体"/>
                <w:sz w:val="22"/>
                <w:szCs w:val="22"/>
              </w:rPr>
              <w:t>.2</w:t>
            </w:r>
            <w:r>
              <w:rPr>
                <w:rFonts w:hint="eastAsia" w:ascii="宋体" w:hAnsi="宋体"/>
                <w:sz w:val="22"/>
                <w:szCs w:val="22"/>
                <w:lang w:val="en-US" w:eastAsia="zh-CN"/>
              </w:rPr>
              <w:t>款</w:t>
            </w:r>
          </w:p>
        </w:tc>
        <w:tc>
          <w:tcPr>
            <w:tcW w:w="3079" w:type="dxa"/>
            <w:tcBorders>
              <w:top w:val="single" w:color="auto" w:sz="2" w:space="0"/>
              <w:left w:val="single" w:color="auto" w:sz="2" w:space="0"/>
              <w:right w:val="single" w:color="auto" w:sz="2" w:space="0"/>
            </w:tcBorders>
            <w:noWrap w:val="0"/>
            <w:vAlign w:val="center"/>
          </w:tcPr>
          <w:p w14:paraId="4880217E">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lang w:val="en-US" w:eastAsia="zh-CN"/>
              </w:rPr>
              <w:t>解决争议的方法</w:t>
            </w:r>
          </w:p>
        </w:tc>
        <w:tc>
          <w:tcPr>
            <w:tcW w:w="3723" w:type="dxa"/>
            <w:tcBorders>
              <w:top w:val="single" w:color="auto" w:sz="2" w:space="0"/>
              <w:left w:val="single" w:color="auto" w:sz="2" w:space="0"/>
            </w:tcBorders>
            <w:noWrap w:val="0"/>
            <w:vAlign w:val="center"/>
          </w:tcPr>
          <w:p w14:paraId="2682122C">
            <w:pPr>
              <w:autoSpaceDE w:val="0"/>
              <w:autoSpaceDN w:val="0"/>
              <w:adjustRightInd w:val="0"/>
              <w:snapToGrid w:val="0"/>
              <w:spacing w:line="400" w:lineRule="exact"/>
              <w:jc w:val="left"/>
              <w:rPr>
                <w:rFonts w:hint="eastAsia" w:ascii="宋体" w:hAnsi="宋体" w:eastAsia="宋体" w:cs="宋体"/>
                <w:b w:val="0"/>
                <w:bCs w:val="0"/>
                <w:iCs/>
                <w:sz w:val="22"/>
                <w:szCs w:val="22"/>
              </w:rPr>
            </w:pPr>
            <w:r>
              <w:rPr>
                <w:rFonts w:hint="eastAsia" w:ascii="宋体" w:hAnsi="宋体" w:eastAsia="宋体" w:cs="宋体"/>
                <w:b w:val="0"/>
                <w:bCs w:val="0"/>
                <w:iCs/>
                <w:sz w:val="22"/>
                <w:szCs w:val="22"/>
              </w:rPr>
              <w:t>因本合同及合同有关事项发生的争议，按下列第</w:t>
            </w:r>
            <w:r>
              <w:rPr>
                <w:rFonts w:hint="eastAsia" w:ascii="宋体" w:hAnsi="宋体" w:eastAsia="宋体" w:cs="宋体"/>
                <w:b w:val="0"/>
                <w:bCs w:val="0"/>
                <w:iCs/>
                <w:sz w:val="22"/>
                <w:szCs w:val="22"/>
                <w:u w:val="single"/>
              </w:rPr>
              <w:t xml:space="preserve">   </w:t>
            </w:r>
            <w:r>
              <w:rPr>
                <w:rFonts w:hint="eastAsia" w:ascii="宋体" w:hAnsi="宋体" w:eastAsia="宋体" w:cs="宋体"/>
                <w:b w:val="0"/>
                <w:bCs w:val="0"/>
                <w:iCs/>
                <w:sz w:val="22"/>
                <w:szCs w:val="22"/>
              </w:rPr>
              <w:t>种方式解决：</w:t>
            </w:r>
          </w:p>
          <w:p w14:paraId="54E76A8D">
            <w:pPr>
              <w:autoSpaceDE w:val="0"/>
              <w:autoSpaceDN w:val="0"/>
              <w:adjustRightInd w:val="0"/>
              <w:snapToGrid w:val="0"/>
              <w:spacing w:line="400" w:lineRule="exact"/>
              <w:jc w:val="left"/>
              <w:rPr>
                <w:rFonts w:hint="eastAsia" w:ascii="宋体" w:hAnsi="宋体" w:eastAsia="宋体" w:cs="宋体"/>
                <w:b w:val="0"/>
                <w:bCs w:val="0"/>
                <w:iCs/>
                <w:sz w:val="22"/>
                <w:szCs w:val="22"/>
              </w:rPr>
            </w:pPr>
            <w:r>
              <w:rPr>
                <w:rFonts w:hint="eastAsia" w:ascii="宋体" w:hAnsi="宋体" w:eastAsia="宋体" w:cs="宋体"/>
                <w:b w:val="0"/>
                <w:bCs w:val="0"/>
                <w:iCs/>
                <w:sz w:val="22"/>
                <w:szCs w:val="22"/>
              </w:rPr>
              <w:t>（1）向</w:t>
            </w:r>
            <w:r>
              <w:rPr>
                <w:rFonts w:hint="eastAsia" w:ascii="宋体" w:hAnsi="宋体" w:eastAsia="宋体" w:cs="宋体"/>
                <w:b w:val="0"/>
                <w:bCs w:val="0"/>
                <w:iCs/>
                <w:sz w:val="22"/>
                <w:szCs w:val="22"/>
                <w:u w:val="single"/>
              </w:rPr>
              <w:t xml:space="preserve">                    </w:t>
            </w:r>
            <w:r>
              <w:rPr>
                <w:rFonts w:hint="eastAsia" w:ascii="宋体" w:hAnsi="宋体" w:eastAsia="宋体" w:cs="宋体"/>
                <w:b w:val="0"/>
                <w:bCs w:val="0"/>
                <w:iCs/>
                <w:sz w:val="22"/>
                <w:szCs w:val="22"/>
              </w:rPr>
              <w:t>仲裁委员会申请仲裁，仲裁地点为</w:t>
            </w:r>
            <w:r>
              <w:rPr>
                <w:rFonts w:hint="eastAsia" w:ascii="宋体" w:hAnsi="宋体" w:eastAsia="宋体" w:cs="宋体"/>
                <w:b w:val="0"/>
                <w:bCs w:val="0"/>
                <w:iCs/>
                <w:sz w:val="22"/>
                <w:szCs w:val="22"/>
                <w:u w:val="single"/>
              </w:rPr>
              <w:t xml:space="preserve">           </w:t>
            </w:r>
            <w:r>
              <w:rPr>
                <w:rFonts w:hint="eastAsia" w:ascii="宋体" w:hAnsi="宋体" w:eastAsia="宋体" w:cs="宋体"/>
                <w:b w:val="0"/>
                <w:bCs w:val="0"/>
                <w:iCs/>
                <w:sz w:val="22"/>
                <w:szCs w:val="22"/>
              </w:rPr>
              <w:t>；</w:t>
            </w:r>
          </w:p>
          <w:p w14:paraId="4070D5CE">
            <w:pPr>
              <w:adjustRightInd w:val="0"/>
              <w:snapToGrid w:val="0"/>
              <w:ind w:firstLine="0" w:firstLineChars="0"/>
              <w:jc w:val="left"/>
              <w:rPr>
                <w:rFonts w:ascii="宋体" w:hAnsi="宋体"/>
                <w:sz w:val="22"/>
                <w:szCs w:val="22"/>
                <w:u w:val="single"/>
              </w:rPr>
            </w:pPr>
            <w:r>
              <w:rPr>
                <w:rFonts w:hint="eastAsia" w:ascii="宋体" w:hAnsi="宋体" w:eastAsia="宋体" w:cs="宋体"/>
                <w:b w:val="0"/>
                <w:bCs w:val="0"/>
                <w:iCs/>
                <w:sz w:val="22"/>
                <w:szCs w:val="22"/>
              </w:rPr>
              <w:t>（2）向</w:t>
            </w:r>
            <w:r>
              <w:rPr>
                <w:rFonts w:hint="eastAsia" w:ascii="宋体" w:hAnsi="宋体" w:eastAsia="宋体" w:cs="宋体"/>
                <w:b w:val="0"/>
                <w:bCs w:val="0"/>
                <w:iCs/>
                <w:sz w:val="22"/>
                <w:szCs w:val="22"/>
                <w:u w:val="single"/>
              </w:rPr>
              <w:t xml:space="preserve">                    </w:t>
            </w:r>
            <w:r>
              <w:rPr>
                <w:rFonts w:hint="eastAsia" w:ascii="宋体" w:hAnsi="宋体" w:eastAsia="宋体" w:cs="宋体"/>
                <w:b w:val="0"/>
                <w:bCs w:val="0"/>
                <w:iCs/>
                <w:sz w:val="22"/>
                <w:szCs w:val="22"/>
              </w:rPr>
              <w:t>人民法院起诉。</w:t>
            </w:r>
          </w:p>
        </w:tc>
      </w:tr>
      <w:tr w14:paraId="5BDF4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2697" w:type="dxa"/>
            <w:noWrap w:val="0"/>
            <w:vAlign w:val="center"/>
          </w:tcPr>
          <w:p w14:paraId="69085462">
            <w:pPr>
              <w:adjustRightInd w:val="0"/>
              <w:snapToGrid w:val="0"/>
              <w:ind w:left="0" w:leftChars="0" w:firstLine="0" w:firstLineChars="0"/>
              <w:jc w:val="center"/>
              <w:rPr>
                <w:rFonts w:hint="eastAsia" w:ascii="宋体" w:hAnsi="宋体"/>
                <w:sz w:val="22"/>
                <w:szCs w:val="22"/>
              </w:rPr>
            </w:pPr>
            <w:r>
              <w:rPr>
                <w:rFonts w:hint="eastAsia" w:ascii="宋体" w:hAnsi="宋体"/>
                <w:sz w:val="22"/>
                <w:szCs w:val="22"/>
              </w:rPr>
              <w:t>第二节第2</w:t>
            </w:r>
            <w:r>
              <w:rPr>
                <w:rFonts w:hint="eastAsia" w:ascii="宋体" w:hAnsi="宋体"/>
                <w:sz w:val="22"/>
                <w:szCs w:val="22"/>
                <w:lang w:val="en-US" w:eastAsia="zh-CN"/>
              </w:rPr>
              <w:t>3.1</w:t>
            </w:r>
            <w:r>
              <w:rPr>
                <w:rFonts w:hint="eastAsia" w:ascii="宋体" w:hAnsi="宋体"/>
                <w:sz w:val="22"/>
                <w:szCs w:val="22"/>
                <w:lang w:eastAsia="zh-CN"/>
              </w:rPr>
              <w:t>款</w:t>
            </w:r>
          </w:p>
        </w:tc>
        <w:tc>
          <w:tcPr>
            <w:tcW w:w="3079" w:type="dxa"/>
            <w:noWrap w:val="0"/>
            <w:vAlign w:val="center"/>
          </w:tcPr>
          <w:p w14:paraId="44A6156B">
            <w:pPr>
              <w:adjustRightInd w:val="0"/>
              <w:snapToGrid w:val="0"/>
              <w:spacing w:line="240" w:lineRule="auto"/>
              <w:ind w:left="0" w:leftChars="0" w:firstLine="0" w:firstLineChars="0"/>
              <w:jc w:val="center"/>
              <w:rPr>
                <w:rFonts w:hint="eastAsia" w:ascii="宋体" w:hAnsi="宋体"/>
                <w:sz w:val="22"/>
                <w:szCs w:val="22"/>
              </w:rPr>
            </w:pPr>
            <w:r>
              <w:rPr>
                <w:rFonts w:hint="eastAsia" w:ascii="宋体" w:hAnsi="宋体"/>
                <w:sz w:val="22"/>
                <w:szCs w:val="22"/>
                <w:lang w:eastAsia="zh-CN"/>
              </w:rPr>
              <w:t>其他专用条款</w:t>
            </w:r>
          </w:p>
        </w:tc>
        <w:tc>
          <w:tcPr>
            <w:tcW w:w="3723" w:type="dxa"/>
            <w:noWrap w:val="0"/>
            <w:vAlign w:val="center"/>
          </w:tcPr>
          <w:p w14:paraId="37441650">
            <w:pPr>
              <w:adjustRightInd w:val="0"/>
              <w:snapToGrid w:val="0"/>
              <w:jc w:val="left"/>
              <w:rPr>
                <w:rFonts w:hint="default" w:ascii="宋体" w:hAnsi="宋体" w:eastAsia="宋体"/>
                <w:sz w:val="22"/>
                <w:szCs w:val="22"/>
                <w:lang w:val="en-US" w:eastAsia="zh-CN"/>
              </w:rPr>
            </w:pPr>
          </w:p>
        </w:tc>
      </w:tr>
    </w:tbl>
    <w:p w14:paraId="64FB1D5E">
      <w:pPr>
        <w:pStyle w:val="9"/>
        <w:numPr>
          <w:ilvl w:val="0"/>
          <w:numId w:val="0"/>
        </w:numPr>
        <w:jc w:val="both"/>
        <w:rPr>
          <w:rFonts w:hint="eastAsia"/>
          <w:color w:val="auto"/>
        </w:rPr>
      </w:pPr>
    </w:p>
    <w:p w14:paraId="669689F0">
      <w:pPr>
        <w:pStyle w:val="8"/>
        <w:pageBreakBefore/>
        <w:tabs>
          <w:tab w:val="left" w:pos="1296"/>
        </w:tabs>
        <w:ind w:left="0" w:leftChars="0" w:firstLine="0" w:firstLineChars="0"/>
        <w:jc w:val="center"/>
        <w:rPr>
          <w:b/>
          <w:sz w:val="34"/>
        </w:rPr>
      </w:pPr>
      <w:bookmarkStart w:id="116" w:name="_Toc32367"/>
      <w:r>
        <w:t>第五章</w:t>
      </w:r>
      <w:bookmarkEnd w:id="110"/>
      <w:bookmarkEnd w:id="111"/>
      <w:r>
        <w:rPr>
          <w:rFonts w:hint="eastAsia"/>
          <w:lang w:val="en-US" w:eastAsia="zh-CN"/>
        </w:rPr>
        <w:t xml:space="preserve"> 采购需求</w:t>
      </w:r>
      <w:bookmarkEnd w:id="116"/>
    </w:p>
    <w:p w14:paraId="3AB8B0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一、规划主要内容</w:t>
      </w:r>
    </w:p>
    <w:p w14:paraId="7820A31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新县2025年城市体检</w:t>
      </w:r>
    </w:p>
    <w:p w14:paraId="3036FC5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1.体检范围</w:t>
      </w:r>
    </w:p>
    <w:p w14:paraId="4097067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本次城市体检范围为新县中心城区，结合城市更新要求完成城市体检工作。</w:t>
      </w:r>
    </w:p>
    <w:p w14:paraId="3A66709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2.工作方式</w:t>
      </w:r>
    </w:p>
    <w:p w14:paraId="1150AF8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住建部要求，城市体检工作采用“政府主导、部门协同、层级联动、社会参与”的工作方式，确立“城市自体检+第三方体检（国家级和省级）+社会满意度调查”相结合的组织模式，建立健全“一年一体检，五年一评估”的评估制度。在城市体检工作基础上，根据社会发展、城市更新需要，有针对性地开展专项体检、片区体检工作。在城市体检中，推行“采集、分析、诊断、治理、复查、监测”的六步工作法。</w:t>
      </w:r>
    </w:p>
    <w:p w14:paraId="38FB188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体检是指由样本城市人民政府组织开展，以官方统计数据为主要依据，对城市体检各项指标测算分析，通过开展自体检，摸清城市建设成效和问题短板，提出对策建议。综合采用线下调查和网络投放相结合的方式开展社会满意度调查。通过社区发放相关调研问卷，加强应用现代信息技术，可在本地政务服务APP、本地主流网络媒体上投放调查问卷，扩大调查范围。</w:t>
      </w:r>
    </w:p>
    <w:p w14:paraId="0B4C58C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3.城市体检工作内容</w:t>
      </w:r>
    </w:p>
    <w:p w14:paraId="6CCE034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县城体检对象包括住房、小区（社区）、街区、县城，四个不同层级，住房、社区、街道三个体检维度开展。新县城市体检指标体系，住房、社区、街道共计42项体检指标。</w:t>
      </w:r>
    </w:p>
    <w:p w14:paraId="233BB82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1）制定方案结合城市体检的重点难点、突出问题和新发展要求，制定工作方案，明确总体目标、主要任务、进度计划、责任分工、组织保障等内容。</w:t>
      </w:r>
    </w:p>
    <w:p w14:paraId="33AC5B5A">
      <w:pPr>
        <w:spacing w:line="360" w:lineRule="auto"/>
        <w:ind w:firstLine="640" w:firstLineChars="200"/>
        <w:jc w:val="left"/>
        <w:rPr>
          <w:rFonts w:hint="eastAsia"/>
          <w:sz w:val="32"/>
          <w:szCs w:val="32"/>
          <w:highlight w:val="green"/>
        </w:rPr>
      </w:pPr>
      <w:r>
        <w:rPr>
          <w:rFonts w:hint="eastAsia" w:ascii="仿宋_GB2312" w:hAnsi="仿宋_GB2312" w:eastAsia="仿宋_GB2312" w:cs="仿宋_GB2312"/>
          <w:sz w:val="32"/>
          <w:szCs w:val="32"/>
          <w:lang w:val="en-US" w:eastAsia="zh-CN"/>
        </w:rPr>
        <w:t>2）构建体系建立具有新县特色的城市体检技术路线，从生态宜居、健康舒适、安全韧性、交通便捷、风貌特色、整洁有序、多元包容、创新活力等八个方面构建体检指标体系，包括基本指标和与新县实际紧密结合的特色指标，确定城市体检工作内容。其中：住房维度体检从安全耐久、功能完善、绿色智能等方面设置房屋使用安全、管线管道、入户水质、数字家庭等10项指标入手，以小区为单元统筹开展，无明确小区边界的住宅片区应依据地方管理实际划定调查统计单元；小区（社区）维度体检以设施完善、环境宜居、管理健全等方面设置养老、托幼、停车、充电等20项指标。在城镇社区或行政村为单元统筹开展；街区维度体检以县城内街道、乡镇辖区为单元开展；街道维度体检以中学、文化活动中心等公共服务设施建设,以及市容市貌管理、街区改造与活力提升等方面12项指标。</w:t>
      </w:r>
    </w:p>
    <w:p w14:paraId="514B2C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3）收集资料针对每项体检指标，充分收集部门业务数据以及各类城市运行大数据等资料。开展实地专题调研，掌握社会公众所反映的问题和需求，广泛征集社会公众的意见和建议。</w:t>
      </w:r>
    </w:p>
    <w:p w14:paraId="0E6F67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分析评价采用空间分析、差异对比、趋势研判、社会调查等方法，结合大数据、人工智能等新技术和新方法的应用，对城市发展现状及问题进行分析和评价，包括生态环境改善、城市更新、基础设施建设、公共空间提升、交通和文化旅游等方面。在新县辖区范围内完成以“基础指标+特色指标”为核心的分析评价；在中心城区范围内，通过细化城市体检指标和以城市更新为导向的专项指标，引导城市更新项目实施。</w:t>
      </w:r>
    </w:p>
    <w:p w14:paraId="4C2C8EB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汇集成果编制体检成果，包括以城市体检报告为核心的评价成果和以“一表、三单、一库”为核心的应用成果，其中“一表、三单、一库”是指综合诊断表、城市发展优势清单、城市发展短板清单、城市病清单、城市病治理（城市更新）项目库。</w:t>
      </w:r>
    </w:p>
    <w:p w14:paraId="3688F97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新县城市更新专项规划（2025-2035年）</w:t>
      </w:r>
    </w:p>
    <w:p w14:paraId="67CBB04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1.规划范围与期限</w:t>
      </w:r>
    </w:p>
    <w:p w14:paraId="31517AA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规划范围为市中心城区城镇开发边界范围；规划期限与国土空间总体规划保持一致。</w:t>
      </w:r>
    </w:p>
    <w:p w14:paraId="161EF69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2.规划主要内容</w:t>
      </w:r>
    </w:p>
    <w:p w14:paraId="14CB1E0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1）居住区综合改善类</w:t>
      </w:r>
    </w:p>
    <w:p w14:paraId="6E1B976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城镇老旧小区改造的规模、更新方式等，按照完整社区建设的基本要求补齐基础设施短板、增加公共服务设施和公共活动空间，建立街区化物业管理。老旧住宅在设计年限之内进行危房排危整治、建筑加固、加装电梯、户型优化等更新改造。</w:t>
      </w:r>
    </w:p>
    <w:p w14:paraId="364A7B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2）产业聚增效类</w:t>
      </w:r>
    </w:p>
    <w:p w14:paraId="0651844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明确老旧厂区、仓库、开发区内低效产业用地的更新位置、面积、更新方式，提出产业转型升级、产业发展方向谋划、产业配套功能完善、新型产业空间打造等方面的更新策略和规划要求。</w:t>
      </w:r>
    </w:p>
    <w:p w14:paraId="34B8552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3）公共服务品质提升类</w:t>
      </w:r>
    </w:p>
    <w:p w14:paraId="6D6F965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城市应补充或完善的县级、街道级公共服务设施及其布局和规模等提出规划引导和要求。结合居民的实际需要合理预测各类公共服务设施需求，严格公共服务设施配建标准，满足“完整居住社区”“社区生活圈”建设标准。提出补充或完善各类设施布局及规模、设置方式、服务半径、混合设置等的导向和要求。</w:t>
      </w:r>
    </w:p>
    <w:p w14:paraId="3958898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4）文化传承及特色风貌塑造类</w:t>
      </w:r>
    </w:p>
    <w:p w14:paraId="56B32D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明确城市历史文化资源特色，提出历史文化资源保护策略，落实各层次保护规划的保护范围、保护要求，提出保护更新与利用策略，在保护基础上提出进行活化利用的更新策略。</w:t>
      </w:r>
    </w:p>
    <w:p w14:paraId="44F455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5）基础设施提档升级类</w:t>
      </w:r>
    </w:p>
    <w:p w14:paraId="29E21F2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对城市交通体系进行完善及修改的建议，提出各类城市交通设施的类型和数量、布局和规模等要求，提出公共交通系统等方面的优化思路和规划要求。明确城市市政基础设施的类型和数量、分布和规模，提出市政基础设施系统更新、扩容增效的任务要求。</w:t>
      </w:r>
    </w:p>
    <w:p w14:paraId="73F6277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6）城市安全韧性提升类</w:t>
      </w:r>
    </w:p>
    <w:p w14:paraId="411241E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海绵城市建设、完善城市防洪排涝体系、明确城市生命线工程的规划建设要求，提出雨水年径流总量控制率的指标要求；提出消除严重影响生产生活秩序的易涝积水点数量比例、城市标准消防站及小型普通消防站覆盖率、人均避难场所有效避难面积等提高城市防灾减灾能力的指标要求，对应补充或完善的设施数量、布局提出规划建设要求。</w:t>
      </w:r>
    </w:p>
    <w:p w14:paraId="7C5074D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7）绿色发展和生态修复类</w:t>
      </w:r>
    </w:p>
    <w:p w14:paraId="57F5436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推行以生态环境为导向的开发模式的规划建议，提出既有建筑节能、绿色化改造措施，提出固体废物分类收集、利用、处置设施的规划要求。提出推进以公共交通为导向开发模式的规划建议，提高轨道站点周边人口、岗位覆盖率，规范合理设置公交专用道。提出推进受损山体、水体岸线、城市废弃地及污染土地等生态修复、优化生态空间布局、构建完整连贯绿地系统的建议和规划要求。</w:t>
      </w:r>
    </w:p>
    <w:p w14:paraId="29577C4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8）智慧赋能管理类</w:t>
      </w:r>
    </w:p>
    <w:p w14:paraId="42FF22B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提出提升城市治理能力的建议，明确系统提升城市风险防控能力和精细化管理水平、运用数字技术推动城市管理手段、管理模式、管理理念创新的要求。</w:t>
      </w:r>
    </w:p>
    <w:p w14:paraId="5489A5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9）建立健全城市更新项目库，推动实施一批重要试点项目初见成效，形成样本示范效应。为新县有序开展城市更新行动夯实基础和提供规划依据。</w:t>
      </w:r>
    </w:p>
    <w:p w14:paraId="2A06ED10">
      <w:pPr>
        <w:pStyle w:val="21"/>
        <w:spacing w:line="240" w:lineRule="auto"/>
        <w:rPr>
          <w:rFonts w:hint="eastAsia" w:ascii="宋体" w:hAnsi="宋体" w:eastAsia="宋体" w:cs="宋体"/>
          <w:sz w:val="21"/>
          <w:szCs w:val="21"/>
        </w:rPr>
        <w:sectPr>
          <w:footerReference r:id="rId12" w:type="default"/>
          <w:pgSz w:w="11910" w:h="16840"/>
          <w:pgMar w:top="1380" w:right="840" w:bottom="1400" w:left="1120" w:header="852" w:footer="1215" w:gutter="0"/>
          <w:cols w:space="720" w:num="1"/>
        </w:sectPr>
      </w:pPr>
    </w:p>
    <w:p w14:paraId="3A732F6F">
      <w:pPr>
        <w:pStyle w:val="8"/>
        <w:tabs>
          <w:tab w:val="left" w:pos="1292"/>
        </w:tabs>
      </w:pPr>
      <w:bookmarkStart w:id="117" w:name="_Toc18499"/>
      <w:bookmarkStart w:id="118" w:name="_Toc21979"/>
      <w:bookmarkStart w:id="119" w:name="_Toc9690"/>
      <w:r>
        <w:t>第六章</w:t>
      </w:r>
      <w:r>
        <w:tab/>
      </w:r>
      <w:bookmarkStart w:id="120" w:name="第六章_竞争性磋商响应文件格式"/>
      <w:bookmarkEnd w:id="120"/>
      <w:r>
        <w:t>竞争性磋商响应文件格式</w:t>
      </w:r>
      <w:bookmarkEnd w:id="117"/>
      <w:bookmarkEnd w:id="118"/>
      <w:bookmarkEnd w:id="119"/>
    </w:p>
    <w:p w14:paraId="558D9B8B"/>
    <w:p w14:paraId="77F8A437">
      <w:pPr>
        <w:pStyle w:val="3"/>
        <w:rPr>
          <w:b/>
          <w:sz w:val="20"/>
        </w:rPr>
      </w:pPr>
    </w:p>
    <w:p w14:paraId="18885D46">
      <w:pPr>
        <w:pStyle w:val="42"/>
        <w:spacing w:line="360" w:lineRule="auto"/>
        <w:ind w:firstLine="2185" w:firstLineChars="950"/>
        <w:jc w:val="both"/>
        <w:rPr>
          <w:rFonts w:ascii="宋体" w:hAnsi="宋体" w:cs="宋体"/>
          <w:color w:val="auto"/>
          <w:sz w:val="31"/>
        </w:rPr>
      </w:pPr>
      <w:r>
        <w:rPr>
          <w:rFonts w:hint="eastAsia" w:ascii="宋体" w:hAnsi="宋体" w:cs="宋体"/>
          <w:color w:val="auto"/>
          <w:sz w:val="23"/>
          <w:u w:val="single"/>
        </w:rPr>
        <w:t xml:space="preserve">                    </w:t>
      </w:r>
      <w:r>
        <w:rPr>
          <w:rFonts w:hint="eastAsia" w:ascii="宋体" w:hAnsi="宋体" w:cs="宋体"/>
          <w:color w:val="auto"/>
          <w:sz w:val="31"/>
        </w:rPr>
        <w:t>（项目名称）</w:t>
      </w:r>
    </w:p>
    <w:p w14:paraId="699DE133">
      <w:pPr>
        <w:pStyle w:val="42"/>
        <w:spacing w:line="360" w:lineRule="auto"/>
        <w:jc w:val="both"/>
        <w:rPr>
          <w:rFonts w:ascii="宋体" w:hAnsi="宋体" w:cs="宋体"/>
          <w:b/>
          <w:color w:val="auto"/>
          <w:spacing w:val="60"/>
          <w:sz w:val="70"/>
        </w:rPr>
      </w:pPr>
    </w:p>
    <w:p w14:paraId="04E8B69B">
      <w:pPr>
        <w:pStyle w:val="42"/>
        <w:spacing w:line="360" w:lineRule="auto"/>
        <w:jc w:val="center"/>
        <w:rPr>
          <w:rFonts w:ascii="宋体" w:hAnsi="宋体" w:cs="宋体"/>
          <w:color w:val="auto"/>
          <w:spacing w:val="60"/>
          <w:sz w:val="40"/>
        </w:rPr>
      </w:pPr>
      <w:r>
        <w:rPr>
          <w:rFonts w:hint="eastAsia" w:hAnsi="宋体" w:cs="宋体"/>
          <w:b/>
          <w:color w:val="auto"/>
          <w:spacing w:val="60"/>
          <w:sz w:val="70"/>
        </w:rPr>
        <w:t>磋商</w:t>
      </w:r>
      <w:r>
        <w:rPr>
          <w:rFonts w:hint="eastAsia" w:ascii="宋体" w:hAnsi="宋体" w:cs="宋体"/>
          <w:b/>
          <w:color w:val="auto"/>
          <w:spacing w:val="60"/>
          <w:sz w:val="70"/>
        </w:rPr>
        <w:t>文件</w:t>
      </w:r>
    </w:p>
    <w:p w14:paraId="4FF7FA98">
      <w:pPr>
        <w:pStyle w:val="42"/>
        <w:spacing w:line="360" w:lineRule="auto"/>
        <w:jc w:val="center"/>
        <w:rPr>
          <w:rFonts w:ascii="宋体" w:hAnsi="宋体" w:cs="宋体"/>
          <w:color w:val="auto"/>
          <w:spacing w:val="60"/>
          <w:sz w:val="40"/>
        </w:rPr>
      </w:pPr>
      <w:r>
        <w:rPr>
          <w:rFonts w:hint="eastAsia" w:ascii="宋体" w:hAnsi="宋体" w:cs="宋体"/>
          <w:color w:val="auto"/>
          <w:spacing w:val="60"/>
          <w:sz w:val="40"/>
        </w:rPr>
        <w:t>采购编号：</w:t>
      </w:r>
      <w:r>
        <w:rPr>
          <w:rFonts w:hint="eastAsia" w:hAnsi="宋体" w:cs="宋体"/>
          <w:color w:val="auto"/>
          <w:spacing w:val="60"/>
          <w:sz w:val="40"/>
        </w:rPr>
        <w:t xml:space="preserve">  </w:t>
      </w:r>
    </w:p>
    <w:p w14:paraId="4B8DB132">
      <w:pPr>
        <w:pStyle w:val="42"/>
        <w:spacing w:line="360" w:lineRule="auto"/>
        <w:jc w:val="center"/>
        <w:rPr>
          <w:rFonts w:ascii="宋体" w:hAnsi="宋体" w:cs="宋体"/>
          <w:color w:val="auto"/>
          <w:spacing w:val="60"/>
          <w:sz w:val="40"/>
        </w:rPr>
      </w:pPr>
    </w:p>
    <w:p w14:paraId="7B0F315E">
      <w:pPr>
        <w:pStyle w:val="42"/>
        <w:spacing w:line="360" w:lineRule="auto"/>
        <w:jc w:val="center"/>
        <w:rPr>
          <w:rFonts w:ascii="宋体" w:hAnsi="宋体" w:cs="宋体"/>
          <w:color w:val="auto"/>
          <w:spacing w:val="60"/>
          <w:sz w:val="40"/>
        </w:rPr>
      </w:pPr>
    </w:p>
    <w:p w14:paraId="409DEA1F">
      <w:pPr>
        <w:pStyle w:val="42"/>
        <w:spacing w:line="360" w:lineRule="auto"/>
        <w:jc w:val="center"/>
        <w:rPr>
          <w:rFonts w:ascii="宋体" w:hAnsi="宋体" w:cs="宋体"/>
          <w:color w:val="auto"/>
        </w:rPr>
      </w:pPr>
      <w:r>
        <w:rPr>
          <w:rFonts w:hint="eastAsia" w:ascii="宋体" w:hAnsi="宋体" w:cs="宋体"/>
          <w:color w:val="auto"/>
        </w:rPr>
        <w:t>供应商：</w:t>
      </w:r>
      <w:r>
        <w:rPr>
          <w:rFonts w:hint="eastAsia" w:ascii="宋体" w:hAnsi="宋体" w:cs="宋体"/>
          <w:color w:val="auto"/>
          <w:u w:val="single"/>
        </w:rPr>
        <w:t xml:space="preserve">                           </w:t>
      </w:r>
      <w:r>
        <w:rPr>
          <w:rFonts w:hint="eastAsia" w:ascii="宋体" w:hAnsi="宋体" w:cs="宋体"/>
          <w:color w:val="auto"/>
        </w:rPr>
        <w:t>（单位电子签章）</w:t>
      </w:r>
    </w:p>
    <w:p w14:paraId="26C6FA34">
      <w:pPr>
        <w:pStyle w:val="42"/>
        <w:spacing w:line="360" w:lineRule="auto"/>
        <w:jc w:val="center"/>
        <w:rPr>
          <w:rFonts w:ascii="宋体" w:hAnsi="宋体" w:cs="宋体"/>
          <w:color w:val="auto"/>
        </w:rPr>
      </w:pPr>
      <w:r>
        <w:rPr>
          <w:rFonts w:hint="eastAsia" w:ascii="宋体" w:hAnsi="宋体" w:cs="宋体"/>
          <w:color w:val="auto"/>
        </w:rPr>
        <w:t>法定代表人或其委托代理人：</w:t>
      </w:r>
      <w:r>
        <w:rPr>
          <w:rFonts w:hint="eastAsia" w:ascii="宋体" w:hAnsi="宋体" w:cs="宋体"/>
          <w:color w:val="auto"/>
          <w:u w:val="single"/>
        </w:rPr>
        <w:t xml:space="preserve">       </w:t>
      </w:r>
      <w:r>
        <w:rPr>
          <w:rFonts w:hint="eastAsia" w:ascii="宋体" w:hAnsi="宋体" w:cs="宋体"/>
          <w:color w:val="auto"/>
        </w:rPr>
        <w:t>（签名或盖章）</w:t>
      </w:r>
    </w:p>
    <w:p w14:paraId="0FE07C9B">
      <w:pPr>
        <w:pStyle w:val="42"/>
        <w:spacing w:line="360" w:lineRule="auto"/>
        <w:ind w:firstLine="2623" w:firstLineChars="1093"/>
        <w:jc w:val="both"/>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7F935247">
      <w:pPr>
        <w:pStyle w:val="42"/>
        <w:spacing w:line="360" w:lineRule="auto"/>
        <w:jc w:val="center"/>
        <w:rPr>
          <w:rFonts w:ascii="宋体" w:hAnsi="宋体" w:cs="宋体"/>
          <w:b/>
          <w:szCs w:val="32"/>
        </w:rPr>
      </w:pPr>
      <w:r>
        <w:rPr>
          <w:rFonts w:hint="eastAsia" w:ascii="宋体" w:hAnsi="宋体" w:cs="宋体"/>
          <w:color w:val="auto"/>
          <w:sz w:val="23"/>
        </w:rPr>
        <w:br w:type="page"/>
      </w:r>
      <w:r>
        <w:rPr>
          <w:rFonts w:hint="eastAsia" w:ascii="宋体" w:hAnsi="宋体" w:cs="宋体"/>
          <w:b/>
          <w:szCs w:val="32"/>
        </w:rPr>
        <w:t>目  录</w:t>
      </w:r>
    </w:p>
    <w:p w14:paraId="4408041C">
      <w:pPr>
        <w:spacing w:line="360" w:lineRule="auto"/>
        <w:rPr>
          <w:szCs w:val="21"/>
        </w:rPr>
      </w:pPr>
    </w:p>
    <w:p w14:paraId="3479F07E">
      <w:pPr>
        <w:tabs>
          <w:tab w:val="left" w:pos="1060"/>
        </w:tabs>
        <w:spacing w:line="360" w:lineRule="auto"/>
        <w:ind w:left="425"/>
        <w:rPr>
          <w:sz w:val="24"/>
          <w:szCs w:val="24"/>
        </w:rPr>
      </w:pPr>
      <w:r>
        <w:rPr>
          <w:rFonts w:hint="eastAsia"/>
          <w:sz w:val="24"/>
          <w:szCs w:val="24"/>
        </w:rPr>
        <w:t>一、磋商函</w:t>
      </w:r>
    </w:p>
    <w:p w14:paraId="575274CC">
      <w:pPr>
        <w:tabs>
          <w:tab w:val="left" w:pos="1060"/>
        </w:tabs>
        <w:spacing w:line="360" w:lineRule="auto"/>
        <w:ind w:left="425"/>
        <w:rPr>
          <w:sz w:val="24"/>
          <w:szCs w:val="24"/>
        </w:rPr>
      </w:pPr>
      <w:r>
        <w:rPr>
          <w:rFonts w:hint="eastAsia"/>
          <w:sz w:val="24"/>
          <w:szCs w:val="24"/>
        </w:rPr>
        <w:t>二、磋商函附录</w:t>
      </w:r>
    </w:p>
    <w:p w14:paraId="6283163A">
      <w:pPr>
        <w:tabs>
          <w:tab w:val="left" w:pos="1060"/>
        </w:tabs>
        <w:spacing w:line="360" w:lineRule="auto"/>
        <w:ind w:left="425"/>
        <w:rPr>
          <w:sz w:val="24"/>
          <w:szCs w:val="24"/>
        </w:rPr>
      </w:pPr>
      <w:r>
        <w:rPr>
          <w:rFonts w:hint="eastAsia"/>
          <w:sz w:val="24"/>
          <w:szCs w:val="24"/>
        </w:rPr>
        <w:t>三、法定代表人身份证明或法定代表人授权委托书</w:t>
      </w:r>
    </w:p>
    <w:p w14:paraId="6C4FB0E3">
      <w:pPr>
        <w:tabs>
          <w:tab w:val="left" w:pos="1060"/>
        </w:tabs>
        <w:spacing w:line="360" w:lineRule="auto"/>
        <w:ind w:left="425"/>
        <w:rPr>
          <w:sz w:val="24"/>
          <w:szCs w:val="24"/>
        </w:rPr>
      </w:pPr>
      <w:r>
        <w:rPr>
          <w:rFonts w:hint="eastAsia"/>
          <w:sz w:val="24"/>
          <w:szCs w:val="24"/>
        </w:rPr>
        <w:t>四、中小企业声明函</w:t>
      </w:r>
    </w:p>
    <w:p w14:paraId="0FF66D88">
      <w:pPr>
        <w:tabs>
          <w:tab w:val="left" w:pos="1060"/>
        </w:tabs>
        <w:spacing w:line="360" w:lineRule="auto"/>
        <w:ind w:left="425"/>
        <w:rPr>
          <w:rFonts w:hint="default" w:eastAsia="宋体"/>
          <w:sz w:val="24"/>
          <w:szCs w:val="24"/>
          <w:lang w:val="en-US" w:eastAsia="zh-CN"/>
        </w:rPr>
      </w:pPr>
      <w:r>
        <w:rPr>
          <w:rFonts w:hint="eastAsia"/>
          <w:sz w:val="24"/>
          <w:szCs w:val="24"/>
        </w:rPr>
        <w:t>五、资格审查资料</w:t>
      </w:r>
    </w:p>
    <w:p w14:paraId="052B2712">
      <w:pPr>
        <w:tabs>
          <w:tab w:val="left" w:pos="1060"/>
        </w:tabs>
        <w:spacing w:line="360" w:lineRule="auto"/>
        <w:ind w:left="425"/>
        <w:rPr>
          <w:sz w:val="24"/>
          <w:szCs w:val="24"/>
          <w:lang w:val="en-US"/>
        </w:rPr>
      </w:pPr>
      <w:r>
        <w:rPr>
          <w:rFonts w:hint="eastAsia"/>
          <w:sz w:val="24"/>
          <w:szCs w:val="24"/>
          <w:lang w:val="en-US" w:eastAsia="zh-CN"/>
        </w:rPr>
        <w:t>六</w:t>
      </w:r>
      <w:r>
        <w:rPr>
          <w:rFonts w:hint="eastAsia"/>
          <w:sz w:val="24"/>
          <w:szCs w:val="24"/>
          <w:lang w:val="en-US"/>
        </w:rPr>
        <w:t>、</w:t>
      </w:r>
      <w:r>
        <w:rPr>
          <w:rFonts w:hint="eastAsia"/>
          <w:sz w:val="24"/>
          <w:szCs w:val="24"/>
        </w:rPr>
        <w:t>声明</w:t>
      </w:r>
    </w:p>
    <w:p w14:paraId="344EF025">
      <w:pPr>
        <w:tabs>
          <w:tab w:val="left" w:pos="1060"/>
        </w:tabs>
        <w:spacing w:line="360" w:lineRule="auto"/>
        <w:ind w:left="425"/>
        <w:rPr>
          <w:rFonts w:hint="eastAsia" w:eastAsia="宋体"/>
          <w:sz w:val="24"/>
          <w:szCs w:val="24"/>
          <w:lang w:eastAsia="zh-CN"/>
        </w:rPr>
      </w:pPr>
      <w:r>
        <w:rPr>
          <w:rFonts w:hint="eastAsia"/>
          <w:sz w:val="24"/>
          <w:szCs w:val="24"/>
          <w:lang w:val="en-US" w:eastAsia="zh-CN"/>
        </w:rPr>
        <w:t>七</w:t>
      </w:r>
      <w:r>
        <w:rPr>
          <w:rFonts w:hint="eastAsia"/>
          <w:sz w:val="24"/>
          <w:szCs w:val="24"/>
        </w:rPr>
        <w:t>、</w:t>
      </w:r>
      <w:r>
        <w:rPr>
          <w:rFonts w:hint="eastAsia"/>
          <w:sz w:val="24"/>
          <w:szCs w:val="24"/>
          <w:lang w:val="en-US" w:eastAsia="zh-CN"/>
        </w:rPr>
        <w:t>技术部分</w:t>
      </w:r>
    </w:p>
    <w:p w14:paraId="01AEC08F">
      <w:pPr>
        <w:tabs>
          <w:tab w:val="left" w:pos="1060"/>
        </w:tabs>
        <w:spacing w:line="360" w:lineRule="auto"/>
        <w:ind w:left="425"/>
        <w:rPr>
          <w:rFonts w:hint="eastAsia" w:eastAsia="宋体"/>
          <w:sz w:val="24"/>
          <w:szCs w:val="24"/>
          <w:lang w:eastAsia="zh-CN"/>
        </w:rPr>
      </w:pPr>
      <w:r>
        <w:rPr>
          <w:rFonts w:hint="eastAsia"/>
          <w:sz w:val="24"/>
          <w:szCs w:val="24"/>
          <w:lang w:val="en-US" w:eastAsia="zh-CN"/>
        </w:rPr>
        <w:t>八</w:t>
      </w:r>
      <w:r>
        <w:rPr>
          <w:rFonts w:hint="eastAsia"/>
          <w:sz w:val="24"/>
          <w:szCs w:val="24"/>
        </w:rPr>
        <w:t>．</w:t>
      </w:r>
      <w:r>
        <w:rPr>
          <w:rFonts w:hint="eastAsia"/>
          <w:sz w:val="24"/>
          <w:szCs w:val="24"/>
          <w:lang w:val="en-US" w:eastAsia="zh-CN"/>
        </w:rPr>
        <w:t>综合部分</w:t>
      </w:r>
    </w:p>
    <w:p w14:paraId="294E6B87">
      <w:pPr>
        <w:tabs>
          <w:tab w:val="left" w:pos="1060"/>
        </w:tabs>
        <w:spacing w:line="360" w:lineRule="auto"/>
        <w:ind w:left="425"/>
        <w:rPr>
          <w:sz w:val="24"/>
          <w:szCs w:val="24"/>
        </w:rPr>
      </w:pPr>
      <w:r>
        <w:rPr>
          <w:rFonts w:hint="eastAsia"/>
          <w:sz w:val="24"/>
          <w:szCs w:val="24"/>
          <w:lang w:val="en-US" w:eastAsia="zh-CN"/>
        </w:rPr>
        <w:t>九</w:t>
      </w:r>
      <w:r>
        <w:rPr>
          <w:rFonts w:hint="eastAsia"/>
          <w:sz w:val="24"/>
          <w:szCs w:val="24"/>
          <w:lang w:val="en-US"/>
        </w:rPr>
        <w:t>、</w:t>
      </w:r>
      <w:r>
        <w:rPr>
          <w:rFonts w:hint="eastAsia"/>
          <w:sz w:val="24"/>
          <w:szCs w:val="24"/>
        </w:rPr>
        <w:t>其他资料</w:t>
      </w:r>
    </w:p>
    <w:p w14:paraId="2EC8954F">
      <w:pPr>
        <w:pStyle w:val="2"/>
        <w:ind w:firstLine="0" w:firstLineChars="0"/>
        <w:rPr>
          <w:rFonts w:ascii="宋体" w:hAnsi="宋体" w:cs="宋体"/>
        </w:rPr>
      </w:pPr>
    </w:p>
    <w:p w14:paraId="57960550">
      <w:pPr>
        <w:spacing w:line="360" w:lineRule="auto"/>
        <w:ind w:left="480"/>
      </w:pPr>
    </w:p>
    <w:p w14:paraId="01D607A3">
      <w:pPr>
        <w:spacing w:line="360" w:lineRule="auto"/>
      </w:pPr>
    </w:p>
    <w:p w14:paraId="39791045">
      <w:pPr>
        <w:pStyle w:val="42"/>
        <w:rPr>
          <w:rFonts w:ascii="宋体" w:hAnsi="宋体" w:cs="宋体"/>
        </w:rPr>
      </w:pPr>
    </w:p>
    <w:p w14:paraId="651DFCCB">
      <w:pPr>
        <w:pStyle w:val="42"/>
        <w:rPr>
          <w:rFonts w:ascii="宋体" w:hAnsi="宋体" w:cs="宋体"/>
        </w:rPr>
      </w:pPr>
    </w:p>
    <w:p w14:paraId="77D3C574">
      <w:pPr>
        <w:pStyle w:val="42"/>
        <w:rPr>
          <w:rFonts w:ascii="宋体" w:hAnsi="宋体" w:cs="宋体"/>
        </w:rPr>
      </w:pPr>
    </w:p>
    <w:p w14:paraId="715A044E">
      <w:pPr>
        <w:pStyle w:val="42"/>
        <w:rPr>
          <w:rFonts w:ascii="宋体" w:hAnsi="宋体" w:cs="宋体"/>
        </w:rPr>
      </w:pPr>
    </w:p>
    <w:p w14:paraId="718ECFA6">
      <w:pPr>
        <w:pStyle w:val="42"/>
        <w:rPr>
          <w:rFonts w:ascii="宋体" w:hAnsi="宋体" w:cs="宋体"/>
        </w:rPr>
      </w:pPr>
    </w:p>
    <w:p w14:paraId="721090B1">
      <w:pPr>
        <w:pStyle w:val="42"/>
        <w:rPr>
          <w:rFonts w:ascii="宋体" w:hAnsi="宋体" w:cs="宋体"/>
        </w:rPr>
      </w:pPr>
    </w:p>
    <w:p w14:paraId="2CF09AA4">
      <w:pPr>
        <w:pStyle w:val="42"/>
        <w:rPr>
          <w:rFonts w:ascii="宋体" w:hAnsi="宋体" w:cs="宋体"/>
        </w:rPr>
      </w:pPr>
    </w:p>
    <w:p w14:paraId="6BF48079">
      <w:pPr>
        <w:pStyle w:val="42"/>
        <w:rPr>
          <w:rFonts w:ascii="宋体" w:hAnsi="宋体" w:cs="宋体"/>
        </w:rPr>
      </w:pPr>
    </w:p>
    <w:p w14:paraId="24F55A94">
      <w:pPr>
        <w:pStyle w:val="42"/>
        <w:rPr>
          <w:rFonts w:ascii="宋体" w:hAnsi="宋体" w:cs="宋体"/>
        </w:rPr>
      </w:pPr>
    </w:p>
    <w:p w14:paraId="65D6D4D8">
      <w:pPr>
        <w:pStyle w:val="42"/>
        <w:rPr>
          <w:rFonts w:ascii="宋体" w:hAnsi="宋体" w:cs="宋体"/>
        </w:rPr>
      </w:pPr>
    </w:p>
    <w:p w14:paraId="0AA49D54">
      <w:pPr>
        <w:pStyle w:val="42"/>
        <w:rPr>
          <w:rFonts w:ascii="宋体" w:hAnsi="宋体" w:cs="宋体"/>
        </w:rPr>
      </w:pPr>
    </w:p>
    <w:p w14:paraId="60A7EBE6">
      <w:pPr>
        <w:pStyle w:val="42"/>
        <w:rPr>
          <w:rFonts w:ascii="宋体" w:hAnsi="宋体" w:cs="宋体"/>
        </w:rPr>
      </w:pPr>
    </w:p>
    <w:p w14:paraId="597FC22D">
      <w:pPr>
        <w:pStyle w:val="42"/>
        <w:rPr>
          <w:rFonts w:ascii="宋体" w:hAnsi="宋体" w:cs="宋体"/>
        </w:rPr>
      </w:pPr>
    </w:p>
    <w:p w14:paraId="19DA0B34">
      <w:pPr>
        <w:pStyle w:val="42"/>
        <w:rPr>
          <w:rFonts w:ascii="宋体" w:hAnsi="宋体" w:cs="宋体"/>
        </w:rPr>
      </w:pPr>
    </w:p>
    <w:p w14:paraId="281AAC85">
      <w:pPr>
        <w:pStyle w:val="42"/>
        <w:rPr>
          <w:rFonts w:ascii="宋体" w:hAnsi="宋体" w:cs="宋体"/>
        </w:rPr>
      </w:pPr>
    </w:p>
    <w:p w14:paraId="694A978E">
      <w:pPr>
        <w:pStyle w:val="42"/>
        <w:rPr>
          <w:rFonts w:ascii="宋体" w:hAnsi="宋体" w:cs="宋体"/>
        </w:rPr>
      </w:pPr>
    </w:p>
    <w:p w14:paraId="5A222120">
      <w:pPr>
        <w:pStyle w:val="9"/>
        <w:pageBreakBefore/>
        <w:spacing w:line="360" w:lineRule="auto"/>
      </w:pPr>
      <w:bookmarkStart w:id="121" w:name="_Toc3588"/>
      <w:bookmarkStart w:id="122" w:name="_Toc469298969"/>
      <w:bookmarkStart w:id="123" w:name="_Toc4290"/>
      <w:r>
        <w:rPr>
          <w:rFonts w:hint="eastAsia"/>
        </w:rPr>
        <w:t>一、磋商函</w:t>
      </w:r>
      <w:bookmarkEnd w:id="121"/>
      <w:bookmarkEnd w:id="122"/>
      <w:bookmarkEnd w:id="123"/>
    </w:p>
    <w:p w14:paraId="4A724B4C">
      <w:pPr>
        <w:widowControl/>
        <w:autoSpaceDE/>
        <w:autoSpaceDN/>
        <w:spacing w:line="360" w:lineRule="auto"/>
      </w:pPr>
      <w:bookmarkStart w:id="124" w:name="_Toc18998"/>
      <w:bookmarkStart w:id="125" w:name="_Toc6942"/>
      <w:r>
        <w:rPr>
          <w:rFonts w:hint="eastAsia"/>
        </w:rPr>
        <w:t>致 ：</w:t>
      </w:r>
      <w:r>
        <w:rPr>
          <w:rFonts w:hint="eastAsia"/>
          <w:u w:val="single"/>
        </w:rPr>
        <w:t xml:space="preserve">（采购人）  </w:t>
      </w:r>
      <w:r>
        <w:rPr>
          <w:rFonts w:hint="eastAsia"/>
        </w:rPr>
        <w:t xml:space="preserve"> </w:t>
      </w:r>
    </w:p>
    <w:p w14:paraId="1C73E0AB">
      <w:pPr>
        <w:spacing w:line="360" w:lineRule="auto"/>
        <w:ind w:firstLine="440" w:firstLineChars="200"/>
      </w:pPr>
      <w:r>
        <w:rPr>
          <w:rFonts w:hint="eastAsia"/>
        </w:rPr>
        <w:t>1．根据已收到的</w:t>
      </w:r>
      <w:r>
        <w:rPr>
          <w:rFonts w:hint="eastAsia"/>
          <w:u w:val="single"/>
        </w:rPr>
        <w:t xml:space="preserve">        </w:t>
      </w:r>
      <w:r>
        <w:rPr>
          <w:rFonts w:hint="eastAsia"/>
        </w:rPr>
        <w:t>（项目名称）的竞争性磋商文件，遵照《中华人民共和国政府采购法》等有关规定，经考察和认真研究本项目竞争性磋商文件及其它有关文件后，愿以人民币（大写）</w:t>
      </w:r>
      <w:r>
        <w:rPr>
          <w:rFonts w:hint="eastAsia"/>
          <w:u w:val="single"/>
        </w:rPr>
        <w:t xml:space="preserve">        </w:t>
      </w:r>
      <w:r>
        <w:rPr>
          <w:rFonts w:hint="eastAsia"/>
        </w:rPr>
        <w:t xml:space="preserve">（￥）的磋商总报价作为第一次磋商报价，按合同约定实施和完成本项目，并承担其任何质量缺陷等问题所造成的任何损失。 </w:t>
      </w:r>
    </w:p>
    <w:p w14:paraId="47DB5973">
      <w:pPr>
        <w:spacing w:line="360" w:lineRule="auto"/>
      </w:pPr>
      <w:r>
        <w:rPr>
          <w:rFonts w:hint="eastAsia"/>
        </w:rPr>
        <w:t xml:space="preserve">2．我方已详细检查全部竞争性磋商文件包括澄清文件、补充通知（如有的话）及有关附件，并完全理解我方必须放弃提出含糊不清或误解的权力，愿按照竞争性磋商文件中的条款和要求按最后一次的报价做为最后报价。 </w:t>
      </w:r>
    </w:p>
    <w:p w14:paraId="0D8171AB">
      <w:pPr>
        <w:spacing w:line="360" w:lineRule="auto"/>
      </w:pPr>
      <w:r>
        <w:rPr>
          <w:rFonts w:hint="eastAsia"/>
        </w:rPr>
        <w:t xml:space="preserve">3．我方在此承诺，我方若能成交，保证在服务期限内，全面履行竞争性磋商文件中规定的职责和义务。 </w:t>
      </w:r>
    </w:p>
    <w:p w14:paraId="00614CE0">
      <w:pPr>
        <w:spacing w:line="360" w:lineRule="auto"/>
      </w:pPr>
      <w:r>
        <w:rPr>
          <w:rFonts w:hint="eastAsia"/>
        </w:rPr>
        <w:t xml:space="preserve">4．如果我方成交，我方保证按合同条款中规定的内容执行；我方保证质量达到国家及行业现行标准规范规定的合格要求，并按竞争性磋商文件和有关规定提交一切资料。 </w:t>
      </w:r>
    </w:p>
    <w:p w14:paraId="73AB7406">
      <w:pPr>
        <w:spacing w:line="360" w:lineRule="auto"/>
      </w:pPr>
      <w:r>
        <w:rPr>
          <w:rFonts w:hint="eastAsia"/>
        </w:rPr>
        <w:t xml:space="preserve">5．如果我方成交，我方将按照采购人规定提交履约保证金。 </w:t>
      </w:r>
    </w:p>
    <w:p w14:paraId="1A607FA5">
      <w:pPr>
        <w:spacing w:line="360" w:lineRule="auto"/>
      </w:pPr>
      <w:r>
        <w:rPr>
          <w:rFonts w:hint="eastAsia"/>
        </w:rPr>
        <w:t>6．我方同意从响应文件递交截止日期起</w:t>
      </w:r>
      <w:r>
        <w:rPr>
          <w:rFonts w:hint="eastAsia"/>
          <w:u w:val="single"/>
        </w:rPr>
        <w:t>60</w:t>
      </w:r>
      <w:r>
        <w:rPr>
          <w:rFonts w:hint="eastAsia"/>
        </w:rPr>
        <w:t xml:space="preserve">日历天内保持响应文件有效，在此有效期内，我方将严格遵守响应文件的承诺，本响应文件对我方具有约束力，并可随时被接受成交。 </w:t>
      </w:r>
    </w:p>
    <w:p w14:paraId="458A733F">
      <w:pPr>
        <w:spacing w:line="360" w:lineRule="auto"/>
      </w:pPr>
      <w:r>
        <w:rPr>
          <w:rFonts w:hint="eastAsia"/>
        </w:rPr>
        <w:t xml:space="preserve">7．除响应文件所提交的资料外，我方同意随时接受贵方的检查、询问，并根据磋商需要补充贵方要求提交的资料。 </w:t>
      </w:r>
    </w:p>
    <w:p w14:paraId="42565161">
      <w:pPr>
        <w:spacing w:line="360" w:lineRule="auto"/>
      </w:pPr>
      <w:r>
        <w:rPr>
          <w:rFonts w:hint="eastAsia"/>
        </w:rPr>
        <w:t xml:space="preserve">8．如果我方成交后，我方没有任何正当理由而拒签合同，同时我方愿意补偿该项工作因我方延误所造成的经济损失。 </w:t>
      </w:r>
    </w:p>
    <w:p w14:paraId="7B20B97E">
      <w:pPr>
        <w:spacing w:line="360" w:lineRule="auto"/>
      </w:pPr>
      <w:r>
        <w:rPr>
          <w:rFonts w:hint="eastAsia"/>
        </w:rPr>
        <w:t xml:space="preserve">9．我方愿接受合同条款中规定的合同价款计算和调整方式。 </w:t>
      </w:r>
    </w:p>
    <w:p w14:paraId="18FF1EDF">
      <w:pPr>
        <w:spacing w:line="360" w:lineRule="auto"/>
        <w:rPr>
          <w:sz w:val="24"/>
          <w:szCs w:val="24"/>
        </w:rPr>
      </w:pPr>
      <w:r>
        <w:rPr>
          <w:rFonts w:hint="eastAsia"/>
        </w:rPr>
        <w:t xml:space="preserve">10．除非另外达成协议并生效，贵方的成交通知书和本响应文件将成为约束我方的合同文件组成部分。 </w:t>
      </w:r>
    </w:p>
    <w:p w14:paraId="0CDB2FB2">
      <w:pPr>
        <w:spacing w:line="360" w:lineRule="auto"/>
        <w:rPr>
          <w:sz w:val="24"/>
          <w:szCs w:val="24"/>
        </w:rPr>
      </w:pPr>
      <w:r>
        <w:rPr>
          <w:rFonts w:hint="eastAsia"/>
          <w:sz w:val="24"/>
          <w:szCs w:val="24"/>
        </w:rPr>
        <w:t xml:space="preserve">       </w:t>
      </w:r>
    </w:p>
    <w:p w14:paraId="649A6058">
      <w:pPr>
        <w:spacing w:line="480" w:lineRule="auto"/>
      </w:pPr>
      <w:r>
        <w:rPr>
          <w:rFonts w:hint="eastAsia"/>
        </w:rPr>
        <w:t>供  应  商：</w:t>
      </w:r>
      <w:r>
        <w:rPr>
          <w:rFonts w:hint="eastAsia"/>
          <w:u w:val="single"/>
        </w:rPr>
        <w:t xml:space="preserve">                  </w:t>
      </w:r>
      <w:r>
        <w:rPr>
          <w:rFonts w:hint="eastAsia"/>
        </w:rPr>
        <w:t xml:space="preserve">（单位电子签章） </w:t>
      </w:r>
    </w:p>
    <w:p w14:paraId="32758B46">
      <w:pPr>
        <w:spacing w:line="480" w:lineRule="auto"/>
      </w:pPr>
      <w:r>
        <w:rPr>
          <w:rFonts w:hint="eastAsia"/>
        </w:rPr>
        <w:t>法定代表人：</w:t>
      </w:r>
      <w:r>
        <w:rPr>
          <w:rFonts w:hint="eastAsia"/>
          <w:u w:val="single"/>
        </w:rPr>
        <w:t xml:space="preserve">                 </w:t>
      </w:r>
      <w:r>
        <w:rPr>
          <w:rFonts w:hint="eastAsia"/>
        </w:rPr>
        <w:t xml:space="preserve">（电子签名或盖章） </w:t>
      </w:r>
    </w:p>
    <w:p w14:paraId="6413433E">
      <w:pPr>
        <w:spacing w:line="480" w:lineRule="auto"/>
        <w:rPr>
          <w:sz w:val="24"/>
          <w:szCs w:val="24"/>
        </w:rPr>
      </w:pPr>
      <w:r>
        <w:rPr>
          <w:rFonts w:hint="eastAsia"/>
        </w:rPr>
        <w:t>委托代理人：</w:t>
      </w:r>
      <w:r>
        <w:rPr>
          <w:rFonts w:hint="eastAsia"/>
          <w:u w:val="single"/>
        </w:rPr>
        <w:t xml:space="preserve">                 </w:t>
      </w:r>
      <w:r>
        <w:rPr>
          <w:rFonts w:hint="eastAsia"/>
        </w:rPr>
        <w:t>（签名或盖章）</w:t>
      </w:r>
      <w:r>
        <w:rPr>
          <w:rFonts w:hint="eastAsia"/>
          <w:sz w:val="24"/>
          <w:szCs w:val="24"/>
        </w:rPr>
        <w:t xml:space="preserve"> </w:t>
      </w:r>
    </w:p>
    <w:p w14:paraId="72FB65E2">
      <w:pPr>
        <w:pStyle w:val="9"/>
        <w:keepNext/>
        <w:keepLines/>
        <w:pageBreakBefore/>
        <w:autoSpaceDE/>
        <w:autoSpaceDN/>
        <w:spacing w:line="360" w:lineRule="auto"/>
      </w:pPr>
      <w:bookmarkStart w:id="126" w:name="_Toc31676"/>
      <w:r>
        <w:rPr>
          <w:rFonts w:hint="eastAsia"/>
        </w:rPr>
        <w:t>二、磋商函附录</w:t>
      </w:r>
      <w:bookmarkEnd w:id="124"/>
      <w:bookmarkEnd w:id="125"/>
      <w:bookmarkEnd w:id="126"/>
    </w:p>
    <w:tbl>
      <w:tblPr>
        <w:tblStyle w:val="27"/>
        <w:tblW w:w="9099" w:type="dxa"/>
        <w:tblInd w:w="0" w:type="dxa"/>
        <w:tblLayout w:type="fixed"/>
        <w:tblCellMar>
          <w:top w:w="0" w:type="dxa"/>
          <w:left w:w="0" w:type="dxa"/>
          <w:bottom w:w="0" w:type="dxa"/>
          <w:right w:w="0" w:type="dxa"/>
        </w:tblCellMar>
      </w:tblPr>
      <w:tblGrid>
        <w:gridCol w:w="1904"/>
        <w:gridCol w:w="1515"/>
        <w:gridCol w:w="1245"/>
        <w:gridCol w:w="1530"/>
        <w:gridCol w:w="1320"/>
        <w:gridCol w:w="1585"/>
      </w:tblGrid>
      <w:tr w14:paraId="28465E55">
        <w:tblPrEx>
          <w:tblCellMar>
            <w:top w:w="0" w:type="dxa"/>
            <w:left w:w="0" w:type="dxa"/>
            <w:bottom w:w="0" w:type="dxa"/>
            <w:right w:w="0" w:type="dxa"/>
          </w:tblCellMar>
        </w:tblPrEx>
        <w:trPr>
          <w:trHeight w:val="872" w:hRule="exact"/>
        </w:trPr>
        <w:tc>
          <w:tcPr>
            <w:tcW w:w="1904" w:type="dxa"/>
            <w:tcBorders>
              <w:top w:val="single" w:color="auto" w:sz="4" w:space="0"/>
              <w:left w:val="single" w:color="auto" w:sz="4" w:space="0"/>
              <w:bottom w:val="single" w:color="auto" w:sz="4" w:space="0"/>
              <w:right w:val="single" w:color="auto" w:sz="4" w:space="0"/>
            </w:tcBorders>
            <w:vAlign w:val="center"/>
          </w:tcPr>
          <w:p w14:paraId="647BDDBA">
            <w:pPr>
              <w:spacing w:line="360" w:lineRule="auto"/>
              <w:jc w:val="center"/>
              <w:rPr>
                <w:rFonts w:ascii="新宋体" w:hAnsi="新宋体" w:eastAsia="新宋体" w:cs="新宋体"/>
                <w:color w:val="000000"/>
                <w:sz w:val="24"/>
              </w:rPr>
            </w:pPr>
            <w:bookmarkStart w:id="127" w:name="_Toc367"/>
            <w:bookmarkStart w:id="128" w:name="_Toc469298971"/>
            <w:bookmarkStart w:id="129" w:name="_Toc179456577"/>
            <w:bookmarkStart w:id="130" w:name="_Toc181348182"/>
            <w:bookmarkStart w:id="131" w:name="_Toc181344372"/>
            <w:r>
              <w:rPr>
                <w:rFonts w:hint="eastAsia" w:ascii="新宋体" w:hAnsi="新宋体" w:eastAsia="新宋体" w:cs="新宋体"/>
                <w:color w:val="000000"/>
                <w:sz w:val="24"/>
                <w:lang w:val="en-US" w:eastAsia="zh-CN"/>
              </w:rPr>
              <w:t>项目</w:t>
            </w:r>
            <w:r>
              <w:rPr>
                <w:rFonts w:hint="eastAsia" w:ascii="新宋体" w:hAnsi="新宋体" w:eastAsia="新宋体" w:cs="新宋体"/>
                <w:color w:val="000000"/>
                <w:sz w:val="24"/>
              </w:rPr>
              <w:t>名称</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7C5276A0">
            <w:pPr>
              <w:spacing w:line="360" w:lineRule="auto"/>
              <w:jc w:val="center"/>
              <w:rPr>
                <w:rFonts w:ascii="新宋体" w:hAnsi="新宋体" w:eastAsia="新宋体" w:cs="新宋体"/>
                <w:color w:val="000000"/>
                <w:sz w:val="24"/>
              </w:rPr>
            </w:pPr>
          </w:p>
        </w:tc>
      </w:tr>
      <w:tr w14:paraId="471B0930">
        <w:tblPrEx>
          <w:tblCellMar>
            <w:top w:w="0" w:type="dxa"/>
            <w:left w:w="0" w:type="dxa"/>
            <w:bottom w:w="0" w:type="dxa"/>
            <w:right w:w="0" w:type="dxa"/>
          </w:tblCellMar>
        </w:tblPrEx>
        <w:trPr>
          <w:trHeight w:val="944" w:hRule="exact"/>
        </w:trPr>
        <w:tc>
          <w:tcPr>
            <w:tcW w:w="1904" w:type="dxa"/>
            <w:tcBorders>
              <w:top w:val="single" w:color="auto" w:sz="4" w:space="0"/>
              <w:left w:val="single" w:color="auto" w:sz="4" w:space="0"/>
              <w:bottom w:val="single" w:color="auto" w:sz="4" w:space="0"/>
              <w:right w:val="single" w:color="auto" w:sz="4" w:space="0"/>
            </w:tcBorders>
            <w:vAlign w:val="center"/>
          </w:tcPr>
          <w:p w14:paraId="36BDCBC1">
            <w:pPr>
              <w:spacing w:line="360" w:lineRule="auto"/>
              <w:jc w:val="center"/>
              <w:rPr>
                <w:rFonts w:hint="eastAsia" w:ascii="新宋体" w:hAnsi="新宋体" w:eastAsia="新宋体" w:cs="新宋体"/>
                <w:color w:val="000000"/>
                <w:sz w:val="24"/>
                <w:lang w:val="en-US" w:eastAsia="zh-CN"/>
              </w:rPr>
            </w:pPr>
            <w:r>
              <w:rPr>
                <w:rFonts w:hint="eastAsia" w:ascii="新宋体" w:hAnsi="新宋体" w:eastAsia="新宋体" w:cs="新宋体"/>
                <w:color w:val="000000"/>
                <w:sz w:val="24"/>
              </w:rPr>
              <w:t>投标人</w:t>
            </w:r>
            <w:r>
              <w:rPr>
                <w:rFonts w:hint="eastAsia" w:ascii="新宋体" w:hAnsi="新宋体" w:eastAsia="新宋体" w:cs="新宋体"/>
                <w:color w:val="000000"/>
                <w:sz w:val="24"/>
                <w:lang w:val="en-US" w:eastAsia="zh-CN"/>
              </w:rPr>
              <w:t>名称</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601C8378">
            <w:pPr>
              <w:spacing w:line="360" w:lineRule="auto"/>
              <w:jc w:val="center"/>
              <w:rPr>
                <w:rFonts w:ascii="新宋体" w:hAnsi="新宋体" w:eastAsia="新宋体" w:cs="新宋体"/>
                <w:color w:val="000000"/>
                <w:sz w:val="24"/>
              </w:rPr>
            </w:pPr>
          </w:p>
        </w:tc>
      </w:tr>
      <w:tr w14:paraId="4B00D3F1">
        <w:tblPrEx>
          <w:tblCellMar>
            <w:top w:w="0" w:type="dxa"/>
            <w:left w:w="0" w:type="dxa"/>
            <w:bottom w:w="0" w:type="dxa"/>
            <w:right w:w="0" w:type="dxa"/>
          </w:tblCellMar>
        </w:tblPrEx>
        <w:trPr>
          <w:trHeight w:val="858" w:hRule="exact"/>
        </w:trPr>
        <w:tc>
          <w:tcPr>
            <w:tcW w:w="1904" w:type="dxa"/>
            <w:vMerge w:val="restart"/>
            <w:tcBorders>
              <w:top w:val="single" w:color="auto" w:sz="4" w:space="0"/>
              <w:left w:val="single" w:color="auto" w:sz="4" w:space="0"/>
              <w:right w:val="single" w:color="auto" w:sz="4" w:space="0"/>
            </w:tcBorders>
            <w:vAlign w:val="center"/>
          </w:tcPr>
          <w:p w14:paraId="588FE8A0">
            <w:pPr>
              <w:spacing w:line="360" w:lineRule="auto"/>
              <w:jc w:val="center"/>
              <w:rPr>
                <w:rFonts w:hint="eastAsia" w:ascii="新宋体" w:hAnsi="新宋体" w:eastAsia="新宋体" w:cs="新宋体"/>
                <w:color w:val="000000"/>
                <w:sz w:val="24"/>
                <w:lang w:eastAsia="zh-CN"/>
              </w:rPr>
            </w:pPr>
            <w:r>
              <w:rPr>
                <w:rFonts w:hint="eastAsia" w:ascii="新宋体" w:hAnsi="新宋体" w:eastAsia="新宋体" w:cs="新宋体"/>
                <w:color w:val="000000"/>
                <w:sz w:val="24"/>
              </w:rPr>
              <w:t>投标</w:t>
            </w:r>
            <w:r>
              <w:rPr>
                <w:rFonts w:hint="eastAsia" w:ascii="新宋体" w:hAnsi="新宋体" w:eastAsia="新宋体" w:cs="新宋体"/>
                <w:color w:val="000000"/>
                <w:sz w:val="24"/>
                <w:lang w:val="en-US"/>
              </w:rPr>
              <w:t>报</w:t>
            </w:r>
            <w:r>
              <w:rPr>
                <w:rFonts w:hint="eastAsia" w:ascii="新宋体" w:hAnsi="新宋体" w:eastAsia="新宋体" w:cs="新宋体"/>
                <w:color w:val="000000"/>
                <w:sz w:val="24"/>
              </w:rPr>
              <w:t>价</w:t>
            </w:r>
            <w:r>
              <w:rPr>
                <w:rFonts w:hint="eastAsia" w:ascii="新宋体" w:hAnsi="新宋体" w:eastAsia="新宋体" w:cs="新宋体"/>
                <w:color w:val="000000"/>
                <w:sz w:val="24"/>
                <w:lang w:eastAsia="zh-CN"/>
              </w:rPr>
              <w:t>（</w:t>
            </w:r>
            <w:r>
              <w:rPr>
                <w:rFonts w:hint="eastAsia" w:ascii="新宋体" w:hAnsi="新宋体" w:eastAsia="新宋体" w:cs="新宋体"/>
                <w:color w:val="000000"/>
                <w:sz w:val="24"/>
                <w:lang w:val="en-US" w:eastAsia="zh-CN"/>
              </w:rPr>
              <w:t>元</w:t>
            </w:r>
            <w:r>
              <w:rPr>
                <w:rFonts w:hint="eastAsia" w:ascii="新宋体" w:hAnsi="新宋体" w:eastAsia="新宋体" w:cs="新宋体"/>
                <w:color w:val="000000"/>
                <w:sz w:val="24"/>
                <w:lang w:eastAsia="zh-CN"/>
              </w:rPr>
              <w:t>）</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3C848392">
            <w:pPr>
              <w:spacing w:line="360" w:lineRule="auto"/>
              <w:rPr>
                <w:rFonts w:ascii="新宋体" w:hAnsi="新宋体" w:eastAsia="新宋体" w:cs="新宋体"/>
                <w:color w:val="000000"/>
                <w:sz w:val="24"/>
              </w:rPr>
            </w:pPr>
            <w:r>
              <w:rPr>
                <w:rFonts w:hint="eastAsia" w:ascii="新宋体" w:hAnsi="新宋体" w:eastAsia="新宋体" w:cs="新宋体"/>
                <w:color w:val="000000"/>
                <w:sz w:val="24"/>
              </w:rPr>
              <w:t xml:space="preserve"> 大写：    </w:t>
            </w:r>
            <w:r>
              <w:rPr>
                <w:rFonts w:hint="eastAsia" w:ascii="新宋体" w:hAnsi="新宋体" w:eastAsia="新宋体" w:cs="新宋体"/>
                <w:color w:val="000000"/>
                <w:sz w:val="24"/>
                <w:lang w:val="en-US"/>
              </w:rPr>
              <w:t xml:space="preserve">   </w:t>
            </w:r>
            <w:r>
              <w:rPr>
                <w:rFonts w:hint="eastAsia" w:ascii="新宋体" w:hAnsi="新宋体" w:eastAsia="新宋体" w:cs="新宋体"/>
                <w:color w:val="000000"/>
                <w:sz w:val="24"/>
              </w:rPr>
              <w:t xml:space="preserve">              小写：         </w:t>
            </w:r>
          </w:p>
        </w:tc>
      </w:tr>
      <w:tr w14:paraId="5EF1C3E8">
        <w:tblPrEx>
          <w:tblCellMar>
            <w:top w:w="0" w:type="dxa"/>
            <w:left w:w="0" w:type="dxa"/>
            <w:bottom w:w="0" w:type="dxa"/>
            <w:right w:w="0" w:type="dxa"/>
          </w:tblCellMar>
        </w:tblPrEx>
        <w:trPr>
          <w:trHeight w:val="719" w:hRule="exact"/>
        </w:trPr>
        <w:tc>
          <w:tcPr>
            <w:tcW w:w="1904" w:type="dxa"/>
            <w:vMerge w:val="continue"/>
            <w:tcBorders>
              <w:left w:val="single" w:color="auto" w:sz="4" w:space="0"/>
              <w:bottom w:val="single" w:color="auto" w:sz="4" w:space="0"/>
              <w:right w:val="single" w:color="auto" w:sz="4" w:space="0"/>
            </w:tcBorders>
            <w:vAlign w:val="center"/>
          </w:tcPr>
          <w:p w14:paraId="434BCD72">
            <w:pPr>
              <w:spacing w:line="360" w:lineRule="auto"/>
              <w:jc w:val="center"/>
              <w:rPr>
                <w:rFonts w:ascii="新宋体" w:hAnsi="新宋体" w:eastAsia="新宋体" w:cs="新宋体"/>
                <w:color w:val="000000"/>
                <w:sz w:val="24"/>
              </w:rPr>
            </w:pP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5FB6A51B">
            <w:pPr>
              <w:spacing w:line="360" w:lineRule="auto"/>
              <w:rPr>
                <w:rFonts w:ascii="新宋体" w:hAnsi="新宋体" w:eastAsia="新宋体" w:cs="新宋体"/>
                <w:color w:val="000000"/>
                <w:sz w:val="24"/>
              </w:rPr>
            </w:pPr>
            <w:r>
              <w:rPr>
                <w:rFonts w:hint="eastAsia" w:ascii="宋体" w:hAnsi="宋体"/>
                <w:b/>
                <w:bCs/>
                <w:color w:val="auto"/>
                <w:szCs w:val="21"/>
                <w:highlight w:val="none"/>
              </w:rPr>
              <w:t>（供应商应在此填列第一次报价，但以供应商最后一次的磋商报价为成交价）</w:t>
            </w:r>
          </w:p>
        </w:tc>
      </w:tr>
      <w:tr w14:paraId="557F5D7D">
        <w:tblPrEx>
          <w:tblCellMar>
            <w:top w:w="0" w:type="dxa"/>
            <w:left w:w="0" w:type="dxa"/>
            <w:bottom w:w="0" w:type="dxa"/>
            <w:right w:w="0" w:type="dxa"/>
          </w:tblCellMar>
        </w:tblPrEx>
        <w:trPr>
          <w:trHeight w:val="872" w:hRule="exact"/>
        </w:trPr>
        <w:tc>
          <w:tcPr>
            <w:tcW w:w="1904" w:type="dxa"/>
            <w:tcBorders>
              <w:top w:val="single" w:color="auto" w:sz="4" w:space="0"/>
              <w:left w:val="single" w:color="auto" w:sz="4" w:space="0"/>
              <w:bottom w:val="single" w:color="auto" w:sz="4" w:space="0"/>
              <w:right w:val="single" w:color="auto" w:sz="4" w:space="0"/>
            </w:tcBorders>
            <w:vAlign w:val="center"/>
          </w:tcPr>
          <w:p w14:paraId="1DDC986F">
            <w:pPr>
              <w:spacing w:line="36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项目负责人</w:t>
            </w:r>
          </w:p>
        </w:tc>
        <w:tc>
          <w:tcPr>
            <w:tcW w:w="1515" w:type="dxa"/>
            <w:tcBorders>
              <w:top w:val="single" w:color="auto" w:sz="4" w:space="0"/>
              <w:left w:val="single" w:color="auto" w:sz="4" w:space="0"/>
              <w:bottom w:val="single" w:color="auto" w:sz="4" w:space="0"/>
              <w:right w:val="single" w:color="auto" w:sz="4" w:space="0"/>
            </w:tcBorders>
            <w:vAlign w:val="center"/>
          </w:tcPr>
          <w:p w14:paraId="02416AFC">
            <w:pPr>
              <w:spacing w:line="360" w:lineRule="auto"/>
              <w:jc w:val="center"/>
              <w:rPr>
                <w:rFonts w:hint="eastAsia" w:ascii="新宋体" w:hAnsi="新宋体" w:eastAsia="新宋体" w:cs="新宋体"/>
                <w:color w:val="000000"/>
                <w:sz w:val="24"/>
                <w:lang w:val="en-US" w:eastAsia="zh-CN"/>
              </w:rPr>
            </w:pPr>
          </w:p>
          <w:p w14:paraId="121B1AE8">
            <w:pPr>
              <w:spacing w:line="360" w:lineRule="auto"/>
              <w:jc w:val="center"/>
              <w:rPr>
                <w:rFonts w:hint="eastAsia" w:ascii="新宋体" w:hAnsi="新宋体" w:eastAsia="新宋体" w:cs="新宋体"/>
                <w:color w:val="000000"/>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15B85EF">
            <w:pPr>
              <w:spacing w:line="360" w:lineRule="auto"/>
              <w:jc w:val="center"/>
              <w:rPr>
                <w:rFonts w:hint="eastAsia" w:ascii="新宋体" w:hAnsi="新宋体" w:eastAsia="新宋体" w:cs="新宋体"/>
                <w:color w:val="000000"/>
                <w:sz w:val="24"/>
              </w:rPr>
            </w:pPr>
            <w:r>
              <w:rPr>
                <w:rFonts w:hint="eastAsia" w:ascii="宋体" w:hAnsi="宋体"/>
                <w:color w:val="auto"/>
                <w:szCs w:val="21"/>
                <w:highlight w:val="none"/>
                <w:lang w:val="en-US" w:eastAsia="zh-CN"/>
              </w:rPr>
              <w:t>资格</w:t>
            </w:r>
          </w:p>
        </w:tc>
        <w:tc>
          <w:tcPr>
            <w:tcW w:w="1530" w:type="dxa"/>
            <w:tcBorders>
              <w:top w:val="single" w:color="auto" w:sz="4" w:space="0"/>
              <w:left w:val="single" w:color="auto" w:sz="4" w:space="0"/>
              <w:bottom w:val="single" w:color="auto" w:sz="4" w:space="0"/>
              <w:right w:val="single" w:color="auto" w:sz="4" w:space="0"/>
            </w:tcBorders>
            <w:vAlign w:val="center"/>
          </w:tcPr>
          <w:p w14:paraId="2C9F043E">
            <w:pPr>
              <w:spacing w:line="360" w:lineRule="auto"/>
              <w:jc w:val="center"/>
              <w:rPr>
                <w:rFonts w:hint="eastAsia" w:ascii="新宋体" w:hAnsi="新宋体" w:eastAsia="新宋体" w:cs="新宋体"/>
                <w:color w:val="000000"/>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10711E0D">
            <w:pPr>
              <w:spacing w:line="360" w:lineRule="auto"/>
              <w:jc w:val="center"/>
              <w:rPr>
                <w:rFonts w:hint="eastAsia" w:ascii="新宋体" w:hAnsi="新宋体" w:eastAsia="新宋体" w:cs="新宋体"/>
                <w:color w:val="000000"/>
                <w:sz w:val="24"/>
              </w:rPr>
            </w:pPr>
            <w:r>
              <w:rPr>
                <w:rFonts w:hint="eastAsia" w:ascii="宋体" w:hAnsi="宋体"/>
                <w:color w:val="auto"/>
                <w:szCs w:val="21"/>
                <w:highlight w:val="none"/>
                <w:lang w:val="en-US" w:eastAsia="zh-CN"/>
              </w:rPr>
              <w:t>注册编号</w:t>
            </w:r>
          </w:p>
        </w:tc>
        <w:tc>
          <w:tcPr>
            <w:tcW w:w="1585" w:type="dxa"/>
            <w:tcBorders>
              <w:top w:val="single" w:color="auto" w:sz="4" w:space="0"/>
              <w:left w:val="single" w:color="auto" w:sz="4" w:space="0"/>
              <w:bottom w:val="single" w:color="auto" w:sz="4" w:space="0"/>
              <w:right w:val="single" w:color="auto" w:sz="4" w:space="0"/>
            </w:tcBorders>
            <w:vAlign w:val="center"/>
          </w:tcPr>
          <w:p w14:paraId="2481A26A">
            <w:pPr>
              <w:spacing w:line="360" w:lineRule="auto"/>
              <w:jc w:val="center"/>
              <w:rPr>
                <w:rFonts w:hint="eastAsia" w:ascii="新宋体" w:hAnsi="新宋体" w:eastAsia="新宋体" w:cs="新宋体"/>
                <w:color w:val="000000"/>
                <w:sz w:val="24"/>
              </w:rPr>
            </w:pPr>
          </w:p>
        </w:tc>
      </w:tr>
      <w:tr w14:paraId="2CDFD667">
        <w:tblPrEx>
          <w:tblCellMar>
            <w:top w:w="0" w:type="dxa"/>
            <w:left w:w="0" w:type="dxa"/>
            <w:bottom w:w="0" w:type="dxa"/>
            <w:right w:w="0" w:type="dxa"/>
          </w:tblCellMar>
        </w:tblPrEx>
        <w:trPr>
          <w:trHeight w:val="872" w:hRule="exact"/>
        </w:trPr>
        <w:tc>
          <w:tcPr>
            <w:tcW w:w="1904" w:type="dxa"/>
            <w:tcBorders>
              <w:top w:val="single" w:color="auto" w:sz="4" w:space="0"/>
              <w:left w:val="single" w:color="auto" w:sz="4" w:space="0"/>
              <w:bottom w:val="single" w:color="auto" w:sz="4" w:space="0"/>
              <w:right w:val="single" w:color="auto" w:sz="4" w:space="0"/>
            </w:tcBorders>
            <w:vAlign w:val="center"/>
          </w:tcPr>
          <w:p w14:paraId="2BDE1861">
            <w:pPr>
              <w:spacing w:line="360" w:lineRule="auto"/>
              <w:jc w:val="center"/>
              <w:rPr>
                <w:rFonts w:ascii="新宋体" w:hAnsi="新宋体" w:eastAsia="新宋体" w:cs="新宋体"/>
                <w:color w:val="000000"/>
                <w:sz w:val="24"/>
              </w:rPr>
            </w:pPr>
            <w:r>
              <w:rPr>
                <w:rFonts w:hint="eastAsia" w:ascii="宋体" w:hAnsi="宋体" w:eastAsia="宋体" w:cs="宋体"/>
                <w:color w:val="auto"/>
                <w:sz w:val="21"/>
                <w:szCs w:val="21"/>
                <w:lang w:eastAsia="zh-CN"/>
              </w:rPr>
              <w:t>质量要求</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0C082E75">
            <w:pPr>
              <w:spacing w:line="360" w:lineRule="auto"/>
              <w:jc w:val="center"/>
              <w:rPr>
                <w:rFonts w:ascii="新宋体" w:hAnsi="新宋体" w:eastAsia="新宋体" w:cs="新宋体"/>
                <w:color w:val="000000"/>
                <w:sz w:val="24"/>
              </w:rPr>
            </w:pPr>
            <w:r>
              <w:rPr>
                <w:rFonts w:hint="eastAsia" w:ascii="新宋体" w:hAnsi="新宋体" w:eastAsia="新宋体" w:cs="新宋体"/>
                <w:color w:val="000000"/>
                <w:sz w:val="24"/>
              </w:rPr>
              <w:t xml:space="preserve"> </w:t>
            </w:r>
          </w:p>
        </w:tc>
      </w:tr>
      <w:tr w14:paraId="3AB6E11D">
        <w:tblPrEx>
          <w:tblCellMar>
            <w:top w:w="0" w:type="dxa"/>
            <w:left w:w="0" w:type="dxa"/>
            <w:bottom w:w="0" w:type="dxa"/>
            <w:right w:w="0" w:type="dxa"/>
          </w:tblCellMar>
        </w:tblPrEx>
        <w:trPr>
          <w:trHeight w:val="872" w:hRule="exact"/>
        </w:trPr>
        <w:tc>
          <w:tcPr>
            <w:tcW w:w="1904" w:type="dxa"/>
            <w:tcBorders>
              <w:top w:val="single" w:color="auto" w:sz="4" w:space="0"/>
              <w:left w:val="single" w:color="auto" w:sz="4" w:space="0"/>
              <w:bottom w:val="single" w:color="auto" w:sz="4" w:space="0"/>
              <w:right w:val="single" w:color="auto" w:sz="4" w:space="0"/>
            </w:tcBorders>
            <w:vAlign w:val="center"/>
          </w:tcPr>
          <w:p w14:paraId="1AB8E359">
            <w:pPr>
              <w:widowControl/>
              <w:spacing w:line="400" w:lineRule="exact"/>
              <w:ind w:left="0" w:leftChars="0" w:firstLine="0" w:firstLineChars="0"/>
              <w:jc w:val="center"/>
              <w:rPr>
                <w:rFonts w:ascii="新宋体" w:hAnsi="新宋体" w:eastAsia="新宋体" w:cs="新宋体"/>
                <w:color w:val="000000"/>
                <w:sz w:val="24"/>
              </w:rPr>
            </w:pPr>
            <w:r>
              <w:rPr>
                <w:rFonts w:hint="eastAsia" w:cs="宋体"/>
                <w:sz w:val="24"/>
                <w:szCs w:val="24"/>
                <w:lang w:val="en-US" w:eastAsia="zh-CN" w:bidi="ar"/>
              </w:rPr>
              <w:t>合同履行期限</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7F0943AE">
            <w:pPr>
              <w:spacing w:line="400" w:lineRule="exact"/>
              <w:jc w:val="center"/>
              <w:rPr>
                <w:rFonts w:ascii="新宋体" w:hAnsi="新宋体" w:eastAsia="新宋体" w:cs="新宋体"/>
                <w:color w:val="000000"/>
                <w:sz w:val="24"/>
              </w:rPr>
            </w:pPr>
            <w:r>
              <w:rPr>
                <w:rFonts w:hint="eastAsia"/>
                <w:color w:val="auto"/>
                <w:szCs w:val="21"/>
                <w:highlight w:val="none"/>
              </w:rPr>
              <w:t>签订合同后</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rPr>
              <w:t>日历天</w:t>
            </w:r>
          </w:p>
        </w:tc>
      </w:tr>
      <w:tr w14:paraId="3DBFECB3">
        <w:tblPrEx>
          <w:tblCellMar>
            <w:top w:w="0" w:type="dxa"/>
            <w:left w:w="0" w:type="dxa"/>
            <w:bottom w:w="0" w:type="dxa"/>
            <w:right w:w="0" w:type="dxa"/>
          </w:tblCellMar>
        </w:tblPrEx>
        <w:trPr>
          <w:trHeight w:val="872" w:hRule="exact"/>
        </w:trPr>
        <w:tc>
          <w:tcPr>
            <w:tcW w:w="1904" w:type="dxa"/>
            <w:tcBorders>
              <w:top w:val="single" w:color="auto" w:sz="4" w:space="0"/>
              <w:left w:val="single" w:color="auto" w:sz="4" w:space="0"/>
              <w:bottom w:val="single" w:color="auto" w:sz="4" w:space="0"/>
              <w:right w:val="single" w:color="auto" w:sz="4" w:space="0"/>
            </w:tcBorders>
            <w:vAlign w:val="center"/>
          </w:tcPr>
          <w:p w14:paraId="01CF0426">
            <w:pPr>
              <w:widowControl/>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交货地点</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0DFB9ABE">
            <w:pPr>
              <w:spacing w:line="400" w:lineRule="exact"/>
              <w:jc w:val="center"/>
              <w:rPr>
                <w:rFonts w:hint="eastAsia"/>
                <w:color w:val="auto"/>
                <w:szCs w:val="21"/>
                <w:highlight w:val="none"/>
              </w:rPr>
            </w:pPr>
            <w:r>
              <w:rPr>
                <w:rFonts w:hint="eastAsia" w:ascii="宋体" w:hAnsi="宋体" w:eastAsia="宋体" w:cs="宋体"/>
                <w:color w:val="auto"/>
                <w:sz w:val="21"/>
                <w:szCs w:val="21"/>
                <w:highlight w:val="none"/>
                <w:lang w:eastAsia="zh-CN"/>
              </w:rPr>
              <w:t>采购人指定地点</w:t>
            </w:r>
          </w:p>
        </w:tc>
      </w:tr>
      <w:tr w14:paraId="2F795946">
        <w:tblPrEx>
          <w:tblCellMar>
            <w:top w:w="0" w:type="dxa"/>
            <w:left w:w="0" w:type="dxa"/>
            <w:bottom w:w="0" w:type="dxa"/>
            <w:right w:w="0" w:type="dxa"/>
          </w:tblCellMar>
        </w:tblPrEx>
        <w:trPr>
          <w:trHeight w:val="895" w:hRule="exact"/>
        </w:trPr>
        <w:tc>
          <w:tcPr>
            <w:tcW w:w="1904" w:type="dxa"/>
            <w:tcBorders>
              <w:top w:val="single" w:color="auto" w:sz="4" w:space="0"/>
              <w:left w:val="single" w:color="auto" w:sz="4" w:space="0"/>
              <w:bottom w:val="single" w:color="auto" w:sz="4" w:space="0"/>
              <w:right w:val="single" w:color="auto" w:sz="4" w:space="0"/>
            </w:tcBorders>
            <w:vAlign w:val="center"/>
          </w:tcPr>
          <w:p w14:paraId="14ADC67D">
            <w:pPr>
              <w:spacing w:line="360" w:lineRule="auto"/>
              <w:jc w:val="center"/>
              <w:rPr>
                <w:rFonts w:ascii="新宋体" w:hAnsi="新宋体" w:eastAsia="新宋体" w:cs="新宋体"/>
                <w:color w:val="000000"/>
                <w:sz w:val="24"/>
              </w:rPr>
            </w:pPr>
            <w:r>
              <w:rPr>
                <w:rFonts w:hint="eastAsia" w:ascii="新宋体" w:hAnsi="新宋体" w:eastAsia="新宋体" w:cs="新宋体"/>
                <w:color w:val="000000"/>
                <w:sz w:val="24"/>
              </w:rPr>
              <w:t>备   注</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44D01E94">
            <w:pPr>
              <w:spacing w:line="360" w:lineRule="auto"/>
              <w:jc w:val="center"/>
              <w:rPr>
                <w:rFonts w:ascii="新宋体" w:hAnsi="新宋体" w:eastAsia="新宋体" w:cs="新宋体"/>
                <w:color w:val="000000"/>
                <w:sz w:val="24"/>
              </w:rPr>
            </w:pPr>
          </w:p>
        </w:tc>
      </w:tr>
    </w:tbl>
    <w:p w14:paraId="433F59F5">
      <w:pPr>
        <w:spacing w:line="360" w:lineRule="auto"/>
        <w:rPr>
          <w:color w:val="000000"/>
          <w:sz w:val="24"/>
        </w:rPr>
      </w:pPr>
    </w:p>
    <w:p w14:paraId="71DF5232">
      <w:pPr>
        <w:spacing w:line="360" w:lineRule="auto"/>
        <w:ind w:firstLine="1560" w:firstLineChars="650"/>
        <w:rPr>
          <w:color w:val="000000"/>
          <w:sz w:val="24"/>
        </w:rPr>
      </w:pPr>
      <w:r>
        <w:rPr>
          <w:rFonts w:hint="eastAsia"/>
          <w:color w:val="000000"/>
          <w:sz w:val="24"/>
        </w:rPr>
        <w:t>投标人：                               （单位电子签章）</w:t>
      </w:r>
    </w:p>
    <w:p w14:paraId="79AC0343">
      <w:pPr>
        <w:spacing w:line="360" w:lineRule="auto"/>
        <w:ind w:firstLine="1560" w:firstLineChars="650"/>
        <w:rPr>
          <w:sz w:val="24"/>
          <w:lang w:val="en-US"/>
        </w:rPr>
      </w:pPr>
      <w:r>
        <w:rPr>
          <w:rFonts w:hint="eastAsia"/>
          <w:color w:val="000000"/>
          <w:sz w:val="24"/>
        </w:rPr>
        <w:t>法定代表人或其委托代理人：              （签名或盖章）</w:t>
      </w:r>
      <w:r>
        <w:rPr>
          <w:rFonts w:hint="eastAsia"/>
          <w:sz w:val="24"/>
          <w:lang w:val="en-US"/>
        </w:rPr>
        <w:t xml:space="preserve">         </w:t>
      </w:r>
    </w:p>
    <w:p w14:paraId="13D217F2">
      <w:pPr>
        <w:spacing w:line="360" w:lineRule="auto"/>
        <w:ind w:firstLine="2040" w:firstLineChars="850"/>
        <w:rPr>
          <w:sz w:val="24"/>
          <w:lang w:val="en-US"/>
        </w:rPr>
      </w:pPr>
    </w:p>
    <w:p w14:paraId="7586BBE6">
      <w:pPr>
        <w:spacing w:line="360" w:lineRule="auto"/>
        <w:ind w:firstLine="480" w:firstLineChars="200"/>
      </w:pPr>
      <w:r>
        <w:rPr>
          <w:rFonts w:hint="eastAsia"/>
          <w:sz w:val="24"/>
          <w:lang w:val="en-US"/>
        </w:rPr>
        <w:t xml:space="preserve">                                   </w:t>
      </w:r>
      <w:r>
        <w:rPr>
          <w:rFonts w:hint="eastAsia"/>
          <w:color w:val="000000"/>
          <w:sz w:val="24"/>
        </w:rPr>
        <w:t>年    月    日</w:t>
      </w:r>
    </w:p>
    <w:p w14:paraId="49E72FDB">
      <w:pPr>
        <w:spacing w:line="360" w:lineRule="auto"/>
      </w:pPr>
    </w:p>
    <w:p w14:paraId="18D8CA6C">
      <w:pPr>
        <w:pStyle w:val="9"/>
        <w:keepNext/>
        <w:keepLines/>
        <w:pageBreakBefore/>
        <w:autoSpaceDE/>
        <w:autoSpaceDN/>
        <w:spacing w:before="240" w:beforeLines="100" w:after="240" w:afterLines="100" w:line="360" w:lineRule="auto"/>
      </w:pPr>
      <w:bookmarkStart w:id="132" w:name="_Toc31073"/>
      <w:bookmarkStart w:id="133" w:name="_Toc2602"/>
      <w:r>
        <w:rPr>
          <w:rFonts w:hint="eastAsia"/>
        </w:rPr>
        <w:t>三、法定代表人身份证明或法定代表人授权委托书</w:t>
      </w:r>
      <w:bookmarkEnd w:id="127"/>
      <w:bookmarkEnd w:id="132"/>
      <w:bookmarkEnd w:id="133"/>
    </w:p>
    <w:p w14:paraId="758E5D09">
      <w:pPr>
        <w:jc w:val="center"/>
      </w:pPr>
      <w:bookmarkStart w:id="134" w:name="_Toc18921"/>
      <w:r>
        <w:rPr>
          <w:rFonts w:hint="eastAsia"/>
        </w:rPr>
        <w:t>3-1法定代表人身份证明</w:t>
      </w:r>
      <w:bookmarkEnd w:id="128"/>
      <w:bookmarkEnd w:id="134"/>
    </w:p>
    <w:p w14:paraId="3DFA7750">
      <w:pPr>
        <w:spacing w:line="360" w:lineRule="auto"/>
        <w:rPr>
          <w:sz w:val="24"/>
        </w:rPr>
      </w:pPr>
    </w:p>
    <w:p w14:paraId="66869415">
      <w:pPr>
        <w:spacing w:before="65" w:line="401" w:lineRule="exact"/>
        <w:ind w:firstLine="447"/>
        <w:rPr>
          <w:sz w:val="24"/>
          <w:szCs w:val="24"/>
        </w:rPr>
      </w:pPr>
      <w:r>
        <w:rPr>
          <w:spacing w:val="6"/>
          <w:position w:val="14"/>
          <w:sz w:val="24"/>
          <w:szCs w:val="24"/>
        </w:rPr>
        <w:t>投标人名称：</w:t>
      </w:r>
    </w:p>
    <w:p w14:paraId="423C8828">
      <w:pPr>
        <w:spacing w:line="228" w:lineRule="auto"/>
        <w:ind w:firstLine="444"/>
        <w:rPr>
          <w:sz w:val="24"/>
          <w:szCs w:val="24"/>
        </w:rPr>
      </w:pPr>
      <w:r>
        <w:rPr>
          <w:spacing w:val="3"/>
          <w:sz w:val="24"/>
          <w:szCs w:val="24"/>
        </w:rPr>
        <w:t>姓名：</w:t>
      </w:r>
    </w:p>
    <w:p w14:paraId="02067C25">
      <w:pPr>
        <w:spacing w:before="153" w:line="229" w:lineRule="auto"/>
        <w:ind w:firstLine="444"/>
        <w:rPr>
          <w:sz w:val="24"/>
          <w:szCs w:val="24"/>
        </w:rPr>
      </w:pPr>
      <w:r>
        <w:rPr>
          <w:spacing w:val="3"/>
          <w:sz w:val="24"/>
          <w:szCs w:val="24"/>
        </w:rPr>
        <w:t>性别：</w:t>
      </w:r>
    </w:p>
    <w:p w14:paraId="0F517F85">
      <w:pPr>
        <w:spacing w:before="150" w:line="228" w:lineRule="auto"/>
        <w:ind w:firstLine="445"/>
        <w:rPr>
          <w:spacing w:val="3"/>
          <w:sz w:val="24"/>
          <w:szCs w:val="24"/>
        </w:rPr>
      </w:pPr>
      <w:r>
        <w:rPr>
          <w:spacing w:val="3"/>
          <w:sz w:val="24"/>
          <w:szCs w:val="24"/>
        </w:rPr>
        <w:t>年龄：</w:t>
      </w:r>
      <w:r>
        <w:rPr>
          <w:spacing w:val="3"/>
          <w:sz w:val="24"/>
          <w:szCs w:val="24"/>
          <w:u w:val="single"/>
        </w:rPr>
        <w:t xml:space="preserve">              </w:t>
      </w:r>
      <w:r>
        <w:rPr>
          <w:spacing w:val="3"/>
          <w:sz w:val="24"/>
          <w:szCs w:val="24"/>
        </w:rPr>
        <w:t>职务：</w:t>
      </w:r>
      <w:r>
        <w:rPr>
          <w:spacing w:val="3"/>
          <w:sz w:val="24"/>
          <w:szCs w:val="24"/>
          <w:u w:val="single"/>
        </w:rPr>
        <w:t xml:space="preserve">                </w:t>
      </w:r>
      <w:r>
        <w:rPr>
          <w:spacing w:val="3"/>
          <w:sz w:val="24"/>
          <w:szCs w:val="24"/>
        </w:rPr>
        <w:t xml:space="preserve">   </w:t>
      </w:r>
    </w:p>
    <w:p w14:paraId="35BBE447">
      <w:pPr>
        <w:spacing w:before="154" w:line="228" w:lineRule="auto"/>
        <w:ind w:firstLine="448"/>
        <w:rPr>
          <w:sz w:val="24"/>
          <w:szCs w:val="24"/>
        </w:rPr>
      </w:pPr>
      <w:r>
        <w:rPr>
          <w:sz w:val="24"/>
          <w:szCs w:val="24"/>
        </w:rPr>
        <w:t>系</w:t>
      </w:r>
      <w:r>
        <w:rPr>
          <w:spacing w:val="1"/>
          <w:sz w:val="24"/>
          <w:szCs w:val="24"/>
          <w:u w:val="single"/>
        </w:rPr>
        <w:t xml:space="preserve">                          </w:t>
      </w:r>
      <w:r>
        <w:rPr>
          <w:sz w:val="24"/>
          <w:szCs w:val="24"/>
        </w:rPr>
        <w:t>（投标人名称）</w:t>
      </w:r>
      <w:r>
        <w:rPr>
          <w:spacing w:val="26"/>
          <w:sz w:val="24"/>
          <w:szCs w:val="24"/>
        </w:rPr>
        <w:t xml:space="preserve"> </w:t>
      </w:r>
      <w:r>
        <w:rPr>
          <w:sz w:val="24"/>
          <w:szCs w:val="24"/>
        </w:rPr>
        <w:t>的法定代表人。</w:t>
      </w:r>
    </w:p>
    <w:p w14:paraId="1F8CC6DB">
      <w:pPr>
        <w:spacing w:before="154" w:line="228" w:lineRule="auto"/>
        <w:ind w:firstLine="864"/>
        <w:rPr>
          <w:sz w:val="24"/>
          <w:szCs w:val="24"/>
        </w:rPr>
      </w:pPr>
      <w:r>
        <w:rPr>
          <w:spacing w:val="6"/>
          <w:sz w:val="24"/>
          <w:szCs w:val="24"/>
        </w:rPr>
        <w:t>特此证明。</w:t>
      </w:r>
    </w:p>
    <w:p w14:paraId="3373618F">
      <w:pPr>
        <w:spacing w:line="241" w:lineRule="auto"/>
        <w:rPr>
          <w:sz w:val="32"/>
          <w:szCs w:val="32"/>
        </w:rPr>
      </w:pPr>
    </w:p>
    <w:p w14:paraId="07BD476C">
      <w:pPr>
        <w:spacing w:line="242" w:lineRule="auto"/>
        <w:rPr>
          <w:sz w:val="32"/>
          <w:szCs w:val="32"/>
        </w:rPr>
      </w:pPr>
    </w:p>
    <w:p w14:paraId="63A7C3B2">
      <w:pPr>
        <w:spacing w:before="65" w:line="228" w:lineRule="auto"/>
        <w:ind w:firstLine="461"/>
        <w:rPr>
          <w:sz w:val="24"/>
          <w:szCs w:val="24"/>
        </w:rPr>
      </w:pPr>
      <w:r>
        <w:rPr>
          <w:spacing w:val="7"/>
          <w:sz w:val="24"/>
          <w:szCs w:val="24"/>
        </w:rPr>
        <w:t>附：法定代表人身份证复印件。</w:t>
      </w:r>
    </w:p>
    <w:p w14:paraId="7F52A3C0">
      <w:pPr>
        <w:spacing w:line="250" w:lineRule="auto"/>
        <w:rPr>
          <w:sz w:val="32"/>
          <w:szCs w:val="32"/>
        </w:rPr>
      </w:pPr>
    </w:p>
    <w:p w14:paraId="0B40F5DD">
      <w:pPr>
        <w:spacing w:line="250" w:lineRule="auto"/>
        <w:rPr>
          <w:sz w:val="32"/>
          <w:szCs w:val="32"/>
        </w:rPr>
      </w:pPr>
    </w:p>
    <w:p w14:paraId="2EEB316A">
      <w:pPr>
        <w:spacing w:line="250" w:lineRule="auto"/>
        <w:rPr>
          <w:sz w:val="32"/>
          <w:szCs w:val="32"/>
        </w:rPr>
      </w:pPr>
    </w:p>
    <w:p w14:paraId="011436D5">
      <w:pPr>
        <w:spacing w:line="251" w:lineRule="auto"/>
        <w:rPr>
          <w:sz w:val="32"/>
          <w:szCs w:val="32"/>
        </w:rPr>
      </w:pPr>
    </w:p>
    <w:p w14:paraId="7B7C59C3">
      <w:pPr>
        <w:spacing w:before="66" w:line="228" w:lineRule="auto"/>
        <w:ind w:firstLine="4227"/>
        <w:rPr>
          <w:sz w:val="24"/>
          <w:szCs w:val="24"/>
        </w:rPr>
      </w:pPr>
      <w:r>
        <w:rPr>
          <w:spacing w:val="11"/>
          <w:sz w:val="24"/>
          <w:szCs w:val="24"/>
        </w:rPr>
        <w:t>投标人</w:t>
      </w:r>
      <w:r>
        <w:rPr>
          <w:spacing w:val="-85"/>
          <w:sz w:val="24"/>
          <w:szCs w:val="24"/>
        </w:rPr>
        <w:t>：</w:t>
      </w:r>
      <w:r>
        <w:rPr>
          <w:spacing w:val="58"/>
          <w:sz w:val="24"/>
          <w:szCs w:val="24"/>
        </w:rPr>
        <w:t xml:space="preserve"> </w:t>
      </w:r>
      <w:r>
        <w:rPr>
          <w:spacing w:val="-85"/>
          <w:sz w:val="24"/>
          <w:szCs w:val="24"/>
        </w:rPr>
        <w:t>（</w:t>
      </w:r>
      <w:r>
        <w:rPr>
          <w:spacing w:val="11"/>
          <w:sz w:val="24"/>
          <w:szCs w:val="24"/>
        </w:rPr>
        <w:t>单位电子签章）</w:t>
      </w:r>
    </w:p>
    <w:p w14:paraId="27884C1E">
      <w:pPr>
        <w:spacing w:line="242" w:lineRule="auto"/>
        <w:rPr>
          <w:sz w:val="32"/>
          <w:szCs w:val="32"/>
        </w:rPr>
      </w:pPr>
    </w:p>
    <w:p w14:paraId="59B88D05">
      <w:pPr>
        <w:spacing w:line="242" w:lineRule="auto"/>
        <w:rPr>
          <w:sz w:val="32"/>
          <w:szCs w:val="32"/>
        </w:rPr>
      </w:pPr>
    </w:p>
    <w:p w14:paraId="70C068B2">
      <w:pPr>
        <w:pStyle w:val="3"/>
        <w:jc w:val="right"/>
        <w:rPr>
          <w:sz w:val="32"/>
          <w:szCs w:val="32"/>
        </w:rPr>
      </w:pPr>
      <w:r>
        <w:t>年</w:t>
      </w:r>
      <w:r>
        <w:rPr>
          <w:spacing w:val="13"/>
        </w:rPr>
        <w:t xml:space="preserve">  </w:t>
      </w:r>
      <w:r>
        <w:t>月</w:t>
      </w:r>
      <w:r>
        <w:rPr>
          <w:spacing w:val="20"/>
        </w:rPr>
        <w:t xml:space="preserve">   </w:t>
      </w:r>
      <w:r>
        <w:t>日</w:t>
      </w:r>
    </w:p>
    <w:p w14:paraId="36C19032">
      <w:pPr>
        <w:pStyle w:val="3"/>
        <w:spacing w:line="360" w:lineRule="auto"/>
        <w:rPr>
          <w:sz w:val="22"/>
          <w:szCs w:val="22"/>
        </w:rPr>
      </w:pPr>
      <w:r>
        <w:rPr>
          <w:rFonts w:hint="eastAsia"/>
          <w:sz w:val="22"/>
          <w:szCs w:val="22"/>
        </w:rPr>
        <w:t xml:space="preserve">   </w:t>
      </w:r>
    </w:p>
    <w:p w14:paraId="51E9A89C">
      <w:pPr>
        <w:pStyle w:val="3"/>
        <w:spacing w:line="360" w:lineRule="auto"/>
        <w:rPr>
          <w:sz w:val="22"/>
          <w:szCs w:val="22"/>
        </w:rPr>
      </w:pPr>
    </w:p>
    <w:p w14:paraId="554B98CF">
      <w:pPr>
        <w:pStyle w:val="3"/>
        <w:spacing w:line="360" w:lineRule="auto"/>
        <w:rPr>
          <w:sz w:val="22"/>
          <w:szCs w:val="22"/>
        </w:rPr>
      </w:pPr>
    </w:p>
    <w:p w14:paraId="2F3475F9">
      <w:pPr>
        <w:pStyle w:val="3"/>
        <w:spacing w:line="360" w:lineRule="auto"/>
        <w:rPr>
          <w:sz w:val="22"/>
          <w:szCs w:val="22"/>
        </w:rPr>
      </w:pPr>
    </w:p>
    <w:p w14:paraId="3439724F">
      <w:pPr>
        <w:pStyle w:val="3"/>
        <w:spacing w:line="360" w:lineRule="auto"/>
        <w:rPr>
          <w:sz w:val="22"/>
          <w:szCs w:val="22"/>
        </w:rPr>
      </w:pPr>
    </w:p>
    <w:p w14:paraId="624AF457">
      <w:pPr>
        <w:pStyle w:val="3"/>
        <w:spacing w:line="360" w:lineRule="auto"/>
        <w:rPr>
          <w:sz w:val="22"/>
          <w:szCs w:val="22"/>
        </w:rPr>
      </w:pPr>
    </w:p>
    <w:p w14:paraId="3CF500D5">
      <w:pPr>
        <w:pStyle w:val="3"/>
        <w:spacing w:line="360" w:lineRule="auto"/>
        <w:rPr>
          <w:sz w:val="22"/>
          <w:szCs w:val="22"/>
        </w:rPr>
      </w:pPr>
    </w:p>
    <w:p w14:paraId="50181B42">
      <w:pPr>
        <w:pStyle w:val="3"/>
        <w:spacing w:line="360" w:lineRule="auto"/>
        <w:rPr>
          <w:b/>
          <w:sz w:val="32"/>
          <w:szCs w:val="32"/>
        </w:rPr>
      </w:pPr>
      <w:bookmarkStart w:id="135" w:name="_Toc152042581"/>
      <w:bookmarkStart w:id="136" w:name="_Toc144974861"/>
      <w:bookmarkStart w:id="137" w:name="_Toc414277234"/>
      <w:bookmarkStart w:id="138" w:name="_Toc152045792"/>
      <w:bookmarkStart w:id="139" w:name="_Toc414112859"/>
    </w:p>
    <w:bookmarkEnd w:id="135"/>
    <w:bookmarkEnd w:id="136"/>
    <w:bookmarkEnd w:id="137"/>
    <w:bookmarkEnd w:id="138"/>
    <w:bookmarkEnd w:id="139"/>
    <w:p w14:paraId="6CD1B4D0">
      <w:pPr>
        <w:pageBreakBefore/>
        <w:jc w:val="center"/>
      </w:pPr>
      <w:bookmarkStart w:id="140" w:name="_Toc21184"/>
      <w:bookmarkStart w:id="141" w:name="_Toc469298972"/>
      <w:r>
        <w:rPr>
          <w:rFonts w:hint="eastAsia"/>
        </w:rPr>
        <w:t>3-2 法定代表人授权委托书</w:t>
      </w:r>
      <w:bookmarkEnd w:id="140"/>
      <w:bookmarkEnd w:id="141"/>
    </w:p>
    <w:p w14:paraId="6C70DE11">
      <w:pPr>
        <w:spacing w:line="360" w:lineRule="auto"/>
      </w:pPr>
    </w:p>
    <w:p w14:paraId="44D70C25">
      <w:pPr>
        <w:spacing w:line="360" w:lineRule="auto"/>
        <w:ind w:firstLine="480" w:firstLineChars="200"/>
        <w:rPr>
          <w:sz w:val="24"/>
          <w:u w:val="single"/>
        </w:rPr>
      </w:pPr>
      <w:r>
        <w:rPr>
          <w:rFonts w:hint="eastAsia"/>
          <w:sz w:val="24"/>
        </w:rPr>
        <w:t>本人</w:t>
      </w:r>
      <w:r>
        <w:rPr>
          <w:rFonts w:hint="eastAsia"/>
          <w:sz w:val="24"/>
          <w:u w:val="single"/>
        </w:rPr>
        <w:t xml:space="preserve">       </w:t>
      </w:r>
      <w:r>
        <w:rPr>
          <w:rFonts w:hint="eastAsia"/>
          <w:sz w:val="24"/>
        </w:rPr>
        <w:t>系</w:t>
      </w:r>
      <w:r>
        <w:rPr>
          <w:rFonts w:hint="eastAsia"/>
          <w:sz w:val="24"/>
          <w:u w:val="single"/>
        </w:rPr>
        <w:t xml:space="preserve">                   </w:t>
      </w:r>
      <w:r>
        <w:rPr>
          <w:rFonts w:hint="eastAsia"/>
          <w:sz w:val="24"/>
        </w:rPr>
        <w:t>的法定代表人，现委托</w:t>
      </w:r>
      <w:r>
        <w:rPr>
          <w:rFonts w:hint="eastAsia"/>
          <w:sz w:val="24"/>
          <w:u w:val="single"/>
        </w:rPr>
        <w:t xml:space="preserve">      </w:t>
      </w:r>
      <w:r>
        <w:rPr>
          <w:rFonts w:hint="eastAsia"/>
          <w:sz w:val="24"/>
        </w:rPr>
        <w:t>为我方代理人。代理人根据授权，以我方名义签署、澄清、说明、补正、递交、撤回、修改</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p>
    <w:p w14:paraId="064313BC">
      <w:pPr>
        <w:spacing w:line="360" w:lineRule="auto"/>
        <w:rPr>
          <w:sz w:val="24"/>
          <w:u w:val="single"/>
        </w:rPr>
      </w:pPr>
      <w:r>
        <w:rPr>
          <w:rFonts w:hint="eastAsia"/>
          <w:sz w:val="24"/>
          <w:lang w:val="en-US" w:eastAsia="zh-CN"/>
        </w:rPr>
        <w:t>项目</w:t>
      </w:r>
      <w:r>
        <w:rPr>
          <w:rFonts w:hint="eastAsia"/>
          <w:sz w:val="24"/>
        </w:rPr>
        <w:t>磋商文件、签订合同和处理有关事宜，其法律后果由我方承担。</w:t>
      </w:r>
    </w:p>
    <w:p w14:paraId="1887DDAC">
      <w:pPr>
        <w:spacing w:line="228" w:lineRule="auto"/>
        <w:ind w:firstLine="443"/>
      </w:pPr>
      <w:r>
        <w:rPr>
          <w:spacing w:val="8"/>
        </w:rPr>
        <w:t>代理人无转委托权。</w:t>
      </w:r>
    </w:p>
    <w:p w14:paraId="44CAD0E9">
      <w:pPr>
        <w:spacing w:line="267" w:lineRule="auto"/>
        <w:rPr>
          <w:sz w:val="28"/>
          <w:szCs w:val="28"/>
        </w:rPr>
      </w:pPr>
    </w:p>
    <w:p w14:paraId="3635CF90">
      <w:pPr>
        <w:spacing w:line="268" w:lineRule="auto"/>
        <w:rPr>
          <w:sz w:val="28"/>
          <w:szCs w:val="28"/>
        </w:rPr>
      </w:pPr>
    </w:p>
    <w:p w14:paraId="1F2B5043">
      <w:pPr>
        <w:spacing w:before="65" w:line="228" w:lineRule="auto"/>
        <w:ind w:firstLine="443"/>
      </w:pPr>
      <w:r>
        <w:rPr>
          <w:spacing w:val="3"/>
          <w14:textOutline w14:w="3797" w14:cap="sq" w14:cmpd="sng" w14:algn="ctr">
            <w14:solidFill>
              <w14:srgbClr w14:val="000000"/>
            </w14:solidFill>
            <w14:prstDash w14:val="solid"/>
            <w14:bevel/>
          </w14:textOutline>
        </w:rPr>
        <w:t>委托期限：</w:t>
      </w:r>
      <w:r>
        <w:rPr>
          <w:spacing w:val="63"/>
        </w:rPr>
        <w:t xml:space="preserve"> </w:t>
      </w:r>
      <w:r>
        <w:rPr>
          <w:spacing w:val="3"/>
          <w14:textOutline w14:w="3797" w14:cap="sq" w14:cmpd="sng" w14:algn="ctr">
            <w14:solidFill>
              <w14:srgbClr w14:val="000000"/>
            </w14:solidFill>
            <w14:prstDash w14:val="solid"/>
            <w14:bevel/>
          </w14:textOutline>
        </w:rPr>
        <w:t>本授权书至投标有效期结束前始终有效。</w:t>
      </w:r>
    </w:p>
    <w:p w14:paraId="355EAA94">
      <w:pPr>
        <w:spacing w:line="242" w:lineRule="auto"/>
        <w:rPr>
          <w:sz w:val="28"/>
          <w:szCs w:val="28"/>
        </w:rPr>
      </w:pPr>
    </w:p>
    <w:p w14:paraId="7968FDD9">
      <w:pPr>
        <w:spacing w:line="242" w:lineRule="auto"/>
        <w:rPr>
          <w:sz w:val="28"/>
          <w:szCs w:val="28"/>
        </w:rPr>
      </w:pPr>
    </w:p>
    <w:p w14:paraId="22AC46BB">
      <w:pPr>
        <w:spacing w:before="65" w:line="228" w:lineRule="auto"/>
        <w:ind w:firstLine="461"/>
      </w:pPr>
      <w:r>
        <w:rPr>
          <w:spacing w:val="8"/>
        </w:rPr>
        <w:t>附：法定代表人身份证复印件及委托代理人身份证复印件</w:t>
      </w:r>
    </w:p>
    <w:p w14:paraId="4AB2F927">
      <w:pPr>
        <w:spacing w:line="242" w:lineRule="auto"/>
        <w:rPr>
          <w:sz w:val="28"/>
          <w:szCs w:val="28"/>
        </w:rPr>
      </w:pPr>
    </w:p>
    <w:p w14:paraId="0FDF4454">
      <w:pPr>
        <w:spacing w:line="242" w:lineRule="auto"/>
        <w:rPr>
          <w:sz w:val="28"/>
          <w:szCs w:val="28"/>
        </w:rPr>
      </w:pPr>
    </w:p>
    <w:p w14:paraId="03F6C499">
      <w:pPr>
        <w:spacing w:before="65" w:line="228" w:lineRule="auto"/>
        <w:ind w:firstLine="444"/>
      </w:pPr>
      <w:r>
        <w:rPr>
          <w:spacing w:val="9"/>
        </w:rPr>
        <w:t>注：本授权委托书需由投标人加盖单位公章并由法定代表人和委托代理人签字。</w:t>
      </w:r>
    </w:p>
    <w:p w14:paraId="3F17415C">
      <w:pPr>
        <w:spacing w:line="243" w:lineRule="auto"/>
        <w:rPr>
          <w:sz w:val="28"/>
          <w:szCs w:val="28"/>
        </w:rPr>
      </w:pPr>
    </w:p>
    <w:p w14:paraId="5C772FAA">
      <w:pPr>
        <w:spacing w:line="243" w:lineRule="auto"/>
        <w:rPr>
          <w:sz w:val="28"/>
          <w:szCs w:val="28"/>
        </w:rPr>
      </w:pPr>
    </w:p>
    <w:p w14:paraId="40BF5557">
      <w:pPr>
        <w:spacing w:before="65" w:line="228" w:lineRule="auto"/>
        <w:ind w:firstLine="4752"/>
      </w:pPr>
      <w:r>
        <w:rPr>
          <w:spacing w:val="11"/>
        </w:rPr>
        <w:t>投标人</w:t>
      </w:r>
      <w:r>
        <w:rPr>
          <w:spacing w:val="-85"/>
        </w:rPr>
        <w:t>：</w:t>
      </w:r>
      <w:r>
        <w:rPr>
          <w:spacing w:val="58"/>
        </w:rPr>
        <w:t xml:space="preserve"> </w:t>
      </w:r>
      <w:r>
        <w:rPr>
          <w:spacing w:val="-85"/>
        </w:rPr>
        <w:t>（</w:t>
      </w:r>
      <w:r>
        <w:rPr>
          <w:spacing w:val="11"/>
        </w:rPr>
        <w:t>单位电子签章）</w:t>
      </w:r>
    </w:p>
    <w:p w14:paraId="04B126C5">
      <w:pPr>
        <w:spacing w:line="242" w:lineRule="auto"/>
        <w:rPr>
          <w:sz w:val="28"/>
          <w:szCs w:val="28"/>
        </w:rPr>
      </w:pPr>
    </w:p>
    <w:p w14:paraId="0665F192">
      <w:pPr>
        <w:spacing w:line="242" w:lineRule="auto"/>
        <w:rPr>
          <w:sz w:val="28"/>
          <w:szCs w:val="28"/>
        </w:rPr>
      </w:pPr>
    </w:p>
    <w:p w14:paraId="0FE35676">
      <w:pPr>
        <w:spacing w:before="65" w:line="228" w:lineRule="auto"/>
        <w:ind w:firstLine="4751"/>
      </w:pPr>
      <w:r>
        <w:rPr>
          <w:spacing w:val="10"/>
        </w:rPr>
        <w:t>法定代表人</w:t>
      </w:r>
      <w:r>
        <w:rPr>
          <w:spacing w:val="-81"/>
        </w:rPr>
        <w:t>：</w:t>
      </w:r>
      <w:r>
        <w:rPr>
          <w:spacing w:val="60"/>
        </w:rPr>
        <w:t xml:space="preserve"> </w:t>
      </w:r>
      <w:r>
        <w:rPr>
          <w:spacing w:val="-81"/>
        </w:rPr>
        <w:t>（</w:t>
      </w:r>
      <w:r>
        <w:rPr>
          <w:spacing w:val="10"/>
        </w:rPr>
        <w:t>电子签名或盖章）</w:t>
      </w:r>
    </w:p>
    <w:p w14:paraId="5E01506B">
      <w:pPr>
        <w:spacing w:line="242" w:lineRule="auto"/>
        <w:rPr>
          <w:sz w:val="28"/>
          <w:szCs w:val="28"/>
        </w:rPr>
      </w:pPr>
    </w:p>
    <w:p w14:paraId="0426B081">
      <w:pPr>
        <w:spacing w:line="243" w:lineRule="auto"/>
        <w:rPr>
          <w:sz w:val="28"/>
          <w:szCs w:val="28"/>
        </w:rPr>
      </w:pPr>
    </w:p>
    <w:p w14:paraId="54044270">
      <w:pPr>
        <w:spacing w:before="65" w:line="378" w:lineRule="auto"/>
        <w:ind w:left="4749" w:right="492" w:firstLine="6"/>
        <w:rPr>
          <w:spacing w:val="1"/>
        </w:rPr>
      </w:pPr>
      <w:r>
        <w:rPr>
          <w:spacing w:val="-18"/>
        </w:rPr>
        <w:t>身份证号码：</w:t>
      </w:r>
      <w:r>
        <w:rPr>
          <w:spacing w:val="1"/>
          <w:u w:val="single"/>
        </w:rPr>
        <w:t xml:space="preserve">                </w:t>
      </w:r>
      <w:r>
        <w:rPr>
          <w:spacing w:val="1"/>
        </w:rPr>
        <w:t xml:space="preserve"> </w:t>
      </w:r>
    </w:p>
    <w:p w14:paraId="03B0659A">
      <w:pPr>
        <w:spacing w:before="65" w:line="378" w:lineRule="auto"/>
        <w:ind w:left="4749" w:right="492"/>
        <w:rPr>
          <w:spacing w:val="10"/>
          <w:sz w:val="21"/>
          <w:szCs w:val="21"/>
        </w:rPr>
      </w:pPr>
    </w:p>
    <w:p w14:paraId="58305723">
      <w:pPr>
        <w:spacing w:before="65" w:line="378" w:lineRule="auto"/>
        <w:ind w:left="4749" w:right="492"/>
        <w:rPr>
          <w:sz w:val="21"/>
          <w:szCs w:val="21"/>
        </w:rPr>
      </w:pPr>
      <w:r>
        <w:rPr>
          <w:spacing w:val="10"/>
          <w:sz w:val="21"/>
          <w:szCs w:val="21"/>
        </w:rPr>
        <w:t>委托代理人</w:t>
      </w:r>
      <w:r>
        <w:rPr>
          <w:spacing w:val="-84"/>
          <w:sz w:val="21"/>
          <w:szCs w:val="21"/>
        </w:rPr>
        <w:t>：</w:t>
      </w:r>
      <w:r>
        <w:rPr>
          <w:spacing w:val="61"/>
          <w:sz w:val="21"/>
          <w:szCs w:val="21"/>
        </w:rPr>
        <w:t xml:space="preserve"> </w:t>
      </w:r>
      <w:r>
        <w:rPr>
          <w:spacing w:val="-84"/>
          <w:sz w:val="21"/>
          <w:szCs w:val="21"/>
        </w:rPr>
        <w:t>（</w:t>
      </w:r>
      <w:r>
        <w:rPr>
          <w:spacing w:val="10"/>
          <w:sz w:val="21"/>
          <w:szCs w:val="21"/>
        </w:rPr>
        <w:t>签名或盖章）</w:t>
      </w:r>
    </w:p>
    <w:p w14:paraId="5F512B4D">
      <w:pPr>
        <w:spacing w:line="313" w:lineRule="auto"/>
        <w:rPr>
          <w:sz w:val="28"/>
          <w:szCs w:val="28"/>
        </w:rPr>
      </w:pPr>
    </w:p>
    <w:p w14:paraId="22D233F7">
      <w:pPr>
        <w:spacing w:before="66" w:line="228" w:lineRule="auto"/>
        <w:ind w:firstLine="4756"/>
      </w:pPr>
      <w:r>
        <w:rPr>
          <w:spacing w:val="-18"/>
        </w:rPr>
        <w:t>身份证号码：</w:t>
      </w:r>
      <w:r>
        <w:rPr>
          <w:u w:val="single"/>
        </w:rPr>
        <w:t xml:space="preserve">                 </w:t>
      </w:r>
    </w:p>
    <w:p w14:paraId="46F88082">
      <w:pPr>
        <w:spacing w:line="243" w:lineRule="auto"/>
        <w:rPr>
          <w:sz w:val="28"/>
          <w:szCs w:val="28"/>
        </w:rPr>
      </w:pPr>
    </w:p>
    <w:p w14:paraId="1314DC05">
      <w:pPr>
        <w:spacing w:line="243" w:lineRule="auto"/>
        <w:rPr>
          <w:sz w:val="28"/>
          <w:szCs w:val="28"/>
        </w:rPr>
      </w:pPr>
    </w:p>
    <w:p w14:paraId="194EC229">
      <w:pPr>
        <w:spacing w:before="66" w:line="228" w:lineRule="auto"/>
        <w:ind w:firstLine="5065"/>
        <w:rPr>
          <w:sz w:val="24"/>
          <w:szCs w:val="24"/>
        </w:rPr>
      </w:pPr>
      <w:r>
        <w:rPr>
          <w:spacing w:val="-2"/>
        </w:rPr>
        <w:t>年</w:t>
      </w:r>
      <w:r>
        <w:rPr>
          <w:spacing w:val="13"/>
        </w:rPr>
        <w:t xml:space="preserve">  </w:t>
      </w:r>
      <w:r>
        <w:rPr>
          <w:spacing w:val="-2"/>
        </w:rPr>
        <w:t>月</w:t>
      </w:r>
      <w:r>
        <w:rPr>
          <w:spacing w:val="20"/>
        </w:rPr>
        <w:t xml:space="preserve">   </w:t>
      </w:r>
      <w:r>
        <w:rPr>
          <w:spacing w:val="-2"/>
        </w:rPr>
        <w:t>日</w:t>
      </w:r>
    </w:p>
    <w:p w14:paraId="4C5168E3">
      <w:pPr>
        <w:spacing w:line="360" w:lineRule="auto"/>
      </w:pPr>
    </w:p>
    <w:p w14:paraId="3AF3B263">
      <w:pPr>
        <w:spacing w:line="360" w:lineRule="auto"/>
      </w:pPr>
    </w:p>
    <w:p w14:paraId="5E5563E3">
      <w:pPr>
        <w:pageBreakBefore/>
        <w:autoSpaceDE/>
        <w:autoSpaceDN/>
        <w:spacing w:line="360" w:lineRule="auto"/>
        <w:rPr>
          <w:sz w:val="24"/>
        </w:rPr>
      </w:pPr>
      <w:bookmarkStart w:id="142" w:name="_Toc418525084"/>
      <w:bookmarkStart w:id="143" w:name="_Toc428959709"/>
      <w:r>
        <w:rPr>
          <w:rFonts w:hint="eastAsia"/>
          <w:sz w:val="24"/>
        </w:rPr>
        <w:t>中小企业声明函格式</w:t>
      </w:r>
    </w:p>
    <w:p w14:paraId="579B017C">
      <w:pPr>
        <w:pStyle w:val="9"/>
        <w:numPr>
          <w:ilvl w:val="0"/>
          <w:numId w:val="15"/>
        </w:numPr>
        <w:spacing w:line="360" w:lineRule="auto"/>
      </w:pPr>
      <w:bookmarkStart w:id="144" w:name="_Toc5540"/>
      <w:bookmarkStart w:id="145" w:name="_Toc2187"/>
      <w:bookmarkStart w:id="146" w:name="_Toc32731"/>
      <w:bookmarkStart w:id="147" w:name="_Toc2900"/>
      <w:bookmarkStart w:id="148" w:name="_Toc14720"/>
      <w:r>
        <w:rPr>
          <w:rFonts w:hint="eastAsia"/>
        </w:rPr>
        <w:t>中小企业声明函</w:t>
      </w:r>
      <w:bookmarkEnd w:id="144"/>
      <w:bookmarkEnd w:id="145"/>
      <w:bookmarkEnd w:id="146"/>
      <w:bookmarkEnd w:id="147"/>
      <w:bookmarkEnd w:id="148"/>
    </w:p>
    <w:bookmarkEnd w:id="129"/>
    <w:bookmarkEnd w:id="130"/>
    <w:bookmarkEnd w:id="131"/>
    <w:bookmarkEnd w:id="142"/>
    <w:bookmarkEnd w:id="143"/>
    <w:p w14:paraId="4DFC05BA">
      <w:pPr>
        <w:widowControl/>
        <w:adjustRightInd w:val="0"/>
        <w:snapToGrid w:val="0"/>
        <w:spacing w:before="120" w:beforeLines="50" w:line="360" w:lineRule="auto"/>
        <w:ind w:firstLine="586" w:firstLineChars="200"/>
        <w:jc w:val="center"/>
        <w:rPr>
          <w:rFonts w:hint="eastAsia" w:ascii="宋体" w:hAnsi="宋体" w:cs="宋体"/>
          <w:color w:val="000000"/>
          <w:spacing w:val="6"/>
          <w:kern w:val="0"/>
          <w:szCs w:val="21"/>
        </w:rPr>
      </w:pPr>
      <w:r>
        <w:rPr>
          <w:rFonts w:hint="eastAsia" w:ascii="黑体" w:hAnsi="华文中宋" w:eastAsia="黑体" w:cs="宋体"/>
          <w:b/>
          <w:bCs/>
          <w:color w:val="000000"/>
          <w:spacing w:val="6"/>
          <w:kern w:val="0"/>
          <w:sz w:val="28"/>
          <w:szCs w:val="28"/>
        </w:rPr>
        <w:t>1、中小企业声明函（服务）</w:t>
      </w:r>
    </w:p>
    <w:p w14:paraId="65B53873">
      <w:pP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采购活动，服务全部由符合政策要求的中小企业承接。相关企业（含联合体中的中小企业、签订分包意向协议的中小企业）的具体情况如下：</w:t>
      </w:r>
    </w:p>
    <w:p w14:paraId="74378D3F">
      <w:pP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cs="宋体"/>
          <w:szCs w:val="21"/>
          <w:u w:val="single"/>
          <w:lang w:val="en-US" w:eastAsia="zh-CN"/>
        </w:rPr>
        <w:t>服务</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ab/>
      </w:r>
      <w:r>
        <w:rPr>
          <w:rFonts w:hint="eastAsia" w:ascii="宋体" w:hAnsi="宋体" w:cs="宋体"/>
        </w:rPr>
        <w:t>万元</w:t>
      </w:r>
      <w:r>
        <w:rPr>
          <w:rFonts w:hint="eastAsia" w:ascii="宋体" w:hAnsi="宋体" w:cs="宋体"/>
        </w:rPr>
        <w:fldChar w:fldCharType="begin"/>
      </w:r>
      <w:r>
        <w:rPr>
          <w:rFonts w:hint="eastAsia" w:ascii="宋体" w:hAnsi="宋体" w:cs="宋体"/>
        </w:rPr>
        <w:instrText xml:space="preserve"> HYPERLINK \l "_bookmark0" </w:instrText>
      </w:r>
      <w:r>
        <w:rPr>
          <w:rFonts w:hint="eastAsia" w:ascii="宋体" w:hAnsi="宋体" w:cs="宋体"/>
        </w:rPr>
        <w:fldChar w:fldCharType="separate"/>
      </w:r>
      <w:r>
        <w:rPr>
          <w:rFonts w:hint="eastAsia" w:ascii="宋体" w:hAnsi="宋体" w:cs="宋体"/>
          <w:spacing w:val="-12"/>
          <w:position w:val="16"/>
        </w:rPr>
        <w:t>1</w:t>
      </w:r>
      <w:r>
        <w:rPr>
          <w:rFonts w:hint="eastAsia" w:ascii="宋体" w:hAnsi="宋体" w:cs="宋体"/>
          <w:spacing w:val="-12"/>
          <w:position w:val="16"/>
        </w:rPr>
        <w:fldChar w:fldCharType="end"/>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14:paraId="17AD6E3A">
      <w:pP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cs="宋体"/>
          <w:szCs w:val="21"/>
          <w:u w:val="single"/>
          <w:lang w:val="en-US" w:eastAsia="zh-CN"/>
        </w:rPr>
        <w:t>服务</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ab/>
      </w:r>
      <w:r>
        <w:rPr>
          <w:rFonts w:hint="eastAsia" w:ascii="宋体" w:hAnsi="宋体" w:cs="宋体"/>
        </w:rPr>
        <w:t>万元</w:t>
      </w:r>
      <w:r>
        <w:rPr>
          <w:rFonts w:hint="eastAsia" w:ascii="宋体" w:hAnsi="宋体" w:cs="宋体"/>
        </w:rPr>
        <w:fldChar w:fldCharType="begin"/>
      </w:r>
      <w:r>
        <w:rPr>
          <w:rFonts w:hint="eastAsia" w:ascii="宋体" w:hAnsi="宋体" w:cs="宋体"/>
        </w:rPr>
        <w:instrText xml:space="preserve"> HYPERLINK \l "_bookmark0" </w:instrText>
      </w:r>
      <w:r>
        <w:rPr>
          <w:rFonts w:hint="eastAsia" w:ascii="宋体" w:hAnsi="宋体" w:cs="宋体"/>
        </w:rPr>
        <w:fldChar w:fldCharType="separate"/>
      </w:r>
      <w:r>
        <w:rPr>
          <w:rFonts w:hint="eastAsia" w:ascii="宋体" w:hAnsi="宋体" w:cs="宋体"/>
          <w:spacing w:val="-12"/>
          <w:position w:val="16"/>
        </w:rPr>
        <w:t>1</w:t>
      </w:r>
      <w:r>
        <w:rPr>
          <w:rFonts w:hint="eastAsia" w:ascii="宋体" w:hAnsi="宋体" w:cs="宋体"/>
          <w:spacing w:val="-12"/>
          <w:position w:val="16"/>
        </w:rPr>
        <w:fldChar w:fldCharType="end"/>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14:paraId="4D2E33CF">
      <w:pP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w:t>
      </w:r>
    </w:p>
    <w:p w14:paraId="2E426C75">
      <w:pP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13AB288B">
      <w:pP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53AB5EE9">
      <w:pPr>
        <w:adjustRightInd w:val="0"/>
        <w:snapToGrid w:val="0"/>
        <w:spacing w:line="360" w:lineRule="auto"/>
        <w:jc w:val="center"/>
        <w:rPr>
          <w:rFonts w:hint="eastAsia" w:ascii="宋体" w:hAnsi="宋体" w:cs="宋体"/>
          <w:szCs w:val="21"/>
        </w:rPr>
      </w:pPr>
    </w:p>
    <w:p w14:paraId="304969D7">
      <w:pPr>
        <w:pStyle w:val="5"/>
        <w:rPr>
          <w:rFonts w:hint="eastAsia"/>
        </w:rPr>
      </w:pPr>
    </w:p>
    <w:p w14:paraId="534B724F">
      <w:pPr>
        <w:adjustRightInd w:val="0"/>
        <w:snapToGrid w:val="0"/>
        <w:spacing w:line="360" w:lineRule="auto"/>
        <w:jc w:val="center"/>
        <w:rPr>
          <w:rFonts w:hint="eastAsia" w:ascii="宋体" w:hAnsi="宋体" w:cs="宋体"/>
          <w:szCs w:val="21"/>
        </w:rPr>
      </w:pPr>
      <w:r>
        <w:rPr>
          <w:rFonts w:hint="eastAsia" w:ascii="宋体" w:hAnsi="宋体" w:cs="宋体"/>
          <w:szCs w:val="21"/>
        </w:rPr>
        <w:t xml:space="preserve">      企业名称（盖章）：</w:t>
      </w:r>
    </w:p>
    <w:p w14:paraId="491B4EB9">
      <w:pPr>
        <w:adjustRightInd w:val="0"/>
        <w:snapToGrid w:val="0"/>
        <w:spacing w:line="360" w:lineRule="auto"/>
        <w:jc w:val="center"/>
        <w:rPr>
          <w:rFonts w:hint="eastAsia" w:ascii="宋体" w:hAnsi="宋体" w:cs="宋体"/>
          <w:szCs w:val="21"/>
        </w:rPr>
      </w:pPr>
      <w:r>
        <w:rPr>
          <w:rFonts w:hint="eastAsia" w:ascii="宋体" w:hAnsi="宋体" w:cs="宋体"/>
          <w:szCs w:val="21"/>
        </w:rPr>
        <w:t xml:space="preserve">   日        期：</w:t>
      </w:r>
    </w:p>
    <w:p w14:paraId="6709DE95">
      <w:pPr>
        <w:pStyle w:val="5"/>
        <w:spacing w:line="360" w:lineRule="auto"/>
        <w:rPr>
          <w:rFonts w:hint="eastAsia" w:ascii="宋体" w:hAnsi="宋体" w:eastAsia="宋体" w:cs="宋体"/>
          <w:sz w:val="22"/>
          <w:szCs w:val="21"/>
          <w:lang w:val="zh-CN" w:eastAsia="zh-CN" w:bidi="zh-CN"/>
        </w:rPr>
      </w:pPr>
    </w:p>
    <w:p w14:paraId="7FC9C38E">
      <w:pPr>
        <w:pStyle w:val="15"/>
        <w:spacing w:line="360" w:lineRule="auto"/>
        <w:ind w:firstLine="0" w:firstLineChars="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1 从业人员、营业收入、资产总额填报上一年度数据，无上一年度数据的新成立企业可不填报。</w:t>
      </w:r>
    </w:p>
    <w:p w14:paraId="0B2CC6F0">
      <w:pPr>
        <w:pStyle w:val="15"/>
        <w:spacing w:line="360" w:lineRule="auto"/>
        <w:ind w:firstLine="0" w:firstLineChars="0"/>
        <w:rPr>
          <w:rFonts w:hint="eastAsia" w:ascii="宋体" w:hAnsi="宋体" w:eastAsia="宋体" w:cs="宋体"/>
          <w:sz w:val="22"/>
          <w:szCs w:val="21"/>
          <w:lang w:val="zh-CN" w:eastAsia="zh-CN" w:bidi="zh-CN"/>
        </w:rPr>
      </w:pPr>
      <w:r>
        <w:rPr>
          <w:rFonts w:hint="eastAsia" w:ascii="宋体" w:hAnsi="宋体" w:eastAsia="宋体" w:cs="宋体"/>
          <w:sz w:val="22"/>
          <w:szCs w:val="21"/>
          <w:lang w:val="zh-CN" w:eastAsia="zh-CN" w:bidi="zh-CN"/>
        </w:rPr>
        <w:t>2、属于中小微企业的填写，不属于的无需填写此项内容</w:t>
      </w:r>
    </w:p>
    <w:p w14:paraId="006091B1">
      <w:pPr>
        <w:jc w:val="center"/>
        <w:rPr>
          <w:rFonts w:ascii="新宋体" w:hAnsi="新宋体" w:eastAsia="新宋体" w:cs="新宋体"/>
          <w:b/>
          <w:spacing w:val="6"/>
          <w:sz w:val="32"/>
          <w:szCs w:val="32"/>
        </w:rPr>
      </w:pPr>
    </w:p>
    <w:p w14:paraId="038AE1E3">
      <w:pPr>
        <w:jc w:val="center"/>
        <w:rPr>
          <w:rFonts w:ascii="新宋体" w:hAnsi="新宋体" w:eastAsia="新宋体" w:cs="新宋体"/>
          <w:b/>
          <w:spacing w:val="6"/>
          <w:sz w:val="32"/>
          <w:szCs w:val="32"/>
        </w:rPr>
      </w:pPr>
    </w:p>
    <w:p w14:paraId="1EEA0BC6">
      <w:pPr>
        <w:widowControl/>
        <w:autoSpaceDE/>
        <w:autoSpaceDN/>
        <w:rPr>
          <w:rFonts w:ascii="新宋体" w:hAnsi="新宋体" w:eastAsia="新宋体" w:cs="新宋体"/>
          <w:b/>
          <w:spacing w:val="6"/>
          <w:sz w:val="32"/>
          <w:szCs w:val="32"/>
        </w:rPr>
      </w:pPr>
      <w:r>
        <w:rPr>
          <w:rFonts w:hint="eastAsia" w:ascii="新宋体" w:hAnsi="新宋体" w:eastAsia="新宋体" w:cs="新宋体"/>
          <w:b/>
          <w:spacing w:val="6"/>
          <w:sz w:val="32"/>
          <w:szCs w:val="32"/>
        </w:rPr>
        <w:br w:type="page"/>
      </w:r>
    </w:p>
    <w:p w14:paraId="75D025D7">
      <w:pPr>
        <w:rPr>
          <w:b/>
          <w:bCs/>
          <w:sz w:val="24"/>
        </w:rPr>
      </w:pPr>
      <w:r>
        <w:rPr>
          <w:rFonts w:hint="eastAsia"/>
          <w:sz w:val="24"/>
        </w:rPr>
        <w:t>残疾人福利性单位声明函格式</w:t>
      </w:r>
      <w:r>
        <w:rPr>
          <w:rFonts w:hint="eastAsia"/>
          <w:b/>
          <w:bCs/>
          <w:sz w:val="24"/>
        </w:rPr>
        <w:t>（如</w:t>
      </w:r>
      <w:r>
        <w:rPr>
          <w:rFonts w:hint="eastAsia"/>
          <w:b/>
          <w:bCs/>
          <w:sz w:val="24"/>
          <w:lang w:val="en-US"/>
        </w:rPr>
        <w:t>是</w:t>
      </w:r>
      <w:r>
        <w:rPr>
          <w:rFonts w:hint="eastAsia"/>
          <w:b/>
          <w:bCs/>
          <w:sz w:val="24"/>
        </w:rPr>
        <w:t>）</w:t>
      </w:r>
    </w:p>
    <w:p w14:paraId="2FCFAA9C">
      <w:pPr>
        <w:jc w:val="center"/>
        <w:rPr>
          <w:rFonts w:ascii="新宋体" w:hAnsi="新宋体" w:eastAsia="新宋体" w:cs="新宋体"/>
          <w:b/>
          <w:spacing w:val="6"/>
          <w:sz w:val="32"/>
          <w:szCs w:val="32"/>
        </w:rPr>
      </w:pPr>
    </w:p>
    <w:p w14:paraId="14BB4DC8">
      <w:pPr>
        <w:numPr>
          <w:ilvl w:val="0"/>
          <w:numId w:val="16"/>
        </w:numPr>
        <w:jc w:val="center"/>
        <w:rPr>
          <w:rFonts w:hint="eastAsia" w:ascii="新宋体" w:hAnsi="新宋体" w:eastAsia="新宋体" w:cs="新宋体"/>
          <w:b/>
          <w:spacing w:val="6"/>
          <w:sz w:val="32"/>
          <w:szCs w:val="32"/>
        </w:rPr>
      </w:pPr>
      <w:r>
        <w:rPr>
          <w:rFonts w:hint="eastAsia" w:ascii="新宋体" w:hAnsi="新宋体" w:eastAsia="新宋体" w:cs="新宋体"/>
          <w:b/>
          <w:spacing w:val="6"/>
          <w:sz w:val="32"/>
          <w:szCs w:val="32"/>
        </w:rPr>
        <w:t>残疾人福利性单位声明函</w:t>
      </w:r>
    </w:p>
    <w:p w14:paraId="17509957">
      <w:pPr>
        <w:spacing w:line="360" w:lineRule="auto"/>
        <w:ind w:firstLine="440" w:firstLineChars="200"/>
        <w:jc w:val="center"/>
      </w:pPr>
      <w:r>
        <w:rPr>
          <w:rFonts w:hint="eastAsia" w:ascii="宋体" w:hAnsi="宋体" w:eastAsia="宋体" w:cs="宋体"/>
          <w:color w:val="auto"/>
          <w:szCs w:val="21"/>
          <w:highlight w:val="none"/>
        </w:rPr>
        <w:t>（属于残疾人福利企业的填写，不属于的无需填写此项内容）</w:t>
      </w:r>
    </w:p>
    <w:p w14:paraId="24A5E93F">
      <w:pPr>
        <w:spacing w:line="588" w:lineRule="exact"/>
        <w:ind w:firstLine="504" w:firstLineChars="200"/>
        <w:rPr>
          <w:rFonts w:ascii="新宋体" w:hAnsi="新宋体" w:eastAsia="新宋体" w:cs="新宋体"/>
          <w:spacing w:val="6"/>
          <w:sz w:val="24"/>
        </w:rPr>
      </w:pPr>
      <w:r>
        <w:rPr>
          <w:rFonts w:hint="eastAsia" w:ascii="新宋体" w:hAnsi="新宋体" w:eastAsia="新宋体" w:cs="新宋体"/>
          <w:spacing w:val="6"/>
          <w:sz w:val="24"/>
        </w:rPr>
        <w:t>本单位郑重声明，根据《财政部 民政部 中国残疾人联合会关于促进残疾人就业政府采购政策的通知》（财库</w:t>
      </w:r>
      <w:r>
        <w:rPr>
          <w:rFonts w:hint="eastAsia" w:ascii="新宋体" w:hAnsi="新宋体" w:eastAsia="新宋体" w:cs="新宋体"/>
          <w:sz w:val="24"/>
        </w:rPr>
        <w:t>〔2017〕 141</w:t>
      </w:r>
      <w:r>
        <w:rPr>
          <w:rFonts w:hint="eastAsia" w:ascii="新宋体" w:hAnsi="新宋体" w:eastAsia="新宋体" w:cs="新宋体"/>
          <w:spacing w:val="6"/>
          <w:sz w:val="24"/>
        </w:rPr>
        <w:t>号）的规定，本单位为符合该文件之规定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4C4ADC">
      <w:pPr>
        <w:spacing w:line="588" w:lineRule="exact"/>
        <w:ind w:firstLine="504" w:firstLineChars="200"/>
        <w:rPr>
          <w:rFonts w:ascii="新宋体" w:hAnsi="新宋体" w:eastAsia="新宋体" w:cs="新宋体"/>
          <w:spacing w:val="6"/>
          <w:sz w:val="24"/>
        </w:rPr>
      </w:pPr>
      <w:r>
        <w:rPr>
          <w:rFonts w:hint="eastAsia" w:ascii="新宋体" w:hAnsi="新宋体" w:eastAsia="新宋体" w:cs="新宋体"/>
          <w:spacing w:val="6"/>
          <w:sz w:val="24"/>
        </w:rPr>
        <w:t>本单位对上述声明的真实性负责。如有虚假，将依法承担相应责任。</w:t>
      </w:r>
    </w:p>
    <w:p w14:paraId="500DB32D">
      <w:pPr>
        <w:spacing w:line="588" w:lineRule="exact"/>
        <w:rPr>
          <w:rFonts w:ascii="新宋体" w:hAnsi="新宋体" w:eastAsia="新宋体" w:cs="新宋体"/>
          <w:spacing w:val="6"/>
          <w:sz w:val="24"/>
        </w:rPr>
      </w:pPr>
    </w:p>
    <w:p w14:paraId="6536BA6E">
      <w:pPr>
        <w:tabs>
          <w:tab w:val="left" w:pos="4860"/>
        </w:tabs>
        <w:spacing w:line="588" w:lineRule="exact"/>
        <w:ind w:right="1560" w:firstLine="504" w:firstLineChars="200"/>
        <w:jc w:val="center"/>
        <w:rPr>
          <w:rFonts w:ascii="新宋体" w:hAnsi="新宋体" w:eastAsia="新宋体" w:cs="新宋体"/>
          <w:spacing w:val="6"/>
          <w:sz w:val="24"/>
        </w:rPr>
      </w:pPr>
      <w:r>
        <w:rPr>
          <w:rFonts w:hint="eastAsia" w:ascii="新宋体" w:hAnsi="新宋体" w:eastAsia="新宋体" w:cs="新宋体"/>
          <w:spacing w:val="6"/>
          <w:sz w:val="24"/>
        </w:rPr>
        <w:t xml:space="preserve">               单位名称</w:t>
      </w:r>
      <w:r>
        <w:rPr>
          <w:rFonts w:hint="eastAsia" w:ascii="新宋体" w:hAnsi="新宋体" w:eastAsia="新宋体" w:cs="新宋体"/>
          <w:sz w:val="24"/>
        </w:rPr>
        <w:t>（</w:t>
      </w:r>
      <w:r>
        <w:rPr>
          <w:rFonts w:hint="eastAsia" w:ascii="新宋体" w:hAnsi="新宋体" w:eastAsia="新宋体" w:cs="新宋体"/>
          <w:color w:val="000000"/>
          <w:sz w:val="24"/>
        </w:rPr>
        <w:t>单位电子签章</w:t>
      </w:r>
      <w:r>
        <w:rPr>
          <w:rFonts w:hint="eastAsia" w:ascii="新宋体" w:hAnsi="新宋体" w:eastAsia="新宋体" w:cs="新宋体"/>
          <w:sz w:val="24"/>
        </w:rPr>
        <w:t>）</w:t>
      </w:r>
      <w:r>
        <w:rPr>
          <w:rFonts w:hint="eastAsia" w:ascii="新宋体" w:hAnsi="新宋体" w:eastAsia="新宋体" w:cs="新宋体"/>
          <w:spacing w:val="6"/>
          <w:sz w:val="24"/>
        </w:rPr>
        <w:t>：</w:t>
      </w:r>
    </w:p>
    <w:p w14:paraId="2FEB4344">
      <w:pPr>
        <w:tabs>
          <w:tab w:val="left" w:pos="4860"/>
        </w:tabs>
        <w:spacing w:line="588" w:lineRule="exact"/>
        <w:ind w:right="1560" w:firstLine="504" w:firstLineChars="200"/>
        <w:jc w:val="center"/>
        <w:rPr>
          <w:rFonts w:ascii="新宋体" w:hAnsi="新宋体" w:eastAsia="新宋体" w:cs="新宋体"/>
          <w:spacing w:val="6"/>
          <w:sz w:val="24"/>
        </w:rPr>
      </w:pPr>
      <w:r>
        <w:rPr>
          <w:rFonts w:hint="eastAsia" w:ascii="新宋体" w:hAnsi="新宋体" w:eastAsia="新宋体" w:cs="新宋体"/>
          <w:spacing w:val="6"/>
          <w:sz w:val="24"/>
        </w:rPr>
        <w:t xml:space="preserve">       日  期：</w:t>
      </w:r>
    </w:p>
    <w:p w14:paraId="63DB0063"/>
    <w:p w14:paraId="2F0DFB67">
      <w:pPr>
        <w:jc w:val="both"/>
        <w:rPr>
          <w:rFonts w:hint="eastAsia" w:ascii="新宋体" w:hAnsi="新宋体" w:eastAsia="新宋体" w:cs="新宋体"/>
          <w:b/>
          <w:color w:val="000000"/>
          <w:sz w:val="28"/>
          <w:szCs w:val="28"/>
        </w:rPr>
      </w:pPr>
    </w:p>
    <w:p w14:paraId="5776C54F">
      <w:pPr>
        <w:jc w:val="both"/>
        <w:rPr>
          <w:rFonts w:hint="eastAsia" w:ascii="新宋体" w:hAnsi="新宋体" w:eastAsia="新宋体" w:cs="新宋体"/>
          <w:b/>
          <w:color w:val="000000"/>
          <w:sz w:val="28"/>
          <w:szCs w:val="28"/>
        </w:rPr>
      </w:pPr>
    </w:p>
    <w:p w14:paraId="71559119">
      <w:pPr>
        <w:jc w:val="both"/>
        <w:rPr>
          <w:rFonts w:hint="eastAsia" w:ascii="新宋体" w:hAnsi="新宋体" w:eastAsia="新宋体" w:cs="新宋体"/>
          <w:b/>
          <w:color w:val="000000"/>
          <w:sz w:val="28"/>
          <w:szCs w:val="28"/>
        </w:rPr>
      </w:pPr>
    </w:p>
    <w:p w14:paraId="37FA6738">
      <w:pPr>
        <w:jc w:val="both"/>
        <w:rPr>
          <w:rFonts w:hint="eastAsia" w:ascii="新宋体" w:hAnsi="新宋体" w:eastAsia="新宋体" w:cs="新宋体"/>
          <w:b/>
          <w:color w:val="000000"/>
          <w:sz w:val="28"/>
          <w:szCs w:val="28"/>
        </w:rPr>
      </w:pPr>
    </w:p>
    <w:p w14:paraId="58D64483">
      <w:pPr>
        <w:jc w:val="both"/>
        <w:rPr>
          <w:rFonts w:hint="eastAsia" w:ascii="新宋体" w:hAnsi="新宋体" w:eastAsia="新宋体" w:cs="新宋体"/>
          <w:b/>
          <w:color w:val="000000"/>
          <w:sz w:val="28"/>
          <w:szCs w:val="28"/>
        </w:rPr>
      </w:pPr>
    </w:p>
    <w:p w14:paraId="3BFD3A16">
      <w:pPr>
        <w:jc w:val="both"/>
        <w:rPr>
          <w:rFonts w:hint="eastAsia" w:ascii="新宋体" w:hAnsi="新宋体" w:eastAsia="新宋体" w:cs="新宋体"/>
          <w:b/>
          <w:color w:val="000000"/>
          <w:sz w:val="28"/>
          <w:szCs w:val="28"/>
        </w:rPr>
      </w:pPr>
    </w:p>
    <w:p w14:paraId="7C22AE7B">
      <w:pPr>
        <w:jc w:val="both"/>
        <w:rPr>
          <w:rFonts w:hint="eastAsia" w:ascii="新宋体" w:hAnsi="新宋体" w:eastAsia="新宋体" w:cs="新宋体"/>
          <w:b/>
          <w:color w:val="000000"/>
          <w:sz w:val="28"/>
          <w:szCs w:val="28"/>
        </w:rPr>
      </w:pPr>
    </w:p>
    <w:p w14:paraId="3B9CE1BE">
      <w:pPr>
        <w:jc w:val="both"/>
        <w:rPr>
          <w:rFonts w:hint="eastAsia" w:ascii="新宋体" w:hAnsi="新宋体" w:eastAsia="新宋体" w:cs="新宋体"/>
          <w:b/>
          <w:color w:val="000000"/>
          <w:sz w:val="28"/>
          <w:szCs w:val="28"/>
        </w:rPr>
      </w:pPr>
    </w:p>
    <w:p w14:paraId="61222F6A">
      <w:pPr>
        <w:jc w:val="both"/>
        <w:rPr>
          <w:rFonts w:hint="eastAsia" w:ascii="新宋体" w:hAnsi="新宋体" w:eastAsia="新宋体" w:cs="新宋体"/>
          <w:b/>
          <w:color w:val="000000"/>
          <w:sz w:val="28"/>
          <w:szCs w:val="28"/>
        </w:rPr>
      </w:pPr>
    </w:p>
    <w:p w14:paraId="50247675">
      <w:pPr>
        <w:jc w:val="both"/>
        <w:rPr>
          <w:rFonts w:hint="eastAsia" w:ascii="新宋体" w:hAnsi="新宋体" w:eastAsia="新宋体" w:cs="新宋体"/>
          <w:b/>
          <w:color w:val="000000"/>
          <w:sz w:val="28"/>
          <w:szCs w:val="28"/>
        </w:rPr>
      </w:pPr>
    </w:p>
    <w:p w14:paraId="5DDC9B54">
      <w:pPr>
        <w:jc w:val="both"/>
        <w:rPr>
          <w:rFonts w:hint="eastAsia" w:ascii="新宋体" w:hAnsi="新宋体" w:eastAsia="新宋体" w:cs="新宋体"/>
          <w:b/>
          <w:color w:val="000000"/>
          <w:sz w:val="28"/>
          <w:szCs w:val="28"/>
        </w:rPr>
      </w:pPr>
    </w:p>
    <w:p w14:paraId="3E333E18">
      <w:pPr>
        <w:jc w:val="both"/>
        <w:rPr>
          <w:rFonts w:hint="eastAsia" w:ascii="新宋体" w:hAnsi="新宋体" w:eastAsia="新宋体" w:cs="新宋体"/>
          <w:b/>
          <w:color w:val="000000"/>
          <w:sz w:val="28"/>
          <w:szCs w:val="28"/>
        </w:rPr>
      </w:pPr>
    </w:p>
    <w:p w14:paraId="4211B2EA">
      <w:pPr>
        <w:jc w:val="both"/>
        <w:rPr>
          <w:rFonts w:hint="eastAsia" w:ascii="新宋体" w:hAnsi="新宋体" w:eastAsia="新宋体" w:cs="新宋体"/>
          <w:b/>
          <w:color w:val="000000"/>
          <w:sz w:val="28"/>
          <w:szCs w:val="28"/>
        </w:rPr>
      </w:pPr>
    </w:p>
    <w:p w14:paraId="2A3FB252">
      <w:pPr>
        <w:jc w:val="both"/>
        <w:rPr>
          <w:rFonts w:hint="eastAsia" w:ascii="新宋体" w:hAnsi="新宋体" w:eastAsia="新宋体" w:cs="新宋体"/>
          <w:b/>
          <w:color w:val="000000"/>
          <w:sz w:val="28"/>
          <w:szCs w:val="28"/>
        </w:rPr>
      </w:pPr>
    </w:p>
    <w:p w14:paraId="2900B809">
      <w:pPr>
        <w:jc w:val="both"/>
        <w:rPr>
          <w:rFonts w:ascii="新宋体" w:hAnsi="新宋体" w:eastAsia="新宋体" w:cs="新宋体"/>
          <w:b/>
          <w:color w:val="000000"/>
          <w:sz w:val="28"/>
          <w:szCs w:val="28"/>
        </w:rPr>
      </w:pPr>
      <w:r>
        <w:rPr>
          <w:rFonts w:hint="eastAsia" w:ascii="新宋体" w:hAnsi="新宋体" w:eastAsia="新宋体" w:cs="新宋体"/>
          <w:b/>
          <w:color w:val="000000"/>
          <w:sz w:val="28"/>
          <w:szCs w:val="28"/>
        </w:rPr>
        <w:t>监狱企业证明文件格式（如是）</w:t>
      </w:r>
    </w:p>
    <w:p w14:paraId="5D202D90">
      <w:pPr>
        <w:jc w:val="center"/>
        <w:rPr>
          <w:rFonts w:ascii="新宋体" w:hAnsi="新宋体" w:eastAsia="新宋体" w:cs="新宋体"/>
          <w:b/>
          <w:color w:val="000000"/>
          <w:sz w:val="28"/>
          <w:szCs w:val="28"/>
        </w:rPr>
      </w:pPr>
    </w:p>
    <w:p w14:paraId="2A6AE156">
      <w:pPr>
        <w:numPr>
          <w:ilvl w:val="0"/>
          <w:numId w:val="16"/>
        </w:numPr>
        <w:ind w:left="0" w:leftChars="0" w:firstLine="0" w:firstLineChars="0"/>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监狱企业证明文件</w:t>
      </w:r>
    </w:p>
    <w:p w14:paraId="2666A7DE">
      <w:pPr>
        <w:spacing w:line="360" w:lineRule="auto"/>
        <w:ind w:firstLine="44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（属于</w:t>
      </w:r>
      <w:r>
        <w:rPr>
          <w:rFonts w:hint="eastAsia" w:cs="宋体"/>
          <w:color w:val="auto"/>
          <w:szCs w:val="21"/>
          <w:highlight w:val="none"/>
          <w:lang w:val="en-US" w:eastAsia="zh-CN"/>
        </w:rPr>
        <w:t>监狱</w:t>
      </w:r>
      <w:r>
        <w:rPr>
          <w:rFonts w:hint="eastAsia" w:ascii="宋体" w:hAnsi="宋体" w:eastAsia="宋体" w:cs="宋体"/>
          <w:color w:val="auto"/>
          <w:szCs w:val="21"/>
          <w:highlight w:val="none"/>
        </w:rPr>
        <w:t>企业的</w:t>
      </w:r>
      <w:r>
        <w:rPr>
          <w:rFonts w:hint="eastAsia" w:cs="宋体"/>
          <w:color w:val="auto"/>
          <w:szCs w:val="21"/>
          <w:highlight w:val="none"/>
          <w:lang w:val="en-US" w:eastAsia="zh-CN"/>
        </w:rPr>
        <w:t>提供资料</w:t>
      </w:r>
      <w:r>
        <w:rPr>
          <w:rFonts w:hint="eastAsia" w:ascii="宋体" w:hAnsi="宋体" w:eastAsia="宋体" w:cs="宋体"/>
          <w:color w:val="auto"/>
          <w:szCs w:val="21"/>
          <w:highlight w:val="none"/>
        </w:rPr>
        <w:t>，不属于的无需</w:t>
      </w:r>
      <w:r>
        <w:rPr>
          <w:rFonts w:hint="eastAsia" w:cs="宋体"/>
          <w:color w:val="auto"/>
          <w:szCs w:val="21"/>
          <w:highlight w:val="none"/>
          <w:lang w:val="en-US" w:eastAsia="zh-CN"/>
        </w:rPr>
        <w:t>提供</w:t>
      </w:r>
      <w:r>
        <w:rPr>
          <w:rFonts w:hint="eastAsia" w:ascii="宋体" w:hAnsi="宋体" w:eastAsia="宋体" w:cs="宋体"/>
          <w:color w:val="auto"/>
          <w:szCs w:val="21"/>
          <w:highlight w:val="none"/>
        </w:rPr>
        <w:t>此项内容）</w:t>
      </w:r>
    </w:p>
    <w:p w14:paraId="0CF56CAD">
      <w:pPr>
        <w:pStyle w:val="2"/>
        <w:numPr>
          <w:ilvl w:val="0"/>
          <w:numId w:val="0"/>
        </w:numPr>
        <w:ind w:leftChars="0"/>
      </w:pPr>
    </w:p>
    <w:p w14:paraId="45E65C36">
      <w:pPr>
        <w:spacing w:line="360" w:lineRule="auto"/>
        <w:ind w:firstLine="480" w:firstLineChars="200"/>
        <w:rPr>
          <w:rFonts w:ascii="新宋体" w:hAnsi="新宋体" w:eastAsia="新宋体" w:cs="新宋体"/>
          <w:sz w:val="24"/>
        </w:rPr>
      </w:pPr>
      <w:r>
        <w:rPr>
          <w:rFonts w:hint="eastAsia" w:ascii="新宋体" w:hAnsi="新宋体" w:eastAsia="新宋体" w:cs="新宋体"/>
          <w:sz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14:paraId="382777CD">
      <w:pPr>
        <w:spacing w:line="360" w:lineRule="auto"/>
        <w:rPr>
          <w:rFonts w:ascii="新宋体" w:hAnsi="新宋体" w:eastAsia="新宋体" w:cs="新宋体"/>
          <w:sz w:val="24"/>
        </w:rPr>
      </w:pPr>
    </w:p>
    <w:p w14:paraId="30333D19">
      <w:pPr>
        <w:spacing w:line="360" w:lineRule="auto"/>
        <w:rPr>
          <w:rFonts w:ascii="新宋体" w:hAnsi="新宋体" w:eastAsia="新宋体" w:cs="新宋体"/>
          <w:sz w:val="24"/>
        </w:rPr>
      </w:pPr>
      <w:r>
        <w:rPr>
          <w:rFonts w:hint="eastAsia" w:ascii="新宋体" w:hAnsi="新宋体" w:eastAsia="新宋体" w:cs="新宋体"/>
          <w:sz w:val="24"/>
        </w:rPr>
        <w:t>注：在标文件中附扫描件。</w:t>
      </w:r>
    </w:p>
    <w:p w14:paraId="435C2D74">
      <w:pPr>
        <w:tabs>
          <w:tab w:val="left" w:pos="4860"/>
        </w:tabs>
        <w:spacing w:line="588" w:lineRule="exact"/>
        <w:ind w:right="1560" w:firstLine="504" w:firstLineChars="200"/>
        <w:jc w:val="center"/>
        <w:rPr>
          <w:rFonts w:ascii="新宋体" w:hAnsi="新宋体" w:eastAsia="新宋体" w:cs="新宋体"/>
          <w:spacing w:val="6"/>
          <w:sz w:val="24"/>
        </w:rPr>
      </w:pPr>
      <w:r>
        <w:rPr>
          <w:rFonts w:hint="eastAsia" w:ascii="新宋体" w:hAnsi="新宋体" w:eastAsia="新宋体" w:cs="新宋体"/>
          <w:spacing w:val="6"/>
          <w:sz w:val="24"/>
        </w:rPr>
        <w:t>单位名称</w:t>
      </w:r>
      <w:r>
        <w:rPr>
          <w:rFonts w:hint="eastAsia" w:ascii="新宋体" w:hAnsi="新宋体" w:eastAsia="新宋体" w:cs="新宋体"/>
          <w:sz w:val="24"/>
        </w:rPr>
        <w:t>（</w:t>
      </w:r>
      <w:r>
        <w:rPr>
          <w:rFonts w:hint="eastAsia" w:ascii="新宋体" w:hAnsi="新宋体" w:eastAsia="新宋体" w:cs="新宋体"/>
          <w:color w:val="000000"/>
          <w:sz w:val="24"/>
        </w:rPr>
        <w:t>单位电子签章</w:t>
      </w:r>
      <w:r>
        <w:rPr>
          <w:rFonts w:hint="eastAsia" w:ascii="新宋体" w:hAnsi="新宋体" w:eastAsia="新宋体" w:cs="新宋体"/>
          <w:sz w:val="24"/>
        </w:rPr>
        <w:t>）</w:t>
      </w:r>
      <w:r>
        <w:rPr>
          <w:rFonts w:hint="eastAsia" w:ascii="新宋体" w:hAnsi="新宋体" w:eastAsia="新宋体" w:cs="新宋体"/>
          <w:spacing w:val="6"/>
          <w:sz w:val="24"/>
        </w:rPr>
        <w:t>：</w:t>
      </w:r>
    </w:p>
    <w:p w14:paraId="1394D4A2">
      <w:pPr>
        <w:tabs>
          <w:tab w:val="left" w:pos="4860"/>
        </w:tabs>
        <w:spacing w:line="588" w:lineRule="exact"/>
        <w:ind w:right="1560" w:firstLine="504" w:firstLineChars="200"/>
        <w:jc w:val="center"/>
        <w:rPr>
          <w:rFonts w:ascii="新宋体" w:hAnsi="新宋体" w:eastAsia="新宋体" w:cs="新宋体"/>
          <w:spacing w:val="6"/>
          <w:sz w:val="24"/>
        </w:rPr>
      </w:pPr>
      <w:r>
        <w:rPr>
          <w:rFonts w:hint="eastAsia" w:ascii="新宋体" w:hAnsi="新宋体" w:eastAsia="新宋体" w:cs="新宋体"/>
          <w:spacing w:val="6"/>
          <w:sz w:val="24"/>
        </w:rPr>
        <w:t xml:space="preserve">       日  期：</w:t>
      </w:r>
    </w:p>
    <w:p w14:paraId="1AD3BD80">
      <w:pPr>
        <w:spacing w:line="312" w:lineRule="auto"/>
        <w:jc w:val="center"/>
        <w:rPr>
          <w:rFonts w:ascii="新宋体" w:hAnsi="新宋体" w:eastAsia="新宋体" w:cs="新宋体"/>
          <w:b/>
          <w:bCs/>
          <w:color w:val="FF0000"/>
          <w:sz w:val="24"/>
        </w:rPr>
      </w:pPr>
    </w:p>
    <w:p w14:paraId="42F4474A">
      <w:pPr>
        <w:spacing w:line="312" w:lineRule="auto"/>
        <w:jc w:val="center"/>
        <w:rPr>
          <w:rFonts w:ascii="新宋体" w:hAnsi="新宋体" w:eastAsia="新宋体" w:cs="新宋体"/>
          <w:b/>
          <w:bCs/>
          <w:color w:val="FF0000"/>
          <w:sz w:val="24"/>
        </w:rPr>
      </w:pPr>
    </w:p>
    <w:p w14:paraId="14194814">
      <w:pPr>
        <w:spacing w:line="300" w:lineRule="exact"/>
        <w:ind w:firstLine="480" w:firstLineChars="200"/>
        <w:rPr>
          <w:rFonts w:ascii="新宋体" w:hAnsi="新宋体" w:eastAsia="新宋体" w:cs="新宋体"/>
          <w:sz w:val="24"/>
        </w:rPr>
      </w:pPr>
    </w:p>
    <w:p w14:paraId="67853422">
      <w:pPr>
        <w:pStyle w:val="15"/>
        <w:spacing w:line="360" w:lineRule="auto"/>
        <w:rPr>
          <w:rFonts w:eastAsia="宋体"/>
          <w:kern w:val="2"/>
          <w:sz w:val="24"/>
          <w:lang w:val="en-US" w:bidi="ar-SA"/>
        </w:rPr>
      </w:pPr>
    </w:p>
    <w:p w14:paraId="26745045">
      <w:pPr>
        <w:pStyle w:val="9"/>
        <w:keepNext/>
        <w:keepLines/>
        <w:pageBreakBefore/>
        <w:autoSpaceDE/>
        <w:autoSpaceDN/>
        <w:spacing w:line="413" w:lineRule="auto"/>
        <w:rPr>
          <w:lang w:val="en-US"/>
        </w:rPr>
      </w:pPr>
      <w:bookmarkStart w:id="149" w:name="_Toc289931409"/>
      <w:bookmarkStart w:id="150" w:name="_Toc22258"/>
      <w:bookmarkStart w:id="151" w:name="_Toc291486762"/>
      <w:bookmarkStart w:id="152" w:name="_Toc289931549"/>
      <w:bookmarkStart w:id="153" w:name="_Toc289932027"/>
      <w:bookmarkStart w:id="154" w:name="_Toc7381"/>
      <w:bookmarkStart w:id="155" w:name="_Toc1991"/>
      <w:bookmarkStart w:id="156" w:name="_Toc289931779"/>
      <w:bookmarkStart w:id="157" w:name="_Toc4598"/>
      <w:bookmarkStart w:id="158" w:name="_Toc397"/>
      <w:bookmarkStart w:id="159" w:name="_Toc32153"/>
      <w:bookmarkStart w:id="160" w:name="_Toc421197478"/>
      <w:r>
        <w:rPr>
          <w:rFonts w:hint="eastAsia"/>
          <w:lang w:val="en-US"/>
        </w:rPr>
        <w:t>五、资格审查资料</w:t>
      </w:r>
      <w:bookmarkEnd w:id="149"/>
      <w:bookmarkEnd w:id="150"/>
      <w:bookmarkEnd w:id="151"/>
      <w:bookmarkEnd w:id="152"/>
      <w:bookmarkEnd w:id="153"/>
      <w:bookmarkEnd w:id="154"/>
      <w:bookmarkEnd w:id="155"/>
      <w:bookmarkEnd w:id="156"/>
      <w:bookmarkEnd w:id="157"/>
      <w:bookmarkEnd w:id="158"/>
    </w:p>
    <w:p w14:paraId="64FF1D34">
      <w:pPr>
        <w:pStyle w:val="19"/>
        <w:spacing w:line="360" w:lineRule="auto"/>
        <w:jc w:val="left"/>
        <w:rPr>
          <w:rFonts w:hAnsi="宋体"/>
          <w:b/>
          <w:bCs/>
          <w:color w:val="000000"/>
          <w:sz w:val="24"/>
          <w:szCs w:val="24"/>
        </w:rPr>
      </w:pPr>
      <w:r>
        <w:rPr>
          <w:rFonts w:hint="eastAsia" w:hAnsi="宋体"/>
          <w:b/>
          <w:bCs/>
          <w:color w:val="000000"/>
          <w:sz w:val="24"/>
          <w:szCs w:val="24"/>
        </w:rPr>
        <w:t>投标人基本情况表</w:t>
      </w:r>
    </w:p>
    <w:tbl>
      <w:tblPr>
        <w:tblStyle w:val="27"/>
        <w:tblW w:w="83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964"/>
        <w:gridCol w:w="874"/>
        <w:gridCol w:w="1082"/>
        <w:gridCol w:w="1247"/>
        <w:gridCol w:w="748"/>
        <w:gridCol w:w="715"/>
        <w:gridCol w:w="380"/>
      </w:tblGrid>
      <w:tr w14:paraId="732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89" w:type="dxa"/>
            <w:noWrap w:val="0"/>
            <w:vAlign w:val="top"/>
          </w:tcPr>
          <w:p w14:paraId="5204BBA6">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010" w:type="dxa"/>
            <w:gridSpan w:val="7"/>
            <w:noWrap w:val="0"/>
            <w:vAlign w:val="top"/>
          </w:tcPr>
          <w:p w14:paraId="7F466A29">
            <w:pPr>
              <w:spacing w:line="400" w:lineRule="exact"/>
              <w:jc w:val="center"/>
              <w:rPr>
                <w:rFonts w:hint="eastAsia" w:ascii="宋体" w:hAnsi="宋体" w:eastAsia="宋体" w:cs="宋体"/>
                <w:color w:val="auto"/>
                <w:sz w:val="21"/>
                <w:szCs w:val="21"/>
              </w:rPr>
            </w:pPr>
          </w:p>
        </w:tc>
      </w:tr>
      <w:tr w14:paraId="58A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89" w:type="dxa"/>
            <w:noWrap w:val="0"/>
            <w:vAlign w:val="top"/>
          </w:tcPr>
          <w:p w14:paraId="7EE41B69">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2920" w:type="dxa"/>
            <w:gridSpan w:val="3"/>
            <w:noWrap w:val="0"/>
            <w:vAlign w:val="top"/>
          </w:tcPr>
          <w:p w14:paraId="0036DA3D">
            <w:pPr>
              <w:spacing w:line="400" w:lineRule="exact"/>
              <w:jc w:val="center"/>
              <w:rPr>
                <w:rFonts w:hint="eastAsia" w:ascii="宋体" w:hAnsi="宋体" w:eastAsia="宋体" w:cs="宋体"/>
                <w:color w:val="auto"/>
                <w:sz w:val="21"/>
                <w:szCs w:val="21"/>
              </w:rPr>
            </w:pPr>
          </w:p>
        </w:tc>
        <w:tc>
          <w:tcPr>
            <w:tcW w:w="1247" w:type="dxa"/>
            <w:noWrap w:val="0"/>
            <w:vAlign w:val="top"/>
          </w:tcPr>
          <w:p w14:paraId="3E4718CB">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843" w:type="dxa"/>
            <w:gridSpan w:val="3"/>
            <w:noWrap w:val="0"/>
            <w:vAlign w:val="top"/>
          </w:tcPr>
          <w:p w14:paraId="63C4D44F">
            <w:pPr>
              <w:spacing w:line="400" w:lineRule="exact"/>
              <w:jc w:val="center"/>
              <w:rPr>
                <w:rFonts w:hint="eastAsia" w:ascii="宋体" w:hAnsi="宋体" w:eastAsia="宋体" w:cs="宋体"/>
                <w:color w:val="auto"/>
                <w:sz w:val="21"/>
                <w:szCs w:val="21"/>
              </w:rPr>
            </w:pPr>
          </w:p>
        </w:tc>
      </w:tr>
      <w:tr w14:paraId="373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89" w:type="dxa"/>
            <w:noWrap w:val="0"/>
            <w:vAlign w:val="top"/>
          </w:tcPr>
          <w:p w14:paraId="03D35B11">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2920" w:type="dxa"/>
            <w:gridSpan w:val="3"/>
            <w:noWrap w:val="0"/>
            <w:vAlign w:val="top"/>
          </w:tcPr>
          <w:p w14:paraId="14A1C842">
            <w:pPr>
              <w:spacing w:line="400" w:lineRule="exact"/>
              <w:jc w:val="center"/>
              <w:rPr>
                <w:rFonts w:hint="eastAsia" w:ascii="宋体" w:hAnsi="宋体" w:eastAsia="宋体" w:cs="宋体"/>
                <w:color w:val="auto"/>
                <w:sz w:val="21"/>
                <w:szCs w:val="21"/>
              </w:rPr>
            </w:pPr>
          </w:p>
        </w:tc>
        <w:tc>
          <w:tcPr>
            <w:tcW w:w="1247" w:type="dxa"/>
            <w:noWrap w:val="0"/>
            <w:vAlign w:val="top"/>
          </w:tcPr>
          <w:p w14:paraId="48500971">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43" w:type="dxa"/>
            <w:gridSpan w:val="3"/>
            <w:noWrap w:val="0"/>
            <w:vAlign w:val="top"/>
          </w:tcPr>
          <w:p w14:paraId="5EC0F9F8">
            <w:pPr>
              <w:spacing w:line="400" w:lineRule="exact"/>
              <w:jc w:val="center"/>
              <w:rPr>
                <w:rFonts w:hint="eastAsia" w:ascii="宋体" w:hAnsi="宋体" w:eastAsia="宋体" w:cs="宋体"/>
                <w:color w:val="auto"/>
                <w:sz w:val="21"/>
                <w:szCs w:val="21"/>
              </w:rPr>
            </w:pPr>
          </w:p>
        </w:tc>
      </w:tr>
      <w:tr w14:paraId="7E87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89" w:type="dxa"/>
            <w:vMerge w:val="restart"/>
            <w:noWrap w:val="0"/>
            <w:vAlign w:val="center"/>
          </w:tcPr>
          <w:p w14:paraId="5BC13FB3">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64" w:type="dxa"/>
            <w:noWrap w:val="0"/>
            <w:vAlign w:val="top"/>
          </w:tcPr>
          <w:p w14:paraId="0CA4D81A">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956" w:type="dxa"/>
            <w:gridSpan w:val="2"/>
            <w:noWrap w:val="0"/>
            <w:vAlign w:val="top"/>
          </w:tcPr>
          <w:p w14:paraId="6B876F68">
            <w:pPr>
              <w:spacing w:line="400" w:lineRule="exact"/>
              <w:jc w:val="center"/>
              <w:rPr>
                <w:rFonts w:hint="eastAsia" w:ascii="宋体" w:hAnsi="宋体" w:eastAsia="宋体" w:cs="宋体"/>
                <w:color w:val="auto"/>
                <w:sz w:val="21"/>
                <w:szCs w:val="21"/>
              </w:rPr>
            </w:pPr>
          </w:p>
        </w:tc>
        <w:tc>
          <w:tcPr>
            <w:tcW w:w="1247" w:type="dxa"/>
            <w:noWrap w:val="0"/>
            <w:vAlign w:val="top"/>
          </w:tcPr>
          <w:p w14:paraId="1601C9BE">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843" w:type="dxa"/>
            <w:gridSpan w:val="3"/>
            <w:noWrap w:val="0"/>
            <w:vAlign w:val="top"/>
          </w:tcPr>
          <w:p w14:paraId="0AEDBDDD">
            <w:pPr>
              <w:spacing w:line="400" w:lineRule="exact"/>
              <w:jc w:val="center"/>
              <w:rPr>
                <w:rFonts w:hint="eastAsia" w:ascii="宋体" w:hAnsi="宋体" w:eastAsia="宋体" w:cs="宋体"/>
                <w:color w:val="auto"/>
                <w:sz w:val="21"/>
                <w:szCs w:val="21"/>
              </w:rPr>
            </w:pPr>
          </w:p>
        </w:tc>
      </w:tr>
      <w:tr w14:paraId="7DB6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389" w:type="dxa"/>
            <w:vMerge w:val="continue"/>
            <w:noWrap w:val="0"/>
            <w:vAlign w:val="top"/>
          </w:tcPr>
          <w:p w14:paraId="4474F64A">
            <w:pPr>
              <w:spacing w:line="400" w:lineRule="exact"/>
              <w:jc w:val="center"/>
              <w:rPr>
                <w:rFonts w:hint="eastAsia" w:ascii="宋体" w:hAnsi="宋体" w:eastAsia="宋体" w:cs="宋体"/>
                <w:color w:val="auto"/>
                <w:sz w:val="21"/>
                <w:szCs w:val="21"/>
              </w:rPr>
            </w:pPr>
          </w:p>
        </w:tc>
        <w:tc>
          <w:tcPr>
            <w:tcW w:w="964" w:type="dxa"/>
            <w:noWrap w:val="0"/>
            <w:vAlign w:val="top"/>
          </w:tcPr>
          <w:p w14:paraId="5C93BA02">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6" w:type="dxa"/>
            <w:gridSpan w:val="2"/>
            <w:noWrap w:val="0"/>
            <w:vAlign w:val="top"/>
          </w:tcPr>
          <w:p w14:paraId="2129D688">
            <w:pPr>
              <w:spacing w:line="400" w:lineRule="exact"/>
              <w:jc w:val="center"/>
              <w:rPr>
                <w:rFonts w:hint="eastAsia" w:ascii="宋体" w:hAnsi="宋体" w:eastAsia="宋体" w:cs="宋体"/>
                <w:color w:val="auto"/>
                <w:sz w:val="21"/>
                <w:szCs w:val="21"/>
              </w:rPr>
            </w:pPr>
          </w:p>
        </w:tc>
        <w:tc>
          <w:tcPr>
            <w:tcW w:w="1247" w:type="dxa"/>
            <w:noWrap w:val="0"/>
            <w:vAlign w:val="top"/>
          </w:tcPr>
          <w:p w14:paraId="60F42BC7">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843" w:type="dxa"/>
            <w:gridSpan w:val="3"/>
            <w:noWrap w:val="0"/>
            <w:vAlign w:val="top"/>
          </w:tcPr>
          <w:p w14:paraId="7F2F83A8">
            <w:pPr>
              <w:spacing w:line="400" w:lineRule="exact"/>
              <w:jc w:val="center"/>
              <w:rPr>
                <w:rFonts w:hint="eastAsia" w:ascii="宋体" w:hAnsi="宋体" w:eastAsia="宋体" w:cs="宋体"/>
                <w:color w:val="auto"/>
                <w:sz w:val="21"/>
                <w:szCs w:val="21"/>
              </w:rPr>
            </w:pPr>
          </w:p>
        </w:tc>
      </w:tr>
      <w:tr w14:paraId="3C9E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89" w:type="dxa"/>
            <w:noWrap w:val="0"/>
            <w:vAlign w:val="top"/>
          </w:tcPr>
          <w:p w14:paraId="015D3126">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964" w:type="dxa"/>
            <w:noWrap w:val="0"/>
            <w:vAlign w:val="top"/>
          </w:tcPr>
          <w:p w14:paraId="61DFC531">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874" w:type="dxa"/>
            <w:noWrap w:val="0"/>
            <w:vAlign w:val="top"/>
          </w:tcPr>
          <w:p w14:paraId="0D4CFDDE">
            <w:pPr>
              <w:spacing w:line="400" w:lineRule="exact"/>
              <w:jc w:val="center"/>
              <w:rPr>
                <w:rFonts w:hint="eastAsia" w:ascii="宋体" w:hAnsi="宋体" w:eastAsia="宋体" w:cs="宋体"/>
                <w:color w:val="auto"/>
                <w:sz w:val="21"/>
                <w:szCs w:val="21"/>
              </w:rPr>
            </w:pPr>
          </w:p>
        </w:tc>
        <w:tc>
          <w:tcPr>
            <w:tcW w:w="1082" w:type="dxa"/>
            <w:noWrap w:val="0"/>
            <w:vAlign w:val="top"/>
          </w:tcPr>
          <w:p w14:paraId="0582D8D3">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995" w:type="dxa"/>
            <w:gridSpan w:val="2"/>
            <w:noWrap w:val="0"/>
            <w:vAlign w:val="top"/>
          </w:tcPr>
          <w:p w14:paraId="546F4C57">
            <w:pPr>
              <w:spacing w:line="400" w:lineRule="exact"/>
              <w:jc w:val="center"/>
              <w:rPr>
                <w:rFonts w:hint="eastAsia" w:ascii="宋体" w:hAnsi="宋体" w:eastAsia="宋体" w:cs="宋体"/>
                <w:color w:val="auto"/>
                <w:sz w:val="21"/>
                <w:szCs w:val="21"/>
              </w:rPr>
            </w:pPr>
          </w:p>
        </w:tc>
        <w:tc>
          <w:tcPr>
            <w:tcW w:w="715" w:type="dxa"/>
            <w:noWrap w:val="0"/>
            <w:vAlign w:val="top"/>
          </w:tcPr>
          <w:p w14:paraId="7D6FD72E">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380" w:type="dxa"/>
            <w:noWrap w:val="0"/>
            <w:vAlign w:val="top"/>
          </w:tcPr>
          <w:p w14:paraId="68A5C13C">
            <w:pPr>
              <w:spacing w:line="400" w:lineRule="exact"/>
              <w:jc w:val="center"/>
              <w:rPr>
                <w:rFonts w:hint="eastAsia" w:ascii="宋体" w:hAnsi="宋体" w:eastAsia="宋体" w:cs="宋体"/>
                <w:color w:val="auto"/>
                <w:sz w:val="21"/>
                <w:szCs w:val="21"/>
              </w:rPr>
            </w:pPr>
          </w:p>
        </w:tc>
      </w:tr>
      <w:tr w14:paraId="461A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2389" w:type="dxa"/>
            <w:noWrap w:val="0"/>
            <w:vAlign w:val="top"/>
          </w:tcPr>
          <w:p w14:paraId="4C8C64C0">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投标人须知要求投标人需具有的各类资质证书（</w:t>
            </w:r>
            <w:r>
              <w:rPr>
                <w:rFonts w:hint="eastAsia" w:ascii="宋体" w:hAnsi="宋体" w:eastAsia="宋体" w:cs="宋体"/>
                <w:color w:val="auto"/>
                <w:sz w:val="21"/>
                <w:szCs w:val="21"/>
                <w:lang w:val="en-US" w:eastAsia="zh-CN"/>
              </w:rPr>
              <w:t>如</w:t>
            </w:r>
            <w:r>
              <w:rPr>
                <w:rFonts w:hint="eastAsia" w:ascii="宋体" w:hAnsi="宋体" w:eastAsia="宋体" w:cs="宋体"/>
                <w:color w:val="auto"/>
                <w:sz w:val="21"/>
                <w:szCs w:val="21"/>
              </w:rPr>
              <w:t>有）</w:t>
            </w:r>
          </w:p>
        </w:tc>
        <w:tc>
          <w:tcPr>
            <w:tcW w:w="6010" w:type="dxa"/>
            <w:gridSpan w:val="7"/>
            <w:noWrap w:val="0"/>
            <w:vAlign w:val="top"/>
          </w:tcPr>
          <w:p w14:paraId="7D7DD514">
            <w:pPr>
              <w:spacing w:line="400" w:lineRule="exact"/>
              <w:jc w:val="center"/>
              <w:rPr>
                <w:rFonts w:hint="eastAsia" w:ascii="宋体" w:hAnsi="宋体" w:eastAsia="宋体" w:cs="宋体"/>
                <w:color w:val="auto"/>
                <w:sz w:val="21"/>
                <w:szCs w:val="21"/>
              </w:rPr>
            </w:pPr>
          </w:p>
          <w:p w14:paraId="17A8E2C2">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14:paraId="0CC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89" w:type="dxa"/>
            <w:noWrap w:val="0"/>
            <w:vAlign w:val="top"/>
          </w:tcPr>
          <w:p w14:paraId="44BE2A42">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010" w:type="dxa"/>
            <w:gridSpan w:val="7"/>
            <w:noWrap w:val="0"/>
            <w:vAlign w:val="top"/>
          </w:tcPr>
          <w:p w14:paraId="7BB1013C">
            <w:pPr>
              <w:spacing w:line="400" w:lineRule="exact"/>
              <w:jc w:val="center"/>
              <w:rPr>
                <w:rFonts w:hint="eastAsia" w:ascii="宋体" w:hAnsi="宋体" w:eastAsia="宋体" w:cs="宋体"/>
                <w:color w:val="auto"/>
                <w:sz w:val="21"/>
                <w:szCs w:val="21"/>
              </w:rPr>
            </w:pPr>
          </w:p>
        </w:tc>
      </w:tr>
      <w:tr w14:paraId="3C0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89" w:type="dxa"/>
            <w:noWrap w:val="0"/>
            <w:vAlign w:val="top"/>
          </w:tcPr>
          <w:p w14:paraId="2F1C75C0">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010" w:type="dxa"/>
            <w:gridSpan w:val="7"/>
            <w:noWrap w:val="0"/>
            <w:vAlign w:val="top"/>
          </w:tcPr>
          <w:p w14:paraId="3250DE80">
            <w:pPr>
              <w:spacing w:line="400" w:lineRule="exact"/>
              <w:jc w:val="center"/>
              <w:rPr>
                <w:rFonts w:hint="eastAsia" w:ascii="宋体" w:hAnsi="宋体" w:eastAsia="宋体" w:cs="宋体"/>
                <w:color w:val="auto"/>
                <w:sz w:val="21"/>
                <w:szCs w:val="21"/>
              </w:rPr>
            </w:pPr>
          </w:p>
        </w:tc>
      </w:tr>
      <w:tr w14:paraId="1AC6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89" w:type="dxa"/>
            <w:noWrap w:val="0"/>
            <w:vAlign w:val="top"/>
          </w:tcPr>
          <w:p w14:paraId="18125C57">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010" w:type="dxa"/>
            <w:gridSpan w:val="7"/>
            <w:noWrap w:val="0"/>
            <w:vAlign w:val="top"/>
          </w:tcPr>
          <w:p w14:paraId="54145121">
            <w:pPr>
              <w:spacing w:line="400" w:lineRule="exact"/>
              <w:jc w:val="center"/>
              <w:rPr>
                <w:rFonts w:hint="eastAsia" w:ascii="宋体" w:hAnsi="宋体" w:eastAsia="宋体" w:cs="宋体"/>
                <w:color w:val="auto"/>
                <w:sz w:val="21"/>
                <w:szCs w:val="21"/>
              </w:rPr>
            </w:pPr>
          </w:p>
        </w:tc>
      </w:tr>
      <w:tr w14:paraId="4D76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2389" w:type="dxa"/>
            <w:noWrap w:val="0"/>
            <w:vAlign w:val="top"/>
          </w:tcPr>
          <w:p w14:paraId="388AF47C">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010" w:type="dxa"/>
            <w:gridSpan w:val="7"/>
            <w:noWrap w:val="0"/>
            <w:vAlign w:val="top"/>
          </w:tcPr>
          <w:p w14:paraId="12AE2884">
            <w:pPr>
              <w:spacing w:line="400" w:lineRule="exact"/>
              <w:jc w:val="center"/>
              <w:rPr>
                <w:rFonts w:hint="eastAsia" w:ascii="宋体" w:hAnsi="宋体" w:eastAsia="宋体" w:cs="宋体"/>
                <w:color w:val="auto"/>
                <w:sz w:val="21"/>
                <w:szCs w:val="21"/>
              </w:rPr>
            </w:pPr>
          </w:p>
        </w:tc>
      </w:tr>
      <w:tr w14:paraId="31B9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89" w:type="dxa"/>
            <w:noWrap w:val="0"/>
            <w:vAlign w:val="top"/>
          </w:tcPr>
          <w:p w14:paraId="2C08E007">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010" w:type="dxa"/>
            <w:gridSpan w:val="7"/>
            <w:noWrap w:val="0"/>
            <w:vAlign w:val="top"/>
          </w:tcPr>
          <w:p w14:paraId="00E924DD">
            <w:pPr>
              <w:spacing w:line="400" w:lineRule="exact"/>
              <w:ind w:firstLine="420" w:firstLineChars="200"/>
              <w:rPr>
                <w:rFonts w:hint="eastAsia" w:ascii="宋体" w:hAnsi="宋体" w:eastAsia="宋体" w:cs="宋体"/>
                <w:color w:val="auto"/>
                <w:sz w:val="21"/>
                <w:szCs w:val="21"/>
              </w:rPr>
            </w:pPr>
          </w:p>
        </w:tc>
      </w:tr>
    </w:tbl>
    <w:p w14:paraId="28A9732F">
      <w:pPr>
        <w:spacing w:before="65" w:line="228" w:lineRule="auto"/>
        <w:ind w:firstLine="444"/>
        <w:rPr>
          <w:rFonts w:hint="eastAsia"/>
          <w:color w:val="000000" w:themeColor="text1"/>
          <w:sz w:val="20"/>
          <w:szCs w:val="20"/>
          <w14:textFill>
            <w14:solidFill>
              <w14:schemeClr w14:val="tx1"/>
            </w14:solidFill>
          </w14:textFill>
        </w:rPr>
      </w:pPr>
      <w:r>
        <w:rPr>
          <w:color w:val="000000" w:themeColor="text1"/>
          <w:spacing w:val="9"/>
          <w:sz w:val="20"/>
          <w:szCs w:val="20"/>
          <w14:textFill>
            <w14:solidFill>
              <w14:schemeClr w14:val="tx1"/>
            </w14:solidFill>
          </w14:textFill>
        </w:rPr>
        <w:t>1.投标人应根据投标人须知“投标人资格要求”在本表后附。</w:t>
      </w:r>
    </w:p>
    <w:p w14:paraId="07B4A360">
      <w:pPr>
        <w:spacing w:before="65" w:line="228" w:lineRule="auto"/>
        <w:ind w:firstLine="444"/>
        <w:rPr>
          <w:rFonts w:hint="eastAsia" w:ascii="宋体" w:hAnsi="宋体" w:eastAsia="宋体" w:cs="宋体"/>
          <w:color w:val="000000" w:themeColor="text1"/>
          <w:spacing w:val="9"/>
          <w:sz w:val="20"/>
          <w:szCs w:val="20"/>
          <w:lang w:val="en-US"/>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2.本项目的特定资格要求（如有） ：需提供相应的证明材料</w:t>
      </w:r>
    </w:p>
    <w:p w14:paraId="6EB48A93">
      <w:pPr>
        <w:pStyle w:val="3"/>
        <w:jc w:val="center"/>
        <w:rPr>
          <w:rFonts w:hint="eastAsia" w:ascii="宋体" w:hAnsi="宋体" w:eastAsia="宋体" w:cs="宋体"/>
          <w:b/>
          <w:bCs/>
          <w:color w:val="auto"/>
          <w:kern w:val="2"/>
          <w:sz w:val="21"/>
          <w:szCs w:val="24"/>
          <w:highlight w:val="none"/>
          <w:lang w:val="en-US" w:eastAsia="zh-CN" w:bidi="ar-SA"/>
        </w:rPr>
      </w:pPr>
    </w:p>
    <w:p w14:paraId="6BF7C3C3">
      <w:pPr>
        <w:pStyle w:val="3"/>
        <w:jc w:val="center"/>
        <w:rPr>
          <w:rFonts w:hint="eastAsia" w:ascii="宋体" w:hAnsi="宋体" w:eastAsia="宋体" w:cs="宋体"/>
          <w:b/>
          <w:bCs/>
          <w:color w:val="auto"/>
          <w:kern w:val="2"/>
          <w:sz w:val="21"/>
          <w:szCs w:val="24"/>
          <w:highlight w:val="none"/>
          <w:lang w:val="en-US" w:eastAsia="zh-CN" w:bidi="ar-SA"/>
        </w:rPr>
      </w:pPr>
    </w:p>
    <w:p w14:paraId="42BCC251">
      <w:pPr>
        <w:pStyle w:val="3"/>
        <w:jc w:val="center"/>
        <w:rPr>
          <w:rFonts w:hint="eastAsia" w:ascii="宋体" w:hAnsi="宋体" w:eastAsia="宋体" w:cs="宋体"/>
          <w:b/>
          <w:bCs/>
          <w:color w:val="auto"/>
          <w:kern w:val="2"/>
          <w:sz w:val="21"/>
          <w:szCs w:val="24"/>
          <w:highlight w:val="none"/>
          <w:lang w:val="en-US" w:eastAsia="zh-CN" w:bidi="ar-SA"/>
        </w:rPr>
      </w:pPr>
    </w:p>
    <w:p w14:paraId="29935864">
      <w:pPr>
        <w:pStyle w:val="3"/>
        <w:jc w:val="center"/>
        <w:rPr>
          <w:rFonts w:hint="eastAsia" w:ascii="宋体" w:hAnsi="宋体" w:eastAsia="宋体" w:cs="宋体"/>
          <w:b/>
          <w:bCs/>
          <w:color w:val="auto"/>
          <w:kern w:val="2"/>
          <w:sz w:val="21"/>
          <w:szCs w:val="24"/>
          <w:highlight w:val="none"/>
          <w:lang w:val="en-US" w:eastAsia="zh-CN" w:bidi="ar-SA"/>
        </w:rPr>
      </w:pPr>
    </w:p>
    <w:p w14:paraId="37B9F06D">
      <w:pPr>
        <w:rPr>
          <w:rFonts w:hint="eastAsia"/>
          <w:lang w:val="en-US" w:eastAsia="zh-CN"/>
        </w:rPr>
      </w:pPr>
    </w:p>
    <w:p w14:paraId="78BDF617">
      <w:pPr>
        <w:pStyle w:val="3"/>
        <w:jc w:val="center"/>
        <w:rPr>
          <w:rFonts w:hint="eastAsia" w:ascii="宋体" w:hAnsi="宋体" w:eastAsia="宋体" w:cs="宋体"/>
          <w:b/>
          <w:bCs/>
          <w:color w:val="auto"/>
          <w:kern w:val="2"/>
          <w:sz w:val="21"/>
          <w:szCs w:val="24"/>
          <w:highlight w:val="none"/>
          <w:lang w:val="en-US" w:eastAsia="zh-CN" w:bidi="ar-SA"/>
        </w:rPr>
      </w:pPr>
    </w:p>
    <w:p w14:paraId="753AB89A">
      <w:pPr>
        <w:pStyle w:val="3"/>
        <w:jc w:val="center"/>
        <w:rPr>
          <w:rFonts w:hint="eastAsia"/>
          <w:color w:val="auto"/>
          <w:highlight w:val="none"/>
        </w:rPr>
      </w:pPr>
      <w:r>
        <w:rPr>
          <w:rFonts w:hint="eastAsia" w:ascii="宋体" w:hAnsi="宋体" w:eastAsia="宋体" w:cs="宋体"/>
          <w:b/>
          <w:bCs/>
          <w:color w:val="auto"/>
          <w:kern w:val="2"/>
          <w:sz w:val="21"/>
          <w:szCs w:val="24"/>
          <w:highlight w:val="none"/>
          <w:lang w:val="en-US" w:eastAsia="zh-CN" w:bidi="ar-SA"/>
        </w:rPr>
        <w:t>《中华人民共和国政府采购法》第二十二条的规定自主核对表</w:t>
      </w:r>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4948"/>
        <w:gridCol w:w="1236"/>
        <w:gridCol w:w="1270"/>
        <w:gridCol w:w="891"/>
      </w:tblGrid>
      <w:tr w14:paraId="1F02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93" w:type="dxa"/>
            <w:vMerge w:val="restart"/>
            <w:noWrap w:val="0"/>
            <w:vAlign w:val="center"/>
          </w:tcPr>
          <w:p w14:paraId="28D790EC">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4948" w:type="dxa"/>
            <w:vMerge w:val="restart"/>
            <w:noWrap w:val="0"/>
            <w:vAlign w:val="center"/>
          </w:tcPr>
          <w:p w14:paraId="4EF4750A">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w:t>
            </w:r>
          </w:p>
        </w:tc>
        <w:tc>
          <w:tcPr>
            <w:tcW w:w="2506" w:type="dxa"/>
            <w:gridSpan w:val="2"/>
            <w:noWrap w:val="0"/>
            <w:vAlign w:val="center"/>
          </w:tcPr>
          <w:p w14:paraId="6E5D4AE4">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是否满足</w:t>
            </w:r>
          </w:p>
        </w:tc>
        <w:tc>
          <w:tcPr>
            <w:tcW w:w="891" w:type="dxa"/>
            <w:vMerge w:val="restart"/>
            <w:noWrap w:val="0"/>
            <w:vAlign w:val="center"/>
          </w:tcPr>
          <w:p w14:paraId="7D3553AF">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45BC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93" w:type="dxa"/>
            <w:vMerge w:val="continue"/>
            <w:noWrap w:val="0"/>
            <w:vAlign w:val="center"/>
          </w:tcPr>
          <w:p w14:paraId="258A0066">
            <w:pPr>
              <w:ind w:left="0" w:leftChars="0" w:firstLine="0" w:firstLineChars="0"/>
              <w:jc w:val="center"/>
              <w:rPr>
                <w:rFonts w:hint="default" w:ascii="宋体" w:hAnsi="宋体" w:eastAsia="宋体" w:cs="宋体"/>
                <w:color w:val="auto"/>
                <w:sz w:val="21"/>
                <w:szCs w:val="21"/>
                <w:highlight w:val="none"/>
                <w:lang w:val="en-US" w:eastAsia="zh-CN"/>
              </w:rPr>
            </w:pPr>
          </w:p>
        </w:tc>
        <w:tc>
          <w:tcPr>
            <w:tcW w:w="4948" w:type="dxa"/>
            <w:vMerge w:val="continue"/>
            <w:noWrap w:val="0"/>
            <w:vAlign w:val="center"/>
          </w:tcPr>
          <w:p w14:paraId="1A7D4509">
            <w:pPr>
              <w:ind w:left="0" w:leftChars="0" w:firstLine="0" w:firstLineChars="0"/>
              <w:jc w:val="center"/>
              <w:rPr>
                <w:rFonts w:hint="default" w:ascii="宋体" w:hAnsi="宋体" w:eastAsia="宋体" w:cs="宋体"/>
                <w:color w:val="auto"/>
                <w:sz w:val="21"/>
                <w:szCs w:val="21"/>
                <w:highlight w:val="none"/>
                <w:lang w:val="en-US" w:eastAsia="zh-CN"/>
              </w:rPr>
            </w:pPr>
          </w:p>
        </w:tc>
        <w:tc>
          <w:tcPr>
            <w:tcW w:w="1236" w:type="dxa"/>
            <w:noWrap w:val="0"/>
            <w:vAlign w:val="center"/>
          </w:tcPr>
          <w:p w14:paraId="4621AB86">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1270" w:type="dxa"/>
            <w:noWrap w:val="0"/>
            <w:vAlign w:val="center"/>
          </w:tcPr>
          <w:p w14:paraId="67270F26">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c>
          <w:tcPr>
            <w:tcW w:w="891" w:type="dxa"/>
            <w:vMerge w:val="continue"/>
            <w:noWrap w:val="0"/>
            <w:vAlign w:val="center"/>
          </w:tcPr>
          <w:p w14:paraId="6B6FFA6A">
            <w:pPr>
              <w:ind w:left="0" w:leftChars="0" w:firstLine="0" w:firstLineChars="0"/>
              <w:jc w:val="center"/>
              <w:rPr>
                <w:rFonts w:hint="default" w:ascii="宋体" w:hAnsi="宋体" w:eastAsia="宋体" w:cs="宋体"/>
                <w:color w:val="auto"/>
                <w:sz w:val="21"/>
                <w:szCs w:val="21"/>
                <w:highlight w:val="none"/>
                <w:lang w:val="en-US" w:eastAsia="zh-CN"/>
              </w:rPr>
            </w:pPr>
          </w:p>
        </w:tc>
      </w:tr>
      <w:tr w14:paraId="38E4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93" w:type="dxa"/>
            <w:noWrap w:val="0"/>
            <w:vAlign w:val="center"/>
          </w:tcPr>
          <w:p w14:paraId="772CD6BB">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48" w:type="dxa"/>
            <w:noWrap w:val="0"/>
            <w:vAlign w:val="center"/>
          </w:tcPr>
          <w:p w14:paraId="65A1082E">
            <w:pPr>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符合国家相关规定的财务状况报告</w:t>
            </w:r>
          </w:p>
        </w:tc>
        <w:tc>
          <w:tcPr>
            <w:tcW w:w="1236" w:type="dxa"/>
            <w:noWrap w:val="0"/>
            <w:vAlign w:val="center"/>
          </w:tcPr>
          <w:p w14:paraId="4FCC54CA">
            <w:pPr>
              <w:ind w:left="0" w:leftChars="0" w:firstLine="0" w:firstLineChars="0"/>
              <w:jc w:val="center"/>
              <w:rPr>
                <w:rFonts w:hint="default" w:ascii="宋体" w:hAnsi="宋体" w:eastAsia="宋体" w:cs="宋体"/>
                <w:color w:val="auto"/>
                <w:sz w:val="21"/>
                <w:szCs w:val="21"/>
                <w:highlight w:val="none"/>
                <w:lang w:val="en-US" w:eastAsia="zh-CN"/>
              </w:rPr>
            </w:pPr>
          </w:p>
        </w:tc>
        <w:tc>
          <w:tcPr>
            <w:tcW w:w="1270" w:type="dxa"/>
            <w:noWrap w:val="0"/>
            <w:vAlign w:val="center"/>
          </w:tcPr>
          <w:p w14:paraId="53994B8F">
            <w:pPr>
              <w:ind w:left="0" w:leftChars="0" w:firstLine="0" w:firstLineChars="0"/>
              <w:jc w:val="center"/>
              <w:rPr>
                <w:rFonts w:hint="default" w:ascii="宋体" w:hAnsi="宋体" w:eastAsia="宋体" w:cs="宋体"/>
                <w:color w:val="auto"/>
                <w:sz w:val="21"/>
                <w:szCs w:val="21"/>
                <w:highlight w:val="none"/>
                <w:lang w:val="en-US" w:eastAsia="zh-CN"/>
              </w:rPr>
            </w:pPr>
          </w:p>
        </w:tc>
        <w:tc>
          <w:tcPr>
            <w:tcW w:w="891" w:type="dxa"/>
            <w:noWrap w:val="0"/>
            <w:vAlign w:val="center"/>
          </w:tcPr>
          <w:p w14:paraId="08051D30">
            <w:pPr>
              <w:ind w:left="0" w:leftChars="0" w:firstLine="0" w:firstLineChars="0"/>
              <w:jc w:val="center"/>
              <w:rPr>
                <w:rFonts w:hint="default" w:ascii="宋体" w:hAnsi="宋体" w:eastAsia="宋体" w:cs="宋体"/>
                <w:color w:val="auto"/>
                <w:sz w:val="21"/>
                <w:szCs w:val="21"/>
                <w:highlight w:val="none"/>
                <w:lang w:val="en-US" w:eastAsia="zh-CN"/>
              </w:rPr>
            </w:pPr>
          </w:p>
        </w:tc>
      </w:tr>
      <w:tr w14:paraId="0E0F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93" w:type="dxa"/>
            <w:noWrap w:val="0"/>
            <w:vAlign w:val="center"/>
          </w:tcPr>
          <w:p w14:paraId="1BD367C0">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948" w:type="dxa"/>
            <w:noWrap w:val="0"/>
            <w:vAlign w:val="center"/>
          </w:tcPr>
          <w:p w14:paraId="799AE4ED">
            <w:pPr>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依法缴纳税收的证明材料</w:t>
            </w:r>
          </w:p>
        </w:tc>
        <w:tc>
          <w:tcPr>
            <w:tcW w:w="1236" w:type="dxa"/>
            <w:noWrap w:val="0"/>
            <w:vAlign w:val="center"/>
          </w:tcPr>
          <w:p w14:paraId="6C9F4C6B">
            <w:pPr>
              <w:ind w:left="0" w:leftChars="0" w:firstLine="0" w:firstLineChars="0"/>
              <w:jc w:val="center"/>
              <w:rPr>
                <w:rFonts w:hint="default" w:ascii="宋体" w:hAnsi="宋体" w:eastAsia="宋体" w:cs="宋体"/>
                <w:color w:val="auto"/>
                <w:sz w:val="21"/>
                <w:szCs w:val="21"/>
                <w:highlight w:val="none"/>
                <w:lang w:val="en-US" w:eastAsia="zh-CN"/>
              </w:rPr>
            </w:pPr>
          </w:p>
        </w:tc>
        <w:tc>
          <w:tcPr>
            <w:tcW w:w="1270" w:type="dxa"/>
            <w:noWrap w:val="0"/>
            <w:vAlign w:val="center"/>
          </w:tcPr>
          <w:p w14:paraId="1091826C">
            <w:pPr>
              <w:ind w:left="0" w:leftChars="0" w:firstLine="0" w:firstLineChars="0"/>
              <w:jc w:val="center"/>
              <w:rPr>
                <w:rFonts w:hint="default" w:ascii="宋体" w:hAnsi="宋体" w:eastAsia="宋体" w:cs="宋体"/>
                <w:color w:val="auto"/>
                <w:sz w:val="21"/>
                <w:szCs w:val="21"/>
                <w:highlight w:val="none"/>
                <w:lang w:val="en-US" w:eastAsia="zh-CN"/>
              </w:rPr>
            </w:pPr>
          </w:p>
        </w:tc>
        <w:tc>
          <w:tcPr>
            <w:tcW w:w="891" w:type="dxa"/>
            <w:noWrap w:val="0"/>
            <w:vAlign w:val="center"/>
          </w:tcPr>
          <w:p w14:paraId="6E0911CB">
            <w:pPr>
              <w:ind w:left="0" w:leftChars="0" w:firstLine="0" w:firstLineChars="0"/>
              <w:jc w:val="center"/>
              <w:rPr>
                <w:rFonts w:hint="default" w:ascii="宋体" w:hAnsi="宋体" w:eastAsia="宋体" w:cs="宋体"/>
                <w:color w:val="auto"/>
                <w:sz w:val="21"/>
                <w:szCs w:val="21"/>
                <w:highlight w:val="none"/>
                <w:lang w:val="en-US" w:eastAsia="zh-CN"/>
              </w:rPr>
            </w:pPr>
          </w:p>
        </w:tc>
      </w:tr>
      <w:tr w14:paraId="2E4B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93" w:type="dxa"/>
            <w:noWrap w:val="0"/>
            <w:vAlign w:val="center"/>
          </w:tcPr>
          <w:p w14:paraId="30B791AC">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948" w:type="dxa"/>
            <w:noWrap w:val="0"/>
            <w:vAlign w:val="center"/>
          </w:tcPr>
          <w:p w14:paraId="363A9DE5">
            <w:pPr>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依法缴纳社会保障资金的证明材料</w:t>
            </w:r>
          </w:p>
        </w:tc>
        <w:tc>
          <w:tcPr>
            <w:tcW w:w="1236" w:type="dxa"/>
            <w:noWrap w:val="0"/>
            <w:vAlign w:val="center"/>
          </w:tcPr>
          <w:p w14:paraId="42430B06">
            <w:pPr>
              <w:ind w:left="0" w:leftChars="0" w:firstLine="0" w:firstLineChars="0"/>
              <w:jc w:val="center"/>
              <w:rPr>
                <w:rFonts w:hint="default" w:ascii="宋体" w:hAnsi="宋体" w:eastAsia="宋体" w:cs="宋体"/>
                <w:color w:val="auto"/>
                <w:sz w:val="21"/>
                <w:szCs w:val="21"/>
                <w:highlight w:val="none"/>
                <w:lang w:val="en-US" w:eastAsia="zh-CN"/>
              </w:rPr>
            </w:pPr>
          </w:p>
        </w:tc>
        <w:tc>
          <w:tcPr>
            <w:tcW w:w="1270" w:type="dxa"/>
            <w:noWrap w:val="0"/>
            <w:vAlign w:val="center"/>
          </w:tcPr>
          <w:p w14:paraId="71346AC8">
            <w:pPr>
              <w:ind w:left="0" w:leftChars="0" w:firstLine="0" w:firstLineChars="0"/>
              <w:jc w:val="center"/>
              <w:rPr>
                <w:rFonts w:hint="default" w:ascii="宋体" w:hAnsi="宋体" w:eastAsia="宋体" w:cs="宋体"/>
                <w:color w:val="auto"/>
                <w:sz w:val="21"/>
                <w:szCs w:val="21"/>
                <w:highlight w:val="none"/>
                <w:lang w:val="en-US" w:eastAsia="zh-CN"/>
              </w:rPr>
            </w:pPr>
          </w:p>
        </w:tc>
        <w:tc>
          <w:tcPr>
            <w:tcW w:w="891" w:type="dxa"/>
            <w:noWrap w:val="0"/>
            <w:vAlign w:val="center"/>
          </w:tcPr>
          <w:p w14:paraId="4A39F685">
            <w:pPr>
              <w:ind w:left="0" w:leftChars="0" w:firstLine="0" w:firstLineChars="0"/>
              <w:jc w:val="center"/>
              <w:rPr>
                <w:rFonts w:hint="default" w:ascii="宋体" w:hAnsi="宋体" w:eastAsia="宋体" w:cs="宋体"/>
                <w:color w:val="auto"/>
                <w:sz w:val="21"/>
                <w:szCs w:val="21"/>
                <w:highlight w:val="none"/>
                <w:lang w:val="en-US" w:eastAsia="zh-CN"/>
              </w:rPr>
            </w:pPr>
          </w:p>
        </w:tc>
      </w:tr>
      <w:tr w14:paraId="00B3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93" w:type="dxa"/>
            <w:noWrap w:val="0"/>
            <w:vAlign w:val="center"/>
          </w:tcPr>
          <w:p w14:paraId="24AC2C0B">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948" w:type="dxa"/>
            <w:noWrap w:val="0"/>
            <w:vAlign w:val="center"/>
          </w:tcPr>
          <w:p w14:paraId="16C0279A">
            <w:pPr>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具备履行政府采购合同所必需的设备和专业技术能力的证明材料</w:t>
            </w:r>
          </w:p>
        </w:tc>
        <w:tc>
          <w:tcPr>
            <w:tcW w:w="1236" w:type="dxa"/>
            <w:noWrap w:val="0"/>
            <w:vAlign w:val="center"/>
          </w:tcPr>
          <w:p w14:paraId="401ADA89">
            <w:pPr>
              <w:ind w:left="0" w:leftChars="0" w:firstLine="0" w:firstLineChars="0"/>
              <w:jc w:val="center"/>
              <w:rPr>
                <w:rFonts w:hint="default" w:ascii="宋体" w:hAnsi="宋体" w:eastAsia="宋体" w:cs="宋体"/>
                <w:color w:val="auto"/>
                <w:sz w:val="21"/>
                <w:szCs w:val="21"/>
                <w:highlight w:val="none"/>
                <w:lang w:val="en-US" w:eastAsia="zh-CN"/>
              </w:rPr>
            </w:pPr>
          </w:p>
        </w:tc>
        <w:tc>
          <w:tcPr>
            <w:tcW w:w="1270" w:type="dxa"/>
            <w:noWrap w:val="0"/>
            <w:vAlign w:val="center"/>
          </w:tcPr>
          <w:p w14:paraId="26B6C4F4">
            <w:pPr>
              <w:ind w:left="0" w:leftChars="0" w:firstLine="0" w:firstLineChars="0"/>
              <w:jc w:val="center"/>
              <w:rPr>
                <w:rFonts w:hint="default" w:ascii="宋体" w:hAnsi="宋体" w:eastAsia="宋体" w:cs="宋体"/>
                <w:color w:val="auto"/>
                <w:sz w:val="21"/>
                <w:szCs w:val="21"/>
                <w:highlight w:val="none"/>
                <w:lang w:val="en-US" w:eastAsia="zh-CN"/>
              </w:rPr>
            </w:pPr>
          </w:p>
        </w:tc>
        <w:tc>
          <w:tcPr>
            <w:tcW w:w="891" w:type="dxa"/>
            <w:noWrap w:val="0"/>
            <w:vAlign w:val="center"/>
          </w:tcPr>
          <w:p w14:paraId="54B3004C">
            <w:pPr>
              <w:ind w:left="0" w:leftChars="0" w:firstLine="0" w:firstLineChars="0"/>
              <w:jc w:val="center"/>
              <w:rPr>
                <w:rFonts w:hint="default" w:ascii="宋体" w:hAnsi="宋体" w:eastAsia="宋体" w:cs="宋体"/>
                <w:color w:val="auto"/>
                <w:sz w:val="21"/>
                <w:szCs w:val="21"/>
                <w:highlight w:val="none"/>
                <w:lang w:val="en-US" w:eastAsia="zh-CN"/>
              </w:rPr>
            </w:pPr>
          </w:p>
        </w:tc>
      </w:tr>
      <w:tr w14:paraId="35A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93" w:type="dxa"/>
            <w:noWrap w:val="0"/>
            <w:vAlign w:val="center"/>
          </w:tcPr>
          <w:p w14:paraId="147269E9">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948" w:type="dxa"/>
            <w:noWrap w:val="0"/>
            <w:vAlign w:val="center"/>
          </w:tcPr>
          <w:p w14:paraId="746E7331">
            <w:pPr>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参加政府采购活动前三年内在经营活动中没有重大违法记录的证明材料</w:t>
            </w:r>
          </w:p>
        </w:tc>
        <w:tc>
          <w:tcPr>
            <w:tcW w:w="1236" w:type="dxa"/>
            <w:noWrap w:val="0"/>
            <w:vAlign w:val="center"/>
          </w:tcPr>
          <w:p w14:paraId="5914FE9C">
            <w:pPr>
              <w:ind w:left="0" w:leftChars="0" w:firstLine="0" w:firstLineChars="0"/>
              <w:jc w:val="center"/>
              <w:rPr>
                <w:rFonts w:hint="default" w:ascii="宋体" w:hAnsi="宋体" w:eastAsia="宋体" w:cs="宋体"/>
                <w:color w:val="auto"/>
                <w:sz w:val="21"/>
                <w:szCs w:val="21"/>
                <w:highlight w:val="none"/>
                <w:lang w:val="en-US" w:eastAsia="zh-CN"/>
              </w:rPr>
            </w:pPr>
          </w:p>
        </w:tc>
        <w:tc>
          <w:tcPr>
            <w:tcW w:w="1270" w:type="dxa"/>
            <w:noWrap w:val="0"/>
            <w:vAlign w:val="center"/>
          </w:tcPr>
          <w:p w14:paraId="12AA08BB">
            <w:pPr>
              <w:ind w:left="0" w:leftChars="0" w:firstLine="0" w:firstLineChars="0"/>
              <w:jc w:val="center"/>
              <w:rPr>
                <w:rFonts w:hint="default" w:ascii="宋体" w:hAnsi="宋体" w:eastAsia="宋体" w:cs="宋体"/>
                <w:color w:val="auto"/>
                <w:sz w:val="21"/>
                <w:szCs w:val="21"/>
                <w:highlight w:val="none"/>
                <w:lang w:val="en-US" w:eastAsia="zh-CN"/>
              </w:rPr>
            </w:pPr>
          </w:p>
        </w:tc>
        <w:tc>
          <w:tcPr>
            <w:tcW w:w="891" w:type="dxa"/>
            <w:noWrap w:val="0"/>
            <w:vAlign w:val="center"/>
          </w:tcPr>
          <w:p w14:paraId="2FC4794C">
            <w:pPr>
              <w:ind w:left="0" w:leftChars="0" w:firstLine="0" w:firstLineChars="0"/>
              <w:jc w:val="center"/>
              <w:rPr>
                <w:rFonts w:hint="default" w:ascii="宋体" w:hAnsi="宋体" w:eastAsia="宋体" w:cs="宋体"/>
                <w:color w:val="auto"/>
                <w:sz w:val="21"/>
                <w:szCs w:val="21"/>
                <w:highlight w:val="none"/>
                <w:lang w:val="en-US" w:eastAsia="zh-CN"/>
              </w:rPr>
            </w:pPr>
          </w:p>
        </w:tc>
      </w:tr>
      <w:tr w14:paraId="323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93" w:type="dxa"/>
            <w:noWrap w:val="0"/>
            <w:vAlign w:val="center"/>
          </w:tcPr>
          <w:p w14:paraId="26C8658F">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948" w:type="dxa"/>
            <w:noWrap w:val="0"/>
            <w:vAlign w:val="center"/>
          </w:tcPr>
          <w:p w14:paraId="0C54F665">
            <w:pPr>
              <w:spacing w:line="24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未被列入失信被执行人、重大税收违法失信主体、政府采购严重违法失信行为记录名单的证明材料</w:t>
            </w:r>
          </w:p>
        </w:tc>
        <w:tc>
          <w:tcPr>
            <w:tcW w:w="1236" w:type="dxa"/>
            <w:noWrap w:val="0"/>
            <w:vAlign w:val="center"/>
          </w:tcPr>
          <w:p w14:paraId="5CEC769A">
            <w:pPr>
              <w:ind w:left="0" w:leftChars="0" w:firstLine="0" w:firstLineChars="0"/>
              <w:jc w:val="center"/>
              <w:rPr>
                <w:rFonts w:hint="default" w:ascii="宋体" w:hAnsi="宋体" w:eastAsia="宋体" w:cs="宋体"/>
                <w:color w:val="auto"/>
                <w:sz w:val="21"/>
                <w:szCs w:val="21"/>
                <w:highlight w:val="none"/>
                <w:lang w:val="en-US" w:eastAsia="zh-CN"/>
              </w:rPr>
            </w:pPr>
          </w:p>
        </w:tc>
        <w:tc>
          <w:tcPr>
            <w:tcW w:w="1270" w:type="dxa"/>
            <w:noWrap w:val="0"/>
            <w:vAlign w:val="center"/>
          </w:tcPr>
          <w:p w14:paraId="06A68957">
            <w:pPr>
              <w:ind w:left="0" w:leftChars="0" w:firstLine="0" w:firstLineChars="0"/>
              <w:jc w:val="center"/>
              <w:rPr>
                <w:rFonts w:hint="default" w:ascii="宋体" w:hAnsi="宋体" w:eastAsia="宋体" w:cs="宋体"/>
                <w:color w:val="auto"/>
                <w:sz w:val="21"/>
                <w:szCs w:val="21"/>
                <w:highlight w:val="none"/>
                <w:lang w:val="en-US" w:eastAsia="zh-CN"/>
              </w:rPr>
            </w:pPr>
          </w:p>
        </w:tc>
        <w:tc>
          <w:tcPr>
            <w:tcW w:w="891" w:type="dxa"/>
            <w:noWrap w:val="0"/>
            <w:vAlign w:val="center"/>
          </w:tcPr>
          <w:p w14:paraId="7E6D6E66">
            <w:pPr>
              <w:ind w:left="0" w:leftChars="0" w:firstLine="0" w:firstLineChars="0"/>
              <w:jc w:val="center"/>
              <w:rPr>
                <w:rFonts w:hint="default" w:ascii="宋体" w:hAnsi="宋体" w:eastAsia="宋体" w:cs="宋体"/>
                <w:color w:val="auto"/>
                <w:sz w:val="21"/>
                <w:szCs w:val="21"/>
                <w:highlight w:val="none"/>
                <w:lang w:val="en-US" w:eastAsia="zh-CN"/>
              </w:rPr>
            </w:pPr>
          </w:p>
        </w:tc>
      </w:tr>
    </w:tbl>
    <w:p w14:paraId="39CD79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bidi="ar"/>
        </w:rPr>
      </w:pPr>
    </w:p>
    <w:p w14:paraId="2EA17D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kern w:val="0"/>
          <w:sz w:val="21"/>
          <w:szCs w:val="21"/>
          <w:highlight w:val="none"/>
          <w:lang w:val="en-US" w:eastAsia="zh-CN" w:bidi="ar"/>
        </w:rPr>
      </w:pPr>
      <w:r>
        <w:rPr>
          <w:rFonts w:hint="default" w:ascii="宋体" w:hAnsi="宋体" w:eastAsia="宋体" w:cs="宋体"/>
          <w:b w:val="0"/>
          <w:bCs w:val="0"/>
          <w:color w:val="auto"/>
          <w:kern w:val="0"/>
          <w:sz w:val="21"/>
          <w:szCs w:val="21"/>
          <w:highlight w:val="none"/>
          <w:lang w:val="en-US" w:eastAsia="zh-CN" w:bidi="ar"/>
        </w:rPr>
        <w:t>根据新财【2023】2号文，在本项目政府采购活动中实行“无感投标”，供应商在投标（响应）时，可对照资格要求进行自主核对，确定符合资格要求的，不再需要提供以上证明材料</w:t>
      </w:r>
      <w:r>
        <w:rPr>
          <w:rFonts w:hint="eastAsia" w:ascii="宋体" w:hAnsi="宋体" w:eastAsia="宋体" w:cs="宋体"/>
          <w:b w:val="0"/>
          <w:bCs w:val="0"/>
          <w:color w:val="auto"/>
          <w:kern w:val="0"/>
          <w:sz w:val="21"/>
          <w:szCs w:val="21"/>
          <w:highlight w:val="none"/>
          <w:lang w:val="en-US" w:eastAsia="zh-CN" w:bidi="ar"/>
        </w:rPr>
        <w:t>。</w:t>
      </w:r>
    </w:p>
    <w:p w14:paraId="5838EE2D">
      <w:pPr>
        <w:spacing w:line="40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（单位电子签章）</w:t>
      </w:r>
    </w:p>
    <w:p w14:paraId="2E1B8ECC">
      <w:pPr>
        <w:spacing w:line="40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（签名或盖章）</w:t>
      </w:r>
    </w:p>
    <w:p w14:paraId="4764603F">
      <w:pPr>
        <w:spacing w:line="40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w:t>
      </w:r>
    </w:p>
    <w:p w14:paraId="779ED0F1">
      <w:pPr>
        <w:autoSpaceDE/>
        <w:autoSpaceDN/>
        <w:spacing w:line="360" w:lineRule="auto"/>
        <w:jc w:val="both"/>
        <w:rPr>
          <w:sz w:val="24"/>
          <w:lang w:val="en-US"/>
        </w:rPr>
      </w:pPr>
    </w:p>
    <w:bookmarkEnd w:id="159"/>
    <w:bookmarkEnd w:id="160"/>
    <w:p w14:paraId="06AD09BD">
      <w:pPr>
        <w:rPr>
          <w:lang w:val="en-US"/>
        </w:rPr>
      </w:pPr>
      <w:bookmarkStart w:id="161" w:name="_Toc7587"/>
    </w:p>
    <w:p w14:paraId="55F10407">
      <w:pPr>
        <w:spacing w:line="360" w:lineRule="auto"/>
        <w:ind w:firstLine="440" w:firstLineChars="200"/>
      </w:pPr>
    </w:p>
    <w:bookmarkEnd w:id="161"/>
    <w:p w14:paraId="12F1A4A5">
      <w:pPr>
        <w:spacing w:line="360" w:lineRule="auto"/>
      </w:pPr>
      <w:bookmarkStart w:id="162" w:name="_Toc137651759"/>
      <w:bookmarkStart w:id="163" w:name="_Toc181344382"/>
      <w:bookmarkStart w:id="164" w:name="_Toc421197482"/>
      <w:bookmarkStart w:id="165" w:name="_Toc181348192"/>
    </w:p>
    <w:p w14:paraId="0DEB14B5">
      <w:pPr>
        <w:pStyle w:val="42"/>
        <w:spacing w:line="360" w:lineRule="auto"/>
        <w:jc w:val="center"/>
        <w:rPr>
          <w:rStyle w:val="53"/>
          <w:color w:val="auto"/>
          <w:lang w:val="en-US"/>
        </w:rPr>
      </w:pPr>
      <w:r>
        <w:rPr>
          <w:rFonts w:hint="eastAsia" w:ascii="宋体" w:hAnsi="宋体" w:cs="宋体"/>
          <w:szCs w:val="21"/>
        </w:rPr>
        <w:br w:type="page"/>
      </w:r>
      <w:bookmarkStart w:id="166" w:name="_Toc28033"/>
      <w:bookmarkStart w:id="167" w:name="_Toc11016"/>
      <w:bookmarkStart w:id="168" w:name="_Toc13677"/>
      <w:r>
        <w:rPr>
          <w:rStyle w:val="53"/>
          <w:rFonts w:hint="eastAsia"/>
          <w:color w:val="auto"/>
          <w:lang w:val="en-US"/>
        </w:rPr>
        <w:t>六、声明</w:t>
      </w:r>
      <w:bookmarkEnd w:id="166"/>
    </w:p>
    <w:bookmarkEnd w:id="167"/>
    <w:bookmarkEnd w:id="168"/>
    <w:p w14:paraId="1FF7FB51">
      <w:pPr>
        <w:spacing w:line="500" w:lineRule="atLeast"/>
        <w:rPr>
          <w:sz w:val="24"/>
        </w:rPr>
      </w:pPr>
      <w:r>
        <w:rPr>
          <w:rFonts w:hint="eastAsia"/>
          <w:sz w:val="24"/>
        </w:rPr>
        <w:t>致：</w:t>
      </w:r>
      <w:r>
        <w:rPr>
          <w:rFonts w:hint="eastAsia"/>
          <w:sz w:val="24"/>
          <w:u w:val="single"/>
        </w:rPr>
        <w:t>（采购人名称）和（代理机构名称）</w:t>
      </w:r>
    </w:p>
    <w:p w14:paraId="0C9F16DA">
      <w:pPr>
        <w:spacing w:line="500" w:lineRule="atLeast"/>
        <w:ind w:firstLine="480" w:firstLineChars="200"/>
        <w:rPr>
          <w:sz w:val="24"/>
        </w:rPr>
      </w:pPr>
    </w:p>
    <w:p w14:paraId="56EA8875">
      <w:pPr>
        <w:spacing w:line="500" w:lineRule="atLeast"/>
        <w:ind w:firstLine="480" w:firstLineChars="200"/>
        <w:rPr>
          <w:sz w:val="24"/>
        </w:rPr>
      </w:pPr>
      <w:r>
        <w:rPr>
          <w:rFonts w:hint="eastAsia"/>
          <w:sz w:val="24"/>
        </w:rPr>
        <w:t>我</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系</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的法定代表人，现承诺我公司参加政府采购活动，近三年以来，在经营活动中没有重大违法记录，若被查出有不良记录，我方愿向采购人赔偿由此引起的一切损失，同时采购人有权终止合同。</w:t>
      </w:r>
    </w:p>
    <w:p w14:paraId="2F74EE1D">
      <w:pPr>
        <w:spacing w:line="360" w:lineRule="auto"/>
        <w:ind w:firstLine="480" w:firstLineChars="200"/>
        <w:rPr>
          <w:sz w:val="24"/>
        </w:rPr>
      </w:pPr>
    </w:p>
    <w:p w14:paraId="0512585E">
      <w:pPr>
        <w:spacing w:line="360" w:lineRule="auto"/>
        <w:ind w:firstLine="480" w:firstLineChars="200"/>
        <w:rPr>
          <w:sz w:val="24"/>
        </w:rPr>
      </w:pPr>
      <w:r>
        <w:rPr>
          <w:rFonts w:hint="eastAsia"/>
          <w:sz w:val="24"/>
        </w:rPr>
        <w:t>供应商（或投标单位）名称：</w:t>
      </w:r>
      <w:r>
        <w:rPr>
          <w:rFonts w:hint="eastAsia"/>
          <w:sz w:val="24"/>
          <w:u w:val="single"/>
        </w:rPr>
        <w:t xml:space="preserve">                               </w:t>
      </w:r>
      <w:r>
        <w:rPr>
          <w:rFonts w:hint="eastAsia"/>
          <w:sz w:val="24"/>
        </w:rPr>
        <w:t>（</w:t>
      </w:r>
      <w:r>
        <w:rPr>
          <w:rFonts w:hint="eastAsia"/>
          <w:szCs w:val="21"/>
        </w:rPr>
        <w:t>盖章</w:t>
      </w:r>
      <w:r>
        <w:rPr>
          <w:rFonts w:hint="eastAsia"/>
          <w:sz w:val="24"/>
        </w:rPr>
        <w:t xml:space="preserve">） </w:t>
      </w:r>
    </w:p>
    <w:p w14:paraId="235C863F">
      <w:pPr>
        <w:spacing w:line="360" w:lineRule="auto"/>
        <w:ind w:firstLine="480" w:firstLineChars="200"/>
        <w:rPr>
          <w:sz w:val="24"/>
          <w:u w:val="single"/>
        </w:rPr>
      </w:pPr>
      <w:r>
        <w:rPr>
          <w:rFonts w:hint="eastAsia"/>
          <w:sz w:val="24"/>
        </w:rPr>
        <w:t>供应商（或投标单位）法人代表签字或盖章：</w:t>
      </w:r>
      <w:r>
        <w:rPr>
          <w:rFonts w:hint="eastAsia"/>
          <w:sz w:val="24"/>
          <w:u w:val="single"/>
        </w:rPr>
        <w:t xml:space="preserve">               </w:t>
      </w:r>
      <w:r>
        <w:rPr>
          <w:rFonts w:hint="eastAsia"/>
          <w:sz w:val="24"/>
        </w:rPr>
        <w:t>（</w:t>
      </w:r>
      <w:r>
        <w:rPr>
          <w:rFonts w:hint="eastAsia"/>
          <w:szCs w:val="21"/>
        </w:rPr>
        <w:t>签章或签字）</w:t>
      </w:r>
    </w:p>
    <w:p w14:paraId="1C32D141">
      <w:pPr>
        <w:spacing w:line="360" w:lineRule="auto"/>
        <w:ind w:firstLine="480" w:firstLineChars="200"/>
        <w:rPr>
          <w:color w:val="000000"/>
          <w:szCs w:val="21"/>
        </w:rPr>
        <w:sectPr>
          <w:footerReference r:id="rId15" w:type="first"/>
          <w:headerReference r:id="rId13" w:type="default"/>
          <w:footerReference r:id="rId14" w:type="default"/>
          <w:pgSz w:w="12240" w:h="15840"/>
          <w:pgMar w:top="1440" w:right="1800" w:bottom="1440" w:left="1800" w:header="720" w:footer="720" w:gutter="0"/>
          <w:cols w:space="720" w:num="1"/>
          <w:titlePg/>
          <w:docGrid w:linePitch="312" w:charSpace="0"/>
        </w:sect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日</w:t>
      </w:r>
    </w:p>
    <w:p w14:paraId="6D41D5F7">
      <w:pPr>
        <w:spacing w:line="360" w:lineRule="auto"/>
        <w:jc w:val="center"/>
        <w:rPr>
          <w:lang w:val="en-US"/>
        </w:rPr>
      </w:pPr>
      <w:bookmarkStart w:id="169" w:name="_Toc24020"/>
      <w:bookmarkStart w:id="170" w:name="_Toc30641"/>
      <w:bookmarkStart w:id="171" w:name="_Toc14767"/>
      <w:bookmarkStart w:id="172" w:name="_Toc2856"/>
      <w:r>
        <w:rPr>
          <w:rStyle w:val="53"/>
          <w:rFonts w:hint="eastAsia"/>
          <w:lang w:val="en-US"/>
        </w:rPr>
        <w:t>七、</w:t>
      </w:r>
      <w:bookmarkEnd w:id="169"/>
      <w:bookmarkEnd w:id="170"/>
      <w:bookmarkEnd w:id="171"/>
      <w:r>
        <w:rPr>
          <w:rStyle w:val="53"/>
          <w:rFonts w:hint="eastAsia"/>
          <w:lang w:val="en-US"/>
        </w:rPr>
        <w:t>技术部分（格式自拟）</w:t>
      </w:r>
      <w:bookmarkEnd w:id="172"/>
    </w:p>
    <w:p w14:paraId="65B031C4">
      <w:pPr>
        <w:pStyle w:val="9"/>
        <w:ind w:left="0"/>
        <w:rPr>
          <w:lang w:val="en-US"/>
        </w:rPr>
      </w:pPr>
      <w:bookmarkStart w:id="173" w:name="_Toc30299"/>
    </w:p>
    <w:p w14:paraId="101CB509">
      <w:pPr>
        <w:pStyle w:val="9"/>
        <w:ind w:left="0"/>
        <w:rPr>
          <w:lang w:val="en-US"/>
        </w:rPr>
      </w:pPr>
    </w:p>
    <w:p w14:paraId="46A41ACD">
      <w:pPr>
        <w:pStyle w:val="9"/>
        <w:ind w:left="0"/>
        <w:rPr>
          <w:lang w:val="en-US"/>
        </w:rPr>
      </w:pPr>
      <w:bookmarkStart w:id="174" w:name="_Toc13715"/>
      <w:r>
        <w:rPr>
          <w:rFonts w:hint="eastAsia"/>
          <w:lang w:val="en-US" w:eastAsia="zh-CN"/>
        </w:rPr>
        <w:t>八</w:t>
      </w:r>
      <w:r>
        <w:rPr>
          <w:rFonts w:hint="eastAsia"/>
          <w:lang w:val="en-US"/>
        </w:rPr>
        <w:t>、综合</w:t>
      </w:r>
      <w:bookmarkEnd w:id="173"/>
      <w:r>
        <w:rPr>
          <w:rFonts w:hint="eastAsia"/>
          <w:lang w:val="en-US" w:eastAsia="zh-CN"/>
        </w:rPr>
        <w:t>部分</w:t>
      </w:r>
      <w:r>
        <w:rPr>
          <w:rStyle w:val="53"/>
          <w:rFonts w:hint="eastAsia" w:ascii="宋体" w:hAnsi="宋体" w:eastAsia="宋体" w:cs="宋体"/>
          <w:b/>
          <w:bCs/>
          <w:lang w:val="en-US"/>
        </w:rPr>
        <w:t>（格式自拟）</w:t>
      </w:r>
      <w:bookmarkEnd w:id="174"/>
    </w:p>
    <w:bookmarkEnd w:id="162"/>
    <w:bookmarkEnd w:id="163"/>
    <w:bookmarkEnd w:id="164"/>
    <w:bookmarkEnd w:id="165"/>
    <w:p w14:paraId="56F729F7">
      <w:pPr>
        <w:pStyle w:val="3"/>
        <w:rPr>
          <w:color w:val="000000"/>
        </w:rPr>
      </w:pPr>
    </w:p>
    <w:p w14:paraId="2362E853">
      <w:pPr>
        <w:pStyle w:val="3"/>
        <w:rPr>
          <w:color w:val="000000"/>
        </w:rPr>
      </w:pPr>
    </w:p>
    <w:p w14:paraId="10589DC7">
      <w:pPr>
        <w:pStyle w:val="3"/>
        <w:rPr>
          <w:color w:val="000000"/>
        </w:rPr>
      </w:pPr>
    </w:p>
    <w:p w14:paraId="1412C191">
      <w:pPr>
        <w:pStyle w:val="3"/>
        <w:rPr>
          <w:color w:val="000000"/>
        </w:rPr>
      </w:pPr>
    </w:p>
    <w:p w14:paraId="4288345E">
      <w:pPr>
        <w:pStyle w:val="3"/>
        <w:rPr>
          <w:color w:val="000000"/>
        </w:rPr>
      </w:pPr>
    </w:p>
    <w:p w14:paraId="1750E187">
      <w:pPr>
        <w:pStyle w:val="3"/>
        <w:rPr>
          <w:color w:val="000000"/>
        </w:rPr>
      </w:pPr>
    </w:p>
    <w:p w14:paraId="7DF7366C">
      <w:pPr>
        <w:pStyle w:val="9"/>
        <w:ind w:left="0"/>
        <w:rPr>
          <w:szCs w:val="22"/>
          <w:lang w:val="en-US"/>
        </w:rPr>
      </w:pPr>
      <w:bookmarkStart w:id="175" w:name="_Toc2012"/>
    </w:p>
    <w:p w14:paraId="2523C5D2">
      <w:pPr>
        <w:pStyle w:val="9"/>
        <w:ind w:left="0"/>
        <w:rPr>
          <w:szCs w:val="22"/>
          <w:lang w:val="en-US"/>
        </w:rPr>
      </w:pPr>
    </w:p>
    <w:p w14:paraId="0809238D">
      <w:pPr>
        <w:pStyle w:val="9"/>
        <w:ind w:left="0"/>
        <w:rPr>
          <w:szCs w:val="22"/>
          <w:lang w:val="en-US"/>
        </w:rPr>
      </w:pPr>
    </w:p>
    <w:p w14:paraId="030D4EF0">
      <w:pPr>
        <w:pStyle w:val="9"/>
        <w:ind w:left="0"/>
        <w:rPr>
          <w:szCs w:val="22"/>
          <w:lang w:val="en-US"/>
        </w:rPr>
      </w:pPr>
    </w:p>
    <w:p w14:paraId="37BE1C97">
      <w:pPr>
        <w:pStyle w:val="9"/>
        <w:ind w:left="0"/>
        <w:rPr>
          <w:szCs w:val="22"/>
          <w:lang w:val="en-US"/>
        </w:rPr>
      </w:pPr>
    </w:p>
    <w:p w14:paraId="13D66627">
      <w:pPr>
        <w:pStyle w:val="9"/>
        <w:ind w:left="0"/>
        <w:rPr>
          <w:szCs w:val="22"/>
          <w:lang w:val="en-US"/>
        </w:rPr>
      </w:pPr>
    </w:p>
    <w:p w14:paraId="54FCA416">
      <w:pPr>
        <w:pStyle w:val="9"/>
        <w:ind w:left="0"/>
        <w:rPr>
          <w:szCs w:val="22"/>
          <w:lang w:val="en-US"/>
        </w:rPr>
      </w:pPr>
    </w:p>
    <w:p w14:paraId="32ED6CDF">
      <w:pPr>
        <w:pStyle w:val="9"/>
        <w:ind w:left="0"/>
        <w:rPr>
          <w:szCs w:val="22"/>
          <w:lang w:val="en-US"/>
        </w:rPr>
      </w:pPr>
    </w:p>
    <w:p w14:paraId="40C4514F">
      <w:pPr>
        <w:pStyle w:val="9"/>
        <w:ind w:left="0"/>
        <w:rPr>
          <w:szCs w:val="22"/>
          <w:lang w:val="en-US"/>
        </w:rPr>
      </w:pPr>
    </w:p>
    <w:p w14:paraId="5D182147">
      <w:pPr>
        <w:pStyle w:val="9"/>
        <w:ind w:left="0"/>
        <w:rPr>
          <w:szCs w:val="22"/>
          <w:lang w:val="en-US"/>
        </w:rPr>
      </w:pPr>
    </w:p>
    <w:p w14:paraId="132344BC">
      <w:pPr>
        <w:pStyle w:val="9"/>
        <w:ind w:left="0"/>
        <w:rPr>
          <w:szCs w:val="22"/>
          <w:lang w:val="en-US"/>
        </w:rPr>
      </w:pPr>
    </w:p>
    <w:p w14:paraId="6C4D188C">
      <w:pPr>
        <w:pStyle w:val="9"/>
        <w:ind w:left="0"/>
        <w:rPr>
          <w:szCs w:val="22"/>
          <w:lang w:val="en-US"/>
        </w:rPr>
      </w:pPr>
    </w:p>
    <w:p w14:paraId="733EA29B">
      <w:pPr>
        <w:pStyle w:val="9"/>
        <w:ind w:left="0"/>
        <w:rPr>
          <w:szCs w:val="22"/>
          <w:lang w:val="en-US"/>
        </w:rPr>
      </w:pPr>
    </w:p>
    <w:p w14:paraId="0ED884F3">
      <w:pPr>
        <w:pStyle w:val="9"/>
        <w:ind w:left="0"/>
        <w:rPr>
          <w:szCs w:val="22"/>
          <w:lang w:val="en-US"/>
        </w:rPr>
      </w:pPr>
    </w:p>
    <w:p w14:paraId="11514E51">
      <w:pPr>
        <w:pStyle w:val="9"/>
        <w:ind w:left="0"/>
        <w:rPr>
          <w:szCs w:val="22"/>
          <w:lang w:val="en-US"/>
        </w:rPr>
      </w:pPr>
    </w:p>
    <w:p w14:paraId="1FBB77B5">
      <w:pPr>
        <w:pStyle w:val="9"/>
        <w:ind w:left="0"/>
        <w:rPr>
          <w:szCs w:val="22"/>
          <w:lang w:val="en-US"/>
        </w:rPr>
      </w:pPr>
    </w:p>
    <w:p w14:paraId="6D3A8CA5">
      <w:pPr>
        <w:rPr>
          <w:szCs w:val="22"/>
          <w:lang w:val="en-US"/>
        </w:rPr>
      </w:pPr>
    </w:p>
    <w:p w14:paraId="46F0BC1F">
      <w:pPr>
        <w:pStyle w:val="21"/>
        <w:rPr>
          <w:szCs w:val="22"/>
          <w:lang w:val="en-US"/>
        </w:rPr>
      </w:pPr>
    </w:p>
    <w:p w14:paraId="7A69B0E0">
      <w:pPr>
        <w:pStyle w:val="21"/>
        <w:rPr>
          <w:szCs w:val="22"/>
          <w:lang w:val="en-US"/>
        </w:rPr>
      </w:pPr>
    </w:p>
    <w:p w14:paraId="46A71E85">
      <w:pPr>
        <w:pStyle w:val="21"/>
        <w:rPr>
          <w:szCs w:val="22"/>
          <w:lang w:val="en-US"/>
        </w:rPr>
      </w:pPr>
    </w:p>
    <w:p w14:paraId="3EB9C081">
      <w:pPr>
        <w:pStyle w:val="21"/>
        <w:rPr>
          <w:szCs w:val="22"/>
          <w:lang w:val="en-US"/>
        </w:rPr>
      </w:pPr>
    </w:p>
    <w:p w14:paraId="20A915CF">
      <w:pPr>
        <w:pStyle w:val="21"/>
        <w:rPr>
          <w:szCs w:val="22"/>
          <w:lang w:val="en-US"/>
        </w:rPr>
      </w:pPr>
    </w:p>
    <w:p w14:paraId="25DAFD74">
      <w:pPr>
        <w:pStyle w:val="21"/>
        <w:rPr>
          <w:szCs w:val="22"/>
          <w:lang w:val="en-US"/>
        </w:rPr>
      </w:pPr>
    </w:p>
    <w:p w14:paraId="4CFDEC8F">
      <w:pPr>
        <w:pStyle w:val="9"/>
        <w:ind w:left="0"/>
        <w:jc w:val="left"/>
        <w:rPr>
          <w:szCs w:val="22"/>
          <w:lang w:val="en-US"/>
        </w:rPr>
      </w:pPr>
    </w:p>
    <w:p w14:paraId="7C2F0B5B">
      <w:pPr>
        <w:pStyle w:val="9"/>
        <w:ind w:left="0"/>
        <w:rPr>
          <w:szCs w:val="22"/>
          <w:lang w:val="en-US"/>
        </w:rPr>
      </w:pPr>
      <w:bookmarkStart w:id="176" w:name="_Toc29808"/>
      <w:r>
        <w:rPr>
          <w:rFonts w:hint="eastAsia"/>
          <w:szCs w:val="22"/>
          <w:lang w:val="en-US"/>
        </w:rPr>
        <w:t>十、其他资料</w:t>
      </w:r>
      <w:bookmarkEnd w:id="175"/>
      <w:bookmarkEnd w:id="176"/>
    </w:p>
    <w:p w14:paraId="61F4B9B3">
      <w:pPr>
        <w:pStyle w:val="3"/>
        <w:rPr>
          <w:b/>
          <w:sz w:val="20"/>
        </w:rPr>
      </w:pPr>
    </w:p>
    <w:p w14:paraId="453A6B2B">
      <w:pPr>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承诺函</w:t>
      </w:r>
    </w:p>
    <w:p w14:paraId="513619D9">
      <w:pPr>
        <w:pStyle w:val="2"/>
      </w:pPr>
    </w:p>
    <w:p w14:paraId="03B2F444">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bookmarkStart w:id="177" w:name="_Toc457469585"/>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u w:val="single"/>
          <w:shd w:val="clear" w:color="auto" w:fill="FFFFFF"/>
        </w:rPr>
        <w:t>（采购人及采购代理机构）</w:t>
      </w:r>
      <w:r>
        <w:rPr>
          <w:rFonts w:hint="eastAsia" w:ascii="宋体" w:hAnsi="宋体" w:eastAsia="宋体" w:cs="宋体"/>
          <w:color w:val="auto"/>
          <w:spacing w:val="8"/>
          <w:sz w:val="21"/>
          <w:szCs w:val="21"/>
          <w:highlight w:val="none"/>
          <w:shd w:val="clear" w:color="auto" w:fill="FFFFFF"/>
        </w:rPr>
        <w:t>：</w:t>
      </w:r>
    </w:p>
    <w:p w14:paraId="27BEA595">
      <w:pPr>
        <w:bidi w:val="0"/>
        <w:spacing w:line="360" w:lineRule="auto"/>
        <w:ind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rPr>
        <w:t>我</w:t>
      </w:r>
      <w:r>
        <w:rPr>
          <w:rFonts w:hint="eastAsia" w:ascii="宋体" w:hAnsi="宋体" w:eastAsia="宋体" w:cs="宋体"/>
          <w:color w:val="auto"/>
          <w:sz w:val="21"/>
          <w:szCs w:val="21"/>
          <w:highlight w:val="none"/>
        </w:rPr>
        <w:t>公司作为本次采购项目的供应商，根据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文件要求，现郑重承诺如下：</w:t>
      </w:r>
    </w:p>
    <w:p w14:paraId="48B139F1">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一、具备《中华人民共和国政府采购法》第二十二条第一款和本项目规定的条件：</w:t>
      </w:r>
    </w:p>
    <w:p w14:paraId="4F85AC8C">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 　　</w:t>
      </w:r>
    </w:p>
    <w:p w14:paraId="7360E65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 　</w:t>
      </w:r>
    </w:p>
    <w:p w14:paraId="3F94F96C">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 　　</w:t>
      </w:r>
    </w:p>
    <w:p w14:paraId="51A86583">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 　　</w:t>
      </w:r>
    </w:p>
    <w:p w14:paraId="0B56223A">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0F3368A5">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4E15116E">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（七）根据采购项目提出的特殊条件。</w:t>
      </w:r>
    </w:p>
    <w:p w14:paraId="6F38D97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二、完全接受和满足本项目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文件中规定的实质性要求，如对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文件有异议，已经在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截止时间届满前依法进行维权救济，不存在对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文件有异议的同时又参加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以求侥幸中标或者为实现其他非法目的的行为。</w:t>
      </w:r>
    </w:p>
    <w:p w14:paraId="7E69D947">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采购活动，不存在与单位负责人为同一人或者存在直接控股、管理关系的其他供应商参与同一合同项下的政府采购活动的行为。    </w:t>
      </w:r>
    </w:p>
    <w:p w14:paraId="43D444E3">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采购活动，不存在为采购项目提供整体设计、规范编制或者项目管理、监理、检测等服务的行为。</w:t>
      </w:r>
    </w:p>
    <w:p w14:paraId="7E3B7AB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采购活动，不存在和其他供应商在同一合同项下的采购项目中，同时委托同一个自然人、同一家庭的人员、同一单位的人员作为代理人的行为。</w:t>
      </w:r>
    </w:p>
    <w:p w14:paraId="1CCE023D">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六、供应商参加本次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采购活动要求在近三年内供应商和其法定代表人没有行贿犯罪行为。</w:t>
      </w:r>
    </w:p>
    <w:p w14:paraId="43A9F1B3">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采购活动，不存在联合体</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36107895">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中提供的能够给予我公司带来优惠、好处的任何材料资料和技术、服务、商务等</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承诺情况都是真实的、有效的、合法的。</w:t>
      </w:r>
    </w:p>
    <w:p w14:paraId="6A75758F">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1A06BFB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十、存在以下行为之一的愿意接受相关部门的处理：</w:t>
      </w:r>
    </w:p>
    <w:p w14:paraId="1B8522E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w:t>
      </w:r>
    </w:p>
    <w:p w14:paraId="5AF561B8">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（二）在采购人确定成交人以前放弃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候选资格的；</w:t>
      </w:r>
    </w:p>
    <w:p w14:paraId="4775809D">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（三）由于成交人的原因未能按照招标文件的规定与采购人签订合同；</w:t>
      </w:r>
    </w:p>
    <w:p w14:paraId="29CAAD11">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中提供虚假材料谋取中标；</w:t>
      </w:r>
    </w:p>
    <w:p w14:paraId="4A8C271F">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）与采购人、其他供应商或者采购代理机构恶意串通的；</w:t>
      </w:r>
    </w:p>
    <w:p w14:paraId="3BF0C37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有效期内，供应商在政府采购活动中有违法、违规、违纪行为。</w:t>
      </w:r>
    </w:p>
    <w:p w14:paraId="3C152F5E">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由此产生的一切法律后果和责任由我公司承担。我公司声明放弃对此提出任何异议和追索的权利。</w:t>
      </w:r>
    </w:p>
    <w:p w14:paraId="55CB3E0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本公司对上述承诺的内容事项真实性负责。如经查实上述承诺的内容事项存在虚假，我公司愿意接受以提供虚假材料谋取中标追究法律责任。</w:t>
      </w:r>
    </w:p>
    <w:p w14:paraId="02F18E6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3DD962F6">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（单位电子签章）</w:t>
      </w:r>
    </w:p>
    <w:p w14:paraId="4E64DB87">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（签名或盖章）</w:t>
      </w:r>
    </w:p>
    <w:p w14:paraId="4C4F397B">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p>
    <w:p w14:paraId="2F3723B9">
      <w:pPr>
        <w:spacing w:before="165" w:line="217" w:lineRule="auto"/>
        <w:ind w:left="50"/>
        <w:rPr>
          <w:rFonts w:ascii="仿宋" w:hAnsi="仿宋" w:eastAsia="仿宋" w:cs="仿宋"/>
          <w:b/>
          <w:bCs/>
          <w:spacing w:val="-21"/>
          <w:sz w:val="24"/>
          <w:szCs w:val="24"/>
        </w:rPr>
      </w:pPr>
    </w:p>
    <w:p w14:paraId="6975393F">
      <w:pPr>
        <w:spacing w:line="56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反商业贿赂承诺书</w:t>
      </w:r>
      <w:bookmarkEnd w:id="177"/>
    </w:p>
    <w:p w14:paraId="7D6614BA">
      <w:pPr>
        <w:spacing w:line="560" w:lineRule="exact"/>
        <w:ind w:firstLine="420" w:firstLineChars="200"/>
        <w:rPr>
          <w:rFonts w:hint="eastAsia" w:asciiTheme="majorEastAsia" w:hAnsiTheme="majorEastAsia" w:eastAsiaTheme="majorEastAsia" w:cstheme="majorEastAsia"/>
          <w:sz w:val="21"/>
          <w:szCs w:val="21"/>
        </w:rPr>
      </w:pPr>
    </w:p>
    <w:p w14:paraId="1EF5FF2E">
      <w:pPr>
        <w:spacing w:line="5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我方承诺：</w:t>
      </w:r>
    </w:p>
    <w:p w14:paraId="256173FA">
      <w:pPr>
        <w:spacing w:line="5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在 </w:t>
      </w:r>
      <w:r>
        <w:rPr>
          <w:rFonts w:hint="eastAsia" w:asciiTheme="majorEastAsia" w:hAnsiTheme="majorEastAsia" w:eastAsiaTheme="majorEastAsia" w:cstheme="majorEastAsia"/>
          <w:sz w:val="21"/>
          <w:szCs w:val="21"/>
          <w:u w:val="single"/>
        </w:rPr>
        <w:t xml:space="preserve">           （项目名称）  （项目编号：  ）</w:t>
      </w:r>
      <w:r>
        <w:rPr>
          <w:rFonts w:hint="eastAsia" w:asciiTheme="majorEastAsia" w:hAnsiTheme="majorEastAsia" w:eastAsiaTheme="majorEastAsia" w:cstheme="majorEastAsia"/>
          <w:sz w:val="21"/>
          <w:szCs w:val="21"/>
        </w:rPr>
        <w:t>磋商活动中，我方保证做到：</w:t>
      </w:r>
    </w:p>
    <w:p w14:paraId="1DE7CE40">
      <w:pPr>
        <w:spacing w:line="5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一、公平竞争参加本次磋商采购活动。</w:t>
      </w:r>
    </w:p>
    <w:p w14:paraId="7A27D712">
      <w:pPr>
        <w:spacing w:line="5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D59B40E">
      <w:pPr>
        <w:spacing w:line="56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三、若出现上述行为，我方及参与投标的工作人员愿意接受按照国家法律法规等有关规定给予的处罚。</w:t>
      </w:r>
    </w:p>
    <w:p w14:paraId="46D67830">
      <w:pPr>
        <w:spacing w:line="560" w:lineRule="exact"/>
        <w:rPr>
          <w:rFonts w:hint="eastAsia" w:asciiTheme="majorEastAsia" w:hAnsiTheme="majorEastAsia" w:eastAsiaTheme="majorEastAsia" w:cstheme="majorEastAsia"/>
          <w:sz w:val="21"/>
          <w:szCs w:val="21"/>
        </w:rPr>
      </w:pPr>
    </w:p>
    <w:p w14:paraId="73354220">
      <w:pPr>
        <w:spacing w:line="560" w:lineRule="exact"/>
        <w:ind w:firstLine="420" w:firstLineChars="200"/>
        <w:rPr>
          <w:rFonts w:hint="eastAsia" w:asciiTheme="majorEastAsia" w:hAnsiTheme="majorEastAsia" w:eastAsiaTheme="majorEastAsia" w:cstheme="majorEastAsia"/>
          <w:sz w:val="21"/>
          <w:szCs w:val="21"/>
        </w:rPr>
      </w:pPr>
      <w:bookmarkStart w:id="178" w:name="_Toc27672"/>
      <w:bookmarkStart w:id="179" w:name="_Toc20561"/>
      <w:r>
        <w:rPr>
          <w:rFonts w:hint="eastAsia" w:asciiTheme="majorEastAsia" w:hAnsiTheme="majorEastAsia" w:eastAsiaTheme="majorEastAsia" w:cstheme="majorEastAsia"/>
          <w:sz w:val="21"/>
          <w:szCs w:val="21"/>
        </w:rPr>
        <w:t>供应商（单位电子签章）：</w:t>
      </w:r>
      <w:bookmarkEnd w:id="178"/>
      <w:bookmarkEnd w:id="179"/>
      <w:r>
        <w:rPr>
          <w:rFonts w:hint="eastAsia" w:asciiTheme="majorEastAsia" w:hAnsiTheme="majorEastAsia" w:eastAsiaTheme="majorEastAsia" w:cstheme="majorEastAsia"/>
          <w:sz w:val="21"/>
          <w:szCs w:val="21"/>
        </w:rPr>
        <w:t>　</w:t>
      </w:r>
    </w:p>
    <w:p w14:paraId="097D7599">
      <w:pPr>
        <w:spacing w:line="560" w:lineRule="exact"/>
        <w:ind w:firstLine="420" w:firstLineChars="200"/>
        <w:rPr>
          <w:rFonts w:hint="eastAsia" w:asciiTheme="majorEastAsia" w:hAnsiTheme="majorEastAsia" w:eastAsiaTheme="majorEastAsia" w:cstheme="majorEastAsia"/>
          <w:sz w:val="21"/>
          <w:szCs w:val="21"/>
        </w:rPr>
      </w:pPr>
    </w:p>
    <w:p w14:paraId="03E07C4D">
      <w:pPr>
        <w:spacing w:line="560" w:lineRule="exact"/>
        <w:ind w:firstLine="420" w:firstLineChars="200"/>
        <w:rPr>
          <w:rFonts w:hint="eastAsia" w:asciiTheme="majorEastAsia" w:hAnsiTheme="majorEastAsia" w:eastAsiaTheme="majorEastAsia" w:cstheme="majorEastAsia"/>
          <w:sz w:val="21"/>
          <w:szCs w:val="21"/>
        </w:rPr>
      </w:pPr>
      <w:bookmarkStart w:id="180" w:name="_Toc1668"/>
      <w:bookmarkStart w:id="181" w:name="_Toc5607"/>
      <w:r>
        <w:rPr>
          <w:rFonts w:hint="eastAsia" w:asciiTheme="majorEastAsia" w:hAnsiTheme="majorEastAsia" w:eastAsiaTheme="majorEastAsia" w:cstheme="majorEastAsia"/>
          <w:sz w:val="21"/>
          <w:szCs w:val="21"/>
        </w:rPr>
        <w:t>法人代表或授权代表（签名或盖章）：</w:t>
      </w:r>
      <w:bookmarkEnd w:id="180"/>
      <w:bookmarkEnd w:id="181"/>
    </w:p>
    <w:p w14:paraId="6AA97AEB">
      <w:pPr>
        <w:spacing w:line="560" w:lineRule="exact"/>
        <w:ind w:firstLine="420" w:firstLineChars="200"/>
        <w:rPr>
          <w:rFonts w:hint="eastAsia" w:asciiTheme="majorEastAsia" w:hAnsiTheme="majorEastAsia" w:eastAsiaTheme="majorEastAsia" w:cstheme="majorEastAsia"/>
          <w:sz w:val="21"/>
          <w:szCs w:val="21"/>
        </w:rPr>
      </w:pPr>
    </w:p>
    <w:p w14:paraId="6116EC12">
      <w:pPr>
        <w:spacing w:line="560" w:lineRule="exact"/>
        <w:ind w:firstLine="420" w:firstLineChars="200"/>
        <w:rPr>
          <w:rFonts w:hint="eastAsia" w:asciiTheme="majorEastAsia" w:hAnsiTheme="majorEastAsia" w:eastAsiaTheme="majorEastAsia" w:cstheme="majorEastAsia"/>
          <w:sz w:val="21"/>
          <w:szCs w:val="21"/>
        </w:rPr>
      </w:pPr>
      <w:bookmarkStart w:id="182" w:name="_Toc23777"/>
      <w:bookmarkStart w:id="183" w:name="_Toc5831"/>
      <w:r>
        <w:rPr>
          <w:rFonts w:hint="eastAsia" w:asciiTheme="majorEastAsia" w:hAnsiTheme="majorEastAsia" w:eastAsiaTheme="majorEastAsia" w:cstheme="majorEastAsia"/>
          <w:sz w:val="21"/>
          <w:szCs w:val="21"/>
        </w:rPr>
        <w:t>日期：    年　　月　　日</w:t>
      </w:r>
      <w:bookmarkEnd w:id="182"/>
      <w:bookmarkEnd w:id="183"/>
    </w:p>
    <w:p w14:paraId="5974816B">
      <w:pPr>
        <w:widowControl/>
        <w:autoSpaceDE/>
        <w:autoSpaceDN/>
        <w:rPr>
          <w:rFonts w:hint="eastAsia" w:asciiTheme="majorEastAsia" w:hAnsiTheme="majorEastAsia" w:eastAsiaTheme="majorEastAsia" w:cstheme="majorEastAsia"/>
          <w:spacing w:val="-25"/>
          <w:sz w:val="21"/>
          <w:szCs w:val="21"/>
        </w:rPr>
      </w:pPr>
      <w:r>
        <w:rPr>
          <w:rFonts w:hint="eastAsia" w:asciiTheme="majorEastAsia" w:hAnsiTheme="majorEastAsia" w:eastAsiaTheme="majorEastAsia" w:cstheme="majorEastAsia"/>
          <w:spacing w:val="-25"/>
          <w:sz w:val="21"/>
          <w:szCs w:val="21"/>
        </w:rPr>
        <w:br w:type="page"/>
      </w:r>
    </w:p>
    <w:p w14:paraId="1473DE7E">
      <w:pPr>
        <w:spacing w:line="317" w:lineRule="auto"/>
        <w:jc w:val="center"/>
        <w:rPr>
          <w:rFonts w:ascii="Arial"/>
          <w:sz w:val="21"/>
        </w:rPr>
      </w:pPr>
      <w:r>
        <w:rPr>
          <w:rFonts w:hint="eastAsia" w:ascii="仿宋" w:hAnsi="仿宋" w:eastAsia="仿宋" w:cs="仿宋"/>
          <w:b/>
          <w:bCs/>
          <w:spacing w:val="-4"/>
          <w:sz w:val="28"/>
          <w:szCs w:val="28"/>
          <w:lang w:val="en-US" w:eastAsia="zh-CN"/>
        </w:rPr>
        <w:t>3、</w:t>
      </w:r>
      <w:r>
        <w:rPr>
          <w:rFonts w:hint="eastAsia" w:ascii="仿宋" w:hAnsi="仿宋" w:eastAsia="仿宋" w:cs="仿宋"/>
          <w:b/>
          <w:bCs/>
          <w:spacing w:val="-4"/>
          <w:sz w:val="28"/>
          <w:szCs w:val="28"/>
        </w:rPr>
        <w:t>投标人认为需要提供的其他资料</w:t>
      </w:r>
    </w:p>
    <w:p w14:paraId="71D58C2D">
      <w:pPr>
        <w:spacing w:line="317" w:lineRule="auto"/>
        <w:rPr>
          <w:rFonts w:ascii="Arial"/>
          <w:sz w:val="21"/>
        </w:rPr>
      </w:pPr>
    </w:p>
    <w:p w14:paraId="2A54EC7F">
      <w:pPr>
        <w:spacing w:before="156" w:line="217" w:lineRule="auto"/>
        <w:jc w:val="center"/>
        <w:rPr>
          <w:spacing w:val="1"/>
          <w:sz w:val="48"/>
          <w:szCs w:val="48"/>
          <w14:textOutline w14:w="8712" w14:cap="flat" w14:cmpd="sng" w14:algn="ctr">
            <w14:solidFill>
              <w14:srgbClr w14:val="000000"/>
            </w14:solidFill>
            <w14:prstDash w14:val="solid"/>
            <w14:miter w14:val="0"/>
          </w14:textOutline>
        </w:rPr>
      </w:pPr>
    </w:p>
    <w:p w14:paraId="0B928C58">
      <w:pPr>
        <w:spacing w:before="156" w:line="217" w:lineRule="auto"/>
        <w:jc w:val="left"/>
        <w:rPr>
          <w:rFonts w:hint="eastAsia" w:ascii="仿宋" w:hAnsi="仿宋" w:eastAsia="仿宋" w:cs="仿宋"/>
          <w:b/>
          <w:bCs/>
          <w:color w:val="auto"/>
          <w:sz w:val="28"/>
          <w:szCs w:val="28"/>
          <w:lang w:val="en-US" w:eastAsia="zh-CN"/>
        </w:rPr>
      </w:pPr>
    </w:p>
    <w:p w14:paraId="519E914E">
      <w:pPr>
        <w:spacing w:before="156" w:line="217" w:lineRule="auto"/>
        <w:jc w:val="left"/>
        <w:rPr>
          <w:rFonts w:hint="eastAsia" w:ascii="仿宋" w:hAnsi="仿宋" w:eastAsia="仿宋" w:cs="仿宋"/>
          <w:b/>
          <w:bCs/>
          <w:color w:val="auto"/>
          <w:sz w:val="28"/>
          <w:szCs w:val="28"/>
          <w:lang w:val="en-US" w:eastAsia="zh-CN"/>
        </w:rPr>
      </w:pPr>
    </w:p>
    <w:p w14:paraId="3F717F18">
      <w:pPr>
        <w:spacing w:before="156" w:line="217" w:lineRule="auto"/>
        <w:jc w:val="left"/>
        <w:rPr>
          <w:rFonts w:hint="eastAsia" w:ascii="仿宋" w:hAnsi="仿宋" w:eastAsia="仿宋" w:cs="仿宋"/>
          <w:b/>
          <w:bCs/>
          <w:color w:val="auto"/>
          <w:sz w:val="28"/>
          <w:szCs w:val="28"/>
          <w:lang w:val="en-US" w:eastAsia="zh-CN"/>
        </w:rPr>
      </w:pPr>
    </w:p>
    <w:p w14:paraId="2F32C0AD">
      <w:pPr>
        <w:spacing w:before="156" w:line="217" w:lineRule="auto"/>
        <w:jc w:val="left"/>
        <w:rPr>
          <w:rFonts w:hint="eastAsia" w:ascii="仿宋" w:hAnsi="仿宋" w:eastAsia="仿宋" w:cs="仿宋"/>
          <w:b/>
          <w:bCs/>
          <w:color w:val="auto"/>
          <w:sz w:val="28"/>
          <w:szCs w:val="28"/>
          <w:lang w:val="en-US" w:eastAsia="zh-CN"/>
        </w:rPr>
      </w:pPr>
    </w:p>
    <w:p w14:paraId="7CED3597">
      <w:pPr>
        <w:spacing w:before="156" w:line="217" w:lineRule="auto"/>
        <w:jc w:val="left"/>
        <w:rPr>
          <w:rFonts w:hint="eastAsia" w:ascii="仿宋" w:hAnsi="仿宋" w:eastAsia="仿宋" w:cs="仿宋"/>
          <w:b/>
          <w:bCs/>
          <w:color w:val="auto"/>
          <w:sz w:val="28"/>
          <w:szCs w:val="28"/>
          <w:lang w:val="en-US" w:eastAsia="zh-CN"/>
        </w:rPr>
      </w:pPr>
    </w:p>
    <w:p w14:paraId="211BE525">
      <w:pPr>
        <w:spacing w:before="156" w:line="217" w:lineRule="auto"/>
        <w:jc w:val="left"/>
        <w:rPr>
          <w:rFonts w:hint="eastAsia" w:ascii="仿宋" w:hAnsi="仿宋" w:eastAsia="仿宋" w:cs="仿宋"/>
          <w:b/>
          <w:bCs/>
          <w:color w:val="auto"/>
          <w:sz w:val="28"/>
          <w:szCs w:val="28"/>
          <w:lang w:val="en-US" w:eastAsia="zh-CN"/>
        </w:rPr>
      </w:pPr>
    </w:p>
    <w:p w14:paraId="1263DA54">
      <w:pPr>
        <w:spacing w:before="156" w:line="217" w:lineRule="auto"/>
        <w:jc w:val="left"/>
        <w:rPr>
          <w:rFonts w:hint="eastAsia" w:ascii="仿宋" w:hAnsi="仿宋" w:eastAsia="仿宋" w:cs="仿宋"/>
          <w:b/>
          <w:bCs/>
          <w:color w:val="auto"/>
          <w:sz w:val="28"/>
          <w:szCs w:val="28"/>
          <w:lang w:val="en-US" w:eastAsia="zh-CN"/>
        </w:rPr>
      </w:pPr>
    </w:p>
    <w:p w14:paraId="682F4443">
      <w:pPr>
        <w:spacing w:before="156" w:line="217" w:lineRule="auto"/>
        <w:jc w:val="left"/>
        <w:rPr>
          <w:rFonts w:hint="eastAsia" w:ascii="仿宋" w:hAnsi="仿宋" w:eastAsia="仿宋" w:cs="仿宋"/>
          <w:b/>
          <w:bCs/>
          <w:color w:val="auto"/>
          <w:sz w:val="28"/>
          <w:szCs w:val="28"/>
          <w:lang w:val="en-US" w:eastAsia="zh-CN"/>
        </w:rPr>
      </w:pPr>
    </w:p>
    <w:p w14:paraId="63C1746C">
      <w:pPr>
        <w:spacing w:before="156" w:line="217" w:lineRule="auto"/>
        <w:jc w:val="left"/>
        <w:rPr>
          <w:rFonts w:hint="eastAsia" w:ascii="仿宋" w:hAnsi="仿宋" w:eastAsia="仿宋" w:cs="仿宋"/>
          <w:b/>
          <w:bCs/>
          <w:color w:val="auto"/>
          <w:sz w:val="28"/>
          <w:szCs w:val="28"/>
          <w:lang w:val="en-US" w:eastAsia="zh-CN"/>
        </w:rPr>
      </w:pPr>
    </w:p>
    <w:p w14:paraId="14ACE6B7">
      <w:pPr>
        <w:spacing w:before="156" w:line="217" w:lineRule="auto"/>
        <w:jc w:val="left"/>
        <w:rPr>
          <w:rFonts w:hint="eastAsia" w:ascii="仿宋" w:hAnsi="仿宋" w:eastAsia="仿宋" w:cs="仿宋"/>
          <w:b/>
          <w:bCs/>
          <w:color w:val="auto"/>
          <w:sz w:val="28"/>
          <w:szCs w:val="28"/>
          <w:lang w:val="en-US" w:eastAsia="zh-CN"/>
        </w:rPr>
      </w:pPr>
    </w:p>
    <w:p w14:paraId="74BBC439">
      <w:pPr>
        <w:spacing w:before="156" w:line="217" w:lineRule="auto"/>
        <w:jc w:val="left"/>
        <w:rPr>
          <w:rFonts w:hint="eastAsia" w:ascii="仿宋" w:hAnsi="仿宋" w:eastAsia="仿宋" w:cs="仿宋"/>
          <w:b/>
          <w:bCs/>
          <w:color w:val="auto"/>
          <w:sz w:val="28"/>
          <w:szCs w:val="28"/>
          <w:lang w:val="en-US" w:eastAsia="zh-CN"/>
        </w:rPr>
      </w:pPr>
    </w:p>
    <w:p w14:paraId="67E31EB4">
      <w:pPr>
        <w:spacing w:before="156" w:line="217" w:lineRule="auto"/>
        <w:jc w:val="left"/>
        <w:rPr>
          <w:rFonts w:hint="eastAsia" w:ascii="仿宋" w:hAnsi="仿宋" w:eastAsia="仿宋" w:cs="仿宋"/>
          <w:b/>
          <w:bCs/>
          <w:color w:val="auto"/>
          <w:sz w:val="28"/>
          <w:szCs w:val="28"/>
          <w:lang w:val="en-US" w:eastAsia="zh-CN"/>
        </w:rPr>
      </w:pPr>
    </w:p>
    <w:p w14:paraId="4C3C8DB3">
      <w:pPr>
        <w:spacing w:before="156" w:line="217" w:lineRule="auto"/>
        <w:jc w:val="left"/>
        <w:rPr>
          <w:rFonts w:hint="eastAsia" w:ascii="仿宋" w:hAnsi="仿宋" w:eastAsia="仿宋" w:cs="仿宋"/>
          <w:b/>
          <w:bCs/>
          <w:color w:val="auto"/>
          <w:sz w:val="28"/>
          <w:szCs w:val="28"/>
          <w:lang w:val="en-US" w:eastAsia="zh-CN"/>
        </w:rPr>
      </w:pPr>
    </w:p>
    <w:p w14:paraId="19AFD888">
      <w:pPr>
        <w:spacing w:before="156" w:line="217" w:lineRule="auto"/>
        <w:jc w:val="left"/>
        <w:rPr>
          <w:rFonts w:hint="eastAsia" w:ascii="仿宋" w:hAnsi="仿宋" w:eastAsia="仿宋" w:cs="仿宋"/>
          <w:b/>
          <w:bCs/>
          <w:color w:val="auto"/>
          <w:sz w:val="28"/>
          <w:szCs w:val="28"/>
          <w:lang w:val="en-US" w:eastAsia="zh-CN"/>
        </w:rPr>
      </w:pPr>
    </w:p>
    <w:p w14:paraId="3B63052E">
      <w:pPr>
        <w:spacing w:before="156" w:line="217" w:lineRule="auto"/>
        <w:jc w:val="left"/>
        <w:rPr>
          <w:rFonts w:hint="eastAsia" w:ascii="仿宋" w:hAnsi="仿宋" w:eastAsia="仿宋" w:cs="仿宋"/>
          <w:b/>
          <w:bCs/>
          <w:color w:val="auto"/>
          <w:sz w:val="28"/>
          <w:szCs w:val="28"/>
          <w:lang w:val="en-US" w:eastAsia="zh-CN"/>
        </w:rPr>
      </w:pPr>
    </w:p>
    <w:p w14:paraId="6AB044A3">
      <w:pPr>
        <w:spacing w:before="156" w:line="217" w:lineRule="auto"/>
        <w:jc w:val="left"/>
        <w:rPr>
          <w:rFonts w:hint="eastAsia" w:ascii="仿宋" w:hAnsi="仿宋" w:eastAsia="仿宋" w:cs="仿宋"/>
          <w:b/>
          <w:bCs/>
          <w:color w:val="auto"/>
          <w:sz w:val="28"/>
          <w:szCs w:val="28"/>
          <w:lang w:val="en-US" w:eastAsia="zh-CN"/>
        </w:rPr>
      </w:pPr>
    </w:p>
    <w:p w14:paraId="13264058">
      <w:pPr>
        <w:spacing w:before="156" w:line="217" w:lineRule="auto"/>
        <w:jc w:val="left"/>
        <w:rPr>
          <w:rFonts w:hint="eastAsia" w:ascii="仿宋" w:hAnsi="仿宋" w:eastAsia="仿宋" w:cs="仿宋"/>
          <w:b/>
          <w:bCs/>
          <w:color w:val="auto"/>
          <w:sz w:val="28"/>
          <w:szCs w:val="28"/>
          <w:lang w:val="en-US" w:eastAsia="zh-CN"/>
        </w:rPr>
      </w:pPr>
    </w:p>
    <w:p w14:paraId="42B30369">
      <w:pPr>
        <w:spacing w:before="156" w:line="217" w:lineRule="auto"/>
        <w:jc w:val="left"/>
        <w:rPr>
          <w:rFonts w:hint="eastAsia" w:ascii="仿宋" w:hAnsi="仿宋" w:eastAsia="仿宋" w:cs="仿宋"/>
          <w:b/>
          <w:bCs/>
          <w:color w:val="auto"/>
          <w:sz w:val="28"/>
          <w:szCs w:val="28"/>
          <w:lang w:val="en-US" w:eastAsia="zh-CN"/>
        </w:rPr>
      </w:pPr>
    </w:p>
    <w:p w14:paraId="34E4AF4A">
      <w:pPr>
        <w:spacing w:before="156" w:line="217" w:lineRule="auto"/>
        <w:jc w:val="left"/>
        <w:rPr>
          <w:rFonts w:hint="eastAsia" w:ascii="仿宋" w:hAnsi="仿宋" w:eastAsia="仿宋" w:cs="仿宋"/>
          <w:b/>
          <w:bCs/>
          <w:color w:val="auto"/>
          <w:sz w:val="28"/>
          <w:szCs w:val="28"/>
          <w:lang w:val="en-US" w:eastAsia="zh-CN"/>
        </w:rPr>
      </w:pPr>
    </w:p>
    <w:p w14:paraId="62B18781">
      <w:pPr>
        <w:spacing w:before="156" w:line="217" w:lineRule="auto"/>
        <w:jc w:val="left"/>
        <w:rPr>
          <w:rFonts w:hint="eastAsia" w:ascii="仿宋" w:hAnsi="仿宋" w:eastAsia="仿宋" w:cs="仿宋"/>
          <w:b/>
          <w:bCs/>
          <w:color w:val="auto"/>
          <w:sz w:val="28"/>
          <w:szCs w:val="28"/>
          <w:lang w:val="en-US" w:eastAsia="zh-CN"/>
        </w:rPr>
      </w:pPr>
    </w:p>
    <w:p w14:paraId="29499A8E">
      <w:pPr>
        <w:spacing w:before="156" w:line="217" w:lineRule="auto"/>
        <w:jc w:val="left"/>
        <w:rPr>
          <w:rFonts w:hint="eastAsia" w:ascii="仿宋" w:hAnsi="仿宋" w:eastAsia="仿宋" w:cs="仿宋"/>
          <w:b/>
          <w:bCs/>
          <w:color w:val="auto"/>
          <w:sz w:val="28"/>
          <w:szCs w:val="28"/>
          <w:lang w:val="en-US" w:eastAsia="zh-CN"/>
        </w:rPr>
      </w:pPr>
    </w:p>
    <w:p w14:paraId="65675FAD">
      <w:pPr>
        <w:spacing w:before="156" w:line="217" w:lineRule="auto"/>
        <w:jc w:val="left"/>
        <w:rPr>
          <w:rFonts w:hint="eastAsia" w:ascii="仿宋" w:hAnsi="仿宋" w:eastAsia="仿宋" w:cs="仿宋"/>
          <w:b/>
          <w:bCs/>
          <w:color w:val="auto"/>
          <w:sz w:val="28"/>
          <w:szCs w:val="28"/>
          <w:lang w:val="en-US" w:eastAsia="zh-CN"/>
        </w:rPr>
      </w:pPr>
    </w:p>
    <w:p w14:paraId="38103A8B">
      <w:pPr>
        <w:spacing w:before="156" w:line="217" w:lineRule="auto"/>
        <w:jc w:val="left"/>
        <w:rPr>
          <w:rFonts w:hint="eastAsia" w:ascii="仿宋" w:hAnsi="仿宋" w:eastAsia="仿宋" w:cs="仿宋"/>
          <w:b/>
          <w:bCs/>
          <w:color w:val="auto"/>
          <w:sz w:val="28"/>
          <w:szCs w:val="28"/>
          <w:lang w:val="en-US" w:eastAsia="zh-CN"/>
        </w:rPr>
      </w:pPr>
    </w:p>
    <w:p w14:paraId="23B3536F">
      <w:pPr>
        <w:spacing w:before="156" w:line="217" w:lineRule="auto"/>
        <w:jc w:val="left"/>
        <w:rPr>
          <w:rFonts w:hint="eastAsia" w:ascii="仿宋" w:hAnsi="仿宋" w:eastAsia="仿宋" w:cs="仿宋"/>
          <w:b/>
          <w:bCs/>
          <w:color w:val="auto"/>
          <w:sz w:val="28"/>
          <w:szCs w:val="28"/>
          <w:lang w:val="en-US" w:eastAsia="zh-CN"/>
        </w:rPr>
      </w:pPr>
    </w:p>
    <w:p w14:paraId="358A4493">
      <w:pPr>
        <w:spacing w:before="156" w:line="217" w:lineRule="auto"/>
        <w:jc w:val="left"/>
        <w:rPr>
          <w:rFonts w:hint="eastAsia" w:ascii="仿宋" w:hAnsi="仿宋" w:eastAsia="仿宋" w:cs="仿宋"/>
          <w:b/>
          <w:bCs/>
          <w:color w:val="auto"/>
          <w:sz w:val="28"/>
          <w:szCs w:val="28"/>
          <w:lang w:val="en-US" w:eastAsia="zh-CN"/>
        </w:rPr>
      </w:pPr>
    </w:p>
    <w:p w14:paraId="7EE0FA8C">
      <w:pPr>
        <w:spacing w:before="156" w:line="217" w:lineRule="auto"/>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附件（此附件不需要附在投标文件中）</w:t>
      </w:r>
    </w:p>
    <w:p w14:paraId="4382E60B">
      <w:pPr>
        <w:pStyle w:val="2"/>
        <w:rPr>
          <w:rFonts w:hint="eastAsia"/>
          <w:lang w:val="en-US" w:eastAsia="zh-CN"/>
        </w:rPr>
      </w:pPr>
    </w:p>
    <w:p w14:paraId="5435E05A">
      <w:pPr>
        <w:spacing w:before="156" w:line="217" w:lineRule="auto"/>
        <w:jc w:val="center"/>
        <w:rPr>
          <w:sz w:val="48"/>
          <w:szCs w:val="48"/>
        </w:rPr>
      </w:pPr>
      <w:r>
        <w:rPr>
          <w:spacing w:val="1"/>
          <w:sz w:val="48"/>
          <w:szCs w:val="48"/>
          <w14:textOutline w14:w="8712" w14:cap="flat" w14:cmpd="sng" w14:algn="ctr">
            <w14:solidFill>
              <w14:srgbClr w14:val="000000"/>
            </w14:solidFill>
            <w14:prstDash w14:val="solid"/>
            <w14:miter w14:val="0"/>
          </w14:textOutline>
        </w:rPr>
        <w:t>新</w:t>
      </w:r>
      <w:r>
        <w:rPr>
          <w:sz w:val="48"/>
          <w:szCs w:val="48"/>
          <w14:textOutline w14:w="8712" w14:cap="flat" w14:cmpd="sng" w14:algn="ctr">
            <w14:solidFill>
              <w14:srgbClr w14:val="000000"/>
            </w14:solidFill>
            <w14:prstDash w14:val="solid"/>
            <w14:miter w14:val="0"/>
          </w14:textOutline>
        </w:rPr>
        <w:t>县政府采购合同融资政策告知函</w:t>
      </w:r>
    </w:p>
    <w:p w14:paraId="7A217A03">
      <w:pPr>
        <w:pStyle w:val="3"/>
      </w:pPr>
    </w:p>
    <w:p w14:paraId="5AAEEB28">
      <w:pPr>
        <w:spacing w:before="104" w:line="218" w:lineRule="auto"/>
        <w:ind w:left="25"/>
        <w:rPr>
          <w:rFonts w:ascii="仿宋" w:hAnsi="仿宋" w:eastAsia="仿宋" w:cs="仿宋"/>
          <w:sz w:val="32"/>
          <w:szCs w:val="32"/>
        </w:rPr>
      </w:pPr>
      <w:r>
        <w:rPr>
          <w:rFonts w:ascii="仿宋" w:hAnsi="仿宋" w:eastAsia="仿宋" w:cs="仿宋"/>
          <w:spacing w:val="-18"/>
          <w:sz w:val="32"/>
          <w:szCs w:val="32"/>
        </w:rPr>
        <w:t>各</w:t>
      </w:r>
      <w:r>
        <w:rPr>
          <w:rFonts w:ascii="仿宋" w:hAnsi="仿宋" w:eastAsia="仿宋" w:cs="仿宋"/>
          <w:spacing w:val="-15"/>
          <w:sz w:val="32"/>
          <w:szCs w:val="32"/>
        </w:rPr>
        <w:t>供应商：</w:t>
      </w:r>
    </w:p>
    <w:p w14:paraId="3F162777">
      <w:pPr>
        <w:spacing w:before="246" w:line="217" w:lineRule="auto"/>
        <w:ind w:left="681"/>
        <w:rPr>
          <w:rFonts w:ascii="仿宋" w:hAnsi="仿宋" w:eastAsia="仿宋" w:cs="仿宋"/>
          <w:sz w:val="32"/>
          <w:szCs w:val="32"/>
        </w:rPr>
      </w:pPr>
      <w:r>
        <w:rPr>
          <w:rFonts w:ascii="仿宋" w:hAnsi="仿宋" w:eastAsia="仿宋" w:cs="仿宋"/>
          <w:spacing w:val="-5"/>
          <w:sz w:val="32"/>
          <w:szCs w:val="32"/>
        </w:rPr>
        <w:t>欢迎贵公司参与新县政府采购活动！</w:t>
      </w:r>
    </w:p>
    <w:p w14:paraId="15B41857">
      <w:pPr>
        <w:spacing w:before="244" w:line="360" w:lineRule="auto"/>
        <w:ind w:left="20" w:firstLine="657"/>
        <w:rPr>
          <w:rFonts w:ascii="仿宋" w:hAnsi="仿宋" w:eastAsia="仿宋" w:cs="仿宋"/>
          <w:sz w:val="32"/>
          <w:szCs w:val="32"/>
        </w:rPr>
      </w:pPr>
      <w:r>
        <w:rPr>
          <w:rFonts w:ascii="仿宋" w:hAnsi="仿宋" w:eastAsia="仿宋" w:cs="仿宋"/>
          <w:spacing w:val="16"/>
          <w:sz w:val="32"/>
          <w:szCs w:val="32"/>
        </w:rPr>
        <w:t>政府</w:t>
      </w:r>
      <w:r>
        <w:rPr>
          <w:rFonts w:ascii="仿宋" w:hAnsi="仿宋" w:eastAsia="仿宋" w:cs="仿宋"/>
          <w:spacing w:val="9"/>
          <w:sz w:val="32"/>
          <w:szCs w:val="32"/>
        </w:rPr>
        <w:t>采</w:t>
      </w:r>
      <w:r>
        <w:rPr>
          <w:rFonts w:ascii="仿宋" w:hAnsi="仿宋" w:eastAsia="仿宋" w:cs="仿宋"/>
          <w:spacing w:val="8"/>
          <w:sz w:val="32"/>
          <w:szCs w:val="32"/>
        </w:rPr>
        <w:t>购合同融资是新县财政局支持中小微企业发展，</w:t>
      </w:r>
      <w:r>
        <w:rPr>
          <w:rFonts w:ascii="仿宋" w:hAnsi="仿宋" w:eastAsia="仿宋" w:cs="仿宋"/>
          <w:spacing w:val="-1"/>
          <w:sz w:val="32"/>
          <w:szCs w:val="32"/>
        </w:rPr>
        <w:t>针对参与政府采购活动的供应商融资难、融资贵</w:t>
      </w:r>
      <w:r>
        <w:rPr>
          <w:rFonts w:ascii="仿宋" w:hAnsi="仿宋" w:eastAsia="仿宋" w:cs="仿宋"/>
          <w:sz w:val="32"/>
          <w:szCs w:val="32"/>
        </w:rPr>
        <w:t>问题推出的</w:t>
      </w:r>
      <w:r>
        <w:rPr>
          <w:rFonts w:ascii="仿宋" w:hAnsi="仿宋" w:eastAsia="仿宋" w:cs="仿宋"/>
          <w:spacing w:val="-1"/>
          <w:sz w:val="32"/>
          <w:szCs w:val="32"/>
        </w:rPr>
        <w:t>一项融资政策。贵公司若成为本次政府采购项目</w:t>
      </w:r>
      <w:r>
        <w:rPr>
          <w:rFonts w:ascii="仿宋" w:hAnsi="仿宋" w:eastAsia="仿宋" w:cs="仿宋"/>
          <w:sz w:val="32"/>
          <w:szCs w:val="32"/>
        </w:rPr>
        <w:t>的中标成交</w:t>
      </w:r>
      <w:r>
        <w:rPr>
          <w:rFonts w:ascii="仿宋" w:hAnsi="仿宋" w:eastAsia="仿宋" w:cs="仿宋"/>
          <w:spacing w:val="-1"/>
          <w:sz w:val="32"/>
          <w:szCs w:val="32"/>
        </w:rPr>
        <w:t>供应商，可持政府采购合同向融资服务机构申请</w:t>
      </w:r>
      <w:r>
        <w:rPr>
          <w:rFonts w:ascii="仿宋" w:hAnsi="仿宋" w:eastAsia="仿宋" w:cs="仿宋"/>
          <w:sz w:val="32"/>
          <w:szCs w:val="32"/>
        </w:rPr>
        <w:t>贷款，无需</w:t>
      </w:r>
      <w:r>
        <w:rPr>
          <w:rFonts w:ascii="仿宋" w:hAnsi="仿宋" w:eastAsia="仿宋" w:cs="仿宋"/>
          <w:spacing w:val="-8"/>
          <w:sz w:val="32"/>
          <w:szCs w:val="32"/>
        </w:rPr>
        <w:t>抵押、担保，融资服务机构将根据《河南省政府采购合同</w:t>
      </w:r>
      <w:r>
        <w:rPr>
          <w:rFonts w:ascii="仿宋" w:hAnsi="仿宋" w:eastAsia="仿宋" w:cs="仿宋"/>
          <w:spacing w:val="-6"/>
          <w:sz w:val="32"/>
          <w:szCs w:val="32"/>
        </w:rPr>
        <w:t>融</w:t>
      </w:r>
      <w:r>
        <w:rPr>
          <w:rFonts w:ascii="仿宋" w:hAnsi="仿宋" w:eastAsia="仿宋" w:cs="仿宋"/>
          <w:spacing w:val="-28"/>
          <w:sz w:val="32"/>
          <w:szCs w:val="32"/>
        </w:rPr>
        <w:t>资</w:t>
      </w:r>
      <w:r>
        <w:rPr>
          <w:rFonts w:ascii="仿宋" w:hAnsi="仿宋" w:eastAsia="仿宋" w:cs="仿宋"/>
          <w:spacing w:val="-25"/>
          <w:sz w:val="32"/>
          <w:szCs w:val="32"/>
        </w:rPr>
        <w:t>工</w:t>
      </w:r>
      <w:r>
        <w:rPr>
          <w:rFonts w:ascii="仿宋" w:hAnsi="仿宋" w:eastAsia="仿宋" w:cs="仿宋"/>
          <w:spacing w:val="-14"/>
          <w:sz w:val="32"/>
          <w:szCs w:val="32"/>
        </w:rPr>
        <w:t>作实施方案》(豫财购[2017]10号)、《深入推进政府采</w:t>
      </w:r>
      <w:r>
        <w:rPr>
          <w:rFonts w:ascii="仿宋" w:hAnsi="仿宋" w:eastAsia="仿宋" w:cs="仿宋"/>
          <w:sz w:val="32"/>
          <w:szCs w:val="32"/>
        </w:rPr>
        <w:t xml:space="preserve"> </w:t>
      </w:r>
      <w:r>
        <w:rPr>
          <w:rFonts w:ascii="仿宋" w:hAnsi="仿宋" w:eastAsia="仿宋" w:cs="仿宋"/>
          <w:spacing w:val="-10"/>
          <w:sz w:val="32"/>
          <w:szCs w:val="32"/>
        </w:rPr>
        <w:t>购合同</w:t>
      </w:r>
      <w:r>
        <w:rPr>
          <w:rFonts w:ascii="仿宋" w:hAnsi="仿宋" w:eastAsia="仿宋" w:cs="仿宋"/>
          <w:spacing w:val="-9"/>
          <w:sz w:val="32"/>
          <w:szCs w:val="32"/>
        </w:rPr>
        <w:t>融</w:t>
      </w:r>
      <w:r>
        <w:rPr>
          <w:rFonts w:ascii="仿宋" w:hAnsi="仿宋" w:eastAsia="仿宋" w:cs="仿宋"/>
          <w:spacing w:val="-5"/>
          <w:sz w:val="32"/>
          <w:szCs w:val="32"/>
        </w:rPr>
        <w:t>资工作实施方案》(豫财办[2020]33号)等规定，</w:t>
      </w:r>
      <w:r>
        <w:rPr>
          <w:rFonts w:ascii="仿宋" w:hAnsi="仿宋" w:eastAsia="仿宋" w:cs="仿宋"/>
          <w:spacing w:val="-6"/>
          <w:sz w:val="32"/>
          <w:szCs w:val="32"/>
        </w:rPr>
        <w:t>按</w:t>
      </w:r>
      <w:r>
        <w:rPr>
          <w:rFonts w:ascii="仿宋" w:hAnsi="仿宋" w:eastAsia="仿宋" w:cs="仿宋"/>
          <w:spacing w:val="-3"/>
          <w:sz w:val="32"/>
          <w:szCs w:val="32"/>
        </w:rPr>
        <w:t>照双方自愿的原则提供便捷、优惠的贷款服务。</w:t>
      </w:r>
    </w:p>
    <w:p w14:paraId="2006753F">
      <w:pPr>
        <w:spacing w:line="368" w:lineRule="auto"/>
        <w:ind w:left="47" w:right="247" w:firstLine="628"/>
        <w:rPr>
          <w:rFonts w:ascii="仿宋" w:hAnsi="仿宋" w:eastAsia="仿宋" w:cs="仿宋"/>
          <w:spacing w:val="-4"/>
          <w:sz w:val="32"/>
          <w:szCs w:val="32"/>
        </w:rPr>
      </w:pPr>
      <w:r>
        <w:rPr>
          <w:rFonts w:ascii="仿宋" w:hAnsi="仿宋" w:eastAsia="仿宋" w:cs="仿宋"/>
          <w:spacing w:val="-2"/>
          <w:sz w:val="32"/>
          <w:szCs w:val="32"/>
        </w:rPr>
        <w:t>贷款渠道和提供贷款的金融机</w:t>
      </w:r>
      <w:r>
        <w:rPr>
          <w:rFonts w:ascii="仿宋" w:hAnsi="仿宋" w:eastAsia="仿宋" w:cs="仿宋"/>
          <w:spacing w:val="-1"/>
          <w:sz w:val="32"/>
          <w:szCs w:val="32"/>
        </w:rPr>
        <w:t>构，可在新县政府采购网</w:t>
      </w:r>
      <w:r>
        <w:rPr>
          <w:rFonts w:ascii="仿宋" w:hAnsi="仿宋" w:eastAsia="仿宋" w:cs="仿宋"/>
          <w:spacing w:val="-8"/>
          <w:sz w:val="32"/>
          <w:szCs w:val="32"/>
        </w:rPr>
        <w:t>“河南</w:t>
      </w:r>
      <w:r>
        <w:rPr>
          <w:rFonts w:ascii="仿宋" w:hAnsi="仿宋" w:eastAsia="仿宋" w:cs="仿宋"/>
          <w:spacing w:val="-6"/>
          <w:sz w:val="32"/>
          <w:szCs w:val="32"/>
        </w:rPr>
        <w:t>省</w:t>
      </w:r>
      <w:r>
        <w:rPr>
          <w:rFonts w:ascii="仿宋" w:hAnsi="仿宋" w:eastAsia="仿宋" w:cs="仿宋"/>
          <w:spacing w:val="-4"/>
          <w:sz w:val="32"/>
          <w:szCs w:val="32"/>
        </w:rPr>
        <w:t>政府采购合同融资平台”查询联系。</w:t>
      </w:r>
    </w:p>
    <w:p w14:paraId="711E2DDE">
      <w:pPr>
        <w:pStyle w:val="3"/>
      </w:pPr>
    </w:p>
    <w:p w14:paraId="6C6BF462"/>
    <w:p w14:paraId="5916FE6B">
      <w:pPr>
        <w:pStyle w:val="3"/>
      </w:pPr>
    </w:p>
    <w:p w14:paraId="793C21CF"/>
    <w:p w14:paraId="1E407CDC">
      <w:pPr>
        <w:pStyle w:val="3"/>
      </w:pPr>
    </w:p>
    <w:sectPr>
      <w:footerReference r:id="rId16" w:type="default"/>
      <w:pgSz w:w="11910" w:h="16840"/>
      <w:pgMar w:top="1380" w:right="840" w:bottom="1400" w:left="1120" w:header="852" w:footer="12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BC88">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923"/>
                          </w:sdtPr>
                          <w:sdtContent>
                            <w:p w14:paraId="556618F2">
                              <w:pPr>
                                <w:pStyle w:val="22"/>
                                <w:jc w:val="center"/>
                              </w:pPr>
                              <w:r>
                                <w:fldChar w:fldCharType="begin"/>
                              </w:r>
                              <w:r>
                                <w:instrText xml:space="preserve">PAGE   \* MERGEFORMAT</w:instrText>
                              </w:r>
                              <w:r>
                                <w:fldChar w:fldCharType="separate"/>
                              </w:r>
                              <w:r>
                                <w:t>2</w:t>
                              </w:r>
                              <w:r>
                                <w:fldChar w:fldCharType="end"/>
                              </w:r>
                            </w:p>
                          </w:sdtContent>
                        </w:sdt>
                        <w:p w14:paraId="7613158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57923"/>
                    </w:sdtPr>
                    <w:sdtContent>
                      <w:p w14:paraId="556618F2">
                        <w:pPr>
                          <w:pStyle w:val="22"/>
                          <w:jc w:val="center"/>
                        </w:pPr>
                        <w:r>
                          <w:fldChar w:fldCharType="begin"/>
                        </w:r>
                        <w:r>
                          <w:instrText xml:space="preserve">PAGE   \* MERGEFORMAT</w:instrText>
                        </w:r>
                        <w:r>
                          <w:fldChar w:fldCharType="separate"/>
                        </w:r>
                        <w:r>
                          <w:t>2</w:t>
                        </w:r>
                        <w:r>
                          <w:fldChar w:fldCharType="end"/>
                        </w:r>
                      </w:p>
                    </w:sdtContent>
                  </w:sdt>
                  <w:p w14:paraId="76131588">
                    <w:pPr>
                      <w:pStyle w:val="2"/>
                    </w:pPr>
                  </w:p>
                </w:txbxContent>
              </v:textbox>
            </v:shape>
          </w:pict>
        </mc:Fallback>
      </mc:AlternateContent>
    </w:r>
  </w:p>
  <w:p w14:paraId="54388D1E">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2491">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E553">
                          <w:pPr>
                            <w:pStyle w:val="2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8AE553">
                    <w:pPr>
                      <w:pStyle w:val="2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CD2D0">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7184E">
                          <w:pPr>
                            <w:pStyle w:val="2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A7184E">
                    <w:pPr>
                      <w:pStyle w:val="2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397359"/>
    </w:sdtPr>
    <w:sdtContent>
      <w:p w14:paraId="1348B37B">
        <w:pPr>
          <w:pStyle w:val="22"/>
          <w:jc w:val="center"/>
        </w:pPr>
        <w:r>
          <w:fldChar w:fldCharType="begin"/>
        </w:r>
        <w:r>
          <w:instrText xml:space="preserve">PAGE   \* MERGEFORMAT</w:instrText>
        </w:r>
        <w:r>
          <w:fldChar w:fldCharType="separate"/>
        </w:r>
        <w:r>
          <w:t>2</w:t>
        </w:r>
        <w:r>
          <w:fldChar w:fldCharType="end"/>
        </w:r>
      </w:p>
    </w:sdtContent>
  </w:sdt>
  <w:p w14:paraId="7FC4700A">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7E00">
    <w:pPr>
      <w:pStyle w:val="2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AEEB">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1F3B">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5C72">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667C5">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8667C5">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67C6">
    <w:pPr>
      <w:pStyle w:val="22"/>
      <w:tabs>
        <w:tab w:val="center" w:pos="4676"/>
        <w:tab w:val="clear" w:pos="4153"/>
      </w:tabs>
      <w:rPr>
        <w:rFonts w:hint="default"/>
        <w:sz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F7C3">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155F7C3">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0FA9">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807DA">
                          <w:pPr>
                            <w:pStyle w:val="2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C807DA">
                    <w:pPr>
                      <w:pStyle w:val="2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1C4F">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4B116">
                          <w:pPr>
                            <w:pStyle w:val="2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D4B116">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F67D">
    <w:pPr>
      <w:pStyle w:val="23"/>
      <w:pBdr>
        <w:top w:val="none" w:color="auto" w:sz="0" w:space="1"/>
        <w:left w:val="none" w:color="auto" w:sz="0" w:space="4"/>
        <w:bottom w:val="none" w:color="auto" w:sz="0" w:space="1"/>
        <w:right w:val="none" w:color="auto" w:sz="0" w:space="4"/>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5056">
    <w:pPr>
      <w:pStyle w:val="23"/>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D0F9">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680" w:hanging="660"/>
      </w:pPr>
      <w:rPr>
        <w:rFonts w:hint="default"/>
        <w:lang w:val="zh-CN" w:eastAsia="zh-CN" w:bidi="zh-CN"/>
      </w:rPr>
    </w:lvl>
    <w:lvl w:ilvl="1" w:tentative="0">
      <w:start w:val="7"/>
      <w:numFmt w:val="decimal"/>
      <w:lvlText w:val="%1.%2"/>
      <w:lvlJc w:val="left"/>
      <w:pPr>
        <w:ind w:left="680" w:hanging="660"/>
      </w:pPr>
      <w:rPr>
        <w:rFonts w:hint="default"/>
        <w:lang w:val="zh-CN" w:eastAsia="zh-CN" w:bidi="zh-CN"/>
      </w:rPr>
    </w:lvl>
    <w:lvl w:ilvl="2" w:tentative="0">
      <w:start w:val="1"/>
      <w:numFmt w:val="decimal"/>
      <w:lvlText w:val="%1.%2.%3"/>
      <w:lvlJc w:val="left"/>
      <w:pPr>
        <w:ind w:left="68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3459" w:hanging="660"/>
      </w:pPr>
      <w:rPr>
        <w:rFonts w:hint="default"/>
        <w:lang w:val="zh-CN" w:eastAsia="zh-CN" w:bidi="zh-CN"/>
      </w:rPr>
    </w:lvl>
    <w:lvl w:ilvl="4" w:tentative="0">
      <w:start w:val="0"/>
      <w:numFmt w:val="bullet"/>
      <w:lvlText w:val="•"/>
      <w:lvlJc w:val="left"/>
      <w:pPr>
        <w:ind w:left="4386" w:hanging="660"/>
      </w:pPr>
      <w:rPr>
        <w:rFonts w:hint="default"/>
        <w:lang w:val="zh-CN" w:eastAsia="zh-CN" w:bidi="zh-CN"/>
      </w:rPr>
    </w:lvl>
    <w:lvl w:ilvl="5" w:tentative="0">
      <w:start w:val="0"/>
      <w:numFmt w:val="bullet"/>
      <w:lvlText w:val="•"/>
      <w:lvlJc w:val="left"/>
      <w:pPr>
        <w:ind w:left="5313" w:hanging="660"/>
      </w:pPr>
      <w:rPr>
        <w:rFonts w:hint="default"/>
        <w:lang w:val="zh-CN" w:eastAsia="zh-CN" w:bidi="zh-CN"/>
      </w:rPr>
    </w:lvl>
    <w:lvl w:ilvl="6" w:tentative="0">
      <w:start w:val="0"/>
      <w:numFmt w:val="bullet"/>
      <w:lvlText w:val="•"/>
      <w:lvlJc w:val="left"/>
      <w:pPr>
        <w:ind w:left="6239" w:hanging="660"/>
      </w:pPr>
      <w:rPr>
        <w:rFonts w:hint="default"/>
        <w:lang w:val="zh-CN" w:eastAsia="zh-CN" w:bidi="zh-CN"/>
      </w:rPr>
    </w:lvl>
    <w:lvl w:ilvl="7" w:tentative="0">
      <w:start w:val="0"/>
      <w:numFmt w:val="bullet"/>
      <w:lvlText w:val="•"/>
      <w:lvlJc w:val="left"/>
      <w:pPr>
        <w:ind w:left="7166" w:hanging="660"/>
      </w:pPr>
      <w:rPr>
        <w:rFonts w:hint="default"/>
        <w:lang w:val="zh-CN" w:eastAsia="zh-CN" w:bidi="zh-CN"/>
      </w:rPr>
    </w:lvl>
    <w:lvl w:ilvl="8" w:tentative="0">
      <w:start w:val="0"/>
      <w:numFmt w:val="bullet"/>
      <w:lvlText w:val="•"/>
      <w:lvlJc w:val="left"/>
      <w:pPr>
        <w:ind w:left="8092" w:hanging="660"/>
      </w:pPr>
      <w:rPr>
        <w:rFonts w:hint="default"/>
        <w:lang w:val="zh-CN" w:eastAsia="zh-CN" w:bidi="zh-CN"/>
      </w:rPr>
    </w:lvl>
  </w:abstractNum>
  <w:abstractNum w:abstractNumId="1">
    <w:nsid w:val="B3328B15"/>
    <w:multiLevelType w:val="singleLevel"/>
    <w:tmpl w:val="B3328B15"/>
    <w:lvl w:ilvl="0" w:tentative="0">
      <w:start w:val="3"/>
      <w:numFmt w:val="chineseCounting"/>
      <w:suff w:val="space"/>
      <w:lvlText w:val="第%1章"/>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11AE9F2"/>
    <w:multiLevelType w:val="singleLevel"/>
    <w:tmpl w:val="C11AE9F2"/>
    <w:lvl w:ilvl="0" w:tentative="0">
      <w:start w:val="4"/>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3"/>
    <w:multiLevelType w:val="multilevel"/>
    <w:tmpl w:val="0000000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0A"/>
    <w:multiLevelType w:val="multilevel"/>
    <w:tmpl w:val="0000000A"/>
    <w:lvl w:ilvl="0" w:tentative="0">
      <w:start w:val="2"/>
      <w:numFmt w:val="decimal"/>
      <w:suff w:val="nothing"/>
      <w:lvlText w:val="%1．"/>
      <w:lvlJc w:val="left"/>
    </w:lvl>
    <w:lvl w:ilvl="1" w:tentative="0">
      <w:start w:val="1"/>
      <w:numFmt w:val="japaneseCounting"/>
      <w:lvlText w:val="%2、"/>
      <w:lvlJc w:val="left"/>
      <w:pPr>
        <w:tabs>
          <w:tab w:val="left" w:pos="900"/>
        </w:tabs>
        <w:ind w:left="900" w:hanging="4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248C179"/>
    <w:multiLevelType w:val="multilevel"/>
    <w:tmpl w:val="0248C179"/>
    <w:lvl w:ilvl="0" w:tentative="0">
      <w:start w:val="3"/>
      <w:numFmt w:val="decimal"/>
      <w:lvlText w:val="%1"/>
      <w:lvlJc w:val="left"/>
      <w:pPr>
        <w:ind w:left="1160" w:hanging="480"/>
      </w:pPr>
      <w:rPr>
        <w:rFonts w:hint="default"/>
        <w:lang w:val="zh-CN" w:eastAsia="zh-CN" w:bidi="zh-CN"/>
      </w:rPr>
    </w:lvl>
    <w:lvl w:ilvl="1" w:tentative="0">
      <w:start w:val="1"/>
      <w:numFmt w:val="decimal"/>
      <w:lvlText w:val="%1.%2"/>
      <w:lvlJc w:val="left"/>
      <w:pPr>
        <w:ind w:left="116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680" w:hanging="663"/>
        <w:jc w:val="right"/>
      </w:pPr>
      <w:rPr>
        <w:rFonts w:hint="default" w:ascii="宋体" w:hAnsi="宋体" w:eastAsia="宋体" w:cs="宋体"/>
        <w:w w:val="100"/>
        <w:sz w:val="24"/>
        <w:szCs w:val="24"/>
        <w:lang w:val="zh-CN" w:eastAsia="zh-CN" w:bidi="zh-CN"/>
      </w:rPr>
    </w:lvl>
    <w:lvl w:ilvl="3" w:tentative="0">
      <w:start w:val="0"/>
      <w:numFmt w:val="bullet"/>
      <w:lvlText w:val="•"/>
      <w:lvlJc w:val="left"/>
      <w:pPr>
        <w:ind w:left="2888" w:hanging="663"/>
      </w:pPr>
      <w:rPr>
        <w:rFonts w:hint="default"/>
        <w:lang w:val="zh-CN" w:eastAsia="zh-CN" w:bidi="zh-CN"/>
      </w:rPr>
    </w:lvl>
    <w:lvl w:ilvl="4" w:tentative="0">
      <w:start w:val="0"/>
      <w:numFmt w:val="bullet"/>
      <w:lvlText w:val="•"/>
      <w:lvlJc w:val="left"/>
      <w:pPr>
        <w:ind w:left="3896" w:hanging="663"/>
      </w:pPr>
      <w:rPr>
        <w:rFonts w:hint="default"/>
        <w:lang w:val="zh-CN" w:eastAsia="zh-CN" w:bidi="zh-CN"/>
      </w:rPr>
    </w:lvl>
    <w:lvl w:ilvl="5" w:tentative="0">
      <w:start w:val="0"/>
      <w:numFmt w:val="bullet"/>
      <w:lvlText w:val="•"/>
      <w:lvlJc w:val="left"/>
      <w:pPr>
        <w:ind w:left="4904" w:hanging="663"/>
      </w:pPr>
      <w:rPr>
        <w:rFonts w:hint="default"/>
        <w:lang w:val="zh-CN" w:eastAsia="zh-CN" w:bidi="zh-CN"/>
      </w:rPr>
    </w:lvl>
    <w:lvl w:ilvl="6" w:tentative="0">
      <w:start w:val="0"/>
      <w:numFmt w:val="bullet"/>
      <w:lvlText w:val="•"/>
      <w:lvlJc w:val="left"/>
      <w:pPr>
        <w:ind w:left="5913" w:hanging="663"/>
      </w:pPr>
      <w:rPr>
        <w:rFonts w:hint="default"/>
        <w:lang w:val="zh-CN" w:eastAsia="zh-CN" w:bidi="zh-CN"/>
      </w:rPr>
    </w:lvl>
    <w:lvl w:ilvl="7" w:tentative="0">
      <w:start w:val="0"/>
      <w:numFmt w:val="bullet"/>
      <w:lvlText w:val="•"/>
      <w:lvlJc w:val="left"/>
      <w:pPr>
        <w:ind w:left="6921" w:hanging="663"/>
      </w:pPr>
      <w:rPr>
        <w:rFonts w:hint="default"/>
        <w:lang w:val="zh-CN" w:eastAsia="zh-CN" w:bidi="zh-CN"/>
      </w:rPr>
    </w:lvl>
    <w:lvl w:ilvl="8" w:tentative="0">
      <w:start w:val="0"/>
      <w:numFmt w:val="bullet"/>
      <w:lvlText w:val="•"/>
      <w:lvlJc w:val="left"/>
      <w:pPr>
        <w:ind w:left="7929" w:hanging="663"/>
      </w:pPr>
      <w:rPr>
        <w:rFonts w:hint="default"/>
        <w:lang w:val="zh-CN" w:eastAsia="zh-CN" w:bidi="zh-CN"/>
      </w:rPr>
    </w:lvl>
  </w:abstractNum>
  <w:abstractNum w:abstractNumId="12">
    <w:nsid w:val="05047638"/>
    <w:multiLevelType w:val="singleLevel"/>
    <w:tmpl w:val="05047638"/>
    <w:lvl w:ilvl="0" w:tentative="0">
      <w:start w:val="5"/>
      <w:numFmt w:val="decimal"/>
      <w:lvlText w:val="%1."/>
      <w:lvlJc w:val="left"/>
      <w:pPr>
        <w:tabs>
          <w:tab w:val="left" w:pos="312"/>
        </w:tabs>
      </w:pPr>
    </w:lvl>
  </w:abstractNum>
  <w:abstractNum w:abstractNumId="13">
    <w:nsid w:val="0EA4CBB9"/>
    <w:multiLevelType w:val="singleLevel"/>
    <w:tmpl w:val="0EA4CBB9"/>
    <w:lvl w:ilvl="0" w:tentative="0">
      <w:start w:val="2"/>
      <w:numFmt w:val="decimal"/>
      <w:suff w:val="nothing"/>
      <w:lvlText w:val="%1、"/>
      <w:lvlJc w:val="left"/>
    </w:lvl>
  </w:abstractNum>
  <w:abstractNum w:abstractNumId="14">
    <w:nsid w:val="25B654F3"/>
    <w:multiLevelType w:val="multilevel"/>
    <w:tmpl w:val="25B654F3"/>
    <w:lvl w:ilvl="0" w:tentative="0">
      <w:start w:val="1"/>
      <w:numFmt w:val="decimal"/>
      <w:lvlText w:val="%1."/>
      <w:lvlJc w:val="left"/>
      <w:pPr>
        <w:ind w:left="1040" w:hanging="360"/>
        <w:jc w:val="right"/>
      </w:pPr>
      <w:rPr>
        <w:rFonts w:hint="default" w:ascii="宋体" w:hAnsi="宋体" w:eastAsia="宋体" w:cs="宋体"/>
        <w:w w:val="100"/>
        <w:sz w:val="24"/>
        <w:szCs w:val="24"/>
        <w:lang w:val="zh-CN" w:eastAsia="zh-CN" w:bidi="zh-CN"/>
      </w:rPr>
    </w:lvl>
    <w:lvl w:ilvl="1" w:tentative="0">
      <w:start w:val="1"/>
      <w:numFmt w:val="decimal"/>
      <w:lvlText w:val="%1.%2"/>
      <w:lvlJc w:val="left"/>
      <w:pPr>
        <w:ind w:left="116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68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40" w:hanging="660"/>
      </w:pPr>
      <w:rPr>
        <w:rFonts w:hint="default"/>
        <w:lang w:val="zh-CN" w:eastAsia="zh-CN" w:bidi="zh-CN"/>
      </w:rPr>
    </w:lvl>
    <w:lvl w:ilvl="4" w:tentative="0">
      <w:start w:val="0"/>
      <w:numFmt w:val="bullet"/>
      <w:lvlText w:val="•"/>
      <w:lvlJc w:val="left"/>
      <w:pPr>
        <w:ind w:left="1760" w:hanging="660"/>
      </w:pPr>
      <w:rPr>
        <w:rFonts w:hint="default"/>
        <w:lang w:val="zh-CN" w:eastAsia="zh-CN" w:bidi="zh-CN"/>
      </w:rPr>
    </w:lvl>
    <w:lvl w:ilvl="5" w:tentative="0">
      <w:start w:val="0"/>
      <w:numFmt w:val="bullet"/>
      <w:lvlText w:val="•"/>
      <w:lvlJc w:val="left"/>
      <w:pPr>
        <w:ind w:left="1820" w:hanging="660"/>
      </w:pPr>
      <w:rPr>
        <w:rFonts w:hint="default"/>
        <w:lang w:val="zh-CN" w:eastAsia="zh-CN" w:bidi="zh-CN"/>
      </w:rPr>
    </w:lvl>
    <w:lvl w:ilvl="6" w:tentative="0">
      <w:start w:val="0"/>
      <w:numFmt w:val="bullet"/>
      <w:lvlText w:val="•"/>
      <w:lvlJc w:val="left"/>
      <w:pPr>
        <w:ind w:left="1880" w:hanging="660"/>
      </w:pPr>
      <w:rPr>
        <w:rFonts w:hint="default"/>
        <w:lang w:val="zh-CN" w:eastAsia="zh-CN" w:bidi="zh-CN"/>
      </w:rPr>
    </w:lvl>
    <w:lvl w:ilvl="7" w:tentative="0">
      <w:start w:val="0"/>
      <w:numFmt w:val="bullet"/>
      <w:lvlText w:val="•"/>
      <w:lvlJc w:val="left"/>
      <w:pPr>
        <w:ind w:left="3896" w:hanging="660"/>
      </w:pPr>
      <w:rPr>
        <w:rFonts w:hint="default"/>
        <w:lang w:val="zh-CN" w:eastAsia="zh-CN" w:bidi="zh-CN"/>
      </w:rPr>
    </w:lvl>
    <w:lvl w:ilvl="8" w:tentative="0">
      <w:start w:val="0"/>
      <w:numFmt w:val="bullet"/>
      <w:lvlText w:val="•"/>
      <w:lvlJc w:val="left"/>
      <w:pPr>
        <w:ind w:left="5913" w:hanging="660"/>
      </w:pPr>
      <w:rPr>
        <w:rFonts w:hint="default"/>
        <w:lang w:val="zh-CN" w:eastAsia="zh-CN" w:bidi="zh-CN"/>
      </w:rPr>
    </w:lvl>
  </w:abstractNum>
  <w:abstractNum w:abstractNumId="15">
    <w:nsid w:val="2A8F537B"/>
    <w:multiLevelType w:val="multilevel"/>
    <w:tmpl w:val="2A8F537B"/>
    <w:lvl w:ilvl="0" w:tentative="0">
      <w:start w:val="1"/>
      <w:numFmt w:val="decimal"/>
      <w:lvlText w:val="（%1）"/>
      <w:lvlJc w:val="left"/>
      <w:pPr>
        <w:ind w:left="176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578" w:hanging="601"/>
      </w:pPr>
      <w:rPr>
        <w:rFonts w:hint="default"/>
        <w:lang w:val="zh-CN" w:eastAsia="zh-CN" w:bidi="zh-CN"/>
      </w:rPr>
    </w:lvl>
    <w:lvl w:ilvl="2" w:tentative="0">
      <w:start w:val="0"/>
      <w:numFmt w:val="bullet"/>
      <w:lvlText w:val="•"/>
      <w:lvlJc w:val="left"/>
      <w:pPr>
        <w:ind w:left="3397" w:hanging="601"/>
      </w:pPr>
      <w:rPr>
        <w:rFonts w:hint="default"/>
        <w:lang w:val="zh-CN" w:eastAsia="zh-CN" w:bidi="zh-CN"/>
      </w:rPr>
    </w:lvl>
    <w:lvl w:ilvl="3" w:tentative="0">
      <w:start w:val="0"/>
      <w:numFmt w:val="bullet"/>
      <w:lvlText w:val="•"/>
      <w:lvlJc w:val="left"/>
      <w:pPr>
        <w:ind w:left="4215" w:hanging="601"/>
      </w:pPr>
      <w:rPr>
        <w:rFonts w:hint="default"/>
        <w:lang w:val="zh-CN" w:eastAsia="zh-CN" w:bidi="zh-CN"/>
      </w:rPr>
    </w:lvl>
    <w:lvl w:ilvl="4" w:tentative="0">
      <w:start w:val="0"/>
      <w:numFmt w:val="bullet"/>
      <w:lvlText w:val="•"/>
      <w:lvlJc w:val="left"/>
      <w:pPr>
        <w:ind w:left="5034" w:hanging="601"/>
      </w:pPr>
      <w:rPr>
        <w:rFonts w:hint="default"/>
        <w:lang w:val="zh-CN" w:eastAsia="zh-CN" w:bidi="zh-CN"/>
      </w:rPr>
    </w:lvl>
    <w:lvl w:ilvl="5" w:tentative="0">
      <w:start w:val="0"/>
      <w:numFmt w:val="bullet"/>
      <w:lvlText w:val="•"/>
      <w:lvlJc w:val="left"/>
      <w:pPr>
        <w:ind w:left="5853" w:hanging="601"/>
      </w:pPr>
      <w:rPr>
        <w:rFonts w:hint="default"/>
        <w:lang w:val="zh-CN" w:eastAsia="zh-CN" w:bidi="zh-CN"/>
      </w:rPr>
    </w:lvl>
    <w:lvl w:ilvl="6" w:tentative="0">
      <w:start w:val="0"/>
      <w:numFmt w:val="bullet"/>
      <w:lvlText w:val="•"/>
      <w:lvlJc w:val="left"/>
      <w:pPr>
        <w:ind w:left="6671" w:hanging="601"/>
      </w:pPr>
      <w:rPr>
        <w:rFonts w:hint="default"/>
        <w:lang w:val="zh-CN" w:eastAsia="zh-CN" w:bidi="zh-CN"/>
      </w:rPr>
    </w:lvl>
    <w:lvl w:ilvl="7" w:tentative="0">
      <w:start w:val="0"/>
      <w:numFmt w:val="bullet"/>
      <w:lvlText w:val="•"/>
      <w:lvlJc w:val="left"/>
      <w:pPr>
        <w:ind w:left="7490" w:hanging="601"/>
      </w:pPr>
      <w:rPr>
        <w:rFonts w:hint="default"/>
        <w:lang w:val="zh-CN" w:eastAsia="zh-CN" w:bidi="zh-CN"/>
      </w:rPr>
    </w:lvl>
    <w:lvl w:ilvl="8" w:tentative="0">
      <w:start w:val="0"/>
      <w:numFmt w:val="bullet"/>
      <w:lvlText w:val="•"/>
      <w:lvlJc w:val="left"/>
      <w:pPr>
        <w:ind w:left="8308" w:hanging="601"/>
      </w:pPr>
      <w:rPr>
        <w:rFonts w:hint="default"/>
        <w:lang w:val="zh-CN" w:eastAsia="zh-CN" w:bidi="zh-CN"/>
      </w:rPr>
    </w:lvl>
  </w:abstractNum>
  <w:num w:numId="1">
    <w:abstractNumId w:val="12"/>
  </w:num>
  <w:num w:numId="2">
    <w:abstractNumId w:val="14"/>
  </w:num>
  <w:num w:numId="3">
    <w:abstractNumId w:val="11"/>
  </w:num>
  <w:num w:numId="4">
    <w:abstractNumId w:val="0"/>
  </w:num>
  <w:num w:numId="5">
    <w:abstractNumId w:val="15"/>
  </w:num>
  <w:num w:numId="6">
    <w:abstractNumId w:val="1"/>
  </w:num>
  <w:num w:numId="7">
    <w:abstractNumId w:val="10"/>
  </w:num>
  <w:num w:numId="8">
    <w:abstractNumId w:val="9"/>
  </w:num>
  <w:num w:numId="9">
    <w:abstractNumId w:val="4"/>
  </w:num>
  <w:num w:numId="10">
    <w:abstractNumId w:val="8"/>
  </w:num>
  <w:num w:numId="11">
    <w:abstractNumId w:val="6"/>
  </w:num>
  <w:num w:numId="12">
    <w:abstractNumId w:val="5"/>
  </w:num>
  <w:num w:numId="13">
    <w:abstractNumId w:val="2"/>
  </w:num>
  <w:num w:numId="14">
    <w:abstractNumId w:val="7"/>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mJmNTk4ZWJiNTg2ZGVkNDZkY2QwMDRjNGNhNTQifQ=="/>
  </w:docVars>
  <w:rsids>
    <w:rsidRoot w:val="00E41482"/>
    <w:rsid w:val="00003F1B"/>
    <w:rsid w:val="0002487E"/>
    <w:rsid w:val="000733FB"/>
    <w:rsid w:val="000974A8"/>
    <w:rsid w:val="00097C69"/>
    <w:rsid w:val="000B186D"/>
    <w:rsid w:val="000D011A"/>
    <w:rsid w:val="000D3D8E"/>
    <w:rsid w:val="000D5A05"/>
    <w:rsid w:val="000F1DE7"/>
    <w:rsid w:val="00100843"/>
    <w:rsid w:val="00103BCD"/>
    <w:rsid w:val="0012251F"/>
    <w:rsid w:val="00122BAB"/>
    <w:rsid w:val="00125861"/>
    <w:rsid w:val="001308BA"/>
    <w:rsid w:val="001329C1"/>
    <w:rsid w:val="001349FD"/>
    <w:rsid w:val="0014221F"/>
    <w:rsid w:val="00167452"/>
    <w:rsid w:val="00184D38"/>
    <w:rsid w:val="0018724B"/>
    <w:rsid w:val="0019490C"/>
    <w:rsid w:val="001A694F"/>
    <w:rsid w:val="001F7516"/>
    <w:rsid w:val="00203653"/>
    <w:rsid w:val="0020390D"/>
    <w:rsid w:val="00210FFE"/>
    <w:rsid w:val="00227439"/>
    <w:rsid w:val="00250362"/>
    <w:rsid w:val="0026009C"/>
    <w:rsid w:val="00263A12"/>
    <w:rsid w:val="0027272D"/>
    <w:rsid w:val="00275A30"/>
    <w:rsid w:val="00276E33"/>
    <w:rsid w:val="002B274A"/>
    <w:rsid w:val="002B622D"/>
    <w:rsid w:val="002B7E3E"/>
    <w:rsid w:val="002C06A9"/>
    <w:rsid w:val="002F1AFA"/>
    <w:rsid w:val="0030654A"/>
    <w:rsid w:val="00306797"/>
    <w:rsid w:val="00313BDE"/>
    <w:rsid w:val="003145E2"/>
    <w:rsid w:val="00317138"/>
    <w:rsid w:val="00317664"/>
    <w:rsid w:val="00333466"/>
    <w:rsid w:val="00333627"/>
    <w:rsid w:val="003354A2"/>
    <w:rsid w:val="00341009"/>
    <w:rsid w:val="0035269F"/>
    <w:rsid w:val="00361AA4"/>
    <w:rsid w:val="0038446A"/>
    <w:rsid w:val="0039535F"/>
    <w:rsid w:val="003A2C32"/>
    <w:rsid w:val="003C2A10"/>
    <w:rsid w:val="003D57F4"/>
    <w:rsid w:val="0042089E"/>
    <w:rsid w:val="004271B6"/>
    <w:rsid w:val="00447BF2"/>
    <w:rsid w:val="00465572"/>
    <w:rsid w:val="00474B45"/>
    <w:rsid w:val="004C6BCB"/>
    <w:rsid w:val="004C746B"/>
    <w:rsid w:val="004E2CFD"/>
    <w:rsid w:val="00502E7B"/>
    <w:rsid w:val="00526B48"/>
    <w:rsid w:val="00530CCD"/>
    <w:rsid w:val="00531FB0"/>
    <w:rsid w:val="00557EA1"/>
    <w:rsid w:val="005A3CA3"/>
    <w:rsid w:val="005B5034"/>
    <w:rsid w:val="005C4780"/>
    <w:rsid w:val="005E1F5E"/>
    <w:rsid w:val="005E3A05"/>
    <w:rsid w:val="005F106E"/>
    <w:rsid w:val="00612A00"/>
    <w:rsid w:val="006825EA"/>
    <w:rsid w:val="0069744B"/>
    <w:rsid w:val="006A6FF7"/>
    <w:rsid w:val="006B5933"/>
    <w:rsid w:val="006E19AD"/>
    <w:rsid w:val="00702E11"/>
    <w:rsid w:val="00712414"/>
    <w:rsid w:val="0072772F"/>
    <w:rsid w:val="00742A1B"/>
    <w:rsid w:val="00747B55"/>
    <w:rsid w:val="00785275"/>
    <w:rsid w:val="00787842"/>
    <w:rsid w:val="007A0FA0"/>
    <w:rsid w:val="007B408D"/>
    <w:rsid w:val="00820D35"/>
    <w:rsid w:val="008418E7"/>
    <w:rsid w:val="00847AE1"/>
    <w:rsid w:val="008D32D1"/>
    <w:rsid w:val="008D37DD"/>
    <w:rsid w:val="008E0BA4"/>
    <w:rsid w:val="008F2642"/>
    <w:rsid w:val="008F68DD"/>
    <w:rsid w:val="009307CA"/>
    <w:rsid w:val="00941609"/>
    <w:rsid w:val="0094386B"/>
    <w:rsid w:val="0094386D"/>
    <w:rsid w:val="00970E1E"/>
    <w:rsid w:val="00977C9C"/>
    <w:rsid w:val="00995F9B"/>
    <w:rsid w:val="009A3D81"/>
    <w:rsid w:val="009B62E9"/>
    <w:rsid w:val="009C4074"/>
    <w:rsid w:val="009C7890"/>
    <w:rsid w:val="009D0EA3"/>
    <w:rsid w:val="00A15855"/>
    <w:rsid w:val="00A23A9B"/>
    <w:rsid w:val="00A30CAC"/>
    <w:rsid w:val="00A30CAD"/>
    <w:rsid w:val="00A3295D"/>
    <w:rsid w:val="00A60673"/>
    <w:rsid w:val="00A60933"/>
    <w:rsid w:val="00AA3C49"/>
    <w:rsid w:val="00AC312F"/>
    <w:rsid w:val="00AE7286"/>
    <w:rsid w:val="00B06015"/>
    <w:rsid w:val="00B14180"/>
    <w:rsid w:val="00B1485D"/>
    <w:rsid w:val="00B16995"/>
    <w:rsid w:val="00B57463"/>
    <w:rsid w:val="00B612F2"/>
    <w:rsid w:val="00B85437"/>
    <w:rsid w:val="00BE4EBF"/>
    <w:rsid w:val="00C00A35"/>
    <w:rsid w:val="00C0300C"/>
    <w:rsid w:val="00C14CCF"/>
    <w:rsid w:val="00C27F35"/>
    <w:rsid w:val="00C4352E"/>
    <w:rsid w:val="00C75A91"/>
    <w:rsid w:val="00C87AE5"/>
    <w:rsid w:val="00C91BDC"/>
    <w:rsid w:val="00C95EC4"/>
    <w:rsid w:val="00CD023C"/>
    <w:rsid w:val="00D175FF"/>
    <w:rsid w:val="00D33B8F"/>
    <w:rsid w:val="00D4646F"/>
    <w:rsid w:val="00D55987"/>
    <w:rsid w:val="00D81AC7"/>
    <w:rsid w:val="00D95AC5"/>
    <w:rsid w:val="00D962FF"/>
    <w:rsid w:val="00D96FDD"/>
    <w:rsid w:val="00DC7E55"/>
    <w:rsid w:val="00DD3D69"/>
    <w:rsid w:val="00DF3A53"/>
    <w:rsid w:val="00DF6DD0"/>
    <w:rsid w:val="00E05D5F"/>
    <w:rsid w:val="00E07EA9"/>
    <w:rsid w:val="00E14279"/>
    <w:rsid w:val="00E33227"/>
    <w:rsid w:val="00E41482"/>
    <w:rsid w:val="00E62359"/>
    <w:rsid w:val="00E633E3"/>
    <w:rsid w:val="00E70215"/>
    <w:rsid w:val="00E93AF6"/>
    <w:rsid w:val="00E9483B"/>
    <w:rsid w:val="00EA344D"/>
    <w:rsid w:val="00EA62E2"/>
    <w:rsid w:val="00EB002C"/>
    <w:rsid w:val="00EB7EBF"/>
    <w:rsid w:val="00ED130E"/>
    <w:rsid w:val="00ED52BA"/>
    <w:rsid w:val="00ED6794"/>
    <w:rsid w:val="00F06310"/>
    <w:rsid w:val="00F06B8E"/>
    <w:rsid w:val="00F073DB"/>
    <w:rsid w:val="00F17290"/>
    <w:rsid w:val="00F175AC"/>
    <w:rsid w:val="00F37929"/>
    <w:rsid w:val="00F4026B"/>
    <w:rsid w:val="00F47D57"/>
    <w:rsid w:val="00F95F1C"/>
    <w:rsid w:val="00FA6394"/>
    <w:rsid w:val="00FC5676"/>
    <w:rsid w:val="00FE1313"/>
    <w:rsid w:val="00FE2621"/>
    <w:rsid w:val="013077F1"/>
    <w:rsid w:val="013C1B3D"/>
    <w:rsid w:val="01437C9C"/>
    <w:rsid w:val="014C4DA3"/>
    <w:rsid w:val="014D1D36"/>
    <w:rsid w:val="014D42C3"/>
    <w:rsid w:val="015434CA"/>
    <w:rsid w:val="01991D33"/>
    <w:rsid w:val="019D55FE"/>
    <w:rsid w:val="01AA0AF2"/>
    <w:rsid w:val="01B6221C"/>
    <w:rsid w:val="01B637D8"/>
    <w:rsid w:val="01C27B77"/>
    <w:rsid w:val="01C30604"/>
    <w:rsid w:val="01CE3A0A"/>
    <w:rsid w:val="01DA3CD3"/>
    <w:rsid w:val="01FA47FF"/>
    <w:rsid w:val="01FD42EF"/>
    <w:rsid w:val="020955D1"/>
    <w:rsid w:val="020C62E0"/>
    <w:rsid w:val="021B245A"/>
    <w:rsid w:val="022F7AB4"/>
    <w:rsid w:val="02424F3C"/>
    <w:rsid w:val="024261A6"/>
    <w:rsid w:val="02466FC8"/>
    <w:rsid w:val="025A0A59"/>
    <w:rsid w:val="026C6D7F"/>
    <w:rsid w:val="02777849"/>
    <w:rsid w:val="027D0F8C"/>
    <w:rsid w:val="027E4FEB"/>
    <w:rsid w:val="02BA3F8E"/>
    <w:rsid w:val="02CA51E3"/>
    <w:rsid w:val="02CD07F8"/>
    <w:rsid w:val="02CF7E86"/>
    <w:rsid w:val="02F966D5"/>
    <w:rsid w:val="02FC6355"/>
    <w:rsid w:val="02FF1D92"/>
    <w:rsid w:val="030A79D0"/>
    <w:rsid w:val="03186531"/>
    <w:rsid w:val="03253AFD"/>
    <w:rsid w:val="03404493"/>
    <w:rsid w:val="03446223"/>
    <w:rsid w:val="034730AB"/>
    <w:rsid w:val="034D03A1"/>
    <w:rsid w:val="034D3C45"/>
    <w:rsid w:val="034F5700"/>
    <w:rsid w:val="03644C89"/>
    <w:rsid w:val="038B38F1"/>
    <w:rsid w:val="0391535D"/>
    <w:rsid w:val="03B5789E"/>
    <w:rsid w:val="03CB2647"/>
    <w:rsid w:val="03EE0393"/>
    <w:rsid w:val="0422003D"/>
    <w:rsid w:val="04455BCD"/>
    <w:rsid w:val="04585120"/>
    <w:rsid w:val="046830B1"/>
    <w:rsid w:val="046C19EF"/>
    <w:rsid w:val="046D5F9E"/>
    <w:rsid w:val="04834579"/>
    <w:rsid w:val="04852192"/>
    <w:rsid w:val="049206DC"/>
    <w:rsid w:val="049C78D3"/>
    <w:rsid w:val="04A92C4E"/>
    <w:rsid w:val="04BC5D9C"/>
    <w:rsid w:val="04C335CE"/>
    <w:rsid w:val="04D94C49"/>
    <w:rsid w:val="04E7457F"/>
    <w:rsid w:val="04EF6D52"/>
    <w:rsid w:val="050A7CA9"/>
    <w:rsid w:val="051347AA"/>
    <w:rsid w:val="051A6F66"/>
    <w:rsid w:val="052B383D"/>
    <w:rsid w:val="053A7026"/>
    <w:rsid w:val="054D1CB7"/>
    <w:rsid w:val="054E6744"/>
    <w:rsid w:val="055E7A56"/>
    <w:rsid w:val="05790131"/>
    <w:rsid w:val="057B0981"/>
    <w:rsid w:val="05856AD5"/>
    <w:rsid w:val="05873F79"/>
    <w:rsid w:val="05882122"/>
    <w:rsid w:val="058C14C2"/>
    <w:rsid w:val="05BA0FFA"/>
    <w:rsid w:val="05C30633"/>
    <w:rsid w:val="05E11832"/>
    <w:rsid w:val="05F257ED"/>
    <w:rsid w:val="05FA294B"/>
    <w:rsid w:val="06042F40"/>
    <w:rsid w:val="0623788C"/>
    <w:rsid w:val="062736E9"/>
    <w:rsid w:val="06304C93"/>
    <w:rsid w:val="06515417"/>
    <w:rsid w:val="06673C1B"/>
    <w:rsid w:val="067032E2"/>
    <w:rsid w:val="067B3A34"/>
    <w:rsid w:val="068172F6"/>
    <w:rsid w:val="06A64F55"/>
    <w:rsid w:val="06A92350"/>
    <w:rsid w:val="06B055D6"/>
    <w:rsid w:val="06CE1DB6"/>
    <w:rsid w:val="06DD024B"/>
    <w:rsid w:val="070B125C"/>
    <w:rsid w:val="070D65AD"/>
    <w:rsid w:val="072A0C35"/>
    <w:rsid w:val="072A7934"/>
    <w:rsid w:val="07414C7E"/>
    <w:rsid w:val="0742249E"/>
    <w:rsid w:val="074F1149"/>
    <w:rsid w:val="074F2134"/>
    <w:rsid w:val="07543170"/>
    <w:rsid w:val="079C4253"/>
    <w:rsid w:val="07A27794"/>
    <w:rsid w:val="07BE62CF"/>
    <w:rsid w:val="07C560CA"/>
    <w:rsid w:val="07D43398"/>
    <w:rsid w:val="07DE427B"/>
    <w:rsid w:val="07EB1D30"/>
    <w:rsid w:val="082779D0"/>
    <w:rsid w:val="084E1401"/>
    <w:rsid w:val="08510797"/>
    <w:rsid w:val="085E14A4"/>
    <w:rsid w:val="087A7662"/>
    <w:rsid w:val="08907480"/>
    <w:rsid w:val="08973201"/>
    <w:rsid w:val="08BF23EB"/>
    <w:rsid w:val="08C416C3"/>
    <w:rsid w:val="08C86195"/>
    <w:rsid w:val="08DE17D5"/>
    <w:rsid w:val="08F747DF"/>
    <w:rsid w:val="09000221"/>
    <w:rsid w:val="09207845"/>
    <w:rsid w:val="092C3CDF"/>
    <w:rsid w:val="092D370C"/>
    <w:rsid w:val="09781AB2"/>
    <w:rsid w:val="09972933"/>
    <w:rsid w:val="099F7FE5"/>
    <w:rsid w:val="09AC6A39"/>
    <w:rsid w:val="09B2776D"/>
    <w:rsid w:val="09B60A9C"/>
    <w:rsid w:val="09BF32E6"/>
    <w:rsid w:val="09CA6A29"/>
    <w:rsid w:val="09CE7850"/>
    <w:rsid w:val="09D516AE"/>
    <w:rsid w:val="09DE0562"/>
    <w:rsid w:val="0A1B0AAD"/>
    <w:rsid w:val="0A1D324F"/>
    <w:rsid w:val="0A232419"/>
    <w:rsid w:val="0A334D52"/>
    <w:rsid w:val="0A640337"/>
    <w:rsid w:val="0A696F55"/>
    <w:rsid w:val="0A790360"/>
    <w:rsid w:val="0A822FA5"/>
    <w:rsid w:val="0A83784C"/>
    <w:rsid w:val="0A8C26DA"/>
    <w:rsid w:val="0A9026CD"/>
    <w:rsid w:val="0A9E3240"/>
    <w:rsid w:val="0AA5198C"/>
    <w:rsid w:val="0AA74DF8"/>
    <w:rsid w:val="0ABC64B3"/>
    <w:rsid w:val="0ACC0D02"/>
    <w:rsid w:val="0AE017A7"/>
    <w:rsid w:val="0AF06A81"/>
    <w:rsid w:val="0AFD29DB"/>
    <w:rsid w:val="0B24469B"/>
    <w:rsid w:val="0B272559"/>
    <w:rsid w:val="0B3C274C"/>
    <w:rsid w:val="0B492353"/>
    <w:rsid w:val="0B66409E"/>
    <w:rsid w:val="0B786794"/>
    <w:rsid w:val="0B7A67C0"/>
    <w:rsid w:val="0B7F3FC7"/>
    <w:rsid w:val="0B864A50"/>
    <w:rsid w:val="0B8F24F7"/>
    <w:rsid w:val="0B9F1F73"/>
    <w:rsid w:val="0BA24AC6"/>
    <w:rsid w:val="0BAB458B"/>
    <w:rsid w:val="0BAE5446"/>
    <w:rsid w:val="0BCB0877"/>
    <w:rsid w:val="0BD22349"/>
    <w:rsid w:val="0BE24C45"/>
    <w:rsid w:val="0BFA53FB"/>
    <w:rsid w:val="0C0E7AD3"/>
    <w:rsid w:val="0C112E71"/>
    <w:rsid w:val="0C324B95"/>
    <w:rsid w:val="0C3A130A"/>
    <w:rsid w:val="0C4B5C57"/>
    <w:rsid w:val="0C5F3D1D"/>
    <w:rsid w:val="0C694942"/>
    <w:rsid w:val="0C7F7828"/>
    <w:rsid w:val="0C831895"/>
    <w:rsid w:val="0C9F428C"/>
    <w:rsid w:val="0CBD6B55"/>
    <w:rsid w:val="0CC954FA"/>
    <w:rsid w:val="0CCB242A"/>
    <w:rsid w:val="0CD619C5"/>
    <w:rsid w:val="0CDA104B"/>
    <w:rsid w:val="0CEC743A"/>
    <w:rsid w:val="0CF4009D"/>
    <w:rsid w:val="0CF638C9"/>
    <w:rsid w:val="0D104816"/>
    <w:rsid w:val="0D1B1ACD"/>
    <w:rsid w:val="0D1B2967"/>
    <w:rsid w:val="0D2328AC"/>
    <w:rsid w:val="0D331749"/>
    <w:rsid w:val="0D425EAB"/>
    <w:rsid w:val="0D49488C"/>
    <w:rsid w:val="0D4C7ED9"/>
    <w:rsid w:val="0D701E19"/>
    <w:rsid w:val="0D755681"/>
    <w:rsid w:val="0D784ED6"/>
    <w:rsid w:val="0DAA45A5"/>
    <w:rsid w:val="0DAD457D"/>
    <w:rsid w:val="0DBE2B84"/>
    <w:rsid w:val="0DE45343"/>
    <w:rsid w:val="0DE90ABA"/>
    <w:rsid w:val="0DED70DC"/>
    <w:rsid w:val="0DF04D08"/>
    <w:rsid w:val="0DF22F70"/>
    <w:rsid w:val="0E0039AF"/>
    <w:rsid w:val="0E080413"/>
    <w:rsid w:val="0E183590"/>
    <w:rsid w:val="0E1A1619"/>
    <w:rsid w:val="0E1F64EC"/>
    <w:rsid w:val="0E2A021A"/>
    <w:rsid w:val="0E2C1A86"/>
    <w:rsid w:val="0E2D414D"/>
    <w:rsid w:val="0E5057A7"/>
    <w:rsid w:val="0E5642AA"/>
    <w:rsid w:val="0E8D2F3C"/>
    <w:rsid w:val="0E9438E5"/>
    <w:rsid w:val="0E9A0697"/>
    <w:rsid w:val="0EA25C99"/>
    <w:rsid w:val="0EB41B44"/>
    <w:rsid w:val="0EBD6B1E"/>
    <w:rsid w:val="0EBF42E3"/>
    <w:rsid w:val="0EC32F32"/>
    <w:rsid w:val="0EC81152"/>
    <w:rsid w:val="0EC8526A"/>
    <w:rsid w:val="0ED60D06"/>
    <w:rsid w:val="0F052EA6"/>
    <w:rsid w:val="0F1110B5"/>
    <w:rsid w:val="0F1D08A6"/>
    <w:rsid w:val="0F3A2935"/>
    <w:rsid w:val="0F4438C4"/>
    <w:rsid w:val="0F484E4A"/>
    <w:rsid w:val="0F4B193A"/>
    <w:rsid w:val="0F5C0C28"/>
    <w:rsid w:val="0F5D0AA8"/>
    <w:rsid w:val="0F6D126B"/>
    <w:rsid w:val="0F6F1233"/>
    <w:rsid w:val="0F78406F"/>
    <w:rsid w:val="0F83515E"/>
    <w:rsid w:val="0F8C1D92"/>
    <w:rsid w:val="0F8E47D8"/>
    <w:rsid w:val="0F946E66"/>
    <w:rsid w:val="0FAA1223"/>
    <w:rsid w:val="0FC1070A"/>
    <w:rsid w:val="0FC85F3C"/>
    <w:rsid w:val="0FE471E0"/>
    <w:rsid w:val="0FEB553E"/>
    <w:rsid w:val="10042CDA"/>
    <w:rsid w:val="105C69F9"/>
    <w:rsid w:val="10673937"/>
    <w:rsid w:val="10717588"/>
    <w:rsid w:val="10831E87"/>
    <w:rsid w:val="108F0808"/>
    <w:rsid w:val="10A51DDA"/>
    <w:rsid w:val="10AA5642"/>
    <w:rsid w:val="10BD5CE8"/>
    <w:rsid w:val="10CB6D2E"/>
    <w:rsid w:val="10E50428"/>
    <w:rsid w:val="10E702A1"/>
    <w:rsid w:val="10E96C7B"/>
    <w:rsid w:val="11586E4C"/>
    <w:rsid w:val="117373D4"/>
    <w:rsid w:val="117505B6"/>
    <w:rsid w:val="11936E2F"/>
    <w:rsid w:val="119456B0"/>
    <w:rsid w:val="11997CB2"/>
    <w:rsid w:val="11AF77CA"/>
    <w:rsid w:val="11B4024C"/>
    <w:rsid w:val="11BF3C10"/>
    <w:rsid w:val="11BF559F"/>
    <w:rsid w:val="11E7027E"/>
    <w:rsid w:val="11EB7517"/>
    <w:rsid w:val="11FF489E"/>
    <w:rsid w:val="1200115B"/>
    <w:rsid w:val="12041BF3"/>
    <w:rsid w:val="120A2C2D"/>
    <w:rsid w:val="123A2660"/>
    <w:rsid w:val="12445F5E"/>
    <w:rsid w:val="124E10C6"/>
    <w:rsid w:val="12535865"/>
    <w:rsid w:val="126C324B"/>
    <w:rsid w:val="126E6219"/>
    <w:rsid w:val="12843C71"/>
    <w:rsid w:val="12B32B77"/>
    <w:rsid w:val="12B64F1C"/>
    <w:rsid w:val="12BE1E47"/>
    <w:rsid w:val="12CA5E26"/>
    <w:rsid w:val="12D10D37"/>
    <w:rsid w:val="12DC3AAD"/>
    <w:rsid w:val="12DE5A77"/>
    <w:rsid w:val="12E0534B"/>
    <w:rsid w:val="12F01CDF"/>
    <w:rsid w:val="12FB03D7"/>
    <w:rsid w:val="134653EE"/>
    <w:rsid w:val="13596EAB"/>
    <w:rsid w:val="13775A9E"/>
    <w:rsid w:val="137928D0"/>
    <w:rsid w:val="13867504"/>
    <w:rsid w:val="139A32F4"/>
    <w:rsid w:val="13D12EE6"/>
    <w:rsid w:val="13DB1CA3"/>
    <w:rsid w:val="13DF0361"/>
    <w:rsid w:val="13ED41C3"/>
    <w:rsid w:val="13F33265"/>
    <w:rsid w:val="14226C6C"/>
    <w:rsid w:val="143516C6"/>
    <w:rsid w:val="143540D6"/>
    <w:rsid w:val="14553B17"/>
    <w:rsid w:val="14676EA0"/>
    <w:rsid w:val="14A01236"/>
    <w:rsid w:val="14CA0061"/>
    <w:rsid w:val="14D709D0"/>
    <w:rsid w:val="14D82CC8"/>
    <w:rsid w:val="14DA1037"/>
    <w:rsid w:val="14E8498B"/>
    <w:rsid w:val="14FD2469"/>
    <w:rsid w:val="15033BA4"/>
    <w:rsid w:val="150679F7"/>
    <w:rsid w:val="154A0F66"/>
    <w:rsid w:val="15522060"/>
    <w:rsid w:val="155538DA"/>
    <w:rsid w:val="15681628"/>
    <w:rsid w:val="15681FBE"/>
    <w:rsid w:val="156D0C34"/>
    <w:rsid w:val="156E30E2"/>
    <w:rsid w:val="156E5FD8"/>
    <w:rsid w:val="15783F61"/>
    <w:rsid w:val="158601D4"/>
    <w:rsid w:val="158B16C7"/>
    <w:rsid w:val="158C5316"/>
    <w:rsid w:val="159849E0"/>
    <w:rsid w:val="159D5775"/>
    <w:rsid w:val="15A66BBF"/>
    <w:rsid w:val="15A84456"/>
    <w:rsid w:val="15B7023E"/>
    <w:rsid w:val="15C442C1"/>
    <w:rsid w:val="15CC605B"/>
    <w:rsid w:val="15DE7157"/>
    <w:rsid w:val="15DF3085"/>
    <w:rsid w:val="15F220C3"/>
    <w:rsid w:val="16070E41"/>
    <w:rsid w:val="160F6329"/>
    <w:rsid w:val="162E0AC3"/>
    <w:rsid w:val="162F32BE"/>
    <w:rsid w:val="163E2D1E"/>
    <w:rsid w:val="16565924"/>
    <w:rsid w:val="16597938"/>
    <w:rsid w:val="166E7112"/>
    <w:rsid w:val="16744B3D"/>
    <w:rsid w:val="167539E5"/>
    <w:rsid w:val="169923E1"/>
    <w:rsid w:val="16A449E4"/>
    <w:rsid w:val="16FA3074"/>
    <w:rsid w:val="171657DF"/>
    <w:rsid w:val="17264A8D"/>
    <w:rsid w:val="175005C5"/>
    <w:rsid w:val="17796995"/>
    <w:rsid w:val="17885FB1"/>
    <w:rsid w:val="178D16C0"/>
    <w:rsid w:val="17B1375A"/>
    <w:rsid w:val="17B648CC"/>
    <w:rsid w:val="17C85755"/>
    <w:rsid w:val="17FB6783"/>
    <w:rsid w:val="1800163C"/>
    <w:rsid w:val="1808368A"/>
    <w:rsid w:val="18195F62"/>
    <w:rsid w:val="184C0012"/>
    <w:rsid w:val="186103D7"/>
    <w:rsid w:val="188C7EA3"/>
    <w:rsid w:val="18904496"/>
    <w:rsid w:val="189646A7"/>
    <w:rsid w:val="18CD522B"/>
    <w:rsid w:val="18D30B1B"/>
    <w:rsid w:val="18D3454C"/>
    <w:rsid w:val="190E4E8A"/>
    <w:rsid w:val="191654AE"/>
    <w:rsid w:val="19320F21"/>
    <w:rsid w:val="193B777F"/>
    <w:rsid w:val="194F7DC5"/>
    <w:rsid w:val="1954082C"/>
    <w:rsid w:val="197D7D98"/>
    <w:rsid w:val="197E58BE"/>
    <w:rsid w:val="198F00F0"/>
    <w:rsid w:val="1992670F"/>
    <w:rsid w:val="19A405AC"/>
    <w:rsid w:val="19A60971"/>
    <w:rsid w:val="19B76A58"/>
    <w:rsid w:val="19C21730"/>
    <w:rsid w:val="1A296A3D"/>
    <w:rsid w:val="1A3A349E"/>
    <w:rsid w:val="1A5F124B"/>
    <w:rsid w:val="1A7016AA"/>
    <w:rsid w:val="1A8B4D6D"/>
    <w:rsid w:val="1A903AFB"/>
    <w:rsid w:val="1AA10DCB"/>
    <w:rsid w:val="1AA11864"/>
    <w:rsid w:val="1AA74DDB"/>
    <w:rsid w:val="1AB977AB"/>
    <w:rsid w:val="1AFC087E"/>
    <w:rsid w:val="1B0B3181"/>
    <w:rsid w:val="1B1D4C62"/>
    <w:rsid w:val="1B211ECB"/>
    <w:rsid w:val="1B356450"/>
    <w:rsid w:val="1B4124B4"/>
    <w:rsid w:val="1B533DB3"/>
    <w:rsid w:val="1B697C85"/>
    <w:rsid w:val="1B7D376D"/>
    <w:rsid w:val="1B956818"/>
    <w:rsid w:val="1BC05D1A"/>
    <w:rsid w:val="1BD96DDB"/>
    <w:rsid w:val="1BF81957"/>
    <w:rsid w:val="1BFD0D1C"/>
    <w:rsid w:val="1C2016BC"/>
    <w:rsid w:val="1C24238F"/>
    <w:rsid w:val="1C2C7FE2"/>
    <w:rsid w:val="1C512E16"/>
    <w:rsid w:val="1C5329BB"/>
    <w:rsid w:val="1C98343C"/>
    <w:rsid w:val="1C9A51F8"/>
    <w:rsid w:val="1CAF08F9"/>
    <w:rsid w:val="1CB25255"/>
    <w:rsid w:val="1CB3148A"/>
    <w:rsid w:val="1CBA4E5F"/>
    <w:rsid w:val="1CC26829"/>
    <w:rsid w:val="1D0B424D"/>
    <w:rsid w:val="1D100F23"/>
    <w:rsid w:val="1D40585A"/>
    <w:rsid w:val="1D44297A"/>
    <w:rsid w:val="1D5C6A2F"/>
    <w:rsid w:val="1D6A109F"/>
    <w:rsid w:val="1D7D5462"/>
    <w:rsid w:val="1D993179"/>
    <w:rsid w:val="1DC13FCB"/>
    <w:rsid w:val="1DD26DCC"/>
    <w:rsid w:val="1DDC0E05"/>
    <w:rsid w:val="1E000F3F"/>
    <w:rsid w:val="1E056BAA"/>
    <w:rsid w:val="1E0647C5"/>
    <w:rsid w:val="1E081BFA"/>
    <w:rsid w:val="1E2F362A"/>
    <w:rsid w:val="1E5E181A"/>
    <w:rsid w:val="1E601A36"/>
    <w:rsid w:val="1E652E9B"/>
    <w:rsid w:val="1E664B7E"/>
    <w:rsid w:val="1E9E482F"/>
    <w:rsid w:val="1EAF3DB4"/>
    <w:rsid w:val="1EB61656"/>
    <w:rsid w:val="1EC150F4"/>
    <w:rsid w:val="1ECB7C47"/>
    <w:rsid w:val="1ED1023E"/>
    <w:rsid w:val="1EE05F45"/>
    <w:rsid w:val="1F114ADE"/>
    <w:rsid w:val="1F2B3DF2"/>
    <w:rsid w:val="1F435CDB"/>
    <w:rsid w:val="1F4629DA"/>
    <w:rsid w:val="1F5D2184"/>
    <w:rsid w:val="1F672950"/>
    <w:rsid w:val="1F88635A"/>
    <w:rsid w:val="1FA20E0C"/>
    <w:rsid w:val="1FA65A5D"/>
    <w:rsid w:val="1FAF4589"/>
    <w:rsid w:val="1FC0629E"/>
    <w:rsid w:val="1FD671E8"/>
    <w:rsid w:val="1FE66AC4"/>
    <w:rsid w:val="1FF61943"/>
    <w:rsid w:val="1FF7237F"/>
    <w:rsid w:val="1FF73AFF"/>
    <w:rsid w:val="203A4830"/>
    <w:rsid w:val="2043117D"/>
    <w:rsid w:val="204541E9"/>
    <w:rsid w:val="20692421"/>
    <w:rsid w:val="207E61A3"/>
    <w:rsid w:val="207F7DCA"/>
    <w:rsid w:val="20801F1B"/>
    <w:rsid w:val="20931C4F"/>
    <w:rsid w:val="209D43AF"/>
    <w:rsid w:val="20B437BD"/>
    <w:rsid w:val="20B61DE1"/>
    <w:rsid w:val="20BB11A5"/>
    <w:rsid w:val="20F10176"/>
    <w:rsid w:val="20F841A8"/>
    <w:rsid w:val="21027A81"/>
    <w:rsid w:val="21055B99"/>
    <w:rsid w:val="21262075"/>
    <w:rsid w:val="212A542E"/>
    <w:rsid w:val="213F3A2E"/>
    <w:rsid w:val="2141306F"/>
    <w:rsid w:val="21633F8C"/>
    <w:rsid w:val="216960B2"/>
    <w:rsid w:val="21701F90"/>
    <w:rsid w:val="217575A6"/>
    <w:rsid w:val="21844E10"/>
    <w:rsid w:val="218C4997"/>
    <w:rsid w:val="219A6A76"/>
    <w:rsid w:val="21B2099C"/>
    <w:rsid w:val="21B47199"/>
    <w:rsid w:val="21BF4CC5"/>
    <w:rsid w:val="21C422DC"/>
    <w:rsid w:val="21CC44B3"/>
    <w:rsid w:val="21D9264E"/>
    <w:rsid w:val="21F048FE"/>
    <w:rsid w:val="21F42BC1"/>
    <w:rsid w:val="2212055F"/>
    <w:rsid w:val="2219494E"/>
    <w:rsid w:val="222C28DC"/>
    <w:rsid w:val="223B1E4A"/>
    <w:rsid w:val="22543660"/>
    <w:rsid w:val="22587C62"/>
    <w:rsid w:val="227C37E2"/>
    <w:rsid w:val="22800C00"/>
    <w:rsid w:val="22882032"/>
    <w:rsid w:val="22921CC7"/>
    <w:rsid w:val="22BB61CE"/>
    <w:rsid w:val="22C64FD2"/>
    <w:rsid w:val="22D02771"/>
    <w:rsid w:val="22E03145"/>
    <w:rsid w:val="22F4274D"/>
    <w:rsid w:val="2305495A"/>
    <w:rsid w:val="2329054D"/>
    <w:rsid w:val="232F23E7"/>
    <w:rsid w:val="23355100"/>
    <w:rsid w:val="234F0425"/>
    <w:rsid w:val="2356109F"/>
    <w:rsid w:val="236914FF"/>
    <w:rsid w:val="23A75A11"/>
    <w:rsid w:val="23B0138D"/>
    <w:rsid w:val="23BF0FAD"/>
    <w:rsid w:val="24063E88"/>
    <w:rsid w:val="24225629"/>
    <w:rsid w:val="24262DDA"/>
    <w:rsid w:val="242A0480"/>
    <w:rsid w:val="24417C14"/>
    <w:rsid w:val="24471B99"/>
    <w:rsid w:val="244D039D"/>
    <w:rsid w:val="249160D4"/>
    <w:rsid w:val="24A10B65"/>
    <w:rsid w:val="24A3267C"/>
    <w:rsid w:val="24BA504F"/>
    <w:rsid w:val="24EE55E9"/>
    <w:rsid w:val="24FD597D"/>
    <w:rsid w:val="25045723"/>
    <w:rsid w:val="25081DE8"/>
    <w:rsid w:val="250A44A9"/>
    <w:rsid w:val="250F7D12"/>
    <w:rsid w:val="251950E8"/>
    <w:rsid w:val="254554E2"/>
    <w:rsid w:val="254704D2"/>
    <w:rsid w:val="254C4AC2"/>
    <w:rsid w:val="25A04B22"/>
    <w:rsid w:val="25A64B75"/>
    <w:rsid w:val="25BB57AA"/>
    <w:rsid w:val="25C7239A"/>
    <w:rsid w:val="25CF4697"/>
    <w:rsid w:val="25E669EB"/>
    <w:rsid w:val="26065E19"/>
    <w:rsid w:val="26110984"/>
    <w:rsid w:val="262D4484"/>
    <w:rsid w:val="26485289"/>
    <w:rsid w:val="26502390"/>
    <w:rsid w:val="26564F9B"/>
    <w:rsid w:val="26587664"/>
    <w:rsid w:val="26661BB3"/>
    <w:rsid w:val="266812FB"/>
    <w:rsid w:val="266D4CF0"/>
    <w:rsid w:val="2670702C"/>
    <w:rsid w:val="267264EF"/>
    <w:rsid w:val="267442D0"/>
    <w:rsid w:val="26964247"/>
    <w:rsid w:val="26A84EB6"/>
    <w:rsid w:val="26CF7759"/>
    <w:rsid w:val="26D1618B"/>
    <w:rsid w:val="26F624EA"/>
    <w:rsid w:val="26F85CAA"/>
    <w:rsid w:val="2708703D"/>
    <w:rsid w:val="270942D3"/>
    <w:rsid w:val="270C1D99"/>
    <w:rsid w:val="271D6716"/>
    <w:rsid w:val="2733084D"/>
    <w:rsid w:val="27337CE7"/>
    <w:rsid w:val="273D248C"/>
    <w:rsid w:val="2748044F"/>
    <w:rsid w:val="276C144B"/>
    <w:rsid w:val="27910BAB"/>
    <w:rsid w:val="27A1278D"/>
    <w:rsid w:val="27BF157B"/>
    <w:rsid w:val="27C31B67"/>
    <w:rsid w:val="27CE7A10"/>
    <w:rsid w:val="27DD384F"/>
    <w:rsid w:val="27F5420D"/>
    <w:rsid w:val="28007965"/>
    <w:rsid w:val="28414191"/>
    <w:rsid w:val="2843391E"/>
    <w:rsid w:val="28435434"/>
    <w:rsid w:val="28733412"/>
    <w:rsid w:val="287D26D8"/>
    <w:rsid w:val="28904CC6"/>
    <w:rsid w:val="28B844E9"/>
    <w:rsid w:val="28D41056"/>
    <w:rsid w:val="28ED2118"/>
    <w:rsid w:val="28EE24E8"/>
    <w:rsid w:val="290F208E"/>
    <w:rsid w:val="2912392D"/>
    <w:rsid w:val="29322F10"/>
    <w:rsid w:val="2938379D"/>
    <w:rsid w:val="295F069E"/>
    <w:rsid w:val="296D07FE"/>
    <w:rsid w:val="298E476E"/>
    <w:rsid w:val="299730A5"/>
    <w:rsid w:val="299A3878"/>
    <w:rsid w:val="29A620CE"/>
    <w:rsid w:val="29B33362"/>
    <w:rsid w:val="29BD4DCE"/>
    <w:rsid w:val="29E931DF"/>
    <w:rsid w:val="29EF5CEF"/>
    <w:rsid w:val="2A252D70"/>
    <w:rsid w:val="2A370001"/>
    <w:rsid w:val="2A3C73FF"/>
    <w:rsid w:val="2A4D11EC"/>
    <w:rsid w:val="2A500BB0"/>
    <w:rsid w:val="2A505BBC"/>
    <w:rsid w:val="2A6625D8"/>
    <w:rsid w:val="2A973B8D"/>
    <w:rsid w:val="2AAE1592"/>
    <w:rsid w:val="2AC82E3D"/>
    <w:rsid w:val="2AD43590"/>
    <w:rsid w:val="2AE5754B"/>
    <w:rsid w:val="2AF632DD"/>
    <w:rsid w:val="2B1C19A2"/>
    <w:rsid w:val="2B417E71"/>
    <w:rsid w:val="2B8F74B6"/>
    <w:rsid w:val="2B907688"/>
    <w:rsid w:val="2BA62C25"/>
    <w:rsid w:val="2BA728BE"/>
    <w:rsid w:val="2BB67BCD"/>
    <w:rsid w:val="2BC07AC5"/>
    <w:rsid w:val="2BC2163A"/>
    <w:rsid w:val="2BD2547C"/>
    <w:rsid w:val="2BF84746"/>
    <w:rsid w:val="2C071C5B"/>
    <w:rsid w:val="2C0762C3"/>
    <w:rsid w:val="2C1F0D06"/>
    <w:rsid w:val="2C1F24A5"/>
    <w:rsid w:val="2C476937"/>
    <w:rsid w:val="2C4F6863"/>
    <w:rsid w:val="2C5632CC"/>
    <w:rsid w:val="2C5F5BA8"/>
    <w:rsid w:val="2C66290D"/>
    <w:rsid w:val="2C7176F9"/>
    <w:rsid w:val="2C7E5E6F"/>
    <w:rsid w:val="2C8E6D8E"/>
    <w:rsid w:val="2C9B1FDA"/>
    <w:rsid w:val="2CC56CDA"/>
    <w:rsid w:val="2CD07DA8"/>
    <w:rsid w:val="2D026A64"/>
    <w:rsid w:val="2D523F56"/>
    <w:rsid w:val="2D776C27"/>
    <w:rsid w:val="2D8D3ECA"/>
    <w:rsid w:val="2D9042F7"/>
    <w:rsid w:val="2DAF4B82"/>
    <w:rsid w:val="2DC25DA1"/>
    <w:rsid w:val="2DCF003E"/>
    <w:rsid w:val="2DD02B38"/>
    <w:rsid w:val="2DDD1B27"/>
    <w:rsid w:val="2DE91C37"/>
    <w:rsid w:val="2E0479C3"/>
    <w:rsid w:val="2E1168A9"/>
    <w:rsid w:val="2E167B67"/>
    <w:rsid w:val="2E1B7727"/>
    <w:rsid w:val="2E5C3FC8"/>
    <w:rsid w:val="2E5F33B2"/>
    <w:rsid w:val="2E650E2E"/>
    <w:rsid w:val="2E66628F"/>
    <w:rsid w:val="2E714743"/>
    <w:rsid w:val="2E8402B7"/>
    <w:rsid w:val="2E900048"/>
    <w:rsid w:val="2E921798"/>
    <w:rsid w:val="2EC102CF"/>
    <w:rsid w:val="2EDA313F"/>
    <w:rsid w:val="2EDB6FB6"/>
    <w:rsid w:val="2F0106CB"/>
    <w:rsid w:val="2F256EF5"/>
    <w:rsid w:val="2F2B7A51"/>
    <w:rsid w:val="2F300FB0"/>
    <w:rsid w:val="2F3E36CD"/>
    <w:rsid w:val="2F430CE4"/>
    <w:rsid w:val="2F6B689A"/>
    <w:rsid w:val="2F8A6DDB"/>
    <w:rsid w:val="2F927575"/>
    <w:rsid w:val="2FD7142C"/>
    <w:rsid w:val="2FDD3B12"/>
    <w:rsid w:val="2FE6543C"/>
    <w:rsid w:val="2FE73D65"/>
    <w:rsid w:val="2FEC66F3"/>
    <w:rsid w:val="2FFF10AF"/>
    <w:rsid w:val="300C7EE4"/>
    <w:rsid w:val="30196F7B"/>
    <w:rsid w:val="301D1535"/>
    <w:rsid w:val="30423F70"/>
    <w:rsid w:val="3045283A"/>
    <w:rsid w:val="306929CC"/>
    <w:rsid w:val="30864070"/>
    <w:rsid w:val="30883631"/>
    <w:rsid w:val="30977539"/>
    <w:rsid w:val="30E91417"/>
    <w:rsid w:val="30F57DBC"/>
    <w:rsid w:val="30FE0981"/>
    <w:rsid w:val="310444A3"/>
    <w:rsid w:val="31175F84"/>
    <w:rsid w:val="313C1E8F"/>
    <w:rsid w:val="31750EFD"/>
    <w:rsid w:val="317C04DD"/>
    <w:rsid w:val="319D35E3"/>
    <w:rsid w:val="31B20087"/>
    <w:rsid w:val="31B702D7"/>
    <w:rsid w:val="31C61758"/>
    <w:rsid w:val="31D2634F"/>
    <w:rsid w:val="31DB7E10"/>
    <w:rsid w:val="31E05D0E"/>
    <w:rsid w:val="31E3486E"/>
    <w:rsid w:val="31EB33D0"/>
    <w:rsid w:val="31F2575D"/>
    <w:rsid w:val="3205473A"/>
    <w:rsid w:val="32065595"/>
    <w:rsid w:val="321E3342"/>
    <w:rsid w:val="32390C0A"/>
    <w:rsid w:val="32430E48"/>
    <w:rsid w:val="32494863"/>
    <w:rsid w:val="324F1C81"/>
    <w:rsid w:val="3259627E"/>
    <w:rsid w:val="325A3DDD"/>
    <w:rsid w:val="325D3F31"/>
    <w:rsid w:val="325F2534"/>
    <w:rsid w:val="32783247"/>
    <w:rsid w:val="327D275F"/>
    <w:rsid w:val="327D62BB"/>
    <w:rsid w:val="329452A2"/>
    <w:rsid w:val="329817DA"/>
    <w:rsid w:val="329D606F"/>
    <w:rsid w:val="32B12408"/>
    <w:rsid w:val="32D560F7"/>
    <w:rsid w:val="32E34259"/>
    <w:rsid w:val="330513DC"/>
    <w:rsid w:val="330C5891"/>
    <w:rsid w:val="331A7FAD"/>
    <w:rsid w:val="33223A67"/>
    <w:rsid w:val="333E321F"/>
    <w:rsid w:val="33541711"/>
    <w:rsid w:val="335F3C12"/>
    <w:rsid w:val="33604E18"/>
    <w:rsid w:val="3371771B"/>
    <w:rsid w:val="339F01FD"/>
    <w:rsid w:val="33A369E2"/>
    <w:rsid w:val="33AF4B9A"/>
    <w:rsid w:val="33C70135"/>
    <w:rsid w:val="33CD75E9"/>
    <w:rsid w:val="33DA368D"/>
    <w:rsid w:val="33DF56F3"/>
    <w:rsid w:val="33E05132"/>
    <w:rsid w:val="33E62FA1"/>
    <w:rsid w:val="33E8058A"/>
    <w:rsid w:val="33F86541"/>
    <w:rsid w:val="33FD3473"/>
    <w:rsid w:val="34057E66"/>
    <w:rsid w:val="34062C68"/>
    <w:rsid w:val="340842AA"/>
    <w:rsid w:val="340C4A2E"/>
    <w:rsid w:val="341E3D38"/>
    <w:rsid w:val="34207846"/>
    <w:rsid w:val="34272EB7"/>
    <w:rsid w:val="34550A58"/>
    <w:rsid w:val="34595DFD"/>
    <w:rsid w:val="348558FB"/>
    <w:rsid w:val="34930A08"/>
    <w:rsid w:val="349873DC"/>
    <w:rsid w:val="34987FD8"/>
    <w:rsid w:val="34B9396C"/>
    <w:rsid w:val="34C75F13"/>
    <w:rsid w:val="34CD68A6"/>
    <w:rsid w:val="34CF29F6"/>
    <w:rsid w:val="34D96843"/>
    <w:rsid w:val="34F211E2"/>
    <w:rsid w:val="34FA0097"/>
    <w:rsid w:val="34FB5482"/>
    <w:rsid w:val="35041886"/>
    <w:rsid w:val="352379A6"/>
    <w:rsid w:val="3541288A"/>
    <w:rsid w:val="3555351F"/>
    <w:rsid w:val="35633F07"/>
    <w:rsid w:val="35635C3C"/>
    <w:rsid w:val="359D2A7F"/>
    <w:rsid w:val="35AA68C3"/>
    <w:rsid w:val="35B30C24"/>
    <w:rsid w:val="35BE7316"/>
    <w:rsid w:val="35D40B6E"/>
    <w:rsid w:val="35E04F9E"/>
    <w:rsid w:val="35FD2348"/>
    <w:rsid w:val="36034D29"/>
    <w:rsid w:val="36121410"/>
    <w:rsid w:val="3614243B"/>
    <w:rsid w:val="36160F00"/>
    <w:rsid w:val="36286D23"/>
    <w:rsid w:val="363650FE"/>
    <w:rsid w:val="363D754D"/>
    <w:rsid w:val="364318F7"/>
    <w:rsid w:val="3654444F"/>
    <w:rsid w:val="36673C8C"/>
    <w:rsid w:val="366F0610"/>
    <w:rsid w:val="36780D51"/>
    <w:rsid w:val="368B0CB4"/>
    <w:rsid w:val="36903E65"/>
    <w:rsid w:val="36A008FA"/>
    <w:rsid w:val="36AC4CF8"/>
    <w:rsid w:val="36B6732D"/>
    <w:rsid w:val="36BE6EA2"/>
    <w:rsid w:val="36C31C4A"/>
    <w:rsid w:val="36CE7BF8"/>
    <w:rsid w:val="36CF6378"/>
    <w:rsid w:val="370D62E9"/>
    <w:rsid w:val="37102921"/>
    <w:rsid w:val="3729447F"/>
    <w:rsid w:val="373A7B4A"/>
    <w:rsid w:val="37497F86"/>
    <w:rsid w:val="37555A58"/>
    <w:rsid w:val="375A7E23"/>
    <w:rsid w:val="376E4FA8"/>
    <w:rsid w:val="37753A04"/>
    <w:rsid w:val="377C4D93"/>
    <w:rsid w:val="37867032"/>
    <w:rsid w:val="37992CA3"/>
    <w:rsid w:val="37AD7958"/>
    <w:rsid w:val="37BD3D81"/>
    <w:rsid w:val="37C91FA2"/>
    <w:rsid w:val="37E33064"/>
    <w:rsid w:val="37E437A5"/>
    <w:rsid w:val="37E610F3"/>
    <w:rsid w:val="37EC1EE8"/>
    <w:rsid w:val="37EE6074"/>
    <w:rsid w:val="37F5104B"/>
    <w:rsid w:val="380551AA"/>
    <w:rsid w:val="381274A5"/>
    <w:rsid w:val="3814146F"/>
    <w:rsid w:val="3837515E"/>
    <w:rsid w:val="38484F6E"/>
    <w:rsid w:val="385F712E"/>
    <w:rsid w:val="38882A94"/>
    <w:rsid w:val="388C3F10"/>
    <w:rsid w:val="388E4DF4"/>
    <w:rsid w:val="389A2BEB"/>
    <w:rsid w:val="38C7712C"/>
    <w:rsid w:val="38DC03E3"/>
    <w:rsid w:val="38FA79AC"/>
    <w:rsid w:val="39131727"/>
    <w:rsid w:val="39232701"/>
    <w:rsid w:val="392C30A1"/>
    <w:rsid w:val="393B0C7E"/>
    <w:rsid w:val="39656F67"/>
    <w:rsid w:val="398B5F80"/>
    <w:rsid w:val="39934616"/>
    <w:rsid w:val="399B34CA"/>
    <w:rsid w:val="399D2A44"/>
    <w:rsid w:val="399F745E"/>
    <w:rsid w:val="39A46823"/>
    <w:rsid w:val="39C90037"/>
    <w:rsid w:val="39CF7BD9"/>
    <w:rsid w:val="39D23390"/>
    <w:rsid w:val="39D4535A"/>
    <w:rsid w:val="39DF0842"/>
    <w:rsid w:val="39E9188A"/>
    <w:rsid w:val="39EF68F9"/>
    <w:rsid w:val="3A046550"/>
    <w:rsid w:val="3A237DCC"/>
    <w:rsid w:val="3A2A6096"/>
    <w:rsid w:val="3A377B72"/>
    <w:rsid w:val="3A38372B"/>
    <w:rsid w:val="3A477823"/>
    <w:rsid w:val="3A526D6D"/>
    <w:rsid w:val="3A5D7130"/>
    <w:rsid w:val="3A5E69D2"/>
    <w:rsid w:val="3A5E7B42"/>
    <w:rsid w:val="3A654204"/>
    <w:rsid w:val="3A6C5593"/>
    <w:rsid w:val="3A72247D"/>
    <w:rsid w:val="3A7A2DDB"/>
    <w:rsid w:val="3AB700BC"/>
    <w:rsid w:val="3AC76D47"/>
    <w:rsid w:val="3AD82C28"/>
    <w:rsid w:val="3AE01ADD"/>
    <w:rsid w:val="3AE954D0"/>
    <w:rsid w:val="3B222C92"/>
    <w:rsid w:val="3B3A1F8C"/>
    <w:rsid w:val="3B3D234F"/>
    <w:rsid w:val="3B4E6A46"/>
    <w:rsid w:val="3B537C35"/>
    <w:rsid w:val="3B5A6DF6"/>
    <w:rsid w:val="3B5B5CFC"/>
    <w:rsid w:val="3BB07701"/>
    <w:rsid w:val="3BB371F1"/>
    <w:rsid w:val="3BBE0D03"/>
    <w:rsid w:val="3BC67EB2"/>
    <w:rsid w:val="3BD80A06"/>
    <w:rsid w:val="3C0B3DB8"/>
    <w:rsid w:val="3C126762"/>
    <w:rsid w:val="3C1C679A"/>
    <w:rsid w:val="3C1F380C"/>
    <w:rsid w:val="3C2F195A"/>
    <w:rsid w:val="3C484A65"/>
    <w:rsid w:val="3C4E5173"/>
    <w:rsid w:val="3C5338CA"/>
    <w:rsid w:val="3C64564D"/>
    <w:rsid w:val="3C687FDC"/>
    <w:rsid w:val="3C7234F7"/>
    <w:rsid w:val="3C805325"/>
    <w:rsid w:val="3CC72F54"/>
    <w:rsid w:val="3CCF26AC"/>
    <w:rsid w:val="3CED228F"/>
    <w:rsid w:val="3CFF5ECD"/>
    <w:rsid w:val="3D18124D"/>
    <w:rsid w:val="3D183F83"/>
    <w:rsid w:val="3D25285A"/>
    <w:rsid w:val="3D2E37BF"/>
    <w:rsid w:val="3D3832F8"/>
    <w:rsid w:val="3D474095"/>
    <w:rsid w:val="3D4E095D"/>
    <w:rsid w:val="3D5347E8"/>
    <w:rsid w:val="3D632551"/>
    <w:rsid w:val="3D6A1B31"/>
    <w:rsid w:val="3D6E1400"/>
    <w:rsid w:val="3D6F3030"/>
    <w:rsid w:val="3D85696B"/>
    <w:rsid w:val="3D891FB8"/>
    <w:rsid w:val="3D8A6CB7"/>
    <w:rsid w:val="3D9B7378"/>
    <w:rsid w:val="3DAE5EC2"/>
    <w:rsid w:val="3DB95134"/>
    <w:rsid w:val="3DBA6615"/>
    <w:rsid w:val="3DD35362"/>
    <w:rsid w:val="3DD3673F"/>
    <w:rsid w:val="3DD60F75"/>
    <w:rsid w:val="3DD81385"/>
    <w:rsid w:val="3DE713D4"/>
    <w:rsid w:val="3DE73182"/>
    <w:rsid w:val="3DED2A28"/>
    <w:rsid w:val="3E2A7119"/>
    <w:rsid w:val="3E3B5591"/>
    <w:rsid w:val="3E415AB1"/>
    <w:rsid w:val="3E5D520F"/>
    <w:rsid w:val="3E740EBA"/>
    <w:rsid w:val="3E7802D0"/>
    <w:rsid w:val="3E7964D0"/>
    <w:rsid w:val="3E7B428B"/>
    <w:rsid w:val="3E9170C9"/>
    <w:rsid w:val="3EA0094C"/>
    <w:rsid w:val="3EA6303D"/>
    <w:rsid w:val="3EBC4E84"/>
    <w:rsid w:val="3ED2074B"/>
    <w:rsid w:val="3EFA1808"/>
    <w:rsid w:val="3F004818"/>
    <w:rsid w:val="3F0D6C18"/>
    <w:rsid w:val="3F175450"/>
    <w:rsid w:val="3F3C694C"/>
    <w:rsid w:val="3F417B81"/>
    <w:rsid w:val="3F472D7B"/>
    <w:rsid w:val="3F523DDC"/>
    <w:rsid w:val="3F551B76"/>
    <w:rsid w:val="3F5605BF"/>
    <w:rsid w:val="3F5F20AB"/>
    <w:rsid w:val="3F612097"/>
    <w:rsid w:val="3F67481F"/>
    <w:rsid w:val="3F6A07A6"/>
    <w:rsid w:val="3F995780"/>
    <w:rsid w:val="3FC6647C"/>
    <w:rsid w:val="3FCE679F"/>
    <w:rsid w:val="3FD7098B"/>
    <w:rsid w:val="3FF9423D"/>
    <w:rsid w:val="3FFB3608"/>
    <w:rsid w:val="3FFD7509"/>
    <w:rsid w:val="40061D9E"/>
    <w:rsid w:val="40494CAF"/>
    <w:rsid w:val="407057C5"/>
    <w:rsid w:val="40742103"/>
    <w:rsid w:val="407A00D0"/>
    <w:rsid w:val="40871121"/>
    <w:rsid w:val="408F6EC6"/>
    <w:rsid w:val="4094003A"/>
    <w:rsid w:val="409A3110"/>
    <w:rsid w:val="40AA2996"/>
    <w:rsid w:val="40AB493B"/>
    <w:rsid w:val="40DD3397"/>
    <w:rsid w:val="40FE6422"/>
    <w:rsid w:val="410F30DE"/>
    <w:rsid w:val="41231835"/>
    <w:rsid w:val="414D59F2"/>
    <w:rsid w:val="41540AC1"/>
    <w:rsid w:val="419B675D"/>
    <w:rsid w:val="41A203A0"/>
    <w:rsid w:val="41B353C1"/>
    <w:rsid w:val="41B63597"/>
    <w:rsid w:val="41BA3266"/>
    <w:rsid w:val="41C23E6E"/>
    <w:rsid w:val="41C56334"/>
    <w:rsid w:val="41DE5DDF"/>
    <w:rsid w:val="41F3296E"/>
    <w:rsid w:val="41F91DC9"/>
    <w:rsid w:val="42125C76"/>
    <w:rsid w:val="42213106"/>
    <w:rsid w:val="422614FE"/>
    <w:rsid w:val="42334D62"/>
    <w:rsid w:val="423A64CB"/>
    <w:rsid w:val="42492AF2"/>
    <w:rsid w:val="4249440B"/>
    <w:rsid w:val="4268344B"/>
    <w:rsid w:val="42827EA0"/>
    <w:rsid w:val="428657F4"/>
    <w:rsid w:val="42884F34"/>
    <w:rsid w:val="42926066"/>
    <w:rsid w:val="429A07C3"/>
    <w:rsid w:val="42AD499A"/>
    <w:rsid w:val="42B03B0B"/>
    <w:rsid w:val="42B2027D"/>
    <w:rsid w:val="42BC318C"/>
    <w:rsid w:val="42BC4962"/>
    <w:rsid w:val="42D03910"/>
    <w:rsid w:val="42EC5861"/>
    <w:rsid w:val="42EF2F93"/>
    <w:rsid w:val="42F41727"/>
    <w:rsid w:val="42FD3DE8"/>
    <w:rsid w:val="42FF1DAA"/>
    <w:rsid w:val="430D368B"/>
    <w:rsid w:val="430E6A8B"/>
    <w:rsid w:val="43206B28"/>
    <w:rsid w:val="432A5FEB"/>
    <w:rsid w:val="43320268"/>
    <w:rsid w:val="43367B20"/>
    <w:rsid w:val="433F0E79"/>
    <w:rsid w:val="436A4639"/>
    <w:rsid w:val="43892FD0"/>
    <w:rsid w:val="438B3AD2"/>
    <w:rsid w:val="43B43087"/>
    <w:rsid w:val="43C74799"/>
    <w:rsid w:val="43D07ED5"/>
    <w:rsid w:val="43ED746C"/>
    <w:rsid w:val="43F63D87"/>
    <w:rsid w:val="4400471D"/>
    <w:rsid w:val="4413082D"/>
    <w:rsid w:val="441427F7"/>
    <w:rsid w:val="44276C8D"/>
    <w:rsid w:val="443442D3"/>
    <w:rsid w:val="44346B9E"/>
    <w:rsid w:val="443B5FD6"/>
    <w:rsid w:val="446B610D"/>
    <w:rsid w:val="44753296"/>
    <w:rsid w:val="44823BB1"/>
    <w:rsid w:val="44827275"/>
    <w:rsid w:val="4484172B"/>
    <w:rsid w:val="4484797D"/>
    <w:rsid w:val="448654A3"/>
    <w:rsid w:val="44893B7D"/>
    <w:rsid w:val="449D5B8D"/>
    <w:rsid w:val="44A14C7E"/>
    <w:rsid w:val="44A91191"/>
    <w:rsid w:val="44AF7DE1"/>
    <w:rsid w:val="44B77236"/>
    <w:rsid w:val="44B77A33"/>
    <w:rsid w:val="44BA514C"/>
    <w:rsid w:val="44C85ABB"/>
    <w:rsid w:val="44CD7ED8"/>
    <w:rsid w:val="44E05A0B"/>
    <w:rsid w:val="44EB17AA"/>
    <w:rsid w:val="44FF7003"/>
    <w:rsid w:val="4503510F"/>
    <w:rsid w:val="452B7A81"/>
    <w:rsid w:val="452F547C"/>
    <w:rsid w:val="453018B3"/>
    <w:rsid w:val="454329F5"/>
    <w:rsid w:val="455E46E0"/>
    <w:rsid w:val="455F13C2"/>
    <w:rsid w:val="459374B7"/>
    <w:rsid w:val="45A32084"/>
    <w:rsid w:val="45AE5DAC"/>
    <w:rsid w:val="45B04463"/>
    <w:rsid w:val="45C42211"/>
    <w:rsid w:val="45D5009E"/>
    <w:rsid w:val="45E06E35"/>
    <w:rsid w:val="4629258A"/>
    <w:rsid w:val="462A5E87"/>
    <w:rsid w:val="46436CAF"/>
    <w:rsid w:val="464B0265"/>
    <w:rsid w:val="464D4825"/>
    <w:rsid w:val="465C457C"/>
    <w:rsid w:val="466710CA"/>
    <w:rsid w:val="466819B1"/>
    <w:rsid w:val="466C6423"/>
    <w:rsid w:val="468E063F"/>
    <w:rsid w:val="46A41F89"/>
    <w:rsid w:val="46B207D1"/>
    <w:rsid w:val="46BF3B2C"/>
    <w:rsid w:val="46C0358F"/>
    <w:rsid w:val="46D83FB0"/>
    <w:rsid w:val="46FA5CD4"/>
    <w:rsid w:val="47174E55"/>
    <w:rsid w:val="471C20EE"/>
    <w:rsid w:val="471F1BDF"/>
    <w:rsid w:val="471F573B"/>
    <w:rsid w:val="47325615"/>
    <w:rsid w:val="473345DF"/>
    <w:rsid w:val="47342298"/>
    <w:rsid w:val="47411B55"/>
    <w:rsid w:val="4766328F"/>
    <w:rsid w:val="476F55BE"/>
    <w:rsid w:val="478F28C0"/>
    <w:rsid w:val="47BE31A6"/>
    <w:rsid w:val="47C31B76"/>
    <w:rsid w:val="47D66741"/>
    <w:rsid w:val="47DE55F6"/>
    <w:rsid w:val="47ED7154"/>
    <w:rsid w:val="48027536"/>
    <w:rsid w:val="48117779"/>
    <w:rsid w:val="482E683E"/>
    <w:rsid w:val="485012F0"/>
    <w:rsid w:val="48864C66"/>
    <w:rsid w:val="48C90054"/>
    <w:rsid w:val="48D32C81"/>
    <w:rsid w:val="48FC482B"/>
    <w:rsid w:val="49061443"/>
    <w:rsid w:val="492E6D05"/>
    <w:rsid w:val="493A2A9A"/>
    <w:rsid w:val="49525550"/>
    <w:rsid w:val="49535B70"/>
    <w:rsid w:val="49706721"/>
    <w:rsid w:val="4980318E"/>
    <w:rsid w:val="49853D97"/>
    <w:rsid w:val="49A40179"/>
    <w:rsid w:val="49A77517"/>
    <w:rsid w:val="49B06B1E"/>
    <w:rsid w:val="49B76564"/>
    <w:rsid w:val="49C6610C"/>
    <w:rsid w:val="49EB1A27"/>
    <w:rsid w:val="49EF5898"/>
    <w:rsid w:val="49FF00A0"/>
    <w:rsid w:val="4A002164"/>
    <w:rsid w:val="4A056DC5"/>
    <w:rsid w:val="4A0A33C4"/>
    <w:rsid w:val="4A15029A"/>
    <w:rsid w:val="4A345654"/>
    <w:rsid w:val="4A34774F"/>
    <w:rsid w:val="4A3D2AA8"/>
    <w:rsid w:val="4A471230"/>
    <w:rsid w:val="4A7337E3"/>
    <w:rsid w:val="4A835EF1"/>
    <w:rsid w:val="4A9B332A"/>
    <w:rsid w:val="4A9F7E95"/>
    <w:rsid w:val="4AAE539E"/>
    <w:rsid w:val="4AB564DE"/>
    <w:rsid w:val="4AB72517"/>
    <w:rsid w:val="4ABD3C9B"/>
    <w:rsid w:val="4AC42881"/>
    <w:rsid w:val="4ADD15CF"/>
    <w:rsid w:val="4AF32D84"/>
    <w:rsid w:val="4B0A4A82"/>
    <w:rsid w:val="4B150BE3"/>
    <w:rsid w:val="4B1C39B5"/>
    <w:rsid w:val="4B3612A5"/>
    <w:rsid w:val="4B571947"/>
    <w:rsid w:val="4B577A1B"/>
    <w:rsid w:val="4B5E0372"/>
    <w:rsid w:val="4B750AFD"/>
    <w:rsid w:val="4B78366B"/>
    <w:rsid w:val="4B8F0C57"/>
    <w:rsid w:val="4BC14791"/>
    <w:rsid w:val="4BD0753A"/>
    <w:rsid w:val="4BD27220"/>
    <w:rsid w:val="4BF70A34"/>
    <w:rsid w:val="4BFB49C8"/>
    <w:rsid w:val="4C085DCC"/>
    <w:rsid w:val="4C2A0E0A"/>
    <w:rsid w:val="4C5639AD"/>
    <w:rsid w:val="4C564F59"/>
    <w:rsid w:val="4C635E39"/>
    <w:rsid w:val="4C7E1155"/>
    <w:rsid w:val="4C800A2A"/>
    <w:rsid w:val="4C8070EA"/>
    <w:rsid w:val="4C81721B"/>
    <w:rsid w:val="4C9F1D88"/>
    <w:rsid w:val="4CA92B72"/>
    <w:rsid w:val="4CAD2325"/>
    <w:rsid w:val="4CBF1162"/>
    <w:rsid w:val="4CD60F91"/>
    <w:rsid w:val="4CD7191D"/>
    <w:rsid w:val="4CE34015"/>
    <w:rsid w:val="4CE70492"/>
    <w:rsid w:val="4CF33452"/>
    <w:rsid w:val="4D096B08"/>
    <w:rsid w:val="4D0A1809"/>
    <w:rsid w:val="4D0C3DCB"/>
    <w:rsid w:val="4D183C97"/>
    <w:rsid w:val="4D1A4A6D"/>
    <w:rsid w:val="4D4B1038"/>
    <w:rsid w:val="4D4E3417"/>
    <w:rsid w:val="4D64034B"/>
    <w:rsid w:val="4D650AE5"/>
    <w:rsid w:val="4D66734D"/>
    <w:rsid w:val="4D697710"/>
    <w:rsid w:val="4D751450"/>
    <w:rsid w:val="4D8A7EED"/>
    <w:rsid w:val="4D9718D3"/>
    <w:rsid w:val="4DA046CE"/>
    <w:rsid w:val="4DA83B83"/>
    <w:rsid w:val="4DDE00FE"/>
    <w:rsid w:val="4DE11851"/>
    <w:rsid w:val="4DF96360"/>
    <w:rsid w:val="4E1140DD"/>
    <w:rsid w:val="4E353A96"/>
    <w:rsid w:val="4E3C4602"/>
    <w:rsid w:val="4E3E3F5C"/>
    <w:rsid w:val="4E4803A1"/>
    <w:rsid w:val="4E740A62"/>
    <w:rsid w:val="4E811958"/>
    <w:rsid w:val="4E852957"/>
    <w:rsid w:val="4E874011"/>
    <w:rsid w:val="4E8E6A70"/>
    <w:rsid w:val="4E9804BC"/>
    <w:rsid w:val="4EA545E7"/>
    <w:rsid w:val="4EB73A5A"/>
    <w:rsid w:val="4EC2494C"/>
    <w:rsid w:val="4ED50C74"/>
    <w:rsid w:val="4EDF46F4"/>
    <w:rsid w:val="4EED5036"/>
    <w:rsid w:val="4EF2530E"/>
    <w:rsid w:val="4EF45AF7"/>
    <w:rsid w:val="4EFC01E3"/>
    <w:rsid w:val="4F05339C"/>
    <w:rsid w:val="4F29184C"/>
    <w:rsid w:val="4F415B03"/>
    <w:rsid w:val="4F512B51"/>
    <w:rsid w:val="4F5A37B4"/>
    <w:rsid w:val="4F9C201E"/>
    <w:rsid w:val="4FA01DB0"/>
    <w:rsid w:val="4FC427FF"/>
    <w:rsid w:val="4FC60F1F"/>
    <w:rsid w:val="4FE43A21"/>
    <w:rsid w:val="4FE92D8A"/>
    <w:rsid w:val="4FED2E5A"/>
    <w:rsid w:val="4FFB1EBB"/>
    <w:rsid w:val="4FFE2F23"/>
    <w:rsid w:val="50093052"/>
    <w:rsid w:val="500E27F0"/>
    <w:rsid w:val="502D711A"/>
    <w:rsid w:val="50306C0B"/>
    <w:rsid w:val="50386AE8"/>
    <w:rsid w:val="504A7E68"/>
    <w:rsid w:val="50541F8E"/>
    <w:rsid w:val="50696790"/>
    <w:rsid w:val="506D6A5E"/>
    <w:rsid w:val="508D7BB9"/>
    <w:rsid w:val="50970A38"/>
    <w:rsid w:val="50A3066D"/>
    <w:rsid w:val="50BF4786"/>
    <w:rsid w:val="50D76FE7"/>
    <w:rsid w:val="50F25C6E"/>
    <w:rsid w:val="50F3395B"/>
    <w:rsid w:val="50FC089B"/>
    <w:rsid w:val="512C2F2E"/>
    <w:rsid w:val="51477D68"/>
    <w:rsid w:val="516A1CA8"/>
    <w:rsid w:val="51711912"/>
    <w:rsid w:val="51743085"/>
    <w:rsid w:val="517763AE"/>
    <w:rsid w:val="519A258E"/>
    <w:rsid w:val="51AE7DE7"/>
    <w:rsid w:val="51BD2758"/>
    <w:rsid w:val="51BD620E"/>
    <w:rsid w:val="51C35128"/>
    <w:rsid w:val="51C4353C"/>
    <w:rsid w:val="51D15A56"/>
    <w:rsid w:val="51FD48CA"/>
    <w:rsid w:val="5206054D"/>
    <w:rsid w:val="522A440C"/>
    <w:rsid w:val="522E0F28"/>
    <w:rsid w:val="523B0863"/>
    <w:rsid w:val="524101D0"/>
    <w:rsid w:val="52650DED"/>
    <w:rsid w:val="52707792"/>
    <w:rsid w:val="528E2C02"/>
    <w:rsid w:val="52901241"/>
    <w:rsid w:val="52AC27E6"/>
    <w:rsid w:val="52BB04F4"/>
    <w:rsid w:val="52C3155E"/>
    <w:rsid w:val="52D25E1F"/>
    <w:rsid w:val="52D32073"/>
    <w:rsid w:val="52DE48FD"/>
    <w:rsid w:val="52DE7BAC"/>
    <w:rsid w:val="52E2745F"/>
    <w:rsid w:val="5302488E"/>
    <w:rsid w:val="530A1FB5"/>
    <w:rsid w:val="530C1269"/>
    <w:rsid w:val="531C6FD2"/>
    <w:rsid w:val="53322138"/>
    <w:rsid w:val="53486019"/>
    <w:rsid w:val="534B3D13"/>
    <w:rsid w:val="535A2F7A"/>
    <w:rsid w:val="535C3D56"/>
    <w:rsid w:val="535C676C"/>
    <w:rsid w:val="53660A66"/>
    <w:rsid w:val="53865EA8"/>
    <w:rsid w:val="53B042EA"/>
    <w:rsid w:val="53C27926"/>
    <w:rsid w:val="53C71634"/>
    <w:rsid w:val="53CA4C80"/>
    <w:rsid w:val="53CC6C4A"/>
    <w:rsid w:val="53D3331B"/>
    <w:rsid w:val="53DE180B"/>
    <w:rsid w:val="53E94136"/>
    <w:rsid w:val="53F370B1"/>
    <w:rsid w:val="53FE2C5D"/>
    <w:rsid w:val="54054059"/>
    <w:rsid w:val="540B3D5F"/>
    <w:rsid w:val="541A1764"/>
    <w:rsid w:val="542459DD"/>
    <w:rsid w:val="542B571F"/>
    <w:rsid w:val="543A6A8E"/>
    <w:rsid w:val="544C2BEA"/>
    <w:rsid w:val="54502C06"/>
    <w:rsid w:val="54670D59"/>
    <w:rsid w:val="546E4629"/>
    <w:rsid w:val="54752E3E"/>
    <w:rsid w:val="547F1F0F"/>
    <w:rsid w:val="54837309"/>
    <w:rsid w:val="54866DF9"/>
    <w:rsid w:val="548A40F5"/>
    <w:rsid w:val="54B0031A"/>
    <w:rsid w:val="54C159F4"/>
    <w:rsid w:val="54D7692F"/>
    <w:rsid w:val="54DB4156"/>
    <w:rsid w:val="54E104D3"/>
    <w:rsid w:val="54E73543"/>
    <w:rsid w:val="550F5041"/>
    <w:rsid w:val="551D042C"/>
    <w:rsid w:val="55247D12"/>
    <w:rsid w:val="552D3719"/>
    <w:rsid w:val="5545497A"/>
    <w:rsid w:val="55490CCF"/>
    <w:rsid w:val="55883DC6"/>
    <w:rsid w:val="558E0FC6"/>
    <w:rsid w:val="55C37BD9"/>
    <w:rsid w:val="55CF657E"/>
    <w:rsid w:val="55E62245"/>
    <w:rsid w:val="56057B60"/>
    <w:rsid w:val="560721BC"/>
    <w:rsid w:val="561166DE"/>
    <w:rsid w:val="561510BD"/>
    <w:rsid w:val="56245862"/>
    <w:rsid w:val="562763BA"/>
    <w:rsid w:val="562F2F67"/>
    <w:rsid w:val="563B5C7E"/>
    <w:rsid w:val="5640569C"/>
    <w:rsid w:val="564C533D"/>
    <w:rsid w:val="565365CE"/>
    <w:rsid w:val="565475D9"/>
    <w:rsid w:val="56574EF1"/>
    <w:rsid w:val="565B0AF1"/>
    <w:rsid w:val="565D128D"/>
    <w:rsid w:val="567C6706"/>
    <w:rsid w:val="568B4B9B"/>
    <w:rsid w:val="56AE0563"/>
    <w:rsid w:val="56C35DB4"/>
    <w:rsid w:val="56CC49BC"/>
    <w:rsid w:val="56EF2681"/>
    <w:rsid w:val="573E7E5F"/>
    <w:rsid w:val="574C50B5"/>
    <w:rsid w:val="575966F5"/>
    <w:rsid w:val="57631EBA"/>
    <w:rsid w:val="57803098"/>
    <w:rsid w:val="57825222"/>
    <w:rsid w:val="57BD2932"/>
    <w:rsid w:val="57C14811"/>
    <w:rsid w:val="57C2283E"/>
    <w:rsid w:val="57C57C38"/>
    <w:rsid w:val="57D83E10"/>
    <w:rsid w:val="580469B3"/>
    <w:rsid w:val="580E6CD7"/>
    <w:rsid w:val="581035A9"/>
    <w:rsid w:val="58181D72"/>
    <w:rsid w:val="582232DD"/>
    <w:rsid w:val="58364112"/>
    <w:rsid w:val="58564D34"/>
    <w:rsid w:val="58B37429"/>
    <w:rsid w:val="58D31068"/>
    <w:rsid w:val="58ED5699"/>
    <w:rsid w:val="58F018D7"/>
    <w:rsid w:val="58F20D6D"/>
    <w:rsid w:val="58F509F1"/>
    <w:rsid w:val="58FA5C29"/>
    <w:rsid w:val="590268FE"/>
    <w:rsid w:val="5924294C"/>
    <w:rsid w:val="59550C2F"/>
    <w:rsid w:val="59580103"/>
    <w:rsid w:val="595E5405"/>
    <w:rsid w:val="59831B59"/>
    <w:rsid w:val="59A044B9"/>
    <w:rsid w:val="59C00543"/>
    <w:rsid w:val="59C525ED"/>
    <w:rsid w:val="59CD4AEA"/>
    <w:rsid w:val="59D244F7"/>
    <w:rsid w:val="59D6330F"/>
    <w:rsid w:val="59DF445C"/>
    <w:rsid w:val="59E012F1"/>
    <w:rsid w:val="59EC32B3"/>
    <w:rsid w:val="59EF1A5E"/>
    <w:rsid w:val="59F20A8D"/>
    <w:rsid w:val="5A090EB6"/>
    <w:rsid w:val="5A186745"/>
    <w:rsid w:val="5A272E2C"/>
    <w:rsid w:val="5A355549"/>
    <w:rsid w:val="5A4E550D"/>
    <w:rsid w:val="5A4F2D1C"/>
    <w:rsid w:val="5A5C0D28"/>
    <w:rsid w:val="5A802F2C"/>
    <w:rsid w:val="5A824128"/>
    <w:rsid w:val="5A8815F3"/>
    <w:rsid w:val="5A934F9A"/>
    <w:rsid w:val="5A951B83"/>
    <w:rsid w:val="5A9A140D"/>
    <w:rsid w:val="5A9C1C0D"/>
    <w:rsid w:val="5ADF26A5"/>
    <w:rsid w:val="5ADF7263"/>
    <w:rsid w:val="5AE73859"/>
    <w:rsid w:val="5AE76118"/>
    <w:rsid w:val="5AFA5E4B"/>
    <w:rsid w:val="5AFB5753"/>
    <w:rsid w:val="5AFD6D82"/>
    <w:rsid w:val="5B0A1D40"/>
    <w:rsid w:val="5B0B0C29"/>
    <w:rsid w:val="5B0D3DD0"/>
    <w:rsid w:val="5B1C4013"/>
    <w:rsid w:val="5B306EB7"/>
    <w:rsid w:val="5B443454"/>
    <w:rsid w:val="5B5437AD"/>
    <w:rsid w:val="5B730917"/>
    <w:rsid w:val="5B743E4F"/>
    <w:rsid w:val="5B85605C"/>
    <w:rsid w:val="5B96031A"/>
    <w:rsid w:val="5BA74225"/>
    <w:rsid w:val="5BA913F1"/>
    <w:rsid w:val="5BBA388A"/>
    <w:rsid w:val="5BC13CBD"/>
    <w:rsid w:val="5BC17489"/>
    <w:rsid w:val="5BCC5A39"/>
    <w:rsid w:val="5BD10E7D"/>
    <w:rsid w:val="5BD3501A"/>
    <w:rsid w:val="5BD62B33"/>
    <w:rsid w:val="5BEE2694"/>
    <w:rsid w:val="5BF22FC6"/>
    <w:rsid w:val="5BF25856"/>
    <w:rsid w:val="5C1711CB"/>
    <w:rsid w:val="5C205D85"/>
    <w:rsid w:val="5C244176"/>
    <w:rsid w:val="5C294C3A"/>
    <w:rsid w:val="5C2C2709"/>
    <w:rsid w:val="5C3929A3"/>
    <w:rsid w:val="5C4A2E02"/>
    <w:rsid w:val="5C564378"/>
    <w:rsid w:val="5C593278"/>
    <w:rsid w:val="5C5F28DB"/>
    <w:rsid w:val="5C6914DA"/>
    <w:rsid w:val="5C7951DE"/>
    <w:rsid w:val="5C812E5F"/>
    <w:rsid w:val="5C8C5B84"/>
    <w:rsid w:val="5C9A1D68"/>
    <w:rsid w:val="5CB56452"/>
    <w:rsid w:val="5CC072EE"/>
    <w:rsid w:val="5CCF14C0"/>
    <w:rsid w:val="5CD526CC"/>
    <w:rsid w:val="5CED7125"/>
    <w:rsid w:val="5D1B4B1E"/>
    <w:rsid w:val="5D2D2508"/>
    <w:rsid w:val="5D433711"/>
    <w:rsid w:val="5D43515F"/>
    <w:rsid w:val="5D4B0317"/>
    <w:rsid w:val="5D52420D"/>
    <w:rsid w:val="5D804D2D"/>
    <w:rsid w:val="5D995DEF"/>
    <w:rsid w:val="5DC40791"/>
    <w:rsid w:val="5DDE3802"/>
    <w:rsid w:val="5E091E72"/>
    <w:rsid w:val="5E0B209C"/>
    <w:rsid w:val="5E0B315A"/>
    <w:rsid w:val="5E3402BA"/>
    <w:rsid w:val="5E961933"/>
    <w:rsid w:val="5E973CFC"/>
    <w:rsid w:val="5EA828C7"/>
    <w:rsid w:val="5EC155FD"/>
    <w:rsid w:val="5ECA1FD8"/>
    <w:rsid w:val="5EDC2437"/>
    <w:rsid w:val="5EDD52C3"/>
    <w:rsid w:val="5EDF3CD6"/>
    <w:rsid w:val="5F2711D9"/>
    <w:rsid w:val="5F3A53B0"/>
    <w:rsid w:val="5F3E6C4E"/>
    <w:rsid w:val="5F7411EB"/>
    <w:rsid w:val="5F7A57AC"/>
    <w:rsid w:val="5F7C32D2"/>
    <w:rsid w:val="5F9B16C0"/>
    <w:rsid w:val="5FAA61AA"/>
    <w:rsid w:val="5FDB6417"/>
    <w:rsid w:val="5FF05824"/>
    <w:rsid w:val="600137CB"/>
    <w:rsid w:val="60107AA0"/>
    <w:rsid w:val="601654D5"/>
    <w:rsid w:val="603E2C7E"/>
    <w:rsid w:val="60624BBE"/>
    <w:rsid w:val="6067312F"/>
    <w:rsid w:val="606A3A73"/>
    <w:rsid w:val="607F7808"/>
    <w:rsid w:val="60B5318E"/>
    <w:rsid w:val="60BE39C7"/>
    <w:rsid w:val="60DF620F"/>
    <w:rsid w:val="61002A73"/>
    <w:rsid w:val="611405DE"/>
    <w:rsid w:val="612754C0"/>
    <w:rsid w:val="61437EA4"/>
    <w:rsid w:val="616258AA"/>
    <w:rsid w:val="616404C2"/>
    <w:rsid w:val="6187730A"/>
    <w:rsid w:val="619260F2"/>
    <w:rsid w:val="6194782E"/>
    <w:rsid w:val="619C51E0"/>
    <w:rsid w:val="619E1FB1"/>
    <w:rsid w:val="61BC2ED7"/>
    <w:rsid w:val="61D271D5"/>
    <w:rsid w:val="61EF0909"/>
    <w:rsid w:val="61FB2655"/>
    <w:rsid w:val="62065DDE"/>
    <w:rsid w:val="620872C6"/>
    <w:rsid w:val="62670500"/>
    <w:rsid w:val="62700E0F"/>
    <w:rsid w:val="6280757E"/>
    <w:rsid w:val="628A21AA"/>
    <w:rsid w:val="629E11A6"/>
    <w:rsid w:val="629F2798"/>
    <w:rsid w:val="62A65A66"/>
    <w:rsid w:val="62AC3E74"/>
    <w:rsid w:val="62B11050"/>
    <w:rsid w:val="62CA6A4B"/>
    <w:rsid w:val="62D046AC"/>
    <w:rsid w:val="62E80C7F"/>
    <w:rsid w:val="630E06AB"/>
    <w:rsid w:val="63141A74"/>
    <w:rsid w:val="63815A4E"/>
    <w:rsid w:val="6382017F"/>
    <w:rsid w:val="63A74E8A"/>
    <w:rsid w:val="63BB49A8"/>
    <w:rsid w:val="63DA4A6C"/>
    <w:rsid w:val="63E2036A"/>
    <w:rsid w:val="63E35842"/>
    <w:rsid w:val="63EB4ECB"/>
    <w:rsid w:val="63F22B88"/>
    <w:rsid w:val="63FB5F7E"/>
    <w:rsid w:val="63FF2724"/>
    <w:rsid w:val="640D3093"/>
    <w:rsid w:val="64107975"/>
    <w:rsid w:val="642D1856"/>
    <w:rsid w:val="64337DF8"/>
    <w:rsid w:val="64354398"/>
    <w:rsid w:val="64406769"/>
    <w:rsid w:val="644B18BD"/>
    <w:rsid w:val="64503CAA"/>
    <w:rsid w:val="648E3F01"/>
    <w:rsid w:val="64992747"/>
    <w:rsid w:val="649B750A"/>
    <w:rsid w:val="64AE152F"/>
    <w:rsid w:val="64C33752"/>
    <w:rsid w:val="64CE2157"/>
    <w:rsid w:val="64E02555"/>
    <w:rsid w:val="64F8789F"/>
    <w:rsid w:val="64FE29DC"/>
    <w:rsid w:val="650D5081"/>
    <w:rsid w:val="651B15C3"/>
    <w:rsid w:val="6525440C"/>
    <w:rsid w:val="652C0398"/>
    <w:rsid w:val="652C7B64"/>
    <w:rsid w:val="652D2212"/>
    <w:rsid w:val="653D5DFA"/>
    <w:rsid w:val="65401246"/>
    <w:rsid w:val="655B1BDC"/>
    <w:rsid w:val="6589499B"/>
    <w:rsid w:val="65A45331"/>
    <w:rsid w:val="65AE37E0"/>
    <w:rsid w:val="65B73EBB"/>
    <w:rsid w:val="65D57BE0"/>
    <w:rsid w:val="65EA2F94"/>
    <w:rsid w:val="65EB5550"/>
    <w:rsid w:val="65F22840"/>
    <w:rsid w:val="660C251C"/>
    <w:rsid w:val="66134265"/>
    <w:rsid w:val="661D5A47"/>
    <w:rsid w:val="661E6FF3"/>
    <w:rsid w:val="66286245"/>
    <w:rsid w:val="66324C01"/>
    <w:rsid w:val="663A71D6"/>
    <w:rsid w:val="6646288C"/>
    <w:rsid w:val="664A39B6"/>
    <w:rsid w:val="6653650B"/>
    <w:rsid w:val="66622458"/>
    <w:rsid w:val="66656062"/>
    <w:rsid w:val="66A001EE"/>
    <w:rsid w:val="66A5538C"/>
    <w:rsid w:val="66EA79F0"/>
    <w:rsid w:val="670E32C8"/>
    <w:rsid w:val="67107BA4"/>
    <w:rsid w:val="67273E67"/>
    <w:rsid w:val="672E0DE1"/>
    <w:rsid w:val="673D4E06"/>
    <w:rsid w:val="67574433"/>
    <w:rsid w:val="675D527D"/>
    <w:rsid w:val="675E59B4"/>
    <w:rsid w:val="67674868"/>
    <w:rsid w:val="676E73FB"/>
    <w:rsid w:val="67731E28"/>
    <w:rsid w:val="677D0AC5"/>
    <w:rsid w:val="677D43FA"/>
    <w:rsid w:val="679B09B6"/>
    <w:rsid w:val="67A23814"/>
    <w:rsid w:val="67D229B0"/>
    <w:rsid w:val="67E856E1"/>
    <w:rsid w:val="680D18B3"/>
    <w:rsid w:val="681A7139"/>
    <w:rsid w:val="681B56B9"/>
    <w:rsid w:val="68307BE6"/>
    <w:rsid w:val="683A1C10"/>
    <w:rsid w:val="684D1945"/>
    <w:rsid w:val="68757F3C"/>
    <w:rsid w:val="688B0A2A"/>
    <w:rsid w:val="68914293"/>
    <w:rsid w:val="689F73B6"/>
    <w:rsid w:val="68AB1650"/>
    <w:rsid w:val="68B64D7A"/>
    <w:rsid w:val="68D22899"/>
    <w:rsid w:val="68D25E84"/>
    <w:rsid w:val="68E74A57"/>
    <w:rsid w:val="68E86DBE"/>
    <w:rsid w:val="68EE38CB"/>
    <w:rsid w:val="68EF2D67"/>
    <w:rsid w:val="691033D5"/>
    <w:rsid w:val="69143237"/>
    <w:rsid w:val="69143AF1"/>
    <w:rsid w:val="691C433F"/>
    <w:rsid w:val="69335A45"/>
    <w:rsid w:val="695D347E"/>
    <w:rsid w:val="696A3145"/>
    <w:rsid w:val="696C085C"/>
    <w:rsid w:val="696F2805"/>
    <w:rsid w:val="69735746"/>
    <w:rsid w:val="69823BDB"/>
    <w:rsid w:val="6985579E"/>
    <w:rsid w:val="69884624"/>
    <w:rsid w:val="699E3EB8"/>
    <w:rsid w:val="69AC4653"/>
    <w:rsid w:val="69B12FFE"/>
    <w:rsid w:val="69B144C0"/>
    <w:rsid w:val="69C73CE4"/>
    <w:rsid w:val="69D925B6"/>
    <w:rsid w:val="69F12B0F"/>
    <w:rsid w:val="69F241AA"/>
    <w:rsid w:val="6A001C1F"/>
    <w:rsid w:val="6A2745FB"/>
    <w:rsid w:val="6A4341E3"/>
    <w:rsid w:val="6A437AC4"/>
    <w:rsid w:val="6A4E5DF8"/>
    <w:rsid w:val="6A4F0A74"/>
    <w:rsid w:val="6A5D1F52"/>
    <w:rsid w:val="6A79483D"/>
    <w:rsid w:val="6A7962C8"/>
    <w:rsid w:val="6A9737B1"/>
    <w:rsid w:val="6A9826B3"/>
    <w:rsid w:val="6A9D5B77"/>
    <w:rsid w:val="6AAF6C52"/>
    <w:rsid w:val="6AB96445"/>
    <w:rsid w:val="6ABF6769"/>
    <w:rsid w:val="6AC534B8"/>
    <w:rsid w:val="6AC8443C"/>
    <w:rsid w:val="6ACA64DA"/>
    <w:rsid w:val="6AD42E74"/>
    <w:rsid w:val="6AF73FDF"/>
    <w:rsid w:val="6B027BF0"/>
    <w:rsid w:val="6B1C6806"/>
    <w:rsid w:val="6B380A7C"/>
    <w:rsid w:val="6B39651C"/>
    <w:rsid w:val="6B601E38"/>
    <w:rsid w:val="6B63067C"/>
    <w:rsid w:val="6B7E17B3"/>
    <w:rsid w:val="6B8A4FC9"/>
    <w:rsid w:val="6B950140"/>
    <w:rsid w:val="6BA22313"/>
    <w:rsid w:val="6BC348FE"/>
    <w:rsid w:val="6BC87862"/>
    <w:rsid w:val="6BCB5F97"/>
    <w:rsid w:val="6BDE2736"/>
    <w:rsid w:val="6C123DF5"/>
    <w:rsid w:val="6C1825D5"/>
    <w:rsid w:val="6C1F5711"/>
    <w:rsid w:val="6C5C07C9"/>
    <w:rsid w:val="6C744954"/>
    <w:rsid w:val="6C7C5CF9"/>
    <w:rsid w:val="6C891725"/>
    <w:rsid w:val="6C901481"/>
    <w:rsid w:val="6C952229"/>
    <w:rsid w:val="6C97174C"/>
    <w:rsid w:val="6CBD011B"/>
    <w:rsid w:val="6CC03795"/>
    <w:rsid w:val="6CC7352D"/>
    <w:rsid w:val="6CD77003"/>
    <w:rsid w:val="6CD86877"/>
    <w:rsid w:val="6CDA4FD5"/>
    <w:rsid w:val="6CE12E9C"/>
    <w:rsid w:val="6CF03D43"/>
    <w:rsid w:val="6CF74433"/>
    <w:rsid w:val="6CFC5A53"/>
    <w:rsid w:val="6D07261B"/>
    <w:rsid w:val="6D0772DC"/>
    <w:rsid w:val="6D21195D"/>
    <w:rsid w:val="6D226EB6"/>
    <w:rsid w:val="6D237483"/>
    <w:rsid w:val="6D3276C6"/>
    <w:rsid w:val="6D4A16B7"/>
    <w:rsid w:val="6D512242"/>
    <w:rsid w:val="6D5229D3"/>
    <w:rsid w:val="6D6D6C13"/>
    <w:rsid w:val="6D8302A5"/>
    <w:rsid w:val="6D875C64"/>
    <w:rsid w:val="6D8A305E"/>
    <w:rsid w:val="6D9640F9"/>
    <w:rsid w:val="6D9C704B"/>
    <w:rsid w:val="6DA32372"/>
    <w:rsid w:val="6DAF51BB"/>
    <w:rsid w:val="6DC42A14"/>
    <w:rsid w:val="6DD32D72"/>
    <w:rsid w:val="6DE24C48"/>
    <w:rsid w:val="6DF7521F"/>
    <w:rsid w:val="6DF76433"/>
    <w:rsid w:val="6E012951"/>
    <w:rsid w:val="6E076DA5"/>
    <w:rsid w:val="6E090AF7"/>
    <w:rsid w:val="6E137AA8"/>
    <w:rsid w:val="6E1703AC"/>
    <w:rsid w:val="6E2039C3"/>
    <w:rsid w:val="6E33571A"/>
    <w:rsid w:val="6E3D0D49"/>
    <w:rsid w:val="6E4C7EBC"/>
    <w:rsid w:val="6E69536A"/>
    <w:rsid w:val="6E6B046C"/>
    <w:rsid w:val="6E6B1DA0"/>
    <w:rsid w:val="6E755721"/>
    <w:rsid w:val="6E926399"/>
    <w:rsid w:val="6EA30274"/>
    <w:rsid w:val="6EBB24C2"/>
    <w:rsid w:val="6EC45969"/>
    <w:rsid w:val="6ED30A35"/>
    <w:rsid w:val="6ED924EF"/>
    <w:rsid w:val="6EE90259"/>
    <w:rsid w:val="6EEF1D13"/>
    <w:rsid w:val="6F08540C"/>
    <w:rsid w:val="6F0F4163"/>
    <w:rsid w:val="6F197526"/>
    <w:rsid w:val="6F46345F"/>
    <w:rsid w:val="6F6A1F57"/>
    <w:rsid w:val="6F8E7497"/>
    <w:rsid w:val="6F9C3A2B"/>
    <w:rsid w:val="6FA0459E"/>
    <w:rsid w:val="6FD414D5"/>
    <w:rsid w:val="6FD44A65"/>
    <w:rsid w:val="6FED3D79"/>
    <w:rsid w:val="6FEE3194"/>
    <w:rsid w:val="6FF2183D"/>
    <w:rsid w:val="7003534A"/>
    <w:rsid w:val="70065659"/>
    <w:rsid w:val="700B5EBD"/>
    <w:rsid w:val="70117A67"/>
    <w:rsid w:val="70137B30"/>
    <w:rsid w:val="701632CF"/>
    <w:rsid w:val="701D128D"/>
    <w:rsid w:val="702D46D3"/>
    <w:rsid w:val="70390345"/>
    <w:rsid w:val="70481727"/>
    <w:rsid w:val="70572F00"/>
    <w:rsid w:val="70795461"/>
    <w:rsid w:val="70822713"/>
    <w:rsid w:val="708B58B2"/>
    <w:rsid w:val="708C533F"/>
    <w:rsid w:val="709964E6"/>
    <w:rsid w:val="709A3F00"/>
    <w:rsid w:val="709C45C0"/>
    <w:rsid w:val="70A95EF1"/>
    <w:rsid w:val="70AE71ED"/>
    <w:rsid w:val="70B7060E"/>
    <w:rsid w:val="70CD04AE"/>
    <w:rsid w:val="70DC1E23"/>
    <w:rsid w:val="70F638DC"/>
    <w:rsid w:val="710B6BAC"/>
    <w:rsid w:val="71211F2C"/>
    <w:rsid w:val="712E5605"/>
    <w:rsid w:val="71330874"/>
    <w:rsid w:val="713954C7"/>
    <w:rsid w:val="71940950"/>
    <w:rsid w:val="71A351A7"/>
    <w:rsid w:val="71BE0BFF"/>
    <w:rsid w:val="71C7125F"/>
    <w:rsid w:val="71D42B34"/>
    <w:rsid w:val="71D96BA9"/>
    <w:rsid w:val="71DE2751"/>
    <w:rsid w:val="71F577B0"/>
    <w:rsid w:val="7228273C"/>
    <w:rsid w:val="724016CF"/>
    <w:rsid w:val="725020E0"/>
    <w:rsid w:val="725640E2"/>
    <w:rsid w:val="725956F5"/>
    <w:rsid w:val="725D6403"/>
    <w:rsid w:val="72695938"/>
    <w:rsid w:val="727A6825"/>
    <w:rsid w:val="729040F4"/>
    <w:rsid w:val="72A03324"/>
    <w:rsid w:val="72A1635F"/>
    <w:rsid w:val="72AF6FAB"/>
    <w:rsid w:val="72B15531"/>
    <w:rsid w:val="72B764B6"/>
    <w:rsid w:val="72B8241C"/>
    <w:rsid w:val="72BA43E6"/>
    <w:rsid w:val="72BD3ED6"/>
    <w:rsid w:val="72E4797F"/>
    <w:rsid w:val="72E72D01"/>
    <w:rsid w:val="72EE7285"/>
    <w:rsid w:val="730239BA"/>
    <w:rsid w:val="73395C8C"/>
    <w:rsid w:val="735A34D3"/>
    <w:rsid w:val="735C724B"/>
    <w:rsid w:val="735F1C19"/>
    <w:rsid w:val="7386076C"/>
    <w:rsid w:val="73D63F44"/>
    <w:rsid w:val="73E334C8"/>
    <w:rsid w:val="73ED4347"/>
    <w:rsid w:val="742E037F"/>
    <w:rsid w:val="74306591"/>
    <w:rsid w:val="74404DBF"/>
    <w:rsid w:val="744321B9"/>
    <w:rsid w:val="744556E8"/>
    <w:rsid w:val="74627915"/>
    <w:rsid w:val="749A544B"/>
    <w:rsid w:val="749C18DF"/>
    <w:rsid w:val="74E41BEE"/>
    <w:rsid w:val="75267B11"/>
    <w:rsid w:val="752F3B84"/>
    <w:rsid w:val="755558D6"/>
    <w:rsid w:val="755B10E2"/>
    <w:rsid w:val="755C1784"/>
    <w:rsid w:val="755D54FC"/>
    <w:rsid w:val="757E3837"/>
    <w:rsid w:val="75993B74"/>
    <w:rsid w:val="75B57CB4"/>
    <w:rsid w:val="75B74F0B"/>
    <w:rsid w:val="75BA6AC0"/>
    <w:rsid w:val="75ED4AD2"/>
    <w:rsid w:val="75EE5EFB"/>
    <w:rsid w:val="75FB0F9D"/>
    <w:rsid w:val="7615076A"/>
    <w:rsid w:val="761717CE"/>
    <w:rsid w:val="762B0E62"/>
    <w:rsid w:val="762B2DA5"/>
    <w:rsid w:val="76320A47"/>
    <w:rsid w:val="763215EA"/>
    <w:rsid w:val="763C5112"/>
    <w:rsid w:val="76684159"/>
    <w:rsid w:val="7694203A"/>
    <w:rsid w:val="76997020"/>
    <w:rsid w:val="76A07D97"/>
    <w:rsid w:val="76B64EC4"/>
    <w:rsid w:val="76BF4111"/>
    <w:rsid w:val="76C515AB"/>
    <w:rsid w:val="76DD5532"/>
    <w:rsid w:val="76E638B7"/>
    <w:rsid w:val="76FA74A7"/>
    <w:rsid w:val="77187BD4"/>
    <w:rsid w:val="773F3F87"/>
    <w:rsid w:val="77414910"/>
    <w:rsid w:val="77416E84"/>
    <w:rsid w:val="774C75D7"/>
    <w:rsid w:val="774F131E"/>
    <w:rsid w:val="775A26DD"/>
    <w:rsid w:val="776C1A27"/>
    <w:rsid w:val="777059BB"/>
    <w:rsid w:val="777A60D3"/>
    <w:rsid w:val="77960B3D"/>
    <w:rsid w:val="77D86EE8"/>
    <w:rsid w:val="77F9775E"/>
    <w:rsid w:val="780940E8"/>
    <w:rsid w:val="780B1240"/>
    <w:rsid w:val="780D5800"/>
    <w:rsid w:val="781A3897"/>
    <w:rsid w:val="785B3F75"/>
    <w:rsid w:val="785B49A6"/>
    <w:rsid w:val="786D0583"/>
    <w:rsid w:val="787C3EEC"/>
    <w:rsid w:val="78986F77"/>
    <w:rsid w:val="78994A9D"/>
    <w:rsid w:val="789F6466"/>
    <w:rsid w:val="78AF66F9"/>
    <w:rsid w:val="78B96EEE"/>
    <w:rsid w:val="78C95383"/>
    <w:rsid w:val="78CB532E"/>
    <w:rsid w:val="78CE2EC7"/>
    <w:rsid w:val="78DA2E19"/>
    <w:rsid w:val="78DB3E3D"/>
    <w:rsid w:val="78EA70A7"/>
    <w:rsid w:val="78EF290F"/>
    <w:rsid w:val="78EF72B1"/>
    <w:rsid w:val="7904460D"/>
    <w:rsid w:val="790753C4"/>
    <w:rsid w:val="79075EAB"/>
    <w:rsid w:val="790A0FCB"/>
    <w:rsid w:val="790A14F7"/>
    <w:rsid w:val="79113EAC"/>
    <w:rsid w:val="791361A2"/>
    <w:rsid w:val="792F334A"/>
    <w:rsid w:val="7988334D"/>
    <w:rsid w:val="79A807CC"/>
    <w:rsid w:val="79B3393D"/>
    <w:rsid w:val="79D44F07"/>
    <w:rsid w:val="79D55FA9"/>
    <w:rsid w:val="79F6138E"/>
    <w:rsid w:val="7A06628B"/>
    <w:rsid w:val="7A140002"/>
    <w:rsid w:val="7A374EE0"/>
    <w:rsid w:val="7A4A42A1"/>
    <w:rsid w:val="7A615944"/>
    <w:rsid w:val="7A6A66F1"/>
    <w:rsid w:val="7A853D59"/>
    <w:rsid w:val="7A910122"/>
    <w:rsid w:val="7A9821BE"/>
    <w:rsid w:val="7AB90F9F"/>
    <w:rsid w:val="7AC424B5"/>
    <w:rsid w:val="7AC8166A"/>
    <w:rsid w:val="7AD41DBD"/>
    <w:rsid w:val="7AE74C21"/>
    <w:rsid w:val="7AF10BC1"/>
    <w:rsid w:val="7AF74593"/>
    <w:rsid w:val="7B227DC2"/>
    <w:rsid w:val="7B25075D"/>
    <w:rsid w:val="7B2A383A"/>
    <w:rsid w:val="7B2B0C1D"/>
    <w:rsid w:val="7B542CF4"/>
    <w:rsid w:val="7B6A00B6"/>
    <w:rsid w:val="7B990D04"/>
    <w:rsid w:val="7BA95843"/>
    <w:rsid w:val="7BC83699"/>
    <w:rsid w:val="7BCD470A"/>
    <w:rsid w:val="7BDD060B"/>
    <w:rsid w:val="7BDE318E"/>
    <w:rsid w:val="7BE80F00"/>
    <w:rsid w:val="7C077692"/>
    <w:rsid w:val="7C0B0A35"/>
    <w:rsid w:val="7C0F6600"/>
    <w:rsid w:val="7C2B2AA4"/>
    <w:rsid w:val="7C3A0345"/>
    <w:rsid w:val="7C3A774A"/>
    <w:rsid w:val="7C3E3631"/>
    <w:rsid w:val="7C3F770A"/>
    <w:rsid w:val="7C4B600B"/>
    <w:rsid w:val="7C4B60AF"/>
    <w:rsid w:val="7C7755CD"/>
    <w:rsid w:val="7C783899"/>
    <w:rsid w:val="7C976109"/>
    <w:rsid w:val="7CC67B3B"/>
    <w:rsid w:val="7CD53BA9"/>
    <w:rsid w:val="7CD73DE6"/>
    <w:rsid w:val="7CF16C1F"/>
    <w:rsid w:val="7D003CB1"/>
    <w:rsid w:val="7D142945"/>
    <w:rsid w:val="7D382AD7"/>
    <w:rsid w:val="7D476E8A"/>
    <w:rsid w:val="7D502CB8"/>
    <w:rsid w:val="7D5061E6"/>
    <w:rsid w:val="7D715FE9"/>
    <w:rsid w:val="7D8725AF"/>
    <w:rsid w:val="7D951A26"/>
    <w:rsid w:val="7DB163E5"/>
    <w:rsid w:val="7DC5146C"/>
    <w:rsid w:val="7DD32800"/>
    <w:rsid w:val="7DED0FE8"/>
    <w:rsid w:val="7DF3182D"/>
    <w:rsid w:val="7E132A6B"/>
    <w:rsid w:val="7E260B81"/>
    <w:rsid w:val="7E315554"/>
    <w:rsid w:val="7E3E14F6"/>
    <w:rsid w:val="7E4C1383"/>
    <w:rsid w:val="7E6F5C26"/>
    <w:rsid w:val="7E7055D5"/>
    <w:rsid w:val="7E865AC4"/>
    <w:rsid w:val="7E867872"/>
    <w:rsid w:val="7E9815D8"/>
    <w:rsid w:val="7EB8029C"/>
    <w:rsid w:val="7ECF06B4"/>
    <w:rsid w:val="7ED22AB7"/>
    <w:rsid w:val="7EE11877"/>
    <w:rsid w:val="7EF004F3"/>
    <w:rsid w:val="7F122180"/>
    <w:rsid w:val="7F2D7CEE"/>
    <w:rsid w:val="7F2E23E3"/>
    <w:rsid w:val="7F4F35CE"/>
    <w:rsid w:val="7F5B5A09"/>
    <w:rsid w:val="7F5C05F0"/>
    <w:rsid w:val="7F625BE9"/>
    <w:rsid w:val="7F663995"/>
    <w:rsid w:val="7F670434"/>
    <w:rsid w:val="7F6D7DA3"/>
    <w:rsid w:val="7FAB3A34"/>
    <w:rsid w:val="7FCE7723"/>
    <w:rsid w:val="7FDE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8">
    <w:name w:val="heading 1"/>
    <w:basedOn w:val="1"/>
    <w:next w:val="1"/>
    <w:qFormat/>
    <w:uiPriority w:val="1"/>
    <w:pPr>
      <w:spacing w:before="53"/>
      <w:ind w:left="8"/>
      <w:jc w:val="center"/>
      <w:outlineLvl w:val="0"/>
    </w:pPr>
    <w:rPr>
      <w:b/>
      <w:bCs/>
      <w:sz w:val="32"/>
      <w:szCs w:val="32"/>
    </w:rPr>
  </w:style>
  <w:style w:type="paragraph" w:styleId="9">
    <w:name w:val="heading 2"/>
    <w:basedOn w:val="1"/>
    <w:next w:val="1"/>
    <w:link w:val="53"/>
    <w:qFormat/>
    <w:uiPriority w:val="1"/>
    <w:pPr>
      <w:spacing w:before="62"/>
      <w:ind w:left="8"/>
      <w:jc w:val="center"/>
      <w:outlineLvl w:val="1"/>
    </w:pPr>
    <w:rPr>
      <w:b/>
      <w:bCs/>
      <w:sz w:val="28"/>
      <w:szCs w:val="28"/>
    </w:rPr>
  </w:style>
  <w:style w:type="paragraph" w:styleId="10">
    <w:name w:val="heading 3"/>
    <w:basedOn w:val="1"/>
    <w:next w:val="1"/>
    <w:qFormat/>
    <w:uiPriority w:val="1"/>
    <w:pPr>
      <w:ind w:left="8"/>
      <w:jc w:val="center"/>
      <w:outlineLvl w:val="2"/>
    </w:pPr>
    <w:rPr>
      <w:sz w:val="28"/>
      <w:szCs w:val="28"/>
    </w:rPr>
  </w:style>
  <w:style w:type="paragraph" w:styleId="11">
    <w:name w:val="heading 4"/>
    <w:basedOn w:val="1"/>
    <w:next w:val="1"/>
    <w:qFormat/>
    <w:uiPriority w:val="1"/>
    <w:pPr>
      <w:ind w:left="680"/>
      <w:outlineLvl w:val="3"/>
    </w:pPr>
    <w:rPr>
      <w:b/>
      <w:bCs/>
      <w:sz w:val="24"/>
      <w:szCs w:val="24"/>
    </w:rPr>
  </w:style>
  <w:style w:type="paragraph" w:styleId="12">
    <w:name w:val="heading 5"/>
    <w:basedOn w:val="1"/>
    <w:next w:val="1"/>
    <w:unhideWhenUsed/>
    <w:qFormat/>
    <w:uiPriority w:val="0"/>
    <w:pPr>
      <w:keepNext/>
      <w:keepLines/>
      <w:spacing w:before="280" w:beforeLines="0" w:beforeAutospacing="0" w:after="290" w:afterLines="0" w:afterAutospacing="0" w:line="372" w:lineRule="auto"/>
      <w:ind w:firstLine="0" w:firstLineChars="0"/>
      <w:outlineLvl w:val="4"/>
    </w:pPr>
    <w:rPr>
      <w:rFonts w:asciiTheme="minorAscii" w:hAnsiTheme="minorAscii"/>
      <w:b/>
      <w:sz w:val="28"/>
    </w:rPr>
  </w:style>
  <w:style w:type="paragraph" w:styleId="13">
    <w:name w:val="heading 6"/>
    <w:basedOn w:val="1"/>
    <w:next w:val="1"/>
    <w:unhideWhenUsed/>
    <w:qFormat/>
    <w:uiPriority w:val="0"/>
    <w:pPr>
      <w:keepNext/>
      <w:keepLines/>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14">
    <w:name w:val="heading 8"/>
    <w:basedOn w:val="1"/>
    <w:next w:val="1"/>
    <w:qFormat/>
    <w:uiPriority w:val="1"/>
    <w:pPr>
      <w:ind w:left="1242"/>
      <w:outlineLvl w:val="7"/>
    </w:pPr>
    <w:rPr>
      <w:b/>
      <w:b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Calibri" w:hAnsi="Calibri" w:cs="Times New Roman"/>
    </w:rPr>
  </w:style>
  <w:style w:type="paragraph" w:styleId="3">
    <w:name w:val="Body Text"/>
    <w:basedOn w:val="1"/>
    <w:next w:val="4"/>
    <w:qFormat/>
    <w:uiPriority w:val="1"/>
    <w:rPr>
      <w:sz w:val="24"/>
      <w:szCs w:val="24"/>
    </w:rPr>
  </w:style>
  <w:style w:type="paragraph" w:styleId="4">
    <w:name w:val="Body Text 2"/>
    <w:basedOn w:val="1"/>
    <w:next w:val="1"/>
    <w:link w:val="57"/>
    <w:qFormat/>
    <w:uiPriority w:val="0"/>
    <w:pPr>
      <w:spacing w:line="700" w:lineRule="exact"/>
    </w:pPr>
    <w:rPr>
      <w:sz w:val="28"/>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15">
    <w:name w:val="Normal Indent"/>
    <w:basedOn w:val="1"/>
    <w:qFormat/>
    <w:uiPriority w:val="0"/>
    <w:pPr>
      <w:ind w:firstLine="420"/>
    </w:pPr>
    <w:rPr>
      <w:rFonts w:eastAsia="仿宋"/>
      <w:sz w:val="20"/>
      <w:szCs w:val="24"/>
    </w:rPr>
  </w:style>
  <w:style w:type="paragraph" w:styleId="16">
    <w:name w:val="annotation text"/>
    <w:basedOn w:val="1"/>
    <w:qFormat/>
    <w:uiPriority w:val="0"/>
  </w:style>
  <w:style w:type="paragraph" w:styleId="17">
    <w:name w:val="Body Text 3"/>
    <w:basedOn w:val="1"/>
    <w:qFormat/>
    <w:uiPriority w:val="0"/>
    <w:rPr>
      <w:rFonts w:hAnsi="Times New Roman"/>
      <w:kern w:val="0"/>
      <w:sz w:val="24"/>
      <w:szCs w:val="20"/>
    </w:rPr>
  </w:style>
  <w:style w:type="paragraph" w:styleId="18">
    <w:name w:val="toc 3"/>
    <w:basedOn w:val="1"/>
    <w:next w:val="1"/>
    <w:qFormat/>
    <w:uiPriority w:val="0"/>
    <w:pPr>
      <w:ind w:left="840" w:leftChars="400"/>
    </w:pPr>
  </w:style>
  <w:style w:type="paragraph" w:styleId="19">
    <w:name w:val="Plain Text"/>
    <w:basedOn w:val="1"/>
    <w:qFormat/>
    <w:uiPriority w:val="0"/>
    <w:rPr>
      <w:rFonts w:hAnsi="Courier New"/>
      <w:sz w:val="21"/>
      <w:szCs w:val="21"/>
    </w:rPr>
  </w:style>
  <w:style w:type="paragraph" w:styleId="20">
    <w:name w:val="Date"/>
    <w:basedOn w:val="1"/>
    <w:next w:val="1"/>
    <w:qFormat/>
    <w:uiPriority w:val="0"/>
    <w:rPr>
      <w:sz w:val="24"/>
      <w:szCs w:val="20"/>
    </w:rPr>
  </w:style>
  <w:style w:type="paragraph" w:styleId="21">
    <w:name w:val="Body Text Indent 2"/>
    <w:basedOn w:val="1"/>
    <w:qFormat/>
    <w:uiPriority w:val="0"/>
    <w:pPr>
      <w:spacing w:line="400" w:lineRule="exact"/>
      <w:ind w:firstLine="560"/>
    </w:pPr>
    <w:rPr>
      <w:sz w:val="28"/>
    </w:rPr>
  </w:style>
  <w:style w:type="paragraph" w:styleId="22">
    <w:name w:val="footer"/>
    <w:basedOn w:val="1"/>
    <w:link w:val="56"/>
    <w:qFormat/>
    <w:uiPriority w:val="99"/>
    <w:pPr>
      <w:tabs>
        <w:tab w:val="center" w:pos="4153"/>
        <w:tab w:val="right" w:pos="8306"/>
      </w:tabs>
      <w:snapToGrid w:val="0"/>
    </w:pPr>
    <w:rPr>
      <w:sz w:val="18"/>
    </w:rPr>
  </w:style>
  <w:style w:type="paragraph" w:styleId="23">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4">
    <w:name w:val="toc 1"/>
    <w:basedOn w:val="1"/>
    <w:next w:val="1"/>
    <w:qFormat/>
    <w:uiPriority w:val="1"/>
    <w:pPr>
      <w:spacing w:before="176"/>
      <w:ind w:right="442"/>
      <w:jc w:val="right"/>
    </w:pPr>
  </w:style>
  <w:style w:type="paragraph" w:styleId="25">
    <w:name w:val="toc 2"/>
    <w:basedOn w:val="1"/>
    <w:next w:val="1"/>
    <w:qFormat/>
    <w:uiPriority w:val="1"/>
    <w:pPr>
      <w:spacing w:before="155"/>
      <w:ind w:left="888"/>
    </w:pPr>
  </w:style>
  <w:style w:type="paragraph" w:styleId="26">
    <w:name w:val="Normal (Web)"/>
    <w:basedOn w:val="1"/>
    <w:qFormat/>
    <w:uiPriority w:val="0"/>
    <w:pPr>
      <w:spacing w:line="432" w:lineRule="auto"/>
    </w:pPr>
    <w:rPr>
      <w:rFonts w:cs="Times New Roman"/>
      <w:sz w:val="24"/>
      <w:lang w:val="en-US"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FollowedHyperlink"/>
    <w:basedOn w:val="29"/>
    <w:qFormat/>
    <w:uiPriority w:val="0"/>
    <w:rPr>
      <w:color w:val="333333"/>
      <w:u w:val="none"/>
    </w:rPr>
  </w:style>
  <w:style w:type="character" w:styleId="32">
    <w:name w:val="Emphasis"/>
    <w:basedOn w:val="29"/>
    <w:qFormat/>
    <w:uiPriority w:val="0"/>
  </w:style>
  <w:style w:type="character" w:styleId="33">
    <w:name w:val="HTML Definition"/>
    <w:basedOn w:val="29"/>
    <w:qFormat/>
    <w:uiPriority w:val="0"/>
  </w:style>
  <w:style w:type="character" w:styleId="34">
    <w:name w:val="HTML Typewriter"/>
    <w:basedOn w:val="29"/>
    <w:qFormat/>
    <w:uiPriority w:val="0"/>
    <w:rPr>
      <w:rFonts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333333"/>
      <w:u w:val="non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hint="default" w:ascii="monospace" w:hAnsi="monospace" w:eastAsia="monospace" w:cs="monospace"/>
    </w:rPr>
  </w:style>
  <w:style w:type="paragraph" w:customStyle="1" w:styleId="4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style4"/>
    <w:basedOn w:val="1"/>
    <w:next w:val="44"/>
    <w:qFormat/>
    <w:uiPriority w:val="0"/>
    <w:pPr>
      <w:widowControl/>
      <w:spacing w:before="100" w:beforeAutospacing="1" w:after="100" w:afterAutospacing="1"/>
    </w:pPr>
    <w:rPr>
      <w:sz w:val="18"/>
      <w:szCs w:val="18"/>
    </w:rPr>
  </w:style>
  <w:style w:type="paragraph" w:customStyle="1" w:styleId="4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5">
    <w:name w:val="Table Normal"/>
    <w:semiHidden/>
    <w:unhideWhenUsed/>
    <w:qFormat/>
    <w:uiPriority w:val="2"/>
    <w:tblPr>
      <w:tblCellMar>
        <w:top w:w="0" w:type="dxa"/>
        <w:left w:w="0" w:type="dxa"/>
        <w:bottom w:w="0" w:type="dxa"/>
        <w:right w:w="0" w:type="dxa"/>
      </w:tblCellMar>
    </w:tblPr>
  </w:style>
  <w:style w:type="paragraph" w:styleId="46">
    <w:name w:val="List Paragraph"/>
    <w:basedOn w:val="1"/>
    <w:qFormat/>
    <w:uiPriority w:val="1"/>
    <w:pPr>
      <w:spacing w:before="1"/>
      <w:ind w:left="680" w:firstLine="480"/>
    </w:pPr>
  </w:style>
  <w:style w:type="paragraph" w:customStyle="1" w:styleId="47">
    <w:name w:val="Table Paragraph"/>
    <w:basedOn w:val="1"/>
    <w:qFormat/>
    <w:uiPriority w:val="1"/>
  </w:style>
  <w:style w:type="paragraph" w:customStyle="1" w:styleId="48">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49">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50">
    <w:name w:val="WPSOffice手动目录 1"/>
    <w:qFormat/>
    <w:uiPriority w:val="0"/>
    <w:rPr>
      <w:rFonts w:asciiTheme="minorHAnsi" w:hAnsiTheme="minorHAnsi" w:eastAsiaTheme="minorHAnsi" w:cstheme="minorBidi"/>
      <w:lang w:val="en-US" w:eastAsia="zh-CN" w:bidi="ar-SA"/>
    </w:rPr>
  </w:style>
  <w:style w:type="paragraph" w:customStyle="1" w:styleId="51">
    <w:name w:val="*正文"/>
    <w:basedOn w:val="1"/>
    <w:next w:val="1"/>
    <w:qFormat/>
    <w:uiPriority w:val="0"/>
    <w:pPr>
      <w:widowControl/>
      <w:ind w:firstLine="482"/>
    </w:pPr>
    <w:rPr>
      <w:rFonts w:ascii="微软雅黑" w:hAnsi="微软雅黑" w:eastAsia="微软雅黑"/>
      <w:sz w:val="21"/>
    </w:rPr>
  </w:style>
  <w:style w:type="paragraph" w:customStyle="1" w:styleId="52">
    <w:name w:val="正文（首行缩进） Char"/>
    <w:basedOn w:val="1"/>
    <w:qFormat/>
    <w:uiPriority w:val="0"/>
    <w:pPr>
      <w:spacing w:line="360" w:lineRule="auto"/>
      <w:ind w:firstLine="480" w:firstLineChars="200"/>
    </w:pPr>
    <w:rPr>
      <w:rFonts w:ascii="Arial" w:hAnsi="Arial"/>
      <w:color w:val="000000"/>
      <w:sz w:val="24"/>
    </w:rPr>
  </w:style>
  <w:style w:type="character" w:customStyle="1" w:styleId="53">
    <w:name w:val="标题 2 字符"/>
    <w:basedOn w:val="29"/>
    <w:link w:val="9"/>
    <w:qFormat/>
    <w:uiPriority w:val="1"/>
    <w:rPr>
      <w:rFonts w:ascii="宋体" w:hAnsi="宋体" w:eastAsia="宋体" w:cs="宋体"/>
      <w:b/>
      <w:bCs/>
      <w:sz w:val="28"/>
      <w:szCs w:val="28"/>
      <w:lang w:val="zh-CN" w:eastAsia="zh-CN" w:bidi="zh-CN"/>
    </w:rPr>
  </w:style>
  <w:style w:type="character" w:customStyle="1" w:styleId="54">
    <w:name w:val="未处理的提及1"/>
    <w:basedOn w:val="29"/>
    <w:semiHidden/>
    <w:unhideWhenUsed/>
    <w:qFormat/>
    <w:uiPriority w:val="99"/>
    <w:rPr>
      <w:color w:val="605E5C"/>
      <w:shd w:val="clear" w:color="auto" w:fill="E1DFDD"/>
    </w:rPr>
  </w:style>
  <w:style w:type="character" w:customStyle="1" w:styleId="55">
    <w:name w:val="页眉 字符"/>
    <w:basedOn w:val="29"/>
    <w:link w:val="23"/>
    <w:qFormat/>
    <w:uiPriority w:val="99"/>
    <w:rPr>
      <w:rFonts w:ascii="宋体" w:hAnsi="宋体" w:cs="宋体"/>
      <w:sz w:val="18"/>
      <w:szCs w:val="22"/>
      <w:lang w:val="zh-CN" w:bidi="zh-CN"/>
    </w:rPr>
  </w:style>
  <w:style w:type="character" w:customStyle="1" w:styleId="56">
    <w:name w:val="页脚 字符"/>
    <w:basedOn w:val="29"/>
    <w:link w:val="22"/>
    <w:qFormat/>
    <w:uiPriority w:val="99"/>
    <w:rPr>
      <w:rFonts w:ascii="宋体" w:hAnsi="宋体" w:cs="宋体"/>
      <w:sz w:val="18"/>
      <w:szCs w:val="22"/>
      <w:lang w:val="zh-CN" w:bidi="zh-CN"/>
    </w:rPr>
  </w:style>
  <w:style w:type="character" w:customStyle="1" w:styleId="57">
    <w:name w:val="正文文本 2 字符"/>
    <w:basedOn w:val="29"/>
    <w:link w:val="4"/>
    <w:qFormat/>
    <w:uiPriority w:val="0"/>
    <w:rPr>
      <w:rFonts w:ascii="宋体" w:hAnsi="宋体" w:cs="宋体"/>
      <w:sz w:val="28"/>
      <w:szCs w:val="22"/>
      <w:lang w:val="zh-CN" w:bidi="zh-CN"/>
    </w:rPr>
  </w:style>
  <w:style w:type="paragraph" w:customStyle="1" w:styleId="58">
    <w:name w:val="样式7"/>
    <w:basedOn w:val="1"/>
    <w:qFormat/>
    <w:uiPriority w:val="0"/>
    <w:pPr>
      <w:spacing w:line="300" w:lineRule="exact"/>
      <w:ind w:left="-120" w:leftChars="-50" w:right="-120" w:rightChars="-50"/>
      <w:jc w:val="center"/>
    </w:pPr>
    <w:rPr>
      <w:kern w:val="2"/>
      <w:sz w:val="21"/>
      <w:szCs w:val="24"/>
    </w:rPr>
  </w:style>
  <w:style w:type="character" w:customStyle="1" w:styleId="59">
    <w:name w:val="NormalCharacter"/>
    <w:semiHidden/>
    <w:qFormat/>
    <w:uiPriority w:val="0"/>
  </w:style>
  <w:style w:type="paragraph" w:customStyle="1" w:styleId="60">
    <w:name w:val="p0"/>
    <w:basedOn w:val="1"/>
    <w:qFormat/>
    <w:uiPriority w:val="0"/>
    <w:pPr>
      <w:widowControl/>
    </w:pPr>
    <w:rPr>
      <w:kern w:val="0"/>
      <w:sz w:val="21"/>
      <w:szCs w:val="21"/>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63">
    <w:name w:val="表格文字"/>
    <w:qFormat/>
    <w:uiPriority w:val="0"/>
    <w:pPr>
      <w:keepNext w:val="0"/>
      <w:widowControl w:val="0"/>
      <w:adjustRightInd w:val="0"/>
      <w:snapToGrid w:val="0"/>
      <w:spacing w:line="360" w:lineRule="auto"/>
    </w:pPr>
    <w:rPr>
      <w:rFonts w:hint="default" w:eastAsia="宋体" w:cs="Times New Roman" w:asciiTheme="minorAscii" w:hAnsiTheme="minorAscii"/>
      <w:sz w:val="21"/>
    </w:rPr>
  </w:style>
  <w:style w:type="paragraph" w:customStyle="1" w:styleId="64">
    <w:name w:val="_Style 3"/>
    <w:basedOn w:val="8"/>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6279</Words>
  <Characters>7053</Characters>
  <Lines>208</Lines>
  <Paragraphs>58</Paragraphs>
  <TotalTime>6</TotalTime>
  <ScaleCrop>false</ScaleCrop>
  <LinksUpToDate>false</LinksUpToDate>
  <CharactersWithSpaces>7281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2021-01-10T16:30:00Z</dcterms:created>
  <dc:creator>正版用户</dc:creator>
  <cp:lastModifiedBy>从此以后。。。</cp:lastModifiedBy>
  <cp:lastPrinted>2025-01-15T08:01:00Z</cp:lastPrinted>
  <dcterms:modified xsi:type="dcterms:W3CDTF">2026-02-06T02:30:47Z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WPS 文字</vt:lpwstr>
  </property>
  <property fmtid="{D5CDD505-2E9C-101B-9397-08002B2CF9AE}" pid="4" name="LastSaved">
    <vt:filetime>2020-08-17T00:00:00Z</vt:filetime>
  </property>
  <property fmtid="{D5CDD505-2E9C-101B-9397-08002B2CF9AE}" pid="5" name="KSOProductBuildVer">
    <vt:lpwstr>2052-12.1.0.25225</vt:lpwstr>
  </property>
  <property fmtid="{D5CDD505-2E9C-101B-9397-08002B2CF9AE}" pid="6" name="ICV">
    <vt:lpwstr>796F88ADE34F409382B0FD7F792B1221_13</vt:lpwstr>
  </property>
  <property fmtid="{D5CDD505-2E9C-101B-9397-08002B2CF9AE}" pid="7" name="CRO">
    <vt:lpwstr>wqlLaW5nc29mdCBQREYgdG8gV1BTIDgw</vt:lpwstr>
  </property>
  <property fmtid="{D5CDD505-2E9C-101B-9397-08002B2CF9AE}" pid="8" name="KSOTemplateDocerSaveRecord">
    <vt:lpwstr>eyJoZGlkIjoiMGNmZjEzYzgyZDk4OTY3MGRkYjlhOTUwOWZkN2M4YTEiLCJ1c2VySWQiOiIyODk2NjkzNTgifQ==</vt:lpwstr>
  </property>
</Properties>
</file>